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84" w:type="dxa"/>
        <w:tblLook w:val="0000" w:firstRow="0" w:lastRow="0" w:firstColumn="0" w:lastColumn="0" w:noHBand="0" w:noVBand="0"/>
      </w:tblPr>
      <w:tblGrid>
        <w:gridCol w:w="4608"/>
        <w:gridCol w:w="1884"/>
        <w:gridCol w:w="3192"/>
      </w:tblGrid>
      <w:tr w:rsidR="00EB08EC" w:rsidRPr="00B8572F">
        <w:trPr>
          <w:cantSplit/>
        </w:trPr>
        <w:tc>
          <w:tcPr>
            <w:tcW w:w="4608" w:type="dxa"/>
            <w:vAlign w:val="center"/>
          </w:tcPr>
          <w:p w:rsidR="00EB08EC" w:rsidRPr="00B8572F" w:rsidRDefault="00B24101" w:rsidP="00EB08EC">
            <w:pPr>
              <w:jc w:val="center"/>
              <w:rPr>
                <w:rFonts w:ascii="Arial" w:hAnsi="Arial" w:cs="Arial"/>
                <w:bCs/>
                <w:sz w:val="36"/>
              </w:rPr>
            </w:pPr>
            <w:r>
              <w:rPr>
                <w:rFonts w:ascii="Arial" w:hAnsi="Arial" w:cs="Arial"/>
                <w:noProof/>
                <w:lang w:eastAsia="en-NZ"/>
              </w:rPr>
              <w:drawing>
                <wp:inline distT="0" distB="0" distL="0" distR="0" wp14:anchorId="5AA55105" wp14:editId="13222288">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076" w:type="dxa"/>
            <w:gridSpan w:val="2"/>
            <w:vAlign w:val="center"/>
          </w:tcPr>
          <w:p w:rsidR="00EB08EC" w:rsidRPr="00610796" w:rsidRDefault="00610796" w:rsidP="00EB08EC">
            <w:pPr>
              <w:jc w:val="right"/>
              <w:rPr>
                <w:rFonts w:ascii="Arial" w:hAnsi="Arial" w:cs="Arial"/>
                <w:b/>
                <w:sz w:val="32"/>
                <w:szCs w:val="32"/>
              </w:rPr>
            </w:pPr>
            <w:r w:rsidRPr="00610796">
              <w:rPr>
                <w:rFonts w:ascii="Arial" w:hAnsi="Arial" w:cs="Arial"/>
                <w:b/>
                <w:sz w:val="32"/>
                <w:szCs w:val="32"/>
              </w:rPr>
              <w:t>All District Health Boards</w:t>
            </w:r>
          </w:p>
          <w:p w:rsidR="00EB08EC" w:rsidRPr="00B8572F" w:rsidRDefault="00EB08EC" w:rsidP="00EB08EC">
            <w:pPr>
              <w:jc w:val="right"/>
              <w:rPr>
                <w:rFonts w:ascii="Arial" w:hAnsi="Arial" w:cs="Arial"/>
                <w:bCs/>
                <w:sz w:val="36"/>
              </w:rPr>
            </w:pPr>
          </w:p>
        </w:tc>
      </w:tr>
      <w:tr w:rsidR="00EB08EC" w:rsidRPr="00B8572F">
        <w:tc>
          <w:tcPr>
            <w:tcW w:w="9684" w:type="dxa"/>
            <w:gridSpan w:val="3"/>
          </w:tcPr>
          <w:p w:rsidR="00F62095" w:rsidRDefault="00F62095" w:rsidP="00753C90">
            <w:pPr>
              <w:spacing w:before="360"/>
              <w:jc w:val="center"/>
              <w:rPr>
                <w:rFonts w:ascii="Arial" w:hAnsi="Arial" w:cs="Arial"/>
                <w:b/>
                <w:caps/>
                <w:kern w:val="28"/>
                <w:sz w:val="36"/>
                <w:szCs w:val="20"/>
              </w:rPr>
            </w:pPr>
            <w:r w:rsidRPr="00B8572F">
              <w:rPr>
                <w:rFonts w:ascii="Arial" w:hAnsi="Arial" w:cs="Arial"/>
                <w:b/>
                <w:caps/>
                <w:kern w:val="28"/>
                <w:sz w:val="36"/>
                <w:szCs w:val="20"/>
              </w:rPr>
              <w:t xml:space="preserve">SPECIALIST MEDICAL </w:t>
            </w:r>
            <w:r w:rsidR="009E691C">
              <w:rPr>
                <w:rFonts w:ascii="Arial" w:hAnsi="Arial" w:cs="Arial"/>
                <w:b/>
                <w:caps/>
                <w:kern w:val="28"/>
                <w:sz w:val="36"/>
                <w:szCs w:val="20"/>
              </w:rPr>
              <w:t xml:space="preserve">AND SURGICAL </w:t>
            </w:r>
            <w:r w:rsidRPr="00B8572F">
              <w:rPr>
                <w:rFonts w:ascii="Arial" w:hAnsi="Arial" w:cs="Arial"/>
                <w:b/>
                <w:caps/>
                <w:kern w:val="28"/>
                <w:sz w:val="36"/>
                <w:szCs w:val="20"/>
              </w:rPr>
              <w:t>SERVICES</w:t>
            </w:r>
            <w:r w:rsidR="00F43325">
              <w:rPr>
                <w:rFonts w:ascii="Arial" w:hAnsi="Arial" w:cs="Arial"/>
                <w:b/>
                <w:caps/>
                <w:kern w:val="28"/>
                <w:sz w:val="36"/>
                <w:szCs w:val="20"/>
              </w:rPr>
              <w:t xml:space="preserve"> -</w:t>
            </w:r>
          </w:p>
          <w:p w:rsidR="00F43325" w:rsidRPr="00B8572F" w:rsidRDefault="00F43325" w:rsidP="00F43325">
            <w:pPr>
              <w:pStyle w:val="Heading1"/>
              <w:numPr>
                <w:ilvl w:val="0"/>
                <w:numId w:val="0"/>
              </w:numPr>
              <w:spacing w:before="120" w:after="0"/>
              <w:ind w:left="360"/>
              <w:jc w:val="center"/>
              <w:rPr>
                <w:rFonts w:cs="Arial"/>
                <w:caps/>
                <w:sz w:val="36"/>
              </w:rPr>
            </w:pPr>
            <w:r w:rsidRPr="00B8572F">
              <w:rPr>
                <w:rFonts w:cs="Arial"/>
                <w:caps/>
                <w:sz w:val="36"/>
              </w:rPr>
              <w:t>GENERAL MEDICINE SERVICE</w:t>
            </w:r>
          </w:p>
          <w:p w:rsidR="00EB08EC" w:rsidRPr="00B8572F" w:rsidRDefault="00EB08EC" w:rsidP="00437657">
            <w:pPr>
              <w:pStyle w:val="Heading1"/>
              <w:numPr>
                <w:ilvl w:val="0"/>
                <w:numId w:val="0"/>
              </w:numPr>
              <w:spacing w:before="120" w:after="0"/>
              <w:ind w:left="360"/>
              <w:jc w:val="center"/>
              <w:rPr>
                <w:rFonts w:cs="Arial"/>
                <w:caps/>
                <w:sz w:val="36"/>
              </w:rPr>
            </w:pPr>
            <w:smartTag w:uri="urn:schemas-microsoft-com:office:smarttags" w:element="stockticker">
              <w:r w:rsidRPr="00B8572F">
                <w:rPr>
                  <w:rFonts w:cs="Arial"/>
                  <w:caps/>
                  <w:sz w:val="36"/>
                </w:rPr>
                <w:t>Tier</w:t>
              </w:r>
            </w:smartTag>
            <w:r w:rsidRPr="00B8572F">
              <w:rPr>
                <w:rFonts w:cs="Arial"/>
                <w:caps/>
                <w:sz w:val="36"/>
              </w:rPr>
              <w:t xml:space="preserve"> LEVEL TWO</w:t>
            </w:r>
          </w:p>
          <w:p w:rsidR="00EB08EC" w:rsidRPr="00B8572F" w:rsidRDefault="00EB08EC" w:rsidP="00753C90">
            <w:pPr>
              <w:pStyle w:val="Heading1"/>
              <w:numPr>
                <w:ilvl w:val="0"/>
                <w:numId w:val="0"/>
              </w:numPr>
              <w:spacing w:before="120" w:after="360"/>
              <w:ind w:left="360"/>
              <w:jc w:val="center"/>
            </w:pPr>
            <w:r w:rsidRPr="00B8572F">
              <w:rPr>
                <w:rFonts w:cs="Arial"/>
                <w:caps/>
                <w:sz w:val="36"/>
              </w:rPr>
              <w:t>Service Specification</w:t>
            </w:r>
          </w:p>
        </w:tc>
      </w:tr>
      <w:tr w:rsidR="00EB08EC" w:rsidRPr="00B8572F">
        <w:tc>
          <w:tcPr>
            <w:tcW w:w="6492" w:type="dxa"/>
            <w:gridSpan w:val="2"/>
          </w:tcPr>
          <w:p w:rsidR="00EB08EC" w:rsidRPr="00B8572F" w:rsidRDefault="00EB08EC" w:rsidP="00753C90">
            <w:pPr>
              <w:pStyle w:val="Heading1"/>
              <w:numPr>
                <w:ilvl w:val="0"/>
                <w:numId w:val="0"/>
              </w:numPr>
              <w:spacing w:before="120" w:after="120"/>
              <w:ind w:left="57"/>
              <w:rPr>
                <w:rFonts w:cs="Arial"/>
                <w:caps/>
                <w:sz w:val="32"/>
                <w:szCs w:val="32"/>
              </w:rPr>
            </w:pPr>
            <w:r w:rsidRPr="00B8572F">
              <w:rPr>
                <w:rFonts w:cs="Arial"/>
                <w:caps/>
                <w:sz w:val="32"/>
                <w:szCs w:val="32"/>
              </w:rPr>
              <w:t>Status:</w:t>
            </w:r>
          </w:p>
          <w:p w:rsidR="00EB08EC" w:rsidRPr="00B8572F" w:rsidRDefault="00EB08EC" w:rsidP="009E691C">
            <w:pPr>
              <w:spacing w:before="120"/>
              <w:ind w:left="57"/>
              <w:jc w:val="left"/>
              <w:rPr>
                <w:rFonts w:ascii="Arial" w:hAnsi="Arial" w:cs="Arial"/>
                <w:sz w:val="32"/>
                <w:szCs w:val="32"/>
                <w:lang w:val="en-US"/>
              </w:rPr>
            </w:pPr>
            <w:r w:rsidRPr="00B8572F">
              <w:rPr>
                <w:rFonts w:ascii="Arial" w:hAnsi="Arial" w:cs="Arial"/>
                <w:sz w:val="32"/>
                <w:szCs w:val="32"/>
                <w:lang w:val="en-US"/>
              </w:rPr>
              <w:t>Approved to be used for mandatory nationwide description of services to be provided.</w:t>
            </w:r>
          </w:p>
        </w:tc>
        <w:tc>
          <w:tcPr>
            <w:tcW w:w="3192" w:type="dxa"/>
          </w:tcPr>
          <w:p w:rsidR="00EB08EC" w:rsidRPr="00B8572F" w:rsidRDefault="00EB08EC" w:rsidP="00EB08EC">
            <w:pPr>
              <w:pStyle w:val="Heading1"/>
              <w:numPr>
                <w:ilvl w:val="0"/>
                <w:numId w:val="0"/>
              </w:numPr>
              <w:spacing w:before="120" w:after="240"/>
              <w:rPr>
                <w:rFonts w:cs="Arial"/>
                <w:caps/>
                <w:sz w:val="32"/>
                <w:szCs w:val="32"/>
              </w:rPr>
            </w:pPr>
            <w:r w:rsidRPr="00B8572F">
              <w:rPr>
                <w:rFonts w:cs="Arial"/>
                <w:caps/>
                <w:sz w:val="32"/>
                <w:szCs w:val="32"/>
              </w:rPr>
              <w:t xml:space="preserve">MANDATORY </w:t>
            </w:r>
            <w:r w:rsidRPr="00B8572F">
              <w:rPr>
                <w:rFonts w:cs="Arial"/>
                <w:caps/>
                <w:sz w:val="32"/>
                <w:szCs w:val="32"/>
              </w:rPr>
              <w:sym w:font="Wingdings" w:char="F0FE"/>
            </w:r>
          </w:p>
          <w:p w:rsidR="00EB08EC" w:rsidRPr="00B8572F" w:rsidRDefault="00EB08EC" w:rsidP="00EB08EC">
            <w:pPr>
              <w:spacing w:before="120"/>
              <w:rPr>
                <w:rFonts w:ascii="Arial" w:hAnsi="Arial" w:cs="Arial"/>
                <w:sz w:val="32"/>
                <w:szCs w:val="32"/>
                <w:lang w:val="en-US"/>
              </w:rPr>
            </w:pPr>
          </w:p>
        </w:tc>
      </w:tr>
      <w:tr w:rsidR="00EB08EC" w:rsidRPr="00B8572F">
        <w:trPr>
          <w:trHeight w:val="297"/>
        </w:trPr>
        <w:tc>
          <w:tcPr>
            <w:tcW w:w="6492" w:type="dxa"/>
            <w:gridSpan w:val="2"/>
            <w:tcBorders>
              <w:top w:val="single" w:sz="6" w:space="0" w:color="auto"/>
              <w:left w:val="single" w:sz="6" w:space="0" w:color="auto"/>
              <w:bottom w:val="single" w:sz="6" w:space="0" w:color="auto"/>
            </w:tcBorders>
            <w:shd w:val="clear" w:color="auto" w:fill="CCCCCC"/>
          </w:tcPr>
          <w:p w:rsidR="00EB08EC" w:rsidRPr="00B8572F" w:rsidRDefault="00EB08EC" w:rsidP="00EB08EC">
            <w:pPr>
              <w:pStyle w:val="Heading1"/>
              <w:numPr>
                <w:ilvl w:val="0"/>
                <w:numId w:val="0"/>
              </w:numPr>
              <w:spacing w:after="240"/>
              <w:rPr>
                <w:rFonts w:cs="Arial"/>
                <w:szCs w:val="28"/>
              </w:rPr>
            </w:pPr>
            <w:r w:rsidRPr="00B8572F">
              <w:rPr>
                <w:rFonts w:cs="Arial"/>
                <w:szCs w:val="28"/>
              </w:rPr>
              <w:t>Review History</w:t>
            </w:r>
          </w:p>
        </w:tc>
        <w:tc>
          <w:tcPr>
            <w:tcW w:w="3192" w:type="dxa"/>
            <w:tcBorders>
              <w:top w:val="single" w:sz="6" w:space="0" w:color="auto"/>
              <w:bottom w:val="single" w:sz="6" w:space="0" w:color="auto"/>
              <w:right w:val="single" w:sz="6" w:space="0" w:color="auto"/>
            </w:tcBorders>
            <w:shd w:val="clear" w:color="auto" w:fill="CCCCCC"/>
          </w:tcPr>
          <w:p w:rsidR="00EB08EC" w:rsidRPr="00B8572F" w:rsidRDefault="00EB08EC" w:rsidP="00EB08EC">
            <w:pPr>
              <w:pStyle w:val="Heading1"/>
              <w:numPr>
                <w:ilvl w:val="0"/>
                <w:numId w:val="0"/>
              </w:numPr>
              <w:spacing w:after="240"/>
              <w:jc w:val="center"/>
              <w:rPr>
                <w:rFonts w:cs="Arial"/>
                <w:szCs w:val="28"/>
              </w:rPr>
            </w:pPr>
            <w:r w:rsidRPr="00B8572F">
              <w:rPr>
                <w:rFonts w:cs="Arial"/>
                <w:szCs w:val="28"/>
              </w:rPr>
              <w:t>Date</w:t>
            </w:r>
          </w:p>
        </w:tc>
      </w:tr>
      <w:tr w:rsidR="00EB08EC" w:rsidRPr="00B8572F">
        <w:tc>
          <w:tcPr>
            <w:tcW w:w="6492" w:type="dxa"/>
            <w:gridSpan w:val="2"/>
            <w:tcBorders>
              <w:top w:val="single" w:sz="6" w:space="0" w:color="auto"/>
              <w:left w:val="single" w:sz="4" w:space="0" w:color="auto"/>
              <w:bottom w:val="single" w:sz="6" w:space="0" w:color="auto"/>
              <w:right w:val="single" w:sz="6" w:space="0" w:color="auto"/>
            </w:tcBorders>
            <w:vAlign w:val="center"/>
          </w:tcPr>
          <w:p w:rsidR="00EB08EC" w:rsidRPr="00B8572F" w:rsidRDefault="00EB08EC" w:rsidP="00EB08EC">
            <w:pPr>
              <w:pStyle w:val="BodyText"/>
              <w:spacing w:before="120" w:after="120"/>
              <w:jc w:val="left"/>
              <w:rPr>
                <w:rFonts w:ascii="Arial" w:hAnsi="Arial" w:cs="Arial"/>
                <w:i w:val="0"/>
                <w:sz w:val="28"/>
                <w:szCs w:val="28"/>
              </w:rPr>
            </w:pPr>
            <w:r w:rsidRPr="00B8572F">
              <w:rPr>
                <w:rFonts w:ascii="Arial" w:hAnsi="Arial" w:cs="Arial"/>
                <w:i w:val="0"/>
                <w:sz w:val="28"/>
                <w:szCs w:val="28"/>
              </w:rPr>
              <w:t>Approved by Nationwide Service Framework Coordinating Group (NCG)</w:t>
            </w:r>
          </w:p>
        </w:tc>
        <w:tc>
          <w:tcPr>
            <w:tcW w:w="3192" w:type="dxa"/>
            <w:tcBorders>
              <w:top w:val="single" w:sz="6" w:space="0" w:color="auto"/>
              <w:left w:val="single" w:sz="6" w:space="0" w:color="auto"/>
              <w:bottom w:val="single" w:sz="6" w:space="0" w:color="auto"/>
              <w:right w:val="single" w:sz="4" w:space="0" w:color="auto"/>
            </w:tcBorders>
            <w:vAlign w:val="center"/>
          </w:tcPr>
          <w:p w:rsidR="00EB08EC" w:rsidRPr="00B8572F" w:rsidRDefault="00F02166" w:rsidP="00EB08EC">
            <w:pPr>
              <w:spacing w:before="120" w:after="120"/>
              <w:jc w:val="center"/>
              <w:rPr>
                <w:rFonts w:ascii="Arial" w:hAnsi="Arial" w:cs="Arial"/>
                <w:bCs/>
                <w:sz w:val="28"/>
                <w:szCs w:val="28"/>
              </w:rPr>
            </w:pPr>
            <w:r>
              <w:rPr>
                <w:rFonts w:ascii="Arial" w:hAnsi="Arial" w:cs="Arial"/>
                <w:b/>
                <w:sz w:val="28"/>
                <w:szCs w:val="28"/>
              </w:rPr>
              <w:t>28 September 2010</w:t>
            </w:r>
          </w:p>
        </w:tc>
      </w:tr>
      <w:tr w:rsidR="00EB08EC" w:rsidRPr="00B8572F">
        <w:tc>
          <w:tcPr>
            <w:tcW w:w="6492" w:type="dxa"/>
            <w:gridSpan w:val="2"/>
            <w:tcBorders>
              <w:top w:val="single" w:sz="4" w:space="0" w:color="auto"/>
              <w:left w:val="single" w:sz="4" w:space="0" w:color="auto"/>
              <w:bottom w:val="single" w:sz="6" w:space="0" w:color="auto"/>
              <w:right w:val="single" w:sz="6" w:space="0" w:color="auto"/>
            </w:tcBorders>
            <w:vAlign w:val="center"/>
          </w:tcPr>
          <w:p w:rsidR="00EB08EC" w:rsidRPr="00B8572F" w:rsidRDefault="00EB08EC" w:rsidP="00EB08EC">
            <w:pPr>
              <w:pStyle w:val="BodyText"/>
              <w:spacing w:before="120" w:after="120"/>
              <w:rPr>
                <w:rFonts w:ascii="Arial" w:hAnsi="Arial" w:cs="Arial"/>
                <w:i w:val="0"/>
                <w:sz w:val="28"/>
                <w:szCs w:val="28"/>
              </w:rPr>
            </w:pPr>
            <w:r w:rsidRPr="00B8572F">
              <w:rPr>
                <w:rFonts w:ascii="Arial" w:hAnsi="Arial" w:cs="Arial"/>
                <w:i w:val="0"/>
                <w:sz w:val="28"/>
                <w:szCs w:val="28"/>
              </w:rPr>
              <w:t>Published on NSFL</w:t>
            </w:r>
          </w:p>
        </w:tc>
        <w:tc>
          <w:tcPr>
            <w:tcW w:w="3192" w:type="dxa"/>
            <w:tcBorders>
              <w:top w:val="single" w:sz="4" w:space="0" w:color="auto"/>
              <w:left w:val="single" w:sz="6" w:space="0" w:color="auto"/>
              <w:bottom w:val="single" w:sz="6" w:space="0" w:color="auto"/>
              <w:right w:val="single" w:sz="4" w:space="0" w:color="auto"/>
            </w:tcBorders>
            <w:vAlign w:val="center"/>
          </w:tcPr>
          <w:p w:rsidR="00EB08EC" w:rsidRPr="00B8572F" w:rsidRDefault="007B3EDD" w:rsidP="00EB08EC">
            <w:pPr>
              <w:spacing w:before="120" w:after="120"/>
              <w:jc w:val="center"/>
              <w:rPr>
                <w:rFonts w:ascii="Arial" w:hAnsi="Arial" w:cs="Arial"/>
                <w:b/>
                <w:sz w:val="28"/>
                <w:szCs w:val="28"/>
              </w:rPr>
            </w:pPr>
            <w:r>
              <w:rPr>
                <w:rFonts w:ascii="Arial" w:hAnsi="Arial" w:cs="Arial"/>
                <w:b/>
                <w:sz w:val="28"/>
                <w:szCs w:val="28"/>
              </w:rPr>
              <w:t>September</w:t>
            </w:r>
            <w:r w:rsidR="002C2467">
              <w:rPr>
                <w:rFonts w:ascii="Arial" w:hAnsi="Arial" w:cs="Arial"/>
                <w:b/>
                <w:sz w:val="28"/>
                <w:szCs w:val="28"/>
              </w:rPr>
              <w:t xml:space="preserve"> 2010</w:t>
            </w:r>
          </w:p>
        </w:tc>
      </w:tr>
      <w:tr w:rsidR="00EB08EC" w:rsidRPr="00B8572F">
        <w:tc>
          <w:tcPr>
            <w:tcW w:w="6492" w:type="dxa"/>
            <w:gridSpan w:val="2"/>
            <w:tcBorders>
              <w:top w:val="single" w:sz="6" w:space="0" w:color="auto"/>
              <w:left w:val="single" w:sz="4" w:space="0" w:color="auto"/>
              <w:bottom w:val="single" w:sz="6" w:space="0" w:color="auto"/>
              <w:right w:val="single" w:sz="6" w:space="0" w:color="auto"/>
            </w:tcBorders>
            <w:vAlign w:val="center"/>
          </w:tcPr>
          <w:p w:rsidR="00EB08EC" w:rsidRPr="00B8572F" w:rsidRDefault="00EB08EC" w:rsidP="00EB08EC">
            <w:pPr>
              <w:pStyle w:val="BodyText"/>
              <w:spacing w:before="120" w:after="120"/>
              <w:jc w:val="left"/>
              <w:rPr>
                <w:rFonts w:ascii="Arial" w:hAnsi="Arial" w:cs="Arial"/>
                <w:i w:val="0"/>
              </w:rPr>
            </w:pPr>
            <w:r w:rsidRPr="00B8572F">
              <w:rPr>
                <w:rFonts w:ascii="Arial" w:hAnsi="Arial" w:cs="Arial"/>
                <w:i w:val="0"/>
                <w:sz w:val="28"/>
                <w:szCs w:val="28"/>
              </w:rPr>
              <w:t xml:space="preserve">Reviewed: </w:t>
            </w:r>
            <w:r w:rsidR="002C2467" w:rsidRPr="002C2467">
              <w:rPr>
                <w:rFonts w:ascii="Arial" w:hAnsi="Arial" w:cs="Arial"/>
                <w:b/>
                <w:i w:val="0"/>
                <w:sz w:val="22"/>
                <w:szCs w:val="22"/>
              </w:rPr>
              <w:t>General Medicine (2001) tier two service specification</w:t>
            </w:r>
            <w:r w:rsidR="002C2467">
              <w:rPr>
                <w:rFonts w:ascii="Arial" w:hAnsi="Arial" w:cs="Arial"/>
                <w:i w:val="0"/>
                <w:sz w:val="24"/>
                <w:szCs w:val="24"/>
              </w:rPr>
              <w:t>.</w:t>
            </w:r>
            <w:r w:rsidR="002C2467">
              <w:rPr>
                <w:rFonts w:ascii="Arial" w:hAnsi="Arial" w:cs="Arial"/>
                <w:i w:val="0"/>
                <w:sz w:val="28"/>
                <w:szCs w:val="28"/>
              </w:rPr>
              <w:t xml:space="preserve"> </w:t>
            </w:r>
            <w:r w:rsidRPr="00B8572F">
              <w:rPr>
                <w:rFonts w:ascii="Arial" w:hAnsi="Arial" w:cs="Arial"/>
                <w:i w:val="0"/>
              </w:rPr>
              <w:t>Amendments: Standard Māori health</w:t>
            </w:r>
            <w:r w:rsidR="00B8572F" w:rsidRPr="00B8572F">
              <w:rPr>
                <w:rFonts w:ascii="Arial" w:hAnsi="Arial" w:cs="Arial"/>
                <w:i w:val="0"/>
              </w:rPr>
              <w:t xml:space="preserve"> clause</w:t>
            </w:r>
            <w:r w:rsidRPr="00B8572F">
              <w:rPr>
                <w:rFonts w:ascii="Arial" w:hAnsi="Arial" w:cs="Arial"/>
                <w:i w:val="0"/>
              </w:rPr>
              <w:t>, headings entry and exit criteria, support services, service linkages table, quality requirements, updated purchase unit table and reporting requirements.  Added Specialist Assessment and purchase unit code M00010, deleted MS02004, MS02007, MS2014.</w:t>
            </w:r>
          </w:p>
        </w:tc>
        <w:tc>
          <w:tcPr>
            <w:tcW w:w="3192" w:type="dxa"/>
            <w:tcBorders>
              <w:top w:val="single" w:sz="6" w:space="0" w:color="auto"/>
              <w:left w:val="single" w:sz="6" w:space="0" w:color="auto"/>
              <w:bottom w:val="single" w:sz="6" w:space="0" w:color="auto"/>
              <w:right w:val="single" w:sz="4" w:space="0" w:color="auto"/>
            </w:tcBorders>
            <w:vAlign w:val="center"/>
          </w:tcPr>
          <w:p w:rsidR="00EB08EC" w:rsidRPr="00B8572F" w:rsidRDefault="0088299A" w:rsidP="00EB08EC">
            <w:pPr>
              <w:spacing w:before="120" w:after="120"/>
              <w:jc w:val="center"/>
              <w:rPr>
                <w:rFonts w:ascii="Arial" w:hAnsi="Arial" w:cs="Arial"/>
                <w:b/>
                <w:sz w:val="28"/>
                <w:szCs w:val="28"/>
              </w:rPr>
            </w:pPr>
            <w:r>
              <w:rPr>
                <w:rFonts w:ascii="Arial" w:hAnsi="Arial" w:cs="Arial"/>
                <w:b/>
                <w:sz w:val="28"/>
                <w:szCs w:val="28"/>
              </w:rPr>
              <w:t>August</w:t>
            </w:r>
            <w:r w:rsidR="00EB08EC" w:rsidRPr="00B8572F">
              <w:rPr>
                <w:rFonts w:ascii="Arial" w:hAnsi="Arial" w:cs="Arial"/>
                <w:b/>
                <w:sz w:val="28"/>
                <w:szCs w:val="28"/>
              </w:rPr>
              <w:t xml:space="preserve"> 20</w:t>
            </w:r>
            <w:r w:rsidR="00F43325">
              <w:rPr>
                <w:rFonts w:ascii="Arial" w:hAnsi="Arial" w:cs="Arial"/>
                <w:b/>
                <w:sz w:val="28"/>
                <w:szCs w:val="28"/>
              </w:rPr>
              <w:t>10</w:t>
            </w:r>
          </w:p>
        </w:tc>
      </w:tr>
      <w:tr w:rsidR="00610796" w:rsidRPr="00B8572F">
        <w:tc>
          <w:tcPr>
            <w:tcW w:w="6492" w:type="dxa"/>
            <w:gridSpan w:val="2"/>
            <w:tcBorders>
              <w:top w:val="single" w:sz="6" w:space="0" w:color="auto"/>
              <w:left w:val="single" w:sz="4" w:space="0" w:color="auto"/>
              <w:bottom w:val="single" w:sz="6" w:space="0" w:color="auto"/>
              <w:right w:val="single" w:sz="6" w:space="0" w:color="auto"/>
            </w:tcBorders>
            <w:vAlign w:val="center"/>
          </w:tcPr>
          <w:p w:rsidR="00610796" w:rsidRPr="00B8572F" w:rsidRDefault="00610796" w:rsidP="00065052">
            <w:pPr>
              <w:pStyle w:val="BodyText"/>
              <w:spacing w:before="120" w:after="120"/>
              <w:jc w:val="left"/>
              <w:rPr>
                <w:rFonts w:ascii="Arial" w:hAnsi="Arial" w:cs="Arial"/>
                <w:i w:val="0"/>
                <w:sz w:val="28"/>
                <w:szCs w:val="28"/>
              </w:rPr>
            </w:pPr>
            <w:r>
              <w:rPr>
                <w:rFonts w:ascii="Arial" w:hAnsi="Arial" w:cs="Arial"/>
                <w:i w:val="0"/>
                <w:sz w:val="28"/>
                <w:szCs w:val="28"/>
              </w:rPr>
              <w:t xml:space="preserve">Amendment: </w:t>
            </w:r>
            <w:r w:rsidRPr="00610796">
              <w:rPr>
                <w:rFonts w:ascii="Arial" w:hAnsi="Arial" w:cs="Arial"/>
                <w:i w:val="0"/>
                <w:sz w:val="22"/>
                <w:szCs w:val="22"/>
              </w:rPr>
              <w:t>Retired MS02010</w:t>
            </w:r>
            <w:r>
              <w:rPr>
                <w:rFonts w:ascii="Arial" w:hAnsi="Arial" w:cs="Arial"/>
                <w:i w:val="0"/>
                <w:sz w:val="22"/>
                <w:szCs w:val="22"/>
              </w:rPr>
              <w:t>, MS2011, M65006, M65007</w:t>
            </w:r>
            <w:r w:rsidR="00065052">
              <w:rPr>
                <w:rFonts w:ascii="Arial" w:hAnsi="Arial" w:cs="Arial"/>
                <w:i w:val="0"/>
                <w:sz w:val="22"/>
                <w:szCs w:val="22"/>
              </w:rPr>
              <w:t xml:space="preserve"> purchase units. </w:t>
            </w:r>
            <w:r>
              <w:rPr>
                <w:rFonts w:ascii="Arial" w:hAnsi="Arial" w:cs="Arial"/>
                <w:i w:val="0"/>
                <w:sz w:val="28"/>
                <w:szCs w:val="28"/>
              </w:rPr>
              <w:t xml:space="preserve"> </w:t>
            </w:r>
            <w:r w:rsidRPr="00610796">
              <w:rPr>
                <w:rFonts w:ascii="Arial" w:hAnsi="Arial" w:cs="Arial"/>
                <w:i w:val="0"/>
                <w:sz w:val="22"/>
                <w:szCs w:val="22"/>
              </w:rPr>
              <w:t>Added sleep apnoea purchase units</w:t>
            </w:r>
            <w:r>
              <w:rPr>
                <w:rFonts w:ascii="Arial" w:hAnsi="Arial" w:cs="Arial"/>
                <w:i w:val="0"/>
                <w:sz w:val="22"/>
                <w:szCs w:val="22"/>
              </w:rPr>
              <w:t xml:space="preserve"> MS02021, MS02022</w:t>
            </w:r>
            <w:r w:rsidR="00065052">
              <w:rPr>
                <w:rFonts w:ascii="Arial" w:hAnsi="Arial" w:cs="Arial"/>
                <w:i w:val="0"/>
                <w:sz w:val="22"/>
                <w:szCs w:val="22"/>
              </w:rPr>
              <w:t xml:space="preserve"> in line with PU Data Dictionary 18.1 changes.</w:t>
            </w:r>
          </w:p>
        </w:tc>
        <w:tc>
          <w:tcPr>
            <w:tcW w:w="3192" w:type="dxa"/>
            <w:tcBorders>
              <w:top w:val="single" w:sz="6" w:space="0" w:color="auto"/>
              <w:left w:val="single" w:sz="6" w:space="0" w:color="auto"/>
              <w:bottom w:val="single" w:sz="6" w:space="0" w:color="auto"/>
              <w:right w:val="single" w:sz="4" w:space="0" w:color="auto"/>
            </w:tcBorders>
            <w:vAlign w:val="center"/>
          </w:tcPr>
          <w:p w:rsidR="00610796" w:rsidRDefault="00610796" w:rsidP="00EB08EC">
            <w:pPr>
              <w:spacing w:before="120" w:after="120"/>
              <w:jc w:val="center"/>
              <w:rPr>
                <w:rFonts w:ascii="Arial" w:hAnsi="Arial" w:cs="Arial"/>
                <w:b/>
                <w:sz w:val="28"/>
                <w:szCs w:val="28"/>
              </w:rPr>
            </w:pPr>
            <w:r>
              <w:rPr>
                <w:rFonts w:ascii="Arial" w:hAnsi="Arial" w:cs="Arial"/>
                <w:b/>
                <w:sz w:val="28"/>
                <w:szCs w:val="28"/>
              </w:rPr>
              <w:t>September 2013</w:t>
            </w:r>
          </w:p>
        </w:tc>
      </w:tr>
      <w:tr w:rsidR="00753C90" w:rsidRPr="00B8572F">
        <w:tc>
          <w:tcPr>
            <w:tcW w:w="6492" w:type="dxa"/>
            <w:gridSpan w:val="2"/>
            <w:tcBorders>
              <w:top w:val="single" w:sz="6" w:space="0" w:color="auto"/>
              <w:left w:val="single" w:sz="4" w:space="0" w:color="auto"/>
              <w:bottom w:val="single" w:sz="6" w:space="0" w:color="auto"/>
              <w:right w:val="single" w:sz="6" w:space="0" w:color="auto"/>
            </w:tcBorders>
            <w:vAlign w:val="center"/>
          </w:tcPr>
          <w:p w:rsidR="00753C90" w:rsidRDefault="00753C90" w:rsidP="00065052">
            <w:pPr>
              <w:pStyle w:val="BodyText"/>
              <w:spacing w:before="120" w:after="120"/>
              <w:jc w:val="left"/>
              <w:rPr>
                <w:rFonts w:ascii="Arial" w:hAnsi="Arial" w:cs="Arial"/>
                <w:i w:val="0"/>
                <w:sz w:val="28"/>
                <w:szCs w:val="28"/>
              </w:rPr>
            </w:pPr>
            <w:r>
              <w:rPr>
                <w:rFonts w:ascii="Arial" w:hAnsi="Arial" w:cs="Arial"/>
                <w:i w:val="0"/>
                <w:sz w:val="28"/>
                <w:szCs w:val="28"/>
              </w:rPr>
              <w:t xml:space="preserve">Amendment: </w:t>
            </w:r>
            <w:r w:rsidRPr="00467D46">
              <w:rPr>
                <w:rFonts w:ascii="Arial" w:hAnsi="Arial" w:cs="Arial"/>
                <w:i w:val="0"/>
                <w:sz w:val="22"/>
                <w:szCs w:val="22"/>
              </w:rPr>
              <w:t>corrected Unit of Measure</w:t>
            </w:r>
            <w:r w:rsidRPr="00753C90">
              <w:rPr>
                <w:rFonts w:ascii="Arial" w:hAnsi="Arial" w:cs="Arial"/>
                <w:i w:val="0"/>
                <w:sz w:val="22"/>
                <w:szCs w:val="22"/>
              </w:rPr>
              <w:t xml:space="preserve"> </w:t>
            </w:r>
            <w:r>
              <w:rPr>
                <w:rFonts w:ascii="Arial" w:hAnsi="Arial" w:cs="Arial"/>
                <w:i w:val="0"/>
                <w:sz w:val="22"/>
                <w:szCs w:val="22"/>
              </w:rPr>
              <w:t xml:space="preserve">for </w:t>
            </w:r>
            <w:r w:rsidRPr="00753C90">
              <w:rPr>
                <w:rFonts w:ascii="Arial" w:hAnsi="Arial" w:cs="Arial"/>
                <w:i w:val="0"/>
                <w:sz w:val="22"/>
                <w:szCs w:val="22"/>
              </w:rPr>
              <w:t>sleep apnoea purchase units MS02021, MS02022. Changed from Attendance to Client.</w:t>
            </w:r>
          </w:p>
        </w:tc>
        <w:tc>
          <w:tcPr>
            <w:tcW w:w="3192" w:type="dxa"/>
            <w:tcBorders>
              <w:top w:val="single" w:sz="6" w:space="0" w:color="auto"/>
              <w:left w:val="single" w:sz="6" w:space="0" w:color="auto"/>
              <w:bottom w:val="single" w:sz="6" w:space="0" w:color="auto"/>
              <w:right w:val="single" w:sz="4" w:space="0" w:color="auto"/>
            </w:tcBorders>
            <w:vAlign w:val="center"/>
          </w:tcPr>
          <w:p w:rsidR="00753C90" w:rsidRDefault="00753C90" w:rsidP="00EB08EC">
            <w:pPr>
              <w:spacing w:before="120" w:after="120"/>
              <w:jc w:val="center"/>
              <w:rPr>
                <w:rFonts w:ascii="Arial" w:hAnsi="Arial" w:cs="Arial"/>
                <w:b/>
                <w:sz w:val="28"/>
                <w:szCs w:val="28"/>
              </w:rPr>
            </w:pPr>
            <w:r>
              <w:rPr>
                <w:rFonts w:ascii="Arial" w:hAnsi="Arial" w:cs="Arial"/>
                <w:b/>
                <w:sz w:val="28"/>
                <w:szCs w:val="28"/>
              </w:rPr>
              <w:t>January 2015</w:t>
            </w:r>
          </w:p>
        </w:tc>
      </w:tr>
      <w:tr w:rsidR="00EB08EC" w:rsidRPr="00B8572F">
        <w:tc>
          <w:tcPr>
            <w:tcW w:w="6492" w:type="dxa"/>
            <w:gridSpan w:val="2"/>
            <w:tcBorders>
              <w:top w:val="single" w:sz="6" w:space="0" w:color="auto"/>
              <w:left w:val="single" w:sz="4" w:space="0" w:color="auto"/>
              <w:bottom w:val="single" w:sz="6" w:space="0" w:color="auto"/>
              <w:right w:val="single" w:sz="6" w:space="0" w:color="auto"/>
            </w:tcBorders>
            <w:vAlign w:val="center"/>
          </w:tcPr>
          <w:p w:rsidR="00EB08EC" w:rsidRPr="00B8572F" w:rsidRDefault="00EB08EC" w:rsidP="00EB08EC">
            <w:pPr>
              <w:pStyle w:val="Heading5"/>
              <w:numPr>
                <w:ilvl w:val="0"/>
                <w:numId w:val="0"/>
              </w:numPr>
              <w:spacing w:before="120" w:after="120"/>
              <w:rPr>
                <w:rFonts w:cs="Arial"/>
                <w:sz w:val="28"/>
                <w:szCs w:val="28"/>
              </w:rPr>
            </w:pPr>
            <w:r w:rsidRPr="00B8572F">
              <w:rPr>
                <w:rFonts w:cs="Arial"/>
                <w:sz w:val="28"/>
                <w:szCs w:val="28"/>
                <w:lang w:val="en-NZ"/>
              </w:rPr>
              <w:t>Consideration for next Service Specification Review</w:t>
            </w:r>
          </w:p>
        </w:tc>
        <w:tc>
          <w:tcPr>
            <w:tcW w:w="3192" w:type="dxa"/>
            <w:tcBorders>
              <w:top w:val="single" w:sz="6" w:space="0" w:color="auto"/>
              <w:left w:val="single" w:sz="6" w:space="0" w:color="auto"/>
              <w:bottom w:val="single" w:sz="6" w:space="0" w:color="auto"/>
              <w:right w:val="single" w:sz="4" w:space="0" w:color="auto"/>
            </w:tcBorders>
            <w:vAlign w:val="center"/>
          </w:tcPr>
          <w:p w:rsidR="00EB08EC" w:rsidRPr="00B8572F" w:rsidRDefault="00EB08EC" w:rsidP="00EB08EC">
            <w:pPr>
              <w:spacing w:before="120" w:after="120"/>
              <w:jc w:val="center"/>
              <w:rPr>
                <w:rFonts w:ascii="Arial" w:hAnsi="Arial" w:cs="Arial"/>
                <w:b/>
                <w:sz w:val="28"/>
                <w:szCs w:val="28"/>
              </w:rPr>
            </w:pPr>
            <w:r w:rsidRPr="00B8572F">
              <w:rPr>
                <w:rFonts w:ascii="Arial" w:hAnsi="Arial" w:cs="Arial"/>
                <w:b/>
                <w:sz w:val="28"/>
                <w:szCs w:val="28"/>
              </w:rPr>
              <w:t xml:space="preserve">within </w:t>
            </w:r>
            <w:r w:rsidR="007B3EDD">
              <w:rPr>
                <w:rFonts w:ascii="Arial" w:hAnsi="Arial" w:cs="Arial"/>
                <w:b/>
                <w:sz w:val="28"/>
                <w:szCs w:val="28"/>
              </w:rPr>
              <w:t>five</w:t>
            </w:r>
            <w:r w:rsidRPr="00B8572F">
              <w:rPr>
                <w:rFonts w:ascii="Arial" w:hAnsi="Arial" w:cs="Arial"/>
                <w:b/>
                <w:sz w:val="28"/>
                <w:szCs w:val="28"/>
              </w:rPr>
              <w:t xml:space="preserve"> years</w:t>
            </w:r>
          </w:p>
        </w:tc>
      </w:tr>
    </w:tbl>
    <w:p w:rsidR="002C2467" w:rsidRDefault="00EB08EC" w:rsidP="00F43325">
      <w:pPr>
        <w:spacing w:before="120"/>
        <w:jc w:val="left"/>
        <w:rPr>
          <w:rFonts w:ascii="Arial" w:hAnsi="Arial" w:cs="Arial"/>
          <w:lang w:val="en-US" w:eastAsia="en-NZ"/>
        </w:rPr>
      </w:pPr>
      <w:r w:rsidRPr="00B8572F">
        <w:rPr>
          <w:rFonts w:ascii="Arial" w:hAnsi="Arial" w:cs="Arial"/>
          <w:b/>
          <w:lang w:val="en-US" w:eastAsia="en-NZ"/>
        </w:rPr>
        <w:t>Note:</w:t>
      </w:r>
      <w:r w:rsidRPr="00B8572F">
        <w:rPr>
          <w:rFonts w:ascii="Arial" w:hAnsi="Arial" w:cs="Arial"/>
          <w:lang w:val="en-US" w:eastAsia="en-NZ"/>
        </w:rPr>
        <w:t xml:space="preserve"> Contact the Service Specification </w:t>
      </w:r>
      <w:proofErr w:type="spellStart"/>
      <w:r w:rsidRPr="00B8572F">
        <w:rPr>
          <w:rFonts w:ascii="Arial" w:hAnsi="Arial" w:cs="Arial"/>
          <w:lang w:val="en-US" w:eastAsia="en-NZ"/>
        </w:rPr>
        <w:t>Programme</w:t>
      </w:r>
      <w:proofErr w:type="spellEnd"/>
      <w:r w:rsidRPr="00B8572F">
        <w:rPr>
          <w:rFonts w:ascii="Arial" w:hAnsi="Arial" w:cs="Arial"/>
          <w:lang w:val="en-US" w:eastAsia="en-NZ"/>
        </w:rPr>
        <w:t xml:space="preserve"> Manager, </w:t>
      </w:r>
      <w:r w:rsidR="00262F64" w:rsidRPr="00B8572F">
        <w:rPr>
          <w:rFonts w:ascii="Arial" w:hAnsi="Arial" w:cs="Arial"/>
          <w:lang w:val="en-US" w:eastAsia="en-NZ"/>
        </w:rPr>
        <w:t>National Health Board Business Unit</w:t>
      </w:r>
      <w:r w:rsidR="00753C90">
        <w:rPr>
          <w:rFonts w:ascii="Arial" w:hAnsi="Arial" w:cs="Arial"/>
          <w:lang w:val="en-US" w:eastAsia="en-NZ"/>
        </w:rPr>
        <w:t>,</w:t>
      </w:r>
      <w:r w:rsidRPr="00B8572F">
        <w:rPr>
          <w:rFonts w:ascii="Arial" w:hAnsi="Arial" w:cs="Arial"/>
          <w:lang w:val="en-US" w:eastAsia="en-NZ"/>
        </w:rPr>
        <w:t xml:space="preserve"> Ministry of Health</w:t>
      </w:r>
      <w:r w:rsidR="00753C90">
        <w:rPr>
          <w:rFonts w:ascii="Arial" w:hAnsi="Arial" w:cs="Arial"/>
          <w:lang w:val="en-US" w:eastAsia="en-NZ"/>
        </w:rPr>
        <w:t>,</w:t>
      </w:r>
      <w:r w:rsidRPr="00B8572F">
        <w:rPr>
          <w:rFonts w:ascii="Arial" w:hAnsi="Arial" w:cs="Arial"/>
          <w:lang w:val="en-US" w:eastAsia="en-NZ"/>
        </w:rPr>
        <w:t xml:space="preserve"> to discuss the process and guidance available in developing new or updating and revising existing service specifications. </w:t>
      </w:r>
      <w:r w:rsidR="00B8572F" w:rsidRPr="00B8572F">
        <w:rPr>
          <w:rFonts w:ascii="Arial" w:hAnsi="Arial" w:cs="Arial"/>
          <w:lang w:val="en-US" w:eastAsia="en-NZ"/>
        </w:rPr>
        <w:t xml:space="preserve"> </w:t>
      </w:r>
    </w:p>
    <w:p w:rsidR="000D1E07" w:rsidRPr="00B8572F" w:rsidRDefault="00EB08EC" w:rsidP="00F43325">
      <w:pPr>
        <w:spacing w:before="120"/>
        <w:jc w:val="left"/>
        <w:rPr>
          <w:rFonts w:ascii="Arial" w:hAnsi="Arial" w:cs="Arial"/>
          <w:lang w:val="en-US" w:eastAsia="en-NZ"/>
        </w:rPr>
      </w:pPr>
      <w:r w:rsidRPr="00B8572F">
        <w:rPr>
          <w:rFonts w:ascii="Arial" w:hAnsi="Arial" w:cs="Arial"/>
          <w:lang w:val="en-US" w:eastAsia="en-NZ"/>
        </w:rPr>
        <w:t>Nationwide Service Framework Library: http://www.nsfl.health.govt.nz/</w:t>
      </w:r>
      <w:r w:rsidR="000D1E07" w:rsidRPr="00B8572F">
        <w:rPr>
          <w:rFonts w:ascii="Arial" w:hAnsi="Arial" w:cs="Arial"/>
          <w:lang w:val="en-US" w:eastAsia="en-NZ"/>
        </w:rPr>
        <w:t>.</w:t>
      </w:r>
    </w:p>
    <w:p w:rsidR="00437657" w:rsidRPr="00B8572F" w:rsidRDefault="000D1E07" w:rsidP="00437657">
      <w:pPr>
        <w:pStyle w:val="Title"/>
        <w:pBdr>
          <w:top w:val="single" w:sz="6" w:space="1" w:color="auto"/>
          <w:left w:val="single" w:sz="6" w:space="4" w:color="auto"/>
          <w:bottom w:val="single" w:sz="6" w:space="1" w:color="auto"/>
          <w:right w:val="single" w:sz="6" w:space="4" w:color="auto"/>
        </w:pBdr>
        <w:rPr>
          <w:rFonts w:ascii="Arial" w:hAnsi="Arial" w:cs="Arial"/>
          <w:sz w:val="24"/>
          <w:szCs w:val="24"/>
        </w:rPr>
      </w:pPr>
      <w:r w:rsidRPr="00B8572F">
        <w:rPr>
          <w:rFonts w:ascii="Arial" w:hAnsi="Arial" w:cs="Arial"/>
          <w:lang w:eastAsia="en-NZ"/>
        </w:rPr>
        <w:br w:type="page"/>
      </w:r>
      <w:r w:rsidR="00437657" w:rsidRPr="00B8572F">
        <w:rPr>
          <w:rFonts w:ascii="Arial" w:hAnsi="Arial" w:cs="Arial"/>
          <w:sz w:val="24"/>
          <w:szCs w:val="24"/>
        </w:rPr>
        <w:lastRenderedPageBreak/>
        <w:t xml:space="preserve">SPECIALIST MEDICAL </w:t>
      </w:r>
      <w:r w:rsidR="009E691C">
        <w:rPr>
          <w:rFonts w:ascii="Arial" w:hAnsi="Arial" w:cs="Arial"/>
          <w:sz w:val="24"/>
          <w:szCs w:val="24"/>
        </w:rPr>
        <w:t xml:space="preserve">AND SURGICAL </w:t>
      </w:r>
      <w:r w:rsidR="00437657" w:rsidRPr="00B8572F">
        <w:rPr>
          <w:rFonts w:ascii="Arial" w:hAnsi="Arial" w:cs="Arial"/>
          <w:sz w:val="24"/>
          <w:szCs w:val="24"/>
        </w:rPr>
        <w:t>SERVICES</w:t>
      </w:r>
      <w:r w:rsidR="00F43325">
        <w:rPr>
          <w:rFonts w:ascii="Arial" w:hAnsi="Arial" w:cs="Arial"/>
          <w:sz w:val="24"/>
          <w:szCs w:val="24"/>
        </w:rPr>
        <w:t xml:space="preserve"> -</w:t>
      </w:r>
    </w:p>
    <w:p w:rsidR="00EB08EC" w:rsidRPr="00B8572F" w:rsidRDefault="00EB08EC" w:rsidP="00437657">
      <w:pPr>
        <w:pBdr>
          <w:top w:val="single" w:sz="6" w:space="1" w:color="auto"/>
          <w:left w:val="single" w:sz="6" w:space="4" w:color="auto"/>
          <w:bottom w:val="single" w:sz="6" w:space="1" w:color="auto"/>
          <w:right w:val="single" w:sz="6" w:space="4" w:color="auto"/>
        </w:pBdr>
        <w:jc w:val="center"/>
        <w:rPr>
          <w:rFonts w:ascii="Arial" w:hAnsi="Arial" w:cs="Arial"/>
          <w:b/>
        </w:rPr>
      </w:pPr>
      <w:r w:rsidRPr="00B8572F">
        <w:rPr>
          <w:rFonts w:ascii="Arial" w:hAnsi="Arial" w:cs="Arial"/>
          <w:b/>
        </w:rPr>
        <w:t>GENERAL MEDICINE</w:t>
      </w:r>
      <w:r w:rsidR="00F62095" w:rsidRPr="00B8572F">
        <w:rPr>
          <w:rFonts w:ascii="Arial" w:hAnsi="Arial" w:cs="Arial"/>
          <w:b/>
        </w:rPr>
        <w:t xml:space="preserve"> SERVICE</w:t>
      </w:r>
    </w:p>
    <w:p w:rsidR="00EB08EC" w:rsidRPr="00B8572F" w:rsidRDefault="00EB08EC" w:rsidP="00437657">
      <w:pPr>
        <w:pStyle w:val="Title"/>
        <w:pBdr>
          <w:top w:val="single" w:sz="6" w:space="1" w:color="auto"/>
          <w:left w:val="single" w:sz="6" w:space="4" w:color="auto"/>
          <w:bottom w:val="single" w:sz="6" w:space="1" w:color="auto"/>
          <w:right w:val="single" w:sz="6" w:space="4" w:color="auto"/>
        </w:pBdr>
        <w:rPr>
          <w:rFonts w:ascii="Arial" w:hAnsi="Arial" w:cs="Arial"/>
          <w:sz w:val="24"/>
          <w:szCs w:val="24"/>
        </w:rPr>
      </w:pPr>
      <w:smartTag w:uri="urn:schemas-microsoft-com:office:smarttags" w:element="stockticker">
        <w:r w:rsidRPr="00B8572F">
          <w:rPr>
            <w:rFonts w:ascii="Arial" w:hAnsi="Arial" w:cs="Arial"/>
            <w:sz w:val="24"/>
            <w:szCs w:val="24"/>
          </w:rPr>
          <w:t>TIER</w:t>
        </w:r>
      </w:smartTag>
      <w:r w:rsidRPr="00B8572F">
        <w:rPr>
          <w:rFonts w:ascii="Arial" w:hAnsi="Arial" w:cs="Arial"/>
          <w:sz w:val="24"/>
          <w:szCs w:val="24"/>
        </w:rPr>
        <w:t xml:space="preserve"> LEVEL TWO</w:t>
      </w:r>
    </w:p>
    <w:p w:rsidR="00EB08EC" w:rsidRPr="00B8572F" w:rsidRDefault="00EB08EC" w:rsidP="00437657">
      <w:pPr>
        <w:pStyle w:val="Title"/>
        <w:pBdr>
          <w:top w:val="single" w:sz="6" w:space="1" w:color="auto"/>
          <w:left w:val="single" w:sz="6" w:space="4" w:color="auto"/>
          <w:bottom w:val="single" w:sz="6" w:space="1" w:color="auto"/>
          <w:right w:val="single" w:sz="6" w:space="4" w:color="auto"/>
        </w:pBdr>
        <w:rPr>
          <w:rFonts w:ascii="Arial" w:hAnsi="Arial" w:cs="Arial"/>
          <w:sz w:val="24"/>
          <w:szCs w:val="24"/>
        </w:rPr>
      </w:pPr>
      <w:r w:rsidRPr="00B8572F">
        <w:rPr>
          <w:rFonts w:ascii="Arial" w:hAnsi="Arial" w:cs="Arial"/>
          <w:sz w:val="24"/>
          <w:szCs w:val="24"/>
        </w:rPr>
        <w:t>SERVICE SPECIFICATION</w:t>
      </w:r>
    </w:p>
    <w:p w:rsidR="00EB08EC" w:rsidRPr="00B8572F" w:rsidRDefault="00EB08EC" w:rsidP="00B8572F">
      <w:pPr>
        <w:pStyle w:val="BodyText2"/>
        <w:spacing w:before="120"/>
        <w:jc w:val="left"/>
        <w:rPr>
          <w:rFonts w:ascii="Arial" w:hAnsi="Arial" w:cs="Arial"/>
          <w:b w:val="0"/>
          <w:i w:val="0"/>
          <w:szCs w:val="24"/>
          <w:lang w:val="en-US"/>
        </w:rPr>
      </w:pPr>
      <w:r w:rsidRPr="00B8572F">
        <w:rPr>
          <w:rFonts w:ascii="Arial" w:hAnsi="Arial" w:cs="Arial"/>
          <w:b w:val="0"/>
          <w:i w:val="0"/>
          <w:szCs w:val="24"/>
          <w:lang w:val="en-NZ"/>
        </w:rPr>
        <w:t xml:space="preserve">This tier two service specification for </w:t>
      </w:r>
      <w:r w:rsidR="00437657">
        <w:rPr>
          <w:rFonts w:ascii="Arial" w:hAnsi="Arial" w:cs="Arial"/>
          <w:b w:val="0"/>
          <w:i w:val="0"/>
          <w:szCs w:val="24"/>
          <w:lang w:val="en-NZ"/>
        </w:rPr>
        <w:t xml:space="preserve">Specialist Medical </w:t>
      </w:r>
      <w:r w:rsidR="009E691C">
        <w:rPr>
          <w:rFonts w:ascii="Arial" w:hAnsi="Arial" w:cs="Arial"/>
          <w:b w:val="0"/>
          <w:i w:val="0"/>
          <w:szCs w:val="24"/>
          <w:lang w:val="en-NZ"/>
        </w:rPr>
        <w:t xml:space="preserve">and Surgical </w:t>
      </w:r>
      <w:r w:rsidR="00437657">
        <w:rPr>
          <w:rFonts w:ascii="Arial" w:hAnsi="Arial" w:cs="Arial"/>
          <w:b w:val="0"/>
          <w:i w:val="0"/>
          <w:szCs w:val="24"/>
          <w:lang w:val="en-NZ"/>
        </w:rPr>
        <w:t xml:space="preserve">Services - </w:t>
      </w:r>
      <w:r w:rsidRPr="00B8572F">
        <w:rPr>
          <w:rFonts w:ascii="Arial" w:hAnsi="Arial" w:cs="Arial"/>
          <w:b w:val="0"/>
          <w:i w:val="0"/>
          <w:szCs w:val="24"/>
          <w:lang w:val="en-NZ"/>
        </w:rPr>
        <w:t xml:space="preserve">General Medicine </w:t>
      </w:r>
      <w:r w:rsidR="00F62095" w:rsidRPr="00B8572F">
        <w:rPr>
          <w:rFonts w:ascii="Arial" w:hAnsi="Arial" w:cs="Arial"/>
          <w:b w:val="0"/>
          <w:i w:val="0"/>
          <w:szCs w:val="24"/>
          <w:lang w:val="en-NZ"/>
        </w:rPr>
        <w:t xml:space="preserve">Service </w:t>
      </w:r>
      <w:r w:rsidRPr="00B8572F">
        <w:rPr>
          <w:rFonts w:ascii="Arial" w:hAnsi="Arial" w:cs="Arial"/>
          <w:b w:val="0"/>
          <w:i w:val="0"/>
          <w:szCs w:val="24"/>
          <w:lang w:val="en-NZ"/>
        </w:rPr>
        <w:t>(the Service) must be used in conjunction with the overarching tier one Specialist Medical and Surgical Services service specification</w:t>
      </w:r>
      <w:r w:rsidR="00437657">
        <w:rPr>
          <w:rFonts w:ascii="Arial" w:hAnsi="Arial" w:cs="Arial"/>
          <w:b w:val="0"/>
          <w:i w:val="0"/>
          <w:szCs w:val="24"/>
          <w:lang w:val="en-NZ"/>
        </w:rPr>
        <w:t xml:space="preserve"> and is linked to the tier one </w:t>
      </w:r>
      <w:r w:rsidR="00437657" w:rsidRPr="00437657">
        <w:rPr>
          <w:rFonts w:ascii="Arial" w:hAnsi="Arial" w:cs="Arial"/>
          <w:b w:val="0"/>
          <w:i w:val="0"/>
          <w:lang w:val="en-US"/>
        </w:rPr>
        <w:t>Services for Children and Young People service specifications</w:t>
      </w:r>
      <w:r w:rsidRPr="00437657">
        <w:rPr>
          <w:rFonts w:ascii="Arial" w:hAnsi="Arial" w:cs="Arial"/>
          <w:b w:val="0"/>
          <w:i w:val="0"/>
          <w:szCs w:val="24"/>
          <w:lang w:val="en-NZ"/>
        </w:rPr>
        <w:t xml:space="preserve">. </w:t>
      </w:r>
      <w:r w:rsidRPr="00B8572F">
        <w:rPr>
          <w:rFonts w:ascii="Arial" w:hAnsi="Arial" w:cs="Arial"/>
          <w:b w:val="0"/>
          <w:i w:val="0"/>
          <w:szCs w:val="24"/>
          <w:lang w:val="en-NZ"/>
        </w:rPr>
        <w:t xml:space="preserve"> </w:t>
      </w:r>
      <w:r w:rsidRPr="00B8572F">
        <w:rPr>
          <w:rFonts w:ascii="Arial" w:hAnsi="Arial" w:cs="Arial"/>
          <w:b w:val="0"/>
          <w:i w:val="0"/>
          <w:szCs w:val="24"/>
          <w:lang w:val="en-US"/>
        </w:rPr>
        <w:t xml:space="preserve">Refer to the tier one </w:t>
      </w:r>
      <w:r w:rsidR="004255F0" w:rsidRPr="00B8572F">
        <w:rPr>
          <w:rFonts w:ascii="Arial" w:hAnsi="Arial" w:cs="Arial"/>
          <w:b w:val="0"/>
          <w:i w:val="0"/>
          <w:szCs w:val="24"/>
          <w:lang w:val="en-NZ"/>
        </w:rPr>
        <w:t>service specification</w:t>
      </w:r>
      <w:r w:rsidRPr="00B8572F">
        <w:rPr>
          <w:rFonts w:ascii="Arial" w:hAnsi="Arial" w:cs="Arial"/>
          <w:b w:val="0"/>
          <w:i w:val="0"/>
          <w:szCs w:val="24"/>
          <w:lang w:val="en-US"/>
        </w:rPr>
        <w:t xml:space="preserve"> headings for generic details on:</w:t>
      </w:r>
    </w:p>
    <w:p w:rsidR="00EB08EC" w:rsidRPr="00B8572F" w:rsidRDefault="00EB08EC" w:rsidP="00EB08EC">
      <w:pPr>
        <w:numPr>
          <w:ilvl w:val="0"/>
          <w:numId w:val="6"/>
        </w:numPr>
        <w:tabs>
          <w:tab w:val="clear" w:pos="720"/>
        </w:tabs>
        <w:spacing w:before="60"/>
        <w:ind w:left="57" w:firstLine="0"/>
        <w:jc w:val="left"/>
        <w:rPr>
          <w:rFonts w:ascii="Arial" w:hAnsi="Arial" w:cs="Arial"/>
          <w:lang w:val="en-US"/>
        </w:rPr>
      </w:pPr>
      <w:r w:rsidRPr="00B8572F">
        <w:rPr>
          <w:rFonts w:ascii="Arial" w:hAnsi="Arial" w:cs="Arial"/>
          <w:lang w:val="en-US"/>
        </w:rPr>
        <w:t>Service Objectives</w:t>
      </w:r>
    </w:p>
    <w:p w:rsidR="00EB08EC" w:rsidRPr="00B8572F" w:rsidRDefault="00EB08EC" w:rsidP="00EB08EC">
      <w:pPr>
        <w:numPr>
          <w:ilvl w:val="0"/>
          <w:numId w:val="6"/>
        </w:numPr>
        <w:tabs>
          <w:tab w:val="clear" w:pos="720"/>
        </w:tabs>
        <w:spacing w:before="60"/>
        <w:ind w:left="57" w:firstLine="0"/>
        <w:jc w:val="left"/>
        <w:rPr>
          <w:rFonts w:ascii="Arial" w:hAnsi="Arial" w:cs="Arial"/>
          <w:lang w:val="en-US"/>
        </w:rPr>
      </w:pPr>
      <w:r w:rsidRPr="00B8572F">
        <w:rPr>
          <w:rFonts w:ascii="Arial" w:hAnsi="Arial" w:cs="Arial"/>
          <w:lang w:val="en-US"/>
        </w:rPr>
        <w:t>Service Users</w:t>
      </w:r>
    </w:p>
    <w:p w:rsidR="00EB08EC" w:rsidRPr="00B8572F" w:rsidRDefault="00EB08EC" w:rsidP="00EB08EC">
      <w:pPr>
        <w:numPr>
          <w:ilvl w:val="0"/>
          <w:numId w:val="6"/>
        </w:numPr>
        <w:tabs>
          <w:tab w:val="clear" w:pos="720"/>
        </w:tabs>
        <w:spacing w:before="60"/>
        <w:ind w:left="57" w:firstLine="0"/>
        <w:jc w:val="left"/>
        <w:rPr>
          <w:rFonts w:ascii="Arial" w:hAnsi="Arial" w:cs="Arial"/>
          <w:lang w:val="en-US"/>
        </w:rPr>
      </w:pPr>
      <w:r w:rsidRPr="00B8572F">
        <w:rPr>
          <w:rFonts w:ascii="Arial" w:hAnsi="Arial" w:cs="Arial"/>
          <w:lang w:val="en-US"/>
        </w:rPr>
        <w:t xml:space="preserve">Access </w:t>
      </w:r>
    </w:p>
    <w:p w:rsidR="00EB08EC" w:rsidRPr="00B8572F" w:rsidRDefault="00EB08EC" w:rsidP="00EB08EC">
      <w:pPr>
        <w:numPr>
          <w:ilvl w:val="0"/>
          <w:numId w:val="6"/>
        </w:numPr>
        <w:tabs>
          <w:tab w:val="clear" w:pos="720"/>
        </w:tabs>
        <w:spacing w:before="60"/>
        <w:ind w:left="57" w:firstLine="0"/>
        <w:jc w:val="left"/>
        <w:rPr>
          <w:rFonts w:ascii="Arial" w:hAnsi="Arial" w:cs="Arial"/>
          <w:lang w:val="en-US"/>
        </w:rPr>
      </w:pPr>
      <w:r w:rsidRPr="00B8572F">
        <w:rPr>
          <w:rFonts w:ascii="Arial" w:hAnsi="Arial" w:cs="Arial"/>
          <w:lang w:val="en-US"/>
        </w:rPr>
        <w:t xml:space="preserve">Service Components </w:t>
      </w:r>
    </w:p>
    <w:p w:rsidR="00EB08EC" w:rsidRPr="00B8572F" w:rsidRDefault="00EB08EC" w:rsidP="00EB08EC">
      <w:pPr>
        <w:numPr>
          <w:ilvl w:val="0"/>
          <w:numId w:val="6"/>
        </w:numPr>
        <w:tabs>
          <w:tab w:val="clear" w:pos="720"/>
        </w:tabs>
        <w:spacing w:before="60"/>
        <w:ind w:left="57" w:firstLine="0"/>
        <w:jc w:val="left"/>
        <w:rPr>
          <w:rFonts w:ascii="Arial" w:hAnsi="Arial" w:cs="Arial"/>
        </w:rPr>
      </w:pPr>
      <w:r w:rsidRPr="00B8572F">
        <w:rPr>
          <w:rFonts w:ascii="Arial" w:hAnsi="Arial" w:cs="Arial"/>
        </w:rPr>
        <w:t xml:space="preserve">Service Linkages </w:t>
      </w:r>
    </w:p>
    <w:p w:rsidR="00EB08EC" w:rsidRPr="00B8572F" w:rsidRDefault="00EB08EC" w:rsidP="00EB08EC">
      <w:pPr>
        <w:numPr>
          <w:ilvl w:val="0"/>
          <w:numId w:val="6"/>
        </w:numPr>
        <w:tabs>
          <w:tab w:val="clear" w:pos="720"/>
        </w:tabs>
        <w:spacing w:before="60"/>
        <w:ind w:left="57" w:firstLine="0"/>
        <w:jc w:val="left"/>
        <w:rPr>
          <w:rFonts w:ascii="Arial" w:hAnsi="Arial" w:cs="Arial"/>
        </w:rPr>
      </w:pPr>
      <w:r w:rsidRPr="00B8572F">
        <w:rPr>
          <w:rFonts w:ascii="Arial" w:hAnsi="Arial" w:cs="Arial"/>
        </w:rPr>
        <w:t>Exclusions</w:t>
      </w:r>
    </w:p>
    <w:p w:rsidR="00EB08EC" w:rsidRPr="00B8572F" w:rsidRDefault="00EB08EC" w:rsidP="00EB08EC">
      <w:pPr>
        <w:numPr>
          <w:ilvl w:val="0"/>
          <w:numId w:val="6"/>
        </w:numPr>
        <w:tabs>
          <w:tab w:val="clear" w:pos="720"/>
        </w:tabs>
        <w:spacing w:before="60"/>
        <w:ind w:left="57" w:firstLine="0"/>
        <w:jc w:val="left"/>
        <w:rPr>
          <w:rFonts w:ascii="Arial" w:hAnsi="Arial" w:cs="Arial"/>
        </w:rPr>
      </w:pPr>
      <w:r w:rsidRPr="00B8572F">
        <w:rPr>
          <w:rFonts w:ascii="Arial" w:hAnsi="Arial" w:cs="Arial"/>
        </w:rPr>
        <w:t>Quality Requirements</w:t>
      </w:r>
    </w:p>
    <w:p w:rsidR="00EB08EC" w:rsidRPr="00B8572F" w:rsidRDefault="00EB08EC" w:rsidP="00EB08EC">
      <w:pPr>
        <w:numPr>
          <w:ilvl w:val="0"/>
          <w:numId w:val="6"/>
        </w:numPr>
        <w:tabs>
          <w:tab w:val="clear" w:pos="720"/>
        </w:tabs>
        <w:spacing w:before="60"/>
        <w:ind w:left="57" w:firstLine="0"/>
        <w:jc w:val="left"/>
        <w:rPr>
          <w:rFonts w:ascii="Arial" w:hAnsi="Arial" w:cs="Arial"/>
          <w:lang w:val="en-US"/>
        </w:rPr>
      </w:pPr>
      <w:r w:rsidRPr="00B8572F">
        <w:rPr>
          <w:rFonts w:ascii="Arial" w:hAnsi="Arial" w:cs="Arial"/>
          <w:lang w:val="en-US"/>
        </w:rPr>
        <w:t>Elective Services</w:t>
      </w:r>
    </w:p>
    <w:p w:rsidR="00EB08EC" w:rsidRPr="00B8572F" w:rsidRDefault="00EB08EC" w:rsidP="00EB08EC">
      <w:pPr>
        <w:spacing w:before="120"/>
        <w:rPr>
          <w:rFonts w:ascii="Arial" w:hAnsi="Arial" w:cs="Arial"/>
          <w:lang w:val="en-US"/>
        </w:rPr>
      </w:pPr>
      <w:r w:rsidRPr="00B8572F">
        <w:rPr>
          <w:rFonts w:ascii="Arial" w:hAnsi="Arial" w:cs="Arial"/>
          <w:lang w:val="en-US"/>
        </w:rPr>
        <w:t xml:space="preserve">The above sections are applicable to </w:t>
      </w:r>
      <w:r w:rsidRPr="00B8572F">
        <w:rPr>
          <w:rFonts w:ascii="Arial" w:hAnsi="Arial" w:cs="Arial"/>
          <w:b/>
          <w:lang w:val="en-US"/>
        </w:rPr>
        <w:t>all</w:t>
      </w:r>
      <w:r w:rsidRPr="00B8572F">
        <w:rPr>
          <w:rFonts w:ascii="Arial" w:hAnsi="Arial" w:cs="Arial"/>
          <w:lang w:val="en-US"/>
        </w:rPr>
        <w:t xml:space="preserve"> service delivery. </w:t>
      </w:r>
    </w:p>
    <w:p w:rsidR="00EB08EC" w:rsidRPr="00B8572F" w:rsidRDefault="00EB08EC" w:rsidP="00EB08EC">
      <w:pPr>
        <w:pStyle w:val="Heading1"/>
        <w:spacing w:after="120"/>
        <w:rPr>
          <w:rFonts w:cs="Arial"/>
          <w:sz w:val="24"/>
          <w:szCs w:val="24"/>
        </w:rPr>
      </w:pPr>
      <w:r w:rsidRPr="00B8572F">
        <w:rPr>
          <w:rFonts w:cs="Arial"/>
          <w:sz w:val="24"/>
          <w:szCs w:val="24"/>
        </w:rPr>
        <w:t>Service Definition</w:t>
      </w:r>
    </w:p>
    <w:p w:rsidR="00EB08EC" w:rsidRPr="00B8572F" w:rsidRDefault="00EB08EC" w:rsidP="00EB08EC">
      <w:pPr>
        <w:pStyle w:val="BlockText"/>
        <w:spacing w:before="120"/>
        <w:ind w:left="0" w:right="318"/>
        <w:jc w:val="left"/>
        <w:rPr>
          <w:rFonts w:ascii="Arial" w:hAnsi="Arial" w:cs="Arial"/>
          <w:szCs w:val="24"/>
        </w:rPr>
      </w:pPr>
      <w:r w:rsidRPr="00B8572F">
        <w:rPr>
          <w:rFonts w:ascii="Arial" w:hAnsi="Arial" w:cs="Arial"/>
          <w:szCs w:val="24"/>
        </w:rPr>
        <w:t xml:space="preserve">General Medicine involves the management of all common medical disorders, including medical detoxification.  Secondary general medical services comprise services provided by consultant physicians for diagnosis, assessment, treatment, management and appropriate referral for acute, sub-acute and chronic medical conditions.  </w:t>
      </w:r>
    </w:p>
    <w:p w:rsidR="00EB08EC" w:rsidRPr="00B8572F" w:rsidRDefault="00EB08EC" w:rsidP="00EB08EC">
      <w:pPr>
        <w:pStyle w:val="BlockText"/>
        <w:spacing w:before="120"/>
        <w:ind w:left="0"/>
        <w:jc w:val="left"/>
        <w:rPr>
          <w:rFonts w:ascii="Arial" w:hAnsi="Arial" w:cs="Arial"/>
          <w:szCs w:val="24"/>
        </w:rPr>
      </w:pPr>
      <w:r w:rsidRPr="00B8572F">
        <w:rPr>
          <w:rFonts w:ascii="Arial" w:hAnsi="Arial" w:cs="Arial"/>
          <w:szCs w:val="24"/>
        </w:rPr>
        <w:t>Secondary general medicine covers a wide range of acute, sub-acute and chronic illnesses and multi-system disorders.  Rare, complex or severely acute illnesses and disorders requiring additional technical expertise or specialist knowledge will either require advice from, or referral to specialists at a tertiary facility.</w:t>
      </w:r>
    </w:p>
    <w:p w:rsidR="00EB08EC" w:rsidRPr="00B8572F" w:rsidRDefault="00EB08EC" w:rsidP="00EB08EC">
      <w:pPr>
        <w:pStyle w:val="BodyTextIndent3"/>
        <w:spacing w:before="120"/>
        <w:ind w:left="0"/>
        <w:jc w:val="left"/>
        <w:rPr>
          <w:rFonts w:ascii="Arial" w:hAnsi="Arial" w:cs="Arial"/>
          <w:szCs w:val="24"/>
        </w:rPr>
      </w:pPr>
      <w:r w:rsidRPr="00B8572F">
        <w:rPr>
          <w:rFonts w:ascii="Arial" w:hAnsi="Arial" w:cs="Arial"/>
          <w:szCs w:val="24"/>
        </w:rPr>
        <w:t>The Service provides assessment, investigation, diagnosis, treatment and care for patients with acute and general medical problems appropriately managed by a general physician on an inpatient or outpatient basis.</w:t>
      </w:r>
    </w:p>
    <w:p w:rsidR="00EB08EC" w:rsidRPr="00B8572F" w:rsidRDefault="00EB08EC" w:rsidP="00EB08EC">
      <w:pPr>
        <w:pStyle w:val="BodyTextIndent3"/>
        <w:spacing w:before="120"/>
        <w:ind w:left="0"/>
        <w:jc w:val="left"/>
        <w:rPr>
          <w:rFonts w:ascii="Arial" w:hAnsi="Arial" w:cs="Arial"/>
          <w:szCs w:val="24"/>
        </w:rPr>
      </w:pPr>
      <w:r w:rsidRPr="00B8572F">
        <w:rPr>
          <w:rFonts w:ascii="Arial" w:hAnsi="Arial" w:cs="Arial"/>
          <w:szCs w:val="24"/>
        </w:rPr>
        <w:t xml:space="preserve">In larger centres, physician-led teams may (particularly for acute referrals) provide this service with specialist expertise on a rostered basis.  These teams may then refer onto specialist services within their facilities. </w:t>
      </w:r>
    </w:p>
    <w:p w:rsidR="00EB08EC" w:rsidRPr="00B8572F" w:rsidRDefault="00EB08EC" w:rsidP="00EB08EC">
      <w:pPr>
        <w:pStyle w:val="BodyTextIndent3"/>
        <w:spacing w:before="120"/>
        <w:ind w:left="0"/>
        <w:jc w:val="left"/>
        <w:rPr>
          <w:rFonts w:ascii="Arial" w:hAnsi="Arial" w:cs="Arial"/>
          <w:szCs w:val="24"/>
        </w:rPr>
      </w:pPr>
      <w:r w:rsidRPr="00B8572F">
        <w:rPr>
          <w:rFonts w:ascii="Arial" w:hAnsi="Arial" w:cs="Arial"/>
          <w:szCs w:val="24"/>
        </w:rPr>
        <w:t>In smaller centres general physicians who may have sub-speciality skills or interests provide the service.  People needing more specialised treatment are referred on to a larger centre or seen by a visiting specialist.</w:t>
      </w:r>
    </w:p>
    <w:p w:rsidR="00EB08EC" w:rsidRPr="00B8572F" w:rsidRDefault="00EB08EC" w:rsidP="00EB08EC">
      <w:pPr>
        <w:pStyle w:val="Heading1"/>
        <w:spacing w:after="120"/>
        <w:rPr>
          <w:rFonts w:cs="Arial"/>
          <w:bCs/>
          <w:sz w:val="24"/>
        </w:rPr>
      </w:pPr>
      <w:r w:rsidRPr="00B8572F">
        <w:rPr>
          <w:rFonts w:cs="Arial"/>
          <w:bCs/>
          <w:sz w:val="24"/>
        </w:rPr>
        <w:t>Service Objectives</w:t>
      </w:r>
    </w:p>
    <w:p w:rsidR="00EB08EC" w:rsidRPr="00B8572F" w:rsidRDefault="00EB08EC" w:rsidP="00EB08EC">
      <w:pPr>
        <w:pStyle w:val="Heading2"/>
        <w:spacing w:before="0" w:after="120"/>
        <w:ind w:left="567" w:hanging="510"/>
        <w:jc w:val="left"/>
        <w:rPr>
          <w:rFonts w:cs="Arial"/>
          <w:bCs/>
          <w:i w:val="0"/>
        </w:rPr>
      </w:pPr>
      <w:r w:rsidRPr="00B8572F">
        <w:rPr>
          <w:rFonts w:cs="Arial"/>
          <w:bCs/>
          <w:i w:val="0"/>
          <w:kern w:val="28"/>
        </w:rPr>
        <w:t>General</w:t>
      </w:r>
    </w:p>
    <w:p w:rsidR="00EB08EC" w:rsidRPr="00B8572F" w:rsidRDefault="00EB08EC" w:rsidP="00EB08EC">
      <w:pPr>
        <w:ind w:left="57" w:right="317"/>
        <w:rPr>
          <w:rFonts w:ascii="Arial" w:hAnsi="Arial" w:cs="Arial"/>
        </w:rPr>
      </w:pPr>
      <w:r w:rsidRPr="00B8572F">
        <w:rPr>
          <w:rFonts w:ascii="Arial" w:hAnsi="Arial" w:cs="Arial"/>
        </w:rPr>
        <w:t xml:space="preserve">The Service will maintain a capacity to manage or improve the health of an individual accepted into the Service, within established clinical guidelines.  </w:t>
      </w:r>
    </w:p>
    <w:p w:rsidR="00EB08EC" w:rsidRPr="00B8572F" w:rsidRDefault="00EB08EC" w:rsidP="00EB08EC">
      <w:pPr>
        <w:pStyle w:val="Heading2"/>
        <w:spacing w:before="120"/>
        <w:ind w:left="567" w:hanging="510"/>
        <w:jc w:val="left"/>
        <w:rPr>
          <w:rFonts w:cs="Arial"/>
          <w:bCs/>
          <w:i w:val="0"/>
        </w:rPr>
      </w:pPr>
      <w:r w:rsidRPr="00B8572F">
        <w:rPr>
          <w:rFonts w:cs="Arial"/>
          <w:bCs/>
          <w:i w:val="0"/>
        </w:rPr>
        <w:lastRenderedPageBreak/>
        <w:t>Māori Health</w:t>
      </w:r>
    </w:p>
    <w:p w:rsidR="00196A97" w:rsidRPr="00A945A5" w:rsidRDefault="00196A97" w:rsidP="00196A97">
      <w:pPr>
        <w:spacing w:before="120"/>
      </w:pPr>
      <w:r w:rsidRPr="002C49FD">
        <w:rPr>
          <w:rFonts w:ascii="Arial" w:hAnsi="Arial" w:cs="Arial"/>
        </w:rPr>
        <w:t xml:space="preserve">Refer to tier one </w:t>
      </w:r>
      <w:r w:rsidRPr="002C49FD">
        <w:rPr>
          <w:rFonts w:ascii="Arial" w:hAnsi="Arial" w:cs="Arial"/>
          <w:lang w:val="en-US"/>
        </w:rPr>
        <w:t>Specialist Medical and Surgical Services and Services for Children and Young People service specifications.</w:t>
      </w:r>
    </w:p>
    <w:p w:rsidR="00EB08EC" w:rsidRPr="00B8572F" w:rsidRDefault="00EB08EC" w:rsidP="00C65FEE">
      <w:pPr>
        <w:pStyle w:val="Heading2"/>
        <w:numPr>
          <w:ilvl w:val="0"/>
          <w:numId w:val="0"/>
        </w:numPr>
        <w:tabs>
          <w:tab w:val="left" w:pos="570"/>
        </w:tabs>
        <w:spacing w:after="0"/>
        <w:ind w:left="6"/>
        <w:rPr>
          <w:rFonts w:cs="Arial"/>
          <w:i w:val="0"/>
        </w:rPr>
      </w:pPr>
      <w:r w:rsidRPr="00B8572F">
        <w:rPr>
          <w:rFonts w:cs="Arial"/>
          <w:bCs/>
          <w:i w:val="0"/>
        </w:rPr>
        <w:t>3.</w:t>
      </w:r>
      <w:r w:rsidRPr="00B8572F">
        <w:rPr>
          <w:rFonts w:cs="Arial"/>
          <w:bCs/>
          <w:i w:val="0"/>
        </w:rPr>
        <w:tab/>
      </w:r>
      <w:r w:rsidRPr="00B8572F">
        <w:rPr>
          <w:rFonts w:cs="Arial"/>
          <w:i w:val="0"/>
        </w:rPr>
        <w:t>Service Users</w:t>
      </w:r>
    </w:p>
    <w:p w:rsidR="00EB08EC" w:rsidRPr="00B8572F" w:rsidRDefault="00EB08EC" w:rsidP="00EB08EC">
      <w:pPr>
        <w:spacing w:before="120"/>
        <w:ind w:left="720" w:hanging="720"/>
        <w:rPr>
          <w:rFonts w:ascii="Arial" w:hAnsi="Arial" w:cs="Arial"/>
          <w:lang w:val="en-US"/>
        </w:rPr>
      </w:pPr>
      <w:r w:rsidRPr="00B8572F">
        <w:rPr>
          <w:rFonts w:ascii="Arial" w:hAnsi="Arial" w:cs="Arial"/>
        </w:rPr>
        <w:t xml:space="preserve">All eligible people who require assessment and treatment for a general medical condition. </w:t>
      </w:r>
    </w:p>
    <w:p w:rsidR="00EB08EC" w:rsidRPr="00B8572F" w:rsidRDefault="00EB08EC" w:rsidP="00B8572F">
      <w:pPr>
        <w:pStyle w:val="Heading1"/>
        <w:numPr>
          <w:ilvl w:val="0"/>
          <w:numId w:val="0"/>
        </w:numPr>
        <w:tabs>
          <w:tab w:val="left" w:pos="570"/>
        </w:tabs>
        <w:spacing w:after="120"/>
        <w:jc w:val="left"/>
        <w:rPr>
          <w:rFonts w:cs="Arial"/>
          <w:bCs/>
          <w:sz w:val="24"/>
        </w:rPr>
      </w:pPr>
      <w:r w:rsidRPr="00B8572F">
        <w:rPr>
          <w:rFonts w:cs="Arial"/>
          <w:bCs/>
          <w:sz w:val="24"/>
        </w:rPr>
        <w:t>4.</w:t>
      </w:r>
      <w:r w:rsidRPr="00B8572F">
        <w:rPr>
          <w:rFonts w:cs="Arial"/>
          <w:bCs/>
          <w:sz w:val="24"/>
        </w:rPr>
        <w:tab/>
        <w:t>Access</w:t>
      </w:r>
    </w:p>
    <w:p w:rsidR="00EB08EC" w:rsidRPr="00B8572F" w:rsidRDefault="00EB08EC" w:rsidP="00EB08EC">
      <w:pPr>
        <w:pStyle w:val="Heading2"/>
        <w:numPr>
          <w:ilvl w:val="0"/>
          <w:numId w:val="0"/>
        </w:numPr>
        <w:tabs>
          <w:tab w:val="left" w:pos="570"/>
        </w:tabs>
        <w:spacing w:before="0"/>
        <w:rPr>
          <w:rFonts w:cs="Arial"/>
          <w:bCs/>
          <w:i w:val="0"/>
        </w:rPr>
      </w:pPr>
      <w:r w:rsidRPr="00B8572F">
        <w:rPr>
          <w:rFonts w:cs="Arial"/>
          <w:bCs/>
          <w:i w:val="0"/>
        </w:rPr>
        <w:t>4.1</w:t>
      </w:r>
      <w:r w:rsidRPr="00B8572F">
        <w:rPr>
          <w:rFonts w:cs="Arial"/>
          <w:bCs/>
          <w:i w:val="0"/>
        </w:rPr>
        <w:tab/>
        <w:t>Entry and Exit Criteria</w:t>
      </w:r>
    </w:p>
    <w:p w:rsidR="00196A97" w:rsidRPr="00A945A5" w:rsidRDefault="00196A97" w:rsidP="00196A97">
      <w:pPr>
        <w:spacing w:before="120"/>
      </w:pPr>
      <w:r w:rsidRPr="002C49FD">
        <w:rPr>
          <w:rFonts w:ascii="Arial" w:hAnsi="Arial" w:cs="Arial"/>
        </w:rPr>
        <w:t xml:space="preserve">Refer to tier one </w:t>
      </w:r>
      <w:r w:rsidRPr="002C49FD">
        <w:rPr>
          <w:rFonts w:ascii="Arial" w:hAnsi="Arial" w:cs="Arial"/>
          <w:lang w:val="en-US"/>
        </w:rPr>
        <w:t>Specialist Medical and Surgical Services and Services for Children and Young People service specifications.</w:t>
      </w:r>
    </w:p>
    <w:p w:rsidR="00EB08EC" w:rsidRPr="00B8572F" w:rsidRDefault="00EB08EC" w:rsidP="00EB08EC">
      <w:pPr>
        <w:pStyle w:val="Heading1"/>
        <w:numPr>
          <w:ilvl w:val="0"/>
          <w:numId w:val="0"/>
        </w:numPr>
        <w:tabs>
          <w:tab w:val="left" w:pos="570"/>
        </w:tabs>
        <w:spacing w:after="120"/>
        <w:jc w:val="left"/>
        <w:rPr>
          <w:rFonts w:cs="Arial"/>
          <w:sz w:val="24"/>
          <w:szCs w:val="24"/>
        </w:rPr>
      </w:pPr>
      <w:r w:rsidRPr="00B8572F">
        <w:rPr>
          <w:rFonts w:cs="Arial"/>
          <w:sz w:val="24"/>
          <w:szCs w:val="24"/>
        </w:rPr>
        <w:t>5.</w:t>
      </w:r>
      <w:r w:rsidRPr="00B8572F">
        <w:rPr>
          <w:rFonts w:cs="Arial"/>
          <w:sz w:val="24"/>
          <w:szCs w:val="24"/>
        </w:rPr>
        <w:tab/>
        <w:t>Service Components</w:t>
      </w:r>
    </w:p>
    <w:p w:rsidR="00EB08EC" w:rsidRPr="00B8572F" w:rsidRDefault="00EB08EC" w:rsidP="00EB08EC">
      <w:pPr>
        <w:pStyle w:val="Heading2"/>
        <w:numPr>
          <w:ilvl w:val="0"/>
          <w:numId w:val="0"/>
        </w:numPr>
        <w:tabs>
          <w:tab w:val="left" w:pos="570"/>
        </w:tabs>
        <w:spacing w:before="0"/>
        <w:jc w:val="left"/>
        <w:rPr>
          <w:rFonts w:cs="Arial"/>
          <w:i w:val="0"/>
        </w:rPr>
      </w:pPr>
      <w:r w:rsidRPr="00B8572F">
        <w:rPr>
          <w:rFonts w:cs="Arial"/>
          <w:i w:val="0"/>
        </w:rPr>
        <w:t>5.1</w:t>
      </w:r>
      <w:r w:rsidRPr="00B8572F">
        <w:rPr>
          <w:rFonts w:cs="Arial"/>
          <w:i w:val="0"/>
        </w:rPr>
        <w:tab/>
        <w:t>Processes</w:t>
      </w:r>
    </w:p>
    <w:p w:rsidR="00EB08EC" w:rsidRPr="00B8572F" w:rsidRDefault="00EB08EC" w:rsidP="00EB08EC">
      <w:pPr>
        <w:pStyle w:val="BlockText"/>
        <w:ind w:left="0"/>
        <w:jc w:val="left"/>
        <w:rPr>
          <w:rFonts w:ascii="Arial" w:hAnsi="Arial" w:cs="Arial"/>
          <w:szCs w:val="24"/>
        </w:rPr>
      </w:pPr>
      <w:r w:rsidRPr="00B8572F">
        <w:rPr>
          <w:rFonts w:ascii="Arial" w:hAnsi="Arial" w:cs="Arial"/>
          <w:szCs w:val="24"/>
        </w:rPr>
        <w:t>The Service involves a complex sequence of relationships and events.  The Service can include:</w:t>
      </w:r>
    </w:p>
    <w:p w:rsidR="00EB08EC" w:rsidRPr="00B8572F" w:rsidRDefault="00B8572F" w:rsidP="00EB08EC">
      <w:pPr>
        <w:numPr>
          <w:ilvl w:val="0"/>
          <w:numId w:val="5"/>
        </w:numPr>
        <w:tabs>
          <w:tab w:val="clear" w:pos="1287"/>
        </w:tabs>
        <w:spacing w:before="120"/>
        <w:ind w:left="567" w:right="318" w:hanging="510"/>
        <w:jc w:val="left"/>
        <w:rPr>
          <w:rFonts w:ascii="Arial" w:hAnsi="Arial" w:cs="Arial"/>
        </w:rPr>
      </w:pPr>
      <w:r w:rsidRPr="00B8572F">
        <w:rPr>
          <w:rFonts w:ascii="Arial" w:hAnsi="Arial" w:cs="Arial"/>
        </w:rPr>
        <w:t>c</w:t>
      </w:r>
      <w:r w:rsidR="00EB08EC" w:rsidRPr="00B8572F">
        <w:rPr>
          <w:rFonts w:ascii="Arial" w:hAnsi="Arial" w:cs="Arial"/>
        </w:rPr>
        <w:t>onsultation</w:t>
      </w:r>
      <w:r w:rsidRPr="00B8572F">
        <w:rPr>
          <w:rFonts w:ascii="Arial" w:hAnsi="Arial" w:cs="Arial"/>
        </w:rPr>
        <w:t>,</w:t>
      </w:r>
      <w:r w:rsidR="00EB08EC" w:rsidRPr="00B8572F">
        <w:rPr>
          <w:rFonts w:ascii="Arial" w:hAnsi="Arial" w:cs="Arial"/>
        </w:rPr>
        <w:t xml:space="preserve"> where the patient is referred from another agency, usually a General Practitioner</w:t>
      </w:r>
      <w:r w:rsidRPr="00B8572F">
        <w:rPr>
          <w:rFonts w:ascii="Arial" w:hAnsi="Arial" w:cs="Arial"/>
        </w:rPr>
        <w:t>,</w:t>
      </w:r>
      <w:r w:rsidR="00EB08EC" w:rsidRPr="00B8572F">
        <w:rPr>
          <w:rFonts w:ascii="Arial" w:hAnsi="Arial" w:cs="Arial"/>
        </w:rPr>
        <w:t xml:space="preserve"> Nurse Practitioner or another specialist</w:t>
      </w:r>
    </w:p>
    <w:p w:rsidR="00EB08EC" w:rsidRPr="00B8572F" w:rsidRDefault="00EB08EC" w:rsidP="00EB08EC">
      <w:pPr>
        <w:numPr>
          <w:ilvl w:val="0"/>
          <w:numId w:val="5"/>
        </w:numPr>
        <w:tabs>
          <w:tab w:val="clear" w:pos="1287"/>
        </w:tabs>
        <w:spacing w:before="120"/>
        <w:ind w:left="567" w:hanging="510"/>
        <w:jc w:val="left"/>
        <w:rPr>
          <w:rFonts w:ascii="Arial" w:hAnsi="Arial" w:cs="Arial"/>
        </w:rPr>
      </w:pPr>
      <w:r w:rsidRPr="00B8572F">
        <w:rPr>
          <w:rFonts w:ascii="Arial" w:hAnsi="Arial" w:cs="Arial"/>
        </w:rPr>
        <w:t>consultation with/without simple investigation and/or opinion/treatment</w:t>
      </w:r>
    </w:p>
    <w:p w:rsidR="00EB08EC" w:rsidRPr="00B8572F" w:rsidRDefault="00EB08EC" w:rsidP="00EB08EC">
      <w:pPr>
        <w:numPr>
          <w:ilvl w:val="0"/>
          <w:numId w:val="5"/>
        </w:numPr>
        <w:tabs>
          <w:tab w:val="clear" w:pos="1287"/>
        </w:tabs>
        <w:spacing w:before="120"/>
        <w:ind w:left="567" w:hanging="510"/>
        <w:jc w:val="left"/>
        <w:rPr>
          <w:rFonts w:ascii="Arial" w:hAnsi="Arial" w:cs="Arial"/>
        </w:rPr>
      </w:pPr>
      <w:r w:rsidRPr="00B8572F">
        <w:rPr>
          <w:rFonts w:ascii="Arial" w:hAnsi="Arial" w:cs="Arial"/>
        </w:rPr>
        <w:t>consultation with complex investigation and/or opinion/treatment</w:t>
      </w:r>
    </w:p>
    <w:p w:rsidR="00EB08EC" w:rsidRPr="00B8572F" w:rsidRDefault="00EB08EC" w:rsidP="00EB08EC">
      <w:pPr>
        <w:numPr>
          <w:ilvl w:val="0"/>
          <w:numId w:val="5"/>
        </w:numPr>
        <w:tabs>
          <w:tab w:val="clear" w:pos="1287"/>
        </w:tabs>
        <w:spacing w:before="120"/>
        <w:ind w:left="567" w:hanging="510"/>
        <w:jc w:val="left"/>
        <w:rPr>
          <w:rFonts w:ascii="Arial" w:hAnsi="Arial" w:cs="Arial"/>
        </w:rPr>
      </w:pPr>
      <w:r w:rsidRPr="00B8572F">
        <w:rPr>
          <w:rFonts w:ascii="Arial" w:hAnsi="Arial" w:cs="Arial"/>
        </w:rPr>
        <w:t>referral to another speciality for an opinion</w:t>
      </w:r>
      <w:r w:rsidR="002C2467">
        <w:rPr>
          <w:rFonts w:ascii="Arial" w:hAnsi="Arial" w:cs="Arial"/>
        </w:rPr>
        <w:t xml:space="preserve"> </w:t>
      </w:r>
    </w:p>
    <w:p w:rsidR="00EB08EC" w:rsidRPr="00B8572F" w:rsidRDefault="00EB08EC" w:rsidP="00EB08EC">
      <w:pPr>
        <w:pStyle w:val="NormalIndent"/>
        <w:numPr>
          <w:ilvl w:val="0"/>
          <w:numId w:val="5"/>
        </w:numPr>
        <w:tabs>
          <w:tab w:val="clear" w:pos="709"/>
          <w:tab w:val="clear" w:pos="1287"/>
          <w:tab w:val="clear" w:pos="1418"/>
          <w:tab w:val="left" w:pos="570"/>
        </w:tabs>
        <w:spacing w:before="120"/>
        <w:ind w:left="567" w:hanging="510"/>
        <w:rPr>
          <w:rFonts w:ascii="Arial" w:hAnsi="Arial" w:cs="Arial"/>
          <w:szCs w:val="24"/>
        </w:rPr>
      </w:pPr>
      <w:r w:rsidRPr="00B8572F">
        <w:rPr>
          <w:rFonts w:ascii="Arial" w:hAnsi="Arial" w:cs="Arial"/>
          <w:szCs w:val="24"/>
        </w:rPr>
        <w:t>referral to another speciality for an opinion and management (</w:t>
      </w:r>
      <w:proofErr w:type="spellStart"/>
      <w:r w:rsidRPr="00B8572F">
        <w:rPr>
          <w:rFonts w:ascii="Arial" w:hAnsi="Arial" w:cs="Arial"/>
          <w:szCs w:val="24"/>
        </w:rPr>
        <w:t>eg</w:t>
      </w:r>
      <w:proofErr w:type="spellEnd"/>
      <w:r w:rsidR="002C2467">
        <w:rPr>
          <w:rFonts w:ascii="Arial" w:hAnsi="Arial" w:cs="Arial"/>
          <w:szCs w:val="24"/>
        </w:rPr>
        <w:t>,</w:t>
      </w:r>
      <w:r w:rsidRPr="00B8572F">
        <w:rPr>
          <w:rFonts w:ascii="Arial" w:hAnsi="Arial" w:cs="Arial"/>
          <w:szCs w:val="24"/>
        </w:rPr>
        <w:t xml:space="preserve"> investigation of haematuria with subsequent referral to urological surgery for removal of neoplasm).</w:t>
      </w:r>
    </w:p>
    <w:p w:rsidR="00EB08EC" w:rsidRPr="00B8572F" w:rsidRDefault="00EB08EC" w:rsidP="00EB08EC">
      <w:pPr>
        <w:pStyle w:val="NormalIndent"/>
        <w:tabs>
          <w:tab w:val="clear" w:pos="709"/>
          <w:tab w:val="left" w:pos="142"/>
        </w:tabs>
        <w:spacing w:before="120"/>
        <w:ind w:left="0"/>
        <w:rPr>
          <w:rFonts w:ascii="Arial" w:hAnsi="Arial" w:cs="Arial"/>
          <w:szCs w:val="24"/>
          <w:lang w:val="en-AU"/>
        </w:rPr>
      </w:pPr>
      <w:r w:rsidRPr="00B8572F">
        <w:rPr>
          <w:rFonts w:ascii="Arial" w:hAnsi="Arial" w:cs="Arial"/>
          <w:szCs w:val="24"/>
        </w:rPr>
        <w:t xml:space="preserve">The range of services directly provided in general medicine varies according to the level of clinical support available, the presence of other speciality or tertiary services, and qualifications, training and skill of medical staff.  </w:t>
      </w:r>
    </w:p>
    <w:p w:rsidR="00EB08EC" w:rsidRPr="00B8572F" w:rsidRDefault="00EB08EC" w:rsidP="00EB08EC">
      <w:pPr>
        <w:pStyle w:val="NormalIndent"/>
        <w:tabs>
          <w:tab w:val="clear" w:pos="709"/>
          <w:tab w:val="left" w:pos="142"/>
        </w:tabs>
        <w:spacing w:before="120"/>
        <w:ind w:left="0"/>
        <w:rPr>
          <w:rFonts w:ascii="Arial" w:hAnsi="Arial" w:cs="Arial"/>
          <w:szCs w:val="24"/>
          <w:lang w:val="en-AU"/>
        </w:rPr>
      </w:pPr>
      <w:r w:rsidRPr="00B8572F">
        <w:rPr>
          <w:rFonts w:ascii="Arial" w:hAnsi="Arial" w:cs="Arial"/>
          <w:szCs w:val="24"/>
          <w:lang w:val="en-AU"/>
        </w:rPr>
        <w:t xml:space="preserve">Where tertiary services are not provided, the Service provider is responsible for assessment, stabilisation, referral and transfer to an appropriate tertiary provider, in line with the national travel assistance policy.  </w:t>
      </w:r>
    </w:p>
    <w:p w:rsidR="00EB08EC" w:rsidRPr="00B8572F" w:rsidRDefault="00EB08EC" w:rsidP="00EB08EC">
      <w:pPr>
        <w:spacing w:before="120"/>
        <w:ind w:right="176"/>
        <w:rPr>
          <w:rFonts w:ascii="Arial" w:hAnsi="Arial" w:cs="Arial"/>
        </w:rPr>
      </w:pPr>
      <w:r w:rsidRPr="00B8572F">
        <w:rPr>
          <w:rFonts w:ascii="Arial" w:hAnsi="Arial" w:cs="Arial"/>
          <w:iCs/>
        </w:rPr>
        <w:t>The</w:t>
      </w:r>
      <w:r w:rsidRPr="00B8572F">
        <w:rPr>
          <w:rFonts w:ascii="Arial" w:hAnsi="Arial" w:cs="Arial"/>
        </w:rPr>
        <w:t xml:space="preserve"> Service is responsible for: </w:t>
      </w:r>
    </w:p>
    <w:p w:rsidR="00EB08EC" w:rsidRPr="00B8572F" w:rsidRDefault="00EB08EC" w:rsidP="00EB08EC">
      <w:pPr>
        <w:numPr>
          <w:ilvl w:val="0"/>
          <w:numId w:val="7"/>
        </w:numPr>
        <w:tabs>
          <w:tab w:val="clear" w:pos="720"/>
          <w:tab w:val="num" w:pos="570"/>
        </w:tabs>
        <w:spacing w:before="120"/>
        <w:ind w:left="567" w:right="176" w:hanging="510"/>
        <w:jc w:val="left"/>
        <w:rPr>
          <w:rFonts w:ascii="Arial" w:hAnsi="Arial" w:cs="Arial"/>
        </w:rPr>
      </w:pPr>
      <w:r w:rsidRPr="00B8572F">
        <w:rPr>
          <w:rFonts w:ascii="Arial" w:hAnsi="Arial" w:cs="Arial"/>
          <w:lang w:val="en-AU"/>
        </w:rPr>
        <w:t>assessment, diagnosis, stabilisation and treatment of patients on an inpatient, ambulatory/day care and outpatient basis</w:t>
      </w:r>
    </w:p>
    <w:p w:rsidR="00EB08EC" w:rsidRPr="00B8572F" w:rsidRDefault="00EB08EC" w:rsidP="00EB08EC">
      <w:pPr>
        <w:numPr>
          <w:ilvl w:val="0"/>
          <w:numId w:val="7"/>
        </w:numPr>
        <w:tabs>
          <w:tab w:val="clear" w:pos="720"/>
          <w:tab w:val="num" w:pos="570"/>
        </w:tabs>
        <w:spacing w:before="120"/>
        <w:ind w:left="570" w:right="175" w:hanging="513"/>
        <w:jc w:val="left"/>
        <w:rPr>
          <w:rFonts w:ascii="Arial" w:hAnsi="Arial" w:cs="Arial"/>
        </w:rPr>
      </w:pPr>
      <w:r w:rsidRPr="00B8572F">
        <w:rPr>
          <w:rFonts w:ascii="Arial" w:hAnsi="Arial" w:cs="Arial"/>
        </w:rPr>
        <w:t>follow up, re-admission and treatment of all people in whom complications arise in the course of treatment by the service</w:t>
      </w:r>
    </w:p>
    <w:p w:rsidR="00EB08EC" w:rsidRPr="00B8572F" w:rsidRDefault="00EB08EC" w:rsidP="00EB08EC">
      <w:pPr>
        <w:numPr>
          <w:ilvl w:val="0"/>
          <w:numId w:val="4"/>
        </w:numPr>
        <w:tabs>
          <w:tab w:val="clear" w:pos="720"/>
          <w:tab w:val="num" w:pos="567"/>
        </w:tabs>
        <w:spacing w:before="120"/>
        <w:ind w:left="567" w:right="175" w:hanging="567"/>
        <w:jc w:val="left"/>
        <w:rPr>
          <w:rFonts w:ascii="Arial" w:hAnsi="Arial" w:cs="Arial"/>
        </w:rPr>
      </w:pPr>
      <w:r w:rsidRPr="00B8572F">
        <w:rPr>
          <w:rFonts w:ascii="Arial" w:hAnsi="Arial" w:cs="Arial"/>
        </w:rPr>
        <w:t>after hours contact for all people who have undergone investigations or procedures of an invasive nature, where the potential for complications exists</w:t>
      </w:r>
    </w:p>
    <w:p w:rsidR="00EB08EC" w:rsidRPr="00B8572F" w:rsidRDefault="00EB08EC" w:rsidP="00EB08EC">
      <w:pPr>
        <w:numPr>
          <w:ilvl w:val="0"/>
          <w:numId w:val="2"/>
        </w:numPr>
        <w:tabs>
          <w:tab w:val="clear" w:pos="360"/>
          <w:tab w:val="num" w:pos="567"/>
        </w:tabs>
        <w:spacing w:before="120"/>
        <w:ind w:left="567" w:hanging="567"/>
        <w:jc w:val="left"/>
        <w:rPr>
          <w:rFonts w:ascii="Arial" w:hAnsi="Arial" w:cs="Arial"/>
        </w:rPr>
      </w:pPr>
      <w:r w:rsidRPr="00B8572F">
        <w:rPr>
          <w:rFonts w:ascii="Arial" w:hAnsi="Arial" w:cs="Arial"/>
        </w:rPr>
        <w:t>a 24 hour assessment service with a medical practitioner (registrar level and above) in attendance</w:t>
      </w:r>
    </w:p>
    <w:p w:rsidR="00EB08EC" w:rsidRPr="00B8572F" w:rsidRDefault="00EB08EC" w:rsidP="00EB08EC">
      <w:pPr>
        <w:numPr>
          <w:ilvl w:val="0"/>
          <w:numId w:val="2"/>
        </w:numPr>
        <w:tabs>
          <w:tab w:val="clear" w:pos="360"/>
          <w:tab w:val="num" w:pos="567"/>
        </w:tabs>
        <w:spacing w:before="120"/>
        <w:ind w:left="567" w:hanging="567"/>
        <w:jc w:val="left"/>
        <w:rPr>
          <w:rFonts w:ascii="Arial" w:hAnsi="Arial" w:cs="Arial"/>
        </w:rPr>
      </w:pPr>
      <w:r w:rsidRPr="00B8572F">
        <w:rPr>
          <w:rFonts w:ascii="Arial" w:hAnsi="Arial" w:cs="Arial"/>
        </w:rPr>
        <w:t>rapid access to specialist medical consultation at the level of secondary health care and, as relevant, referral to a regional tertiary service.  Consultation is to be available to primary health care providers and to other specialised service providers</w:t>
      </w:r>
    </w:p>
    <w:p w:rsidR="00EB08EC" w:rsidRPr="00B8572F" w:rsidRDefault="00EB08EC" w:rsidP="00EB08EC">
      <w:pPr>
        <w:numPr>
          <w:ilvl w:val="0"/>
          <w:numId w:val="2"/>
        </w:numPr>
        <w:tabs>
          <w:tab w:val="clear" w:pos="360"/>
          <w:tab w:val="left" w:pos="567"/>
        </w:tabs>
        <w:spacing w:before="120"/>
        <w:ind w:left="570" w:hanging="570"/>
        <w:jc w:val="left"/>
        <w:rPr>
          <w:rFonts w:ascii="Arial" w:hAnsi="Arial" w:cs="Arial"/>
        </w:rPr>
      </w:pPr>
      <w:r w:rsidRPr="00B8572F">
        <w:rPr>
          <w:rFonts w:ascii="Arial" w:hAnsi="Arial" w:cs="Arial"/>
        </w:rPr>
        <w:t>specialist assessment with a written plan of care to the referrer.</w:t>
      </w:r>
    </w:p>
    <w:p w:rsidR="00EB08EC" w:rsidRPr="00B8572F" w:rsidRDefault="00EB08EC" w:rsidP="00EB08EC">
      <w:pPr>
        <w:spacing w:before="120"/>
        <w:rPr>
          <w:rFonts w:ascii="Arial" w:hAnsi="Arial" w:cs="Arial"/>
        </w:rPr>
      </w:pPr>
      <w:r w:rsidRPr="00B8572F">
        <w:rPr>
          <w:rFonts w:ascii="Arial" w:hAnsi="Arial" w:cs="Arial"/>
        </w:rPr>
        <w:t>Therapeutic services including clinical support services include:</w:t>
      </w:r>
    </w:p>
    <w:p w:rsidR="00EB08EC" w:rsidRPr="00B8572F" w:rsidRDefault="00EB08EC" w:rsidP="00EB08EC">
      <w:pPr>
        <w:numPr>
          <w:ilvl w:val="0"/>
          <w:numId w:val="3"/>
        </w:numPr>
        <w:tabs>
          <w:tab w:val="clear" w:pos="360"/>
          <w:tab w:val="num" w:pos="567"/>
        </w:tabs>
        <w:spacing w:before="120"/>
        <w:ind w:left="567" w:right="318" w:hanging="567"/>
        <w:jc w:val="left"/>
        <w:rPr>
          <w:rFonts w:ascii="Arial" w:hAnsi="Arial" w:cs="Arial"/>
        </w:rPr>
      </w:pPr>
      <w:r w:rsidRPr="00B8572F">
        <w:rPr>
          <w:rFonts w:ascii="Arial" w:hAnsi="Arial" w:cs="Arial"/>
        </w:rPr>
        <w:t xml:space="preserve">investigation, diagnosis and treatment of ambulatory patients and </w:t>
      </w:r>
      <w:proofErr w:type="spellStart"/>
      <w:r w:rsidRPr="00B8572F">
        <w:rPr>
          <w:rFonts w:ascii="Arial" w:hAnsi="Arial" w:cs="Arial"/>
        </w:rPr>
        <w:t>inpatients</w:t>
      </w:r>
      <w:proofErr w:type="spellEnd"/>
      <w:r w:rsidRPr="00B8572F">
        <w:rPr>
          <w:rFonts w:ascii="Arial" w:hAnsi="Arial" w:cs="Arial"/>
        </w:rPr>
        <w:t xml:space="preserve"> with acute and/or chronic illness and, where necessary, consultation with tertiary or other secondary care services</w:t>
      </w:r>
    </w:p>
    <w:p w:rsidR="00EB08EC" w:rsidRPr="00B8572F" w:rsidRDefault="00EB08EC" w:rsidP="00EB08EC">
      <w:pPr>
        <w:numPr>
          <w:ilvl w:val="0"/>
          <w:numId w:val="3"/>
        </w:numPr>
        <w:tabs>
          <w:tab w:val="clear" w:pos="360"/>
        </w:tabs>
        <w:spacing w:before="120"/>
        <w:ind w:left="567" w:right="317" w:hanging="567"/>
        <w:jc w:val="left"/>
        <w:rPr>
          <w:rFonts w:ascii="Arial" w:hAnsi="Arial" w:cs="Arial"/>
        </w:rPr>
      </w:pPr>
      <w:r w:rsidRPr="00B8572F">
        <w:rPr>
          <w:rFonts w:ascii="Arial" w:hAnsi="Arial" w:cs="Arial"/>
        </w:rPr>
        <w:t xml:space="preserve">care of patients of all ages with multi-system disease, </w:t>
      </w:r>
      <w:proofErr w:type="spellStart"/>
      <w:r w:rsidRPr="00B8572F">
        <w:rPr>
          <w:rFonts w:ascii="Arial" w:hAnsi="Arial" w:cs="Arial"/>
        </w:rPr>
        <w:t>eg</w:t>
      </w:r>
      <w:proofErr w:type="spellEnd"/>
      <w:r w:rsidR="002C2467">
        <w:rPr>
          <w:rFonts w:ascii="Arial" w:hAnsi="Arial" w:cs="Arial"/>
        </w:rPr>
        <w:t>,</w:t>
      </w:r>
      <w:r w:rsidRPr="00B8572F">
        <w:rPr>
          <w:rFonts w:ascii="Arial" w:hAnsi="Arial" w:cs="Arial"/>
        </w:rPr>
        <w:t xml:space="preserve"> diabetes with cardiac, renal, peripheral vascular or other system involvement.  Services include assessment of people for entry onto the end stage renal failure programme and/or palliative care where appropriate for people with needs not met by the end stage renal failure programme</w:t>
      </w:r>
    </w:p>
    <w:p w:rsidR="00EB08EC" w:rsidRPr="00B8572F" w:rsidRDefault="00EB08EC" w:rsidP="00EB08EC">
      <w:pPr>
        <w:numPr>
          <w:ilvl w:val="0"/>
          <w:numId w:val="3"/>
        </w:numPr>
        <w:tabs>
          <w:tab w:val="clear" w:pos="360"/>
          <w:tab w:val="num" w:pos="567"/>
        </w:tabs>
        <w:spacing w:before="120"/>
        <w:ind w:left="567" w:right="317" w:hanging="567"/>
        <w:jc w:val="left"/>
        <w:rPr>
          <w:rFonts w:ascii="Arial" w:hAnsi="Arial" w:cs="Arial"/>
        </w:rPr>
      </w:pPr>
      <w:r w:rsidRPr="00B8572F">
        <w:rPr>
          <w:rFonts w:ascii="Arial" w:hAnsi="Arial" w:cs="Arial"/>
        </w:rPr>
        <w:t xml:space="preserve">care of patients of all ages with multiple diseases, particularly older people with cardiac, respiratory, cerebrovascular and/or </w:t>
      </w:r>
      <w:proofErr w:type="spellStart"/>
      <w:r w:rsidRPr="00B8572F">
        <w:rPr>
          <w:rFonts w:ascii="Arial" w:hAnsi="Arial" w:cs="Arial"/>
        </w:rPr>
        <w:t>rheumatological</w:t>
      </w:r>
      <w:proofErr w:type="spellEnd"/>
      <w:r w:rsidRPr="00B8572F">
        <w:rPr>
          <w:rFonts w:ascii="Arial" w:hAnsi="Arial" w:cs="Arial"/>
        </w:rPr>
        <w:t xml:space="preserve"> disease - in close liaison with health services for older people</w:t>
      </w:r>
    </w:p>
    <w:p w:rsidR="00EB08EC" w:rsidRPr="00B8572F" w:rsidRDefault="00EB08EC" w:rsidP="00EB08EC">
      <w:pPr>
        <w:numPr>
          <w:ilvl w:val="0"/>
          <w:numId w:val="3"/>
        </w:numPr>
        <w:tabs>
          <w:tab w:val="clear" w:pos="360"/>
          <w:tab w:val="num" w:pos="567"/>
        </w:tabs>
        <w:spacing w:before="120"/>
        <w:ind w:left="567" w:right="317" w:hanging="567"/>
        <w:jc w:val="left"/>
        <w:rPr>
          <w:rFonts w:ascii="Arial" w:hAnsi="Arial" w:cs="Arial"/>
        </w:rPr>
      </w:pPr>
      <w:r w:rsidRPr="00B8572F">
        <w:rPr>
          <w:rFonts w:ascii="Arial" w:hAnsi="Arial" w:cs="Arial"/>
        </w:rPr>
        <w:t xml:space="preserve">coronary care with support in echocardiography, </w:t>
      </w:r>
      <w:proofErr w:type="spellStart"/>
      <w:r w:rsidRPr="00B8572F">
        <w:rPr>
          <w:rFonts w:ascii="Arial" w:hAnsi="Arial" w:cs="Arial"/>
        </w:rPr>
        <w:t>Holter</w:t>
      </w:r>
      <w:proofErr w:type="spellEnd"/>
      <w:r w:rsidRPr="00B8572F">
        <w:rPr>
          <w:rFonts w:ascii="Arial" w:hAnsi="Arial" w:cs="Arial"/>
        </w:rPr>
        <w:t xml:space="preserve"> monitoring and exercise testing.  Appropriate outpatient services, coronary risk factor clinics, rehabilitation and preventive education programmes are included.  A close liaison with the regional cardiology and cardiothoracic services is required for consultation, special investigations and surgery.  </w:t>
      </w:r>
    </w:p>
    <w:p w:rsidR="00EB08EC" w:rsidRPr="00B8572F" w:rsidRDefault="00EB08EC" w:rsidP="00EB08EC">
      <w:pPr>
        <w:pStyle w:val="NormalIndent"/>
        <w:tabs>
          <w:tab w:val="clear" w:pos="709"/>
          <w:tab w:val="left" w:pos="142"/>
        </w:tabs>
        <w:spacing w:before="120"/>
        <w:ind w:left="0"/>
        <w:rPr>
          <w:rFonts w:ascii="Arial" w:hAnsi="Arial" w:cs="Arial"/>
          <w:szCs w:val="24"/>
          <w:lang w:val="en-AU"/>
        </w:rPr>
      </w:pPr>
      <w:r w:rsidRPr="00B8572F">
        <w:rPr>
          <w:rFonts w:ascii="Arial" w:hAnsi="Arial" w:cs="Arial"/>
          <w:szCs w:val="24"/>
          <w:lang w:val="en-AU"/>
        </w:rPr>
        <w:t>In areas where there are no existing cardiology services, secondary medical specialists will have a major role in managing acute presentations.  In these areas a limited coronary care unit may be available, with appropriate levels of staff and specialised resources including monitoring equipment and appropriate investigations such as electro cardiograph (ECG) and echocardiograph.  Where this is not available links will be maintained with appropriate/regional coronary care units and transfer patients to these as soon as possible.</w:t>
      </w:r>
    </w:p>
    <w:p w:rsidR="00EB08EC" w:rsidRPr="00B8572F" w:rsidRDefault="00EB08EC" w:rsidP="00EB08EC">
      <w:pPr>
        <w:pStyle w:val="Heading2"/>
        <w:numPr>
          <w:ilvl w:val="0"/>
          <w:numId w:val="0"/>
        </w:numPr>
        <w:tabs>
          <w:tab w:val="left" w:pos="570"/>
        </w:tabs>
        <w:spacing w:before="120"/>
        <w:rPr>
          <w:rFonts w:cs="Arial"/>
          <w:bCs/>
          <w:i w:val="0"/>
        </w:rPr>
      </w:pPr>
      <w:r w:rsidRPr="00B8572F">
        <w:rPr>
          <w:rFonts w:cs="Arial"/>
          <w:bCs/>
          <w:i w:val="0"/>
        </w:rPr>
        <w:t>5.2</w:t>
      </w:r>
      <w:r w:rsidRPr="00B8572F">
        <w:rPr>
          <w:rFonts w:cs="Arial"/>
          <w:bCs/>
          <w:i w:val="0"/>
        </w:rPr>
        <w:tab/>
        <w:t>Settings</w:t>
      </w:r>
    </w:p>
    <w:p w:rsidR="00EB08EC" w:rsidRPr="00B8572F" w:rsidRDefault="00EB08EC" w:rsidP="00EB08EC">
      <w:pPr>
        <w:pStyle w:val="NormalIndent"/>
        <w:tabs>
          <w:tab w:val="clear" w:pos="709"/>
          <w:tab w:val="left" w:pos="142"/>
        </w:tabs>
        <w:spacing w:before="120"/>
        <w:ind w:left="0"/>
        <w:rPr>
          <w:rFonts w:ascii="Arial" w:hAnsi="Arial" w:cs="Arial"/>
          <w:szCs w:val="24"/>
          <w:lang w:val="en-AU"/>
        </w:rPr>
      </w:pPr>
      <w:r w:rsidRPr="00B8572F">
        <w:rPr>
          <w:rFonts w:ascii="Arial" w:hAnsi="Arial" w:cs="Arial"/>
          <w:szCs w:val="24"/>
          <w:lang w:val="en-NZ"/>
        </w:rPr>
        <w:t>T</w:t>
      </w:r>
      <w:r w:rsidRPr="00B8572F">
        <w:rPr>
          <w:rFonts w:ascii="Arial" w:hAnsi="Arial" w:cs="Arial"/>
          <w:szCs w:val="24"/>
          <w:lang w:val="en-AU"/>
        </w:rPr>
        <w:t xml:space="preserve">he Service may also be responsible for arranging the provisions of visiting clinics for the required range of tertiary services and to maintain close links with the visiting clinicians.  </w:t>
      </w:r>
    </w:p>
    <w:p w:rsidR="00EB08EC" w:rsidRPr="00B8572F" w:rsidRDefault="00EB08EC" w:rsidP="00EB08EC">
      <w:pPr>
        <w:pStyle w:val="Heading2"/>
        <w:numPr>
          <w:ilvl w:val="0"/>
          <w:numId w:val="0"/>
        </w:numPr>
        <w:tabs>
          <w:tab w:val="left" w:pos="570"/>
        </w:tabs>
        <w:spacing w:before="120"/>
        <w:ind w:left="57"/>
        <w:rPr>
          <w:rFonts w:cs="Arial"/>
          <w:bCs/>
          <w:i w:val="0"/>
          <w:kern w:val="28"/>
        </w:rPr>
      </w:pPr>
      <w:r w:rsidRPr="00B8572F">
        <w:rPr>
          <w:rFonts w:cs="Arial"/>
          <w:bCs/>
          <w:i w:val="0"/>
          <w:kern w:val="28"/>
        </w:rPr>
        <w:t>5.3</w:t>
      </w:r>
      <w:r w:rsidRPr="00B8572F">
        <w:rPr>
          <w:rFonts w:cs="Arial"/>
          <w:bCs/>
          <w:i w:val="0"/>
          <w:kern w:val="28"/>
        </w:rPr>
        <w:tab/>
        <w:t>Support Services</w:t>
      </w:r>
    </w:p>
    <w:p w:rsidR="00EB08EC" w:rsidRPr="00B8572F" w:rsidRDefault="00EB08EC" w:rsidP="00EB08EC">
      <w:pPr>
        <w:rPr>
          <w:rFonts w:ascii="Arial" w:hAnsi="Arial" w:cs="Arial"/>
        </w:rPr>
      </w:pPr>
      <w:r w:rsidRPr="00B8572F">
        <w:rPr>
          <w:rFonts w:ascii="Arial" w:hAnsi="Arial" w:cs="Arial"/>
        </w:rPr>
        <w:t>Support services include but are but not limited to the following:</w:t>
      </w:r>
    </w:p>
    <w:p w:rsidR="00EB08EC" w:rsidRPr="00B8572F" w:rsidRDefault="00EB08EC" w:rsidP="00EB08EC">
      <w:pPr>
        <w:numPr>
          <w:ilvl w:val="0"/>
          <w:numId w:val="8"/>
        </w:numPr>
        <w:tabs>
          <w:tab w:val="clear" w:pos="720"/>
          <w:tab w:val="num" w:pos="570"/>
        </w:tabs>
        <w:spacing w:before="120"/>
        <w:ind w:left="570" w:hanging="570"/>
        <w:jc w:val="left"/>
        <w:rPr>
          <w:rFonts w:ascii="Arial" w:hAnsi="Arial" w:cs="Arial"/>
        </w:rPr>
      </w:pPr>
      <w:r w:rsidRPr="00B8572F">
        <w:rPr>
          <w:rFonts w:ascii="Arial" w:hAnsi="Arial" w:cs="Arial"/>
        </w:rPr>
        <w:t>clinical support services such as:</w:t>
      </w:r>
    </w:p>
    <w:p w:rsidR="00EB08EC" w:rsidRPr="00B8572F" w:rsidRDefault="00EB08EC" w:rsidP="002C2467">
      <w:pPr>
        <w:tabs>
          <w:tab w:val="left" w:pos="1140"/>
        </w:tabs>
        <w:spacing w:before="120"/>
        <w:ind w:left="570"/>
        <w:rPr>
          <w:rFonts w:ascii="Arial" w:hAnsi="Arial" w:cs="Arial"/>
        </w:rPr>
      </w:pPr>
      <w:r w:rsidRPr="00B8572F">
        <w:rPr>
          <w:rFonts w:ascii="Arial" w:hAnsi="Arial" w:cs="Arial"/>
        </w:rPr>
        <w:t>–</w:t>
      </w:r>
      <w:r w:rsidRPr="00B8572F">
        <w:rPr>
          <w:rFonts w:ascii="Arial" w:hAnsi="Arial" w:cs="Arial"/>
        </w:rPr>
        <w:tab/>
        <w:t>laboratory services</w:t>
      </w:r>
    </w:p>
    <w:p w:rsidR="00EB08EC" w:rsidRPr="00B8572F" w:rsidRDefault="00EB08EC" w:rsidP="002C2467">
      <w:pPr>
        <w:tabs>
          <w:tab w:val="left" w:pos="1140"/>
        </w:tabs>
        <w:spacing w:before="120"/>
        <w:ind w:left="570"/>
        <w:rPr>
          <w:rFonts w:ascii="Arial" w:hAnsi="Arial" w:cs="Arial"/>
        </w:rPr>
      </w:pPr>
      <w:r w:rsidRPr="00B8572F">
        <w:rPr>
          <w:rFonts w:ascii="Arial" w:hAnsi="Arial" w:cs="Arial"/>
        </w:rPr>
        <w:t>–</w:t>
      </w:r>
      <w:r w:rsidRPr="00B8572F">
        <w:rPr>
          <w:rFonts w:ascii="Arial" w:hAnsi="Arial" w:cs="Arial"/>
        </w:rPr>
        <w:tab/>
        <w:t>pharmaceutical services</w:t>
      </w:r>
    </w:p>
    <w:p w:rsidR="00EB08EC" w:rsidRPr="00B8572F" w:rsidRDefault="00EB08EC" w:rsidP="002C2467">
      <w:pPr>
        <w:numPr>
          <w:ilvl w:val="1"/>
          <w:numId w:val="9"/>
        </w:numPr>
        <w:tabs>
          <w:tab w:val="left" w:pos="1140"/>
        </w:tabs>
        <w:spacing w:before="120"/>
        <w:ind w:hanging="1083"/>
        <w:jc w:val="left"/>
        <w:rPr>
          <w:rFonts w:ascii="Arial" w:hAnsi="Arial" w:cs="Arial"/>
        </w:rPr>
      </w:pPr>
      <w:r w:rsidRPr="00B8572F">
        <w:rPr>
          <w:rFonts w:ascii="Arial" w:hAnsi="Arial" w:cs="Arial"/>
        </w:rPr>
        <w:t>imaging services</w:t>
      </w:r>
    </w:p>
    <w:p w:rsidR="00EB08EC" w:rsidRPr="00B8572F" w:rsidRDefault="00EB08EC" w:rsidP="00EB08EC">
      <w:pPr>
        <w:numPr>
          <w:ilvl w:val="0"/>
          <w:numId w:val="9"/>
        </w:numPr>
        <w:tabs>
          <w:tab w:val="clear" w:pos="720"/>
          <w:tab w:val="num" w:pos="570"/>
        </w:tabs>
        <w:spacing w:before="120"/>
        <w:ind w:left="627" w:hanging="570"/>
        <w:jc w:val="left"/>
        <w:rPr>
          <w:rFonts w:ascii="Arial" w:hAnsi="Arial" w:cs="Arial"/>
        </w:rPr>
      </w:pPr>
      <w:r w:rsidRPr="00B8572F">
        <w:rPr>
          <w:rFonts w:ascii="Arial" w:hAnsi="Arial" w:cs="Arial"/>
        </w:rPr>
        <w:t>allied heath support services such as:</w:t>
      </w:r>
    </w:p>
    <w:p w:rsidR="00EB08EC" w:rsidRPr="00B8572F" w:rsidRDefault="00EB08EC" w:rsidP="002C2467">
      <w:pPr>
        <w:tabs>
          <w:tab w:val="left" w:pos="1140"/>
        </w:tabs>
        <w:spacing w:before="120"/>
        <w:ind w:left="570"/>
        <w:rPr>
          <w:rFonts w:ascii="Arial" w:hAnsi="Arial" w:cs="Arial"/>
        </w:rPr>
      </w:pPr>
      <w:r w:rsidRPr="00B8572F">
        <w:rPr>
          <w:rFonts w:ascii="Arial" w:hAnsi="Arial" w:cs="Arial"/>
        </w:rPr>
        <w:t>–</w:t>
      </w:r>
      <w:r w:rsidRPr="00B8572F">
        <w:rPr>
          <w:rFonts w:ascii="Arial" w:hAnsi="Arial" w:cs="Arial"/>
        </w:rPr>
        <w:tab/>
        <w:t>occupational therapy</w:t>
      </w:r>
    </w:p>
    <w:p w:rsidR="00EB08EC" w:rsidRPr="00B8572F" w:rsidRDefault="00EB08EC" w:rsidP="002C2467">
      <w:pPr>
        <w:numPr>
          <w:ilvl w:val="2"/>
          <w:numId w:val="9"/>
        </w:numPr>
        <w:tabs>
          <w:tab w:val="left" w:pos="1140"/>
        </w:tabs>
        <w:spacing w:before="120"/>
        <w:ind w:hanging="1593"/>
        <w:jc w:val="left"/>
        <w:rPr>
          <w:rFonts w:ascii="Arial" w:hAnsi="Arial" w:cs="Arial"/>
        </w:rPr>
      </w:pPr>
      <w:r w:rsidRPr="00B8572F">
        <w:rPr>
          <w:rFonts w:ascii="Arial" w:hAnsi="Arial" w:cs="Arial"/>
        </w:rPr>
        <w:t>physiotherapy</w:t>
      </w:r>
    </w:p>
    <w:p w:rsidR="00EB08EC" w:rsidRPr="00B8572F" w:rsidRDefault="00EB08EC" w:rsidP="002C2467">
      <w:pPr>
        <w:numPr>
          <w:ilvl w:val="2"/>
          <w:numId w:val="9"/>
        </w:numPr>
        <w:tabs>
          <w:tab w:val="left" w:pos="1140"/>
        </w:tabs>
        <w:spacing w:before="120"/>
        <w:ind w:hanging="1593"/>
        <w:jc w:val="left"/>
        <w:rPr>
          <w:rFonts w:ascii="Arial" w:hAnsi="Arial" w:cs="Arial"/>
        </w:rPr>
      </w:pPr>
      <w:r w:rsidRPr="00B8572F">
        <w:rPr>
          <w:rFonts w:ascii="Arial" w:hAnsi="Arial" w:cs="Arial"/>
        </w:rPr>
        <w:t>social workers</w:t>
      </w:r>
    </w:p>
    <w:p w:rsidR="00EB08EC" w:rsidRPr="00B8572F" w:rsidRDefault="00EB08EC" w:rsidP="002C2467">
      <w:pPr>
        <w:numPr>
          <w:ilvl w:val="2"/>
          <w:numId w:val="9"/>
        </w:numPr>
        <w:tabs>
          <w:tab w:val="left" w:pos="1140"/>
        </w:tabs>
        <w:spacing w:before="120"/>
        <w:ind w:hanging="1593"/>
        <w:jc w:val="left"/>
        <w:rPr>
          <w:rFonts w:ascii="Arial" w:hAnsi="Arial" w:cs="Arial"/>
        </w:rPr>
      </w:pPr>
      <w:r w:rsidRPr="00B8572F">
        <w:rPr>
          <w:rFonts w:ascii="Arial" w:hAnsi="Arial" w:cs="Arial"/>
        </w:rPr>
        <w:t>podiatry</w:t>
      </w:r>
    </w:p>
    <w:p w:rsidR="00EB08EC" w:rsidRPr="00B8572F" w:rsidRDefault="00EB08EC" w:rsidP="00EB08EC">
      <w:pPr>
        <w:numPr>
          <w:ilvl w:val="0"/>
          <w:numId w:val="8"/>
        </w:numPr>
        <w:tabs>
          <w:tab w:val="clear" w:pos="720"/>
          <w:tab w:val="num" w:pos="570"/>
        </w:tabs>
        <w:spacing w:before="120"/>
        <w:ind w:left="627" w:hanging="570"/>
        <w:jc w:val="left"/>
        <w:rPr>
          <w:rFonts w:ascii="Arial" w:hAnsi="Arial" w:cs="Arial"/>
        </w:rPr>
      </w:pPr>
      <w:r w:rsidRPr="00B8572F">
        <w:rPr>
          <w:rFonts w:ascii="Arial" w:hAnsi="Arial" w:cs="Arial"/>
        </w:rPr>
        <w:t>ancillary services</w:t>
      </w:r>
    </w:p>
    <w:p w:rsidR="00EB08EC" w:rsidRPr="00B8572F" w:rsidRDefault="00EB08EC" w:rsidP="00EB08EC">
      <w:pPr>
        <w:numPr>
          <w:ilvl w:val="0"/>
          <w:numId w:val="8"/>
        </w:numPr>
        <w:tabs>
          <w:tab w:val="clear" w:pos="720"/>
          <w:tab w:val="num" w:pos="570"/>
        </w:tabs>
        <w:ind w:left="627" w:hanging="570"/>
        <w:jc w:val="left"/>
        <w:rPr>
          <w:rFonts w:ascii="Arial" w:hAnsi="Arial" w:cs="Arial"/>
        </w:rPr>
      </w:pPr>
      <w:r w:rsidRPr="00B8572F">
        <w:rPr>
          <w:rFonts w:ascii="Arial" w:hAnsi="Arial" w:cs="Arial"/>
        </w:rPr>
        <w:t>interpreting services (including sign language)</w:t>
      </w:r>
    </w:p>
    <w:p w:rsidR="00EB08EC" w:rsidRPr="00B8572F" w:rsidRDefault="00EB08EC" w:rsidP="00EB08EC">
      <w:pPr>
        <w:pStyle w:val="Heading2"/>
        <w:numPr>
          <w:ilvl w:val="0"/>
          <w:numId w:val="0"/>
        </w:numPr>
        <w:tabs>
          <w:tab w:val="left" w:pos="570"/>
        </w:tabs>
        <w:spacing w:before="120"/>
        <w:rPr>
          <w:rFonts w:cs="Arial"/>
          <w:bCs/>
          <w:i w:val="0"/>
        </w:rPr>
      </w:pPr>
      <w:r w:rsidRPr="00B8572F">
        <w:rPr>
          <w:rFonts w:cs="Arial"/>
          <w:bCs/>
          <w:i w:val="0"/>
        </w:rPr>
        <w:t>5.4</w:t>
      </w:r>
      <w:r w:rsidRPr="00B8572F">
        <w:rPr>
          <w:rFonts w:cs="Arial"/>
          <w:bCs/>
          <w:i w:val="0"/>
        </w:rPr>
        <w:tab/>
        <w:t>Key Inputs</w:t>
      </w:r>
    </w:p>
    <w:p w:rsidR="00EB08EC" w:rsidRPr="00B8572F" w:rsidRDefault="00EB08EC" w:rsidP="00EB08EC">
      <w:pPr>
        <w:spacing w:before="120"/>
        <w:rPr>
          <w:rFonts w:ascii="Arial" w:hAnsi="Arial" w:cs="Arial"/>
          <w:b/>
          <w:bCs/>
        </w:rPr>
      </w:pPr>
      <w:r w:rsidRPr="00B8572F">
        <w:rPr>
          <w:rFonts w:ascii="Arial" w:hAnsi="Arial" w:cs="Arial"/>
        </w:rPr>
        <w:t>This Service includes support from doctors, nurses, and procedural services such as operating suites, utensil sterilisation, pharmaceuticals, N</w:t>
      </w:r>
      <w:r w:rsidR="002C2467">
        <w:rPr>
          <w:rFonts w:ascii="Arial" w:hAnsi="Arial" w:cs="Arial"/>
        </w:rPr>
        <w:t xml:space="preserve">ew Zealand </w:t>
      </w:r>
      <w:r w:rsidRPr="00B8572F">
        <w:rPr>
          <w:rFonts w:ascii="Arial" w:hAnsi="Arial" w:cs="Arial"/>
        </w:rPr>
        <w:t xml:space="preserve">Blood Service. </w:t>
      </w:r>
    </w:p>
    <w:p w:rsidR="00EB08EC" w:rsidRPr="00B8572F" w:rsidRDefault="00EB08EC" w:rsidP="00EB08EC">
      <w:pPr>
        <w:pStyle w:val="Heading1"/>
        <w:numPr>
          <w:ilvl w:val="0"/>
          <w:numId w:val="0"/>
        </w:numPr>
        <w:tabs>
          <w:tab w:val="left" w:pos="570"/>
        </w:tabs>
        <w:spacing w:after="120"/>
        <w:jc w:val="left"/>
        <w:rPr>
          <w:rFonts w:cs="Arial"/>
          <w:bCs/>
          <w:i/>
          <w:sz w:val="24"/>
          <w:szCs w:val="24"/>
        </w:rPr>
      </w:pPr>
      <w:r w:rsidRPr="00B8572F">
        <w:rPr>
          <w:rFonts w:cs="Arial"/>
          <w:bCs/>
          <w:sz w:val="24"/>
          <w:szCs w:val="24"/>
        </w:rPr>
        <w:t>6.</w:t>
      </w:r>
      <w:r w:rsidRPr="00B8572F">
        <w:rPr>
          <w:rFonts w:cs="Arial"/>
          <w:bCs/>
          <w:sz w:val="24"/>
          <w:szCs w:val="24"/>
        </w:rPr>
        <w:tab/>
        <w:t>Service Linkages</w:t>
      </w:r>
    </w:p>
    <w:p w:rsidR="00EB08EC" w:rsidRPr="00B8572F" w:rsidRDefault="00EB08EC" w:rsidP="00EB08EC">
      <w:pPr>
        <w:rPr>
          <w:rFonts w:ascii="Arial" w:hAnsi="Arial" w:cs="Arial"/>
        </w:rPr>
      </w:pPr>
      <w:r w:rsidRPr="00B8572F">
        <w:rPr>
          <w:rFonts w:ascii="Arial" w:hAnsi="Arial" w:cs="Arial"/>
        </w:rPr>
        <w:t>The Service should be well integrated with other general and specialist services and that there is effective consultation, liaison and referral between services and sub-specialities.</w:t>
      </w:r>
    </w:p>
    <w:p w:rsidR="002C2467" w:rsidRDefault="00B8572F" w:rsidP="00437657">
      <w:pPr>
        <w:spacing w:before="120"/>
        <w:rPr>
          <w:rFonts w:ascii="Arial" w:hAnsi="Arial" w:cs="Arial"/>
          <w:lang w:val="en-US"/>
        </w:rPr>
      </w:pPr>
      <w:bookmarkStart w:id="0" w:name="_Toc215319158"/>
      <w:r>
        <w:rPr>
          <w:rFonts w:ascii="Arial" w:hAnsi="Arial" w:cs="Arial"/>
        </w:rPr>
        <w:t>Refer to</w:t>
      </w:r>
      <w:r w:rsidRPr="00B8572F">
        <w:rPr>
          <w:rFonts w:ascii="Arial" w:hAnsi="Arial" w:cs="Arial"/>
          <w:lang w:val="en-US"/>
        </w:rPr>
        <w:t xml:space="preserve"> </w:t>
      </w:r>
      <w:r>
        <w:rPr>
          <w:rFonts w:ascii="Arial" w:hAnsi="Arial" w:cs="Arial"/>
          <w:lang w:val="en-US"/>
        </w:rPr>
        <w:t xml:space="preserve">the </w:t>
      </w:r>
      <w:r w:rsidRPr="00B8572F">
        <w:rPr>
          <w:rFonts w:ascii="Arial" w:hAnsi="Arial" w:cs="Arial"/>
          <w:lang w:val="en-US"/>
        </w:rPr>
        <w:t xml:space="preserve">tier one </w:t>
      </w:r>
      <w:r>
        <w:rPr>
          <w:rFonts w:ascii="Arial" w:hAnsi="Arial" w:cs="Arial"/>
          <w:lang w:val="en-US"/>
        </w:rPr>
        <w:t xml:space="preserve">Specialist Medical and Surgical Services </w:t>
      </w:r>
      <w:r w:rsidRPr="00B8572F">
        <w:rPr>
          <w:rFonts w:ascii="Arial" w:hAnsi="Arial" w:cs="Arial"/>
          <w:lang w:val="en-US"/>
        </w:rPr>
        <w:t>service specification</w:t>
      </w:r>
      <w:r w:rsidR="00437657" w:rsidRPr="00437657">
        <w:rPr>
          <w:rFonts w:ascii="Arial" w:hAnsi="Arial" w:cs="Arial"/>
        </w:rPr>
        <w:t xml:space="preserve"> </w:t>
      </w:r>
      <w:r w:rsidR="00437657" w:rsidRPr="002C49FD">
        <w:rPr>
          <w:rFonts w:ascii="Arial" w:hAnsi="Arial" w:cs="Arial"/>
          <w:lang w:val="en-US"/>
        </w:rPr>
        <w:t>and Services for Children and Young People service specifications.</w:t>
      </w:r>
      <w:r w:rsidR="00437657">
        <w:rPr>
          <w:rFonts w:ascii="Arial" w:hAnsi="Arial" w:cs="Arial"/>
          <w:lang w:val="en-US"/>
        </w:rPr>
        <w:t xml:space="preserve"> </w:t>
      </w:r>
      <w:r w:rsidRPr="00B8572F">
        <w:rPr>
          <w:rFonts w:ascii="Arial" w:hAnsi="Arial" w:cs="Arial"/>
          <w:lang w:val="en-US"/>
        </w:rPr>
        <w:t xml:space="preserve"> </w:t>
      </w:r>
    </w:p>
    <w:p w:rsidR="0029447B" w:rsidRPr="00B8572F" w:rsidRDefault="00437657" w:rsidP="00437657">
      <w:pPr>
        <w:spacing w:before="120"/>
        <w:rPr>
          <w:rFonts w:ascii="Arial" w:hAnsi="Arial" w:cs="Arial"/>
        </w:rPr>
      </w:pPr>
      <w:r w:rsidRPr="00CA4FA6">
        <w:rPr>
          <w:rFonts w:ascii="Arial" w:hAnsi="Arial" w:cs="Arial"/>
        </w:rPr>
        <w:t>The Service is required to establish effective links and working arrangements and cooperation with</w:t>
      </w:r>
      <w:r>
        <w:rPr>
          <w:rFonts w:ascii="Arial" w:hAnsi="Arial" w:cs="Arial"/>
        </w:rPr>
        <w:t>,</w:t>
      </w:r>
      <w:r w:rsidRPr="00CA4FA6">
        <w:rPr>
          <w:rFonts w:ascii="Arial" w:hAnsi="Arial" w:cs="Arial"/>
        </w:rPr>
        <w:t xml:space="preserve"> but not limited to</w:t>
      </w:r>
      <w:r>
        <w:rPr>
          <w:rFonts w:ascii="Arial" w:hAnsi="Arial" w:cs="Arial"/>
        </w:rPr>
        <w:t>,</w:t>
      </w:r>
      <w:r w:rsidRPr="00CA4FA6">
        <w:rPr>
          <w:rFonts w:ascii="Arial" w:hAnsi="Arial" w:cs="Arial"/>
        </w:rPr>
        <w:t xml:space="preserve"> the following service providers</w:t>
      </w:r>
      <w:r w:rsidR="0029447B" w:rsidRPr="00B8572F">
        <w:rPr>
          <w:rFonts w:ascii="Arial" w:hAnsi="Arial" w:cs="Arial"/>
        </w:rPr>
        <w:t>:</w:t>
      </w:r>
      <w:bookmarkEnd w:id="0"/>
    </w:p>
    <w:p w:rsidR="00EB08EC" w:rsidRPr="00B8572F" w:rsidRDefault="00EB08EC" w:rsidP="00EB08EC">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9"/>
        <w:gridCol w:w="2230"/>
        <w:gridCol w:w="4009"/>
      </w:tblGrid>
      <w:tr w:rsidR="00EB08EC" w:rsidRPr="00B8572F">
        <w:trPr>
          <w:tblHeader/>
        </w:trPr>
        <w:tc>
          <w:tcPr>
            <w:tcW w:w="1760" w:type="pct"/>
            <w:shd w:val="clear" w:color="auto" w:fill="D9D9D9"/>
          </w:tcPr>
          <w:p w:rsidR="00EB08EC" w:rsidRPr="00B8572F" w:rsidRDefault="00EB08EC" w:rsidP="00EB08EC">
            <w:pPr>
              <w:spacing w:before="60" w:after="60"/>
              <w:rPr>
                <w:rFonts w:ascii="Arial" w:hAnsi="Arial" w:cs="Arial"/>
                <w:b/>
              </w:rPr>
            </w:pPr>
            <w:r w:rsidRPr="00B8572F">
              <w:rPr>
                <w:rFonts w:ascii="Arial" w:hAnsi="Arial" w:cs="Arial"/>
                <w:b/>
              </w:rPr>
              <w:t>Service Provider</w:t>
            </w:r>
          </w:p>
        </w:tc>
        <w:tc>
          <w:tcPr>
            <w:tcW w:w="1158" w:type="pct"/>
            <w:shd w:val="clear" w:color="auto" w:fill="D9D9D9"/>
          </w:tcPr>
          <w:p w:rsidR="00EB08EC" w:rsidRPr="00B8572F" w:rsidDel="00E3468B" w:rsidRDefault="00EB08EC" w:rsidP="00EB08EC">
            <w:pPr>
              <w:spacing w:before="60" w:after="60"/>
              <w:rPr>
                <w:rFonts w:ascii="Arial" w:hAnsi="Arial" w:cs="Arial"/>
                <w:b/>
              </w:rPr>
            </w:pPr>
            <w:r w:rsidRPr="00B8572F">
              <w:rPr>
                <w:rFonts w:ascii="Arial" w:hAnsi="Arial" w:cs="Arial"/>
                <w:b/>
              </w:rPr>
              <w:t>Nature of Linkage</w:t>
            </w:r>
          </w:p>
        </w:tc>
        <w:tc>
          <w:tcPr>
            <w:tcW w:w="2082" w:type="pct"/>
            <w:shd w:val="clear" w:color="auto" w:fill="D9D9D9"/>
          </w:tcPr>
          <w:p w:rsidR="00EB08EC" w:rsidRPr="00B8572F" w:rsidRDefault="00EB08EC" w:rsidP="00EB08EC">
            <w:pPr>
              <w:spacing w:before="60" w:after="60"/>
              <w:rPr>
                <w:rFonts w:ascii="Arial" w:hAnsi="Arial" w:cs="Arial"/>
                <w:b/>
              </w:rPr>
            </w:pPr>
            <w:r w:rsidRPr="00B8572F">
              <w:rPr>
                <w:rFonts w:ascii="Arial" w:hAnsi="Arial" w:cs="Arial"/>
                <w:b/>
              </w:rPr>
              <w:t>Accountabilities</w:t>
            </w:r>
          </w:p>
        </w:tc>
      </w:tr>
      <w:tr w:rsidR="00EB08EC" w:rsidRPr="00B8572F">
        <w:tc>
          <w:tcPr>
            <w:tcW w:w="1760" w:type="pct"/>
          </w:tcPr>
          <w:p w:rsidR="00EB08EC" w:rsidRPr="00B8572F" w:rsidRDefault="00437657" w:rsidP="00B8572F">
            <w:pPr>
              <w:spacing w:before="60" w:after="60"/>
              <w:jc w:val="left"/>
              <w:rPr>
                <w:rFonts w:ascii="Arial" w:hAnsi="Arial" w:cs="Arial"/>
              </w:rPr>
            </w:pPr>
            <w:r w:rsidRPr="00354AAA">
              <w:rPr>
                <w:rFonts w:ascii="Arial" w:hAnsi="Arial" w:cs="Arial"/>
                <w:lang w:val="en-US"/>
              </w:rPr>
              <w:t>Primary Health Care services</w:t>
            </w:r>
            <w:r>
              <w:rPr>
                <w:rFonts w:ascii="Arial" w:hAnsi="Arial" w:cs="Arial"/>
                <w:lang w:val="en-US"/>
              </w:rPr>
              <w:t>,</w:t>
            </w:r>
            <w:r w:rsidRPr="00354AAA">
              <w:rPr>
                <w:rFonts w:ascii="Arial" w:hAnsi="Arial" w:cs="Arial"/>
                <w:lang w:val="en-US"/>
              </w:rPr>
              <w:t xml:space="preserve"> General Practitioners, Nurse Practitioners, District Nurses</w:t>
            </w:r>
            <w:r>
              <w:rPr>
                <w:rFonts w:ascii="Arial" w:hAnsi="Arial" w:cs="Arial"/>
                <w:lang w:val="en-US"/>
              </w:rPr>
              <w:t xml:space="preserve"> </w:t>
            </w:r>
          </w:p>
        </w:tc>
        <w:tc>
          <w:tcPr>
            <w:tcW w:w="1158" w:type="pct"/>
          </w:tcPr>
          <w:p w:rsidR="00EB08EC" w:rsidRPr="00B8572F" w:rsidRDefault="00EB08EC" w:rsidP="00B8572F">
            <w:pPr>
              <w:spacing w:before="60" w:after="60"/>
              <w:jc w:val="left"/>
              <w:rPr>
                <w:rFonts w:ascii="Arial" w:hAnsi="Arial" w:cs="Arial"/>
              </w:rPr>
            </w:pPr>
            <w:r w:rsidRPr="00B8572F">
              <w:rPr>
                <w:rFonts w:ascii="Arial" w:hAnsi="Arial" w:cs="Arial"/>
              </w:rPr>
              <w:t>Referral and consultation</w:t>
            </w:r>
          </w:p>
        </w:tc>
        <w:tc>
          <w:tcPr>
            <w:tcW w:w="2082" w:type="pct"/>
          </w:tcPr>
          <w:p w:rsidR="00EB08EC" w:rsidRPr="00B8572F" w:rsidRDefault="00437657" w:rsidP="00B8572F">
            <w:pPr>
              <w:spacing w:before="60" w:after="60"/>
              <w:jc w:val="left"/>
              <w:rPr>
                <w:rFonts w:ascii="Arial" w:hAnsi="Arial" w:cs="Arial"/>
              </w:rPr>
            </w:pPr>
            <w:r w:rsidRPr="00354AAA">
              <w:rPr>
                <w:rFonts w:ascii="Arial" w:hAnsi="Arial" w:cs="Arial"/>
              </w:rPr>
              <w:t xml:space="preserve">Liaison with primary health care organisations and community based rehabilitation services </w:t>
            </w:r>
            <w:r w:rsidRPr="00354AAA">
              <w:rPr>
                <w:rFonts w:ascii="Arial" w:hAnsi="Arial" w:cs="Arial"/>
                <w:lang w:val="en-US"/>
              </w:rPr>
              <w:t>that support continuity of care</w:t>
            </w:r>
            <w:r w:rsidR="00EB08EC" w:rsidRPr="00B8572F">
              <w:rPr>
                <w:rFonts w:ascii="Arial" w:hAnsi="Arial" w:cs="Arial"/>
              </w:rPr>
              <w:t>.</w:t>
            </w:r>
          </w:p>
        </w:tc>
      </w:tr>
      <w:tr w:rsidR="00EB08EC" w:rsidRPr="00B8572F">
        <w:tc>
          <w:tcPr>
            <w:tcW w:w="1760" w:type="pct"/>
          </w:tcPr>
          <w:p w:rsidR="00EB08EC" w:rsidRPr="00B8572F" w:rsidRDefault="00437657" w:rsidP="00B8572F">
            <w:pPr>
              <w:ind w:right="317"/>
              <w:jc w:val="left"/>
              <w:rPr>
                <w:rFonts w:ascii="Arial" w:hAnsi="Arial" w:cs="Arial"/>
              </w:rPr>
            </w:pPr>
            <w:r w:rsidRPr="00354AAA">
              <w:rPr>
                <w:rFonts w:ascii="Arial" w:hAnsi="Arial" w:cs="Arial"/>
                <w:lang w:val="en-US"/>
              </w:rPr>
              <w:t xml:space="preserve">Other </w:t>
            </w:r>
            <w:r>
              <w:rPr>
                <w:rFonts w:ascii="Arial" w:hAnsi="Arial" w:cs="Arial"/>
                <w:lang w:val="en-US"/>
              </w:rPr>
              <w:t xml:space="preserve">health care professional </w:t>
            </w:r>
            <w:r w:rsidRPr="00354AAA">
              <w:rPr>
                <w:rFonts w:ascii="Arial" w:hAnsi="Arial" w:cs="Arial"/>
                <w:lang w:val="en-US"/>
              </w:rPr>
              <w:t>Specialists and registered medical practitioners</w:t>
            </w:r>
          </w:p>
        </w:tc>
        <w:tc>
          <w:tcPr>
            <w:tcW w:w="1158" w:type="pct"/>
          </w:tcPr>
          <w:p w:rsidR="00EB08EC" w:rsidRPr="00B8572F" w:rsidRDefault="00EB08EC" w:rsidP="00B8572F">
            <w:pPr>
              <w:spacing w:before="60" w:after="60"/>
              <w:jc w:val="left"/>
              <w:rPr>
                <w:rFonts w:ascii="Arial" w:hAnsi="Arial" w:cs="Arial"/>
              </w:rPr>
            </w:pPr>
            <w:r w:rsidRPr="00B8572F">
              <w:rPr>
                <w:rFonts w:ascii="Arial" w:hAnsi="Arial" w:cs="Arial"/>
              </w:rPr>
              <w:t xml:space="preserve">Referral and </w:t>
            </w:r>
            <w:r w:rsidR="00437657" w:rsidRPr="00437657">
              <w:rPr>
                <w:rFonts w:ascii="Arial" w:hAnsi="Arial" w:cs="Arial"/>
              </w:rPr>
              <w:t>consultation</w:t>
            </w:r>
            <w:r w:rsidRPr="00B8572F">
              <w:rPr>
                <w:rFonts w:ascii="Arial" w:hAnsi="Arial" w:cs="Arial"/>
              </w:rPr>
              <w:t xml:space="preserve"> </w:t>
            </w:r>
          </w:p>
        </w:tc>
        <w:tc>
          <w:tcPr>
            <w:tcW w:w="2082" w:type="pct"/>
          </w:tcPr>
          <w:p w:rsidR="00EB08EC" w:rsidRPr="00B8572F" w:rsidRDefault="00437657" w:rsidP="00B8572F">
            <w:pPr>
              <w:spacing w:before="60" w:after="60"/>
              <w:jc w:val="left"/>
              <w:rPr>
                <w:rFonts w:ascii="Arial" w:hAnsi="Arial" w:cs="Arial"/>
              </w:rPr>
            </w:pPr>
            <w:r w:rsidRPr="00354AAA">
              <w:rPr>
                <w:rFonts w:ascii="Arial" w:hAnsi="Arial" w:cs="Arial"/>
                <w:lang w:val="en-US"/>
              </w:rPr>
              <w:t>Clinical consultation and referral services that supports continuity of care</w:t>
            </w:r>
          </w:p>
        </w:tc>
      </w:tr>
      <w:tr w:rsidR="00EB08EC" w:rsidRPr="00B8572F">
        <w:trPr>
          <w:trHeight w:val="1066"/>
        </w:trPr>
        <w:tc>
          <w:tcPr>
            <w:tcW w:w="1760" w:type="pct"/>
          </w:tcPr>
          <w:p w:rsidR="00EB08EC" w:rsidRPr="00B8572F" w:rsidRDefault="00EB08EC" w:rsidP="00B8572F">
            <w:pPr>
              <w:jc w:val="left"/>
              <w:rPr>
                <w:rFonts w:ascii="Arial" w:hAnsi="Arial" w:cs="Arial"/>
              </w:rPr>
            </w:pPr>
            <w:r w:rsidRPr="00B8572F">
              <w:rPr>
                <w:rFonts w:ascii="Arial" w:hAnsi="Arial" w:cs="Arial"/>
              </w:rPr>
              <w:t>Social services, counselling, home help, community services, new migrant Community Health Workers</w:t>
            </w:r>
          </w:p>
        </w:tc>
        <w:tc>
          <w:tcPr>
            <w:tcW w:w="1158" w:type="pct"/>
          </w:tcPr>
          <w:p w:rsidR="00EB08EC" w:rsidRPr="00B8572F" w:rsidRDefault="00EB08EC" w:rsidP="00B8572F">
            <w:pPr>
              <w:spacing w:before="60" w:after="60"/>
              <w:jc w:val="left"/>
              <w:rPr>
                <w:rFonts w:ascii="Arial" w:hAnsi="Arial" w:cs="Arial"/>
              </w:rPr>
            </w:pPr>
            <w:r w:rsidRPr="00B8572F">
              <w:rPr>
                <w:rFonts w:ascii="Arial" w:hAnsi="Arial" w:cs="Arial"/>
              </w:rPr>
              <w:t>Referral and liaison</w:t>
            </w:r>
          </w:p>
        </w:tc>
        <w:tc>
          <w:tcPr>
            <w:tcW w:w="2082" w:type="pct"/>
          </w:tcPr>
          <w:p w:rsidR="00EB08EC" w:rsidRPr="00B8572F" w:rsidRDefault="00EB08EC" w:rsidP="00B8572F">
            <w:pPr>
              <w:spacing w:before="60" w:after="60"/>
              <w:jc w:val="left"/>
              <w:rPr>
                <w:rFonts w:ascii="Arial" w:hAnsi="Arial" w:cs="Arial"/>
              </w:rPr>
            </w:pPr>
            <w:r w:rsidRPr="00B8572F">
              <w:rPr>
                <w:rFonts w:ascii="Arial" w:hAnsi="Arial" w:cs="Arial"/>
              </w:rPr>
              <w:t>Assessment, treatment and intervention that supports seamless service delivery and continuity of care</w:t>
            </w:r>
          </w:p>
        </w:tc>
      </w:tr>
      <w:tr w:rsidR="00EB08EC" w:rsidRPr="00B8572F">
        <w:trPr>
          <w:trHeight w:val="858"/>
        </w:trPr>
        <w:tc>
          <w:tcPr>
            <w:tcW w:w="1760" w:type="pct"/>
            <w:tcBorders>
              <w:bottom w:val="single" w:sz="6" w:space="0" w:color="auto"/>
            </w:tcBorders>
          </w:tcPr>
          <w:p w:rsidR="00EB08EC" w:rsidRPr="00B8572F" w:rsidDel="00EE4838" w:rsidRDefault="00437657" w:rsidP="00437657">
            <w:pPr>
              <w:spacing w:before="60" w:after="60"/>
              <w:jc w:val="left"/>
              <w:rPr>
                <w:rFonts w:ascii="Arial" w:hAnsi="Arial" w:cs="Arial"/>
              </w:rPr>
            </w:pPr>
            <w:r w:rsidRPr="00354AAA">
              <w:rPr>
                <w:rFonts w:ascii="Arial" w:hAnsi="Arial" w:cs="Arial"/>
                <w:lang w:val="en-US"/>
              </w:rPr>
              <w:t>Community and social services</w:t>
            </w:r>
            <w:r>
              <w:rPr>
                <w:rFonts w:ascii="Arial" w:hAnsi="Arial" w:cs="Arial"/>
                <w:lang w:val="en-US"/>
              </w:rPr>
              <w:t>,</w:t>
            </w:r>
            <w:r w:rsidRPr="00354AAA">
              <w:rPr>
                <w:rFonts w:ascii="Arial" w:hAnsi="Arial" w:cs="Arial"/>
                <w:lang w:val="en-US"/>
              </w:rPr>
              <w:t xml:space="preserve"> District Nurses</w:t>
            </w:r>
          </w:p>
        </w:tc>
        <w:tc>
          <w:tcPr>
            <w:tcW w:w="1158" w:type="pct"/>
            <w:tcBorders>
              <w:bottom w:val="single" w:sz="6" w:space="0" w:color="auto"/>
            </w:tcBorders>
          </w:tcPr>
          <w:p w:rsidR="00EB08EC" w:rsidRPr="00B8572F" w:rsidRDefault="00EB08EC" w:rsidP="00B8572F">
            <w:pPr>
              <w:spacing w:before="60" w:after="60"/>
              <w:jc w:val="left"/>
              <w:rPr>
                <w:rFonts w:ascii="Arial" w:hAnsi="Arial" w:cs="Arial"/>
              </w:rPr>
            </w:pPr>
            <w:r w:rsidRPr="00B8572F">
              <w:rPr>
                <w:rFonts w:ascii="Arial" w:hAnsi="Arial" w:cs="Arial"/>
              </w:rPr>
              <w:t>Referral and liaison</w:t>
            </w:r>
          </w:p>
        </w:tc>
        <w:tc>
          <w:tcPr>
            <w:tcW w:w="2082" w:type="pct"/>
            <w:tcBorders>
              <w:bottom w:val="single" w:sz="6" w:space="0" w:color="auto"/>
            </w:tcBorders>
          </w:tcPr>
          <w:p w:rsidR="00EB08EC" w:rsidRPr="00B8572F" w:rsidDel="00EE4838" w:rsidRDefault="00EB08EC" w:rsidP="00B8572F">
            <w:pPr>
              <w:spacing w:before="60" w:after="60"/>
              <w:jc w:val="left"/>
              <w:rPr>
                <w:rFonts w:ascii="Arial" w:hAnsi="Arial" w:cs="Arial"/>
              </w:rPr>
            </w:pPr>
            <w:r w:rsidRPr="00B8572F">
              <w:rPr>
                <w:rFonts w:ascii="Arial" w:hAnsi="Arial" w:cs="Arial"/>
              </w:rPr>
              <w:t>Assessment, treatment and intervention that supports seamless service delivery and continuity of care</w:t>
            </w:r>
          </w:p>
        </w:tc>
      </w:tr>
      <w:tr w:rsidR="0029447B" w:rsidRPr="00B8572F">
        <w:tc>
          <w:tcPr>
            <w:tcW w:w="1760" w:type="pct"/>
            <w:tcBorders>
              <w:top w:val="single" w:sz="6" w:space="0" w:color="auto"/>
              <w:left w:val="single" w:sz="6" w:space="0" w:color="auto"/>
              <w:bottom w:val="single" w:sz="6" w:space="0" w:color="auto"/>
              <w:right w:val="single" w:sz="6" w:space="0" w:color="auto"/>
            </w:tcBorders>
          </w:tcPr>
          <w:p w:rsidR="0029447B" w:rsidRPr="00B8572F" w:rsidRDefault="0029447B" w:rsidP="00B8572F">
            <w:pPr>
              <w:spacing w:before="120"/>
              <w:jc w:val="left"/>
              <w:rPr>
                <w:rFonts w:ascii="Arial" w:hAnsi="Arial" w:cs="Arial"/>
              </w:rPr>
            </w:pPr>
            <w:r w:rsidRPr="00B8572F">
              <w:rPr>
                <w:rFonts w:ascii="Arial" w:hAnsi="Arial" w:cs="Arial"/>
              </w:rPr>
              <w:t xml:space="preserve">Providers of Disability Support Services </w:t>
            </w:r>
          </w:p>
        </w:tc>
        <w:tc>
          <w:tcPr>
            <w:tcW w:w="1158" w:type="pct"/>
            <w:tcBorders>
              <w:top w:val="single" w:sz="6" w:space="0" w:color="auto"/>
              <w:left w:val="single" w:sz="6" w:space="0" w:color="auto"/>
              <w:bottom w:val="single" w:sz="6" w:space="0" w:color="auto"/>
              <w:right w:val="single" w:sz="6" w:space="0" w:color="auto"/>
            </w:tcBorders>
          </w:tcPr>
          <w:p w:rsidR="0029447B" w:rsidRPr="00B8572F" w:rsidRDefault="0029447B" w:rsidP="00B8572F">
            <w:pPr>
              <w:spacing w:before="120"/>
              <w:jc w:val="left"/>
              <w:rPr>
                <w:rFonts w:ascii="Arial" w:hAnsi="Arial" w:cs="Arial"/>
              </w:rPr>
            </w:pPr>
            <w:r w:rsidRPr="00B8572F">
              <w:rPr>
                <w:rFonts w:ascii="Arial" w:hAnsi="Arial" w:cs="Arial"/>
              </w:rPr>
              <w:t>Referral</w:t>
            </w:r>
          </w:p>
          <w:p w:rsidR="0029447B" w:rsidRPr="00B8572F" w:rsidRDefault="0029447B" w:rsidP="00B8572F">
            <w:pPr>
              <w:spacing w:before="120"/>
              <w:jc w:val="left"/>
              <w:rPr>
                <w:rFonts w:ascii="Arial" w:hAnsi="Arial" w:cs="Arial"/>
              </w:rPr>
            </w:pPr>
            <w:r w:rsidRPr="00B8572F">
              <w:rPr>
                <w:rFonts w:ascii="Arial" w:hAnsi="Arial" w:cs="Arial"/>
              </w:rPr>
              <w:t>Liaison</w:t>
            </w:r>
          </w:p>
          <w:p w:rsidR="0029447B" w:rsidRPr="00B8572F" w:rsidRDefault="0029447B" w:rsidP="00B8572F">
            <w:pPr>
              <w:spacing w:before="120"/>
              <w:jc w:val="left"/>
              <w:rPr>
                <w:rFonts w:ascii="Arial" w:hAnsi="Arial" w:cs="Arial"/>
              </w:rPr>
            </w:pPr>
            <w:r w:rsidRPr="00B8572F">
              <w:rPr>
                <w:rFonts w:ascii="Arial" w:hAnsi="Arial" w:cs="Arial"/>
              </w:rPr>
              <w:t>Collaboration</w:t>
            </w:r>
          </w:p>
        </w:tc>
        <w:tc>
          <w:tcPr>
            <w:tcW w:w="2082" w:type="pct"/>
            <w:tcBorders>
              <w:top w:val="single" w:sz="6" w:space="0" w:color="auto"/>
              <w:left w:val="single" w:sz="6" w:space="0" w:color="auto"/>
              <w:bottom w:val="single" w:sz="6" w:space="0" w:color="auto"/>
              <w:right w:val="single" w:sz="6" w:space="0" w:color="auto"/>
            </w:tcBorders>
          </w:tcPr>
          <w:p w:rsidR="0029447B" w:rsidRPr="00B8572F" w:rsidRDefault="0029447B" w:rsidP="00B8572F">
            <w:pPr>
              <w:spacing w:before="120"/>
              <w:jc w:val="left"/>
              <w:rPr>
                <w:rFonts w:ascii="Arial" w:hAnsi="Arial" w:cs="Arial"/>
              </w:rPr>
            </w:pPr>
            <w:r w:rsidRPr="00B8572F">
              <w:rPr>
                <w:rFonts w:ascii="Arial" w:hAnsi="Arial" w:cs="Arial"/>
              </w:rPr>
              <w:t>Work collaboratively with intellectual and other disability support services and facilitate access to those services when needed.</w:t>
            </w:r>
          </w:p>
        </w:tc>
      </w:tr>
      <w:tr w:rsidR="00437657" w:rsidRPr="00B8572F">
        <w:tc>
          <w:tcPr>
            <w:tcW w:w="1760" w:type="pct"/>
            <w:tcBorders>
              <w:top w:val="single" w:sz="6" w:space="0" w:color="auto"/>
              <w:left w:val="single" w:sz="6" w:space="0" w:color="auto"/>
              <w:bottom w:val="single" w:sz="6" w:space="0" w:color="auto"/>
              <w:right w:val="single" w:sz="6" w:space="0" w:color="auto"/>
            </w:tcBorders>
          </w:tcPr>
          <w:p w:rsidR="00437657" w:rsidRPr="00354AAA" w:rsidRDefault="00437657" w:rsidP="00437657">
            <w:pPr>
              <w:rPr>
                <w:rFonts w:ascii="Arial" w:hAnsi="Arial" w:cs="Arial"/>
              </w:rPr>
            </w:pPr>
            <w:r w:rsidRPr="00354AAA">
              <w:rPr>
                <w:rFonts w:ascii="Arial" w:hAnsi="Arial" w:cs="Arial"/>
                <w:lang w:val="en-US"/>
              </w:rPr>
              <w:t>Consumer support groups</w:t>
            </w:r>
          </w:p>
          <w:p w:rsidR="00437657" w:rsidRPr="00354AAA" w:rsidRDefault="00437657" w:rsidP="00437657">
            <w:pPr>
              <w:rPr>
                <w:rFonts w:ascii="Arial" w:hAnsi="Arial" w:cs="Arial"/>
                <w:lang w:val="en-US"/>
              </w:rPr>
            </w:pPr>
          </w:p>
        </w:tc>
        <w:tc>
          <w:tcPr>
            <w:tcW w:w="1158" w:type="pct"/>
            <w:tcBorders>
              <w:top w:val="single" w:sz="6" w:space="0" w:color="auto"/>
              <w:left w:val="single" w:sz="6" w:space="0" w:color="auto"/>
              <w:bottom w:val="single" w:sz="6" w:space="0" w:color="auto"/>
              <w:right w:val="single" w:sz="6" w:space="0" w:color="auto"/>
            </w:tcBorders>
          </w:tcPr>
          <w:p w:rsidR="00437657" w:rsidRPr="00354AAA" w:rsidRDefault="00437657" w:rsidP="00437657">
            <w:pPr>
              <w:rPr>
                <w:rFonts w:ascii="Arial" w:hAnsi="Arial" w:cs="Arial"/>
                <w:lang w:val="en-US"/>
              </w:rPr>
            </w:pPr>
            <w:r w:rsidRPr="00354AAA">
              <w:rPr>
                <w:rFonts w:ascii="Arial" w:hAnsi="Arial" w:cs="Arial"/>
                <w:lang w:val="en-US"/>
              </w:rPr>
              <w:t>Consumer support and information</w:t>
            </w:r>
          </w:p>
        </w:tc>
        <w:tc>
          <w:tcPr>
            <w:tcW w:w="2082" w:type="pct"/>
            <w:tcBorders>
              <w:top w:val="single" w:sz="6" w:space="0" w:color="auto"/>
              <w:left w:val="single" w:sz="6" w:space="0" w:color="auto"/>
              <w:bottom w:val="single" w:sz="6" w:space="0" w:color="auto"/>
              <w:right w:val="single" w:sz="6" w:space="0" w:color="auto"/>
            </w:tcBorders>
          </w:tcPr>
          <w:p w:rsidR="00437657" w:rsidRPr="00354AAA" w:rsidRDefault="00437657" w:rsidP="00437657">
            <w:pPr>
              <w:rPr>
                <w:rFonts w:ascii="Arial" w:hAnsi="Arial" w:cs="Arial"/>
                <w:lang w:val="en-US"/>
              </w:rPr>
            </w:pPr>
            <w:r w:rsidRPr="00354AAA">
              <w:rPr>
                <w:rFonts w:ascii="Arial" w:hAnsi="Arial" w:cs="Arial"/>
              </w:rPr>
              <w:t>Effective regional linkages to ensure patients access appropriate services</w:t>
            </w:r>
          </w:p>
        </w:tc>
      </w:tr>
    </w:tbl>
    <w:p w:rsidR="00EB08EC" w:rsidRPr="00B8572F" w:rsidRDefault="00EB08EC" w:rsidP="00EB08EC">
      <w:pPr>
        <w:pStyle w:val="Heading1"/>
        <w:numPr>
          <w:ilvl w:val="0"/>
          <w:numId w:val="0"/>
        </w:numPr>
        <w:tabs>
          <w:tab w:val="left" w:pos="570"/>
        </w:tabs>
        <w:spacing w:after="120"/>
        <w:rPr>
          <w:rFonts w:cs="Arial"/>
          <w:bCs/>
          <w:sz w:val="24"/>
          <w:szCs w:val="24"/>
        </w:rPr>
      </w:pPr>
      <w:r w:rsidRPr="00B8572F">
        <w:rPr>
          <w:rFonts w:cs="Arial"/>
          <w:bCs/>
          <w:sz w:val="24"/>
          <w:szCs w:val="24"/>
        </w:rPr>
        <w:t>7.</w:t>
      </w:r>
      <w:r w:rsidRPr="00B8572F">
        <w:rPr>
          <w:rFonts w:cs="Arial"/>
          <w:bCs/>
          <w:sz w:val="24"/>
          <w:szCs w:val="24"/>
        </w:rPr>
        <w:tab/>
        <w:t>Exclusions</w:t>
      </w:r>
    </w:p>
    <w:p w:rsidR="00EB08EC" w:rsidRDefault="00EB08EC" w:rsidP="00EB08EC">
      <w:pPr>
        <w:pStyle w:val="BodyTextIndent2"/>
        <w:spacing w:before="120"/>
        <w:ind w:left="0"/>
        <w:jc w:val="left"/>
        <w:rPr>
          <w:rFonts w:ascii="Arial" w:hAnsi="Arial" w:cs="Arial"/>
          <w:i w:val="0"/>
          <w:sz w:val="24"/>
          <w:szCs w:val="24"/>
        </w:rPr>
      </w:pPr>
      <w:r w:rsidRPr="00B8572F">
        <w:rPr>
          <w:rFonts w:ascii="Arial" w:hAnsi="Arial" w:cs="Arial"/>
          <w:i w:val="0"/>
          <w:sz w:val="24"/>
          <w:szCs w:val="24"/>
        </w:rPr>
        <w:t xml:space="preserve">For hospice and home support services refer to the </w:t>
      </w:r>
      <w:r w:rsidR="00B8572F">
        <w:rPr>
          <w:rFonts w:ascii="Arial" w:hAnsi="Arial" w:cs="Arial"/>
          <w:i w:val="0"/>
          <w:sz w:val="24"/>
          <w:szCs w:val="24"/>
        </w:rPr>
        <w:t xml:space="preserve">Medical </w:t>
      </w:r>
      <w:r w:rsidRPr="00B8572F">
        <w:rPr>
          <w:rFonts w:ascii="Arial" w:hAnsi="Arial" w:cs="Arial"/>
          <w:i w:val="0"/>
          <w:sz w:val="24"/>
          <w:szCs w:val="24"/>
        </w:rPr>
        <w:t xml:space="preserve">Oncology </w:t>
      </w:r>
      <w:r w:rsidR="00B8572F">
        <w:rPr>
          <w:rFonts w:ascii="Arial" w:hAnsi="Arial" w:cs="Arial"/>
          <w:i w:val="0"/>
          <w:sz w:val="24"/>
          <w:szCs w:val="24"/>
        </w:rPr>
        <w:t xml:space="preserve">Services, Paediatric Oncology Services </w:t>
      </w:r>
      <w:r w:rsidRPr="00B8572F">
        <w:rPr>
          <w:rFonts w:ascii="Arial" w:hAnsi="Arial" w:cs="Arial"/>
          <w:i w:val="0"/>
          <w:sz w:val="24"/>
          <w:szCs w:val="24"/>
        </w:rPr>
        <w:t xml:space="preserve">and </w:t>
      </w:r>
      <w:r w:rsidR="00B8572F">
        <w:rPr>
          <w:rFonts w:ascii="Arial" w:hAnsi="Arial" w:cs="Arial"/>
          <w:i w:val="0"/>
          <w:sz w:val="24"/>
          <w:szCs w:val="24"/>
        </w:rPr>
        <w:t xml:space="preserve">Specialist </w:t>
      </w:r>
      <w:r w:rsidRPr="00B8572F">
        <w:rPr>
          <w:rFonts w:ascii="Arial" w:hAnsi="Arial" w:cs="Arial"/>
          <w:i w:val="0"/>
          <w:sz w:val="24"/>
          <w:szCs w:val="24"/>
        </w:rPr>
        <w:t xml:space="preserve">Palliative Care </w:t>
      </w:r>
      <w:r w:rsidR="00B8572F">
        <w:rPr>
          <w:rFonts w:ascii="Arial" w:hAnsi="Arial" w:cs="Arial"/>
          <w:i w:val="0"/>
          <w:sz w:val="24"/>
          <w:szCs w:val="24"/>
        </w:rPr>
        <w:t>s</w:t>
      </w:r>
      <w:r w:rsidRPr="00B8572F">
        <w:rPr>
          <w:rFonts w:ascii="Arial" w:hAnsi="Arial" w:cs="Arial"/>
          <w:i w:val="0"/>
          <w:sz w:val="24"/>
          <w:szCs w:val="24"/>
        </w:rPr>
        <w:t xml:space="preserve">ervice </w:t>
      </w:r>
      <w:r w:rsidR="00B8572F">
        <w:rPr>
          <w:rFonts w:ascii="Arial" w:hAnsi="Arial" w:cs="Arial"/>
          <w:i w:val="0"/>
          <w:sz w:val="24"/>
          <w:szCs w:val="24"/>
        </w:rPr>
        <w:t>s</w:t>
      </w:r>
      <w:r w:rsidRPr="00B8572F">
        <w:rPr>
          <w:rFonts w:ascii="Arial" w:hAnsi="Arial" w:cs="Arial"/>
          <w:i w:val="0"/>
          <w:sz w:val="24"/>
          <w:szCs w:val="24"/>
        </w:rPr>
        <w:t>pecifications.</w:t>
      </w:r>
    </w:p>
    <w:p w:rsidR="00AC5E8E" w:rsidRPr="00F52D61" w:rsidRDefault="00AC5E8E" w:rsidP="00AC5E8E">
      <w:pPr>
        <w:spacing w:before="120"/>
        <w:jc w:val="left"/>
        <w:rPr>
          <w:rFonts w:ascii="Arial" w:hAnsi="Arial" w:cs="Arial"/>
        </w:rPr>
      </w:pPr>
      <w:r>
        <w:rPr>
          <w:rFonts w:ascii="Arial" w:hAnsi="Arial" w:cs="Arial"/>
          <w:bCs/>
        </w:rPr>
        <w:t>W</w:t>
      </w:r>
      <w:r w:rsidRPr="00F52D61">
        <w:rPr>
          <w:rFonts w:ascii="Arial" w:hAnsi="Arial" w:cs="Arial"/>
          <w:bCs/>
        </w:rPr>
        <w:t>here people are eligible for services funded under the Injury Prevention, Rehabilitation, and Compensation Act 2001, they are excluded from receiving the</w:t>
      </w:r>
      <w:r w:rsidR="007B3EDD">
        <w:rPr>
          <w:rFonts w:ascii="Arial" w:hAnsi="Arial" w:cs="Arial"/>
          <w:bCs/>
        </w:rPr>
        <w:t xml:space="preserve"> S</w:t>
      </w:r>
      <w:r w:rsidRPr="00F52D61">
        <w:rPr>
          <w:rFonts w:ascii="Arial" w:hAnsi="Arial" w:cs="Arial"/>
          <w:bCs/>
        </w:rPr>
        <w:t>ervice through public funding under Vote: Health.</w:t>
      </w:r>
    </w:p>
    <w:p w:rsidR="00EB08EC" w:rsidRPr="00B8572F" w:rsidRDefault="00EB08EC" w:rsidP="00EB08EC">
      <w:pPr>
        <w:pStyle w:val="Heading1"/>
        <w:numPr>
          <w:ilvl w:val="0"/>
          <w:numId w:val="0"/>
        </w:numPr>
        <w:tabs>
          <w:tab w:val="left" w:pos="513"/>
        </w:tabs>
        <w:spacing w:after="120"/>
        <w:rPr>
          <w:rFonts w:cs="Arial"/>
          <w:sz w:val="24"/>
          <w:szCs w:val="24"/>
        </w:rPr>
      </w:pPr>
      <w:r w:rsidRPr="00B8572F">
        <w:rPr>
          <w:rFonts w:cs="Arial"/>
          <w:sz w:val="24"/>
          <w:szCs w:val="24"/>
        </w:rPr>
        <w:t>8.</w:t>
      </w:r>
      <w:r w:rsidRPr="00B8572F">
        <w:rPr>
          <w:rFonts w:cs="Arial"/>
          <w:sz w:val="24"/>
          <w:szCs w:val="24"/>
        </w:rPr>
        <w:tab/>
        <w:t>Quality Requirements</w:t>
      </w:r>
    </w:p>
    <w:p w:rsidR="00DF5664" w:rsidRDefault="00DF5664" w:rsidP="00DF5664">
      <w:pPr>
        <w:pStyle w:val="Heading1"/>
        <w:numPr>
          <w:ilvl w:val="0"/>
          <w:numId w:val="0"/>
        </w:numPr>
        <w:shd w:val="clear" w:color="auto" w:fill="FFFFFF"/>
        <w:tabs>
          <w:tab w:val="left" w:pos="567"/>
        </w:tabs>
        <w:spacing w:before="0" w:after="0"/>
        <w:jc w:val="left"/>
        <w:rPr>
          <w:rFonts w:cs="Arial"/>
          <w:b w:val="0"/>
          <w:sz w:val="24"/>
          <w:szCs w:val="24"/>
        </w:rPr>
      </w:pPr>
      <w:r w:rsidRPr="00F84BD4">
        <w:rPr>
          <w:rFonts w:ascii="Arial Mäori" w:hAnsi="Arial Mäori" w:cs="Arial Mäori"/>
          <w:b w:val="0"/>
          <w:color w:val="000000"/>
          <w:sz w:val="24"/>
          <w:szCs w:val="24"/>
          <w:lang w:val="en-US"/>
        </w:rPr>
        <w:t xml:space="preserve">The </w:t>
      </w:r>
      <w:r>
        <w:rPr>
          <w:rFonts w:ascii="Arial Mäori" w:hAnsi="Arial Mäori" w:cs="Arial Mäori"/>
          <w:b w:val="0"/>
          <w:color w:val="000000"/>
          <w:sz w:val="24"/>
          <w:szCs w:val="24"/>
          <w:lang w:val="en-US"/>
        </w:rPr>
        <w:t>S</w:t>
      </w:r>
      <w:r w:rsidRPr="00F84BD4">
        <w:rPr>
          <w:rFonts w:ascii="Arial Mäori" w:hAnsi="Arial Mäori" w:cs="Arial Mäori"/>
          <w:b w:val="0"/>
          <w:color w:val="000000"/>
          <w:sz w:val="24"/>
          <w:szCs w:val="24"/>
          <w:lang w:val="en-US"/>
        </w:rPr>
        <w:t>ervice must comply with the Provider Quality Standards described in the Oper</w:t>
      </w:r>
      <w:r>
        <w:rPr>
          <w:rFonts w:ascii="Arial Mäori" w:hAnsi="Arial Mäori" w:cs="Arial Mäori"/>
          <w:b w:val="0"/>
          <w:color w:val="000000"/>
          <w:sz w:val="24"/>
          <w:szCs w:val="24"/>
          <w:lang w:val="en-US"/>
        </w:rPr>
        <w:t xml:space="preserve">ational Policy Framework </w:t>
      </w:r>
      <w:r w:rsidRPr="00F84BD4">
        <w:rPr>
          <w:rFonts w:ascii="Arial Mäori" w:hAnsi="Arial Mäori" w:cs="Arial Mäori"/>
          <w:b w:val="0"/>
          <w:color w:val="000000"/>
          <w:sz w:val="24"/>
          <w:szCs w:val="24"/>
          <w:lang w:val="en-US"/>
        </w:rPr>
        <w:t xml:space="preserve">or, as applicable, Crown Funding Agreement </w:t>
      </w:r>
      <w:r>
        <w:rPr>
          <w:rFonts w:ascii="Arial Mäori" w:hAnsi="Arial Mäori" w:cs="Arial Mäori"/>
          <w:b w:val="0"/>
          <w:color w:val="000000"/>
          <w:sz w:val="24"/>
          <w:szCs w:val="24"/>
          <w:lang w:val="en-US"/>
        </w:rPr>
        <w:t>v</w:t>
      </w:r>
      <w:r w:rsidRPr="00F84BD4">
        <w:rPr>
          <w:rFonts w:ascii="Arial Mäori" w:hAnsi="Arial Mäori" w:cs="Arial Mäori"/>
          <w:b w:val="0"/>
          <w:color w:val="000000"/>
          <w:sz w:val="24"/>
          <w:szCs w:val="24"/>
          <w:lang w:val="en-US"/>
        </w:rPr>
        <w:t>ariations, contracts or service level agreements.</w:t>
      </w:r>
      <w:r w:rsidRPr="00F84BD4" w:rsidDel="00F84BD4">
        <w:rPr>
          <w:rFonts w:cs="Arial"/>
          <w:b w:val="0"/>
          <w:sz w:val="24"/>
          <w:szCs w:val="24"/>
        </w:rPr>
        <w:t xml:space="preserve"> </w:t>
      </w:r>
    </w:p>
    <w:p w:rsidR="00EB08EC" w:rsidRPr="00B8572F" w:rsidRDefault="00EB08EC" w:rsidP="00DF5664">
      <w:pPr>
        <w:spacing w:before="120"/>
      </w:pPr>
      <w:r w:rsidRPr="00F43325">
        <w:rPr>
          <w:rFonts w:ascii="Arial" w:hAnsi="Arial" w:cs="Arial"/>
          <w:b/>
        </w:rPr>
        <w:t>9.</w:t>
      </w:r>
      <w:r w:rsidRPr="00F43325">
        <w:rPr>
          <w:rFonts w:ascii="Arial" w:hAnsi="Arial" w:cs="Arial"/>
          <w:b/>
        </w:rPr>
        <w:tab/>
        <w:t>Purchase Units and Reporting Requirements</w:t>
      </w:r>
    </w:p>
    <w:p w:rsidR="00EB08EC" w:rsidRPr="00B8572F" w:rsidRDefault="00EB08EC" w:rsidP="00F43325">
      <w:pPr>
        <w:spacing w:before="120"/>
        <w:rPr>
          <w:rFonts w:ascii="Arial" w:hAnsi="Arial" w:cs="Arial"/>
        </w:rPr>
      </w:pPr>
      <w:r w:rsidRPr="00B8572F">
        <w:rPr>
          <w:rFonts w:ascii="Arial" w:hAnsi="Arial" w:cs="Arial"/>
        </w:rPr>
        <w:t>Purchase Units are defined in the joint DHB and Ministry’s Nationwide Service Framework Purchase Unit Data Dictionary.  The following Purchase Units apply to this Service:</w:t>
      </w:r>
    </w:p>
    <w:p w:rsidR="00EB08EC" w:rsidRPr="00B8572F" w:rsidRDefault="00EB08EC" w:rsidP="00EB08EC">
      <w:pPr>
        <w:rPr>
          <w:rFonts w:ascii="Arial" w:hAnsi="Arial" w:cs="Arial"/>
        </w:rPr>
      </w:pPr>
    </w:p>
    <w:tbl>
      <w:tblPr>
        <w:tblW w:w="494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56"/>
        <w:gridCol w:w="1845"/>
        <w:gridCol w:w="3571"/>
        <w:gridCol w:w="1523"/>
        <w:gridCol w:w="1523"/>
      </w:tblGrid>
      <w:tr w:rsidR="00490BB7" w:rsidRPr="00B8572F" w:rsidTr="00C65FEE">
        <w:trPr>
          <w:cantSplit/>
          <w:trHeight w:val="536"/>
          <w:tblHeader/>
        </w:trPr>
        <w:tc>
          <w:tcPr>
            <w:tcW w:w="554" w:type="pct"/>
            <w:shd w:val="clear" w:color="auto" w:fill="C0C0C0"/>
          </w:tcPr>
          <w:p w:rsidR="00490BB7" w:rsidRPr="00B8572F" w:rsidRDefault="00490BB7" w:rsidP="00EB08EC">
            <w:pPr>
              <w:spacing w:before="120" w:after="120"/>
              <w:jc w:val="left"/>
              <w:rPr>
                <w:rFonts w:ascii="Arial" w:hAnsi="Arial" w:cs="Arial"/>
                <w:b/>
                <w:sz w:val="20"/>
                <w:szCs w:val="20"/>
              </w:rPr>
            </w:pPr>
            <w:r w:rsidRPr="00B8572F">
              <w:rPr>
                <w:rFonts w:ascii="Arial" w:hAnsi="Arial" w:cs="Arial"/>
                <w:b/>
                <w:sz w:val="20"/>
                <w:szCs w:val="20"/>
              </w:rPr>
              <w:t>PU Code</w:t>
            </w:r>
          </w:p>
        </w:tc>
        <w:tc>
          <w:tcPr>
            <w:tcW w:w="969" w:type="pct"/>
            <w:shd w:val="clear" w:color="auto" w:fill="C0C0C0"/>
          </w:tcPr>
          <w:p w:rsidR="00490BB7" w:rsidRPr="00B8572F" w:rsidRDefault="00490BB7" w:rsidP="00EB08EC">
            <w:pPr>
              <w:pStyle w:val="Heading5"/>
              <w:numPr>
                <w:ilvl w:val="0"/>
                <w:numId w:val="0"/>
              </w:numPr>
              <w:spacing w:before="120" w:after="120"/>
              <w:rPr>
                <w:rFonts w:cs="Arial"/>
                <w:b/>
                <w:sz w:val="20"/>
              </w:rPr>
            </w:pPr>
            <w:r w:rsidRPr="00B8572F">
              <w:rPr>
                <w:rFonts w:cs="Arial"/>
                <w:b/>
                <w:sz w:val="20"/>
              </w:rPr>
              <w:t>PU Description</w:t>
            </w:r>
          </w:p>
        </w:tc>
        <w:tc>
          <w:tcPr>
            <w:tcW w:w="1876" w:type="pct"/>
            <w:shd w:val="clear" w:color="auto" w:fill="C0C0C0"/>
          </w:tcPr>
          <w:p w:rsidR="00490BB7" w:rsidRPr="00B8572F" w:rsidRDefault="00490BB7" w:rsidP="00EB08EC">
            <w:pPr>
              <w:spacing w:before="120" w:after="120"/>
              <w:jc w:val="left"/>
              <w:rPr>
                <w:rFonts w:ascii="Arial" w:hAnsi="Arial" w:cs="Arial"/>
                <w:b/>
                <w:sz w:val="20"/>
                <w:szCs w:val="20"/>
              </w:rPr>
            </w:pPr>
            <w:r w:rsidRPr="00B8572F">
              <w:rPr>
                <w:rFonts w:ascii="Arial" w:hAnsi="Arial" w:cs="Arial"/>
                <w:b/>
                <w:sz w:val="20"/>
                <w:szCs w:val="20"/>
              </w:rPr>
              <w:t>PU Definition</w:t>
            </w:r>
          </w:p>
        </w:tc>
        <w:tc>
          <w:tcPr>
            <w:tcW w:w="800" w:type="pct"/>
            <w:shd w:val="clear" w:color="auto" w:fill="C0C0C0"/>
          </w:tcPr>
          <w:p w:rsidR="00490BB7" w:rsidRPr="00B8572F" w:rsidRDefault="00490BB7" w:rsidP="00EB08EC">
            <w:pPr>
              <w:spacing w:before="120" w:after="120"/>
              <w:jc w:val="left"/>
              <w:rPr>
                <w:rFonts w:ascii="Arial" w:hAnsi="Arial" w:cs="Arial"/>
                <w:b/>
                <w:sz w:val="20"/>
                <w:szCs w:val="20"/>
              </w:rPr>
            </w:pPr>
            <w:r w:rsidRPr="00B8572F">
              <w:rPr>
                <w:rFonts w:ascii="Arial" w:hAnsi="Arial" w:cs="Arial"/>
                <w:b/>
                <w:sz w:val="20"/>
                <w:szCs w:val="20"/>
              </w:rPr>
              <w:t>Unit of Measure</w:t>
            </w:r>
          </w:p>
        </w:tc>
        <w:tc>
          <w:tcPr>
            <w:tcW w:w="800" w:type="pct"/>
            <w:shd w:val="clear" w:color="auto" w:fill="C0C0C0"/>
          </w:tcPr>
          <w:p w:rsidR="00490BB7" w:rsidRPr="00B8572F" w:rsidRDefault="00490BB7" w:rsidP="00EB08EC">
            <w:pPr>
              <w:spacing w:before="120" w:after="120"/>
              <w:ind w:left="68"/>
              <w:jc w:val="left"/>
              <w:rPr>
                <w:rFonts w:ascii="Arial" w:hAnsi="Arial" w:cs="Arial"/>
                <w:b/>
                <w:sz w:val="20"/>
                <w:szCs w:val="20"/>
              </w:rPr>
            </w:pPr>
            <w:r w:rsidRPr="00B8572F">
              <w:rPr>
                <w:rFonts w:ascii="Arial" w:hAnsi="Arial" w:cs="Arial"/>
                <w:b/>
                <w:bCs/>
                <w:sz w:val="20"/>
                <w:szCs w:val="20"/>
              </w:rPr>
              <w:t>National collections</w:t>
            </w:r>
            <w:r>
              <w:rPr>
                <w:rFonts w:ascii="Arial" w:hAnsi="Arial" w:cs="Arial"/>
                <w:b/>
                <w:bCs/>
                <w:sz w:val="20"/>
                <w:szCs w:val="20"/>
              </w:rPr>
              <w:t xml:space="preserve"> or</w:t>
            </w:r>
            <w:r w:rsidRPr="00B8572F">
              <w:rPr>
                <w:rFonts w:ascii="Arial" w:hAnsi="Arial" w:cs="Arial"/>
                <w:b/>
                <w:bCs/>
                <w:sz w:val="20"/>
                <w:szCs w:val="20"/>
              </w:rPr>
              <w:t xml:space="preserve"> </w:t>
            </w:r>
            <w:r>
              <w:rPr>
                <w:rFonts w:ascii="Arial" w:hAnsi="Arial" w:cs="Arial"/>
                <w:b/>
                <w:bCs/>
                <w:sz w:val="20"/>
                <w:szCs w:val="20"/>
              </w:rPr>
              <w:t>Payment S</w:t>
            </w:r>
            <w:r w:rsidRPr="00B8572F">
              <w:rPr>
                <w:rFonts w:ascii="Arial" w:hAnsi="Arial" w:cs="Arial"/>
                <w:b/>
                <w:bCs/>
                <w:sz w:val="20"/>
                <w:szCs w:val="20"/>
              </w:rPr>
              <w:t>ystems</w:t>
            </w:r>
            <w:r w:rsidRPr="00B8572F">
              <w:rPr>
                <w:rFonts w:ascii="Arial" w:hAnsi="Arial" w:cs="Arial"/>
                <w:b/>
                <w:sz w:val="20"/>
                <w:szCs w:val="20"/>
              </w:rPr>
              <w:t xml:space="preserve"> </w:t>
            </w:r>
          </w:p>
        </w:tc>
      </w:tr>
      <w:tr w:rsidR="00490BB7" w:rsidRPr="00B8572F" w:rsidTr="00C65FEE">
        <w:trPr>
          <w:cantSplit/>
        </w:trPr>
        <w:tc>
          <w:tcPr>
            <w:tcW w:w="554"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M00001</w:t>
            </w:r>
          </w:p>
        </w:tc>
        <w:tc>
          <w:tcPr>
            <w:tcW w:w="969"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General Internal Medical Services - Inpatient Services (DRGs)</w:t>
            </w:r>
          </w:p>
        </w:tc>
        <w:tc>
          <w:tcPr>
            <w:tcW w:w="1876"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 xml:space="preserve">DRG WIESNZ Discharge.  Additional Information is found in the NZ </w:t>
            </w:r>
            <w:proofErr w:type="spellStart"/>
            <w:r w:rsidRPr="00B8572F">
              <w:rPr>
                <w:rFonts w:ascii="Arial" w:hAnsi="Arial" w:cs="Arial"/>
                <w:sz w:val="20"/>
                <w:szCs w:val="20"/>
                <w:lang w:val="en-US"/>
              </w:rPr>
              <w:t>Casemix</w:t>
            </w:r>
            <w:proofErr w:type="spellEnd"/>
            <w:r w:rsidRPr="00B8572F">
              <w:rPr>
                <w:rFonts w:ascii="Arial" w:hAnsi="Arial" w:cs="Arial"/>
                <w:sz w:val="20"/>
                <w:szCs w:val="20"/>
                <w:lang w:val="en-US"/>
              </w:rPr>
              <w:t xml:space="preserve"> Framework for Publicly Funded Hospitals which gets updated every year.</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Cost Weighted Discharge</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National Minimum Data Set (NMDS).</w:t>
            </w:r>
          </w:p>
        </w:tc>
      </w:tr>
      <w:tr w:rsidR="00490BB7" w:rsidRPr="00B8572F" w:rsidTr="00C65FEE">
        <w:trPr>
          <w:cantSplit/>
        </w:trPr>
        <w:tc>
          <w:tcPr>
            <w:tcW w:w="554"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M00002</w:t>
            </w:r>
          </w:p>
        </w:tc>
        <w:tc>
          <w:tcPr>
            <w:tcW w:w="969"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General Medicine - 1st attendance</w:t>
            </w:r>
          </w:p>
        </w:tc>
        <w:tc>
          <w:tcPr>
            <w:tcW w:w="1876"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First attendance to general physician or medical officer at registrar level or above or nurse practitioner for specialist assessment</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Attendance</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National Non-Admitting Patient Collection (NNPAC)</w:t>
            </w:r>
          </w:p>
        </w:tc>
      </w:tr>
      <w:tr w:rsidR="00490BB7" w:rsidRPr="00B8572F" w:rsidTr="00C65FEE">
        <w:trPr>
          <w:cantSplit/>
        </w:trPr>
        <w:tc>
          <w:tcPr>
            <w:tcW w:w="554"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M00003</w:t>
            </w:r>
          </w:p>
        </w:tc>
        <w:tc>
          <w:tcPr>
            <w:tcW w:w="969"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General Medicine - Subsequent attendance</w:t>
            </w:r>
          </w:p>
        </w:tc>
        <w:tc>
          <w:tcPr>
            <w:tcW w:w="1876"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Follow-up attendances to general physician or medical officer at registrar level or above or nurse practitioner.</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Attendance</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NNPAC</w:t>
            </w:r>
          </w:p>
        </w:tc>
      </w:tr>
      <w:tr w:rsidR="00490BB7" w:rsidRPr="00B8572F" w:rsidTr="00C65FEE">
        <w:trPr>
          <w:cantSplit/>
        </w:trPr>
        <w:tc>
          <w:tcPr>
            <w:tcW w:w="554"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M00006</w:t>
            </w:r>
          </w:p>
        </w:tc>
        <w:tc>
          <w:tcPr>
            <w:tcW w:w="969"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General medicine - blood transfusions</w:t>
            </w:r>
          </w:p>
        </w:tc>
        <w:tc>
          <w:tcPr>
            <w:tcW w:w="1876"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 xml:space="preserve">Blood transfusions performed an outpatient or elective </w:t>
            </w:r>
            <w:proofErr w:type="spellStart"/>
            <w:r w:rsidRPr="00B8572F">
              <w:rPr>
                <w:rFonts w:ascii="Arial" w:hAnsi="Arial" w:cs="Arial"/>
                <w:sz w:val="20"/>
                <w:szCs w:val="20"/>
                <w:lang w:val="en-US"/>
              </w:rPr>
              <w:t>daycase</w:t>
            </w:r>
            <w:proofErr w:type="spellEnd"/>
            <w:r w:rsidRPr="00B8572F">
              <w:rPr>
                <w:rFonts w:ascii="Arial" w:hAnsi="Arial" w:cs="Arial"/>
                <w:sz w:val="20"/>
                <w:szCs w:val="20"/>
                <w:lang w:val="en-US"/>
              </w:rPr>
              <w:t xml:space="preserve"> in general medicine, </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Attendance</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NNPAC</w:t>
            </w:r>
          </w:p>
        </w:tc>
      </w:tr>
      <w:tr w:rsidR="00490BB7" w:rsidRPr="00B8572F" w:rsidTr="00C65FEE">
        <w:trPr>
          <w:cantSplit/>
          <w:trHeight w:val="653"/>
        </w:trPr>
        <w:tc>
          <w:tcPr>
            <w:tcW w:w="554"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M00008</w:t>
            </w:r>
          </w:p>
        </w:tc>
        <w:tc>
          <w:tcPr>
            <w:tcW w:w="969"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Models of Care</w:t>
            </w:r>
          </w:p>
        </w:tc>
        <w:tc>
          <w:tcPr>
            <w:tcW w:w="1876"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Integration project working with GPs to reduce admissions to Hospital.</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Service</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 xml:space="preserve">NNPAC- </w:t>
            </w:r>
          </w:p>
        </w:tc>
      </w:tr>
      <w:tr w:rsidR="00490BB7" w:rsidRPr="00B8572F" w:rsidTr="00C65FEE">
        <w:trPr>
          <w:cantSplit/>
        </w:trPr>
        <w:tc>
          <w:tcPr>
            <w:tcW w:w="554"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M00009</w:t>
            </w:r>
          </w:p>
        </w:tc>
        <w:tc>
          <w:tcPr>
            <w:tcW w:w="969"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Integration and Acute Volume Reduction Initiatives</w:t>
            </w:r>
          </w:p>
        </w:tc>
        <w:tc>
          <w:tcPr>
            <w:tcW w:w="1876"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 xml:space="preserve">Integration </w:t>
            </w:r>
            <w:proofErr w:type="spellStart"/>
            <w:r w:rsidRPr="00B8572F">
              <w:rPr>
                <w:rFonts w:ascii="Arial" w:hAnsi="Arial" w:cs="Arial"/>
                <w:sz w:val="20"/>
                <w:szCs w:val="20"/>
                <w:lang w:val="en-US"/>
              </w:rPr>
              <w:t>programme</w:t>
            </w:r>
            <w:proofErr w:type="spellEnd"/>
            <w:r w:rsidRPr="00B8572F">
              <w:rPr>
                <w:rFonts w:ascii="Arial" w:hAnsi="Arial" w:cs="Arial"/>
                <w:sz w:val="20"/>
                <w:szCs w:val="20"/>
                <w:lang w:val="en-US"/>
              </w:rPr>
              <w:t xml:space="preserve"> for reducing and managing acute growth resulting in inpatient admission.</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Service</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ind w:right="64"/>
              <w:jc w:val="left"/>
              <w:rPr>
                <w:rFonts w:ascii="Arial" w:hAnsi="Arial" w:cs="Arial"/>
                <w:sz w:val="20"/>
                <w:szCs w:val="20"/>
              </w:rPr>
            </w:pPr>
            <w:r w:rsidRPr="00B8572F">
              <w:rPr>
                <w:rFonts w:ascii="Arial" w:hAnsi="Arial" w:cs="Arial"/>
                <w:sz w:val="20"/>
                <w:szCs w:val="20"/>
              </w:rPr>
              <w:t>NMDS</w:t>
            </w:r>
            <w:r w:rsidRPr="00B8572F" w:rsidDel="00CA6401">
              <w:rPr>
                <w:rFonts w:ascii="Arial" w:hAnsi="Arial" w:cs="Arial"/>
                <w:sz w:val="20"/>
                <w:szCs w:val="20"/>
              </w:rPr>
              <w:t xml:space="preserve"> </w:t>
            </w:r>
          </w:p>
        </w:tc>
      </w:tr>
      <w:tr w:rsidR="00490BB7" w:rsidRPr="00B8572F" w:rsidTr="00C65FEE">
        <w:trPr>
          <w:cantSplit/>
        </w:trPr>
        <w:tc>
          <w:tcPr>
            <w:tcW w:w="554"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M00010</w:t>
            </w:r>
          </w:p>
        </w:tc>
        <w:tc>
          <w:tcPr>
            <w:tcW w:w="969"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 xml:space="preserve">Medical </w:t>
            </w:r>
            <w:proofErr w:type="spellStart"/>
            <w:r w:rsidRPr="00B8572F">
              <w:rPr>
                <w:rFonts w:ascii="Arial" w:hAnsi="Arial" w:cs="Arial"/>
                <w:sz w:val="20"/>
                <w:szCs w:val="20"/>
              </w:rPr>
              <w:t>non contact</w:t>
            </w:r>
            <w:proofErr w:type="spellEnd"/>
            <w:r w:rsidRPr="00B8572F">
              <w:rPr>
                <w:rFonts w:ascii="Arial" w:hAnsi="Arial" w:cs="Arial"/>
                <w:sz w:val="20"/>
                <w:szCs w:val="20"/>
              </w:rPr>
              <w:t xml:space="preserve"> First Specialist Assessment with a written plan of care – Any health specialty</w:t>
            </w:r>
          </w:p>
        </w:tc>
        <w:tc>
          <w:tcPr>
            <w:tcW w:w="1876"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Following a request from a GP or community based Nurse Practitioner, a review by a registered medical practitioner of registrar level or above or registered nurse practitioner of patient records and any diagnostic test results, development of a written plan of care for the patient and provision of that plan and other necessary advice to the referring GP or Nurse Practitioner.  This does not include the triaging of referral letters.  The patient should not be present during the assessment.</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Written plan of care</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NNPAC</w:t>
            </w:r>
          </w:p>
        </w:tc>
      </w:tr>
      <w:tr w:rsidR="00490BB7" w:rsidRPr="00B8572F" w:rsidTr="00C65FEE">
        <w:trPr>
          <w:cantSplit/>
        </w:trPr>
        <w:tc>
          <w:tcPr>
            <w:tcW w:w="554"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M00PRE</w:t>
            </w:r>
          </w:p>
        </w:tc>
        <w:tc>
          <w:tcPr>
            <w:tcW w:w="969"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 xml:space="preserve">General Medicine Preadmission visit </w:t>
            </w:r>
          </w:p>
        </w:tc>
        <w:tc>
          <w:tcPr>
            <w:tcW w:w="1876"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NOT PURCHASED FOR NNPAC USE ONLY - preadmission visit for General medicine procedure paid for as part of CWD price</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Attendance</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 xml:space="preserve">NNPAC </w:t>
            </w:r>
          </w:p>
          <w:p w:rsidR="00490BB7" w:rsidRPr="00B8572F" w:rsidRDefault="00490BB7" w:rsidP="00EB08EC">
            <w:pPr>
              <w:jc w:val="left"/>
              <w:rPr>
                <w:rFonts w:ascii="Arial" w:hAnsi="Arial" w:cs="Arial"/>
                <w:sz w:val="20"/>
                <w:szCs w:val="20"/>
              </w:rPr>
            </w:pPr>
          </w:p>
        </w:tc>
      </w:tr>
      <w:tr w:rsidR="00490BB7" w:rsidRPr="00B8572F" w:rsidTr="00C65FEE">
        <w:trPr>
          <w:cantSplit/>
        </w:trPr>
        <w:tc>
          <w:tcPr>
            <w:tcW w:w="554"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M10001</w:t>
            </w:r>
          </w:p>
        </w:tc>
        <w:tc>
          <w:tcPr>
            <w:tcW w:w="969"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Cardiology  - Inpatient Services (DRGs)</w:t>
            </w:r>
          </w:p>
          <w:p w:rsidR="00490BB7" w:rsidRPr="00B8572F" w:rsidRDefault="00490BB7" w:rsidP="00EB08EC">
            <w:pPr>
              <w:jc w:val="left"/>
              <w:rPr>
                <w:rFonts w:ascii="Arial" w:hAnsi="Arial" w:cs="Arial"/>
                <w:sz w:val="20"/>
                <w:szCs w:val="20"/>
              </w:rPr>
            </w:pPr>
          </w:p>
        </w:tc>
        <w:tc>
          <w:tcPr>
            <w:tcW w:w="1876"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 xml:space="preserve">DRG WIESNZ Discharge.  Additional Information is found in the NZ </w:t>
            </w:r>
            <w:proofErr w:type="spellStart"/>
            <w:r w:rsidRPr="00B8572F">
              <w:rPr>
                <w:rFonts w:ascii="Arial" w:hAnsi="Arial" w:cs="Arial"/>
                <w:sz w:val="20"/>
                <w:szCs w:val="20"/>
                <w:lang w:val="en-US"/>
              </w:rPr>
              <w:t>Casemix</w:t>
            </w:r>
            <w:proofErr w:type="spellEnd"/>
            <w:r w:rsidRPr="00B8572F">
              <w:rPr>
                <w:rFonts w:ascii="Arial" w:hAnsi="Arial" w:cs="Arial"/>
                <w:sz w:val="20"/>
                <w:szCs w:val="20"/>
                <w:lang w:val="en-US"/>
              </w:rPr>
              <w:t xml:space="preserve"> Framework for Publicly Funded Hospitals which gets updated every year.</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Cost Weighted Discharge</w:t>
            </w:r>
          </w:p>
          <w:p w:rsidR="00490BB7" w:rsidRPr="00B8572F" w:rsidRDefault="00490BB7" w:rsidP="00EB08EC">
            <w:pPr>
              <w:jc w:val="left"/>
              <w:rPr>
                <w:rFonts w:ascii="Arial" w:hAnsi="Arial" w:cs="Arial"/>
                <w:sz w:val="20"/>
                <w:szCs w:val="20"/>
              </w:rPr>
            </w:pP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NMDS</w:t>
            </w:r>
          </w:p>
        </w:tc>
      </w:tr>
      <w:tr w:rsidR="00490BB7" w:rsidRPr="00B8572F" w:rsidTr="00C65FEE">
        <w:trPr>
          <w:cantSplit/>
        </w:trPr>
        <w:tc>
          <w:tcPr>
            <w:tcW w:w="554"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M10002</w:t>
            </w:r>
          </w:p>
          <w:p w:rsidR="00490BB7" w:rsidRPr="00B8572F" w:rsidRDefault="00490BB7" w:rsidP="00EB08EC">
            <w:pPr>
              <w:jc w:val="left"/>
              <w:rPr>
                <w:rFonts w:ascii="Arial" w:hAnsi="Arial" w:cs="Arial"/>
                <w:sz w:val="20"/>
                <w:szCs w:val="20"/>
              </w:rPr>
            </w:pPr>
          </w:p>
        </w:tc>
        <w:tc>
          <w:tcPr>
            <w:tcW w:w="969"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Cardiology - 1st attendance</w:t>
            </w:r>
          </w:p>
          <w:p w:rsidR="00490BB7" w:rsidRPr="00B8572F" w:rsidRDefault="00490BB7" w:rsidP="00EB08EC">
            <w:pPr>
              <w:jc w:val="left"/>
              <w:rPr>
                <w:rFonts w:ascii="Arial" w:hAnsi="Arial" w:cs="Arial"/>
                <w:sz w:val="20"/>
                <w:szCs w:val="20"/>
                <w:lang w:val="en-US"/>
              </w:rPr>
            </w:pPr>
          </w:p>
        </w:tc>
        <w:tc>
          <w:tcPr>
            <w:tcW w:w="1876"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First attendance to cardiologist or medical officer at registrar level or above or nurse practitioner for specialist assessment.</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Attendance</w:t>
            </w:r>
          </w:p>
          <w:p w:rsidR="00490BB7" w:rsidRPr="00B8572F" w:rsidRDefault="00490BB7" w:rsidP="00EB08EC">
            <w:pPr>
              <w:jc w:val="left"/>
              <w:rPr>
                <w:rFonts w:ascii="Arial" w:hAnsi="Arial" w:cs="Arial"/>
                <w:sz w:val="20"/>
                <w:szCs w:val="20"/>
                <w:lang w:val="en-US"/>
              </w:rPr>
            </w:pP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NNPAC</w:t>
            </w:r>
          </w:p>
        </w:tc>
      </w:tr>
      <w:tr w:rsidR="00490BB7" w:rsidRPr="00B8572F" w:rsidTr="00C65FEE">
        <w:trPr>
          <w:cantSplit/>
        </w:trPr>
        <w:tc>
          <w:tcPr>
            <w:tcW w:w="554"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M10003</w:t>
            </w:r>
          </w:p>
        </w:tc>
        <w:tc>
          <w:tcPr>
            <w:tcW w:w="969"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Cardiology - Subsequent attendance</w:t>
            </w:r>
          </w:p>
          <w:p w:rsidR="00490BB7" w:rsidRPr="00B8572F" w:rsidRDefault="00490BB7" w:rsidP="00EB08EC">
            <w:pPr>
              <w:jc w:val="left"/>
              <w:rPr>
                <w:rFonts w:ascii="Arial" w:hAnsi="Arial" w:cs="Arial"/>
                <w:sz w:val="20"/>
                <w:szCs w:val="20"/>
              </w:rPr>
            </w:pPr>
          </w:p>
        </w:tc>
        <w:tc>
          <w:tcPr>
            <w:tcW w:w="1876"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Follow-up attendances to cardiologist or medical officer at registrar level or above or nurse practitioner.</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Attendance</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NNPAC</w:t>
            </w:r>
          </w:p>
        </w:tc>
      </w:tr>
      <w:tr w:rsidR="00490BB7" w:rsidRPr="00B8572F" w:rsidTr="00C65FEE">
        <w:trPr>
          <w:cantSplit/>
        </w:trPr>
        <w:tc>
          <w:tcPr>
            <w:tcW w:w="554"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M10006</w:t>
            </w:r>
          </w:p>
          <w:p w:rsidR="00490BB7" w:rsidRPr="00B8572F" w:rsidRDefault="00490BB7" w:rsidP="00EB08EC">
            <w:pPr>
              <w:jc w:val="left"/>
              <w:rPr>
                <w:rFonts w:ascii="Arial" w:hAnsi="Arial" w:cs="Arial"/>
                <w:sz w:val="20"/>
                <w:szCs w:val="20"/>
              </w:rPr>
            </w:pPr>
          </w:p>
        </w:tc>
        <w:tc>
          <w:tcPr>
            <w:tcW w:w="969"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 xml:space="preserve">Specialist </w:t>
            </w:r>
            <w:proofErr w:type="spellStart"/>
            <w:r w:rsidRPr="00B8572F">
              <w:rPr>
                <w:rFonts w:ascii="Arial" w:hAnsi="Arial" w:cs="Arial"/>
                <w:sz w:val="20"/>
                <w:szCs w:val="20"/>
                <w:lang w:val="en-US"/>
              </w:rPr>
              <w:t>Paediatric</w:t>
            </w:r>
            <w:proofErr w:type="spellEnd"/>
            <w:r w:rsidRPr="00B8572F">
              <w:rPr>
                <w:rFonts w:ascii="Arial" w:hAnsi="Arial" w:cs="Arial"/>
                <w:sz w:val="20"/>
                <w:szCs w:val="20"/>
                <w:lang w:val="en-US"/>
              </w:rPr>
              <w:t xml:space="preserve"> Cardiac - 1st Attendance</w:t>
            </w:r>
          </w:p>
          <w:p w:rsidR="00490BB7" w:rsidRPr="00B8572F" w:rsidRDefault="00490BB7" w:rsidP="00EB08EC">
            <w:pPr>
              <w:jc w:val="left"/>
              <w:rPr>
                <w:rFonts w:ascii="Arial" w:hAnsi="Arial" w:cs="Arial"/>
                <w:sz w:val="20"/>
                <w:szCs w:val="20"/>
                <w:lang w:val="en-US"/>
              </w:rPr>
            </w:pPr>
          </w:p>
        </w:tc>
        <w:tc>
          <w:tcPr>
            <w:tcW w:w="1876"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 xml:space="preserve">First attendance to cardiologist, </w:t>
            </w:r>
            <w:proofErr w:type="spellStart"/>
            <w:r w:rsidRPr="00B8572F">
              <w:rPr>
                <w:rFonts w:ascii="Arial" w:hAnsi="Arial" w:cs="Arial"/>
                <w:sz w:val="20"/>
                <w:szCs w:val="20"/>
                <w:lang w:val="en-US"/>
              </w:rPr>
              <w:t>paediatrician</w:t>
            </w:r>
            <w:proofErr w:type="spellEnd"/>
            <w:r w:rsidRPr="00B8572F">
              <w:rPr>
                <w:rFonts w:ascii="Arial" w:hAnsi="Arial" w:cs="Arial"/>
                <w:sz w:val="20"/>
                <w:szCs w:val="20"/>
                <w:lang w:val="en-US"/>
              </w:rPr>
              <w:t>, or medical officer at registrar level or above or nurse practitioner for specialist assessment.</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490BB7">
            <w:pPr>
              <w:jc w:val="left"/>
              <w:rPr>
                <w:rFonts w:ascii="Arial" w:hAnsi="Arial" w:cs="Arial"/>
                <w:sz w:val="20"/>
                <w:szCs w:val="20"/>
              </w:rPr>
            </w:pPr>
            <w:r w:rsidRPr="00B8572F">
              <w:rPr>
                <w:rFonts w:ascii="Arial" w:hAnsi="Arial" w:cs="Arial"/>
                <w:sz w:val="20"/>
                <w:szCs w:val="20"/>
                <w:lang w:val="en-US"/>
              </w:rPr>
              <w:t>Attendance</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NNPAC</w:t>
            </w:r>
          </w:p>
        </w:tc>
      </w:tr>
      <w:tr w:rsidR="00490BB7" w:rsidRPr="00B8572F" w:rsidTr="00C65FEE">
        <w:trPr>
          <w:cantSplit/>
        </w:trPr>
        <w:tc>
          <w:tcPr>
            <w:tcW w:w="554"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M10007</w:t>
            </w:r>
          </w:p>
          <w:p w:rsidR="00490BB7" w:rsidRPr="00B8572F" w:rsidRDefault="00490BB7" w:rsidP="00EB08EC">
            <w:pPr>
              <w:jc w:val="left"/>
              <w:rPr>
                <w:rFonts w:ascii="Arial" w:hAnsi="Arial" w:cs="Arial"/>
                <w:sz w:val="20"/>
                <w:szCs w:val="20"/>
                <w:lang w:val="en-US"/>
              </w:rPr>
            </w:pPr>
          </w:p>
        </w:tc>
        <w:tc>
          <w:tcPr>
            <w:tcW w:w="969"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 xml:space="preserve">Specialist </w:t>
            </w:r>
            <w:proofErr w:type="spellStart"/>
            <w:r w:rsidRPr="00B8572F">
              <w:rPr>
                <w:rFonts w:ascii="Arial" w:hAnsi="Arial" w:cs="Arial"/>
                <w:sz w:val="20"/>
                <w:szCs w:val="20"/>
                <w:lang w:val="en-US"/>
              </w:rPr>
              <w:t>Paediatric</w:t>
            </w:r>
            <w:proofErr w:type="spellEnd"/>
            <w:r w:rsidRPr="00B8572F">
              <w:rPr>
                <w:rFonts w:ascii="Arial" w:hAnsi="Arial" w:cs="Arial"/>
                <w:sz w:val="20"/>
                <w:szCs w:val="20"/>
                <w:lang w:val="en-US"/>
              </w:rPr>
              <w:t xml:space="preserve"> Cardiac - Subsequent Attendance</w:t>
            </w:r>
          </w:p>
          <w:p w:rsidR="00490BB7" w:rsidRPr="00B8572F" w:rsidRDefault="00490BB7" w:rsidP="00EB08EC">
            <w:pPr>
              <w:jc w:val="left"/>
              <w:rPr>
                <w:rFonts w:ascii="Arial" w:hAnsi="Arial" w:cs="Arial"/>
                <w:sz w:val="20"/>
                <w:szCs w:val="20"/>
                <w:lang w:val="en-US"/>
              </w:rPr>
            </w:pPr>
          </w:p>
        </w:tc>
        <w:tc>
          <w:tcPr>
            <w:tcW w:w="1876"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 xml:space="preserve">Follow-up attendance to </w:t>
            </w:r>
            <w:proofErr w:type="spellStart"/>
            <w:r w:rsidRPr="00B8572F">
              <w:rPr>
                <w:rFonts w:ascii="Arial" w:hAnsi="Arial" w:cs="Arial"/>
                <w:sz w:val="20"/>
                <w:szCs w:val="20"/>
                <w:lang w:val="en-US"/>
              </w:rPr>
              <w:t>paediatric</w:t>
            </w:r>
            <w:proofErr w:type="spellEnd"/>
            <w:r w:rsidRPr="00B8572F">
              <w:rPr>
                <w:rFonts w:ascii="Arial" w:hAnsi="Arial" w:cs="Arial"/>
                <w:sz w:val="20"/>
                <w:szCs w:val="20"/>
                <w:lang w:val="en-US"/>
              </w:rPr>
              <w:t xml:space="preserve"> cardiac specialist or medical officer at registrar level or above or nurse practitioner.</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490BB7">
            <w:pPr>
              <w:jc w:val="left"/>
              <w:rPr>
                <w:rFonts w:ascii="Arial" w:hAnsi="Arial" w:cs="Arial"/>
                <w:sz w:val="20"/>
                <w:szCs w:val="20"/>
                <w:lang w:val="en-US"/>
              </w:rPr>
            </w:pPr>
            <w:r w:rsidRPr="00B8572F">
              <w:rPr>
                <w:rFonts w:ascii="Arial" w:hAnsi="Arial" w:cs="Arial"/>
                <w:sz w:val="20"/>
                <w:szCs w:val="20"/>
                <w:lang w:val="en-US"/>
              </w:rPr>
              <w:t>Attendance</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NNPAC</w:t>
            </w:r>
          </w:p>
        </w:tc>
      </w:tr>
      <w:tr w:rsidR="00490BB7" w:rsidRPr="00B8572F" w:rsidTr="00C65FEE">
        <w:trPr>
          <w:cantSplit/>
        </w:trPr>
        <w:tc>
          <w:tcPr>
            <w:tcW w:w="554"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M10008</w:t>
            </w:r>
          </w:p>
          <w:p w:rsidR="00490BB7" w:rsidRPr="00B8572F" w:rsidRDefault="00490BB7" w:rsidP="00EB08EC">
            <w:pPr>
              <w:jc w:val="left"/>
              <w:rPr>
                <w:rFonts w:ascii="Arial" w:hAnsi="Arial" w:cs="Arial"/>
                <w:sz w:val="20"/>
                <w:szCs w:val="20"/>
                <w:lang w:val="en-US"/>
              </w:rPr>
            </w:pPr>
          </w:p>
        </w:tc>
        <w:tc>
          <w:tcPr>
            <w:tcW w:w="969"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Cardiac Outreach Service - WH</w:t>
            </w:r>
          </w:p>
          <w:p w:rsidR="00490BB7" w:rsidRPr="00B8572F" w:rsidRDefault="00490BB7" w:rsidP="00EB08EC">
            <w:pPr>
              <w:jc w:val="left"/>
              <w:rPr>
                <w:rFonts w:ascii="Arial" w:hAnsi="Arial" w:cs="Arial"/>
                <w:sz w:val="20"/>
                <w:szCs w:val="20"/>
                <w:lang w:val="en-US"/>
              </w:rPr>
            </w:pPr>
          </w:p>
        </w:tc>
        <w:tc>
          <w:tcPr>
            <w:tcW w:w="1876"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CHF project to provide support to prevent readmission and lower length of stay. There is a Service Spec &amp; reporting requirements, Integration project.</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490BB7">
            <w:pPr>
              <w:jc w:val="left"/>
              <w:rPr>
                <w:rFonts w:ascii="Arial" w:hAnsi="Arial" w:cs="Arial"/>
                <w:sz w:val="20"/>
                <w:szCs w:val="20"/>
                <w:lang w:val="en-US"/>
              </w:rPr>
            </w:pPr>
            <w:r w:rsidRPr="00B8572F">
              <w:rPr>
                <w:rFonts w:ascii="Arial" w:hAnsi="Arial" w:cs="Arial"/>
                <w:sz w:val="20"/>
                <w:szCs w:val="20"/>
                <w:lang w:val="en-US"/>
              </w:rPr>
              <w:t>Service</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NNPAC</w:t>
            </w:r>
          </w:p>
        </w:tc>
      </w:tr>
      <w:tr w:rsidR="00490BB7" w:rsidRPr="00B8572F" w:rsidTr="00C65FEE">
        <w:trPr>
          <w:cantSplit/>
        </w:trPr>
        <w:tc>
          <w:tcPr>
            <w:tcW w:w="554"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M10009</w:t>
            </w:r>
          </w:p>
        </w:tc>
        <w:tc>
          <w:tcPr>
            <w:tcW w:w="969"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Cardio-vascular models of care</w:t>
            </w:r>
          </w:p>
          <w:p w:rsidR="00490BB7" w:rsidRPr="00B8572F" w:rsidRDefault="00490BB7" w:rsidP="00EB08EC">
            <w:pPr>
              <w:jc w:val="left"/>
              <w:rPr>
                <w:rFonts w:ascii="Arial" w:hAnsi="Arial" w:cs="Arial"/>
                <w:sz w:val="20"/>
                <w:szCs w:val="20"/>
                <w:lang w:val="en-US"/>
              </w:rPr>
            </w:pPr>
          </w:p>
        </w:tc>
        <w:tc>
          <w:tcPr>
            <w:tcW w:w="1876"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Integration Project - General Practice teams, providing in the community, services for patients with Chronic Cardio-Vascular Disease</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Service</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NMDS</w:t>
            </w:r>
          </w:p>
        </w:tc>
      </w:tr>
      <w:tr w:rsidR="00490BB7" w:rsidRPr="00B8572F" w:rsidTr="00C65FEE">
        <w:trPr>
          <w:cantSplit/>
        </w:trPr>
        <w:tc>
          <w:tcPr>
            <w:tcW w:w="554"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napToGrid w:val="0"/>
                <w:sz w:val="20"/>
                <w:szCs w:val="20"/>
              </w:rPr>
              <w:t>M15001</w:t>
            </w:r>
          </w:p>
        </w:tc>
        <w:tc>
          <w:tcPr>
            <w:tcW w:w="969"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napToGrid w:val="0"/>
                <w:sz w:val="20"/>
                <w:szCs w:val="20"/>
              </w:rPr>
              <w:t>Dermatology  - Inpatient Services (DRGs)</w:t>
            </w:r>
          </w:p>
        </w:tc>
        <w:tc>
          <w:tcPr>
            <w:tcW w:w="1876"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 xml:space="preserve">DRG WIESNZ Discharge.  Additional Information is found in the NZ </w:t>
            </w:r>
            <w:proofErr w:type="spellStart"/>
            <w:r w:rsidRPr="00B8572F">
              <w:rPr>
                <w:rFonts w:ascii="Arial" w:hAnsi="Arial" w:cs="Arial"/>
                <w:sz w:val="20"/>
                <w:szCs w:val="20"/>
                <w:lang w:val="en-US"/>
              </w:rPr>
              <w:t>Casemix</w:t>
            </w:r>
            <w:proofErr w:type="spellEnd"/>
            <w:r w:rsidRPr="00B8572F">
              <w:rPr>
                <w:rFonts w:ascii="Arial" w:hAnsi="Arial" w:cs="Arial"/>
                <w:sz w:val="20"/>
                <w:szCs w:val="20"/>
                <w:lang w:val="en-US"/>
              </w:rPr>
              <w:t xml:space="preserve"> Framework for Publicly Funded Hospitals which gets updated every year.</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napToGrid w:val="0"/>
                <w:sz w:val="20"/>
                <w:szCs w:val="20"/>
              </w:rPr>
              <w:t>Cost Weighted Discharge</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NMDS</w:t>
            </w:r>
          </w:p>
        </w:tc>
      </w:tr>
      <w:tr w:rsidR="00490BB7" w:rsidRPr="00B8572F" w:rsidTr="00C65FEE">
        <w:trPr>
          <w:cantSplit/>
        </w:trPr>
        <w:tc>
          <w:tcPr>
            <w:tcW w:w="554"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napToGrid w:val="0"/>
                <w:sz w:val="20"/>
                <w:szCs w:val="20"/>
              </w:rPr>
              <w:t>M15002</w:t>
            </w:r>
          </w:p>
        </w:tc>
        <w:tc>
          <w:tcPr>
            <w:tcW w:w="969"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napToGrid w:val="0"/>
                <w:sz w:val="20"/>
                <w:szCs w:val="20"/>
              </w:rPr>
              <w:t>Dermatology - 1st attendance</w:t>
            </w:r>
          </w:p>
        </w:tc>
        <w:tc>
          <w:tcPr>
            <w:tcW w:w="1876"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First attendance to dermatologist or medical officer at registrar level or above or nurse practitioner for specialist assessment.</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napToGrid w:val="0"/>
                <w:sz w:val="20"/>
                <w:szCs w:val="20"/>
              </w:rPr>
              <w:t>Attendance</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NNPAC</w:t>
            </w:r>
          </w:p>
        </w:tc>
      </w:tr>
      <w:tr w:rsidR="00490BB7" w:rsidRPr="00B8572F" w:rsidTr="00C65FEE">
        <w:trPr>
          <w:cantSplit/>
        </w:trPr>
        <w:tc>
          <w:tcPr>
            <w:tcW w:w="554"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napToGrid w:val="0"/>
                <w:sz w:val="20"/>
                <w:szCs w:val="20"/>
              </w:rPr>
              <w:t>M15003</w:t>
            </w:r>
          </w:p>
        </w:tc>
        <w:tc>
          <w:tcPr>
            <w:tcW w:w="969"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napToGrid w:val="0"/>
                <w:sz w:val="20"/>
                <w:szCs w:val="20"/>
              </w:rPr>
              <w:t>Dermatology - Subsequent attendance</w:t>
            </w:r>
          </w:p>
        </w:tc>
        <w:tc>
          <w:tcPr>
            <w:tcW w:w="1876"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Follow-up attendances to dermatologist or medical officer at registrar level or above or nurse practitioner.  Excludes UV treatment.</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napToGrid w:val="0"/>
                <w:sz w:val="20"/>
                <w:szCs w:val="20"/>
              </w:rPr>
              <w:t>Attendance</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 xml:space="preserve">NNPAC </w:t>
            </w:r>
          </w:p>
        </w:tc>
      </w:tr>
      <w:tr w:rsidR="00490BB7" w:rsidRPr="00B8572F" w:rsidTr="00C65FEE">
        <w:trPr>
          <w:cantSplit/>
        </w:trPr>
        <w:tc>
          <w:tcPr>
            <w:tcW w:w="554"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napToGrid w:val="0"/>
                <w:sz w:val="20"/>
                <w:szCs w:val="20"/>
              </w:rPr>
              <w:t>M15004</w:t>
            </w:r>
          </w:p>
        </w:tc>
        <w:tc>
          <w:tcPr>
            <w:tcW w:w="969"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napToGrid w:val="0"/>
                <w:sz w:val="20"/>
                <w:szCs w:val="20"/>
              </w:rPr>
              <w:t>Dermatology - UV Treatment</w:t>
            </w:r>
          </w:p>
        </w:tc>
        <w:tc>
          <w:tcPr>
            <w:tcW w:w="1876"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An attendance for the purpose of receiving ultra-violet treatment. This is usually in a Therapy area not Dermatology clinic.</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napToGrid w:val="0"/>
                <w:sz w:val="20"/>
                <w:szCs w:val="20"/>
              </w:rPr>
              <w:t>Treatment</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NNPAC</w:t>
            </w:r>
          </w:p>
        </w:tc>
      </w:tr>
      <w:tr w:rsidR="00490BB7" w:rsidRPr="00B8572F" w:rsidTr="00C65FEE">
        <w:trPr>
          <w:cantSplit/>
        </w:trPr>
        <w:tc>
          <w:tcPr>
            <w:tcW w:w="554"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napToGrid w:val="0"/>
                <w:sz w:val="20"/>
                <w:szCs w:val="20"/>
              </w:rPr>
              <w:t>M20001</w:t>
            </w:r>
          </w:p>
        </w:tc>
        <w:tc>
          <w:tcPr>
            <w:tcW w:w="969"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napToGrid w:val="0"/>
                <w:sz w:val="20"/>
                <w:szCs w:val="20"/>
              </w:rPr>
              <w:t>Endocrinology &amp; Diabetic  - Inpatient Services (DRGs)</w:t>
            </w:r>
          </w:p>
        </w:tc>
        <w:tc>
          <w:tcPr>
            <w:tcW w:w="1876"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 xml:space="preserve">DRG WIESNZ Discharge.  Additional Information is found in the NZ </w:t>
            </w:r>
            <w:proofErr w:type="spellStart"/>
            <w:r w:rsidRPr="00B8572F">
              <w:rPr>
                <w:rFonts w:ascii="Arial" w:hAnsi="Arial" w:cs="Arial"/>
                <w:sz w:val="20"/>
                <w:szCs w:val="20"/>
                <w:lang w:val="en-US"/>
              </w:rPr>
              <w:t>Casemix</w:t>
            </w:r>
            <w:proofErr w:type="spellEnd"/>
            <w:r w:rsidRPr="00B8572F">
              <w:rPr>
                <w:rFonts w:ascii="Arial" w:hAnsi="Arial" w:cs="Arial"/>
                <w:sz w:val="20"/>
                <w:szCs w:val="20"/>
                <w:lang w:val="en-US"/>
              </w:rPr>
              <w:t xml:space="preserve"> Framework for Publicly Funded Hospitals which gets updated every year.</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napToGrid w:val="0"/>
                <w:sz w:val="20"/>
                <w:szCs w:val="20"/>
              </w:rPr>
              <w:t>Cost Weighted Discharge</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NMDS</w:t>
            </w:r>
          </w:p>
        </w:tc>
      </w:tr>
      <w:tr w:rsidR="00490BB7" w:rsidRPr="00B8572F" w:rsidTr="00C65FEE">
        <w:trPr>
          <w:cantSplit/>
        </w:trPr>
        <w:tc>
          <w:tcPr>
            <w:tcW w:w="554"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napToGrid w:val="0"/>
                <w:sz w:val="20"/>
                <w:szCs w:val="20"/>
              </w:rPr>
              <w:t>M20002</w:t>
            </w:r>
          </w:p>
        </w:tc>
        <w:tc>
          <w:tcPr>
            <w:tcW w:w="969"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napToGrid w:val="0"/>
                <w:sz w:val="20"/>
                <w:szCs w:val="20"/>
              </w:rPr>
              <w:t>Endocrinology - 1st attendance</w:t>
            </w:r>
          </w:p>
        </w:tc>
        <w:tc>
          <w:tcPr>
            <w:tcW w:w="1876"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First attendance to endocrinologist or medical officer at registrar level or above or nurse practitioner for specialist assessment. Excludes diabetes.</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napToGrid w:val="0"/>
                <w:sz w:val="20"/>
                <w:szCs w:val="20"/>
              </w:rPr>
              <w:t>Attendance</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NNPAC</w:t>
            </w:r>
          </w:p>
        </w:tc>
      </w:tr>
      <w:tr w:rsidR="00490BB7" w:rsidRPr="00B8572F" w:rsidTr="00C65FEE">
        <w:trPr>
          <w:cantSplit/>
        </w:trPr>
        <w:tc>
          <w:tcPr>
            <w:tcW w:w="554"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napToGrid w:val="0"/>
                <w:sz w:val="20"/>
                <w:szCs w:val="20"/>
              </w:rPr>
              <w:t>M20003</w:t>
            </w:r>
          </w:p>
        </w:tc>
        <w:tc>
          <w:tcPr>
            <w:tcW w:w="969"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napToGrid w:val="0"/>
                <w:sz w:val="20"/>
                <w:szCs w:val="20"/>
              </w:rPr>
              <w:t>Endocrinology - Subsequent attendance</w:t>
            </w:r>
          </w:p>
        </w:tc>
        <w:tc>
          <w:tcPr>
            <w:tcW w:w="1876"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Follow-up attendances to endocrinologist or medical officer at registrar level or above or nurse practitioner.  Excludes diabetes.</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napToGrid w:val="0"/>
                <w:sz w:val="20"/>
                <w:szCs w:val="20"/>
              </w:rPr>
              <w:t>Attendance</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NNPAC</w:t>
            </w:r>
          </w:p>
        </w:tc>
      </w:tr>
      <w:tr w:rsidR="00490BB7" w:rsidRPr="00B8572F" w:rsidTr="00C65FEE">
        <w:trPr>
          <w:cantSplit/>
        </w:trPr>
        <w:tc>
          <w:tcPr>
            <w:tcW w:w="554"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napToGrid w:val="0"/>
                <w:sz w:val="20"/>
                <w:szCs w:val="20"/>
              </w:rPr>
              <w:t>M25001</w:t>
            </w:r>
          </w:p>
        </w:tc>
        <w:tc>
          <w:tcPr>
            <w:tcW w:w="969"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napToGrid w:val="0"/>
                <w:sz w:val="20"/>
                <w:szCs w:val="20"/>
              </w:rPr>
              <w:t>Gastroenterology  - Inpatient Services (DRGs)</w:t>
            </w:r>
          </w:p>
        </w:tc>
        <w:tc>
          <w:tcPr>
            <w:tcW w:w="1876"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 xml:space="preserve">DRG WIESNZ Discharge.  Additional Information is found in the NZ </w:t>
            </w:r>
            <w:proofErr w:type="spellStart"/>
            <w:r w:rsidRPr="00B8572F">
              <w:rPr>
                <w:rFonts w:ascii="Arial" w:hAnsi="Arial" w:cs="Arial"/>
                <w:sz w:val="20"/>
                <w:szCs w:val="20"/>
                <w:lang w:val="en-US"/>
              </w:rPr>
              <w:t>Casemix</w:t>
            </w:r>
            <w:proofErr w:type="spellEnd"/>
            <w:r w:rsidRPr="00B8572F">
              <w:rPr>
                <w:rFonts w:ascii="Arial" w:hAnsi="Arial" w:cs="Arial"/>
                <w:sz w:val="20"/>
                <w:szCs w:val="20"/>
                <w:lang w:val="en-US"/>
              </w:rPr>
              <w:t xml:space="preserve"> Framework for Publicly Funded Hospitals which gets updated every year.</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napToGrid w:val="0"/>
                <w:sz w:val="20"/>
                <w:szCs w:val="20"/>
              </w:rPr>
              <w:t>Cost Weighted Discharge</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NMDS</w:t>
            </w:r>
          </w:p>
        </w:tc>
      </w:tr>
      <w:tr w:rsidR="00490BB7" w:rsidRPr="00B8572F" w:rsidTr="00C65FEE">
        <w:trPr>
          <w:cantSplit/>
        </w:trPr>
        <w:tc>
          <w:tcPr>
            <w:tcW w:w="554"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napToGrid w:val="0"/>
                <w:sz w:val="20"/>
                <w:szCs w:val="20"/>
              </w:rPr>
              <w:t>M25002</w:t>
            </w:r>
          </w:p>
        </w:tc>
        <w:tc>
          <w:tcPr>
            <w:tcW w:w="969"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napToGrid w:val="0"/>
                <w:sz w:val="20"/>
                <w:szCs w:val="20"/>
              </w:rPr>
              <w:t>Gastroenterology - 1st attendance</w:t>
            </w:r>
          </w:p>
        </w:tc>
        <w:tc>
          <w:tcPr>
            <w:tcW w:w="1876"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First attendance to gastroenterologist or medical officer at registrar level or above or nurse practitioner for specialist assessment.</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napToGrid w:val="0"/>
                <w:sz w:val="20"/>
                <w:szCs w:val="20"/>
              </w:rPr>
              <w:t>Attendance</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NNPAC</w:t>
            </w:r>
          </w:p>
        </w:tc>
      </w:tr>
      <w:tr w:rsidR="00490BB7" w:rsidRPr="00B8572F" w:rsidTr="00C65FEE">
        <w:trPr>
          <w:cantSplit/>
        </w:trPr>
        <w:tc>
          <w:tcPr>
            <w:tcW w:w="554"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napToGrid w:val="0"/>
                <w:sz w:val="20"/>
                <w:szCs w:val="20"/>
              </w:rPr>
              <w:t>M25003</w:t>
            </w:r>
          </w:p>
        </w:tc>
        <w:tc>
          <w:tcPr>
            <w:tcW w:w="969"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napToGrid w:val="0"/>
                <w:sz w:val="20"/>
                <w:szCs w:val="20"/>
              </w:rPr>
              <w:t>Gastroenterology - Subsequent attendance</w:t>
            </w:r>
          </w:p>
        </w:tc>
        <w:tc>
          <w:tcPr>
            <w:tcW w:w="1876"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Follow-up attendances to gastroenterologist or medical officer at registrar level or above or nurse practitioner.</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napToGrid w:val="0"/>
                <w:sz w:val="20"/>
                <w:szCs w:val="20"/>
              </w:rPr>
              <w:t>Attendance</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NNPAC</w:t>
            </w:r>
          </w:p>
        </w:tc>
      </w:tr>
      <w:tr w:rsidR="00490BB7" w:rsidRPr="00B8572F" w:rsidTr="00C65FEE">
        <w:trPr>
          <w:cantSplit/>
        </w:trPr>
        <w:tc>
          <w:tcPr>
            <w:tcW w:w="554"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napToGrid w:val="0"/>
                <w:sz w:val="20"/>
                <w:szCs w:val="20"/>
              </w:rPr>
              <w:t>M25004</w:t>
            </w:r>
          </w:p>
        </w:tc>
        <w:tc>
          <w:tcPr>
            <w:tcW w:w="969"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napToGrid w:val="0"/>
                <w:sz w:val="20"/>
                <w:szCs w:val="20"/>
              </w:rPr>
              <w:t>Gastroenterology -  ERCP</w:t>
            </w:r>
          </w:p>
        </w:tc>
        <w:tc>
          <w:tcPr>
            <w:tcW w:w="1876"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 xml:space="preserve">ERCP performed as an outpatient or elective day case. </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napToGrid w:val="0"/>
                <w:sz w:val="20"/>
                <w:szCs w:val="20"/>
              </w:rPr>
              <w:t>Procedure</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NNPAC</w:t>
            </w:r>
          </w:p>
        </w:tc>
      </w:tr>
      <w:tr w:rsidR="00490BB7" w:rsidRPr="00B8572F" w:rsidTr="00C65FEE">
        <w:trPr>
          <w:cantSplit/>
        </w:trPr>
        <w:tc>
          <w:tcPr>
            <w:tcW w:w="554"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napToGrid w:val="0"/>
                <w:sz w:val="20"/>
                <w:szCs w:val="20"/>
              </w:rPr>
              <w:t>M25007</w:t>
            </w:r>
          </w:p>
        </w:tc>
        <w:tc>
          <w:tcPr>
            <w:tcW w:w="969"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napToGrid w:val="0"/>
                <w:sz w:val="20"/>
                <w:szCs w:val="20"/>
              </w:rPr>
              <w:t>Gastroenterology - Motility investigations</w:t>
            </w:r>
          </w:p>
        </w:tc>
        <w:tc>
          <w:tcPr>
            <w:tcW w:w="1876"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proofErr w:type="spellStart"/>
            <w:r w:rsidRPr="00B8572F">
              <w:rPr>
                <w:rFonts w:ascii="Arial" w:hAnsi="Arial" w:cs="Arial"/>
                <w:sz w:val="20"/>
                <w:szCs w:val="20"/>
                <w:lang w:val="en-US"/>
              </w:rPr>
              <w:t>Oesophageal</w:t>
            </w:r>
            <w:proofErr w:type="spellEnd"/>
            <w:r w:rsidRPr="00B8572F">
              <w:rPr>
                <w:rFonts w:ascii="Arial" w:hAnsi="Arial" w:cs="Arial"/>
                <w:sz w:val="20"/>
                <w:szCs w:val="20"/>
                <w:lang w:val="en-US"/>
              </w:rPr>
              <w:t xml:space="preserve"> and anorectal motility studies performed on an outpatient basis. Excludes motility studies performed as part of an inpatient episode.</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napToGrid w:val="0"/>
                <w:sz w:val="20"/>
                <w:szCs w:val="20"/>
              </w:rPr>
              <w:t>Procedure</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NNPAC</w:t>
            </w:r>
          </w:p>
        </w:tc>
      </w:tr>
      <w:tr w:rsidR="00490BB7" w:rsidRPr="00B8572F" w:rsidTr="00C65FEE">
        <w:trPr>
          <w:cantSplit/>
        </w:trPr>
        <w:tc>
          <w:tcPr>
            <w:tcW w:w="554"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napToGrid w:val="0"/>
                <w:sz w:val="20"/>
                <w:szCs w:val="20"/>
              </w:rPr>
            </w:pPr>
            <w:r w:rsidRPr="00B8572F">
              <w:rPr>
                <w:rFonts w:ascii="Arial" w:hAnsi="Arial" w:cs="Arial"/>
                <w:snapToGrid w:val="0"/>
                <w:sz w:val="20"/>
                <w:szCs w:val="20"/>
              </w:rPr>
              <w:t>M30002</w:t>
            </w:r>
          </w:p>
        </w:tc>
        <w:tc>
          <w:tcPr>
            <w:tcW w:w="969"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napToGrid w:val="0"/>
                <w:sz w:val="20"/>
                <w:szCs w:val="20"/>
              </w:rPr>
            </w:pPr>
            <w:r w:rsidRPr="00B8572F">
              <w:rPr>
                <w:rFonts w:ascii="Arial" w:hAnsi="Arial" w:cs="Arial"/>
                <w:snapToGrid w:val="0"/>
                <w:sz w:val="20"/>
                <w:szCs w:val="20"/>
              </w:rPr>
              <w:t>Haematology - 1st attendance</w:t>
            </w:r>
          </w:p>
        </w:tc>
        <w:tc>
          <w:tcPr>
            <w:tcW w:w="1876"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 xml:space="preserve">First attendance to </w:t>
            </w:r>
            <w:proofErr w:type="spellStart"/>
            <w:r w:rsidRPr="00B8572F">
              <w:rPr>
                <w:rFonts w:ascii="Arial" w:hAnsi="Arial" w:cs="Arial"/>
                <w:sz w:val="20"/>
                <w:szCs w:val="20"/>
                <w:lang w:val="en-US"/>
              </w:rPr>
              <w:t>haematologist</w:t>
            </w:r>
            <w:proofErr w:type="spellEnd"/>
            <w:r w:rsidRPr="00B8572F">
              <w:rPr>
                <w:rFonts w:ascii="Arial" w:hAnsi="Arial" w:cs="Arial"/>
                <w:sz w:val="20"/>
                <w:szCs w:val="20"/>
                <w:lang w:val="en-US"/>
              </w:rPr>
              <w:t xml:space="preserve"> or medical officer at registrar level or above or nurse practitioner for specialist assessment. Excludes patients with </w:t>
            </w:r>
            <w:proofErr w:type="spellStart"/>
            <w:r w:rsidRPr="00B8572F">
              <w:rPr>
                <w:rFonts w:ascii="Arial" w:hAnsi="Arial" w:cs="Arial"/>
                <w:sz w:val="20"/>
                <w:szCs w:val="20"/>
                <w:lang w:val="en-US"/>
              </w:rPr>
              <w:t>haemophilia</w:t>
            </w:r>
            <w:proofErr w:type="spellEnd"/>
            <w:r w:rsidRPr="00B8572F">
              <w:rPr>
                <w:rFonts w:ascii="Arial" w:hAnsi="Arial" w:cs="Arial"/>
                <w:sz w:val="20"/>
                <w:szCs w:val="20"/>
                <w:lang w:val="en-US"/>
              </w:rPr>
              <w:t>.</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napToGrid w:val="0"/>
                <w:sz w:val="20"/>
                <w:szCs w:val="20"/>
              </w:rPr>
            </w:pPr>
            <w:r w:rsidRPr="00B8572F">
              <w:rPr>
                <w:rFonts w:ascii="Arial" w:hAnsi="Arial" w:cs="Arial"/>
                <w:snapToGrid w:val="0"/>
                <w:sz w:val="20"/>
                <w:szCs w:val="20"/>
              </w:rPr>
              <w:t>Attendance</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NNPAC</w:t>
            </w:r>
          </w:p>
        </w:tc>
      </w:tr>
      <w:tr w:rsidR="00490BB7" w:rsidRPr="00B8572F" w:rsidTr="00C65FEE">
        <w:trPr>
          <w:cantSplit/>
        </w:trPr>
        <w:tc>
          <w:tcPr>
            <w:tcW w:w="554"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napToGrid w:val="0"/>
                <w:sz w:val="20"/>
                <w:szCs w:val="20"/>
              </w:rPr>
            </w:pPr>
            <w:r w:rsidRPr="00B8572F">
              <w:rPr>
                <w:rFonts w:ascii="Arial" w:hAnsi="Arial" w:cs="Arial"/>
                <w:snapToGrid w:val="0"/>
                <w:sz w:val="20"/>
                <w:szCs w:val="20"/>
              </w:rPr>
              <w:t>M30003</w:t>
            </w:r>
          </w:p>
        </w:tc>
        <w:tc>
          <w:tcPr>
            <w:tcW w:w="969"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napToGrid w:val="0"/>
                <w:sz w:val="20"/>
                <w:szCs w:val="20"/>
              </w:rPr>
            </w:pPr>
            <w:r w:rsidRPr="00B8572F">
              <w:rPr>
                <w:rFonts w:ascii="Arial" w:hAnsi="Arial" w:cs="Arial"/>
                <w:snapToGrid w:val="0"/>
                <w:sz w:val="20"/>
                <w:szCs w:val="20"/>
              </w:rPr>
              <w:t>Haematology - Subsequent attendance</w:t>
            </w:r>
          </w:p>
        </w:tc>
        <w:tc>
          <w:tcPr>
            <w:tcW w:w="1876"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 xml:space="preserve">Follow-up attendances to </w:t>
            </w:r>
            <w:proofErr w:type="spellStart"/>
            <w:r w:rsidRPr="00B8572F">
              <w:rPr>
                <w:rFonts w:ascii="Arial" w:hAnsi="Arial" w:cs="Arial"/>
                <w:sz w:val="20"/>
                <w:szCs w:val="20"/>
                <w:lang w:val="en-US"/>
              </w:rPr>
              <w:t>haematologist</w:t>
            </w:r>
            <w:proofErr w:type="spellEnd"/>
            <w:r w:rsidRPr="00B8572F">
              <w:rPr>
                <w:rFonts w:ascii="Arial" w:hAnsi="Arial" w:cs="Arial"/>
                <w:sz w:val="20"/>
                <w:szCs w:val="20"/>
                <w:lang w:val="en-US"/>
              </w:rPr>
              <w:t xml:space="preserve"> or medical officer at registrar level or above or nurse practitioner. Excludes patients with </w:t>
            </w:r>
            <w:proofErr w:type="spellStart"/>
            <w:r w:rsidRPr="00B8572F">
              <w:rPr>
                <w:rFonts w:ascii="Arial" w:hAnsi="Arial" w:cs="Arial"/>
                <w:sz w:val="20"/>
                <w:szCs w:val="20"/>
                <w:lang w:val="en-US"/>
              </w:rPr>
              <w:t>haemophilia</w:t>
            </w:r>
            <w:proofErr w:type="spellEnd"/>
            <w:r w:rsidRPr="00B8572F">
              <w:rPr>
                <w:rFonts w:ascii="Arial" w:hAnsi="Arial" w:cs="Arial"/>
                <w:sz w:val="20"/>
                <w:szCs w:val="20"/>
                <w:lang w:val="en-US"/>
              </w:rPr>
              <w:t xml:space="preserve"> and </w:t>
            </w:r>
            <w:proofErr w:type="spellStart"/>
            <w:r w:rsidRPr="00B8572F">
              <w:rPr>
                <w:rFonts w:ascii="Arial" w:hAnsi="Arial" w:cs="Arial"/>
                <w:sz w:val="20"/>
                <w:szCs w:val="20"/>
                <w:lang w:val="en-US"/>
              </w:rPr>
              <w:t>phoresis</w:t>
            </w:r>
            <w:proofErr w:type="spellEnd"/>
            <w:r w:rsidRPr="00B8572F">
              <w:rPr>
                <w:rFonts w:ascii="Arial" w:hAnsi="Arial" w:cs="Arial"/>
                <w:sz w:val="20"/>
                <w:szCs w:val="20"/>
                <w:lang w:val="en-US"/>
              </w:rPr>
              <w:t>.</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napToGrid w:val="0"/>
                <w:sz w:val="20"/>
                <w:szCs w:val="20"/>
              </w:rPr>
            </w:pPr>
            <w:r w:rsidRPr="00B8572F">
              <w:rPr>
                <w:rFonts w:ascii="Arial" w:hAnsi="Arial" w:cs="Arial"/>
                <w:snapToGrid w:val="0"/>
                <w:sz w:val="20"/>
                <w:szCs w:val="20"/>
              </w:rPr>
              <w:t>Attendance</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NNPAC</w:t>
            </w:r>
          </w:p>
        </w:tc>
      </w:tr>
      <w:tr w:rsidR="00490BB7" w:rsidRPr="00B8572F" w:rsidTr="00C65FEE">
        <w:trPr>
          <w:cantSplit/>
        </w:trPr>
        <w:tc>
          <w:tcPr>
            <w:tcW w:w="554"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napToGrid w:val="0"/>
                <w:sz w:val="20"/>
                <w:szCs w:val="20"/>
              </w:rPr>
            </w:pPr>
            <w:r w:rsidRPr="00B8572F">
              <w:rPr>
                <w:rFonts w:ascii="Arial" w:hAnsi="Arial" w:cs="Arial"/>
                <w:snapToGrid w:val="0"/>
                <w:sz w:val="20"/>
                <w:szCs w:val="20"/>
              </w:rPr>
              <w:t>M30005</w:t>
            </w:r>
          </w:p>
        </w:tc>
        <w:tc>
          <w:tcPr>
            <w:tcW w:w="969"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napToGrid w:val="0"/>
                <w:sz w:val="20"/>
                <w:szCs w:val="20"/>
              </w:rPr>
            </w:pPr>
            <w:r w:rsidRPr="00B8572F">
              <w:rPr>
                <w:rFonts w:ascii="Arial" w:hAnsi="Arial" w:cs="Arial"/>
                <w:snapToGrid w:val="0"/>
                <w:sz w:val="20"/>
                <w:szCs w:val="20"/>
              </w:rPr>
              <w:t xml:space="preserve">Haematology - </w:t>
            </w:r>
            <w:proofErr w:type="spellStart"/>
            <w:r w:rsidRPr="00B8572F">
              <w:rPr>
                <w:rFonts w:ascii="Arial" w:hAnsi="Arial" w:cs="Arial"/>
                <w:snapToGrid w:val="0"/>
                <w:sz w:val="20"/>
                <w:szCs w:val="20"/>
              </w:rPr>
              <w:t>Phoresis</w:t>
            </w:r>
            <w:proofErr w:type="spellEnd"/>
          </w:p>
        </w:tc>
        <w:tc>
          <w:tcPr>
            <w:tcW w:w="1876"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 xml:space="preserve">Procedure used to remove certain specified components of blood/plasma and return remaining components to the body.  Excludes plasma donation obtained through blood </w:t>
            </w:r>
            <w:proofErr w:type="spellStart"/>
            <w:r w:rsidRPr="00B8572F">
              <w:rPr>
                <w:rFonts w:ascii="Arial" w:hAnsi="Arial" w:cs="Arial"/>
                <w:sz w:val="20"/>
                <w:szCs w:val="20"/>
                <w:lang w:val="en-US"/>
              </w:rPr>
              <w:t>phoresis</w:t>
            </w:r>
            <w:proofErr w:type="spellEnd"/>
            <w:r w:rsidRPr="00B8572F">
              <w:rPr>
                <w:rFonts w:ascii="Arial" w:hAnsi="Arial" w:cs="Arial"/>
                <w:sz w:val="20"/>
                <w:szCs w:val="20"/>
                <w:lang w:val="en-US"/>
              </w:rPr>
              <w:t>.</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napToGrid w:val="0"/>
                <w:sz w:val="20"/>
                <w:szCs w:val="20"/>
              </w:rPr>
            </w:pPr>
            <w:r w:rsidRPr="00B8572F">
              <w:rPr>
                <w:rFonts w:ascii="Arial" w:hAnsi="Arial" w:cs="Arial"/>
                <w:snapToGrid w:val="0"/>
                <w:sz w:val="20"/>
                <w:szCs w:val="20"/>
              </w:rPr>
              <w:t>Procedure</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NNPAC</w:t>
            </w:r>
          </w:p>
        </w:tc>
      </w:tr>
      <w:tr w:rsidR="00490BB7" w:rsidRPr="00B8572F" w:rsidTr="00C65FEE">
        <w:trPr>
          <w:cantSplit/>
        </w:trPr>
        <w:tc>
          <w:tcPr>
            <w:tcW w:w="554"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napToGrid w:val="0"/>
                <w:sz w:val="20"/>
                <w:szCs w:val="20"/>
              </w:rPr>
            </w:pPr>
            <w:r w:rsidRPr="00B8572F">
              <w:rPr>
                <w:rFonts w:ascii="Arial" w:hAnsi="Arial" w:cs="Arial"/>
                <w:snapToGrid w:val="0"/>
                <w:sz w:val="20"/>
                <w:szCs w:val="20"/>
              </w:rPr>
              <w:t>M30014</w:t>
            </w:r>
          </w:p>
        </w:tc>
        <w:tc>
          <w:tcPr>
            <w:tcW w:w="969"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napToGrid w:val="0"/>
                <w:sz w:val="20"/>
                <w:szCs w:val="20"/>
              </w:rPr>
            </w:pPr>
            <w:r w:rsidRPr="00B8572F">
              <w:rPr>
                <w:rFonts w:ascii="Arial" w:hAnsi="Arial" w:cs="Arial"/>
                <w:snapToGrid w:val="0"/>
                <w:sz w:val="20"/>
                <w:szCs w:val="20"/>
              </w:rPr>
              <w:t>Haematology - Blood transfusions</w:t>
            </w:r>
          </w:p>
        </w:tc>
        <w:tc>
          <w:tcPr>
            <w:tcW w:w="1876"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Blood transfusions performed as an outpatient or elective day case in general medicine.</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napToGrid w:val="0"/>
                <w:sz w:val="20"/>
                <w:szCs w:val="20"/>
              </w:rPr>
            </w:pPr>
            <w:r w:rsidRPr="00B8572F">
              <w:rPr>
                <w:rFonts w:ascii="Arial" w:hAnsi="Arial" w:cs="Arial"/>
                <w:snapToGrid w:val="0"/>
                <w:sz w:val="20"/>
                <w:szCs w:val="20"/>
              </w:rPr>
              <w:t>Attendance</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NNPAC</w:t>
            </w:r>
          </w:p>
        </w:tc>
      </w:tr>
      <w:tr w:rsidR="0002112D" w:rsidRPr="00B8572F" w:rsidTr="00C65FEE">
        <w:trPr>
          <w:cantSplit/>
        </w:trPr>
        <w:tc>
          <w:tcPr>
            <w:tcW w:w="554" w:type="pct"/>
            <w:tcBorders>
              <w:top w:val="single" w:sz="4" w:space="0" w:color="auto"/>
              <w:left w:val="single" w:sz="4" w:space="0" w:color="auto"/>
              <w:bottom w:val="single" w:sz="4" w:space="0" w:color="auto"/>
              <w:right w:val="single" w:sz="4" w:space="0" w:color="auto"/>
            </w:tcBorders>
          </w:tcPr>
          <w:p w:rsidR="0002112D" w:rsidRPr="00B8572F" w:rsidRDefault="0002112D" w:rsidP="00EB08EC">
            <w:pPr>
              <w:jc w:val="left"/>
              <w:rPr>
                <w:rFonts w:ascii="Arial" w:hAnsi="Arial" w:cs="Arial"/>
                <w:snapToGrid w:val="0"/>
                <w:sz w:val="20"/>
                <w:szCs w:val="20"/>
              </w:rPr>
            </w:pPr>
            <w:r>
              <w:rPr>
                <w:rFonts w:ascii="Arial" w:hAnsi="Arial" w:cs="Arial"/>
                <w:snapToGrid w:val="0"/>
                <w:sz w:val="20"/>
                <w:szCs w:val="20"/>
              </w:rPr>
              <w:t>M30006</w:t>
            </w:r>
          </w:p>
        </w:tc>
        <w:tc>
          <w:tcPr>
            <w:tcW w:w="969" w:type="pct"/>
            <w:tcBorders>
              <w:top w:val="single" w:sz="4" w:space="0" w:color="auto"/>
              <w:left w:val="single" w:sz="4" w:space="0" w:color="auto"/>
              <w:bottom w:val="single" w:sz="4" w:space="0" w:color="auto"/>
              <w:right w:val="single" w:sz="4" w:space="0" w:color="auto"/>
            </w:tcBorders>
          </w:tcPr>
          <w:p w:rsidR="0002112D" w:rsidRPr="00B8572F" w:rsidRDefault="0002112D" w:rsidP="00EB08EC">
            <w:pPr>
              <w:jc w:val="left"/>
              <w:rPr>
                <w:rFonts w:ascii="Arial" w:hAnsi="Arial" w:cs="Arial"/>
                <w:snapToGrid w:val="0"/>
                <w:sz w:val="20"/>
                <w:szCs w:val="20"/>
              </w:rPr>
            </w:pPr>
            <w:r w:rsidRPr="0002112D">
              <w:rPr>
                <w:rFonts w:ascii="Arial" w:hAnsi="Arial" w:cs="Arial"/>
                <w:snapToGrid w:val="0"/>
                <w:sz w:val="20"/>
                <w:szCs w:val="20"/>
              </w:rPr>
              <w:t>Haemophilia - Case Management</w:t>
            </w:r>
          </w:p>
        </w:tc>
        <w:tc>
          <w:tcPr>
            <w:tcW w:w="1876" w:type="pct"/>
            <w:tcBorders>
              <w:top w:val="single" w:sz="4" w:space="0" w:color="auto"/>
              <w:left w:val="single" w:sz="4" w:space="0" w:color="auto"/>
              <w:bottom w:val="single" w:sz="4" w:space="0" w:color="auto"/>
              <w:right w:val="single" w:sz="4" w:space="0" w:color="auto"/>
            </w:tcBorders>
          </w:tcPr>
          <w:p w:rsidR="0002112D" w:rsidRPr="00B8572F" w:rsidRDefault="0002112D" w:rsidP="00EB08EC">
            <w:pPr>
              <w:jc w:val="left"/>
              <w:rPr>
                <w:rFonts w:ascii="Arial" w:hAnsi="Arial" w:cs="Arial"/>
                <w:sz w:val="20"/>
                <w:szCs w:val="20"/>
                <w:lang w:val="en-US"/>
              </w:rPr>
            </w:pPr>
            <w:r w:rsidRPr="0002112D">
              <w:rPr>
                <w:rFonts w:ascii="Arial" w:hAnsi="Arial" w:cs="Arial"/>
                <w:sz w:val="20"/>
                <w:szCs w:val="20"/>
                <w:lang w:val="en-US"/>
              </w:rPr>
              <w:t xml:space="preserve">Clinical case management of people with severe </w:t>
            </w:r>
            <w:proofErr w:type="spellStart"/>
            <w:r w:rsidRPr="0002112D">
              <w:rPr>
                <w:rFonts w:ascii="Arial" w:hAnsi="Arial" w:cs="Arial"/>
                <w:sz w:val="20"/>
                <w:szCs w:val="20"/>
                <w:lang w:val="en-US"/>
              </w:rPr>
              <w:t>haemophilia</w:t>
            </w:r>
            <w:proofErr w:type="spellEnd"/>
            <w:r w:rsidRPr="0002112D">
              <w:rPr>
                <w:rFonts w:ascii="Arial" w:hAnsi="Arial" w:cs="Arial"/>
                <w:sz w:val="20"/>
                <w:szCs w:val="20"/>
                <w:lang w:val="en-US"/>
              </w:rPr>
              <w:t>.  Includes education of patients and families, supply of equipment for self-management, liaison with other specialists and general practitioners including promotion of treatment guidelines.</w:t>
            </w:r>
          </w:p>
        </w:tc>
        <w:tc>
          <w:tcPr>
            <w:tcW w:w="800" w:type="pct"/>
            <w:tcBorders>
              <w:top w:val="single" w:sz="4" w:space="0" w:color="auto"/>
              <w:left w:val="single" w:sz="4" w:space="0" w:color="auto"/>
              <w:bottom w:val="single" w:sz="4" w:space="0" w:color="auto"/>
              <w:right w:val="single" w:sz="4" w:space="0" w:color="auto"/>
            </w:tcBorders>
          </w:tcPr>
          <w:p w:rsidR="0002112D" w:rsidRPr="00B8572F" w:rsidRDefault="0002112D" w:rsidP="00EB08EC">
            <w:pPr>
              <w:jc w:val="left"/>
              <w:rPr>
                <w:rFonts w:ascii="Arial" w:hAnsi="Arial" w:cs="Arial"/>
                <w:snapToGrid w:val="0"/>
                <w:sz w:val="20"/>
                <w:szCs w:val="20"/>
              </w:rPr>
            </w:pPr>
            <w:r>
              <w:rPr>
                <w:rFonts w:ascii="Arial" w:hAnsi="Arial" w:cs="Arial"/>
                <w:snapToGrid w:val="0"/>
                <w:sz w:val="20"/>
                <w:szCs w:val="20"/>
              </w:rPr>
              <w:t>Client</w:t>
            </w:r>
          </w:p>
        </w:tc>
        <w:tc>
          <w:tcPr>
            <w:tcW w:w="800" w:type="pct"/>
            <w:tcBorders>
              <w:top w:val="single" w:sz="4" w:space="0" w:color="auto"/>
              <w:left w:val="single" w:sz="4" w:space="0" w:color="auto"/>
              <w:bottom w:val="single" w:sz="4" w:space="0" w:color="auto"/>
              <w:right w:val="single" w:sz="4" w:space="0" w:color="auto"/>
            </w:tcBorders>
          </w:tcPr>
          <w:p w:rsidR="0002112D" w:rsidRPr="00B8572F" w:rsidRDefault="0002112D" w:rsidP="00EB08EC">
            <w:pPr>
              <w:jc w:val="left"/>
              <w:rPr>
                <w:rFonts w:ascii="Arial" w:hAnsi="Arial" w:cs="Arial"/>
                <w:sz w:val="20"/>
                <w:szCs w:val="20"/>
              </w:rPr>
            </w:pPr>
            <w:r>
              <w:rPr>
                <w:rFonts w:ascii="Arial" w:hAnsi="Arial" w:cs="Arial"/>
                <w:sz w:val="20"/>
                <w:szCs w:val="20"/>
              </w:rPr>
              <w:t>NNPAC</w:t>
            </w:r>
          </w:p>
        </w:tc>
        <w:bookmarkStart w:id="1" w:name="_GoBack"/>
        <w:bookmarkEnd w:id="1"/>
      </w:tr>
      <w:tr w:rsidR="00490BB7" w:rsidRPr="00B8572F" w:rsidTr="00C65FEE">
        <w:trPr>
          <w:cantSplit/>
        </w:trPr>
        <w:tc>
          <w:tcPr>
            <w:tcW w:w="554"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MS01001</w:t>
            </w:r>
          </w:p>
        </w:tc>
        <w:tc>
          <w:tcPr>
            <w:tcW w:w="969"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Nurse led clinics</w:t>
            </w:r>
          </w:p>
        </w:tc>
        <w:tc>
          <w:tcPr>
            <w:tcW w:w="1876"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Assessment, treatment, or education and/or management clinics led by a nurse specialist for specialist groups of Client excluding Education &amp; Management of diabetes, respiratory, and cardiac Client that are covered in other purchase units. This also excludes clinics led by a Nurse Practitioner.</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Assessment</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NNPAC</w:t>
            </w:r>
          </w:p>
        </w:tc>
      </w:tr>
      <w:tr w:rsidR="00490BB7" w:rsidRPr="00B8572F" w:rsidTr="00C65FEE">
        <w:trPr>
          <w:cantSplit/>
        </w:trPr>
        <w:tc>
          <w:tcPr>
            <w:tcW w:w="554"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MS02001</w:t>
            </w:r>
          </w:p>
        </w:tc>
        <w:tc>
          <w:tcPr>
            <w:tcW w:w="969"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Blood transfusions - Any health specialty</w:t>
            </w:r>
          </w:p>
        </w:tc>
        <w:tc>
          <w:tcPr>
            <w:tcW w:w="1876"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 xml:space="preserve">Blood transfusions performed as an outpatient or elective day case regardless of the Health Specialty providing the service, and not provided under any other purchase unit. </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Attendance</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Pr>
                <w:rFonts w:ascii="Arial" w:hAnsi="Arial" w:cs="Arial"/>
                <w:sz w:val="20"/>
                <w:szCs w:val="20"/>
              </w:rPr>
              <w:t xml:space="preserve">NMDS and </w:t>
            </w:r>
            <w:r w:rsidRPr="00B8572F">
              <w:rPr>
                <w:rFonts w:ascii="Arial" w:hAnsi="Arial" w:cs="Arial"/>
                <w:sz w:val="20"/>
                <w:szCs w:val="20"/>
              </w:rPr>
              <w:t>NNPAC</w:t>
            </w:r>
          </w:p>
        </w:tc>
      </w:tr>
      <w:tr w:rsidR="00490BB7" w:rsidRPr="00B8572F" w:rsidTr="00C65FEE">
        <w:trPr>
          <w:cantSplit/>
        </w:trPr>
        <w:tc>
          <w:tcPr>
            <w:tcW w:w="554"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MS02002</w:t>
            </w:r>
          </w:p>
        </w:tc>
        <w:tc>
          <w:tcPr>
            <w:tcW w:w="969"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Botulinum toxin therapy - Any health specialty</w:t>
            </w:r>
          </w:p>
        </w:tc>
        <w:tc>
          <w:tcPr>
            <w:tcW w:w="1876"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Attendance for the purpose of receiving botulinum toxin therapy provided under any health specialty.</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Attendance</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NNPAC</w:t>
            </w:r>
          </w:p>
        </w:tc>
      </w:tr>
      <w:tr w:rsidR="00490BB7" w:rsidRPr="00B8572F" w:rsidTr="00C65FEE">
        <w:trPr>
          <w:cantSplit/>
        </w:trPr>
        <w:tc>
          <w:tcPr>
            <w:tcW w:w="554"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MS02003</w:t>
            </w:r>
          </w:p>
        </w:tc>
        <w:tc>
          <w:tcPr>
            <w:tcW w:w="969"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Bronchoscopy - Any health specialty</w:t>
            </w:r>
          </w:p>
        </w:tc>
        <w:tc>
          <w:tcPr>
            <w:tcW w:w="1876"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 xml:space="preserve">Bronchoscopy performed as an outpatient or elective day case regardless of the Health Specialty providing the service, and not provided under any other purchase unit. </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Attendance</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NNPAC</w:t>
            </w:r>
          </w:p>
        </w:tc>
      </w:tr>
      <w:tr w:rsidR="00490BB7" w:rsidRPr="00B8572F" w:rsidTr="00C65FEE">
        <w:trPr>
          <w:cantSplit/>
        </w:trPr>
        <w:tc>
          <w:tcPr>
            <w:tcW w:w="554"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MS02006</w:t>
            </w:r>
          </w:p>
        </w:tc>
        <w:tc>
          <w:tcPr>
            <w:tcW w:w="969"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ERCP - Any health specialty</w:t>
            </w:r>
          </w:p>
        </w:tc>
        <w:tc>
          <w:tcPr>
            <w:tcW w:w="1876"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 xml:space="preserve">ERCP performed as an outpatient or elective day case regardless of the Health Specialty providing the service, and not provided under any other purchase unit. </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Attendance</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NNPAC</w:t>
            </w:r>
          </w:p>
        </w:tc>
      </w:tr>
      <w:tr w:rsidR="00490BB7" w:rsidRPr="00B8572F" w:rsidTr="00C65FEE">
        <w:trPr>
          <w:cantSplit/>
        </w:trPr>
        <w:tc>
          <w:tcPr>
            <w:tcW w:w="554"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MS02008</w:t>
            </w:r>
          </w:p>
        </w:tc>
        <w:tc>
          <w:tcPr>
            <w:tcW w:w="969"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IV Chemotherapy - non cancer - Any health specialty</w:t>
            </w:r>
          </w:p>
        </w:tc>
        <w:tc>
          <w:tcPr>
            <w:tcW w:w="1876"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An attendance to receive intravenous chemotherapy treatment for conditions other than cancer. The specialist may or may not be in attendance and the service may be provided under any other health specialty. Includes all pharmaceutical administered during the attendance. Includes day case treatments excluded from CWDs as per definition of WIESNZ. Note: PCT drugs may NOT be recovered through Sector Services for non-cancer</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Pr>
                <w:rFonts w:ascii="Arial" w:hAnsi="Arial" w:cs="Arial"/>
                <w:sz w:val="20"/>
                <w:szCs w:val="20"/>
              </w:rPr>
              <w:t>Attendance</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NNPAC</w:t>
            </w:r>
          </w:p>
        </w:tc>
      </w:tr>
      <w:tr w:rsidR="00490BB7" w:rsidRPr="00B8572F" w:rsidTr="00C65FEE">
        <w:trPr>
          <w:cantSplit/>
        </w:trPr>
        <w:tc>
          <w:tcPr>
            <w:tcW w:w="554"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MS02009</w:t>
            </w:r>
          </w:p>
        </w:tc>
        <w:tc>
          <w:tcPr>
            <w:tcW w:w="969"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IV Chemotherapy - cancer - Any health specialty</w:t>
            </w:r>
          </w:p>
        </w:tc>
        <w:tc>
          <w:tcPr>
            <w:tcW w:w="1876"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 xml:space="preserve">An attendance where the purpose is to receive intravenous chemotherapy treatment for cancer as defined by the Pharmaceutical Cancer Treatment schedule. The specialist may or may not be in attendance. Includes all pharmaceuticals administered during the attendance net of PCT drug cost recovery from Sector Services. Includes day case treatment excluded from CWDs as per definition of WIESNZ. Excludes treatment not for cancer. Note special PU codes for </w:t>
            </w:r>
            <w:proofErr w:type="spellStart"/>
            <w:r w:rsidRPr="00B8572F">
              <w:rPr>
                <w:rFonts w:ascii="Arial" w:hAnsi="Arial" w:cs="Arial"/>
                <w:sz w:val="20"/>
                <w:szCs w:val="20"/>
                <w:lang w:val="en-US"/>
              </w:rPr>
              <w:t>Haematology</w:t>
            </w:r>
            <w:proofErr w:type="spellEnd"/>
            <w:r w:rsidRPr="00B8572F">
              <w:rPr>
                <w:rFonts w:ascii="Arial" w:hAnsi="Arial" w:cs="Arial"/>
                <w:sz w:val="20"/>
                <w:szCs w:val="20"/>
                <w:lang w:val="en-US"/>
              </w:rPr>
              <w:t xml:space="preserve"> and </w:t>
            </w:r>
            <w:proofErr w:type="spellStart"/>
            <w:r w:rsidRPr="00B8572F">
              <w:rPr>
                <w:rFonts w:ascii="Arial" w:hAnsi="Arial" w:cs="Arial"/>
                <w:sz w:val="20"/>
                <w:szCs w:val="20"/>
                <w:lang w:val="en-US"/>
              </w:rPr>
              <w:t>Paediatric</w:t>
            </w:r>
            <w:proofErr w:type="spellEnd"/>
            <w:r w:rsidRPr="00B8572F">
              <w:rPr>
                <w:rFonts w:ascii="Arial" w:hAnsi="Arial" w:cs="Arial"/>
                <w:sz w:val="20"/>
                <w:szCs w:val="20"/>
                <w:lang w:val="en-US"/>
              </w:rPr>
              <w:t xml:space="preserve"> Services</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Pr>
                <w:rFonts w:ascii="Arial" w:hAnsi="Arial" w:cs="Arial"/>
                <w:sz w:val="20"/>
                <w:szCs w:val="20"/>
              </w:rPr>
              <w:t>Attendance</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NNPAC</w:t>
            </w:r>
          </w:p>
        </w:tc>
      </w:tr>
      <w:tr w:rsidR="00490BB7" w:rsidRPr="00B8572F" w:rsidTr="00C65FEE">
        <w:trPr>
          <w:cantSplit/>
        </w:trPr>
        <w:tc>
          <w:tcPr>
            <w:tcW w:w="554"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MS02011</w:t>
            </w:r>
          </w:p>
        </w:tc>
        <w:tc>
          <w:tcPr>
            <w:tcW w:w="969"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 xml:space="preserve">Testing for </w:t>
            </w:r>
            <w:proofErr w:type="spellStart"/>
            <w:r w:rsidRPr="00B8572F">
              <w:rPr>
                <w:rFonts w:ascii="Arial" w:hAnsi="Arial" w:cs="Arial"/>
                <w:sz w:val="20"/>
                <w:szCs w:val="20"/>
                <w:lang w:val="en-US"/>
              </w:rPr>
              <w:t>anaesthesia</w:t>
            </w:r>
            <w:proofErr w:type="spellEnd"/>
            <w:r w:rsidRPr="00B8572F">
              <w:rPr>
                <w:rFonts w:ascii="Arial" w:hAnsi="Arial" w:cs="Arial"/>
                <w:sz w:val="20"/>
                <w:szCs w:val="20"/>
                <w:lang w:val="en-US"/>
              </w:rPr>
              <w:t xml:space="preserve"> allergies </w:t>
            </w:r>
          </w:p>
        </w:tc>
        <w:tc>
          <w:tcPr>
            <w:tcW w:w="1876"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 xml:space="preserve">An attendance as an outpatient for patients who have previously undergone </w:t>
            </w:r>
            <w:proofErr w:type="spellStart"/>
            <w:r w:rsidRPr="00B8572F">
              <w:rPr>
                <w:rFonts w:ascii="Arial" w:hAnsi="Arial" w:cs="Arial"/>
                <w:sz w:val="20"/>
                <w:szCs w:val="20"/>
                <w:lang w:val="en-US"/>
              </w:rPr>
              <w:t>anaesthesia</w:t>
            </w:r>
            <w:proofErr w:type="spellEnd"/>
            <w:r w:rsidRPr="00B8572F">
              <w:rPr>
                <w:rFonts w:ascii="Arial" w:hAnsi="Arial" w:cs="Arial"/>
                <w:sz w:val="20"/>
                <w:szCs w:val="20"/>
                <w:lang w:val="en-US"/>
              </w:rPr>
              <w:t xml:space="preserve"> and are suspected of allergic reaction to </w:t>
            </w:r>
            <w:proofErr w:type="spellStart"/>
            <w:r w:rsidRPr="00B8572F">
              <w:rPr>
                <w:rFonts w:ascii="Arial" w:hAnsi="Arial" w:cs="Arial"/>
                <w:sz w:val="20"/>
                <w:szCs w:val="20"/>
                <w:lang w:val="en-US"/>
              </w:rPr>
              <w:t>anaesthesia</w:t>
            </w:r>
            <w:proofErr w:type="spellEnd"/>
            <w:r w:rsidRPr="00B8572F">
              <w:rPr>
                <w:rFonts w:ascii="Arial" w:hAnsi="Arial" w:cs="Arial"/>
                <w:sz w:val="20"/>
                <w:szCs w:val="20"/>
                <w:lang w:val="en-US"/>
              </w:rPr>
              <w:t xml:space="preserve">. The </w:t>
            </w:r>
            <w:proofErr w:type="spellStart"/>
            <w:r w:rsidRPr="00B8572F">
              <w:rPr>
                <w:rFonts w:ascii="Arial" w:hAnsi="Arial" w:cs="Arial"/>
                <w:sz w:val="20"/>
                <w:szCs w:val="20"/>
                <w:lang w:val="en-US"/>
              </w:rPr>
              <w:t>Anaesthetist</w:t>
            </w:r>
            <w:proofErr w:type="spellEnd"/>
            <w:r w:rsidRPr="00B8572F">
              <w:rPr>
                <w:rFonts w:ascii="Arial" w:hAnsi="Arial" w:cs="Arial"/>
                <w:sz w:val="20"/>
                <w:szCs w:val="20"/>
                <w:lang w:val="en-US"/>
              </w:rPr>
              <w:t xml:space="preserve"> is in attendance for this subsequent allergy testing in relation to </w:t>
            </w:r>
            <w:proofErr w:type="spellStart"/>
            <w:r w:rsidRPr="00B8572F">
              <w:rPr>
                <w:rFonts w:ascii="Arial" w:hAnsi="Arial" w:cs="Arial"/>
                <w:sz w:val="20"/>
                <w:szCs w:val="20"/>
                <w:lang w:val="en-US"/>
              </w:rPr>
              <w:t>anaesthesia</w:t>
            </w:r>
            <w:proofErr w:type="spellEnd"/>
            <w:r w:rsidRPr="00B8572F">
              <w:rPr>
                <w:rFonts w:ascii="Arial" w:hAnsi="Arial" w:cs="Arial"/>
                <w:sz w:val="20"/>
                <w:szCs w:val="20"/>
                <w:lang w:val="en-US"/>
              </w:rPr>
              <w:t>, but the service may be provided under any health specialty. EXCLUDES pre-assessment clinics provided prior to elective inpatient procedures, which are purchased as part of the inpatient event</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Pr>
                <w:rFonts w:ascii="Arial" w:hAnsi="Arial" w:cs="Arial"/>
                <w:sz w:val="20"/>
                <w:szCs w:val="20"/>
              </w:rPr>
              <w:t>Attendance</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NNPAC</w:t>
            </w:r>
          </w:p>
        </w:tc>
      </w:tr>
      <w:tr w:rsidR="00490BB7" w:rsidRPr="00B8572F" w:rsidTr="00C65FEE">
        <w:trPr>
          <w:cantSplit/>
        </w:trPr>
        <w:tc>
          <w:tcPr>
            <w:tcW w:w="554" w:type="pct"/>
            <w:tcBorders>
              <w:top w:val="single" w:sz="4" w:space="0" w:color="auto"/>
              <w:left w:val="single" w:sz="4" w:space="0" w:color="auto"/>
              <w:bottom w:val="single" w:sz="4" w:space="0" w:color="auto"/>
              <w:right w:val="single" w:sz="4" w:space="0" w:color="auto"/>
            </w:tcBorders>
          </w:tcPr>
          <w:p w:rsidR="00490BB7" w:rsidRDefault="00490BB7" w:rsidP="003273EA">
            <w:pPr>
              <w:jc w:val="left"/>
              <w:rPr>
                <w:rFonts w:ascii="Arial" w:hAnsi="Arial" w:cs="Arial"/>
                <w:sz w:val="20"/>
                <w:szCs w:val="20"/>
              </w:rPr>
            </w:pPr>
            <w:r>
              <w:rPr>
                <w:rFonts w:ascii="Arial" w:hAnsi="Arial" w:cs="Arial"/>
                <w:sz w:val="20"/>
                <w:szCs w:val="20"/>
              </w:rPr>
              <w:t>MS02013</w:t>
            </w:r>
          </w:p>
        </w:tc>
        <w:tc>
          <w:tcPr>
            <w:tcW w:w="969" w:type="pct"/>
            <w:tcBorders>
              <w:top w:val="single" w:sz="4" w:space="0" w:color="auto"/>
              <w:left w:val="single" w:sz="4" w:space="0" w:color="auto"/>
              <w:bottom w:val="single" w:sz="4" w:space="0" w:color="auto"/>
              <w:right w:val="single" w:sz="4" w:space="0" w:color="auto"/>
            </w:tcBorders>
          </w:tcPr>
          <w:p w:rsidR="00490BB7" w:rsidRDefault="00490BB7" w:rsidP="003273EA">
            <w:pPr>
              <w:jc w:val="left"/>
              <w:rPr>
                <w:rFonts w:ascii="Arial" w:hAnsi="Arial" w:cs="Arial"/>
                <w:sz w:val="20"/>
                <w:szCs w:val="20"/>
              </w:rPr>
            </w:pPr>
            <w:proofErr w:type="spellStart"/>
            <w:r>
              <w:rPr>
                <w:rFonts w:ascii="Arial" w:hAnsi="Arial" w:cs="Arial"/>
                <w:sz w:val="20"/>
                <w:szCs w:val="20"/>
              </w:rPr>
              <w:t>Non contact</w:t>
            </w:r>
            <w:proofErr w:type="spellEnd"/>
            <w:r>
              <w:rPr>
                <w:rFonts w:ascii="Arial" w:hAnsi="Arial" w:cs="Arial"/>
                <w:sz w:val="20"/>
                <w:szCs w:val="20"/>
              </w:rPr>
              <w:t xml:space="preserve"> First Specialist Assessment - Any health specialty</w:t>
            </w:r>
          </w:p>
        </w:tc>
        <w:tc>
          <w:tcPr>
            <w:tcW w:w="1876" w:type="pct"/>
            <w:tcBorders>
              <w:top w:val="single" w:sz="4" w:space="0" w:color="auto"/>
              <w:left w:val="single" w:sz="4" w:space="0" w:color="auto"/>
              <w:bottom w:val="single" w:sz="4" w:space="0" w:color="auto"/>
              <w:right w:val="single" w:sz="4" w:space="0" w:color="auto"/>
            </w:tcBorders>
          </w:tcPr>
          <w:p w:rsidR="00490BB7" w:rsidRDefault="00490BB7" w:rsidP="003273EA">
            <w:pPr>
              <w:jc w:val="left"/>
              <w:rPr>
                <w:rFonts w:ascii="Arial" w:hAnsi="Arial" w:cs="Arial"/>
                <w:sz w:val="20"/>
                <w:szCs w:val="20"/>
              </w:rPr>
            </w:pPr>
            <w:r>
              <w:rPr>
                <w:rFonts w:ascii="Arial" w:hAnsi="Arial" w:cs="Arial"/>
                <w:sz w:val="20"/>
                <w:szCs w:val="20"/>
              </w:rPr>
              <w:t>Following a request from a GP or community based Nurse Practitioner, a review by a specialist medical practitioner of patient records and any diagnostic test results, development of a written plan of care for the patient and provision of that plan and other necessary advice to the referring GP or Nurse Practitioner.  This does not include the triaging of referral letters.  The patient should not be present during the assessment.</w:t>
            </w:r>
          </w:p>
        </w:tc>
        <w:tc>
          <w:tcPr>
            <w:tcW w:w="800" w:type="pct"/>
            <w:tcBorders>
              <w:top w:val="single" w:sz="4" w:space="0" w:color="auto"/>
              <w:left w:val="single" w:sz="4" w:space="0" w:color="auto"/>
              <w:bottom w:val="single" w:sz="4" w:space="0" w:color="auto"/>
              <w:right w:val="single" w:sz="4" w:space="0" w:color="auto"/>
            </w:tcBorders>
          </w:tcPr>
          <w:p w:rsidR="00490BB7" w:rsidRDefault="00490BB7" w:rsidP="003273EA">
            <w:pPr>
              <w:jc w:val="left"/>
              <w:rPr>
                <w:rFonts w:ascii="Arial" w:hAnsi="Arial" w:cs="Arial"/>
                <w:sz w:val="20"/>
                <w:szCs w:val="20"/>
              </w:rPr>
            </w:pPr>
            <w:r>
              <w:rPr>
                <w:rFonts w:ascii="Arial" w:hAnsi="Arial" w:cs="Arial"/>
                <w:sz w:val="20"/>
                <w:szCs w:val="20"/>
              </w:rPr>
              <w:t>Written plan of care</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Pr>
                <w:rFonts w:ascii="Arial" w:hAnsi="Arial" w:cs="Arial"/>
                <w:sz w:val="20"/>
                <w:szCs w:val="20"/>
              </w:rPr>
              <w:t>NNPAC</w:t>
            </w:r>
          </w:p>
        </w:tc>
      </w:tr>
      <w:tr w:rsidR="00490BB7" w:rsidRPr="00B8572F" w:rsidTr="00C65FEE">
        <w:trPr>
          <w:cantSplit/>
        </w:trPr>
        <w:tc>
          <w:tcPr>
            <w:tcW w:w="554" w:type="pct"/>
            <w:tcBorders>
              <w:top w:val="single" w:sz="4" w:space="0" w:color="auto"/>
              <w:left w:val="single" w:sz="4" w:space="0" w:color="auto"/>
              <w:bottom w:val="single" w:sz="4" w:space="0" w:color="auto"/>
              <w:right w:val="single" w:sz="4" w:space="0" w:color="auto"/>
            </w:tcBorders>
          </w:tcPr>
          <w:p w:rsidR="00490BB7" w:rsidRDefault="00490BB7" w:rsidP="003273EA">
            <w:pPr>
              <w:jc w:val="left"/>
              <w:rPr>
                <w:rFonts w:ascii="Arial" w:hAnsi="Arial" w:cs="Arial"/>
                <w:sz w:val="20"/>
                <w:szCs w:val="20"/>
              </w:rPr>
            </w:pPr>
            <w:r w:rsidRPr="009639B1">
              <w:rPr>
                <w:rFonts w:ascii="Arial" w:hAnsi="Arial" w:cs="Arial"/>
                <w:sz w:val="20"/>
                <w:szCs w:val="20"/>
              </w:rPr>
              <w:t>MS02020</w:t>
            </w:r>
          </w:p>
        </w:tc>
        <w:tc>
          <w:tcPr>
            <w:tcW w:w="969" w:type="pct"/>
            <w:tcBorders>
              <w:top w:val="single" w:sz="4" w:space="0" w:color="auto"/>
              <w:left w:val="single" w:sz="4" w:space="0" w:color="auto"/>
              <w:bottom w:val="single" w:sz="4" w:space="0" w:color="auto"/>
              <w:right w:val="single" w:sz="4" w:space="0" w:color="auto"/>
            </w:tcBorders>
          </w:tcPr>
          <w:p w:rsidR="00490BB7" w:rsidRDefault="00490BB7" w:rsidP="003273EA">
            <w:pPr>
              <w:jc w:val="left"/>
              <w:rPr>
                <w:rFonts w:ascii="Arial" w:hAnsi="Arial" w:cs="Arial"/>
                <w:sz w:val="20"/>
                <w:szCs w:val="20"/>
              </w:rPr>
            </w:pPr>
            <w:r w:rsidRPr="009639B1">
              <w:rPr>
                <w:rFonts w:ascii="Arial" w:hAnsi="Arial" w:cs="Arial"/>
                <w:sz w:val="20"/>
                <w:szCs w:val="20"/>
              </w:rPr>
              <w:t>Sleep apnoea assessment</w:t>
            </w:r>
          </w:p>
        </w:tc>
        <w:tc>
          <w:tcPr>
            <w:tcW w:w="1876" w:type="pct"/>
            <w:tcBorders>
              <w:top w:val="single" w:sz="4" w:space="0" w:color="auto"/>
              <w:left w:val="single" w:sz="4" w:space="0" w:color="auto"/>
              <w:bottom w:val="single" w:sz="4" w:space="0" w:color="auto"/>
              <w:right w:val="single" w:sz="4" w:space="0" w:color="auto"/>
            </w:tcBorders>
          </w:tcPr>
          <w:p w:rsidR="00490BB7" w:rsidRDefault="00490BB7" w:rsidP="003273EA">
            <w:pPr>
              <w:jc w:val="left"/>
              <w:rPr>
                <w:rFonts w:ascii="Arial" w:hAnsi="Arial" w:cs="Arial"/>
                <w:sz w:val="20"/>
                <w:szCs w:val="20"/>
              </w:rPr>
            </w:pPr>
            <w:r w:rsidRPr="009639B1">
              <w:rPr>
                <w:rFonts w:ascii="Arial" w:hAnsi="Arial" w:cs="Arial"/>
                <w:sz w:val="20"/>
                <w:szCs w:val="20"/>
              </w:rPr>
              <w:t>An integrated programme for children &amp; adults suspected clinically of suffering from sleep apnoea. Includes any diagnostic tests and short term (u</w:t>
            </w:r>
            <w:r>
              <w:rPr>
                <w:rFonts w:ascii="Arial" w:hAnsi="Arial" w:cs="Arial"/>
                <w:sz w:val="20"/>
                <w:szCs w:val="20"/>
              </w:rPr>
              <w:t xml:space="preserve">p to 8 weeks) equipment supply. </w:t>
            </w:r>
            <w:r w:rsidRPr="009639B1">
              <w:rPr>
                <w:rFonts w:ascii="Arial" w:hAnsi="Arial" w:cs="Arial"/>
                <w:sz w:val="20"/>
                <w:szCs w:val="20"/>
              </w:rPr>
              <w:t>This service is predominantly outpatient/home based. Service may be provided under any health specialty. Excludes medical consultations for specialist assessment which will be purchased under the appropriate specialist follo</w:t>
            </w:r>
            <w:r>
              <w:rPr>
                <w:rFonts w:ascii="Arial" w:hAnsi="Arial" w:cs="Arial"/>
                <w:sz w:val="20"/>
                <w:szCs w:val="20"/>
              </w:rPr>
              <w:t xml:space="preserve">w up attendance purchase units. </w:t>
            </w:r>
            <w:r w:rsidRPr="009639B1">
              <w:rPr>
                <w:rFonts w:ascii="Arial" w:hAnsi="Arial" w:cs="Arial"/>
                <w:sz w:val="20"/>
                <w:szCs w:val="20"/>
              </w:rPr>
              <w:t xml:space="preserve">Patients who stay overnight in a </w:t>
            </w:r>
            <w:proofErr w:type="spellStart"/>
            <w:r w:rsidRPr="009639B1">
              <w:rPr>
                <w:rFonts w:ascii="Arial" w:hAnsi="Arial" w:cs="Arial"/>
                <w:sz w:val="20"/>
                <w:szCs w:val="20"/>
              </w:rPr>
              <w:t>casemix</w:t>
            </w:r>
            <w:proofErr w:type="spellEnd"/>
            <w:r w:rsidRPr="009639B1">
              <w:rPr>
                <w:rFonts w:ascii="Arial" w:hAnsi="Arial" w:cs="Arial"/>
                <w:sz w:val="20"/>
                <w:szCs w:val="20"/>
              </w:rPr>
              <w:t xml:space="preserve"> facility are cov</w:t>
            </w:r>
            <w:r>
              <w:rPr>
                <w:rFonts w:ascii="Arial" w:hAnsi="Arial" w:cs="Arial"/>
                <w:sz w:val="20"/>
                <w:szCs w:val="20"/>
              </w:rPr>
              <w:t xml:space="preserve">ered by the </w:t>
            </w:r>
            <w:proofErr w:type="spellStart"/>
            <w:r>
              <w:rPr>
                <w:rFonts w:ascii="Arial" w:hAnsi="Arial" w:cs="Arial"/>
                <w:sz w:val="20"/>
                <w:szCs w:val="20"/>
              </w:rPr>
              <w:t>casemix</w:t>
            </w:r>
            <w:proofErr w:type="spellEnd"/>
            <w:r>
              <w:rPr>
                <w:rFonts w:ascii="Arial" w:hAnsi="Arial" w:cs="Arial"/>
                <w:sz w:val="20"/>
                <w:szCs w:val="20"/>
              </w:rPr>
              <w:t xml:space="preserve"> framework. </w:t>
            </w:r>
            <w:r w:rsidRPr="009639B1">
              <w:rPr>
                <w:rFonts w:ascii="Arial" w:hAnsi="Arial" w:cs="Arial"/>
                <w:sz w:val="20"/>
                <w:szCs w:val="20"/>
              </w:rPr>
              <w:t xml:space="preserve">Additional information is found in the NZ </w:t>
            </w:r>
            <w:proofErr w:type="spellStart"/>
            <w:r w:rsidRPr="009639B1">
              <w:rPr>
                <w:rFonts w:ascii="Arial" w:hAnsi="Arial" w:cs="Arial"/>
                <w:sz w:val="20"/>
                <w:szCs w:val="20"/>
              </w:rPr>
              <w:t>Casemix</w:t>
            </w:r>
            <w:proofErr w:type="spellEnd"/>
            <w:r w:rsidRPr="009639B1">
              <w:rPr>
                <w:rFonts w:ascii="Arial" w:hAnsi="Arial" w:cs="Arial"/>
                <w:sz w:val="20"/>
                <w:szCs w:val="20"/>
              </w:rPr>
              <w:t xml:space="preserve"> Framework for Publicly Funded Hospitals which gets updated every year</w:t>
            </w:r>
          </w:p>
        </w:tc>
        <w:tc>
          <w:tcPr>
            <w:tcW w:w="800" w:type="pct"/>
            <w:tcBorders>
              <w:top w:val="single" w:sz="4" w:space="0" w:color="auto"/>
              <w:left w:val="single" w:sz="4" w:space="0" w:color="auto"/>
              <w:bottom w:val="single" w:sz="4" w:space="0" w:color="auto"/>
              <w:right w:val="single" w:sz="4" w:space="0" w:color="auto"/>
            </w:tcBorders>
          </w:tcPr>
          <w:p w:rsidR="00490BB7" w:rsidRDefault="00490BB7" w:rsidP="003273EA">
            <w:pPr>
              <w:jc w:val="left"/>
              <w:rPr>
                <w:rFonts w:ascii="Arial" w:hAnsi="Arial" w:cs="Arial"/>
                <w:sz w:val="20"/>
                <w:szCs w:val="20"/>
              </w:rPr>
            </w:pPr>
            <w:r>
              <w:rPr>
                <w:rFonts w:ascii="Arial" w:hAnsi="Arial" w:cs="Arial"/>
                <w:sz w:val="20"/>
                <w:szCs w:val="20"/>
              </w:rPr>
              <w:t>Attendance</w:t>
            </w:r>
          </w:p>
        </w:tc>
        <w:tc>
          <w:tcPr>
            <w:tcW w:w="800" w:type="pct"/>
            <w:tcBorders>
              <w:top w:val="single" w:sz="4" w:space="0" w:color="auto"/>
              <w:left w:val="single" w:sz="4" w:space="0" w:color="auto"/>
              <w:bottom w:val="single" w:sz="4" w:space="0" w:color="auto"/>
              <w:right w:val="single" w:sz="4" w:space="0" w:color="auto"/>
            </w:tcBorders>
          </w:tcPr>
          <w:p w:rsidR="00490BB7" w:rsidRDefault="00490BB7" w:rsidP="00EB08EC">
            <w:pPr>
              <w:jc w:val="left"/>
              <w:rPr>
                <w:rFonts w:ascii="Arial" w:hAnsi="Arial" w:cs="Arial"/>
                <w:sz w:val="20"/>
                <w:szCs w:val="20"/>
              </w:rPr>
            </w:pPr>
            <w:r>
              <w:rPr>
                <w:rFonts w:ascii="Arial" w:hAnsi="Arial" w:cs="Arial"/>
                <w:sz w:val="20"/>
                <w:szCs w:val="20"/>
              </w:rPr>
              <w:t>NNPAC</w:t>
            </w:r>
          </w:p>
        </w:tc>
      </w:tr>
      <w:tr w:rsidR="00490BB7" w:rsidRPr="00B8572F" w:rsidTr="00C65FEE">
        <w:trPr>
          <w:cantSplit/>
        </w:trPr>
        <w:tc>
          <w:tcPr>
            <w:tcW w:w="554" w:type="pct"/>
            <w:tcBorders>
              <w:top w:val="single" w:sz="4" w:space="0" w:color="auto"/>
              <w:left w:val="single" w:sz="4" w:space="0" w:color="auto"/>
              <w:bottom w:val="single" w:sz="4" w:space="0" w:color="auto"/>
              <w:right w:val="single" w:sz="4" w:space="0" w:color="auto"/>
            </w:tcBorders>
          </w:tcPr>
          <w:p w:rsidR="00490BB7" w:rsidRPr="009639B1" w:rsidRDefault="00490BB7" w:rsidP="003273EA">
            <w:pPr>
              <w:jc w:val="left"/>
              <w:rPr>
                <w:rFonts w:ascii="Arial" w:hAnsi="Arial" w:cs="Arial"/>
                <w:sz w:val="20"/>
                <w:szCs w:val="20"/>
              </w:rPr>
            </w:pPr>
            <w:r w:rsidRPr="009639B1">
              <w:rPr>
                <w:rFonts w:ascii="Arial" w:hAnsi="Arial" w:cs="Arial"/>
                <w:sz w:val="20"/>
                <w:szCs w:val="20"/>
              </w:rPr>
              <w:t>MS02021</w:t>
            </w:r>
          </w:p>
        </w:tc>
        <w:tc>
          <w:tcPr>
            <w:tcW w:w="969" w:type="pct"/>
            <w:tcBorders>
              <w:top w:val="single" w:sz="4" w:space="0" w:color="auto"/>
              <w:left w:val="single" w:sz="4" w:space="0" w:color="auto"/>
              <w:bottom w:val="single" w:sz="4" w:space="0" w:color="auto"/>
              <w:right w:val="single" w:sz="4" w:space="0" w:color="auto"/>
            </w:tcBorders>
          </w:tcPr>
          <w:p w:rsidR="00490BB7" w:rsidRPr="009639B1" w:rsidRDefault="00490BB7" w:rsidP="003273EA">
            <w:pPr>
              <w:jc w:val="left"/>
              <w:rPr>
                <w:rFonts w:ascii="Arial" w:hAnsi="Arial" w:cs="Arial"/>
                <w:sz w:val="20"/>
                <w:szCs w:val="20"/>
              </w:rPr>
            </w:pPr>
            <w:r w:rsidRPr="009639B1">
              <w:rPr>
                <w:rFonts w:ascii="Arial" w:hAnsi="Arial" w:cs="Arial"/>
                <w:sz w:val="20"/>
                <w:szCs w:val="20"/>
              </w:rPr>
              <w:t>Obstructive sleep apnoea long term treatment</w:t>
            </w:r>
          </w:p>
        </w:tc>
        <w:tc>
          <w:tcPr>
            <w:tcW w:w="1876" w:type="pct"/>
            <w:tcBorders>
              <w:top w:val="single" w:sz="4" w:space="0" w:color="auto"/>
              <w:left w:val="single" w:sz="4" w:space="0" w:color="auto"/>
              <w:bottom w:val="single" w:sz="4" w:space="0" w:color="auto"/>
              <w:right w:val="single" w:sz="4" w:space="0" w:color="auto"/>
            </w:tcBorders>
          </w:tcPr>
          <w:p w:rsidR="00490BB7" w:rsidRPr="009639B1" w:rsidRDefault="00490BB7" w:rsidP="003273EA">
            <w:pPr>
              <w:jc w:val="left"/>
              <w:rPr>
                <w:rFonts w:ascii="Arial" w:hAnsi="Arial" w:cs="Arial"/>
                <w:sz w:val="20"/>
                <w:szCs w:val="20"/>
              </w:rPr>
            </w:pPr>
            <w:r w:rsidRPr="009639B1">
              <w:rPr>
                <w:rFonts w:ascii="Arial" w:hAnsi="Arial" w:cs="Arial"/>
                <w:sz w:val="20"/>
                <w:szCs w:val="20"/>
              </w:rPr>
              <w:t>Long term equipment supply and maintenance for patients diagnosed with obstructive sleep apnoea who meet defined guidelines and are assessed as requiring long term equipment.  This includes the capital cost of the equipment, CPAP, BIPAP and humidifier. Excludes treatment of patients who have sleep breathing disorder counted under MS02022.   Excludes diagnostic assessment counted under MS02020.  Excludes medical consultations for specialist assessment which will be purchased under the appropriate specialist follow-up attendance purchase units</w:t>
            </w:r>
          </w:p>
        </w:tc>
        <w:tc>
          <w:tcPr>
            <w:tcW w:w="800" w:type="pct"/>
            <w:tcBorders>
              <w:top w:val="single" w:sz="4" w:space="0" w:color="auto"/>
              <w:left w:val="single" w:sz="4" w:space="0" w:color="auto"/>
              <w:bottom w:val="single" w:sz="4" w:space="0" w:color="auto"/>
              <w:right w:val="single" w:sz="4" w:space="0" w:color="auto"/>
            </w:tcBorders>
          </w:tcPr>
          <w:p w:rsidR="00490BB7" w:rsidRDefault="00753C90" w:rsidP="003273EA">
            <w:pPr>
              <w:jc w:val="left"/>
              <w:rPr>
                <w:rFonts w:ascii="Arial" w:hAnsi="Arial" w:cs="Arial"/>
                <w:sz w:val="20"/>
                <w:szCs w:val="20"/>
              </w:rPr>
            </w:pPr>
            <w:r>
              <w:rPr>
                <w:rFonts w:ascii="Arial" w:hAnsi="Arial" w:cs="Arial"/>
                <w:sz w:val="20"/>
                <w:szCs w:val="20"/>
              </w:rPr>
              <w:t>Client</w:t>
            </w:r>
          </w:p>
        </w:tc>
        <w:tc>
          <w:tcPr>
            <w:tcW w:w="800" w:type="pct"/>
            <w:tcBorders>
              <w:top w:val="single" w:sz="4" w:space="0" w:color="auto"/>
              <w:left w:val="single" w:sz="4" w:space="0" w:color="auto"/>
              <w:bottom w:val="single" w:sz="4" w:space="0" w:color="auto"/>
              <w:right w:val="single" w:sz="4" w:space="0" w:color="auto"/>
            </w:tcBorders>
          </w:tcPr>
          <w:p w:rsidR="00490BB7" w:rsidRDefault="00490BB7" w:rsidP="00EB08EC">
            <w:pPr>
              <w:jc w:val="left"/>
              <w:rPr>
                <w:rFonts w:ascii="Arial" w:hAnsi="Arial" w:cs="Arial"/>
                <w:sz w:val="20"/>
                <w:szCs w:val="20"/>
              </w:rPr>
            </w:pPr>
            <w:r>
              <w:rPr>
                <w:rFonts w:ascii="Arial" w:hAnsi="Arial" w:cs="Arial"/>
                <w:sz w:val="20"/>
                <w:szCs w:val="20"/>
              </w:rPr>
              <w:t>NNPAC</w:t>
            </w:r>
          </w:p>
        </w:tc>
      </w:tr>
      <w:tr w:rsidR="00490BB7" w:rsidRPr="00B8572F" w:rsidTr="00C65FEE">
        <w:trPr>
          <w:cantSplit/>
        </w:trPr>
        <w:tc>
          <w:tcPr>
            <w:tcW w:w="554" w:type="pct"/>
            <w:tcBorders>
              <w:top w:val="single" w:sz="4" w:space="0" w:color="auto"/>
              <w:left w:val="single" w:sz="4" w:space="0" w:color="auto"/>
              <w:bottom w:val="single" w:sz="4" w:space="0" w:color="auto"/>
              <w:right w:val="single" w:sz="4" w:space="0" w:color="auto"/>
            </w:tcBorders>
          </w:tcPr>
          <w:p w:rsidR="00490BB7" w:rsidRPr="00753C90" w:rsidRDefault="00490BB7" w:rsidP="009639B1">
            <w:pPr>
              <w:jc w:val="left"/>
              <w:rPr>
                <w:rFonts w:ascii="Arial" w:hAnsi="Arial" w:cs="Arial"/>
                <w:color w:val="000000"/>
                <w:sz w:val="20"/>
                <w:szCs w:val="20"/>
              </w:rPr>
            </w:pPr>
            <w:r w:rsidRPr="00753C90">
              <w:rPr>
                <w:rFonts w:ascii="Arial" w:hAnsi="Arial" w:cs="Arial"/>
                <w:color w:val="000000"/>
                <w:sz w:val="20"/>
                <w:szCs w:val="20"/>
              </w:rPr>
              <w:t>MS02022</w:t>
            </w:r>
          </w:p>
          <w:p w:rsidR="00490BB7" w:rsidRPr="009639B1" w:rsidRDefault="00490BB7" w:rsidP="003273EA">
            <w:pPr>
              <w:jc w:val="left"/>
              <w:rPr>
                <w:rFonts w:ascii="Arial" w:hAnsi="Arial" w:cs="Arial"/>
                <w:sz w:val="20"/>
                <w:szCs w:val="20"/>
              </w:rPr>
            </w:pPr>
          </w:p>
        </w:tc>
        <w:tc>
          <w:tcPr>
            <w:tcW w:w="969" w:type="pct"/>
            <w:tcBorders>
              <w:top w:val="single" w:sz="4" w:space="0" w:color="auto"/>
              <w:left w:val="single" w:sz="4" w:space="0" w:color="auto"/>
              <w:bottom w:val="single" w:sz="4" w:space="0" w:color="auto"/>
              <w:right w:val="single" w:sz="4" w:space="0" w:color="auto"/>
            </w:tcBorders>
          </w:tcPr>
          <w:p w:rsidR="00490BB7" w:rsidRPr="009639B1" w:rsidRDefault="00490BB7" w:rsidP="003273EA">
            <w:pPr>
              <w:jc w:val="left"/>
              <w:rPr>
                <w:rFonts w:ascii="Arial" w:hAnsi="Arial" w:cs="Arial"/>
                <w:sz w:val="20"/>
                <w:szCs w:val="20"/>
              </w:rPr>
            </w:pPr>
            <w:r w:rsidRPr="009639B1">
              <w:rPr>
                <w:rFonts w:ascii="Arial" w:hAnsi="Arial" w:cs="Arial"/>
                <w:sz w:val="20"/>
                <w:szCs w:val="20"/>
              </w:rPr>
              <w:t>Sleep breathing disorder long term treatment</w:t>
            </w:r>
          </w:p>
        </w:tc>
        <w:tc>
          <w:tcPr>
            <w:tcW w:w="1876" w:type="pct"/>
            <w:tcBorders>
              <w:top w:val="single" w:sz="4" w:space="0" w:color="auto"/>
              <w:left w:val="single" w:sz="4" w:space="0" w:color="auto"/>
              <w:bottom w:val="single" w:sz="4" w:space="0" w:color="auto"/>
              <w:right w:val="single" w:sz="4" w:space="0" w:color="auto"/>
            </w:tcBorders>
          </w:tcPr>
          <w:p w:rsidR="00490BB7" w:rsidRPr="009639B1" w:rsidRDefault="00490BB7" w:rsidP="003273EA">
            <w:pPr>
              <w:jc w:val="left"/>
              <w:rPr>
                <w:rFonts w:ascii="Arial" w:hAnsi="Arial" w:cs="Arial"/>
                <w:sz w:val="20"/>
                <w:szCs w:val="20"/>
              </w:rPr>
            </w:pPr>
            <w:r w:rsidRPr="009639B1">
              <w:rPr>
                <w:rFonts w:ascii="Arial" w:hAnsi="Arial" w:cs="Arial"/>
                <w:sz w:val="20"/>
                <w:szCs w:val="20"/>
              </w:rPr>
              <w:t>Long term equipment supply and maintenance for patients diagnosed with sleep breathing disorders who meet defined guidelines and are assessed as requiring long term equipment. This includes the capital cost of the equipment, CPAP, BIPAP and humidifier. Excludes treatment of patients who have obstructive sleep apnoea counted under MS02021.   Excludes diagnostic assessment counted under MS02020. Excludes medical consultations for specialist assessment which will be purchased under the appropriate specialist follow-up attendance purchase units</w:t>
            </w:r>
          </w:p>
        </w:tc>
        <w:tc>
          <w:tcPr>
            <w:tcW w:w="800" w:type="pct"/>
            <w:tcBorders>
              <w:top w:val="single" w:sz="4" w:space="0" w:color="auto"/>
              <w:left w:val="single" w:sz="4" w:space="0" w:color="auto"/>
              <w:bottom w:val="single" w:sz="4" w:space="0" w:color="auto"/>
              <w:right w:val="single" w:sz="4" w:space="0" w:color="auto"/>
            </w:tcBorders>
          </w:tcPr>
          <w:p w:rsidR="00490BB7" w:rsidRDefault="00753C90" w:rsidP="003273EA">
            <w:pPr>
              <w:jc w:val="left"/>
              <w:rPr>
                <w:rFonts w:ascii="Arial" w:hAnsi="Arial" w:cs="Arial"/>
                <w:sz w:val="20"/>
                <w:szCs w:val="20"/>
              </w:rPr>
            </w:pPr>
            <w:r>
              <w:rPr>
                <w:rFonts w:ascii="Arial" w:hAnsi="Arial" w:cs="Arial"/>
                <w:sz w:val="20"/>
                <w:szCs w:val="20"/>
              </w:rPr>
              <w:t>Client</w:t>
            </w:r>
          </w:p>
        </w:tc>
        <w:tc>
          <w:tcPr>
            <w:tcW w:w="800" w:type="pct"/>
            <w:tcBorders>
              <w:top w:val="single" w:sz="4" w:space="0" w:color="auto"/>
              <w:left w:val="single" w:sz="4" w:space="0" w:color="auto"/>
              <w:bottom w:val="single" w:sz="4" w:space="0" w:color="auto"/>
              <w:right w:val="single" w:sz="4" w:space="0" w:color="auto"/>
            </w:tcBorders>
          </w:tcPr>
          <w:p w:rsidR="00490BB7" w:rsidRDefault="00490BB7" w:rsidP="00EB08EC">
            <w:pPr>
              <w:jc w:val="left"/>
              <w:rPr>
                <w:rFonts w:ascii="Arial" w:hAnsi="Arial" w:cs="Arial"/>
                <w:sz w:val="20"/>
                <w:szCs w:val="20"/>
              </w:rPr>
            </w:pPr>
            <w:r>
              <w:rPr>
                <w:rFonts w:ascii="Arial" w:hAnsi="Arial" w:cs="Arial"/>
                <w:sz w:val="20"/>
                <w:szCs w:val="20"/>
              </w:rPr>
              <w:t>NNPAC</w:t>
            </w:r>
          </w:p>
        </w:tc>
      </w:tr>
      <w:tr w:rsidR="00490BB7" w:rsidRPr="00B8572F" w:rsidTr="00C65FEE">
        <w:trPr>
          <w:cantSplit/>
        </w:trPr>
        <w:tc>
          <w:tcPr>
            <w:tcW w:w="554"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M54001</w:t>
            </w:r>
          </w:p>
        </w:tc>
        <w:tc>
          <w:tcPr>
            <w:tcW w:w="969" w:type="pct"/>
            <w:tcBorders>
              <w:top w:val="single" w:sz="4" w:space="0" w:color="auto"/>
              <w:left w:val="single" w:sz="4" w:space="0" w:color="auto"/>
              <w:bottom w:val="single" w:sz="4" w:space="0" w:color="auto"/>
              <w:right w:val="single" w:sz="4" w:space="0" w:color="auto"/>
            </w:tcBorders>
          </w:tcPr>
          <w:p w:rsidR="00490BB7" w:rsidRPr="00B8572F" w:rsidRDefault="00490BB7" w:rsidP="00490BB7">
            <w:pPr>
              <w:jc w:val="left"/>
              <w:rPr>
                <w:rFonts w:ascii="Arial" w:hAnsi="Arial" w:cs="Arial"/>
                <w:sz w:val="20"/>
                <w:szCs w:val="20"/>
                <w:lang w:val="en-US"/>
              </w:rPr>
            </w:pPr>
            <w:r w:rsidRPr="00B8572F">
              <w:rPr>
                <w:rFonts w:ascii="Arial" w:hAnsi="Arial" w:cs="Arial"/>
                <w:sz w:val="20"/>
                <w:szCs w:val="20"/>
                <w:lang w:val="en-US"/>
              </w:rPr>
              <w:t xml:space="preserve">Specialist </w:t>
            </w:r>
            <w:proofErr w:type="spellStart"/>
            <w:r w:rsidRPr="00B8572F">
              <w:rPr>
                <w:rFonts w:ascii="Arial" w:hAnsi="Arial" w:cs="Arial"/>
                <w:sz w:val="20"/>
                <w:szCs w:val="20"/>
                <w:lang w:val="en-US"/>
              </w:rPr>
              <w:t>Paediatric</w:t>
            </w:r>
            <w:proofErr w:type="spellEnd"/>
            <w:r w:rsidRPr="00B8572F">
              <w:rPr>
                <w:rFonts w:ascii="Arial" w:hAnsi="Arial" w:cs="Arial"/>
                <w:sz w:val="20"/>
                <w:szCs w:val="20"/>
                <w:lang w:val="en-US"/>
              </w:rPr>
              <w:t xml:space="preserve"> Oncology</w:t>
            </w:r>
          </w:p>
        </w:tc>
        <w:tc>
          <w:tcPr>
            <w:tcW w:w="1876"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 xml:space="preserve">DRG WIESNZ Discharge.  Additional Information is found in the NZ </w:t>
            </w:r>
            <w:proofErr w:type="spellStart"/>
            <w:r w:rsidRPr="00B8572F">
              <w:rPr>
                <w:rFonts w:ascii="Arial" w:hAnsi="Arial" w:cs="Arial"/>
                <w:sz w:val="20"/>
                <w:szCs w:val="20"/>
                <w:lang w:val="en-US"/>
              </w:rPr>
              <w:t>Casemix</w:t>
            </w:r>
            <w:proofErr w:type="spellEnd"/>
            <w:r w:rsidRPr="00B8572F">
              <w:rPr>
                <w:rFonts w:ascii="Arial" w:hAnsi="Arial" w:cs="Arial"/>
                <w:sz w:val="20"/>
                <w:szCs w:val="20"/>
                <w:lang w:val="en-US"/>
              </w:rPr>
              <w:t xml:space="preserve"> Framework for Publicly Funded Hospitals which gets updated every year.</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490BB7">
              <w:rPr>
                <w:rFonts w:ascii="Arial" w:hAnsi="Arial" w:cs="Arial"/>
                <w:sz w:val="20"/>
                <w:szCs w:val="20"/>
              </w:rPr>
              <w:t>Cost Weighted discharge</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Pr>
                <w:rFonts w:ascii="Arial" w:hAnsi="Arial" w:cs="Arial"/>
                <w:sz w:val="20"/>
                <w:szCs w:val="20"/>
              </w:rPr>
              <w:t xml:space="preserve">NMDS and </w:t>
            </w:r>
            <w:r w:rsidRPr="00B8572F">
              <w:rPr>
                <w:rFonts w:ascii="Arial" w:hAnsi="Arial" w:cs="Arial"/>
                <w:sz w:val="20"/>
                <w:szCs w:val="20"/>
              </w:rPr>
              <w:t>NNPAC</w:t>
            </w:r>
          </w:p>
        </w:tc>
      </w:tr>
      <w:tr w:rsidR="00490BB7" w:rsidRPr="00B8572F" w:rsidTr="00C65FEE">
        <w:trPr>
          <w:cantSplit/>
        </w:trPr>
        <w:tc>
          <w:tcPr>
            <w:tcW w:w="554"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M65001</w:t>
            </w:r>
          </w:p>
        </w:tc>
        <w:tc>
          <w:tcPr>
            <w:tcW w:w="969" w:type="pct"/>
            <w:tcBorders>
              <w:top w:val="single" w:sz="4" w:space="0" w:color="auto"/>
              <w:left w:val="single" w:sz="4" w:space="0" w:color="auto"/>
              <w:bottom w:val="single" w:sz="4" w:space="0" w:color="auto"/>
              <w:right w:val="single" w:sz="4" w:space="0" w:color="auto"/>
            </w:tcBorders>
          </w:tcPr>
          <w:p w:rsidR="00490BB7" w:rsidRPr="00B8572F" w:rsidRDefault="00490BB7" w:rsidP="00490BB7">
            <w:pPr>
              <w:jc w:val="left"/>
              <w:rPr>
                <w:rFonts w:ascii="Arial" w:hAnsi="Arial" w:cs="Arial"/>
                <w:sz w:val="20"/>
                <w:szCs w:val="20"/>
                <w:lang w:val="en-US"/>
              </w:rPr>
            </w:pPr>
            <w:r w:rsidRPr="00B8572F">
              <w:rPr>
                <w:rFonts w:ascii="Arial" w:hAnsi="Arial" w:cs="Arial"/>
                <w:sz w:val="20"/>
                <w:szCs w:val="20"/>
                <w:lang w:val="en-US"/>
              </w:rPr>
              <w:t>Respiratory  - Inpatient Services (DRGs)</w:t>
            </w:r>
          </w:p>
        </w:tc>
        <w:tc>
          <w:tcPr>
            <w:tcW w:w="1876"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 xml:space="preserve">DRG WIESNZ Discharge.  Additional Information is found in the NZ </w:t>
            </w:r>
            <w:proofErr w:type="spellStart"/>
            <w:r w:rsidRPr="00B8572F">
              <w:rPr>
                <w:rFonts w:ascii="Arial" w:hAnsi="Arial" w:cs="Arial"/>
                <w:sz w:val="20"/>
                <w:szCs w:val="20"/>
                <w:lang w:val="en-US"/>
              </w:rPr>
              <w:t>Casemix</w:t>
            </w:r>
            <w:proofErr w:type="spellEnd"/>
            <w:r w:rsidRPr="00B8572F">
              <w:rPr>
                <w:rFonts w:ascii="Arial" w:hAnsi="Arial" w:cs="Arial"/>
                <w:sz w:val="20"/>
                <w:szCs w:val="20"/>
                <w:lang w:val="en-US"/>
              </w:rPr>
              <w:t xml:space="preserve"> Framework for Publicly Funded Hospitals which gets updated every year.</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490BB7">
            <w:pPr>
              <w:jc w:val="left"/>
              <w:rPr>
                <w:rFonts w:ascii="Arial" w:hAnsi="Arial" w:cs="Arial"/>
                <w:sz w:val="20"/>
                <w:szCs w:val="20"/>
              </w:rPr>
            </w:pPr>
            <w:r>
              <w:rPr>
                <w:rFonts w:ascii="Arial" w:hAnsi="Arial" w:cs="Arial"/>
                <w:sz w:val="20"/>
                <w:szCs w:val="20"/>
              </w:rPr>
              <w:t>Cost Weighted Discharge</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Pr>
                <w:rFonts w:ascii="Arial" w:hAnsi="Arial" w:cs="Arial"/>
                <w:sz w:val="20"/>
                <w:szCs w:val="20"/>
              </w:rPr>
              <w:t xml:space="preserve">NMDS and </w:t>
            </w:r>
            <w:r w:rsidRPr="00B8572F">
              <w:rPr>
                <w:rFonts w:ascii="Arial" w:hAnsi="Arial" w:cs="Arial"/>
                <w:sz w:val="20"/>
                <w:szCs w:val="20"/>
              </w:rPr>
              <w:t>NNPAC</w:t>
            </w:r>
          </w:p>
        </w:tc>
      </w:tr>
      <w:tr w:rsidR="00490BB7" w:rsidRPr="00B8572F" w:rsidTr="00C65FEE">
        <w:trPr>
          <w:cantSplit/>
        </w:trPr>
        <w:tc>
          <w:tcPr>
            <w:tcW w:w="554"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M65002</w:t>
            </w:r>
          </w:p>
        </w:tc>
        <w:tc>
          <w:tcPr>
            <w:tcW w:w="969"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Respiratory - 1st attendance</w:t>
            </w:r>
          </w:p>
        </w:tc>
        <w:tc>
          <w:tcPr>
            <w:tcW w:w="1876"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First attendance to respiratory physician or medical officer at registrar level or above or nurse practitioner for specialist assessment.</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Pr>
                <w:rFonts w:ascii="Arial" w:hAnsi="Arial" w:cs="Arial"/>
                <w:sz w:val="20"/>
                <w:szCs w:val="20"/>
                <w:lang w:val="en-US"/>
              </w:rPr>
              <w:t>Attendance</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Pr>
                <w:rFonts w:ascii="Arial" w:hAnsi="Arial" w:cs="Arial"/>
                <w:sz w:val="20"/>
                <w:szCs w:val="20"/>
              </w:rPr>
              <w:t xml:space="preserve">NMDS and </w:t>
            </w:r>
            <w:r w:rsidRPr="00B8572F">
              <w:rPr>
                <w:rFonts w:ascii="Arial" w:hAnsi="Arial" w:cs="Arial"/>
                <w:sz w:val="20"/>
                <w:szCs w:val="20"/>
              </w:rPr>
              <w:t>NNPAC</w:t>
            </w:r>
          </w:p>
        </w:tc>
      </w:tr>
      <w:tr w:rsidR="00490BB7" w:rsidRPr="00B8572F" w:rsidTr="00C65FEE">
        <w:trPr>
          <w:cantSplit/>
        </w:trPr>
        <w:tc>
          <w:tcPr>
            <w:tcW w:w="554"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M65003</w:t>
            </w:r>
          </w:p>
        </w:tc>
        <w:tc>
          <w:tcPr>
            <w:tcW w:w="969"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Respiratory - Subsequent attendance</w:t>
            </w:r>
          </w:p>
        </w:tc>
        <w:tc>
          <w:tcPr>
            <w:tcW w:w="1876"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Follow-up attendances to respiratory physician or medical officer at registrar level or above or nurse practitioner.  Excludes bronchoscopy.</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Pr>
                <w:rFonts w:ascii="Arial" w:hAnsi="Arial" w:cs="Arial"/>
                <w:sz w:val="20"/>
                <w:szCs w:val="20"/>
                <w:lang w:val="en-US"/>
              </w:rPr>
              <w:t>Attendance</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Pr>
                <w:rFonts w:ascii="Arial" w:hAnsi="Arial" w:cs="Arial"/>
                <w:sz w:val="20"/>
                <w:szCs w:val="20"/>
              </w:rPr>
              <w:t xml:space="preserve">NMDS and </w:t>
            </w:r>
            <w:r w:rsidRPr="00B8572F">
              <w:rPr>
                <w:rFonts w:ascii="Arial" w:hAnsi="Arial" w:cs="Arial"/>
                <w:sz w:val="20"/>
                <w:szCs w:val="20"/>
              </w:rPr>
              <w:t>NNPAC</w:t>
            </w:r>
          </w:p>
        </w:tc>
      </w:tr>
      <w:tr w:rsidR="00490BB7" w:rsidRPr="00B8572F" w:rsidTr="00C65FEE">
        <w:trPr>
          <w:cantSplit/>
        </w:trPr>
        <w:tc>
          <w:tcPr>
            <w:tcW w:w="554"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M65004</w:t>
            </w:r>
          </w:p>
        </w:tc>
        <w:tc>
          <w:tcPr>
            <w:tcW w:w="969"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Respiratory education and management</w:t>
            </w:r>
          </w:p>
        </w:tc>
        <w:tc>
          <w:tcPr>
            <w:tcW w:w="1876"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Education and case management by multi-disciplinary teams, in hospital or community settings for patients with chronic respiratory disease and/or asthma.   Excludes home oxygen therapy.</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Pr>
                <w:rFonts w:ascii="Arial" w:hAnsi="Arial" w:cs="Arial"/>
                <w:sz w:val="20"/>
                <w:szCs w:val="20"/>
              </w:rPr>
              <w:t>Client</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Pr>
                <w:rFonts w:ascii="Arial" w:hAnsi="Arial" w:cs="Arial"/>
                <w:sz w:val="20"/>
                <w:szCs w:val="20"/>
              </w:rPr>
              <w:t xml:space="preserve">NMDS and </w:t>
            </w:r>
            <w:r w:rsidRPr="00B8572F">
              <w:rPr>
                <w:rFonts w:ascii="Arial" w:hAnsi="Arial" w:cs="Arial"/>
                <w:sz w:val="20"/>
                <w:szCs w:val="20"/>
              </w:rPr>
              <w:t>NNPAC</w:t>
            </w:r>
          </w:p>
        </w:tc>
      </w:tr>
      <w:tr w:rsidR="00490BB7" w:rsidRPr="00B8572F" w:rsidTr="00C65FEE">
        <w:trPr>
          <w:cantSplit/>
        </w:trPr>
        <w:tc>
          <w:tcPr>
            <w:tcW w:w="554"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M65005</w:t>
            </w:r>
          </w:p>
        </w:tc>
        <w:tc>
          <w:tcPr>
            <w:tcW w:w="969"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Respiratory - Bronchoscopy</w:t>
            </w:r>
          </w:p>
          <w:p w:rsidR="00490BB7" w:rsidRPr="00B8572F" w:rsidRDefault="00490BB7" w:rsidP="00EB08EC">
            <w:pPr>
              <w:jc w:val="left"/>
              <w:rPr>
                <w:rFonts w:ascii="Arial" w:hAnsi="Arial" w:cs="Arial"/>
                <w:sz w:val="20"/>
                <w:szCs w:val="20"/>
                <w:lang w:val="en-US"/>
              </w:rPr>
            </w:pPr>
          </w:p>
        </w:tc>
        <w:tc>
          <w:tcPr>
            <w:tcW w:w="1876"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Bronchoscopy, performed as an outpatient or day case.</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490BB7">
            <w:pPr>
              <w:jc w:val="left"/>
              <w:rPr>
                <w:rFonts w:ascii="Arial" w:hAnsi="Arial" w:cs="Arial"/>
                <w:sz w:val="20"/>
                <w:szCs w:val="20"/>
              </w:rPr>
            </w:pPr>
            <w:r>
              <w:rPr>
                <w:rFonts w:ascii="Arial" w:hAnsi="Arial" w:cs="Arial"/>
                <w:sz w:val="20"/>
                <w:szCs w:val="20"/>
              </w:rPr>
              <w:t>Procedure</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Pr>
                <w:rFonts w:ascii="Arial" w:hAnsi="Arial" w:cs="Arial"/>
                <w:sz w:val="20"/>
                <w:szCs w:val="20"/>
              </w:rPr>
              <w:t xml:space="preserve">NMDS and </w:t>
            </w:r>
            <w:r w:rsidRPr="00B8572F">
              <w:rPr>
                <w:rFonts w:ascii="Arial" w:hAnsi="Arial" w:cs="Arial"/>
                <w:sz w:val="20"/>
                <w:szCs w:val="20"/>
              </w:rPr>
              <w:t>NNPAC</w:t>
            </w:r>
          </w:p>
        </w:tc>
      </w:tr>
      <w:tr w:rsidR="00490BB7" w:rsidRPr="00B8572F" w:rsidTr="00C65FEE">
        <w:trPr>
          <w:cantSplit/>
        </w:trPr>
        <w:tc>
          <w:tcPr>
            <w:tcW w:w="554"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M65008</w:t>
            </w:r>
          </w:p>
        </w:tc>
        <w:tc>
          <w:tcPr>
            <w:tcW w:w="969"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 xml:space="preserve">Specialist </w:t>
            </w:r>
            <w:proofErr w:type="spellStart"/>
            <w:r w:rsidRPr="00B8572F">
              <w:rPr>
                <w:rFonts w:ascii="Arial" w:hAnsi="Arial" w:cs="Arial"/>
                <w:sz w:val="20"/>
                <w:szCs w:val="20"/>
                <w:lang w:val="en-US"/>
              </w:rPr>
              <w:t>Paediatric</w:t>
            </w:r>
            <w:proofErr w:type="spellEnd"/>
            <w:r w:rsidRPr="00B8572F">
              <w:rPr>
                <w:rFonts w:ascii="Arial" w:hAnsi="Arial" w:cs="Arial"/>
                <w:sz w:val="20"/>
                <w:szCs w:val="20"/>
                <w:lang w:val="en-US"/>
              </w:rPr>
              <w:t xml:space="preserve"> Respiratory - 1st Attendance</w:t>
            </w:r>
          </w:p>
        </w:tc>
        <w:tc>
          <w:tcPr>
            <w:tcW w:w="1876"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 xml:space="preserve">First attendance to respiratory physician, </w:t>
            </w:r>
            <w:proofErr w:type="spellStart"/>
            <w:r w:rsidRPr="00B8572F">
              <w:rPr>
                <w:rFonts w:ascii="Arial" w:hAnsi="Arial" w:cs="Arial"/>
                <w:sz w:val="20"/>
                <w:szCs w:val="20"/>
                <w:lang w:val="en-US"/>
              </w:rPr>
              <w:t>paediatrician</w:t>
            </w:r>
            <w:proofErr w:type="spellEnd"/>
            <w:r w:rsidRPr="00B8572F">
              <w:rPr>
                <w:rFonts w:ascii="Arial" w:hAnsi="Arial" w:cs="Arial"/>
                <w:sz w:val="20"/>
                <w:szCs w:val="20"/>
                <w:lang w:val="en-US"/>
              </w:rPr>
              <w:t xml:space="preserve"> or medical officer at registrar level or above or nurse practitioner for specialist assessment.</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490BB7">
            <w:pPr>
              <w:jc w:val="left"/>
              <w:rPr>
                <w:rFonts w:ascii="Arial" w:hAnsi="Arial" w:cs="Arial"/>
                <w:sz w:val="20"/>
                <w:szCs w:val="20"/>
              </w:rPr>
            </w:pPr>
            <w:r>
              <w:rPr>
                <w:rFonts w:ascii="Arial" w:hAnsi="Arial" w:cs="Arial"/>
                <w:sz w:val="20"/>
                <w:szCs w:val="20"/>
              </w:rPr>
              <w:t>Attendance</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Pr>
                <w:rFonts w:ascii="Arial" w:hAnsi="Arial" w:cs="Arial"/>
                <w:sz w:val="20"/>
                <w:szCs w:val="20"/>
              </w:rPr>
              <w:t xml:space="preserve">NMDS and </w:t>
            </w:r>
            <w:r w:rsidRPr="00B8572F">
              <w:rPr>
                <w:rFonts w:ascii="Arial" w:hAnsi="Arial" w:cs="Arial"/>
                <w:sz w:val="20"/>
                <w:szCs w:val="20"/>
              </w:rPr>
              <w:t xml:space="preserve">NNPAC </w:t>
            </w:r>
          </w:p>
        </w:tc>
      </w:tr>
      <w:tr w:rsidR="00490BB7" w:rsidRPr="00B8572F" w:rsidTr="00C65FEE">
        <w:trPr>
          <w:cantSplit/>
        </w:trPr>
        <w:tc>
          <w:tcPr>
            <w:tcW w:w="554"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M65009</w:t>
            </w:r>
          </w:p>
        </w:tc>
        <w:tc>
          <w:tcPr>
            <w:tcW w:w="969"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 xml:space="preserve">Specialist </w:t>
            </w:r>
            <w:proofErr w:type="spellStart"/>
            <w:r w:rsidRPr="00B8572F">
              <w:rPr>
                <w:rFonts w:ascii="Arial" w:hAnsi="Arial" w:cs="Arial"/>
                <w:sz w:val="20"/>
                <w:szCs w:val="20"/>
                <w:lang w:val="en-US"/>
              </w:rPr>
              <w:t>Paediatric</w:t>
            </w:r>
            <w:proofErr w:type="spellEnd"/>
            <w:r w:rsidRPr="00B8572F">
              <w:rPr>
                <w:rFonts w:ascii="Arial" w:hAnsi="Arial" w:cs="Arial"/>
                <w:sz w:val="20"/>
                <w:szCs w:val="20"/>
                <w:lang w:val="en-US"/>
              </w:rPr>
              <w:t xml:space="preserve"> Respiratory - Follow up</w:t>
            </w:r>
          </w:p>
          <w:p w:rsidR="00490BB7" w:rsidRPr="00B8572F" w:rsidRDefault="00490BB7" w:rsidP="00EB08EC">
            <w:pPr>
              <w:jc w:val="left"/>
              <w:rPr>
                <w:rFonts w:ascii="Arial" w:hAnsi="Arial" w:cs="Arial"/>
                <w:sz w:val="20"/>
                <w:szCs w:val="20"/>
                <w:lang w:val="en-US"/>
              </w:rPr>
            </w:pPr>
          </w:p>
        </w:tc>
        <w:tc>
          <w:tcPr>
            <w:tcW w:w="1876"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 xml:space="preserve">Follow-up attendances to respiratory physician, </w:t>
            </w:r>
            <w:proofErr w:type="spellStart"/>
            <w:r w:rsidRPr="00B8572F">
              <w:rPr>
                <w:rFonts w:ascii="Arial" w:hAnsi="Arial" w:cs="Arial"/>
                <w:sz w:val="20"/>
                <w:szCs w:val="20"/>
                <w:lang w:val="en-US"/>
              </w:rPr>
              <w:t>paediatrician</w:t>
            </w:r>
            <w:proofErr w:type="spellEnd"/>
            <w:r w:rsidRPr="00B8572F">
              <w:rPr>
                <w:rFonts w:ascii="Arial" w:hAnsi="Arial" w:cs="Arial"/>
                <w:sz w:val="20"/>
                <w:szCs w:val="20"/>
                <w:lang w:val="en-US"/>
              </w:rPr>
              <w:t xml:space="preserve"> or medical officer at registrar level or above or nurse practitioner.  Excludes bronchoscopy.</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490BB7">
            <w:pPr>
              <w:jc w:val="left"/>
              <w:rPr>
                <w:rFonts w:ascii="Arial" w:hAnsi="Arial" w:cs="Arial"/>
                <w:sz w:val="20"/>
                <w:szCs w:val="20"/>
              </w:rPr>
            </w:pPr>
            <w:r>
              <w:rPr>
                <w:rFonts w:ascii="Arial" w:hAnsi="Arial" w:cs="Arial"/>
                <w:sz w:val="20"/>
                <w:szCs w:val="20"/>
              </w:rPr>
              <w:t>Attendance</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Pr>
                <w:rFonts w:ascii="Arial" w:hAnsi="Arial" w:cs="Arial"/>
                <w:sz w:val="20"/>
                <w:szCs w:val="20"/>
              </w:rPr>
              <w:t xml:space="preserve">NMDS and </w:t>
            </w:r>
            <w:r w:rsidRPr="00B8572F">
              <w:rPr>
                <w:rFonts w:ascii="Arial" w:hAnsi="Arial" w:cs="Arial"/>
                <w:sz w:val="20"/>
                <w:szCs w:val="20"/>
              </w:rPr>
              <w:t>NNPAC</w:t>
            </w:r>
          </w:p>
        </w:tc>
      </w:tr>
      <w:tr w:rsidR="00490BB7" w:rsidRPr="00B8572F" w:rsidTr="00C65FEE">
        <w:trPr>
          <w:cantSplit/>
        </w:trPr>
        <w:tc>
          <w:tcPr>
            <w:tcW w:w="554"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M65010</w:t>
            </w:r>
          </w:p>
        </w:tc>
        <w:tc>
          <w:tcPr>
            <w:tcW w:w="969" w:type="pct"/>
            <w:tcBorders>
              <w:top w:val="single" w:sz="4" w:space="0" w:color="auto"/>
              <w:left w:val="single" w:sz="4" w:space="0" w:color="auto"/>
              <w:bottom w:val="single" w:sz="4" w:space="0" w:color="auto"/>
              <w:right w:val="single" w:sz="4" w:space="0" w:color="auto"/>
            </w:tcBorders>
          </w:tcPr>
          <w:p w:rsidR="00490BB7" w:rsidRPr="00B8572F" w:rsidRDefault="00490BB7" w:rsidP="00490BB7">
            <w:pPr>
              <w:jc w:val="left"/>
              <w:rPr>
                <w:rFonts w:ascii="Arial" w:hAnsi="Arial" w:cs="Arial"/>
                <w:sz w:val="20"/>
                <w:szCs w:val="20"/>
                <w:lang w:val="en-US"/>
              </w:rPr>
            </w:pPr>
            <w:r w:rsidRPr="00B8572F">
              <w:rPr>
                <w:rFonts w:ascii="Arial" w:hAnsi="Arial" w:cs="Arial"/>
                <w:sz w:val="20"/>
                <w:szCs w:val="20"/>
                <w:lang w:val="en-US"/>
              </w:rPr>
              <w:t>Smoking Cessation Initiative - Respiratory</w:t>
            </w:r>
          </w:p>
        </w:tc>
        <w:tc>
          <w:tcPr>
            <w:tcW w:w="1876"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 xml:space="preserve">CHF project to provide support to prevent readmission and lower length of stay. </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Pr>
                <w:rFonts w:ascii="Arial" w:hAnsi="Arial" w:cs="Arial"/>
                <w:sz w:val="20"/>
                <w:szCs w:val="20"/>
              </w:rPr>
              <w:t>Service</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Pr>
                <w:rFonts w:ascii="Arial" w:hAnsi="Arial" w:cs="Arial"/>
                <w:sz w:val="20"/>
                <w:szCs w:val="20"/>
              </w:rPr>
              <w:t xml:space="preserve">NMDS and </w:t>
            </w:r>
            <w:r w:rsidRPr="00B8572F">
              <w:rPr>
                <w:rFonts w:ascii="Arial" w:hAnsi="Arial" w:cs="Arial"/>
                <w:sz w:val="20"/>
                <w:szCs w:val="20"/>
              </w:rPr>
              <w:t xml:space="preserve">NNPAC </w:t>
            </w:r>
          </w:p>
        </w:tc>
      </w:tr>
      <w:tr w:rsidR="00490BB7" w:rsidRPr="00B8572F" w:rsidTr="00C65FEE">
        <w:trPr>
          <w:cantSplit/>
          <w:trHeight w:val="1234"/>
        </w:trPr>
        <w:tc>
          <w:tcPr>
            <w:tcW w:w="554"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M65012</w:t>
            </w:r>
          </w:p>
        </w:tc>
        <w:tc>
          <w:tcPr>
            <w:tcW w:w="969"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COPD Pilot</w:t>
            </w:r>
          </w:p>
        </w:tc>
        <w:tc>
          <w:tcPr>
            <w:tcW w:w="1876"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 xml:space="preserve">COPD Models of Care </w:t>
            </w:r>
            <w:proofErr w:type="spellStart"/>
            <w:r w:rsidRPr="00B8572F">
              <w:rPr>
                <w:rFonts w:ascii="Arial" w:hAnsi="Arial" w:cs="Arial"/>
                <w:sz w:val="20"/>
                <w:szCs w:val="20"/>
                <w:lang w:val="en-US"/>
              </w:rPr>
              <w:t>Programme</w:t>
            </w:r>
            <w:proofErr w:type="spellEnd"/>
            <w:r w:rsidRPr="00B8572F">
              <w:rPr>
                <w:rFonts w:ascii="Arial" w:hAnsi="Arial" w:cs="Arial"/>
                <w:sz w:val="20"/>
                <w:szCs w:val="20"/>
                <w:lang w:val="en-US"/>
              </w:rPr>
              <w:t>.  Includes Pulmonary Rehab, Respiratory Nurse and Respiratory Testing</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Pr>
                <w:rFonts w:ascii="Arial" w:hAnsi="Arial" w:cs="Arial"/>
                <w:sz w:val="20"/>
                <w:szCs w:val="20"/>
              </w:rPr>
              <w:t>Service</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Pr>
                <w:rFonts w:ascii="Arial" w:hAnsi="Arial" w:cs="Arial"/>
                <w:sz w:val="20"/>
                <w:szCs w:val="20"/>
              </w:rPr>
              <w:t xml:space="preserve">NMDS and </w:t>
            </w:r>
            <w:r w:rsidRPr="00B8572F">
              <w:rPr>
                <w:rFonts w:ascii="Arial" w:hAnsi="Arial" w:cs="Arial"/>
                <w:sz w:val="20"/>
                <w:szCs w:val="20"/>
              </w:rPr>
              <w:t xml:space="preserve">NNPAC </w:t>
            </w:r>
          </w:p>
        </w:tc>
      </w:tr>
      <w:tr w:rsidR="00490BB7" w:rsidRPr="00B8572F" w:rsidTr="00C65FEE">
        <w:trPr>
          <w:cantSplit/>
        </w:trPr>
        <w:tc>
          <w:tcPr>
            <w:tcW w:w="554" w:type="pct"/>
            <w:tcBorders>
              <w:top w:val="single" w:sz="4" w:space="0" w:color="auto"/>
              <w:left w:val="single" w:sz="4" w:space="0" w:color="auto"/>
              <w:bottom w:val="single" w:sz="4" w:space="0" w:color="auto"/>
              <w:right w:val="single" w:sz="4" w:space="0" w:color="auto"/>
            </w:tcBorders>
          </w:tcPr>
          <w:p w:rsidR="00490BB7" w:rsidRPr="00B8572F" w:rsidRDefault="00490BB7" w:rsidP="00490BB7">
            <w:pPr>
              <w:jc w:val="left"/>
              <w:rPr>
                <w:rFonts w:ascii="Arial" w:hAnsi="Arial" w:cs="Arial"/>
                <w:sz w:val="20"/>
                <w:szCs w:val="20"/>
              </w:rPr>
            </w:pPr>
            <w:r w:rsidRPr="00B8572F">
              <w:rPr>
                <w:rFonts w:ascii="Arial" w:hAnsi="Arial" w:cs="Arial"/>
                <w:sz w:val="20"/>
                <w:szCs w:val="20"/>
                <w:lang w:val="en-US"/>
              </w:rPr>
              <w:t>M65PRE</w:t>
            </w:r>
          </w:p>
        </w:tc>
        <w:tc>
          <w:tcPr>
            <w:tcW w:w="969" w:type="pct"/>
            <w:tcBorders>
              <w:top w:val="single" w:sz="4" w:space="0" w:color="auto"/>
              <w:left w:val="single" w:sz="4" w:space="0" w:color="auto"/>
              <w:bottom w:val="single" w:sz="4" w:space="0" w:color="auto"/>
              <w:right w:val="single" w:sz="4" w:space="0" w:color="auto"/>
            </w:tcBorders>
          </w:tcPr>
          <w:p w:rsidR="00490BB7" w:rsidRPr="00B8572F" w:rsidRDefault="00490BB7" w:rsidP="00490BB7">
            <w:pPr>
              <w:jc w:val="left"/>
              <w:rPr>
                <w:rFonts w:ascii="Arial" w:hAnsi="Arial" w:cs="Arial"/>
                <w:sz w:val="20"/>
                <w:szCs w:val="20"/>
                <w:lang w:val="en-US"/>
              </w:rPr>
            </w:pPr>
            <w:r w:rsidRPr="00B8572F">
              <w:rPr>
                <w:rFonts w:ascii="Arial" w:hAnsi="Arial" w:cs="Arial"/>
                <w:sz w:val="20"/>
                <w:szCs w:val="20"/>
                <w:lang w:val="en-US"/>
              </w:rPr>
              <w:t>Respiratory Preadmission visit</w:t>
            </w:r>
          </w:p>
        </w:tc>
        <w:tc>
          <w:tcPr>
            <w:tcW w:w="1876"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lang w:val="en-US"/>
              </w:rPr>
            </w:pPr>
            <w:r w:rsidRPr="00B8572F">
              <w:rPr>
                <w:rFonts w:ascii="Arial" w:hAnsi="Arial" w:cs="Arial"/>
                <w:sz w:val="20"/>
                <w:szCs w:val="20"/>
                <w:lang w:val="en-US"/>
              </w:rPr>
              <w:t>NOT PURCHASED FOR NNPAC USE ONLY - preadmission visit for Respiratory procedure paid for as part of CWD price</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490BB7">
            <w:pPr>
              <w:jc w:val="left"/>
              <w:rPr>
                <w:rFonts w:ascii="Arial" w:hAnsi="Arial" w:cs="Arial"/>
                <w:sz w:val="20"/>
                <w:szCs w:val="20"/>
                <w:lang w:val="en-US"/>
              </w:rPr>
            </w:pPr>
            <w:r>
              <w:rPr>
                <w:rFonts w:ascii="Arial" w:hAnsi="Arial" w:cs="Arial"/>
                <w:sz w:val="20"/>
                <w:szCs w:val="20"/>
                <w:lang w:val="en-US"/>
              </w:rPr>
              <w:t>Attendance</w:t>
            </w:r>
          </w:p>
        </w:tc>
        <w:tc>
          <w:tcPr>
            <w:tcW w:w="800" w:type="pct"/>
            <w:tcBorders>
              <w:top w:val="single" w:sz="4" w:space="0" w:color="auto"/>
              <w:left w:val="single" w:sz="4" w:space="0" w:color="auto"/>
              <w:bottom w:val="single" w:sz="4" w:space="0" w:color="auto"/>
              <w:right w:val="single" w:sz="4" w:space="0" w:color="auto"/>
            </w:tcBorders>
          </w:tcPr>
          <w:p w:rsidR="00490BB7" w:rsidRPr="00B8572F" w:rsidRDefault="00490BB7" w:rsidP="00EB08EC">
            <w:pPr>
              <w:jc w:val="left"/>
              <w:rPr>
                <w:rFonts w:ascii="Arial" w:hAnsi="Arial" w:cs="Arial"/>
                <w:sz w:val="20"/>
                <w:szCs w:val="20"/>
              </w:rPr>
            </w:pPr>
            <w:r w:rsidRPr="00B8572F">
              <w:rPr>
                <w:rFonts w:ascii="Arial" w:hAnsi="Arial" w:cs="Arial"/>
                <w:sz w:val="20"/>
                <w:szCs w:val="20"/>
              </w:rPr>
              <w:t xml:space="preserve">NNPAC </w:t>
            </w:r>
          </w:p>
        </w:tc>
      </w:tr>
    </w:tbl>
    <w:p w:rsidR="00EB08EC" w:rsidRDefault="00EB08EC" w:rsidP="00490BB7">
      <w:pPr>
        <w:spacing w:before="120" w:after="120"/>
        <w:rPr>
          <w:rFonts w:ascii="Arial" w:hAnsi="Arial" w:cs="Arial"/>
          <w:lang w:val="en-US"/>
        </w:rPr>
      </w:pPr>
      <w:r w:rsidRPr="00B8572F">
        <w:rPr>
          <w:rFonts w:ascii="Arial" w:hAnsi="Arial" w:cs="Arial"/>
          <w:lang w:val="en-US"/>
        </w:rPr>
        <w:t xml:space="preserve">The Service must comply with the requirements of national data collections where available. </w:t>
      </w:r>
    </w:p>
    <w:tbl>
      <w:tblPr>
        <w:tblStyle w:val="TableGrid"/>
        <w:tblW w:w="0" w:type="auto"/>
        <w:tblLook w:val="04A0" w:firstRow="1" w:lastRow="0" w:firstColumn="1" w:lastColumn="0" w:noHBand="0" w:noVBand="1"/>
      </w:tblPr>
      <w:tblGrid>
        <w:gridCol w:w="3006"/>
        <w:gridCol w:w="6622"/>
      </w:tblGrid>
      <w:tr w:rsidR="009639B1" w:rsidTr="00490BB7">
        <w:tc>
          <w:tcPr>
            <w:tcW w:w="3085" w:type="dxa"/>
            <w:shd w:val="pct12" w:color="auto" w:fill="auto"/>
          </w:tcPr>
          <w:p w:rsidR="009639B1" w:rsidRPr="009639B1" w:rsidRDefault="009639B1" w:rsidP="00EB08EC">
            <w:pPr>
              <w:spacing w:before="120"/>
              <w:rPr>
                <w:rFonts w:ascii="Arial" w:hAnsi="Arial" w:cs="Arial"/>
                <w:b/>
                <w:lang w:val="en-US"/>
              </w:rPr>
            </w:pPr>
            <w:r w:rsidRPr="009639B1">
              <w:rPr>
                <w:rFonts w:ascii="Arial" w:hAnsi="Arial" w:cs="Arial"/>
                <w:b/>
                <w:lang w:val="en-US"/>
              </w:rPr>
              <w:t>Unit of Measure</w:t>
            </w:r>
          </w:p>
        </w:tc>
        <w:tc>
          <w:tcPr>
            <w:tcW w:w="6769" w:type="dxa"/>
            <w:shd w:val="pct12" w:color="auto" w:fill="auto"/>
          </w:tcPr>
          <w:p w:rsidR="009639B1" w:rsidRPr="009639B1" w:rsidRDefault="009639B1" w:rsidP="00EB08EC">
            <w:pPr>
              <w:spacing w:before="120"/>
              <w:rPr>
                <w:rFonts w:ascii="Arial" w:hAnsi="Arial" w:cs="Arial"/>
                <w:b/>
                <w:lang w:val="en-US"/>
              </w:rPr>
            </w:pPr>
            <w:r w:rsidRPr="009639B1">
              <w:rPr>
                <w:rFonts w:ascii="Arial" w:hAnsi="Arial" w:cs="Arial"/>
                <w:b/>
                <w:lang w:val="en-US"/>
              </w:rPr>
              <w:t>Unit of Measure Definition</w:t>
            </w:r>
          </w:p>
        </w:tc>
      </w:tr>
      <w:tr w:rsidR="009639B1" w:rsidTr="00490BB7">
        <w:tc>
          <w:tcPr>
            <w:tcW w:w="3085" w:type="dxa"/>
          </w:tcPr>
          <w:p w:rsidR="009639B1" w:rsidRDefault="009639B1" w:rsidP="00490BB7">
            <w:pPr>
              <w:spacing w:before="120"/>
              <w:jc w:val="left"/>
              <w:rPr>
                <w:rFonts w:ascii="Arial" w:hAnsi="Arial" w:cs="Arial"/>
                <w:lang w:val="en-US"/>
              </w:rPr>
            </w:pPr>
            <w:r>
              <w:rPr>
                <w:rFonts w:ascii="Arial" w:hAnsi="Arial" w:cs="Arial"/>
                <w:lang w:val="en-US"/>
              </w:rPr>
              <w:t>Attendance</w:t>
            </w:r>
          </w:p>
        </w:tc>
        <w:tc>
          <w:tcPr>
            <w:tcW w:w="6769" w:type="dxa"/>
          </w:tcPr>
          <w:p w:rsidR="009639B1" w:rsidRDefault="00490BB7" w:rsidP="000C4E32">
            <w:pPr>
              <w:spacing w:before="120"/>
              <w:jc w:val="left"/>
              <w:rPr>
                <w:rFonts w:ascii="Arial" w:hAnsi="Arial" w:cs="Arial"/>
                <w:lang w:val="en-US"/>
              </w:rPr>
            </w:pPr>
            <w:r w:rsidRPr="00490BB7">
              <w:rPr>
                <w:rFonts w:ascii="Arial" w:hAnsi="Arial" w:cs="Arial"/>
                <w:lang w:val="en-US"/>
              </w:rPr>
              <w:t>Number of attendances at Pre-Admission Clinic.</w:t>
            </w:r>
          </w:p>
        </w:tc>
      </w:tr>
      <w:tr w:rsidR="009639B1" w:rsidTr="00490BB7">
        <w:tc>
          <w:tcPr>
            <w:tcW w:w="3085" w:type="dxa"/>
          </w:tcPr>
          <w:p w:rsidR="009639B1" w:rsidRDefault="009639B1" w:rsidP="00490BB7">
            <w:pPr>
              <w:spacing w:before="120"/>
              <w:jc w:val="left"/>
              <w:rPr>
                <w:rFonts w:ascii="Arial" w:hAnsi="Arial" w:cs="Arial"/>
                <w:lang w:val="en-US"/>
              </w:rPr>
            </w:pPr>
            <w:r>
              <w:rPr>
                <w:rFonts w:ascii="Arial" w:hAnsi="Arial" w:cs="Arial"/>
                <w:lang w:val="en-US"/>
              </w:rPr>
              <w:t>Client</w:t>
            </w:r>
          </w:p>
        </w:tc>
        <w:tc>
          <w:tcPr>
            <w:tcW w:w="6769" w:type="dxa"/>
          </w:tcPr>
          <w:p w:rsidR="009639B1" w:rsidRDefault="00490BB7" w:rsidP="000C4E32">
            <w:pPr>
              <w:spacing w:before="120"/>
              <w:jc w:val="left"/>
              <w:rPr>
                <w:rFonts w:ascii="Arial" w:hAnsi="Arial" w:cs="Arial"/>
                <w:lang w:val="en-US"/>
              </w:rPr>
            </w:pPr>
            <w:r w:rsidRPr="00490BB7">
              <w:rPr>
                <w:rFonts w:ascii="Arial" w:hAnsi="Arial" w:cs="Arial"/>
                <w:lang w:val="en-US"/>
              </w:rPr>
              <w:t>Number of clients managed by the service in the reporting period (period is annual 1st July - 30th June) i.e. caseload at the beginning of the period plus all new cases in the period. 'Client' and 'Service user' are interchangeable.</w:t>
            </w:r>
          </w:p>
        </w:tc>
      </w:tr>
      <w:tr w:rsidR="009639B1" w:rsidTr="00490BB7">
        <w:tc>
          <w:tcPr>
            <w:tcW w:w="3085" w:type="dxa"/>
          </w:tcPr>
          <w:p w:rsidR="009639B1" w:rsidRDefault="009639B1" w:rsidP="00490BB7">
            <w:pPr>
              <w:spacing w:before="120"/>
              <w:jc w:val="left"/>
              <w:rPr>
                <w:rFonts w:ascii="Arial" w:hAnsi="Arial" w:cs="Arial"/>
                <w:lang w:val="en-US"/>
              </w:rPr>
            </w:pPr>
            <w:r w:rsidRPr="009639B1">
              <w:rPr>
                <w:rFonts w:ascii="Arial" w:hAnsi="Arial" w:cs="Arial"/>
                <w:lang w:val="en-US"/>
              </w:rPr>
              <w:t>Cost Weighted Discharge</w:t>
            </w:r>
          </w:p>
        </w:tc>
        <w:tc>
          <w:tcPr>
            <w:tcW w:w="6769" w:type="dxa"/>
          </w:tcPr>
          <w:p w:rsidR="009639B1" w:rsidRDefault="00490BB7" w:rsidP="000C4E32">
            <w:pPr>
              <w:spacing w:before="120"/>
              <w:jc w:val="left"/>
              <w:rPr>
                <w:rFonts w:ascii="Arial" w:hAnsi="Arial" w:cs="Arial"/>
                <w:lang w:val="en-US"/>
              </w:rPr>
            </w:pPr>
            <w:r w:rsidRPr="00490BB7">
              <w:rPr>
                <w:rFonts w:ascii="Arial" w:hAnsi="Arial" w:cs="Arial"/>
                <w:lang w:val="en-US"/>
              </w:rPr>
              <w:t>A numerical measure representing the relative cost of treating a patient through to discharge</w:t>
            </w:r>
          </w:p>
        </w:tc>
      </w:tr>
      <w:tr w:rsidR="009639B1" w:rsidTr="00490BB7">
        <w:tc>
          <w:tcPr>
            <w:tcW w:w="3085" w:type="dxa"/>
          </w:tcPr>
          <w:p w:rsidR="009639B1" w:rsidRDefault="009639B1" w:rsidP="00490BB7">
            <w:pPr>
              <w:spacing w:before="120"/>
              <w:jc w:val="left"/>
              <w:rPr>
                <w:rFonts w:ascii="Arial" w:hAnsi="Arial" w:cs="Arial"/>
                <w:lang w:val="en-US"/>
              </w:rPr>
            </w:pPr>
            <w:r>
              <w:rPr>
                <w:rFonts w:ascii="Arial" w:hAnsi="Arial" w:cs="Arial"/>
                <w:lang w:val="en-US"/>
              </w:rPr>
              <w:t>Procedure</w:t>
            </w:r>
          </w:p>
        </w:tc>
        <w:tc>
          <w:tcPr>
            <w:tcW w:w="6769" w:type="dxa"/>
          </w:tcPr>
          <w:p w:rsidR="009639B1" w:rsidRDefault="00490BB7" w:rsidP="000C4E32">
            <w:pPr>
              <w:spacing w:before="120"/>
              <w:jc w:val="left"/>
              <w:rPr>
                <w:rFonts w:ascii="Arial" w:hAnsi="Arial" w:cs="Arial"/>
                <w:lang w:val="en-US"/>
              </w:rPr>
            </w:pPr>
            <w:r w:rsidRPr="00490BB7">
              <w:rPr>
                <w:rFonts w:ascii="Arial" w:hAnsi="Arial" w:cs="Arial"/>
                <w:lang w:val="en-US"/>
              </w:rPr>
              <w:t>An individual operative/diagnostic/assessment procedure.</w:t>
            </w:r>
          </w:p>
        </w:tc>
      </w:tr>
      <w:tr w:rsidR="009639B1" w:rsidTr="00490BB7">
        <w:tc>
          <w:tcPr>
            <w:tcW w:w="3085" w:type="dxa"/>
          </w:tcPr>
          <w:p w:rsidR="009639B1" w:rsidRDefault="009639B1" w:rsidP="00490BB7">
            <w:pPr>
              <w:spacing w:before="120"/>
              <w:jc w:val="left"/>
              <w:rPr>
                <w:rFonts w:ascii="Arial" w:hAnsi="Arial" w:cs="Arial"/>
                <w:lang w:val="en-US"/>
              </w:rPr>
            </w:pPr>
            <w:r>
              <w:rPr>
                <w:rFonts w:ascii="Arial" w:hAnsi="Arial" w:cs="Arial"/>
                <w:lang w:val="en-US"/>
              </w:rPr>
              <w:t>Service</w:t>
            </w:r>
          </w:p>
        </w:tc>
        <w:tc>
          <w:tcPr>
            <w:tcW w:w="6769" w:type="dxa"/>
          </w:tcPr>
          <w:p w:rsidR="009639B1" w:rsidRDefault="00490BB7" w:rsidP="000C4E32">
            <w:pPr>
              <w:spacing w:before="120"/>
              <w:jc w:val="left"/>
              <w:rPr>
                <w:rFonts w:ascii="Arial" w:hAnsi="Arial" w:cs="Arial"/>
                <w:lang w:val="en-US"/>
              </w:rPr>
            </w:pPr>
            <w:r w:rsidRPr="00490BB7">
              <w:rPr>
                <w:rFonts w:ascii="Arial" w:hAnsi="Arial" w:cs="Arial"/>
                <w:lang w:val="en-US"/>
              </w:rPr>
              <w:t>Agreed lump sum amount. Service purchased in a block arrangement.</w:t>
            </w:r>
          </w:p>
        </w:tc>
      </w:tr>
      <w:tr w:rsidR="00490BB7" w:rsidTr="00490BB7">
        <w:tc>
          <w:tcPr>
            <w:tcW w:w="3085" w:type="dxa"/>
          </w:tcPr>
          <w:p w:rsidR="00490BB7" w:rsidRDefault="00490BB7" w:rsidP="00490BB7">
            <w:pPr>
              <w:spacing w:before="120"/>
              <w:jc w:val="left"/>
              <w:rPr>
                <w:rFonts w:ascii="Arial" w:hAnsi="Arial" w:cs="Arial"/>
                <w:lang w:val="en-US"/>
              </w:rPr>
            </w:pPr>
            <w:r w:rsidRPr="00490BB7">
              <w:rPr>
                <w:rFonts w:ascii="Arial" w:hAnsi="Arial" w:cs="Arial"/>
                <w:lang w:val="en-US"/>
              </w:rPr>
              <w:t>Treatment</w:t>
            </w:r>
          </w:p>
        </w:tc>
        <w:tc>
          <w:tcPr>
            <w:tcW w:w="6769" w:type="dxa"/>
          </w:tcPr>
          <w:p w:rsidR="00490BB7" w:rsidRPr="00490BB7" w:rsidRDefault="00490BB7" w:rsidP="000C4E32">
            <w:pPr>
              <w:spacing w:before="120"/>
              <w:jc w:val="left"/>
              <w:rPr>
                <w:rFonts w:ascii="Arial" w:hAnsi="Arial" w:cs="Arial"/>
                <w:lang w:val="en-US"/>
              </w:rPr>
            </w:pPr>
            <w:r w:rsidRPr="00490BB7">
              <w:rPr>
                <w:rFonts w:ascii="Arial" w:hAnsi="Arial" w:cs="Arial"/>
                <w:lang w:val="en-US"/>
              </w:rPr>
              <w:t>Number of attendances for treatment.</w:t>
            </w:r>
          </w:p>
        </w:tc>
      </w:tr>
      <w:tr w:rsidR="00490BB7" w:rsidTr="00490BB7">
        <w:tc>
          <w:tcPr>
            <w:tcW w:w="3085" w:type="dxa"/>
          </w:tcPr>
          <w:p w:rsidR="00490BB7" w:rsidRDefault="00490BB7" w:rsidP="00490BB7">
            <w:pPr>
              <w:spacing w:before="120"/>
              <w:jc w:val="left"/>
              <w:rPr>
                <w:rFonts w:ascii="Arial" w:hAnsi="Arial" w:cs="Arial"/>
                <w:lang w:val="en-US"/>
              </w:rPr>
            </w:pPr>
            <w:r w:rsidRPr="00490BB7">
              <w:rPr>
                <w:rFonts w:ascii="Arial" w:hAnsi="Arial" w:cs="Arial"/>
                <w:lang w:val="en-US"/>
              </w:rPr>
              <w:t>Written plan of care</w:t>
            </w:r>
          </w:p>
        </w:tc>
        <w:tc>
          <w:tcPr>
            <w:tcW w:w="6769" w:type="dxa"/>
          </w:tcPr>
          <w:p w:rsidR="00490BB7" w:rsidRPr="00490BB7" w:rsidRDefault="00490BB7" w:rsidP="000C4E32">
            <w:pPr>
              <w:spacing w:before="120"/>
              <w:jc w:val="left"/>
              <w:rPr>
                <w:rFonts w:ascii="Arial" w:hAnsi="Arial" w:cs="Arial"/>
                <w:lang w:val="en-US"/>
              </w:rPr>
            </w:pPr>
            <w:r w:rsidRPr="00490BB7">
              <w:rPr>
                <w:rFonts w:ascii="Arial" w:hAnsi="Arial" w:cs="Arial"/>
                <w:lang w:val="en-US"/>
              </w:rPr>
              <w:t>Written plan of care provided by the specialist to the referring G</w:t>
            </w:r>
            <w:r w:rsidR="000C4E32">
              <w:rPr>
                <w:rFonts w:ascii="Arial" w:hAnsi="Arial" w:cs="Arial"/>
                <w:lang w:val="en-US"/>
              </w:rPr>
              <w:t>eneral Practitioner.</w:t>
            </w:r>
          </w:p>
        </w:tc>
      </w:tr>
    </w:tbl>
    <w:p w:rsidR="009639B1" w:rsidRPr="00B8572F" w:rsidRDefault="009639B1" w:rsidP="00EB08EC">
      <w:pPr>
        <w:spacing w:before="120"/>
        <w:rPr>
          <w:rFonts w:ascii="Arial" w:hAnsi="Arial" w:cs="Arial"/>
          <w:lang w:val="en-US"/>
        </w:rPr>
      </w:pPr>
    </w:p>
    <w:sectPr w:rsidR="009639B1" w:rsidRPr="00B8572F" w:rsidSect="00B8572F">
      <w:footerReference w:type="even" r:id="rId9"/>
      <w:footerReference w:type="default" r:id="rId10"/>
      <w:pgSz w:w="11906" w:h="16838" w:code="9"/>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796" w:rsidRDefault="00610796">
      <w:r>
        <w:separator/>
      </w:r>
    </w:p>
  </w:endnote>
  <w:endnote w:type="continuationSeparator" w:id="0">
    <w:p w:rsidR="00610796" w:rsidRDefault="0061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äor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Mäori">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796" w:rsidRDefault="00610796" w:rsidP="00EB08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0796" w:rsidRDefault="00610796" w:rsidP="00EB08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796" w:rsidRDefault="00610796" w:rsidP="00EB08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112D">
      <w:rPr>
        <w:rStyle w:val="PageNumber"/>
        <w:noProof/>
      </w:rPr>
      <w:t>10</w:t>
    </w:r>
    <w:r>
      <w:rPr>
        <w:rStyle w:val="PageNumber"/>
      </w:rPr>
      <w:fldChar w:fldCharType="end"/>
    </w:r>
  </w:p>
  <w:p w:rsidR="00610796" w:rsidRDefault="00610796" w:rsidP="00B8572F">
    <w:pPr>
      <w:pStyle w:val="Footer"/>
      <w:pBdr>
        <w:top w:val="single" w:sz="6" w:space="1" w:color="auto"/>
      </w:pBdr>
      <w:rPr>
        <w:lang w:val="en-US"/>
      </w:rPr>
    </w:pPr>
    <w:r>
      <w:rPr>
        <w:rFonts w:ascii="Arial Mäori" w:hAnsi="Arial Mäori"/>
      </w:rPr>
      <w:t xml:space="preserve">Specialist Medical </w:t>
    </w:r>
    <w:r w:rsidR="00C65FEE">
      <w:rPr>
        <w:rFonts w:ascii="Arial Mäori" w:hAnsi="Arial Mäori"/>
      </w:rPr>
      <w:t xml:space="preserve">and Surgical </w:t>
    </w:r>
    <w:r>
      <w:rPr>
        <w:rFonts w:ascii="Arial Mäori" w:hAnsi="Arial Mäori"/>
      </w:rPr>
      <w:t>Services - General Medicine Service tier two service spec</w:t>
    </w:r>
    <w:r w:rsidRPr="00114AAC">
      <w:rPr>
        <w:rFonts w:ascii="Arial Mäori" w:hAnsi="Arial Mäori"/>
      </w:rPr>
      <w:t>ification</w:t>
    </w:r>
    <w:r w:rsidR="00753C90">
      <w:rPr>
        <w:rFonts w:ascii="Arial Mäori" w:hAnsi="Arial Mäori"/>
      </w:rPr>
      <w:t xml:space="preserve"> January 2015</w:t>
    </w:r>
    <w:r>
      <w:rPr>
        <w:rFonts w:ascii="Arial Mäori" w:hAnsi="Arial Mäori"/>
      </w:rPr>
      <w:t xml:space="preserve"> </w:t>
    </w:r>
  </w:p>
  <w:p w:rsidR="00610796" w:rsidRDefault="00610796" w:rsidP="00EB08EC">
    <w:pPr>
      <w:pStyle w:val="Footer"/>
      <w:ind w:right="360"/>
      <w:rPr>
        <w:lang w:val="en-US"/>
      </w:rPr>
    </w:pPr>
    <w:r w:rsidRPr="00114AAC">
      <w:rPr>
        <w:rFonts w:ascii="Arial Mäori" w:hAnsi="Arial Mäori"/>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796" w:rsidRDefault="00610796">
      <w:r>
        <w:separator/>
      </w:r>
    </w:p>
  </w:footnote>
  <w:footnote w:type="continuationSeparator" w:id="0">
    <w:p w:rsidR="00610796" w:rsidRDefault="006107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41A52CC"/>
    <w:lvl w:ilvl="0">
      <w:start w:val="1"/>
      <w:numFmt w:val="decimal"/>
      <w:pStyle w:val="Heading1"/>
      <w:lvlText w:val="%1."/>
      <w:legacy w:legacy="1" w:legacySpace="120" w:legacyIndent="567"/>
      <w:lvlJc w:val="left"/>
      <w:pPr>
        <w:ind w:left="567" w:hanging="567"/>
      </w:pPr>
      <w:rPr>
        <w:i w:val="0"/>
      </w:rPr>
    </w:lvl>
    <w:lvl w:ilvl="1">
      <w:start w:val="1"/>
      <w:numFmt w:val="decimal"/>
      <w:pStyle w:val="Heading2"/>
      <w:lvlText w:val="%1.%2."/>
      <w:legacy w:legacy="1" w:legacySpace="120" w:legacyIndent="567"/>
      <w:lvlJc w:val="left"/>
      <w:pPr>
        <w:ind w:hanging="567"/>
      </w:pPr>
      <w:rPr>
        <w:i w:val="0"/>
      </w:rPr>
    </w:lvl>
    <w:lvl w:ilvl="2">
      <w:numFmt w:val="none"/>
      <w:lvlText w:val=""/>
      <w:lvlJc w:val="left"/>
    </w:lvl>
    <w:lvl w:ilvl="3">
      <w:numFmt w:val="none"/>
      <w:lvlText w:val=""/>
      <w:lvlJc w:val="left"/>
    </w:lvl>
    <w:lvl w:ilvl="4">
      <w:numFmt w:val="none"/>
      <w:pStyle w:val="Heading5"/>
      <w:lvlText w:val=""/>
      <w:lvlJc w:val="left"/>
    </w:lvl>
    <w:lvl w:ilvl="5">
      <w:numFmt w:val="none"/>
      <w:pStyle w:val="Heading6"/>
      <w:lvlText w:val=""/>
      <w:lvlJc w:val="left"/>
    </w:lvl>
    <w:lvl w:ilvl="6">
      <w:numFmt w:val="none"/>
      <w:pStyle w:val="Heading7"/>
      <w:lvlText w:val=""/>
      <w:lvlJc w:val="left"/>
    </w:lvl>
    <w:lvl w:ilvl="7">
      <w:numFmt w:val="none"/>
      <w:pStyle w:val="Heading8"/>
      <w:lvlText w:val=""/>
      <w:lvlJc w:val="left"/>
    </w:lvl>
    <w:lvl w:ilvl="8">
      <w:numFmt w:val="none"/>
      <w:lvlText w:val=""/>
      <w:lvlJc w:val="left"/>
    </w:lvl>
  </w:abstractNum>
  <w:abstractNum w:abstractNumId="1" w15:restartNumberingAfterBreak="0">
    <w:nsid w:val="0DFD4CFA"/>
    <w:multiLevelType w:val="hybridMultilevel"/>
    <w:tmpl w:val="341441C4"/>
    <w:lvl w:ilvl="0" w:tplc="04090001">
      <w:start w:val="1"/>
      <w:numFmt w:val="bullet"/>
      <w:lvlText w:val=""/>
      <w:lvlJc w:val="left"/>
      <w:pPr>
        <w:tabs>
          <w:tab w:val="num" w:pos="720"/>
        </w:tabs>
        <w:ind w:left="720" w:hanging="360"/>
      </w:pPr>
      <w:rPr>
        <w:rFonts w:ascii="Symbol" w:hAnsi="Symbol" w:hint="default"/>
      </w:rPr>
    </w:lvl>
    <w:lvl w:ilvl="1" w:tplc="1F509EEA">
      <w:start w:val="3"/>
      <w:numFmt w:val="bullet"/>
      <w:lvlText w:val="–"/>
      <w:lvlJc w:val="left"/>
      <w:pPr>
        <w:tabs>
          <w:tab w:val="num" w:pos="1650"/>
        </w:tabs>
        <w:ind w:left="1650" w:hanging="570"/>
      </w:pPr>
      <w:rPr>
        <w:rFonts w:ascii="Arial Mäori" w:eastAsia="Times New Roman" w:hAnsi="Arial Mäori" w:cs="Times New Roman" w:hint="default"/>
      </w:rPr>
    </w:lvl>
    <w:lvl w:ilvl="2" w:tplc="988EF68E">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74047F"/>
    <w:multiLevelType w:val="hybridMultilevel"/>
    <w:tmpl w:val="3E78D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5A320E"/>
    <w:multiLevelType w:val="hybridMultilevel"/>
    <w:tmpl w:val="AEE881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55434E"/>
    <w:multiLevelType w:val="hybridMultilevel"/>
    <w:tmpl w:val="92D810F0"/>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455625E9"/>
    <w:multiLevelType w:val="hybridMultilevel"/>
    <w:tmpl w:val="4ADE8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962A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2FA3D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3C233A5"/>
    <w:multiLevelType w:val="hybridMultilevel"/>
    <w:tmpl w:val="44002DA8"/>
    <w:lvl w:ilvl="0" w:tplc="A6B01B8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19542462">
      <w:numFmt w:val="bullet"/>
      <w:lvlText w:val="–"/>
      <w:lvlJc w:val="left"/>
      <w:pPr>
        <w:tabs>
          <w:tab w:val="num" w:pos="2520"/>
        </w:tabs>
        <w:ind w:left="2520" w:hanging="1080"/>
      </w:pPr>
      <w:rPr>
        <w:rFonts w:ascii="Arial" w:eastAsia="Times New Roman" w:hAnsi="Arial" w:cs="Aria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60E397D"/>
    <w:multiLevelType w:val="hybridMultilevel"/>
    <w:tmpl w:val="61FC700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7"/>
  </w:num>
  <w:num w:numId="3">
    <w:abstractNumId w:val="6"/>
  </w:num>
  <w:num w:numId="4">
    <w:abstractNumId w:val="2"/>
  </w:num>
  <w:num w:numId="5">
    <w:abstractNumId w:val="4"/>
  </w:num>
  <w:num w:numId="6">
    <w:abstractNumId w:val="9"/>
  </w:num>
  <w:num w:numId="7">
    <w:abstractNumId w:val="5"/>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EC"/>
    <w:rsid w:val="00020661"/>
    <w:rsid w:val="0002112D"/>
    <w:rsid w:val="00065052"/>
    <w:rsid w:val="000C4E32"/>
    <w:rsid w:val="000C675E"/>
    <w:rsid w:val="000D1E07"/>
    <w:rsid w:val="00196A97"/>
    <w:rsid w:val="002520E1"/>
    <w:rsid w:val="00262F64"/>
    <w:rsid w:val="00285B0C"/>
    <w:rsid w:val="0029447B"/>
    <w:rsid w:val="002C2467"/>
    <w:rsid w:val="0031260E"/>
    <w:rsid w:val="003273EA"/>
    <w:rsid w:val="00400AB6"/>
    <w:rsid w:val="004255F0"/>
    <w:rsid w:val="00437657"/>
    <w:rsid w:val="00467D46"/>
    <w:rsid w:val="00490BB7"/>
    <w:rsid w:val="00610796"/>
    <w:rsid w:val="006A0976"/>
    <w:rsid w:val="00753C90"/>
    <w:rsid w:val="007B3EDD"/>
    <w:rsid w:val="00801BDF"/>
    <w:rsid w:val="00821AAF"/>
    <w:rsid w:val="0088299A"/>
    <w:rsid w:val="009639B1"/>
    <w:rsid w:val="009E691C"/>
    <w:rsid w:val="00A36FD4"/>
    <w:rsid w:val="00A5355E"/>
    <w:rsid w:val="00AC5E8E"/>
    <w:rsid w:val="00B24101"/>
    <w:rsid w:val="00B750DE"/>
    <w:rsid w:val="00B8572F"/>
    <w:rsid w:val="00C65FEE"/>
    <w:rsid w:val="00CC404A"/>
    <w:rsid w:val="00DF5664"/>
    <w:rsid w:val="00EB08EC"/>
    <w:rsid w:val="00F02166"/>
    <w:rsid w:val="00F25739"/>
    <w:rsid w:val="00F43325"/>
    <w:rsid w:val="00F620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6EA3C20D-F2A5-43AE-9638-5A5C7D29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Mäori" w:hAnsi="Times New Roman Mäori"/>
      <w:sz w:val="24"/>
      <w:szCs w:val="24"/>
      <w:lang w:eastAsia="en-US"/>
    </w:rPr>
  </w:style>
  <w:style w:type="paragraph" w:styleId="Heading1">
    <w:name w:val="heading 1"/>
    <w:basedOn w:val="Normal"/>
    <w:next w:val="Normal"/>
    <w:qFormat/>
    <w:rsid w:val="00EB08EC"/>
    <w:pPr>
      <w:keepNext/>
      <w:numPr>
        <w:numId w:val="1"/>
      </w:numPr>
      <w:spacing w:before="240" w:after="60"/>
      <w:outlineLvl w:val="0"/>
    </w:pPr>
    <w:rPr>
      <w:rFonts w:ascii="Arial" w:hAnsi="Arial"/>
      <w:b/>
      <w:kern w:val="28"/>
      <w:sz w:val="28"/>
      <w:szCs w:val="20"/>
    </w:rPr>
  </w:style>
  <w:style w:type="paragraph" w:styleId="Heading2">
    <w:name w:val="heading 2"/>
    <w:aliases w:val="H1"/>
    <w:basedOn w:val="Normal"/>
    <w:next w:val="Normal"/>
    <w:qFormat/>
    <w:rsid w:val="00EB08EC"/>
    <w:pPr>
      <w:keepNext/>
      <w:numPr>
        <w:ilvl w:val="1"/>
        <w:numId w:val="1"/>
      </w:numPr>
      <w:spacing w:before="240" w:after="60"/>
      <w:outlineLvl w:val="1"/>
    </w:pPr>
    <w:rPr>
      <w:rFonts w:ascii="Arial" w:hAnsi="Arial"/>
      <w:b/>
      <w:i/>
      <w:szCs w:val="20"/>
    </w:rPr>
  </w:style>
  <w:style w:type="paragraph" w:styleId="Heading5">
    <w:name w:val="heading 5"/>
    <w:basedOn w:val="Normal"/>
    <w:next w:val="Normal"/>
    <w:qFormat/>
    <w:rsid w:val="00EB08EC"/>
    <w:pPr>
      <w:numPr>
        <w:ilvl w:val="4"/>
        <w:numId w:val="1"/>
      </w:numPr>
      <w:spacing w:before="240" w:after="60"/>
      <w:jc w:val="left"/>
      <w:outlineLvl w:val="4"/>
    </w:pPr>
    <w:rPr>
      <w:rFonts w:ascii="Arial" w:hAnsi="Arial"/>
      <w:sz w:val="22"/>
      <w:szCs w:val="20"/>
      <w:lang w:val="en-GB"/>
    </w:rPr>
  </w:style>
  <w:style w:type="paragraph" w:styleId="Heading6">
    <w:name w:val="heading 6"/>
    <w:basedOn w:val="Normal"/>
    <w:next w:val="Normal"/>
    <w:qFormat/>
    <w:rsid w:val="00EB08EC"/>
    <w:pPr>
      <w:numPr>
        <w:ilvl w:val="5"/>
        <w:numId w:val="1"/>
      </w:numPr>
      <w:spacing w:before="240" w:after="60"/>
      <w:jc w:val="left"/>
      <w:outlineLvl w:val="5"/>
    </w:pPr>
    <w:rPr>
      <w:rFonts w:ascii="Arial" w:hAnsi="Arial"/>
      <w:i/>
      <w:sz w:val="22"/>
      <w:szCs w:val="20"/>
      <w:lang w:val="en-GB"/>
    </w:rPr>
  </w:style>
  <w:style w:type="paragraph" w:styleId="Heading7">
    <w:name w:val="heading 7"/>
    <w:basedOn w:val="Normal"/>
    <w:next w:val="Normal"/>
    <w:qFormat/>
    <w:rsid w:val="00EB08EC"/>
    <w:pPr>
      <w:numPr>
        <w:ilvl w:val="6"/>
        <w:numId w:val="1"/>
      </w:numPr>
      <w:spacing w:before="240" w:after="60"/>
      <w:jc w:val="left"/>
      <w:outlineLvl w:val="6"/>
    </w:pPr>
    <w:rPr>
      <w:rFonts w:ascii="Arial" w:hAnsi="Arial"/>
      <w:sz w:val="20"/>
      <w:szCs w:val="20"/>
      <w:lang w:val="en-GB"/>
    </w:rPr>
  </w:style>
  <w:style w:type="paragraph" w:styleId="Heading8">
    <w:name w:val="heading 8"/>
    <w:basedOn w:val="Normal"/>
    <w:next w:val="Normal"/>
    <w:qFormat/>
    <w:rsid w:val="00EB08EC"/>
    <w:pPr>
      <w:numPr>
        <w:ilvl w:val="7"/>
        <w:numId w:val="1"/>
      </w:numPr>
      <w:spacing w:before="240" w:after="60"/>
      <w:jc w:val="left"/>
      <w:outlineLvl w:val="7"/>
    </w:pPr>
    <w:rPr>
      <w:rFonts w:ascii="Arial" w:hAnsi="Arial"/>
      <w:i/>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B08EC"/>
    <w:rPr>
      <w:rFonts w:ascii="Times New Roman" w:hAnsi="Times New Roman"/>
      <w:b/>
      <w:i/>
      <w:szCs w:val="20"/>
      <w:lang w:val="en-GB"/>
    </w:rPr>
  </w:style>
  <w:style w:type="paragraph" w:styleId="BodyTextIndent2">
    <w:name w:val="Body Text Indent 2"/>
    <w:basedOn w:val="Normal"/>
    <w:rsid w:val="00EB08EC"/>
    <w:pPr>
      <w:ind w:left="709"/>
    </w:pPr>
    <w:rPr>
      <w:rFonts w:ascii="Times New Roman" w:hAnsi="Times New Roman"/>
      <w:i/>
      <w:sz w:val="20"/>
      <w:szCs w:val="20"/>
      <w:lang w:val="en-GB"/>
    </w:rPr>
  </w:style>
  <w:style w:type="paragraph" w:styleId="BodyText">
    <w:name w:val="Body Text"/>
    <w:basedOn w:val="Normal"/>
    <w:rsid w:val="00EB08EC"/>
    <w:rPr>
      <w:rFonts w:ascii="Times New Roman" w:hAnsi="Times New Roman"/>
      <w:i/>
      <w:sz w:val="20"/>
      <w:szCs w:val="20"/>
      <w:lang w:val="en-GB"/>
    </w:rPr>
  </w:style>
  <w:style w:type="paragraph" w:styleId="Title">
    <w:name w:val="Title"/>
    <w:basedOn w:val="Normal"/>
    <w:qFormat/>
    <w:rsid w:val="00EB08EC"/>
    <w:pPr>
      <w:jc w:val="center"/>
    </w:pPr>
    <w:rPr>
      <w:rFonts w:ascii="Times New Roman" w:hAnsi="Times New Roman"/>
      <w:b/>
      <w:sz w:val="28"/>
      <w:szCs w:val="20"/>
      <w:lang w:val="en-US"/>
    </w:rPr>
  </w:style>
  <w:style w:type="paragraph" w:styleId="Footer">
    <w:name w:val="footer"/>
    <w:basedOn w:val="Normal"/>
    <w:rsid w:val="00EB08EC"/>
    <w:pPr>
      <w:tabs>
        <w:tab w:val="center" w:pos="4153"/>
        <w:tab w:val="right" w:pos="8306"/>
      </w:tabs>
      <w:jc w:val="left"/>
    </w:pPr>
    <w:rPr>
      <w:rFonts w:ascii="Times New Roman" w:hAnsi="Times New Roman"/>
      <w:sz w:val="20"/>
      <w:szCs w:val="20"/>
      <w:lang w:val="en-GB"/>
    </w:rPr>
  </w:style>
  <w:style w:type="paragraph" w:styleId="BodyTextIndent3">
    <w:name w:val="Body Text Indent 3"/>
    <w:basedOn w:val="Normal"/>
    <w:rsid w:val="00EB08EC"/>
    <w:pPr>
      <w:ind w:left="851"/>
    </w:pPr>
    <w:rPr>
      <w:rFonts w:ascii="Times New Roman" w:hAnsi="Times New Roman"/>
      <w:szCs w:val="20"/>
      <w:lang w:val="en-GB"/>
    </w:rPr>
  </w:style>
  <w:style w:type="paragraph" w:styleId="NormalIndent">
    <w:name w:val="Normal Indent"/>
    <w:basedOn w:val="Normal"/>
    <w:rsid w:val="00EB08EC"/>
    <w:pPr>
      <w:tabs>
        <w:tab w:val="left" w:pos="709"/>
        <w:tab w:val="left" w:pos="1418"/>
      </w:tabs>
      <w:ind w:left="720"/>
      <w:jc w:val="left"/>
    </w:pPr>
    <w:rPr>
      <w:rFonts w:ascii="Times New Roman" w:hAnsi="Times New Roman"/>
      <w:szCs w:val="20"/>
      <w:lang w:val="en-GB"/>
    </w:rPr>
  </w:style>
  <w:style w:type="paragraph" w:styleId="BlockText">
    <w:name w:val="Block Text"/>
    <w:basedOn w:val="Normal"/>
    <w:rsid w:val="00EB08EC"/>
    <w:pPr>
      <w:ind w:left="709" w:right="317"/>
    </w:pPr>
    <w:rPr>
      <w:rFonts w:ascii="Times New Roman" w:hAnsi="Times New Roman"/>
      <w:szCs w:val="20"/>
      <w:lang w:val="en-GB"/>
    </w:rPr>
  </w:style>
  <w:style w:type="character" w:styleId="PageNumber">
    <w:name w:val="page number"/>
    <w:basedOn w:val="DefaultParagraphFont"/>
    <w:rsid w:val="00EB08EC"/>
  </w:style>
  <w:style w:type="paragraph" w:customStyle="1" w:styleId="a">
    <w:basedOn w:val="Normal"/>
    <w:rsid w:val="00EB08EC"/>
    <w:pPr>
      <w:spacing w:after="160" w:line="240" w:lineRule="exact"/>
      <w:jc w:val="left"/>
    </w:pPr>
    <w:rPr>
      <w:rFonts w:ascii="Arial" w:hAnsi="Arial"/>
      <w:sz w:val="20"/>
      <w:szCs w:val="20"/>
      <w:lang w:val="en-US"/>
    </w:rPr>
  </w:style>
  <w:style w:type="paragraph" w:styleId="Header">
    <w:name w:val="header"/>
    <w:basedOn w:val="Normal"/>
    <w:rsid w:val="00EB08EC"/>
    <w:pPr>
      <w:tabs>
        <w:tab w:val="center" w:pos="4153"/>
        <w:tab w:val="right" w:pos="8306"/>
      </w:tabs>
      <w:jc w:val="left"/>
    </w:pPr>
    <w:rPr>
      <w:rFonts w:ascii="Times New Roman" w:hAnsi="Times New Roman"/>
      <w:sz w:val="20"/>
      <w:szCs w:val="20"/>
      <w:lang w:val="en-GB"/>
    </w:rPr>
  </w:style>
  <w:style w:type="paragraph" w:styleId="BalloonText">
    <w:name w:val="Balloon Text"/>
    <w:basedOn w:val="Normal"/>
    <w:link w:val="BalloonTextChar"/>
    <w:rsid w:val="00610796"/>
    <w:rPr>
      <w:rFonts w:ascii="Tahoma" w:hAnsi="Tahoma" w:cs="Tahoma"/>
      <w:sz w:val="16"/>
      <w:szCs w:val="16"/>
    </w:rPr>
  </w:style>
  <w:style w:type="character" w:customStyle="1" w:styleId="BalloonTextChar">
    <w:name w:val="Balloon Text Char"/>
    <w:basedOn w:val="DefaultParagraphFont"/>
    <w:link w:val="BalloonText"/>
    <w:rsid w:val="00610796"/>
    <w:rPr>
      <w:rFonts w:ascii="Tahoma" w:hAnsi="Tahoma" w:cs="Tahoma"/>
      <w:sz w:val="16"/>
      <w:szCs w:val="16"/>
      <w:lang w:eastAsia="en-US"/>
    </w:rPr>
  </w:style>
  <w:style w:type="table" w:styleId="TableGrid">
    <w:name w:val="Table Grid"/>
    <w:basedOn w:val="TableNormal"/>
    <w:rsid w:val="009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1309">
      <w:bodyDiv w:val="1"/>
      <w:marLeft w:val="0"/>
      <w:marRight w:val="0"/>
      <w:marTop w:val="0"/>
      <w:marBottom w:val="0"/>
      <w:divBdr>
        <w:top w:val="none" w:sz="0" w:space="0" w:color="auto"/>
        <w:left w:val="none" w:sz="0" w:space="0" w:color="auto"/>
        <w:bottom w:val="none" w:sz="0" w:space="0" w:color="auto"/>
        <w:right w:val="none" w:sz="0" w:space="0" w:color="auto"/>
      </w:divBdr>
    </w:div>
    <w:div w:id="43964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evelopments\MoH\MoH2000Templates\New%20Word%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F6524-E26A-4CB5-A8BE-F18B2532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Word Document</Template>
  <TotalTime>2</TotalTime>
  <Pages>13</Pages>
  <Words>3593</Words>
  <Characters>22501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Street Training</dc:creator>
  <cp:lastModifiedBy>Emily Black</cp:lastModifiedBy>
  <cp:revision>3</cp:revision>
  <dcterms:created xsi:type="dcterms:W3CDTF">2018-04-10T21:36:00Z</dcterms:created>
  <dcterms:modified xsi:type="dcterms:W3CDTF">2018-04-10T21:37:00Z</dcterms:modified>
</cp:coreProperties>
</file>