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5" w:type="pct"/>
        <w:tblLook w:val="0000" w:firstRow="0" w:lastRow="0" w:firstColumn="0" w:lastColumn="0" w:noHBand="0" w:noVBand="0"/>
      </w:tblPr>
      <w:tblGrid>
        <w:gridCol w:w="5007"/>
        <w:gridCol w:w="2082"/>
        <w:gridCol w:w="2749"/>
      </w:tblGrid>
      <w:tr w:rsidR="002D45E6" w:rsidRPr="00185839" w:rsidTr="00B957D8">
        <w:trPr>
          <w:cantSplit/>
        </w:trPr>
        <w:tc>
          <w:tcPr>
            <w:tcW w:w="2545" w:type="pct"/>
            <w:vAlign w:val="center"/>
          </w:tcPr>
          <w:p w:rsidR="002D45E6" w:rsidRPr="00405166" w:rsidRDefault="002D45E6" w:rsidP="007C6872">
            <w:pPr>
              <w:spacing w:after="0" w:line="240" w:lineRule="auto"/>
              <w:jc w:val="center"/>
              <w:rPr>
                <w:rFonts w:eastAsia="Times New Roman" w:cs="Arial"/>
                <w:bCs/>
                <w:sz w:val="36"/>
                <w:szCs w:val="24"/>
                <w:lang w:val="en-AU"/>
              </w:rPr>
            </w:pPr>
            <w:r w:rsidRPr="00405166">
              <w:rPr>
                <w:rFonts w:eastAsia="Times New Roman" w:cs="Arial"/>
                <w:noProof/>
                <w:szCs w:val="24"/>
                <w:lang w:eastAsia="en-NZ"/>
              </w:rPr>
              <w:drawing>
                <wp:inline distT="0" distB="0" distL="0" distR="0" wp14:anchorId="623245C1" wp14:editId="3DAAE6C3">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2455" w:type="pct"/>
            <w:gridSpan w:val="2"/>
            <w:vAlign w:val="center"/>
          </w:tcPr>
          <w:p w:rsidR="0041136A" w:rsidRPr="00185839" w:rsidRDefault="0041136A" w:rsidP="007C6872">
            <w:pPr>
              <w:spacing w:after="0" w:line="240" w:lineRule="auto"/>
              <w:jc w:val="center"/>
              <w:rPr>
                <w:rFonts w:eastAsia="Times New Roman" w:cs="Arial"/>
                <w:sz w:val="32"/>
                <w:szCs w:val="32"/>
                <w:lang w:val="en-AU"/>
              </w:rPr>
            </w:pPr>
            <w:r w:rsidRPr="00185839">
              <w:rPr>
                <w:rFonts w:eastAsia="Times New Roman" w:cs="Arial"/>
                <w:sz w:val="32"/>
                <w:szCs w:val="32"/>
                <w:lang w:val="en-AU"/>
              </w:rPr>
              <w:t>All District Health Boards</w:t>
            </w:r>
          </w:p>
          <w:p w:rsidR="002D45E6" w:rsidRPr="00185839" w:rsidRDefault="002D45E6" w:rsidP="007C6872">
            <w:pPr>
              <w:spacing w:after="0" w:line="240" w:lineRule="auto"/>
              <w:jc w:val="center"/>
              <w:rPr>
                <w:rFonts w:eastAsia="Times New Roman" w:cs="Arial"/>
                <w:bCs/>
                <w:sz w:val="32"/>
                <w:szCs w:val="32"/>
                <w:lang w:val="en-AU"/>
              </w:rPr>
            </w:pPr>
          </w:p>
        </w:tc>
      </w:tr>
      <w:tr w:rsidR="002D45E6" w:rsidRPr="00405166" w:rsidTr="00B957D8">
        <w:tc>
          <w:tcPr>
            <w:tcW w:w="5000" w:type="pct"/>
            <w:gridSpan w:val="3"/>
          </w:tcPr>
          <w:p w:rsidR="002D45E6" w:rsidRPr="00405166" w:rsidRDefault="002D45E6" w:rsidP="007C6872">
            <w:pPr>
              <w:spacing w:before="2520" w:after="0" w:line="240" w:lineRule="auto"/>
              <w:jc w:val="center"/>
              <w:rPr>
                <w:rFonts w:eastAsia="Times New Roman" w:cs="Arial"/>
                <w:b/>
                <w:sz w:val="36"/>
                <w:szCs w:val="36"/>
              </w:rPr>
            </w:pPr>
            <w:r w:rsidRPr="00405166">
              <w:rPr>
                <w:rFonts w:eastAsia="Times New Roman" w:cs="Arial"/>
                <w:b/>
                <w:sz w:val="36"/>
                <w:szCs w:val="36"/>
              </w:rPr>
              <w:t>PUBLIC HEALTH SERVICE</w:t>
            </w:r>
            <w:r w:rsidR="009830C0">
              <w:rPr>
                <w:rFonts w:eastAsia="Times New Roman" w:cs="Arial"/>
                <w:b/>
                <w:sz w:val="36"/>
                <w:szCs w:val="36"/>
              </w:rPr>
              <w:t>S</w:t>
            </w:r>
          </w:p>
          <w:p w:rsidR="002D45E6" w:rsidRPr="001A463B" w:rsidRDefault="002D45E6" w:rsidP="007C6872">
            <w:pPr>
              <w:spacing w:before="120" w:after="0" w:line="240" w:lineRule="auto"/>
              <w:jc w:val="center"/>
              <w:rPr>
                <w:rFonts w:eastAsia="Times New Roman" w:cs="Arial"/>
                <w:b/>
                <w:bCs/>
                <w:sz w:val="36"/>
                <w:szCs w:val="36"/>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r>
              <w:rPr>
                <w:rFonts w:eastAsia="Times New Roman" w:cs="Arial"/>
                <w:b/>
                <w:bCs/>
                <w:sz w:val="36"/>
                <w:szCs w:val="36"/>
              </w:rPr>
              <w:t xml:space="preserve">PUBLIC HEALTH CAPACITY DEVELOPMENT </w:t>
            </w:r>
          </w:p>
          <w:bookmarkEnd w:id="0"/>
          <w:bookmarkEnd w:id="1"/>
          <w:bookmarkEnd w:id="2"/>
          <w:bookmarkEnd w:id="3"/>
          <w:bookmarkEnd w:id="4"/>
          <w:bookmarkEnd w:id="5"/>
          <w:bookmarkEnd w:id="6"/>
          <w:bookmarkEnd w:id="7"/>
          <w:p w:rsidR="002D45E6" w:rsidRPr="00405166" w:rsidRDefault="002B1E33" w:rsidP="007C6872">
            <w:pPr>
              <w:spacing w:before="120" w:after="0" w:line="240" w:lineRule="auto"/>
              <w:jc w:val="center"/>
              <w:rPr>
                <w:rFonts w:eastAsia="Times New Roman" w:cs="Arial"/>
                <w:b/>
                <w:bCs/>
                <w:sz w:val="36"/>
                <w:szCs w:val="36"/>
                <w:lang w:val="en-AU"/>
              </w:rPr>
            </w:pPr>
            <w:r>
              <w:rPr>
                <w:rFonts w:eastAsia="Times New Roman" w:cs="Arial"/>
                <w:b/>
                <w:bCs/>
                <w:sz w:val="36"/>
                <w:szCs w:val="36"/>
                <w:lang w:val="en-AU"/>
              </w:rPr>
              <w:t>TIER TWO</w:t>
            </w:r>
          </w:p>
          <w:p w:rsidR="002D45E6" w:rsidRPr="00F93E98" w:rsidRDefault="002D45E6" w:rsidP="007C6872">
            <w:pPr>
              <w:spacing w:before="120" w:after="1680" w:line="240" w:lineRule="auto"/>
              <w:jc w:val="center"/>
              <w:rPr>
                <w:rFonts w:eastAsia="Times New Roman" w:cs="Arial"/>
                <w:b/>
                <w:bCs/>
                <w:sz w:val="36"/>
                <w:szCs w:val="36"/>
                <w:lang w:val="en-AU"/>
              </w:rPr>
            </w:pPr>
            <w:r w:rsidRPr="00405166">
              <w:rPr>
                <w:rFonts w:eastAsia="Times New Roman" w:cs="Arial"/>
                <w:b/>
                <w:bCs/>
                <w:sz w:val="36"/>
                <w:szCs w:val="36"/>
                <w:lang w:val="en-AU"/>
              </w:rPr>
              <w:t>SERVICE SPECIFICATION</w:t>
            </w:r>
          </w:p>
        </w:tc>
      </w:tr>
      <w:tr w:rsidR="002D45E6" w:rsidRPr="00405166" w:rsidTr="00B957D8">
        <w:tc>
          <w:tcPr>
            <w:tcW w:w="3603" w:type="pct"/>
            <w:gridSpan w:val="2"/>
          </w:tcPr>
          <w:p w:rsidR="002D45E6" w:rsidRPr="00405166" w:rsidRDefault="000C55E5" w:rsidP="007C6872">
            <w:pPr>
              <w:keepNext/>
              <w:autoSpaceDE w:val="0"/>
              <w:autoSpaceDN w:val="0"/>
              <w:adjustRightInd w:val="0"/>
              <w:spacing w:before="120" w:after="240" w:line="240" w:lineRule="auto"/>
              <w:rPr>
                <w:rFonts w:eastAsia="Times New Roman" w:cs="Arial"/>
                <w:sz w:val="32"/>
                <w:szCs w:val="32"/>
                <w:lang w:val="en-AU"/>
              </w:rPr>
            </w:pPr>
            <w:r w:rsidRPr="000C55E5">
              <w:rPr>
                <w:rFonts w:eastAsia="Times New Roman" w:cs="Arial"/>
                <w:b/>
                <w:sz w:val="32"/>
                <w:szCs w:val="32"/>
                <w:lang w:val="en-AU"/>
              </w:rPr>
              <w:t>STATUS</w:t>
            </w:r>
            <w:r w:rsidR="002D45E6" w:rsidRPr="00405166">
              <w:rPr>
                <w:rFonts w:eastAsia="Times New Roman" w:cs="Arial"/>
                <w:sz w:val="32"/>
                <w:szCs w:val="32"/>
                <w:lang w:val="en-AU"/>
              </w:rPr>
              <w:t>:</w:t>
            </w:r>
          </w:p>
          <w:p w:rsidR="002D45E6" w:rsidRPr="00405166" w:rsidRDefault="00E7203B" w:rsidP="007C6872">
            <w:pPr>
              <w:spacing w:before="120" w:after="120" w:line="240" w:lineRule="auto"/>
              <w:rPr>
                <w:rFonts w:eastAsia="Times New Roman" w:cs="Arial"/>
                <w:sz w:val="32"/>
                <w:szCs w:val="32"/>
                <w:lang w:val="en-AU"/>
              </w:rPr>
            </w:pPr>
            <w:r w:rsidRPr="00E7203B">
              <w:rPr>
                <w:rFonts w:eastAsia="Times New Roman" w:cs="Arial"/>
                <w:sz w:val="32"/>
                <w:szCs w:val="32"/>
                <w:lang w:val="en-AU"/>
              </w:rPr>
              <w:t>Approved for nationwide use for the standard description of services to be funded.</w:t>
            </w:r>
          </w:p>
        </w:tc>
        <w:tc>
          <w:tcPr>
            <w:tcW w:w="1397" w:type="pct"/>
          </w:tcPr>
          <w:p w:rsidR="002D45E6" w:rsidRPr="00405166" w:rsidRDefault="002D45E6" w:rsidP="007C6872">
            <w:pPr>
              <w:spacing w:before="120" w:after="120" w:line="240" w:lineRule="auto"/>
              <w:rPr>
                <w:rFonts w:eastAsia="Times New Roman" w:cs="Arial"/>
                <w:sz w:val="32"/>
                <w:szCs w:val="32"/>
                <w:lang w:val="en-AU"/>
              </w:rPr>
            </w:pPr>
            <w:r w:rsidRPr="00405166">
              <w:rPr>
                <w:rFonts w:eastAsia="Times New Roman" w:cs="Arial"/>
                <w:b/>
                <w:sz w:val="32"/>
                <w:szCs w:val="32"/>
                <w:lang w:val="en-AU"/>
              </w:rPr>
              <w:t>MANDATORY</w:t>
            </w:r>
            <w:r w:rsidRPr="00405166">
              <w:rPr>
                <w:rFonts w:eastAsia="Times New Roman" w:cs="Arial"/>
                <w:sz w:val="32"/>
                <w:szCs w:val="32"/>
                <w:lang w:val="en-AU"/>
              </w:rPr>
              <w:t xml:space="preserve"> </w:t>
            </w:r>
          </w:p>
        </w:tc>
      </w:tr>
      <w:tr w:rsidR="002D45E6" w:rsidRPr="00405166" w:rsidTr="00B957D8">
        <w:tc>
          <w:tcPr>
            <w:tcW w:w="3603" w:type="pct"/>
            <w:gridSpan w:val="2"/>
          </w:tcPr>
          <w:p w:rsidR="00585C08" w:rsidRPr="00405166" w:rsidRDefault="00585C08" w:rsidP="007C6872">
            <w:pPr>
              <w:spacing w:before="120" w:after="120" w:line="240" w:lineRule="auto"/>
              <w:rPr>
                <w:rFonts w:eastAsia="Times New Roman" w:cs="Arial"/>
                <w:sz w:val="32"/>
                <w:szCs w:val="32"/>
                <w:lang w:val="en-AU"/>
              </w:rPr>
            </w:pPr>
          </w:p>
        </w:tc>
        <w:tc>
          <w:tcPr>
            <w:tcW w:w="1397" w:type="pct"/>
          </w:tcPr>
          <w:p w:rsidR="002D45E6" w:rsidRPr="00405166" w:rsidRDefault="002D45E6" w:rsidP="007C6872">
            <w:pPr>
              <w:spacing w:before="120" w:after="120" w:line="240" w:lineRule="auto"/>
              <w:rPr>
                <w:rFonts w:eastAsia="Times New Roman" w:cs="Arial"/>
                <w:b/>
                <w:sz w:val="32"/>
                <w:szCs w:val="32"/>
                <w:lang w:val="en-AU"/>
              </w:rPr>
            </w:pPr>
          </w:p>
        </w:tc>
      </w:tr>
      <w:tr w:rsidR="002D45E6" w:rsidRPr="00405166" w:rsidTr="00B957D8">
        <w:trPr>
          <w:trHeight w:val="297"/>
        </w:trPr>
        <w:tc>
          <w:tcPr>
            <w:tcW w:w="3603" w:type="pct"/>
            <w:gridSpan w:val="2"/>
            <w:tcBorders>
              <w:top w:val="single" w:sz="4" w:space="0" w:color="auto"/>
              <w:bottom w:val="single" w:sz="4" w:space="0" w:color="auto"/>
            </w:tcBorders>
            <w:shd w:val="clear" w:color="auto" w:fill="CCCCCC"/>
          </w:tcPr>
          <w:p w:rsidR="002D45E6" w:rsidRPr="00405166" w:rsidRDefault="002D45E6" w:rsidP="007C6872">
            <w:pPr>
              <w:spacing w:before="120" w:after="120" w:line="240" w:lineRule="auto"/>
              <w:rPr>
                <w:rFonts w:eastAsia="Times New Roman" w:cs="Arial"/>
                <w:b/>
                <w:sz w:val="28"/>
                <w:szCs w:val="28"/>
                <w:lang w:val="en-AU"/>
              </w:rPr>
            </w:pPr>
            <w:bookmarkStart w:id="8" w:name="_Toc206389500"/>
            <w:bookmarkStart w:id="9" w:name="_Toc206401875"/>
            <w:bookmarkStart w:id="10" w:name="_Toc206403844"/>
            <w:bookmarkStart w:id="11" w:name="_Toc206404572"/>
            <w:bookmarkStart w:id="12" w:name="_Toc206405302"/>
            <w:bookmarkStart w:id="13" w:name="_Toc206405338"/>
            <w:bookmarkStart w:id="14" w:name="_Toc206406065"/>
            <w:r w:rsidRPr="00405166">
              <w:rPr>
                <w:rFonts w:eastAsia="Times New Roman" w:cs="Arial"/>
                <w:b/>
                <w:sz w:val="28"/>
                <w:szCs w:val="28"/>
                <w:lang w:val="en-AU"/>
              </w:rPr>
              <w:t>Review History</w:t>
            </w:r>
            <w:bookmarkEnd w:id="8"/>
            <w:bookmarkEnd w:id="9"/>
            <w:bookmarkEnd w:id="10"/>
            <w:bookmarkEnd w:id="11"/>
            <w:bookmarkEnd w:id="12"/>
            <w:bookmarkEnd w:id="13"/>
            <w:bookmarkEnd w:id="14"/>
          </w:p>
        </w:tc>
        <w:tc>
          <w:tcPr>
            <w:tcW w:w="1397" w:type="pct"/>
            <w:tcBorders>
              <w:top w:val="single" w:sz="4" w:space="0" w:color="auto"/>
              <w:bottom w:val="single" w:sz="4" w:space="0" w:color="auto"/>
            </w:tcBorders>
            <w:shd w:val="clear" w:color="auto" w:fill="CCCCCC"/>
          </w:tcPr>
          <w:p w:rsidR="002D45E6" w:rsidRPr="00405166" w:rsidRDefault="002D45E6" w:rsidP="007C6872">
            <w:pPr>
              <w:spacing w:before="120" w:after="120" w:line="240" w:lineRule="auto"/>
              <w:rPr>
                <w:rFonts w:eastAsia="Times New Roman" w:cs="Arial"/>
                <w:b/>
                <w:sz w:val="28"/>
                <w:szCs w:val="28"/>
                <w:lang w:val="en-AU"/>
              </w:rPr>
            </w:pPr>
            <w:bookmarkStart w:id="15" w:name="_Toc206389501"/>
            <w:bookmarkStart w:id="16" w:name="_Toc206401876"/>
            <w:bookmarkStart w:id="17" w:name="_Toc206403845"/>
            <w:bookmarkStart w:id="18" w:name="_Toc206404573"/>
            <w:bookmarkStart w:id="19" w:name="_Toc206405303"/>
            <w:bookmarkStart w:id="20" w:name="_Toc206405339"/>
            <w:bookmarkStart w:id="21" w:name="_Toc206406066"/>
            <w:bookmarkStart w:id="22" w:name="_Toc206406493"/>
            <w:r w:rsidRPr="00405166">
              <w:rPr>
                <w:rFonts w:eastAsia="Times New Roman" w:cs="Arial"/>
                <w:b/>
                <w:sz w:val="28"/>
                <w:szCs w:val="28"/>
                <w:lang w:val="en-AU"/>
              </w:rPr>
              <w:t>Date</w:t>
            </w:r>
            <w:bookmarkEnd w:id="15"/>
            <w:bookmarkEnd w:id="16"/>
            <w:bookmarkEnd w:id="17"/>
            <w:bookmarkEnd w:id="18"/>
            <w:bookmarkEnd w:id="19"/>
            <w:bookmarkEnd w:id="20"/>
            <w:bookmarkEnd w:id="21"/>
            <w:bookmarkEnd w:id="22"/>
          </w:p>
        </w:tc>
      </w:tr>
      <w:tr w:rsidR="002D45E6" w:rsidRPr="00405166" w:rsidTr="00B957D8">
        <w:tc>
          <w:tcPr>
            <w:tcW w:w="3603" w:type="pct"/>
            <w:gridSpan w:val="2"/>
            <w:tcBorders>
              <w:top w:val="single" w:sz="4" w:space="0" w:color="auto"/>
              <w:left w:val="single" w:sz="4" w:space="0" w:color="auto"/>
              <w:bottom w:val="single" w:sz="6" w:space="0" w:color="auto"/>
              <w:right w:val="single" w:sz="6" w:space="0" w:color="auto"/>
            </w:tcBorders>
            <w:vAlign w:val="center"/>
          </w:tcPr>
          <w:p w:rsidR="002D45E6" w:rsidRPr="00405166" w:rsidRDefault="00977FA1" w:rsidP="007C6872">
            <w:pPr>
              <w:spacing w:before="120" w:after="0" w:line="240" w:lineRule="auto"/>
              <w:rPr>
                <w:rFonts w:eastAsia="Times New Roman" w:cs="Arial"/>
                <w:sz w:val="28"/>
                <w:szCs w:val="28"/>
              </w:rPr>
            </w:pPr>
            <w:r>
              <w:rPr>
                <w:rFonts w:eastAsia="Times New Roman" w:cs="Arial"/>
                <w:sz w:val="28"/>
                <w:szCs w:val="28"/>
              </w:rPr>
              <w:t xml:space="preserve">First </w:t>
            </w:r>
            <w:r w:rsidR="002D45E6" w:rsidRPr="00405166">
              <w:rPr>
                <w:rFonts w:eastAsia="Times New Roman" w:cs="Arial"/>
                <w:sz w:val="28"/>
                <w:szCs w:val="28"/>
              </w:rPr>
              <w:t xml:space="preserve">Published on NSFL </w:t>
            </w:r>
          </w:p>
        </w:tc>
        <w:tc>
          <w:tcPr>
            <w:tcW w:w="1397" w:type="pct"/>
            <w:tcBorders>
              <w:top w:val="single" w:sz="4" w:space="0" w:color="auto"/>
              <w:left w:val="single" w:sz="6" w:space="0" w:color="auto"/>
              <w:bottom w:val="single" w:sz="6" w:space="0" w:color="auto"/>
              <w:right w:val="single" w:sz="4" w:space="0" w:color="auto"/>
            </w:tcBorders>
            <w:vAlign w:val="center"/>
          </w:tcPr>
          <w:p w:rsidR="002D45E6" w:rsidRPr="00405166" w:rsidRDefault="00020941" w:rsidP="007C6872">
            <w:pPr>
              <w:spacing w:after="0" w:line="240" w:lineRule="auto"/>
              <w:rPr>
                <w:rFonts w:eastAsia="Times New Roman" w:cs="Arial"/>
                <w:bCs/>
                <w:sz w:val="28"/>
                <w:szCs w:val="28"/>
                <w:lang w:val="en-AU"/>
              </w:rPr>
            </w:pPr>
            <w:r w:rsidRPr="00575C06">
              <w:rPr>
                <w:rFonts w:eastAsia="Times New Roman" w:cs="Arial"/>
                <w:bCs/>
                <w:sz w:val="28"/>
                <w:szCs w:val="28"/>
                <w:lang w:val="en-AU"/>
              </w:rPr>
              <w:t>July</w:t>
            </w:r>
            <w:r w:rsidR="0018591D" w:rsidRPr="00575C06">
              <w:rPr>
                <w:rFonts w:eastAsia="Times New Roman" w:cs="Arial"/>
                <w:bCs/>
                <w:sz w:val="28"/>
                <w:szCs w:val="28"/>
                <w:lang w:val="en-AU"/>
              </w:rPr>
              <w:t xml:space="preserve"> </w:t>
            </w:r>
            <w:r w:rsidR="004409A8">
              <w:rPr>
                <w:rFonts w:eastAsia="Times New Roman" w:cs="Arial"/>
                <w:bCs/>
                <w:sz w:val="28"/>
                <w:szCs w:val="28"/>
                <w:lang w:val="en-AU"/>
              </w:rPr>
              <w:t>2016</w:t>
            </w:r>
          </w:p>
        </w:tc>
      </w:tr>
      <w:tr w:rsidR="002D45E6" w:rsidRPr="00405166" w:rsidTr="00B957D8">
        <w:tc>
          <w:tcPr>
            <w:tcW w:w="3603" w:type="pct"/>
            <w:gridSpan w:val="2"/>
            <w:tcBorders>
              <w:top w:val="single" w:sz="6" w:space="0" w:color="auto"/>
              <w:left w:val="single" w:sz="4" w:space="0" w:color="auto"/>
              <w:bottom w:val="single" w:sz="6" w:space="0" w:color="auto"/>
              <w:right w:val="single" w:sz="6" w:space="0" w:color="auto"/>
            </w:tcBorders>
            <w:vAlign w:val="center"/>
          </w:tcPr>
          <w:p w:rsidR="002D45E6" w:rsidRPr="00405166" w:rsidRDefault="002D45E6" w:rsidP="007C6872">
            <w:pPr>
              <w:spacing w:before="120" w:after="0" w:line="240" w:lineRule="auto"/>
              <w:rPr>
                <w:rFonts w:eastAsia="Times New Roman" w:cs="Arial"/>
                <w:sz w:val="28"/>
                <w:szCs w:val="28"/>
              </w:rPr>
            </w:pPr>
            <w:r w:rsidRPr="00405166">
              <w:rPr>
                <w:rFonts w:eastAsia="Times New Roman" w:cs="Arial"/>
                <w:sz w:val="28"/>
                <w:szCs w:val="28"/>
              </w:rPr>
              <w:t>Consideration for next Service Specification Review</w:t>
            </w:r>
          </w:p>
        </w:tc>
        <w:tc>
          <w:tcPr>
            <w:tcW w:w="1397" w:type="pct"/>
            <w:tcBorders>
              <w:top w:val="single" w:sz="6" w:space="0" w:color="auto"/>
              <w:left w:val="single" w:sz="6" w:space="0" w:color="auto"/>
              <w:bottom w:val="single" w:sz="6" w:space="0" w:color="auto"/>
              <w:right w:val="single" w:sz="4" w:space="0" w:color="auto"/>
            </w:tcBorders>
            <w:vAlign w:val="center"/>
          </w:tcPr>
          <w:p w:rsidR="002D45E6" w:rsidRPr="00405166" w:rsidRDefault="00585C08" w:rsidP="007C6872">
            <w:pPr>
              <w:spacing w:after="0" w:line="240" w:lineRule="auto"/>
              <w:rPr>
                <w:rFonts w:eastAsia="Times New Roman" w:cs="Arial"/>
                <w:sz w:val="28"/>
                <w:szCs w:val="28"/>
                <w:lang w:val="en-AU"/>
              </w:rPr>
            </w:pPr>
            <w:r>
              <w:rPr>
                <w:rFonts w:eastAsia="Times New Roman" w:cs="Arial"/>
                <w:sz w:val="28"/>
                <w:szCs w:val="28"/>
                <w:lang w:val="en-AU"/>
              </w:rPr>
              <w:t>2018</w:t>
            </w:r>
          </w:p>
        </w:tc>
      </w:tr>
    </w:tbl>
    <w:p w:rsidR="00CE1126" w:rsidRDefault="002D45E6" w:rsidP="007C6872">
      <w:pPr>
        <w:spacing w:before="120" w:after="0" w:line="240" w:lineRule="auto"/>
        <w:ind w:right="827"/>
        <w:rPr>
          <w:rFonts w:eastAsia="Times New Roman" w:cs="Arial"/>
          <w:szCs w:val="24"/>
          <w:lang w:val="en-US" w:eastAsia="en-NZ"/>
        </w:rPr>
      </w:pPr>
      <w:r w:rsidRPr="00405166">
        <w:rPr>
          <w:rFonts w:eastAsia="Times New Roman" w:cs="Arial"/>
          <w:b/>
          <w:szCs w:val="24"/>
          <w:lang w:val="en-US" w:eastAsia="en-NZ"/>
        </w:rPr>
        <w:t>Note</w:t>
      </w:r>
      <w:r w:rsidRPr="00405166">
        <w:rPr>
          <w:rFonts w:eastAsia="Times New Roman" w:cs="Arial"/>
          <w:szCs w:val="24"/>
          <w:lang w:val="en-US" w:eastAsia="en-NZ"/>
        </w:rPr>
        <w:t>: Contact the Service Specification Programme</w:t>
      </w:r>
      <w:r w:rsidR="00F93E98">
        <w:rPr>
          <w:rFonts w:eastAsia="Times New Roman" w:cs="Arial"/>
          <w:szCs w:val="24"/>
          <w:lang w:val="en-US" w:eastAsia="en-NZ"/>
        </w:rPr>
        <w:t xml:space="preserve"> Manager, </w:t>
      </w:r>
      <w:r w:rsidR="00904E30" w:rsidRPr="0018591D">
        <w:rPr>
          <w:rFonts w:eastAsia="Times New Roman" w:cs="Arial"/>
          <w:szCs w:val="24"/>
          <w:lang w:val="en-US" w:eastAsia="en-NZ"/>
        </w:rPr>
        <w:t>Services Commissioning</w:t>
      </w:r>
      <w:r w:rsidR="00F93E98">
        <w:rPr>
          <w:rFonts w:eastAsia="Times New Roman" w:cs="Arial"/>
          <w:szCs w:val="24"/>
          <w:lang w:val="en-US" w:eastAsia="en-NZ"/>
        </w:rPr>
        <w:t xml:space="preserve">, </w:t>
      </w:r>
      <w:r w:rsidRPr="00405166">
        <w:rPr>
          <w:rFonts w:eastAsia="Times New Roman" w:cs="Arial"/>
          <w:szCs w:val="24"/>
          <w:lang w:val="en-US" w:eastAsia="en-NZ"/>
        </w:rPr>
        <w:t>Ministry of Health</w:t>
      </w:r>
      <w:r w:rsidR="00F93E98">
        <w:rPr>
          <w:rFonts w:eastAsia="Times New Roman" w:cs="Arial"/>
          <w:szCs w:val="24"/>
          <w:lang w:val="en-US" w:eastAsia="en-NZ"/>
        </w:rPr>
        <w:t>,</w:t>
      </w:r>
      <w:r w:rsidRPr="00405166">
        <w:rPr>
          <w:rFonts w:eastAsia="Times New Roman" w:cs="Arial"/>
          <w:szCs w:val="24"/>
          <w:lang w:val="en-US" w:eastAsia="en-NZ"/>
        </w:rPr>
        <w:t xml:space="preserve"> to discuss the process and guidance available in developing new or updating and revising existi</w:t>
      </w:r>
      <w:r w:rsidR="00DC5CCA">
        <w:rPr>
          <w:rFonts w:eastAsia="Times New Roman" w:cs="Arial"/>
          <w:szCs w:val="24"/>
          <w:lang w:val="en-US" w:eastAsia="en-NZ"/>
        </w:rPr>
        <w:t xml:space="preserve">ng service specifications.  </w:t>
      </w:r>
    </w:p>
    <w:p w:rsidR="000C55E5" w:rsidRDefault="002D45E6" w:rsidP="007C6872">
      <w:pPr>
        <w:spacing w:before="120" w:after="0" w:line="240" w:lineRule="auto"/>
        <w:ind w:right="827"/>
        <w:rPr>
          <w:rFonts w:eastAsia="Times New Roman" w:cs="Arial"/>
          <w:szCs w:val="24"/>
          <w:lang w:val="en-US" w:eastAsia="en-NZ"/>
        </w:rPr>
      </w:pPr>
      <w:r w:rsidRPr="00405166">
        <w:rPr>
          <w:rFonts w:eastAsia="Times New Roman" w:cs="Arial"/>
          <w:szCs w:val="24"/>
          <w:lang w:val="en-US" w:eastAsia="en-NZ"/>
        </w:rPr>
        <w:t>Nationwide Service Framework Library</w:t>
      </w:r>
      <w:r w:rsidR="0019638D">
        <w:rPr>
          <w:rFonts w:eastAsia="Times New Roman" w:cs="Arial"/>
          <w:szCs w:val="24"/>
          <w:lang w:val="en-US" w:eastAsia="en-NZ"/>
        </w:rPr>
        <w:t xml:space="preserve"> website</w:t>
      </w:r>
      <w:r w:rsidRPr="00405166">
        <w:rPr>
          <w:rFonts w:eastAsia="Times New Roman" w:cs="Arial"/>
          <w:szCs w:val="24"/>
          <w:lang w:val="en-US" w:eastAsia="en-NZ"/>
        </w:rPr>
        <w:t xml:space="preserve">: </w:t>
      </w:r>
      <w:hyperlink r:id="rId10" w:history="1">
        <w:r w:rsidRPr="00CE4233">
          <w:rPr>
            <w:rStyle w:val="Hyperlink"/>
            <w:rFonts w:eastAsia="Times New Roman" w:cs="Arial"/>
            <w:szCs w:val="24"/>
            <w:lang w:val="en-US" w:eastAsia="en-NZ"/>
          </w:rPr>
          <w:t>http://www.nsfl.health.govt.nz/</w:t>
        </w:r>
      </w:hyperlink>
      <w:r w:rsidR="000C55E5">
        <w:rPr>
          <w:rFonts w:eastAsia="Times New Roman" w:cs="Arial"/>
          <w:szCs w:val="24"/>
          <w:lang w:val="en-US" w:eastAsia="en-NZ"/>
        </w:rPr>
        <w:br w:type="page"/>
      </w:r>
    </w:p>
    <w:p w:rsidR="002D45E6" w:rsidRPr="00405166" w:rsidRDefault="002D45E6" w:rsidP="007C687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405166">
        <w:rPr>
          <w:rFonts w:eastAsia="Times New Roman" w:cs="Arial"/>
          <w:b/>
          <w:szCs w:val="24"/>
          <w:lang w:val="en-US"/>
        </w:rPr>
        <w:lastRenderedPageBreak/>
        <w:t>PUBLIC HEALTH SERVICES</w:t>
      </w:r>
    </w:p>
    <w:p w:rsidR="002D45E6" w:rsidRDefault="002D45E6" w:rsidP="007C687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Pr>
          <w:rFonts w:eastAsia="Times New Roman" w:cs="Arial"/>
          <w:b/>
          <w:szCs w:val="24"/>
          <w:lang w:val="en-US"/>
        </w:rPr>
        <w:t xml:space="preserve">PUBLIC HEALTH CAPACITY DEVELOPMENT </w:t>
      </w:r>
    </w:p>
    <w:p w:rsidR="002D45E6" w:rsidRPr="00405166" w:rsidRDefault="002B1E33" w:rsidP="007C687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Pr>
          <w:rFonts w:eastAsia="Times New Roman" w:cs="Arial"/>
          <w:b/>
          <w:szCs w:val="24"/>
          <w:lang w:val="en-US"/>
        </w:rPr>
        <w:t>TIER TWO</w:t>
      </w:r>
    </w:p>
    <w:p w:rsidR="002D45E6" w:rsidRDefault="002D45E6" w:rsidP="007C687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lang w:val="en-US"/>
        </w:rPr>
      </w:pPr>
      <w:r w:rsidRPr="00405166">
        <w:rPr>
          <w:rFonts w:eastAsia="Times New Roman" w:cs="Arial"/>
          <w:b/>
          <w:szCs w:val="24"/>
          <w:lang w:val="en-US"/>
        </w:rPr>
        <w:t>SERVICE SPECIFICATION</w:t>
      </w:r>
    </w:p>
    <w:p w:rsidR="004409A8" w:rsidRDefault="00585C08" w:rsidP="007C6872">
      <w:pPr>
        <w:overflowPunct w:val="0"/>
        <w:autoSpaceDE w:val="0"/>
        <w:autoSpaceDN w:val="0"/>
        <w:adjustRightInd w:val="0"/>
        <w:spacing w:before="120" w:after="120" w:line="240" w:lineRule="auto"/>
        <w:textAlignment w:val="baseline"/>
        <w:rPr>
          <w:rFonts w:eastAsia="Times New Roman" w:cs="Arial"/>
          <w:szCs w:val="24"/>
          <w:lang w:val="en-GB"/>
        </w:rPr>
      </w:pPr>
      <w:r w:rsidRPr="00124AED">
        <w:rPr>
          <w:rFonts w:eastAsia="Times New Roman" w:cs="Arial"/>
          <w:szCs w:val="24"/>
          <w:lang w:val="en-GB"/>
        </w:rPr>
        <w:t>This tier two service specification for Public Health Capacity Development must be read and used in conjunction with the following service specifications</w:t>
      </w:r>
      <w:r w:rsidR="00230006" w:rsidRPr="00124AED">
        <w:rPr>
          <w:rFonts w:eastAsia="Times New Roman" w:cs="Arial"/>
          <w:szCs w:val="24"/>
          <w:lang w:val="en-GB"/>
        </w:rPr>
        <w:t>:</w:t>
      </w:r>
    </w:p>
    <w:p w:rsidR="004409A8" w:rsidRPr="004409A8" w:rsidRDefault="004409A8" w:rsidP="007C6872">
      <w:pPr>
        <w:numPr>
          <w:ilvl w:val="0"/>
          <w:numId w:val="7"/>
        </w:numPr>
        <w:overflowPunct w:val="0"/>
        <w:autoSpaceDE w:val="0"/>
        <w:autoSpaceDN w:val="0"/>
        <w:adjustRightInd w:val="0"/>
        <w:spacing w:before="120" w:after="120" w:line="240" w:lineRule="auto"/>
        <w:contextualSpacing/>
        <w:textAlignment w:val="baseline"/>
        <w:rPr>
          <w:rFonts w:eastAsia="Times New Roman" w:cs="Arial"/>
          <w:szCs w:val="24"/>
          <w:lang w:val="en-GB"/>
        </w:rPr>
      </w:pPr>
      <w:r w:rsidRPr="004409A8">
        <w:rPr>
          <w:rFonts w:eastAsia="Times New Roman" w:cs="Arial"/>
          <w:szCs w:val="24"/>
          <w:lang w:val="en-GB"/>
        </w:rPr>
        <w:t xml:space="preserve">tier one Public Health Services service specification </w:t>
      </w:r>
      <w:r w:rsidR="008A712C">
        <w:rPr>
          <w:rFonts w:eastAsia="Times New Roman" w:cs="Arial"/>
          <w:szCs w:val="24"/>
          <w:lang w:val="en-GB"/>
        </w:rPr>
        <w:t>which</w:t>
      </w:r>
      <w:r w:rsidRPr="004409A8">
        <w:rPr>
          <w:rFonts w:eastAsia="Times New Roman" w:cs="Arial"/>
          <w:szCs w:val="24"/>
          <w:lang w:val="en-GB"/>
        </w:rPr>
        <w:t xml:space="preserve"> defines the overarching framework and generic requirements for all the tiers of service specifications under it, see below for details.</w:t>
      </w:r>
    </w:p>
    <w:p w:rsidR="004409A8" w:rsidRPr="004409A8" w:rsidRDefault="004409A8" w:rsidP="007C6872">
      <w:pPr>
        <w:numPr>
          <w:ilvl w:val="0"/>
          <w:numId w:val="7"/>
        </w:numPr>
        <w:overflowPunct w:val="0"/>
        <w:autoSpaceDE w:val="0"/>
        <w:autoSpaceDN w:val="0"/>
        <w:adjustRightInd w:val="0"/>
        <w:spacing w:before="120" w:after="0" w:line="240" w:lineRule="auto"/>
        <w:contextualSpacing/>
        <w:textAlignment w:val="baseline"/>
        <w:rPr>
          <w:rFonts w:eastAsia="Times New Roman" w:cs="Arial"/>
          <w:szCs w:val="24"/>
          <w:lang w:val="en-GB"/>
        </w:rPr>
      </w:pPr>
      <w:r w:rsidRPr="004409A8">
        <w:rPr>
          <w:rFonts w:eastAsia="Times New Roman" w:cs="Arial"/>
          <w:szCs w:val="24"/>
          <w:lang w:val="en-GB"/>
        </w:rPr>
        <w:t>the other four tier two Public Health Services service specifications:</w:t>
      </w:r>
    </w:p>
    <w:p w:rsidR="004409A8" w:rsidRPr="004409A8" w:rsidRDefault="004409A8" w:rsidP="007C6872">
      <w:pPr>
        <w:numPr>
          <w:ilvl w:val="0"/>
          <w:numId w:val="8"/>
        </w:numPr>
        <w:spacing w:before="120" w:after="0" w:line="240" w:lineRule="auto"/>
        <w:contextualSpacing/>
        <w:rPr>
          <w:rFonts w:eastAsia="Calibri" w:cs="Times New Roman"/>
        </w:rPr>
      </w:pPr>
      <w:r w:rsidRPr="004409A8">
        <w:rPr>
          <w:rFonts w:eastAsia="Calibri" w:cs="Times New Roman"/>
        </w:rPr>
        <w:t xml:space="preserve">Public Health Assessment and Surveillance </w:t>
      </w:r>
    </w:p>
    <w:p w:rsidR="004409A8" w:rsidRPr="004409A8" w:rsidRDefault="004409A8" w:rsidP="007C6872">
      <w:pPr>
        <w:numPr>
          <w:ilvl w:val="0"/>
          <w:numId w:val="8"/>
        </w:numPr>
        <w:spacing w:after="0" w:line="240" w:lineRule="auto"/>
        <w:contextualSpacing/>
        <w:rPr>
          <w:rFonts w:eastAsia="Calibri" w:cs="Times New Roman"/>
        </w:rPr>
      </w:pPr>
      <w:r w:rsidRPr="004409A8">
        <w:rPr>
          <w:rFonts w:eastAsia="Calibri" w:cs="Times New Roman"/>
        </w:rPr>
        <w:t xml:space="preserve">Public Health </w:t>
      </w:r>
      <w:r w:rsidR="004B1FEC">
        <w:rPr>
          <w:rFonts w:eastAsia="Calibri" w:cs="Times New Roman"/>
        </w:rPr>
        <w:t>Promotion</w:t>
      </w:r>
    </w:p>
    <w:p w:rsidR="004409A8" w:rsidRPr="004409A8" w:rsidRDefault="004409A8" w:rsidP="007C6872">
      <w:pPr>
        <w:numPr>
          <w:ilvl w:val="0"/>
          <w:numId w:val="8"/>
        </w:numPr>
        <w:spacing w:after="0" w:line="240" w:lineRule="auto"/>
        <w:contextualSpacing/>
        <w:rPr>
          <w:rFonts w:eastAsia="Calibri" w:cs="Times New Roman"/>
        </w:rPr>
      </w:pPr>
      <w:r w:rsidRPr="004409A8">
        <w:rPr>
          <w:rFonts w:eastAsia="Calibri" w:cs="Times New Roman"/>
        </w:rPr>
        <w:t>Public Health Protection</w:t>
      </w:r>
    </w:p>
    <w:p w:rsidR="004409A8" w:rsidRPr="004409A8" w:rsidRDefault="004409A8" w:rsidP="007C6872">
      <w:pPr>
        <w:numPr>
          <w:ilvl w:val="0"/>
          <w:numId w:val="8"/>
        </w:numPr>
        <w:spacing w:after="0" w:line="240" w:lineRule="auto"/>
        <w:contextualSpacing/>
        <w:rPr>
          <w:rFonts w:eastAsia="Calibri" w:cs="Times New Roman"/>
        </w:rPr>
      </w:pPr>
      <w:r w:rsidRPr="004409A8">
        <w:rPr>
          <w:rFonts w:eastAsia="Calibri" w:cs="Times New Roman"/>
        </w:rPr>
        <w:t>Preventative Interventions.</w:t>
      </w:r>
    </w:p>
    <w:p w:rsidR="004409A8" w:rsidRPr="004409A8" w:rsidRDefault="004409A8" w:rsidP="007C6872">
      <w:pPr>
        <w:spacing w:before="120" w:after="0" w:line="240" w:lineRule="auto"/>
        <w:rPr>
          <w:rFonts w:eastAsia="Times New Roman" w:cs="Arial"/>
          <w:szCs w:val="24"/>
          <w:lang w:val="en-GB"/>
        </w:rPr>
      </w:pPr>
      <w:r w:rsidRPr="004409A8">
        <w:rPr>
          <w:rFonts w:eastAsia="Times New Roman" w:cs="Arial"/>
          <w:szCs w:val="24"/>
          <w:lang w:val="en-GB"/>
        </w:rPr>
        <w:t xml:space="preserve">Please refer to the tier one Public Health Services service specification for details on: </w:t>
      </w:r>
    </w:p>
    <w:p w:rsidR="004409A8" w:rsidRPr="004409A8" w:rsidRDefault="004409A8" w:rsidP="007C6872">
      <w:pPr>
        <w:numPr>
          <w:ilvl w:val="0"/>
          <w:numId w:val="6"/>
        </w:numPr>
        <w:spacing w:before="120" w:after="0" w:line="240" w:lineRule="auto"/>
        <w:contextualSpacing/>
        <w:rPr>
          <w:rFonts w:eastAsia="Times New Roman" w:cs="Arial"/>
          <w:szCs w:val="24"/>
          <w:lang w:val="en-GB"/>
        </w:rPr>
      </w:pPr>
      <w:r w:rsidRPr="004409A8">
        <w:rPr>
          <w:rFonts w:eastAsia="Times New Roman" w:cs="Arial"/>
          <w:szCs w:val="24"/>
          <w:lang w:val="en-GB"/>
        </w:rPr>
        <w:t>Background (including Te Tiriti o Waitangi, Ottawa Charter and vision)</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Service Definition</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Service Objectives (including Māori Health, and reducing health inequities, including alignment of approaches with He Korowai Oranga, and health equity/Whānau Ora tools )</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Service Users</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Access (including eligibility and exclusions)</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Service Components</w:t>
      </w:r>
    </w:p>
    <w:p w:rsidR="004409A8" w:rsidRPr="004409A8" w:rsidRDefault="004409A8" w:rsidP="007C6872">
      <w:pPr>
        <w:numPr>
          <w:ilvl w:val="0"/>
          <w:numId w:val="6"/>
        </w:numPr>
        <w:spacing w:after="0" w:line="240" w:lineRule="auto"/>
        <w:contextualSpacing/>
        <w:rPr>
          <w:rFonts w:eastAsia="Times New Roman" w:cs="Arial"/>
          <w:szCs w:val="24"/>
          <w:lang w:val="en-GB"/>
        </w:rPr>
      </w:pPr>
      <w:r w:rsidRPr="004409A8">
        <w:rPr>
          <w:rFonts w:eastAsia="Times New Roman" w:cs="Arial"/>
          <w:szCs w:val="24"/>
          <w:lang w:val="en-GB"/>
        </w:rPr>
        <w:t>Service Linkages</w:t>
      </w:r>
    </w:p>
    <w:p w:rsidR="004409A8" w:rsidRDefault="004409A8" w:rsidP="007C6872">
      <w:pPr>
        <w:numPr>
          <w:ilvl w:val="0"/>
          <w:numId w:val="6"/>
        </w:numPr>
        <w:spacing w:before="120" w:after="120" w:line="240" w:lineRule="auto"/>
        <w:contextualSpacing/>
        <w:rPr>
          <w:rFonts w:eastAsia="Times New Roman" w:cs="Arial"/>
          <w:szCs w:val="24"/>
          <w:lang w:val="en-GB"/>
        </w:rPr>
      </w:pPr>
      <w:r w:rsidRPr="004409A8">
        <w:rPr>
          <w:rFonts w:eastAsia="Times New Roman" w:cs="Arial"/>
          <w:szCs w:val="24"/>
          <w:lang w:val="en-GB"/>
        </w:rPr>
        <w:t>Quality Requirements (including legislation, international obligations, guidance material, and political neutrality).</w:t>
      </w:r>
    </w:p>
    <w:p w:rsidR="008D5BF9" w:rsidRDefault="008D5BF9" w:rsidP="007C6872">
      <w:pPr>
        <w:spacing w:before="120" w:after="120" w:line="240" w:lineRule="auto"/>
        <w:ind w:left="360"/>
        <w:contextualSpacing/>
        <w:rPr>
          <w:rFonts w:eastAsia="Times New Roman" w:cs="Arial"/>
          <w:szCs w:val="24"/>
          <w:lang w:val="en-GB"/>
        </w:rPr>
      </w:pPr>
    </w:p>
    <w:p w:rsidR="004409A8" w:rsidRPr="004409A8" w:rsidRDefault="004409A8" w:rsidP="007C6872">
      <w:pPr>
        <w:overflowPunct w:val="0"/>
        <w:autoSpaceDE w:val="0"/>
        <w:autoSpaceDN w:val="0"/>
        <w:adjustRightInd w:val="0"/>
        <w:spacing w:before="120" w:after="120" w:line="240" w:lineRule="auto"/>
        <w:contextualSpacing/>
        <w:textAlignment w:val="baseline"/>
        <w:rPr>
          <w:rFonts w:eastAsia="Times New Roman" w:cs="Arial"/>
          <w:szCs w:val="24"/>
          <w:lang w:val="en-GB"/>
        </w:rPr>
      </w:pPr>
      <w:r w:rsidRPr="004409A8">
        <w:rPr>
          <w:rFonts w:eastAsia="Times New Roman" w:cs="Arial"/>
          <w:szCs w:val="24"/>
          <w:lang w:val="en-GB"/>
        </w:rPr>
        <w:t>For a summary overview of the relationships between the various specifications for Public Health Services, refer to the diagram in Appendix 1.</w:t>
      </w:r>
    </w:p>
    <w:p w:rsidR="002D45E6" w:rsidRPr="001413F3" w:rsidRDefault="002D45E6" w:rsidP="007C6872">
      <w:pPr>
        <w:pStyle w:val="Heading1"/>
        <w:rPr>
          <w:rFonts w:eastAsia="Times New Roman"/>
          <w:lang w:val="en-GB"/>
        </w:rPr>
      </w:pPr>
      <w:r w:rsidRPr="001413F3">
        <w:rPr>
          <w:rFonts w:eastAsia="Times New Roman"/>
          <w:lang w:val="en-GB"/>
        </w:rPr>
        <w:t>Service Definition</w:t>
      </w:r>
    </w:p>
    <w:p w:rsidR="00C31055" w:rsidRDefault="008A712C" w:rsidP="007C6872">
      <w:pPr>
        <w:spacing w:line="240" w:lineRule="auto"/>
        <w:rPr>
          <w:lang w:val="en-AU"/>
        </w:rPr>
      </w:pPr>
      <w:r w:rsidRPr="001413F3">
        <w:rPr>
          <w:lang w:val="en-AU"/>
        </w:rPr>
        <w:t xml:space="preserve">This tier two service specification describes </w:t>
      </w:r>
      <w:r>
        <w:rPr>
          <w:lang w:val="en-AU"/>
        </w:rPr>
        <w:t>p</w:t>
      </w:r>
      <w:r w:rsidRPr="001413F3">
        <w:rPr>
          <w:lang w:val="en-AU"/>
        </w:rPr>
        <w:t>ublic health capacity development services</w:t>
      </w:r>
      <w:r>
        <w:rPr>
          <w:lang w:val="en-AU"/>
        </w:rPr>
        <w:t xml:space="preserve"> (the Service)</w:t>
      </w:r>
      <w:r w:rsidRPr="001413F3">
        <w:rPr>
          <w:lang w:val="en-AU"/>
        </w:rPr>
        <w:t>.</w:t>
      </w:r>
      <w:r>
        <w:rPr>
          <w:rFonts w:eastAsia="Times New Roman"/>
          <w:lang w:val="en-GB"/>
        </w:rPr>
        <w:t xml:space="preserve">  </w:t>
      </w:r>
      <w:r w:rsidR="002D45E6" w:rsidRPr="001413F3">
        <w:rPr>
          <w:lang w:val="en-AU"/>
        </w:rPr>
        <w:t xml:space="preserve">Public </w:t>
      </w:r>
      <w:r>
        <w:rPr>
          <w:lang w:val="en-AU"/>
        </w:rPr>
        <w:t>Health Capacity D</w:t>
      </w:r>
      <w:r w:rsidR="002D45E6" w:rsidRPr="001413F3">
        <w:rPr>
          <w:lang w:val="en-AU"/>
        </w:rPr>
        <w:t>evelopment</w:t>
      </w:r>
      <w:r>
        <w:rPr>
          <w:lang w:val="en-AU"/>
        </w:rPr>
        <w:t xml:space="preserve"> is one of the five core functions for Public Health</w:t>
      </w:r>
      <w:r w:rsidR="00916C66">
        <w:rPr>
          <w:rStyle w:val="FootnoteReference"/>
          <w:lang w:val="en-AU"/>
        </w:rPr>
        <w:footnoteReference w:id="1"/>
      </w:r>
      <w:r>
        <w:rPr>
          <w:lang w:val="en-AU"/>
        </w:rPr>
        <w:t>.  Public health capacity development is</w:t>
      </w:r>
      <w:r w:rsidR="002D45E6" w:rsidRPr="001413F3">
        <w:rPr>
          <w:lang w:val="en-AU"/>
        </w:rPr>
        <w:t xml:space="preserve"> </w:t>
      </w:r>
      <w:r>
        <w:rPr>
          <w:lang w:val="en-AU"/>
        </w:rPr>
        <w:t>defined</w:t>
      </w:r>
      <w:r w:rsidR="002D45E6" w:rsidRPr="001413F3">
        <w:rPr>
          <w:lang w:val="en-AU"/>
        </w:rPr>
        <w:t xml:space="preserve"> as the conditions </w:t>
      </w:r>
      <w:r w:rsidR="001413F3" w:rsidRPr="001413F3">
        <w:rPr>
          <w:lang w:val="en-AU"/>
        </w:rPr>
        <w:t>needed</w:t>
      </w:r>
      <w:r w:rsidR="002D45E6" w:rsidRPr="001413F3">
        <w:rPr>
          <w:lang w:val="en-AU"/>
        </w:rPr>
        <w:t xml:space="preserve"> to be able to effectively, efficiently, and sustainably deliver public health functions</w:t>
      </w:r>
      <w:r>
        <w:rPr>
          <w:rStyle w:val="FootnoteReference"/>
          <w:lang w:val="en-AU"/>
        </w:rPr>
        <w:footnoteReference w:id="2"/>
      </w:r>
      <w:r w:rsidRPr="008A712C">
        <w:rPr>
          <w:vertAlign w:val="superscript"/>
          <w:lang w:val="en-AU"/>
        </w:rPr>
        <w:t>,</w:t>
      </w:r>
      <w:r>
        <w:rPr>
          <w:vertAlign w:val="superscript"/>
          <w:lang w:val="en-AU"/>
        </w:rPr>
        <w:t xml:space="preserve"> </w:t>
      </w:r>
      <w:r w:rsidRPr="008A712C">
        <w:rPr>
          <w:rStyle w:val="FootnoteReference"/>
          <w:lang w:val="en-AU"/>
        </w:rPr>
        <w:footnoteReference w:id="3"/>
      </w:r>
      <w:r w:rsidRPr="008A712C">
        <w:rPr>
          <w:rStyle w:val="FootnoteReference"/>
        </w:rPr>
        <w:t xml:space="preserve">, </w:t>
      </w:r>
      <w:r w:rsidRPr="008A712C">
        <w:rPr>
          <w:rStyle w:val="FootnoteReference"/>
          <w:lang w:val="en-AU"/>
        </w:rPr>
        <w:footnoteReference w:id="4"/>
      </w:r>
    </w:p>
    <w:p w:rsidR="008A712C" w:rsidRDefault="00C31055" w:rsidP="007C6872">
      <w:pPr>
        <w:spacing w:after="120" w:line="240" w:lineRule="auto"/>
        <w:rPr>
          <w:rFonts w:eastAsia="Times New Roman"/>
          <w:lang w:val="en-GB"/>
        </w:rPr>
      </w:pPr>
      <w:r>
        <w:t>T</w:t>
      </w:r>
      <w:r w:rsidRPr="00C31055">
        <w:t>he conditions</w:t>
      </w:r>
      <w:r>
        <w:t xml:space="preserve"> are grouped </w:t>
      </w:r>
      <w:r w:rsidRPr="00C31055">
        <w:t xml:space="preserve">under four </w:t>
      </w:r>
      <w:r>
        <w:t>components</w:t>
      </w:r>
      <w:r>
        <w:rPr>
          <w:rStyle w:val="FootnoteReference"/>
        </w:rPr>
        <w:footnoteReference w:id="5"/>
      </w:r>
      <w:r>
        <w:t xml:space="preserve"> as the framework to describe</w:t>
      </w:r>
      <w:r w:rsidRPr="00C31055">
        <w:t xml:space="preserve"> </w:t>
      </w:r>
      <w:r>
        <w:t xml:space="preserve">public health capacity development </w:t>
      </w:r>
      <w:r w:rsidRPr="00C31055">
        <w:t xml:space="preserve">activities.  </w:t>
      </w:r>
    </w:p>
    <w:p w:rsidR="002D45E6" w:rsidRPr="001413F3" w:rsidRDefault="002D45E6" w:rsidP="007C6872">
      <w:pPr>
        <w:pStyle w:val="ListParagraph"/>
        <w:numPr>
          <w:ilvl w:val="0"/>
          <w:numId w:val="9"/>
        </w:numPr>
        <w:spacing w:after="120" w:line="240" w:lineRule="auto"/>
        <w:rPr>
          <w:rFonts w:cs="Arial"/>
          <w:szCs w:val="24"/>
        </w:rPr>
      </w:pPr>
      <w:r w:rsidRPr="001413F3">
        <w:rPr>
          <w:rFonts w:cs="Arial"/>
          <w:szCs w:val="24"/>
        </w:rPr>
        <w:t>Human Resource services that support an adequate and sustainable public health workforce that possess the knowledge, skills and required competencies</w:t>
      </w:r>
      <w:r w:rsidR="001413F3">
        <w:rPr>
          <w:rFonts w:cs="Arial"/>
          <w:szCs w:val="24"/>
        </w:rPr>
        <w:t>.</w:t>
      </w:r>
    </w:p>
    <w:p w:rsidR="002D45E6" w:rsidRPr="001413F3" w:rsidRDefault="002D45E6" w:rsidP="007C6872">
      <w:pPr>
        <w:pStyle w:val="ListParagraph"/>
        <w:numPr>
          <w:ilvl w:val="0"/>
          <w:numId w:val="9"/>
        </w:numPr>
        <w:spacing w:line="240" w:lineRule="auto"/>
        <w:rPr>
          <w:rFonts w:cs="Arial"/>
          <w:szCs w:val="24"/>
        </w:rPr>
      </w:pPr>
      <w:r w:rsidRPr="001413F3">
        <w:rPr>
          <w:rFonts w:cs="Arial"/>
          <w:szCs w:val="24"/>
        </w:rPr>
        <w:t>Information and Knowledge services that strengthen programme planning, research and evaluation development, facilitate uptake of results and transferring of knowledge to policy and service delivery arenas</w:t>
      </w:r>
      <w:r w:rsidR="001413F3">
        <w:rPr>
          <w:rFonts w:cs="Arial"/>
          <w:szCs w:val="24"/>
        </w:rPr>
        <w:t>.</w:t>
      </w:r>
      <w:r w:rsidRPr="001413F3">
        <w:rPr>
          <w:rFonts w:cs="Arial"/>
          <w:szCs w:val="24"/>
        </w:rPr>
        <w:t xml:space="preserve"> </w:t>
      </w:r>
    </w:p>
    <w:p w:rsidR="002D45E6" w:rsidRPr="001413F3" w:rsidRDefault="002D45E6" w:rsidP="007C6872">
      <w:pPr>
        <w:pStyle w:val="ListParagraph"/>
        <w:numPr>
          <w:ilvl w:val="0"/>
          <w:numId w:val="9"/>
        </w:numPr>
        <w:spacing w:line="240" w:lineRule="auto"/>
        <w:rPr>
          <w:rFonts w:cs="Arial"/>
          <w:szCs w:val="24"/>
        </w:rPr>
      </w:pPr>
      <w:r w:rsidRPr="001413F3">
        <w:rPr>
          <w:rFonts w:cs="Arial"/>
          <w:szCs w:val="24"/>
        </w:rPr>
        <w:lastRenderedPageBreak/>
        <w:t xml:space="preserve">Organisation and Infrastructure services that support and strengthen the systems, structures and overall organisational capability to allow people working in </w:t>
      </w:r>
      <w:r w:rsidR="001413F3">
        <w:rPr>
          <w:rFonts w:cs="Arial"/>
          <w:szCs w:val="24"/>
        </w:rPr>
        <w:t>p</w:t>
      </w:r>
      <w:r w:rsidR="001413F3" w:rsidRPr="001413F3">
        <w:rPr>
          <w:rFonts w:cs="Arial"/>
          <w:szCs w:val="24"/>
        </w:rPr>
        <w:t xml:space="preserve">ublic </w:t>
      </w:r>
      <w:r w:rsidR="001413F3">
        <w:rPr>
          <w:rFonts w:cs="Arial"/>
          <w:szCs w:val="24"/>
        </w:rPr>
        <w:t>h</w:t>
      </w:r>
      <w:r w:rsidR="001413F3" w:rsidRPr="001413F3">
        <w:rPr>
          <w:rFonts w:cs="Arial"/>
          <w:szCs w:val="24"/>
        </w:rPr>
        <w:t xml:space="preserve">ealth </w:t>
      </w:r>
      <w:r w:rsidRPr="001413F3">
        <w:rPr>
          <w:rFonts w:cs="Arial"/>
          <w:szCs w:val="24"/>
        </w:rPr>
        <w:t>to be effective</w:t>
      </w:r>
      <w:r w:rsidR="003B7D43">
        <w:rPr>
          <w:rFonts w:cs="Arial"/>
          <w:szCs w:val="24"/>
        </w:rPr>
        <w:t>.</w:t>
      </w:r>
    </w:p>
    <w:p w:rsidR="002D45E6" w:rsidRDefault="002D45E6" w:rsidP="007C6872">
      <w:pPr>
        <w:pStyle w:val="ListParagraph"/>
        <w:numPr>
          <w:ilvl w:val="0"/>
          <w:numId w:val="9"/>
        </w:numPr>
        <w:spacing w:after="120" w:line="240" w:lineRule="auto"/>
        <w:rPr>
          <w:rFonts w:cs="Arial"/>
          <w:szCs w:val="24"/>
        </w:rPr>
      </w:pPr>
      <w:r w:rsidRPr="001413F3">
        <w:rPr>
          <w:rFonts w:cs="Arial"/>
          <w:szCs w:val="24"/>
        </w:rPr>
        <w:t xml:space="preserve">Networks and Partnerships services that provide avenues </w:t>
      </w:r>
      <w:r w:rsidR="001413F3">
        <w:rPr>
          <w:rFonts w:cs="Arial"/>
          <w:szCs w:val="24"/>
        </w:rPr>
        <w:t>for</w:t>
      </w:r>
      <w:r w:rsidRPr="001413F3">
        <w:rPr>
          <w:rFonts w:cs="Arial"/>
          <w:szCs w:val="24"/>
        </w:rPr>
        <w:t xml:space="preserve"> workforce capabilities and capacities </w:t>
      </w:r>
      <w:r w:rsidR="001413F3">
        <w:rPr>
          <w:rFonts w:cs="Arial"/>
          <w:szCs w:val="24"/>
        </w:rPr>
        <w:t>to</w:t>
      </w:r>
      <w:r w:rsidR="001413F3" w:rsidRPr="001413F3">
        <w:rPr>
          <w:rFonts w:cs="Arial"/>
          <w:szCs w:val="24"/>
        </w:rPr>
        <w:t xml:space="preserve"> </w:t>
      </w:r>
      <w:r w:rsidRPr="001413F3">
        <w:rPr>
          <w:rFonts w:cs="Arial"/>
          <w:szCs w:val="24"/>
        </w:rPr>
        <w:t>be strengthened within and across settings, intersectoral collaboration and forums for engagement.</w:t>
      </w:r>
    </w:p>
    <w:p w:rsidR="002D45E6" w:rsidRDefault="002D45E6" w:rsidP="007C6872">
      <w:pPr>
        <w:pStyle w:val="Heading1"/>
        <w:rPr>
          <w:rFonts w:eastAsia="Times New Roman"/>
          <w:lang w:val="en-GB"/>
        </w:rPr>
      </w:pPr>
      <w:r w:rsidRPr="00DC5CCA">
        <w:rPr>
          <w:rFonts w:eastAsia="Times New Roman"/>
          <w:lang w:val="en-GB"/>
        </w:rPr>
        <w:t>Service Objectives</w:t>
      </w:r>
    </w:p>
    <w:p w:rsidR="005C190E" w:rsidRPr="00B42576" w:rsidRDefault="008A77F6" w:rsidP="007C6872">
      <w:pPr>
        <w:pStyle w:val="Heading1"/>
        <w:numPr>
          <w:ilvl w:val="1"/>
          <w:numId w:val="19"/>
        </w:numPr>
        <w:rPr>
          <w:lang w:val="en-AU"/>
        </w:rPr>
      </w:pPr>
      <w:r w:rsidRPr="00B42576">
        <w:rPr>
          <w:lang w:val="en-AU"/>
        </w:rPr>
        <w:t>General</w:t>
      </w:r>
    </w:p>
    <w:p w:rsidR="004409A8" w:rsidRPr="004409A8" w:rsidRDefault="002D45E6" w:rsidP="007C6872">
      <w:pPr>
        <w:spacing w:after="0" w:line="240" w:lineRule="auto"/>
        <w:rPr>
          <w:rFonts w:eastAsia="Calibri" w:cs="Arial"/>
          <w:szCs w:val="24"/>
          <w:lang w:val="en-AU"/>
        </w:rPr>
      </w:pPr>
      <w:r w:rsidRPr="001413F3">
        <w:rPr>
          <w:lang w:val="en-AU"/>
        </w:rPr>
        <w:t>T</w:t>
      </w:r>
      <w:r w:rsidR="00417418">
        <w:rPr>
          <w:lang w:val="en-AU"/>
        </w:rPr>
        <w:t>he key goal of the Service is</w:t>
      </w:r>
      <w:r w:rsidRPr="001413F3">
        <w:rPr>
          <w:lang w:val="en-AU"/>
        </w:rPr>
        <w:t xml:space="preserve"> </w:t>
      </w:r>
      <w:r w:rsidR="00417418">
        <w:rPr>
          <w:lang w:val="en-AU"/>
        </w:rPr>
        <w:t>to have</w:t>
      </w:r>
      <w:r w:rsidRPr="001413F3">
        <w:rPr>
          <w:lang w:val="en-AU"/>
        </w:rPr>
        <w:t xml:space="preserve"> ‘a sufficient, effective and sustainable public </w:t>
      </w:r>
      <w:r w:rsidR="004409A8">
        <w:rPr>
          <w:lang w:val="en-AU"/>
        </w:rPr>
        <w:t xml:space="preserve">health infrastructure. </w:t>
      </w:r>
      <w:r w:rsidR="004409A8">
        <w:rPr>
          <w:rFonts w:eastAsia="Calibri" w:cs="Arial"/>
          <w:szCs w:val="24"/>
          <w:lang w:val="en-AU"/>
        </w:rPr>
        <w:t>The Service</w:t>
      </w:r>
      <w:r w:rsidR="004409A8" w:rsidRPr="004409A8">
        <w:rPr>
          <w:rFonts w:eastAsia="Calibri" w:cs="Arial"/>
          <w:szCs w:val="24"/>
          <w:lang w:val="en-AU"/>
        </w:rPr>
        <w:t xml:space="preserve"> will contribute to</w:t>
      </w:r>
      <w:r w:rsidR="00417418">
        <w:rPr>
          <w:rFonts w:eastAsia="Calibri" w:cs="Arial"/>
          <w:szCs w:val="24"/>
          <w:lang w:val="en-AU"/>
        </w:rPr>
        <w:t xml:space="preserve"> the </w:t>
      </w:r>
      <w:r w:rsidR="0018591D">
        <w:rPr>
          <w:rFonts w:eastAsia="Calibri" w:cs="Arial"/>
          <w:szCs w:val="24"/>
          <w:lang w:val="en-AU"/>
        </w:rPr>
        <w:t>New Zealand Health Strategy</w:t>
      </w:r>
      <w:r w:rsidR="00417418">
        <w:rPr>
          <w:rFonts w:eastAsia="Calibri" w:cs="Arial"/>
          <w:szCs w:val="24"/>
          <w:lang w:val="en-AU"/>
        </w:rPr>
        <w:t>’s</w:t>
      </w:r>
      <w:r w:rsidR="00904E30">
        <w:rPr>
          <w:rFonts w:eastAsia="Calibri" w:cs="Arial"/>
          <w:szCs w:val="24"/>
          <w:lang w:val="en-AU"/>
        </w:rPr>
        <w:t xml:space="preserve"> overarching objective that “</w:t>
      </w:r>
      <w:r w:rsidR="004409A8" w:rsidRPr="004409A8">
        <w:rPr>
          <w:rFonts w:eastAsia="Calibri" w:cs="Arial"/>
          <w:szCs w:val="24"/>
          <w:lang w:val="en-AU"/>
        </w:rPr>
        <w:t>all New Zealanders live well, stay well and get well”</w:t>
      </w:r>
      <w:r w:rsidR="004409A8" w:rsidRPr="004409A8">
        <w:rPr>
          <w:rFonts w:eastAsia="Calibri" w:cs="Arial"/>
          <w:szCs w:val="24"/>
          <w:vertAlign w:val="superscript"/>
          <w:lang w:val="en-AU"/>
        </w:rPr>
        <w:footnoteReference w:id="6"/>
      </w:r>
      <w:r w:rsidR="004B1FEC">
        <w:rPr>
          <w:rFonts w:eastAsia="Calibri" w:cs="Arial"/>
          <w:szCs w:val="24"/>
          <w:lang w:val="en-AU"/>
        </w:rPr>
        <w:t>.</w:t>
      </w:r>
    </w:p>
    <w:p w:rsidR="002D45E6" w:rsidRPr="001413F3" w:rsidRDefault="002D45E6" w:rsidP="007C6872">
      <w:pPr>
        <w:spacing w:before="120" w:after="0" w:line="240" w:lineRule="auto"/>
      </w:pPr>
      <w:r w:rsidRPr="001413F3">
        <w:rPr>
          <w:lang w:val="en-AU"/>
        </w:rPr>
        <w:t xml:space="preserve">Service objectives for </w:t>
      </w:r>
      <w:r w:rsidR="004409A8">
        <w:rPr>
          <w:lang w:val="en-AU"/>
        </w:rPr>
        <w:t>each</w:t>
      </w:r>
      <w:r w:rsidRPr="001413F3">
        <w:rPr>
          <w:lang w:val="en-AU"/>
        </w:rPr>
        <w:t xml:space="preserve"> service components are:</w:t>
      </w:r>
    </w:p>
    <w:p w:rsidR="002D45E6" w:rsidRPr="00DC5CCA" w:rsidRDefault="002D45E6" w:rsidP="007C6872">
      <w:pPr>
        <w:spacing w:before="120" w:after="0" w:line="240" w:lineRule="auto"/>
        <w:rPr>
          <w:i/>
          <w:lang w:val="en-AU"/>
        </w:rPr>
      </w:pPr>
      <w:r w:rsidRPr="00DC5CCA">
        <w:rPr>
          <w:i/>
          <w:lang w:val="en-AU"/>
        </w:rPr>
        <w:t xml:space="preserve">Human Resources </w:t>
      </w:r>
    </w:p>
    <w:p w:rsidR="002D45E6" w:rsidRPr="00DC5CCA" w:rsidRDefault="002D45E6" w:rsidP="007C6872">
      <w:pPr>
        <w:pStyle w:val="ListParagraph"/>
        <w:numPr>
          <w:ilvl w:val="0"/>
          <w:numId w:val="10"/>
        </w:numPr>
        <w:spacing w:before="120" w:after="0" w:line="240" w:lineRule="auto"/>
        <w:rPr>
          <w:lang w:val="en-AU"/>
        </w:rPr>
      </w:pPr>
      <w:r w:rsidRPr="00DC5CCA">
        <w:rPr>
          <w:lang w:val="en-AU"/>
        </w:rPr>
        <w:t xml:space="preserve">Increase the </w:t>
      </w:r>
      <w:r w:rsidR="002B1E33" w:rsidRPr="00DC5CCA">
        <w:rPr>
          <w:lang w:val="en-GB"/>
        </w:rPr>
        <w:t>Māori</w:t>
      </w:r>
      <w:r w:rsidRPr="00DC5CCA">
        <w:rPr>
          <w:lang w:val="en-AU"/>
        </w:rPr>
        <w:t xml:space="preserve"> public health workforce and strengthen capability of the non-</w:t>
      </w:r>
      <w:r w:rsidR="002B1E33" w:rsidRPr="00DC5CCA">
        <w:rPr>
          <w:lang w:val="en-GB"/>
        </w:rPr>
        <w:t>Māori</w:t>
      </w:r>
      <w:r w:rsidRPr="00DC5CCA">
        <w:rPr>
          <w:lang w:val="en-AU"/>
        </w:rPr>
        <w:t xml:space="preserve"> workforce to improve </w:t>
      </w:r>
      <w:r w:rsidR="002B1E33" w:rsidRPr="00DC5CCA">
        <w:rPr>
          <w:lang w:val="en-AU"/>
        </w:rPr>
        <w:t xml:space="preserve">Māori </w:t>
      </w:r>
      <w:r w:rsidRPr="00DC5CCA">
        <w:rPr>
          <w:lang w:val="en-AU"/>
        </w:rPr>
        <w:t xml:space="preserve">health and achieve </w:t>
      </w:r>
      <w:r w:rsidR="00DC5CCA" w:rsidRPr="00DC5CCA">
        <w:rPr>
          <w:lang w:val="en-AU"/>
        </w:rPr>
        <w:t xml:space="preserve">health </w:t>
      </w:r>
      <w:r w:rsidRPr="00DC5CCA">
        <w:rPr>
          <w:lang w:val="en-AU"/>
        </w:rPr>
        <w:t>equity</w:t>
      </w:r>
      <w:r w:rsidR="00DC5CCA" w:rsidRPr="00DC5CCA">
        <w:rPr>
          <w:lang w:val="en-AU"/>
        </w:rPr>
        <w:t>.</w:t>
      </w:r>
    </w:p>
    <w:p w:rsidR="002D45E6" w:rsidRPr="00DC5CCA" w:rsidRDefault="002D45E6" w:rsidP="007C6872">
      <w:pPr>
        <w:pStyle w:val="ListParagraph"/>
        <w:numPr>
          <w:ilvl w:val="0"/>
          <w:numId w:val="10"/>
        </w:numPr>
        <w:spacing w:before="120" w:after="0" w:line="240" w:lineRule="auto"/>
        <w:rPr>
          <w:lang w:val="en-AU"/>
        </w:rPr>
      </w:pPr>
      <w:r w:rsidRPr="00DC5CCA">
        <w:rPr>
          <w:lang w:val="en-AU"/>
        </w:rPr>
        <w:t xml:space="preserve">Increase the Pacific public health workforce and strengthen capability of the non-Pacific workforce to improve Pacific health and achieve </w:t>
      </w:r>
      <w:r w:rsidR="00DC5CCA" w:rsidRPr="00DC5CCA">
        <w:rPr>
          <w:lang w:val="en-AU"/>
        </w:rPr>
        <w:t xml:space="preserve">health </w:t>
      </w:r>
      <w:r w:rsidRPr="00DC5CCA">
        <w:rPr>
          <w:lang w:val="en-AU"/>
        </w:rPr>
        <w:t>equity</w:t>
      </w:r>
      <w:r w:rsidR="00DC5CCA" w:rsidRPr="00DC5CCA">
        <w:rPr>
          <w:lang w:val="en-AU"/>
        </w:rPr>
        <w:t>.</w:t>
      </w:r>
    </w:p>
    <w:p w:rsidR="002D45E6" w:rsidRPr="00DC5CCA" w:rsidRDefault="002D45E6" w:rsidP="007C6872">
      <w:pPr>
        <w:pStyle w:val="ListParagraph"/>
        <w:numPr>
          <w:ilvl w:val="0"/>
          <w:numId w:val="10"/>
        </w:numPr>
        <w:spacing w:before="120" w:after="0" w:line="240" w:lineRule="auto"/>
        <w:rPr>
          <w:lang w:val="en-AU"/>
        </w:rPr>
      </w:pPr>
      <w:r w:rsidRPr="00DC5CCA">
        <w:rPr>
          <w:lang w:val="en-AU"/>
        </w:rPr>
        <w:t>Strengthen the public health capability of the wider workforce</w:t>
      </w:r>
      <w:r w:rsidR="00DC5CCA" w:rsidRPr="00DC5CCA">
        <w:rPr>
          <w:lang w:val="en-AU"/>
        </w:rPr>
        <w:t>.</w:t>
      </w:r>
      <w:r w:rsidRPr="00DC5CCA">
        <w:rPr>
          <w:lang w:val="en-AU"/>
        </w:rPr>
        <w:t xml:space="preserve"> </w:t>
      </w:r>
    </w:p>
    <w:p w:rsidR="002D45E6" w:rsidRPr="00DC5CCA" w:rsidRDefault="002D45E6" w:rsidP="007C6872">
      <w:pPr>
        <w:spacing w:before="120" w:after="120" w:line="240" w:lineRule="auto"/>
        <w:rPr>
          <w:i/>
          <w:lang w:val="en-AU"/>
        </w:rPr>
      </w:pPr>
      <w:r w:rsidRPr="00DC5CCA">
        <w:rPr>
          <w:i/>
          <w:lang w:val="en-AU"/>
        </w:rPr>
        <w:t xml:space="preserve">Information and Knowledge </w:t>
      </w:r>
    </w:p>
    <w:p w:rsidR="002D45E6" w:rsidRPr="00DC5CCA" w:rsidRDefault="002D45E6" w:rsidP="007C6872">
      <w:pPr>
        <w:pStyle w:val="ListParagraph"/>
        <w:numPr>
          <w:ilvl w:val="0"/>
          <w:numId w:val="11"/>
        </w:numPr>
        <w:spacing w:after="0" w:line="240" w:lineRule="auto"/>
        <w:rPr>
          <w:lang w:val="en-AU"/>
        </w:rPr>
      </w:pPr>
      <w:r w:rsidRPr="00DC5CCA">
        <w:rPr>
          <w:lang w:val="en-AU"/>
        </w:rPr>
        <w:t>Strengthen and maintain public health information, research and evidence base to inform public health policies and programme development</w:t>
      </w:r>
      <w:r w:rsidR="00DC5CCA" w:rsidRPr="00DC5CCA">
        <w:rPr>
          <w:lang w:val="en-AU"/>
        </w:rPr>
        <w:t>.</w:t>
      </w:r>
    </w:p>
    <w:p w:rsidR="002D45E6" w:rsidRPr="00193AD4" w:rsidRDefault="002D45E6" w:rsidP="007C6872">
      <w:pPr>
        <w:spacing w:before="120" w:after="120" w:line="240" w:lineRule="auto"/>
        <w:rPr>
          <w:i/>
          <w:lang w:val="en-AU"/>
        </w:rPr>
      </w:pPr>
      <w:r w:rsidRPr="00193AD4">
        <w:rPr>
          <w:i/>
          <w:lang w:val="en-AU"/>
        </w:rPr>
        <w:t>Organisational and infrastructural capacity</w:t>
      </w:r>
    </w:p>
    <w:p w:rsidR="002D45E6" w:rsidRPr="00DC5CCA" w:rsidRDefault="002D45E6" w:rsidP="007C6872">
      <w:pPr>
        <w:pStyle w:val="ListParagraph"/>
        <w:numPr>
          <w:ilvl w:val="0"/>
          <w:numId w:val="11"/>
        </w:numPr>
        <w:spacing w:after="0" w:line="240" w:lineRule="auto"/>
        <w:rPr>
          <w:lang w:val="en-AU"/>
        </w:rPr>
      </w:pPr>
      <w:r w:rsidRPr="00DC5CCA">
        <w:rPr>
          <w:lang w:val="en-AU"/>
        </w:rPr>
        <w:t>Strengthen and maintain reliable public health organisational technical structures and foundations (</w:t>
      </w:r>
      <w:r w:rsidR="002B1E33" w:rsidRPr="00DC5CCA">
        <w:rPr>
          <w:lang w:val="en-AU"/>
        </w:rPr>
        <w:t xml:space="preserve">eg, </w:t>
      </w:r>
      <w:r w:rsidRPr="00DC5CCA">
        <w:rPr>
          <w:lang w:val="en-AU"/>
        </w:rPr>
        <w:t>information systems for recording, reporting and auditing of public health activities and robust governance and strategic decision</w:t>
      </w:r>
      <w:r w:rsidR="009F3C92">
        <w:rPr>
          <w:lang w:val="en-AU"/>
        </w:rPr>
        <w:t>-</w:t>
      </w:r>
      <w:r w:rsidRPr="00DC5CCA">
        <w:rPr>
          <w:lang w:val="en-AU"/>
        </w:rPr>
        <w:t>making arrangements)</w:t>
      </w:r>
      <w:r w:rsidR="00DC5CCA" w:rsidRPr="00DC5CCA">
        <w:rPr>
          <w:lang w:val="en-AU"/>
        </w:rPr>
        <w:t>.</w:t>
      </w:r>
    </w:p>
    <w:p w:rsidR="002D45E6" w:rsidRPr="00DC5CCA" w:rsidRDefault="002D45E6" w:rsidP="007C6872">
      <w:pPr>
        <w:spacing w:before="120" w:after="120" w:line="240" w:lineRule="auto"/>
        <w:rPr>
          <w:i/>
          <w:lang w:val="en-AU"/>
        </w:rPr>
      </w:pPr>
      <w:r w:rsidRPr="00DC5CCA">
        <w:rPr>
          <w:i/>
          <w:lang w:val="en-AU"/>
        </w:rPr>
        <w:t>Networks and Partnerships</w:t>
      </w:r>
    </w:p>
    <w:p w:rsidR="002D45E6" w:rsidRPr="00DC5CCA" w:rsidRDefault="002D45E6" w:rsidP="007C6872">
      <w:pPr>
        <w:pStyle w:val="ListParagraph"/>
        <w:numPr>
          <w:ilvl w:val="0"/>
          <w:numId w:val="12"/>
        </w:numPr>
        <w:spacing w:after="0" w:line="240" w:lineRule="auto"/>
        <w:rPr>
          <w:lang w:val="en-AU"/>
        </w:rPr>
      </w:pPr>
      <w:r w:rsidRPr="00DC5CCA">
        <w:rPr>
          <w:lang w:val="en-AU"/>
        </w:rPr>
        <w:t>Increase intersectoral use of public health approaches to achieve collective impact and community outcomes</w:t>
      </w:r>
      <w:r w:rsidR="00DC5CCA" w:rsidRPr="00DC5CCA">
        <w:rPr>
          <w:lang w:val="en-AU"/>
        </w:rPr>
        <w:t>.</w:t>
      </w:r>
    </w:p>
    <w:p w:rsidR="002D45E6" w:rsidRDefault="002D45E6" w:rsidP="007C6872">
      <w:pPr>
        <w:pStyle w:val="ListParagraph"/>
        <w:numPr>
          <w:ilvl w:val="0"/>
          <w:numId w:val="12"/>
        </w:numPr>
        <w:spacing w:after="0" w:line="240" w:lineRule="auto"/>
        <w:rPr>
          <w:lang w:val="en-AU"/>
        </w:rPr>
      </w:pPr>
      <w:r w:rsidRPr="00DC5CCA">
        <w:rPr>
          <w:lang w:val="en-AU"/>
        </w:rPr>
        <w:t>Build and maintain effective partnerships and networks for strategic alliances, coordinate outcome-driven initiatives and sharing of learning and experiences</w:t>
      </w:r>
      <w:r w:rsidR="00DC5CCA" w:rsidRPr="00DC5CCA">
        <w:rPr>
          <w:lang w:val="en-AU"/>
        </w:rPr>
        <w:t>.</w:t>
      </w:r>
      <w:r w:rsidRPr="00DC5CCA">
        <w:rPr>
          <w:lang w:val="en-AU"/>
        </w:rPr>
        <w:t xml:space="preserve"> </w:t>
      </w:r>
    </w:p>
    <w:p w:rsidR="002D45E6" w:rsidRPr="00124AED" w:rsidRDefault="00B42576" w:rsidP="007C6872">
      <w:pPr>
        <w:pStyle w:val="Heading1"/>
        <w:rPr>
          <w:rFonts w:eastAsia="Times New Roman"/>
          <w:lang w:val="en-GB"/>
        </w:rPr>
      </w:pPr>
      <w:r>
        <w:rPr>
          <w:rFonts w:eastAsia="Times New Roman"/>
          <w:lang w:val="en-GB"/>
        </w:rPr>
        <w:t xml:space="preserve"> </w:t>
      </w:r>
      <w:r w:rsidR="002D45E6" w:rsidRPr="00124AED">
        <w:rPr>
          <w:rFonts w:eastAsia="Times New Roman"/>
          <w:lang w:val="en-GB"/>
        </w:rPr>
        <w:t>Māori Health Objectives</w:t>
      </w:r>
    </w:p>
    <w:p w:rsidR="002D45E6" w:rsidRPr="00DC5CCA" w:rsidRDefault="00604D72" w:rsidP="007C6872">
      <w:pPr>
        <w:tabs>
          <w:tab w:val="left" w:pos="540"/>
        </w:tabs>
        <w:spacing w:after="0" w:line="240" w:lineRule="auto"/>
        <w:rPr>
          <w:rFonts w:eastAsia="Times New Roman" w:cs="Arial"/>
          <w:szCs w:val="24"/>
          <w:lang w:val="en-GB"/>
        </w:rPr>
      </w:pPr>
      <w:r w:rsidRPr="00DC5CCA">
        <w:rPr>
          <w:rFonts w:eastAsia="Times New Roman" w:cs="Arial"/>
          <w:szCs w:val="24"/>
          <w:lang w:val="en-GB"/>
        </w:rPr>
        <w:t>Māori</w:t>
      </w:r>
      <w:r w:rsidR="002D45E6" w:rsidRPr="00DC5CCA">
        <w:rPr>
          <w:rFonts w:eastAsia="Times New Roman" w:cs="Arial"/>
          <w:szCs w:val="24"/>
          <w:lang w:val="en-GB"/>
        </w:rPr>
        <w:t xml:space="preserve"> </w:t>
      </w:r>
      <w:r w:rsidR="00417418">
        <w:rPr>
          <w:rFonts w:eastAsia="Times New Roman" w:cs="Arial"/>
          <w:szCs w:val="24"/>
          <w:lang w:val="en-GB"/>
        </w:rPr>
        <w:t>h</w:t>
      </w:r>
      <w:r w:rsidR="002B1E33" w:rsidRPr="00DC5CCA">
        <w:rPr>
          <w:rFonts w:eastAsia="Times New Roman" w:cs="Arial"/>
          <w:szCs w:val="24"/>
          <w:lang w:val="en-GB"/>
        </w:rPr>
        <w:t xml:space="preserve">ealth objectives </w:t>
      </w:r>
      <w:r w:rsidR="00916C66">
        <w:rPr>
          <w:rFonts w:eastAsia="Times New Roman" w:cs="Arial"/>
          <w:szCs w:val="24"/>
          <w:lang w:val="en-GB"/>
        </w:rPr>
        <w:t>of</w:t>
      </w:r>
      <w:r w:rsidR="002B1E33" w:rsidRPr="00DC5CCA">
        <w:rPr>
          <w:rFonts w:eastAsia="Times New Roman" w:cs="Arial"/>
          <w:szCs w:val="24"/>
          <w:lang w:val="en-GB"/>
        </w:rPr>
        <w:t xml:space="preserve"> this tier two</w:t>
      </w:r>
      <w:r w:rsidR="002D45E6" w:rsidRPr="00DC5CCA">
        <w:rPr>
          <w:rFonts w:eastAsia="Times New Roman" w:cs="Arial"/>
          <w:szCs w:val="24"/>
          <w:lang w:val="en-GB"/>
        </w:rPr>
        <w:t xml:space="preserve"> </w:t>
      </w:r>
      <w:r w:rsidR="00417418">
        <w:rPr>
          <w:rFonts w:eastAsia="Times New Roman" w:cs="Arial"/>
          <w:szCs w:val="24"/>
          <w:lang w:val="en-GB"/>
        </w:rPr>
        <w:t xml:space="preserve">Public Health </w:t>
      </w:r>
      <w:r w:rsidR="005D457A" w:rsidRPr="00DC5CCA">
        <w:rPr>
          <w:rFonts w:eastAsia="Times New Roman" w:cs="Arial"/>
          <w:szCs w:val="24"/>
          <w:lang w:val="en-GB"/>
        </w:rPr>
        <w:t xml:space="preserve">Capacity Development </w:t>
      </w:r>
      <w:r w:rsidR="00DC5CCA">
        <w:rPr>
          <w:rFonts w:eastAsia="Times New Roman" w:cs="Arial"/>
          <w:szCs w:val="24"/>
          <w:lang w:val="en-GB"/>
        </w:rPr>
        <w:t>s</w:t>
      </w:r>
      <w:r w:rsidR="00DC5CCA" w:rsidRPr="00DC5CCA">
        <w:rPr>
          <w:rFonts w:eastAsia="Times New Roman" w:cs="Arial"/>
          <w:szCs w:val="24"/>
          <w:lang w:val="en-GB"/>
        </w:rPr>
        <w:t xml:space="preserve">ervice </w:t>
      </w:r>
      <w:r w:rsidR="00DC5CCA">
        <w:rPr>
          <w:rFonts w:eastAsia="Times New Roman" w:cs="Arial"/>
          <w:szCs w:val="24"/>
          <w:lang w:val="en-GB"/>
        </w:rPr>
        <w:t>s</w:t>
      </w:r>
      <w:r w:rsidR="00DC5CCA" w:rsidRPr="00DC5CCA">
        <w:rPr>
          <w:rFonts w:eastAsia="Times New Roman" w:cs="Arial"/>
          <w:szCs w:val="24"/>
          <w:lang w:val="en-GB"/>
        </w:rPr>
        <w:t xml:space="preserve">pecification </w:t>
      </w:r>
      <w:r w:rsidR="002D45E6" w:rsidRPr="00DC5CCA">
        <w:rPr>
          <w:rFonts w:eastAsia="Times New Roman" w:cs="Arial"/>
          <w:szCs w:val="24"/>
          <w:lang w:val="en-GB"/>
        </w:rPr>
        <w:t>are:</w:t>
      </w:r>
    </w:p>
    <w:p w:rsidR="002D45E6" w:rsidRPr="00DC5CCA" w:rsidRDefault="002D45E6" w:rsidP="007C6872">
      <w:pPr>
        <w:pStyle w:val="ListParagraph"/>
        <w:numPr>
          <w:ilvl w:val="0"/>
          <w:numId w:val="1"/>
        </w:numPr>
        <w:tabs>
          <w:tab w:val="left" w:pos="540"/>
        </w:tabs>
        <w:spacing w:before="120" w:after="0" w:line="240" w:lineRule="auto"/>
        <w:ind w:left="360"/>
        <w:rPr>
          <w:rFonts w:eastAsia="Times New Roman" w:cs="Arial"/>
          <w:szCs w:val="24"/>
          <w:lang w:val="en-GB"/>
        </w:rPr>
      </w:pPr>
      <w:r w:rsidRPr="00DC5CCA">
        <w:rPr>
          <w:rFonts w:eastAsia="Times New Roman" w:cs="Arial"/>
          <w:szCs w:val="24"/>
          <w:lang w:val="en-GB"/>
        </w:rPr>
        <w:t xml:space="preserve">to have strong </w:t>
      </w:r>
      <w:r w:rsidR="00604D72" w:rsidRPr="00DC5CCA">
        <w:rPr>
          <w:rFonts w:eastAsia="Times New Roman" w:cs="Arial"/>
          <w:szCs w:val="24"/>
          <w:lang w:val="en-GB"/>
        </w:rPr>
        <w:t>Māori</w:t>
      </w:r>
      <w:r w:rsidRPr="00DC5CCA">
        <w:rPr>
          <w:rFonts w:eastAsia="Times New Roman" w:cs="Arial"/>
          <w:szCs w:val="24"/>
          <w:lang w:val="en-GB"/>
        </w:rPr>
        <w:t xml:space="preserve"> leadership</w:t>
      </w:r>
    </w:p>
    <w:p w:rsidR="002B1E33" w:rsidRPr="00DC5CCA" w:rsidRDefault="002D45E6" w:rsidP="007C6872">
      <w:pPr>
        <w:pStyle w:val="ListParagraph"/>
        <w:numPr>
          <w:ilvl w:val="0"/>
          <w:numId w:val="1"/>
        </w:numPr>
        <w:tabs>
          <w:tab w:val="left" w:pos="540"/>
        </w:tabs>
        <w:spacing w:after="0" w:line="240" w:lineRule="auto"/>
        <w:ind w:left="360"/>
        <w:rPr>
          <w:rFonts w:eastAsia="Times New Roman" w:cs="Arial"/>
          <w:szCs w:val="24"/>
          <w:lang w:val="en-GB"/>
        </w:rPr>
      </w:pPr>
      <w:r w:rsidRPr="00DC5CCA">
        <w:rPr>
          <w:rFonts w:eastAsia="Times New Roman" w:cs="Arial"/>
          <w:szCs w:val="24"/>
          <w:lang w:val="en-GB"/>
        </w:rPr>
        <w:t>the ability to demonstrate relevance and effectiveness of services</w:t>
      </w:r>
    </w:p>
    <w:p w:rsidR="002D45E6" w:rsidRPr="00DC5CCA" w:rsidRDefault="002D45E6" w:rsidP="007C6872">
      <w:pPr>
        <w:pStyle w:val="ListParagraph"/>
        <w:numPr>
          <w:ilvl w:val="0"/>
          <w:numId w:val="1"/>
        </w:numPr>
        <w:tabs>
          <w:tab w:val="left" w:pos="540"/>
        </w:tabs>
        <w:spacing w:after="0" w:line="240" w:lineRule="auto"/>
        <w:ind w:left="360"/>
        <w:rPr>
          <w:rFonts w:eastAsia="Times New Roman" w:cs="Arial"/>
          <w:szCs w:val="24"/>
          <w:lang w:val="en-GB"/>
        </w:rPr>
      </w:pPr>
      <w:r w:rsidRPr="00DC5CCA">
        <w:rPr>
          <w:rFonts w:eastAsia="Times New Roman" w:cs="Arial"/>
          <w:szCs w:val="24"/>
          <w:lang w:val="en-GB"/>
        </w:rPr>
        <w:t>improve the quality of the workforce</w:t>
      </w:r>
    </w:p>
    <w:p w:rsidR="002D45E6" w:rsidRPr="00DC5CCA" w:rsidRDefault="008B13C6" w:rsidP="007C6872">
      <w:pPr>
        <w:pStyle w:val="ListParagraph"/>
        <w:numPr>
          <w:ilvl w:val="0"/>
          <w:numId w:val="1"/>
        </w:numPr>
        <w:tabs>
          <w:tab w:val="left" w:pos="540"/>
        </w:tabs>
        <w:spacing w:after="0" w:line="240" w:lineRule="auto"/>
        <w:ind w:left="360"/>
        <w:rPr>
          <w:rFonts w:eastAsia="Times New Roman" w:cs="Arial"/>
          <w:szCs w:val="24"/>
          <w:lang w:val="en-GB"/>
        </w:rPr>
      </w:pPr>
      <w:r w:rsidRPr="00DC5CCA">
        <w:rPr>
          <w:rFonts w:eastAsia="Times New Roman" w:cs="Arial"/>
          <w:szCs w:val="24"/>
          <w:lang w:val="en-GB"/>
        </w:rPr>
        <w:t>a coherent and cross-</w:t>
      </w:r>
      <w:r w:rsidR="002D45E6" w:rsidRPr="00DC5CCA">
        <w:rPr>
          <w:rFonts w:eastAsia="Times New Roman" w:cs="Arial"/>
          <w:szCs w:val="24"/>
          <w:lang w:val="en-GB"/>
        </w:rPr>
        <w:t xml:space="preserve">sectoral perspective of </w:t>
      </w:r>
      <w:r w:rsidR="00DC5CCA">
        <w:rPr>
          <w:rFonts w:eastAsia="Times New Roman" w:cs="Arial"/>
          <w:szCs w:val="24"/>
          <w:lang w:val="en-GB"/>
        </w:rPr>
        <w:t>W</w:t>
      </w:r>
      <w:r w:rsidR="00DC5CCA" w:rsidRPr="00DC5CCA">
        <w:rPr>
          <w:rFonts w:eastAsia="Times New Roman" w:cs="Arial"/>
          <w:szCs w:val="24"/>
          <w:lang w:val="en-GB"/>
        </w:rPr>
        <w:t xml:space="preserve">hānau </w:t>
      </w:r>
      <w:r w:rsidR="00DC5CCA">
        <w:rPr>
          <w:rFonts w:eastAsia="Times New Roman" w:cs="Arial"/>
          <w:szCs w:val="24"/>
          <w:lang w:val="en-GB"/>
        </w:rPr>
        <w:t>O</w:t>
      </w:r>
      <w:r w:rsidR="00DC5CCA" w:rsidRPr="00DC5CCA">
        <w:rPr>
          <w:rFonts w:eastAsia="Times New Roman" w:cs="Arial"/>
          <w:szCs w:val="24"/>
          <w:lang w:val="en-GB"/>
        </w:rPr>
        <w:t>ra</w:t>
      </w:r>
      <w:r w:rsidR="002D45E6" w:rsidRPr="00DC5CCA">
        <w:rPr>
          <w:rFonts w:eastAsia="Times New Roman" w:cs="Arial"/>
          <w:szCs w:val="24"/>
          <w:lang w:val="en-GB"/>
        </w:rPr>
        <w:t>.</w:t>
      </w:r>
    </w:p>
    <w:p w:rsidR="00417418" w:rsidRPr="00417418" w:rsidRDefault="008A712C" w:rsidP="007C6872">
      <w:pPr>
        <w:spacing w:before="120" w:after="0" w:line="240" w:lineRule="auto"/>
        <w:rPr>
          <w:rFonts w:eastAsia="Times New Roman" w:cs="Arial"/>
          <w:lang w:val="en"/>
        </w:rPr>
      </w:pPr>
      <w:r>
        <w:rPr>
          <w:rFonts w:eastAsia="Times New Roman" w:cs="Arial"/>
          <w:szCs w:val="24"/>
          <w:lang w:val="en-GB"/>
        </w:rPr>
        <w:t>Key input</w:t>
      </w:r>
      <w:r w:rsidR="002D45E6" w:rsidRPr="00DC5CCA">
        <w:rPr>
          <w:rFonts w:eastAsia="Times New Roman" w:cs="Arial"/>
          <w:szCs w:val="24"/>
          <w:lang w:val="en-GB"/>
        </w:rPr>
        <w:t xml:space="preserve"> </w:t>
      </w:r>
      <w:r>
        <w:rPr>
          <w:rFonts w:eastAsia="Times New Roman" w:cs="Arial"/>
          <w:szCs w:val="24"/>
          <w:lang w:val="en-GB"/>
        </w:rPr>
        <w:t>to achieving these objectives is</w:t>
      </w:r>
      <w:r w:rsidR="002D45E6" w:rsidRPr="00DC5CCA">
        <w:rPr>
          <w:rFonts w:eastAsia="Times New Roman" w:cs="Arial"/>
          <w:szCs w:val="24"/>
          <w:lang w:val="en-GB"/>
        </w:rPr>
        <w:t xml:space="preserve"> an unders</w:t>
      </w:r>
      <w:r w:rsidR="00417418">
        <w:rPr>
          <w:rFonts w:eastAsia="Times New Roman" w:cs="Arial"/>
          <w:szCs w:val="24"/>
          <w:lang w:val="en-GB"/>
        </w:rPr>
        <w:t xml:space="preserve">tanding and ability to apply </w:t>
      </w:r>
      <w:r w:rsidR="00DC5CCA">
        <w:rPr>
          <w:rFonts w:eastAsia="Times New Roman" w:cs="Arial"/>
          <w:szCs w:val="24"/>
          <w:lang w:val="en-GB"/>
        </w:rPr>
        <w:t>Te Tiriti o</w:t>
      </w:r>
      <w:r w:rsidR="004409A8">
        <w:rPr>
          <w:rFonts w:eastAsia="Times New Roman" w:cs="Arial"/>
          <w:szCs w:val="24"/>
          <w:lang w:val="en-GB"/>
        </w:rPr>
        <w:t xml:space="preserve"> Waitangi, He Korowai Oranga</w:t>
      </w:r>
      <w:r w:rsidR="00417418">
        <w:rPr>
          <w:rStyle w:val="FootnoteReference"/>
          <w:rFonts w:eastAsia="Times New Roman" w:cs="Arial"/>
          <w:szCs w:val="24"/>
          <w:lang w:val="en-GB"/>
        </w:rPr>
        <w:footnoteReference w:id="7"/>
      </w:r>
      <w:r w:rsidR="002B1E33" w:rsidRPr="00DC5CCA">
        <w:rPr>
          <w:rFonts w:eastAsia="Times New Roman" w:cs="Arial"/>
          <w:szCs w:val="24"/>
          <w:lang w:val="en-GB"/>
        </w:rPr>
        <w:t xml:space="preserve"> </w:t>
      </w:r>
      <w:r w:rsidR="00417418">
        <w:rPr>
          <w:rFonts w:eastAsia="Times New Roman" w:cs="Arial"/>
          <w:szCs w:val="24"/>
          <w:lang w:val="en-GB"/>
        </w:rPr>
        <w:t>,</w:t>
      </w:r>
      <w:r w:rsidR="00417418" w:rsidRPr="00417418">
        <w:rPr>
          <w:rFonts w:eastAsia="Times New Roman" w:cs="Arial"/>
          <w:color w:val="002639"/>
          <w:sz w:val="20"/>
          <w:szCs w:val="20"/>
          <w:lang w:val="en" w:eastAsia="en-NZ"/>
        </w:rPr>
        <w:t xml:space="preserve"> </w:t>
      </w:r>
      <w:r w:rsidR="00417418">
        <w:rPr>
          <w:rFonts w:eastAsia="Times New Roman" w:cs="Arial"/>
          <w:szCs w:val="24"/>
          <w:lang w:val="en-GB"/>
        </w:rPr>
        <w:t>Pae ora</w:t>
      </w:r>
      <w:r w:rsidR="00417418">
        <w:rPr>
          <w:rStyle w:val="FootnoteReference"/>
          <w:rFonts w:eastAsia="Times New Roman" w:cs="Arial"/>
          <w:szCs w:val="24"/>
          <w:lang w:val="en-GB"/>
        </w:rPr>
        <w:footnoteReference w:id="8"/>
      </w:r>
      <w:r w:rsidR="00417418">
        <w:rPr>
          <w:rFonts w:eastAsia="Times New Roman" w:cs="Arial"/>
          <w:szCs w:val="24"/>
          <w:lang w:val="en-GB"/>
        </w:rPr>
        <w:t xml:space="preserve"> </w:t>
      </w:r>
      <w:r w:rsidR="00417418" w:rsidRPr="00DC5CCA">
        <w:rPr>
          <w:rFonts w:eastAsia="Times New Roman" w:cs="Arial"/>
          <w:szCs w:val="24"/>
          <w:lang w:val="en-GB"/>
        </w:rPr>
        <w:t>and the principles of equity and social justice</w:t>
      </w:r>
      <w:r w:rsidR="00916C66" w:rsidRPr="00C31055">
        <w:rPr>
          <w:rFonts w:eastAsia="Calibri" w:cs="Arial"/>
          <w:vertAlign w:val="superscript"/>
        </w:rPr>
        <w:footnoteReference w:id="9"/>
      </w:r>
      <w:r w:rsidR="00C31055">
        <w:rPr>
          <w:rFonts w:eastAsia="Times New Roman" w:cs="Arial"/>
          <w:szCs w:val="24"/>
          <w:lang w:val="en-GB"/>
        </w:rPr>
        <w:t>.</w:t>
      </w:r>
    </w:p>
    <w:p w:rsidR="004409A8" w:rsidRDefault="004409A8" w:rsidP="007C6872">
      <w:pPr>
        <w:pStyle w:val="Heading1"/>
        <w:rPr>
          <w:rFonts w:eastAsia="Times New Roman"/>
          <w:lang w:val="en-GB"/>
        </w:rPr>
      </w:pPr>
      <w:r>
        <w:rPr>
          <w:rFonts w:eastAsia="Times New Roman"/>
          <w:lang w:val="en-GB"/>
        </w:rPr>
        <w:lastRenderedPageBreak/>
        <w:t>Service Users</w:t>
      </w:r>
    </w:p>
    <w:p w:rsidR="008A712C" w:rsidRPr="001413F3" w:rsidRDefault="008A712C" w:rsidP="007C6872">
      <w:pPr>
        <w:spacing w:line="240" w:lineRule="auto"/>
        <w:rPr>
          <w:lang w:val="en-AU"/>
        </w:rPr>
      </w:pPr>
      <w:r w:rsidRPr="001413F3">
        <w:rPr>
          <w:lang w:val="en-AU"/>
        </w:rPr>
        <w:t xml:space="preserve">The </w:t>
      </w:r>
      <w:r>
        <w:rPr>
          <w:lang w:val="en-AU"/>
        </w:rPr>
        <w:t>S</w:t>
      </w:r>
      <w:r w:rsidRPr="001413F3">
        <w:rPr>
          <w:lang w:val="en-AU"/>
        </w:rPr>
        <w:t>ervice is for all organisations</w:t>
      </w:r>
      <w:r w:rsidR="003B7D43">
        <w:rPr>
          <w:lang w:val="en-AU"/>
        </w:rPr>
        <w:t>,</w:t>
      </w:r>
      <w:r w:rsidRPr="001413F3">
        <w:rPr>
          <w:lang w:val="en-AU"/>
        </w:rPr>
        <w:t xml:space="preserve"> and</w:t>
      </w:r>
      <w:r w:rsidR="009F3C92">
        <w:rPr>
          <w:lang w:val="en-AU"/>
        </w:rPr>
        <w:t xml:space="preserve"> their staff</w:t>
      </w:r>
      <w:r w:rsidR="00EE00D5">
        <w:rPr>
          <w:lang w:val="en-AU"/>
        </w:rPr>
        <w:t>,</w:t>
      </w:r>
      <w:r w:rsidRPr="001413F3">
        <w:rPr>
          <w:lang w:val="en-AU"/>
        </w:rPr>
        <w:t xml:space="preserve"> providing </w:t>
      </w:r>
      <w:r>
        <w:rPr>
          <w:lang w:val="en-AU"/>
        </w:rPr>
        <w:t>p</w:t>
      </w:r>
      <w:r w:rsidRPr="001413F3">
        <w:rPr>
          <w:lang w:val="en-AU"/>
        </w:rPr>
        <w:t xml:space="preserve">ublic </w:t>
      </w:r>
      <w:r>
        <w:rPr>
          <w:lang w:val="en-AU"/>
        </w:rPr>
        <w:t>h</w:t>
      </w:r>
      <w:r w:rsidRPr="001413F3">
        <w:rPr>
          <w:lang w:val="en-AU"/>
        </w:rPr>
        <w:t>ealth services to communities in New Zealand and the overall population.</w:t>
      </w:r>
    </w:p>
    <w:p w:rsidR="002D45E6" w:rsidRPr="00185839" w:rsidRDefault="002D45E6" w:rsidP="007C6872">
      <w:pPr>
        <w:pStyle w:val="Heading1"/>
        <w:rPr>
          <w:rFonts w:eastAsia="Times New Roman"/>
          <w:lang w:val="en-GB"/>
        </w:rPr>
      </w:pPr>
      <w:r w:rsidRPr="00185839">
        <w:rPr>
          <w:rFonts w:eastAsia="Times New Roman"/>
          <w:lang w:val="en-GB"/>
        </w:rPr>
        <w:t>Exclusions</w:t>
      </w:r>
    </w:p>
    <w:p w:rsidR="002D45E6" w:rsidRPr="00185839" w:rsidRDefault="002D45E6" w:rsidP="007C6872">
      <w:pPr>
        <w:spacing w:after="0" w:line="240" w:lineRule="auto"/>
        <w:rPr>
          <w:rFonts w:eastAsia="Times New Roman" w:cs="Arial"/>
          <w:szCs w:val="24"/>
          <w:lang w:val="en-GB"/>
        </w:rPr>
      </w:pPr>
      <w:r w:rsidRPr="00185839">
        <w:rPr>
          <w:rFonts w:eastAsia="Times New Roman" w:cs="Arial"/>
          <w:szCs w:val="24"/>
          <w:lang w:val="en-GB"/>
        </w:rPr>
        <w:t>Information systems capital expenditure is the responsibility of the individual organisations and is not</w:t>
      </w:r>
      <w:r w:rsidR="002235AC">
        <w:rPr>
          <w:rFonts w:eastAsia="Times New Roman" w:cs="Arial"/>
          <w:szCs w:val="24"/>
          <w:lang w:val="en-GB"/>
        </w:rPr>
        <w:t xml:space="preserve"> covered by this specification.</w:t>
      </w:r>
    </w:p>
    <w:p w:rsidR="002D45E6" w:rsidRPr="00185839" w:rsidRDefault="002D45E6" w:rsidP="007C6872">
      <w:pPr>
        <w:spacing w:before="120" w:after="0" w:line="240" w:lineRule="auto"/>
        <w:rPr>
          <w:rFonts w:eastAsia="Times New Roman" w:cs="Arial"/>
          <w:szCs w:val="24"/>
          <w:lang w:val="en-GB"/>
        </w:rPr>
      </w:pPr>
      <w:r w:rsidRPr="00185839">
        <w:rPr>
          <w:rFonts w:eastAsia="Times New Roman" w:cs="Arial"/>
          <w:szCs w:val="24"/>
          <w:lang w:val="en-GB"/>
        </w:rPr>
        <w:t xml:space="preserve">Refer to section 5.4 Exclusions in the </w:t>
      </w:r>
      <w:r w:rsidR="006325FA" w:rsidRPr="00185839">
        <w:rPr>
          <w:rFonts w:eastAsia="Times New Roman" w:cs="Arial"/>
          <w:szCs w:val="24"/>
          <w:lang w:val="en-GB"/>
        </w:rPr>
        <w:t>t</w:t>
      </w:r>
      <w:r w:rsidR="002B1E33" w:rsidRPr="00185839">
        <w:rPr>
          <w:rFonts w:eastAsia="Times New Roman" w:cs="Arial"/>
          <w:szCs w:val="24"/>
          <w:lang w:val="en-GB"/>
        </w:rPr>
        <w:t>ier one</w:t>
      </w:r>
      <w:r w:rsidRPr="00185839">
        <w:rPr>
          <w:rFonts w:eastAsia="Times New Roman" w:cs="Arial"/>
          <w:szCs w:val="24"/>
          <w:lang w:val="en-GB"/>
        </w:rPr>
        <w:t xml:space="preserve"> Public Health Services service specification.</w:t>
      </w:r>
    </w:p>
    <w:p w:rsidR="002D45E6" w:rsidRDefault="001F64AB" w:rsidP="007C6872">
      <w:pPr>
        <w:pStyle w:val="Heading1"/>
        <w:rPr>
          <w:rFonts w:eastAsia="Times New Roman"/>
          <w:lang w:val="en-GB"/>
        </w:rPr>
      </w:pPr>
      <w:r w:rsidRPr="002235AC">
        <w:rPr>
          <w:rFonts w:eastAsia="Times New Roman"/>
          <w:lang w:val="en-GB"/>
        </w:rPr>
        <w:t xml:space="preserve">Service Delivery </w:t>
      </w:r>
    </w:p>
    <w:p w:rsidR="004409A8" w:rsidRDefault="004409A8" w:rsidP="007C6872">
      <w:pPr>
        <w:spacing w:after="0" w:line="240" w:lineRule="auto"/>
        <w:rPr>
          <w:lang w:val="en-GB"/>
        </w:rPr>
      </w:pPr>
      <w:r>
        <w:rPr>
          <w:lang w:val="en-GB"/>
        </w:rPr>
        <w:t xml:space="preserve">Some public health services will be purchased and delivered using an outcomes framework. Where the outcome framework is </w:t>
      </w:r>
      <w:r w:rsidRPr="0003325F">
        <w:t xml:space="preserve">Results Based Accountability™ </w:t>
      </w:r>
      <w:r>
        <w:t>(</w:t>
      </w:r>
      <w:r>
        <w:rPr>
          <w:lang w:val="en-GB"/>
        </w:rPr>
        <w:t>RBA),</w:t>
      </w:r>
      <w:r>
        <w:rPr>
          <w:rStyle w:val="FootnoteReference"/>
          <w:lang w:val="en-GB"/>
        </w:rPr>
        <w:footnoteReference w:id="10"/>
      </w:r>
      <w:r>
        <w:rPr>
          <w:lang w:val="en-GB"/>
        </w:rPr>
        <w:t xml:space="preserve"> the funder and provider </w:t>
      </w:r>
      <w:r w:rsidR="00E739EB">
        <w:rPr>
          <w:lang w:val="en-GB"/>
        </w:rPr>
        <w:t xml:space="preserve">will </w:t>
      </w:r>
      <w:r>
        <w:rPr>
          <w:lang w:val="en-GB"/>
        </w:rPr>
        <w:t>agree on the population outcomes that the service will contribute to, then the mix of activities and associated performance measures that contribute to these outcomes</w:t>
      </w:r>
      <w:r>
        <w:rPr>
          <w:rStyle w:val="FootnoteReference"/>
          <w:szCs w:val="24"/>
          <w:lang w:val="en-GB"/>
        </w:rPr>
        <w:footnoteReference w:id="11"/>
      </w:r>
      <w:r>
        <w:rPr>
          <w:lang w:val="en-GB"/>
        </w:rPr>
        <w:t xml:space="preserve"> will be negotiated</w:t>
      </w:r>
      <w:r w:rsidR="008A712C">
        <w:rPr>
          <w:lang w:val="en-GB"/>
        </w:rPr>
        <w:t xml:space="preserve">. </w:t>
      </w:r>
    </w:p>
    <w:p w:rsidR="0077315F" w:rsidRPr="002235AC" w:rsidRDefault="0077315F" w:rsidP="007C6872">
      <w:pPr>
        <w:spacing w:before="120" w:after="0" w:line="240" w:lineRule="auto"/>
        <w:rPr>
          <w:szCs w:val="24"/>
          <w:lang w:val="en-GB"/>
        </w:rPr>
      </w:pPr>
      <w:r w:rsidRPr="002235AC">
        <w:rPr>
          <w:szCs w:val="24"/>
          <w:lang w:val="en-GB"/>
        </w:rPr>
        <w:t>The tables below set out</w:t>
      </w:r>
      <w:r w:rsidR="00F60E21">
        <w:rPr>
          <w:szCs w:val="24"/>
          <w:lang w:val="en-GB"/>
        </w:rPr>
        <w:t xml:space="preserve"> a menu of activities for each Public Health Capacity Development service component.</w:t>
      </w:r>
      <w:r w:rsidRPr="002235AC">
        <w:rPr>
          <w:szCs w:val="24"/>
          <w:lang w:val="en-GB"/>
        </w:rPr>
        <w:t xml:space="preserve"> </w:t>
      </w:r>
      <w:r w:rsidR="004409A8">
        <w:rPr>
          <w:szCs w:val="24"/>
          <w:lang w:val="en-GB"/>
        </w:rPr>
        <w:t xml:space="preserve"> </w:t>
      </w:r>
      <w:r w:rsidRPr="002235AC">
        <w:rPr>
          <w:szCs w:val="24"/>
          <w:lang w:val="en-GB"/>
        </w:rPr>
        <w:t>As part of negotiation</w:t>
      </w:r>
      <w:r w:rsidR="009F3C92">
        <w:rPr>
          <w:szCs w:val="24"/>
          <w:lang w:val="en-GB"/>
        </w:rPr>
        <w:t>s</w:t>
      </w:r>
      <w:r w:rsidRPr="002235AC">
        <w:rPr>
          <w:szCs w:val="24"/>
          <w:lang w:val="en-GB"/>
        </w:rPr>
        <w:t xml:space="preserve">, </w:t>
      </w:r>
      <w:r w:rsidR="00C31055">
        <w:rPr>
          <w:szCs w:val="24"/>
          <w:lang w:val="en-GB"/>
        </w:rPr>
        <w:t xml:space="preserve">as to the range and scale of activities to be delivered, </w:t>
      </w:r>
      <w:r w:rsidRPr="002235AC">
        <w:rPr>
          <w:szCs w:val="24"/>
          <w:lang w:val="en-GB"/>
        </w:rPr>
        <w:t xml:space="preserve">consideration will be given to: </w:t>
      </w:r>
    </w:p>
    <w:p w:rsidR="0077315F" w:rsidRPr="002235AC" w:rsidRDefault="0077315F" w:rsidP="007C6872">
      <w:pPr>
        <w:pStyle w:val="ListParagraph"/>
        <w:numPr>
          <w:ilvl w:val="0"/>
          <w:numId w:val="5"/>
        </w:numPr>
        <w:spacing w:before="120" w:after="0" w:line="240" w:lineRule="auto"/>
        <w:rPr>
          <w:szCs w:val="24"/>
          <w:lang w:val="en-GB"/>
        </w:rPr>
      </w:pPr>
      <w:r w:rsidRPr="002235AC">
        <w:rPr>
          <w:szCs w:val="24"/>
          <w:lang w:val="en-GB"/>
        </w:rPr>
        <w:t>the assessed needs of the population (including an understanding of service gaps)</w:t>
      </w:r>
    </w:p>
    <w:p w:rsidR="0077315F" w:rsidRPr="002235AC" w:rsidRDefault="0077315F" w:rsidP="007C6872">
      <w:pPr>
        <w:pStyle w:val="ListParagraph"/>
        <w:numPr>
          <w:ilvl w:val="0"/>
          <w:numId w:val="5"/>
        </w:numPr>
        <w:spacing w:after="0" w:line="240" w:lineRule="auto"/>
        <w:rPr>
          <w:szCs w:val="24"/>
          <w:lang w:val="en-GB"/>
        </w:rPr>
      </w:pPr>
      <w:r w:rsidRPr="002235AC">
        <w:rPr>
          <w:szCs w:val="24"/>
          <w:lang w:val="en-GB"/>
        </w:rPr>
        <w:t>the capacity and size of the provider</w:t>
      </w:r>
    </w:p>
    <w:p w:rsidR="0077315F" w:rsidRPr="00C31055" w:rsidRDefault="0077315F" w:rsidP="007C6872">
      <w:pPr>
        <w:pStyle w:val="ListParagraph"/>
        <w:numPr>
          <w:ilvl w:val="0"/>
          <w:numId w:val="5"/>
        </w:numPr>
        <w:spacing w:after="0" w:line="240" w:lineRule="auto"/>
        <w:rPr>
          <w:szCs w:val="24"/>
          <w:lang w:val="en-GB"/>
        </w:rPr>
      </w:pPr>
      <w:r w:rsidRPr="002235AC">
        <w:rPr>
          <w:szCs w:val="24"/>
          <w:lang w:val="en-GB"/>
        </w:rPr>
        <w:t xml:space="preserve">relevant government, Ministry of Health and </w:t>
      </w:r>
      <w:r w:rsidR="007C6872">
        <w:rPr>
          <w:szCs w:val="24"/>
          <w:lang w:val="en-GB"/>
        </w:rPr>
        <w:t>d</w:t>
      </w:r>
      <w:r w:rsidR="002235AC">
        <w:rPr>
          <w:szCs w:val="24"/>
          <w:lang w:val="en-GB"/>
        </w:rPr>
        <w:t xml:space="preserve">istrict </w:t>
      </w:r>
      <w:r w:rsidR="007C6872">
        <w:rPr>
          <w:szCs w:val="24"/>
          <w:lang w:val="en-GB"/>
        </w:rPr>
        <w:t>health b</w:t>
      </w:r>
      <w:r w:rsidR="002235AC">
        <w:rPr>
          <w:szCs w:val="24"/>
          <w:lang w:val="en-GB"/>
        </w:rPr>
        <w:t>oard (</w:t>
      </w:r>
      <w:r w:rsidRPr="002235AC">
        <w:rPr>
          <w:szCs w:val="24"/>
          <w:lang w:val="en-GB"/>
        </w:rPr>
        <w:t>DHB</w:t>
      </w:r>
      <w:r w:rsidR="002235AC">
        <w:rPr>
          <w:szCs w:val="24"/>
          <w:lang w:val="en-GB"/>
        </w:rPr>
        <w:t>)</w:t>
      </w:r>
      <w:r w:rsidRPr="002235AC">
        <w:rPr>
          <w:szCs w:val="24"/>
          <w:lang w:val="en-GB"/>
        </w:rPr>
        <w:t xml:space="preserve"> priorities and policies</w:t>
      </w:r>
      <w:r w:rsidR="004409A8">
        <w:rPr>
          <w:szCs w:val="24"/>
          <w:lang w:val="en-GB"/>
        </w:rPr>
        <w:t xml:space="preserve"> including the </w:t>
      </w:r>
      <w:r w:rsidR="004409A8" w:rsidRPr="00C31055">
        <w:rPr>
          <w:szCs w:val="24"/>
          <w:lang w:val="en-GB"/>
        </w:rPr>
        <w:t>New Zealand Health Strategy</w:t>
      </w:r>
      <w:r w:rsidR="00C31055">
        <w:rPr>
          <w:szCs w:val="24"/>
          <w:lang w:val="en-GB"/>
        </w:rPr>
        <w:t xml:space="preserve"> </w:t>
      </w:r>
      <w:r w:rsidR="00C31055" w:rsidRPr="00C31055">
        <w:rPr>
          <w:szCs w:val="24"/>
          <w:lang w:val="en-GB"/>
        </w:rPr>
        <w:t>2016</w:t>
      </w:r>
      <w:r w:rsidR="00C31055">
        <w:rPr>
          <w:szCs w:val="24"/>
          <w:lang w:val="en-GB"/>
        </w:rPr>
        <w:t xml:space="preserve"> (</w:t>
      </w:r>
      <w:r w:rsidR="00C31055" w:rsidRPr="00C31055">
        <w:rPr>
          <w:i/>
          <w:szCs w:val="24"/>
          <w:lang w:val="en-GB"/>
        </w:rPr>
        <w:t>Future Directions and Roadmap of Actions</w:t>
      </w:r>
      <w:r w:rsidR="00C31055">
        <w:rPr>
          <w:szCs w:val="24"/>
          <w:lang w:val="en-GB"/>
        </w:rPr>
        <w:t>)</w:t>
      </w:r>
      <w:r w:rsidR="004409A8" w:rsidRPr="00C31055">
        <w:rPr>
          <w:szCs w:val="24"/>
          <w:lang w:val="en-GB"/>
        </w:rPr>
        <w:t xml:space="preserve"> </w:t>
      </w:r>
    </w:p>
    <w:p w:rsidR="0077315F" w:rsidRPr="002235AC" w:rsidRDefault="0077315F" w:rsidP="007C6872">
      <w:pPr>
        <w:pStyle w:val="ListParagraph"/>
        <w:numPr>
          <w:ilvl w:val="0"/>
          <w:numId w:val="5"/>
        </w:numPr>
        <w:spacing w:after="0" w:line="240" w:lineRule="auto"/>
        <w:rPr>
          <w:szCs w:val="24"/>
          <w:lang w:val="en-GB"/>
        </w:rPr>
      </w:pPr>
      <w:r w:rsidRPr="002235AC">
        <w:rPr>
          <w:szCs w:val="24"/>
          <w:lang w:val="en-GB"/>
        </w:rPr>
        <w:t>how activities contribute to a comprehensive approach</w:t>
      </w:r>
      <w:r w:rsidRPr="002235AC">
        <w:rPr>
          <w:rStyle w:val="FootnoteReference"/>
          <w:szCs w:val="24"/>
          <w:lang w:val="en-GB"/>
        </w:rPr>
        <w:footnoteReference w:id="12"/>
      </w:r>
    </w:p>
    <w:p w:rsidR="004409A8" w:rsidRDefault="002235AC" w:rsidP="007C6872">
      <w:pPr>
        <w:pStyle w:val="ListParagraph"/>
        <w:numPr>
          <w:ilvl w:val="0"/>
          <w:numId w:val="5"/>
        </w:numPr>
        <w:spacing w:after="0" w:line="240" w:lineRule="auto"/>
        <w:rPr>
          <w:szCs w:val="24"/>
          <w:lang w:val="en-GB"/>
        </w:rPr>
      </w:pPr>
      <w:r>
        <w:rPr>
          <w:szCs w:val="24"/>
          <w:lang w:val="en-GB"/>
        </w:rPr>
        <w:t xml:space="preserve">the </w:t>
      </w:r>
      <w:r w:rsidR="0077315F" w:rsidRPr="002235AC">
        <w:rPr>
          <w:szCs w:val="24"/>
          <w:lang w:val="en-GB"/>
        </w:rPr>
        <w:t>need for activities</w:t>
      </w:r>
      <w:r w:rsidR="006325FA" w:rsidRPr="002235AC">
        <w:rPr>
          <w:szCs w:val="24"/>
          <w:lang w:val="en-GB"/>
        </w:rPr>
        <w:t xml:space="preserve"> to</w:t>
      </w:r>
      <w:r w:rsidR="0077315F" w:rsidRPr="002235AC">
        <w:rPr>
          <w:szCs w:val="24"/>
          <w:lang w:val="en-GB"/>
        </w:rPr>
        <w:t xml:space="preserve"> improve Māori health </w:t>
      </w:r>
    </w:p>
    <w:p w:rsidR="004409A8" w:rsidRDefault="004409A8" w:rsidP="007C6872">
      <w:pPr>
        <w:pStyle w:val="ListParagraph"/>
        <w:numPr>
          <w:ilvl w:val="0"/>
          <w:numId w:val="5"/>
        </w:numPr>
        <w:spacing w:after="0" w:line="240" w:lineRule="auto"/>
        <w:rPr>
          <w:szCs w:val="24"/>
          <w:lang w:val="en-GB"/>
        </w:rPr>
      </w:pPr>
      <w:r w:rsidRPr="004409A8">
        <w:rPr>
          <w:szCs w:val="24"/>
          <w:lang w:val="en-GB"/>
        </w:rPr>
        <w:t xml:space="preserve">activities that </w:t>
      </w:r>
      <w:r w:rsidR="0077315F" w:rsidRPr="004409A8">
        <w:rPr>
          <w:szCs w:val="24"/>
          <w:lang w:val="en-GB"/>
        </w:rPr>
        <w:t xml:space="preserve">support achieving </w:t>
      </w:r>
      <w:r w:rsidRPr="004409A8">
        <w:rPr>
          <w:szCs w:val="24"/>
          <w:lang w:val="en-GB"/>
        </w:rPr>
        <w:t xml:space="preserve">equity in </w:t>
      </w:r>
      <w:r w:rsidR="002235AC" w:rsidRPr="004409A8">
        <w:rPr>
          <w:szCs w:val="24"/>
          <w:lang w:val="en-GB"/>
        </w:rPr>
        <w:t xml:space="preserve">health </w:t>
      </w:r>
    </w:p>
    <w:p w:rsidR="004409A8" w:rsidRPr="004409A8" w:rsidRDefault="004409A8" w:rsidP="007C6872">
      <w:pPr>
        <w:pStyle w:val="ListParagraph"/>
        <w:numPr>
          <w:ilvl w:val="0"/>
          <w:numId w:val="5"/>
        </w:numPr>
        <w:spacing w:after="0" w:line="240" w:lineRule="auto"/>
        <w:rPr>
          <w:szCs w:val="24"/>
          <w:lang w:val="en-GB"/>
        </w:rPr>
      </w:pPr>
      <w:r>
        <w:rPr>
          <w:szCs w:val="24"/>
          <w:lang w:val="en-GB"/>
        </w:rPr>
        <w:t>the extent to which activities influence the determinants of health</w:t>
      </w:r>
    </w:p>
    <w:p w:rsidR="0077315F" w:rsidRDefault="0077315F" w:rsidP="007C6872">
      <w:pPr>
        <w:pStyle w:val="ListParagraph"/>
        <w:numPr>
          <w:ilvl w:val="0"/>
          <w:numId w:val="5"/>
        </w:numPr>
        <w:spacing w:after="0" w:line="240" w:lineRule="auto"/>
        <w:rPr>
          <w:szCs w:val="24"/>
          <w:lang w:val="en-GB"/>
        </w:rPr>
      </w:pPr>
      <w:r w:rsidRPr="002235AC">
        <w:rPr>
          <w:szCs w:val="24"/>
          <w:lang w:val="en-GB"/>
        </w:rPr>
        <w:t xml:space="preserve">the extent </w:t>
      </w:r>
      <w:r w:rsidR="00F60E21">
        <w:rPr>
          <w:szCs w:val="24"/>
          <w:lang w:val="en-GB"/>
        </w:rPr>
        <w:t xml:space="preserve">to which </w:t>
      </w:r>
      <w:r w:rsidRPr="002235AC">
        <w:rPr>
          <w:szCs w:val="24"/>
          <w:lang w:val="en-GB"/>
        </w:rPr>
        <w:t>activities</w:t>
      </w:r>
      <w:r w:rsidR="00F60E21">
        <w:rPr>
          <w:szCs w:val="24"/>
          <w:lang w:val="en-GB"/>
        </w:rPr>
        <w:t xml:space="preserve"> clearly link to outcomes (such as client/service users outcomes for contracts</w:t>
      </w:r>
      <w:r w:rsidR="004409A8">
        <w:rPr>
          <w:szCs w:val="24"/>
          <w:lang w:val="en-GB"/>
        </w:rPr>
        <w:t xml:space="preserve"> using RBA</w:t>
      </w:r>
      <w:r w:rsidR="00F60E21">
        <w:rPr>
          <w:szCs w:val="24"/>
          <w:lang w:val="en-GB"/>
        </w:rPr>
        <w:t>)</w:t>
      </w:r>
      <w:r w:rsidR="006325FA" w:rsidRPr="002235AC">
        <w:rPr>
          <w:szCs w:val="24"/>
          <w:lang w:val="en-GB"/>
        </w:rPr>
        <w:t>.</w:t>
      </w:r>
    </w:p>
    <w:p w:rsidR="004409A8" w:rsidRPr="002235AC" w:rsidRDefault="004409A8" w:rsidP="007C6872">
      <w:pPr>
        <w:pStyle w:val="ListParagraph"/>
        <w:numPr>
          <w:ilvl w:val="0"/>
          <w:numId w:val="5"/>
        </w:numPr>
        <w:spacing w:after="0" w:line="240" w:lineRule="auto"/>
        <w:rPr>
          <w:szCs w:val="24"/>
          <w:lang w:val="en-GB"/>
        </w:rPr>
      </w:pPr>
      <w:r>
        <w:rPr>
          <w:szCs w:val="24"/>
          <w:lang w:val="en-GB"/>
        </w:rPr>
        <w:t>any additional and/or innovative activities not included in the tables that are informed by scientific and other evidence, or will be evaluated to help build the evidence</w:t>
      </w:r>
      <w:r w:rsidR="009F3C92">
        <w:rPr>
          <w:szCs w:val="24"/>
          <w:lang w:val="en-GB"/>
        </w:rPr>
        <w:t>.</w:t>
      </w:r>
    </w:p>
    <w:p w:rsidR="0077315F" w:rsidRDefault="008A712C" w:rsidP="007C6872">
      <w:pPr>
        <w:spacing w:before="120" w:after="120" w:line="240" w:lineRule="auto"/>
        <w:rPr>
          <w:szCs w:val="24"/>
          <w:lang w:val="en-GB"/>
        </w:rPr>
      </w:pPr>
      <w:r>
        <w:rPr>
          <w:szCs w:val="24"/>
          <w:lang w:val="en-GB"/>
        </w:rPr>
        <w:t>All public health p</w:t>
      </w:r>
      <w:r w:rsidR="0077315F" w:rsidRPr="002235AC">
        <w:rPr>
          <w:szCs w:val="24"/>
          <w:lang w:val="en-GB"/>
        </w:rPr>
        <w:t>roviders are expected to clearly demonstrate, in planning and reporting documents, how activities will contribute to the outcomes of improving Māori health a</w:t>
      </w:r>
      <w:r w:rsidR="002235AC">
        <w:rPr>
          <w:szCs w:val="24"/>
          <w:lang w:val="en-GB"/>
        </w:rPr>
        <w:t xml:space="preserve">nd achieving health equity. </w:t>
      </w:r>
    </w:p>
    <w:p w:rsidR="007C6872" w:rsidRDefault="007C6872">
      <w:pPr>
        <w:rPr>
          <w:szCs w:val="24"/>
          <w:lang w:val="en-GB"/>
        </w:rPr>
      </w:pPr>
      <w:r>
        <w:rPr>
          <w:szCs w:val="24"/>
          <w:lang w:val="en-GB"/>
        </w:rPr>
        <w:br w:type="page"/>
      </w:r>
    </w:p>
    <w:tbl>
      <w:tblPr>
        <w:tblW w:w="4997"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10490"/>
      </w:tblGrid>
      <w:tr w:rsidR="004C2DBE" w:rsidRPr="003600CB" w:rsidTr="002E0D29">
        <w:tc>
          <w:tcPr>
            <w:tcW w:w="5000" w:type="pct"/>
            <w:shd w:val="clear" w:color="auto" w:fill="BFBFBF" w:themeFill="background1" w:themeFillShade="BF"/>
            <w:vAlign w:val="center"/>
          </w:tcPr>
          <w:p w:rsidR="004C2DBE" w:rsidRPr="00670C92" w:rsidRDefault="004C2DBE" w:rsidP="007C6872">
            <w:pPr>
              <w:pStyle w:val="ListParagraph"/>
              <w:numPr>
                <w:ilvl w:val="0"/>
                <w:numId w:val="15"/>
              </w:numPr>
              <w:spacing w:before="60" w:after="60" w:line="240" w:lineRule="auto"/>
              <w:ind w:left="431" w:hanging="284"/>
              <w:rPr>
                <w:rFonts w:eastAsia="Times New Roman" w:cs="Arial"/>
                <w:b/>
                <w:bCs/>
                <w:sz w:val="28"/>
                <w:szCs w:val="28"/>
                <w:lang w:eastAsia="en-NZ"/>
              </w:rPr>
            </w:pPr>
            <w:r w:rsidRPr="004C2DBE">
              <w:rPr>
                <w:rFonts w:eastAsia="Times New Roman" w:cs="Arial"/>
                <w:b/>
                <w:bCs/>
                <w:i/>
                <w:iCs/>
                <w:sz w:val="28"/>
                <w:szCs w:val="28"/>
                <w:lang w:val="en-GB" w:eastAsia="en-NZ"/>
              </w:rPr>
              <w:lastRenderedPageBreak/>
              <w:t>Human Resource</w:t>
            </w:r>
            <w:r w:rsidRPr="004C2DBE">
              <w:rPr>
                <w:rFonts w:eastAsia="Times New Roman" w:cs="Arial"/>
                <w:b/>
                <w:bCs/>
                <w:i/>
                <w:iCs/>
                <w:sz w:val="28"/>
                <w:szCs w:val="28"/>
                <w:vertAlign w:val="superscript"/>
                <w:lang w:val="en-GB" w:eastAsia="en-NZ"/>
              </w:rPr>
              <w:footnoteReference w:id="13"/>
            </w:r>
            <w:r w:rsidRPr="004C2DBE">
              <w:rPr>
                <w:rFonts w:eastAsia="Times New Roman" w:cs="Arial"/>
                <w:b/>
                <w:bCs/>
                <w:i/>
                <w:iCs/>
                <w:sz w:val="28"/>
                <w:szCs w:val="28"/>
                <w:lang w:val="en-GB" w:eastAsia="en-NZ"/>
              </w:rPr>
              <w:t xml:space="preserve">  </w:t>
            </w:r>
          </w:p>
        </w:tc>
      </w:tr>
    </w:tbl>
    <w:p w:rsidR="004C2DBE" w:rsidRDefault="004C2DBE" w:rsidP="007C6872">
      <w:pPr>
        <w:spacing w:after="0" w:line="240" w:lineRule="auto"/>
        <w:rPr>
          <w:rFonts w:eastAsia="Times New Roman" w:cs="Arial"/>
          <w:szCs w:val="24"/>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0682"/>
      </w:tblGrid>
      <w:tr w:rsidR="004C2DBE" w:rsidRPr="004C2DBE" w:rsidTr="004C2DB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4C2DBE" w:rsidRPr="004C2DBE" w:rsidRDefault="004C2DBE" w:rsidP="007C6872">
            <w:pPr>
              <w:spacing w:after="0" w:line="240" w:lineRule="auto"/>
              <w:jc w:val="center"/>
              <w:rPr>
                <w:rFonts w:eastAsia="Times New Roman" w:cs="Arial"/>
                <w:b/>
                <w:bCs/>
                <w:color w:val="FFFFFF" w:themeColor="background1"/>
                <w:sz w:val="22"/>
                <w:lang w:eastAsia="en-NZ"/>
              </w:rPr>
            </w:pPr>
            <w:r w:rsidRPr="004C2DBE">
              <w:rPr>
                <w:rFonts w:eastAsia="Times New Roman" w:cs="Arial"/>
                <w:b/>
                <w:color w:val="FFFFFF" w:themeColor="background1"/>
                <w:szCs w:val="24"/>
                <w:lang w:val="en-GB"/>
              </w:rPr>
              <w:t xml:space="preserve">Activities </w:t>
            </w:r>
          </w:p>
        </w:tc>
      </w:tr>
      <w:tr w:rsidR="004C2DBE" w:rsidRPr="004C2DBE" w:rsidTr="004C2DB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4C2DBE" w:rsidRPr="004C2DBE" w:rsidRDefault="004C2DBE" w:rsidP="007C6872">
            <w:pPr>
              <w:spacing w:after="0" w:line="240" w:lineRule="auto"/>
              <w:jc w:val="center"/>
              <w:rPr>
                <w:rFonts w:eastAsia="Times New Roman" w:cs="Arial"/>
                <w:b/>
                <w:bCs/>
                <w:sz w:val="20"/>
                <w:szCs w:val="20"/>
                <w:lang w:eastAsia="en-NZ"/>
              </w:rPr>
            </w:pPr>
          </w:p>
        </w:tc>
      </w:tr>
      <w:tr w:rsidR="004C2DBE" w:rsidRPr="004C2DBE" w:rsidTr="004C2DBE">
        <w:trPr>
          <w:trHeight w:val="336"/>
        </w:trPr>
        <w:tc>
          <w:tcPr>
            <w:tcW w:w="5000" w:type="pct"/>
            <w:vMerge w:val="restart"/>
            <w:shd w:val="clear" w:color="auto" w:fill="auto"/>
            <w:tcMar>
              <w:top w:w="0" w:type="dxa"/>
              <w:left w:w="108" w:type="dxa"/>
              <w:bottom w:w="0" w:type="dxa"/>
              <w:right w:w="108" w:type="dxa"/>
            </w:tcMar>
          </w:tcPr>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 xml:space="preserve">In collaboration with the Ministry, </w:t>
            </w:r>
            <w:r>
              <w:rPr>
                <w:rFonts w:eastAsia="Times New Roman" w:cs="Arial"/>
                <w:szCs w:val="24"/>
                <w:lang w:val="en-GB"/>
              </w:rPr>
              <w:t xml:space="preserve">develop or </w:t>
            </w:r>
            <w:r w:rsidRPr="004C2DBE">
              <w:rPr>
                <w:rFonts w:eastAsia="Times New Roman" w:cs="Arial"/>
                <w:szCs w:val="24"/>
                <w:lang w:val="en-GB"/>
              </w:rPr>
              <w:t>contribute to the development of a stair-cased or appropriate framework of qualifications, training and ongoing education in public health to build public health capacity across a wide range of professional groups and sectors to:</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improve the leadership capability of the public health workforce through increasing or extending access to leadership programmes, mentoring and scholarships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promote careers in public health, including increased support from managers for staff undertaking relevant advanced training and education.</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implement and monitor an organisation-wide public health workforce development plan, which would include:</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developing, monitoring and reporting on SMART goals to increase percentages of public health workforce as well as public health workforce with public health or appropriate qualifications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supporting and encouraging public health sector staff</w:t>
            </w:r>
            <w:r w:rsidR="00417418">
              <w:rPr>
                <w:rFonts w:eastAsia="Times New Roman" w:cs="Arial"/>
                <w:szCs w:val="24"/>
                <w:lang w:val="en-GB"/>
              </w:rPr>
              <w:t xml:space="preserve"> </w:t>
            </w:r>
            <w:r w:rsidRPr="00417418">
              <w:rPr>
                <w:rStyle w:val="FootnoteReference"/>
              </w:rPr>
              <w:footnoteReference w:id="14"/>
            </w:r>
            <w:r w:rsidRPr="00417418">
              <w:rPr>
                <w:rStyle w:val="FootnoteReference"/>
              </w:rPr>
              <w:t xml:space="preserve"> </w:t>
            </w:r>
            <w:r w:rsidRPr="004C2DBE">
              <w:rPr>
                <w:rFonts w:eastAsia="Times New Roman" w:cs="Arial"/>
                <w:szCs w:val="24"/>
                <w:lang w:val="en-GB"/>
              </w:rPr>
              <w:t xml:space="preserve">to: </w:t>
            </w:r>
          </w:p>
          <w:p w:rsidR="004C2DBE" w:rsidRPr="004C2DBE" w:rsidRDefault="004C2DBE" w:rsidP="007C6872">
            <w:pPr>
              <w:numPr>
                <w:ilvl w:val="3"/>
                <w:numId w:val="18"/>
              </w:numPr>
              <w:spacing w:before="60" w:after="60" w:line="240" w:lineRule="auto"/>
              <w:ind w:left="885" w:hanging="284"/>
              <w:rPr>
                <w:rFonts w:eastAsia="Times New Roman" w:cs="Arial"/>
                <w:szCs w:val="24"/>
                <w:lang w:val="en-GB"/>
              </w:rPr>
            </w:pPr>
            <w:r w:rsidRPr="004C2DBE">
              <w:rPr>
                <w:rFonts w:eastAsia="Times New Roman" w:cs="Arial"/>
                <w:szCs w:val="24"/>
                <w:lang w:val="en-GB"/>
              </w:rPr>
              <w:t>attain appropriate qualifications in public health (eg, Certificate in Public Health)</w:t>
            </w:r>
          </w:p>
          <w:p w:rsidR="004C2DBE" w:rsidRPr="004C2DBE" w:rsidRDefault="004C2DBE" w:rsidP="007C6872">
            <w:pPr>
              <w:numPr>
                <w:ilvl w:val="3"/>
                <w:numId w:val="18"/>
              </w:numPr>
              <w:spacing w:before="60" w:after="60" w:line="240" w:lineRule="auto"/>
              <w:ind w:left="885" w:hanging="284"/>
              <w:rPr>
                <w:rFonts w:eastAsia="Times New Roman" w:cs="Arial"/>
                <w:szCs w:val="24"/>
                <w:lang w:val="en-GB"/>
              </w:rPr>
            </w:pPr>
            <w:r w:rsidRPr="004C2DBE">
              <w:rPr>
                <w:rFonts w:eastAsia="Times New Roman" w:cs="Arial"/>
                <w:szCs w:val="24"/>
                <w:lang w:val="en-GB"/>
              </w:rPr>
              <w:t>undertake role and competency based training and education opportunities in various public health settings to build capability (eg, special projects, mentoring, secondments)</w:t>
            </w:r>
          </w:p>
          <w:p w:rsidR="004C2DBE" w:rsidRPr="004C2DBE" w:rsidRDefault="004C2DBE" w:rsidP="007C6872">
            <w:pPr>
              <w:numPr>
                <w:ilvl w:val="3"/>
                <w:numId w:val="18"/>
              </w:numPr>
              <w:spacing w:before="60" w:after="60" w:line="240" w:lineRule="auto"/>
              <w:ind w:left="885" w:hanging="284"/>
              <w:rPr>
                <w:rFonts w:eastAsia="Times New Roman" w:cs="Arial"/>
                <w:szCs w:val="24"/>
                <w:lang w:val="en-GB"/>
              </w:rPr>
            </w:pPr>
            <w:r w:rsidRPr="004C2DBE">
              <w:rPr>
                <w:rFonts w:eastAsia="Times New Roman" w:cs="Arial"/>
                <w:szCs w:val="24"/>
                <w:lang w:val="en-GB"/>
              </w:rPr>
              <w:t>maximise their potential to use their skills and knowledge to best effect</w:t>
            </w:r>
          </w:p>
          <w:p w:rsidR="004C2DBE" w:rsidRPr="004C2DBE" w:rsidRDefault="004C2DBE" w:rsidP="007C6872">
            <w:pPr>
              <w:numPr>
                <w:ilvl w:val="3"/>
                <w:numId w:val="18"/>
              </w:numPr>
              <w:spacing w:before="60" w:after="60" w:line="240" w:lineRule="auto"/>
              <w:ind w:left="885" w:hanging="284"/>
              <w:rPr>
                <w:rFonts w:eastAsia="Times New Roman" w:cs="Arial"/>
                <w:szCs w:val="24"/>
                <w:lang w:val="en-GB"/>
              </w:rPr>
            </w:pPr>
            <w:r w:rsidRPr="004C2DBE">
              <w:rPr>
                <w:rFonts w:eastAsia="Times New Roman" w:cs="Arial"/>
                <w:szCs w:val="24"/>
                <w:lang w:val="en-GB"/>
              </w:rPr>
              <w:t xml:space="preserve">undertake training to build their skills and capability in, for example, leadership, Kaupapa Māori approaches, cultural competency training, programme planning and evaluation, emergency preparedness. </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Promote workplace culture by supporting managers to access training/mentoring in staff management, staff engagement strategies and facilitating staff professional development.</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 xml:space="preserve">Develop strategies for learning and career development opportunities, performance management, and other organisational practices designed to improve recruitment, retention and resource allocation. </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Encourage and support intersectoral professional development opportunities.</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 xml:space="preserve">Promote and implement public health approaches (including Kaupapa Māori health) focusing on </w:t>
            </w:r>
            <w:r w:rsidR="004B1FEC">
              <w:rPr>
                <w:rFonts w:eastAsia="Times New Roman" w:cs="Arial"/>
                <w:szCs w:val="24"/>
                <w:lang w:val="en-GB"/>
              </w:rPr>
              <w:t>achieving health equity</w:t>
            </w:r>
            <w:r w:rsidRPr="004C2DBE">
              <w:rPr>
                <w:rFonts w:eastAsia="Times New Roman" w:cs="Arial"/>
                <w:szCs w:val="24"/>
                <w:lang w:val="en-GB"/>
              </w:rPr>
              <w:t xml:space="preserve"> and promoting Māori health.</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 xml:space="preserve">Develop strategies aimed at strengthening leadership (specialist/technical and management) within and among the public health workforce. </w:t>
            </w:r>
          </w:p>
          <w:p w:rsidR="004C2DBE" w:rsidRPr="004C2DBE" w:rsidRDefault="004C2DBE" w:rsidP="007C6872">
            <w:pPr>
              <w:numPr>
                <w:ilvl w:val="0"/>
                <w:numId w:val="16"/>
              </w:numPr>
              <w:spacing w:before="60" w:after="60" w:line="240" w:lineRule="auto"/>
              <w:ind w:left="317" w:hanging="289"/>
              <w:rPr>
                <w:rFonts w:eastAsia="Times New Roman" w:cs="Arial"/>
                <w:szCs w:val="24"/>
                <w:lang w:val="en-GB"/>
              </w:rPr>
            </w:pPr>
            <w:r w:rsidRPr="004C2DBE">
              <w:rPr>
                <w:rFonts w:eastAsia="Times New Roman" w:cs="Arial"/>
                <w:szCs w:val="24"/>
                <w:lang w:val="en-GB"/>
              </w:rPr>
              <w:t>Collaborate with others (across DHBs</w:t>
            </w:r>
            <w:r w:rsidR="00EE00D5">
              <w:rPr>
                <w:rFonts w:eastAsia="Times New Roman" w:cs="Arial"/>
                <w:szCs w:val="24"/>
                <w:lang w:val="en-GB"/>
              </w:rPr>
              <w:t>,</w:t>
            </w:r>
            <w:r w:rsidRPr="004C2DBE">
              <w:rPr>
                <w:rFonts w:eastAsia="Times New Roman" w:cs="Arial"/>
                <w:szCs w:val="24"/>
                <w:lang w:val="en-GB"/>
              </w:rPr>
              <w:t xml:space="preserve"> appropriate other public health organisations</w:t>
            </w:r>
            <w:r w:rsidR="00EE00D5">
              <w:rPr>
                <w:rFonts w:eastAsia="Times New Roman" w:cs="Arial"/>
                <w:szCs w:val="24"/>
                <w:lang w:val="en-GB"/>
              </w:rPr>
              <w:t xml:space="preserve"> and </w:t>
            </w:r>
            <w:r w:rsidR="00EE00D5">
              <w:rPr>
                <w:rFonts w:eastAsia="Times New Roman" w:cs="Arial"/>
                <w:szCs w:val="24"/>
                <w:lang w:val="en-GB"/>
              </w:rPr>
              <w:lastRenderedPageBreak/>
              <w:t>organisations that influence public health, eg local government</w:t>
            </w:r>
            <w:r w:rsidRPr="004C2DBE">
              <w:rPr>
                <w:rFonts w:eastAsia="Times New Roman" w:cs="Arial"/>
                <w:szCs w:val="24"/>
                <w:lang w:val="en-GB"/>
              </w:rPr>
              <w:t>) to develop and implement local and/or regional public health workforce development plans.</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organisational responsiveness strategies to improve capability and capacity of Māori and non-Māori public health workforce to improve Māori health and achieve health equity. For example:</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Māori workforce recruitment, retention and professional development plans, and integration of Māori health considerations into programme planning and resource allocation (includ</w:t>
            </w:r>
            <w:r>
              <w:rPr>
                <w:rFonts w:eastAsia="Times New Roman" w:cs="Arial"/>
                <w:szCs w:val="24"/>
                <w:lang w:val="en-GB"/>
              </w:rPr>
              <w:t>ing</w:t>
            </w:r>
            <w:r w:rsidRPr="004C2DBE">
              <w:rPr>
                <w:rFonts w:eastAsia="Times New Roman" w:cs="Arial"/>
                <w:szCs w:val="24"/>
                <w:lang w:val="en-GB"/>
              </w:rPr>
              <w:t xml:space="preserve"> appropriate Māori and Pacific leadership models)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maximise opportunities in other capability and capacity development objectives to further Māori and Pacific public health workforce priorities.</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and deliver training (eg, workshops) to own organisation staff or to wider Public Health sector staff (ie, outside own organisation).</w:t>
            </w: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bl>
    <w:p w:rsidR="004C2DBE" w:rsidRDefault="004C2DBE" w:rsidP="007C6872">
      <w:pPr>
        <w:spacing w:before="120" w:after="120" w:line="240" w:lineRule="auto"/>
        <w:rPr>
          <w:rFonts w:eastAsia="Times New Roman" w:cs="Arial"/>
          <w:szCs w:val="24"/>
          <w:lang w:val="en-GB"/>
        </w:rPr>
      </w:pPr>
    </w:p>
    <w:tbl>
      <w:tblPr>
        <w:tblW w:w="4997"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10490"/>
      </w:tblGrid>
      <w:tr w:rsidR="004C2DBE" w:rsidRPr="004C2DBE" w:rsidTr="002E0D29">
        <w:tc>
          <w:tcPr>
            <w:tcW w:w="5000" w:type="pct"/>
            <w:shd w:val="clear" w:color="auto" w:fill="BFBFBF" w:themeFill="background1" w:themeFillShade="BF"/>
            <w:vAlign w:val="center"/>
          </w:tcPr>
          <w:p w:rsidR="004C2DBE" w:rsidRPr="004C2DBE" w:rsidRDefault="004C2DBE" w:rsidP="007C6872">
            <w:pPr>
              <w:pStyle w:val="ListParagraph"/>
              <w:numPr>
                <w:ilvl w:val="0"/>
                <w:numId w:val="15"/>
              </w:numPr>
              <w:spacing w:before="60" w:after="60" w:line="240" w:lineRule="auto"/>
              <w:ind w:left="431" w:hanging="284"/>
              <w:rPr>
                <w:rFonts w:eastAsia="Times New Roman" w:cs="Arial"/>
                <w:szCs w:val="24"/>
                <w:lang w:val="en-GB"/>
              </w:rPr>
            </w:pPr>
            <w:r w:rsidRPr="004C2DBE">
              <w:rPr>
                <w:rFonts w:eastAsia="Times New Roman" w:cs="Arial"/>
                <w:b/>
                <w:bCs/>
                <w:i/>
                <w:iCs/>
                <w:sz w:val="28"/>
                <w:szCs w:val="28"/>
                <w:lang w:val="en-GB" w:eastAsia="en-NZ"/>
              </w:rPr>
              <w:t>Information</w:t>
            </w:r>
            <w:r w:rsidRPr="004C2DBE">
              <w:rPr>
                <w:rFonts w:eastAsia="Times New Roman" w:cs="Arial"/>
                <w:szCs w:val="24"/>
                <w:lang w:val="en-GB"/>
              </w:rPr>
              <w:t xml:space="preserve"> </w:t>
            </w:r>
            <w:r w:rsidRPr="004C2DBE">
              <w:rPr>
                <w:rFonts w:eastAsia="Times New Roman" w:cs="Arial"/>
                <w:b/>
                <w:bCs/>
                <w:i/>
                <w:iCs/>
                <w:sz w:val="28"/>
                <w:szCs w:val="28"/>
                <w:lang w:val="en-GB" w:eastAsia="en-NZ"/>
              </w:rPr>
              <w:t>and Knowledge</w:t>
            </w:r>
          </w:p>
        </w:tc>
      </w:tr>
    </w:tbl>
    <w:p w:rsidR="004C2DBE" w:rsidRDefault="004C2DBE" w:rsidP="007C6872">
      <w:pPr>
        <w:spacing w:after="0" w:line="240" w:lineRule="auto"/>
        <w:rPr>
          <w:rFonts w:eastAsia="Times New Roman" w:cs="Arial"/>
          <w:szCs w:val="24"/>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0682"/>
      </w:tblGrid>
      <w:tr w:rsidR="004C2DBE" w:rsidRPr="004C2DBE" w:rsidTr="004C2DB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4C2DBE" w:rsidRPr="004C2DBE" w:rsidRDefault="004C2DBE" w:rsidP="007C6872">
            <w:pPr>
              <w:spacing w:after="0" w:line="240" w:lineRule="auto"/>
              <w:jc w:val="center"/>
              <w:rPr>
                <w:rFonts w:eastAsia="Times New Roman" w:cs="Arial"/>
                <w:b/>
                <w:szCs w:val="24"/>
                <w:lang w:val="en-GB"/>
              </w:rPr>
            </w:pPr>
            <w:r w:rsidRPr="004C2DBE">
              <w:rPr>
                <w:rFonts w:eastAsia="Times New Roman" w:cs="Arial"/>
                <w:b/>
                <w:color w:val="FFFFFF" w:themeColor="background1"/>
                <w:szCs w:val="24"/>
                <w:lang w:val="en-GB"/>
              </w:rPr>
              <w:t xml:space="preserve">Activities </w:t>
            </w:r>
          </w:p>
        </w:tc>
      </w:tr>
      <w:tr w:rsidR="004C2DBE" w:rsidRPr="004C2DBE" w:rsidTr="004C2DB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4C2DBE" w:rsidRPr="004C2DBE" w:rsidRDefault="004C2DBE" w:rsidP="007C6872">
            <w:pPr>
              <w:spacing w:after="0" w:line="240" w:lineRule="auto"/>
              <w:jc w:val="center"/>
              <w:rPr>
                <w:rFonts w:eastAsia="Times New Roman" w:cs="Arial"/>
                <w:szCs w:val="24"/>
                <w:lang w:val="en-GB"/>
              </w:rPr>
            </w:pPr>
          </w:p>
        </w:tc>
      </w:tr>
      <w:tr w:rsidR="004C2DBE" w:rsidRPr="004C2DBE" w:rsidTr="004C2DBE">
        <w:trPr>
          <w:trHeight w:val="336"/>
        </w:trPr>
        <w:tc>
          <w:tcPr>
            <w:tcW w:w="5000" w:type="pct"/>
            <w:vMerge w:val="restart"/>
            <w:shd w:val="clear" w:color="auto" w:fill="auto"/>
            <w:tcMar>
              <w:top w:w="0" w:type="dxa"/>
              <w:left w:w="108" w:type="dxa"/>
              <w:bottom w:w="0" w:type="dxa"/>
              <w:right w:w="108" w:type="dxa"/>
            </w:tcMar>
          </w:tcPr>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innovative programmes/proactive interventions</w:t>
            </w:r>
            <w:r w:rsidR="00656477">
              <w:rPr>
                <w:rFonts w:eastAsia="Times New Roman" w:cs="Arial"/>
                <w:szCs w:val="24"/>
                <w:lang w:val="en-GB"/>
              </w:rPr>
              <w:t xml:space="preserve"> that:</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apply programme planning and quality management frameworks for public health, including monitoring and performance assessment</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ensure quality assurance for programme development is based on evidence</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where appropriate, ensure co-design and priority setting and a coordinated approach across organisation/s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ensure timely community consultation/engagement/participation for programme development and implementation</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use credible results to contribute to body of knowledge and evidence.</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measurable outcomes and data (ie, population indicators and/or performance measures) for existing and new public health programmes and ensure these are routinely monitored, refined and reported on.</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Use evidence based research</w:t>
            </w:r>
            <w:r w:rsidRPr="00417418">
              <w:rPr>
                <w:rStyle w:val="FootnoteReference"/>
              </w:rPr>
              <w:footnoteReference w:id="15"/>
            </w:r>
            <w:r w:rsidRPr="00417418">
              <w:rPr>
                <w:rStyle w:val="FootnoteReference"/>
              </w:rPr>
              <w:t xml:space="preserve"> </w:t>
            </w:r>
            <w:r w:rsidRPr="004C2DBE">
              <w:rPr>
                <w:rFonts w:eastAsia="Times New Roman" w:cs="Arial"/>
                <w:szCs w:val="24"/>
                <w:lang w:val="en-GB"/>
              </w:rPr>
              <w:t xml:space="preserve">and evaluation to develop, plan and implement public health programmes and services. </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 xml:space="preserve">Conduct research and evaluation (including with kaupapa Māori methods) of public health programmes and interventions, including a focus on improving Māori health and </w:t>
            </w:r>
            <w:r w:rsidR="004B1FEC">
              <w:rPr>
                <w:rFonts w:eastAsia="Times New Roman" w:cs="Arial"/>
                <w:szCs w:val="24"/>
                <w:lang w:val="en-GB"/>
              </w:rPr>
              <w:t>achieving health equity</w:t>
            </w:r>
            <w:r w:rsidRPr="004C2DBE">
              <w:rPr>
                <w:rFonts w:eastAsia="Times New Roman" w:cs="Arial"/>
                <w:szCs w:val="24"/>
                <w:lang w:val="en-GB"/>
              </w:rPr>
              <w:t>:</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engage with appropriate iwi, kaumatua, community stakeholders and gatekeepers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ensure there is adequate theory/ies and/or strong rationale for why the research is being carried out, and what the eventual results might be </w:t>
            </w:r>
            <w:r w:rsidR="009B4D01">
              <w:rPr>
                <w:rFonts w:eastAsia="Times New Roman" w:cs="Arial"/>
                <w:szCs w:val="24"/>
                <w:lang w:val="en-GB"/>
              </w:rPr>
              <w:t xml:space="preserve">used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compile, synthesise and share programme outcomes through health networks and publications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translate complex contemporary research results into local information and knowledge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lastRenderedPageBreak/>
              <w:t xml:space="preserve">communicate achievements of public health programmes and share lessons learnt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promote public health teaching and training </w:t>
            </w:r>
            <w:r>
              <w:rPr>
                <w:rFonts w:eastAsia="Times New Roman" w:cs="Arial"/>
                <w:szCs w:val="24"/>
                <w:lang w:val="en-GB"/>
              </w:rPr>
              <w:t>(including teaching and training of non-public health workforce)</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contribute to teaching materials and public health curriculum</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contribute to the education and training of other </w:t>
            </w:r>
            <w:r w:rsidR="003B7D43">
              <w:rPr>
                <w:rFonts w:eastAsia="Times New Roman" w:cs="Arial"/>
                <w:szCs w:val="24"/>
                <w:lang w:val="en-GB"/>
              </w:rPr>
              <w:t>staff</w:t>
            </w:r>
            <w:r w:rsidRPr="004C2DBE">
              <w:rPr>
                <w:rFonts w:eastAsia="Times New Roman" w:cs="Arial"/>
                <w:szCs w:val="24"/>
                <w:lang w:val="en-GB"/>
              </w:rPr>
              <w:t xml:space="preserve"> (ie, students and colleagues).</w:t>
            </w:r>
          </w:p>
          <w:p w:rsidR="004C2DBE" w:rsidRPr="004C2DBE" w:rsidRDefault="004C2DBE" w:rsidP="007C6872">
            <w:pPr>
              <w:pStyle w:val="ListParagraph"/>
              <w:numPr>
                <w:ilvl w:val="0"/>
                <w:numId w:val="16"/>
              </w:numPr>
              <w:spacing w:before="60" w:after="60" w:line="240" w:lineRule="auto"/>
              <w:ind w:left="318" w:hanging="289"/>
              <w:contextualSpacing w:val="0"/>
              <w:rPr>
                <w:rFonts w:eastAsia="Times New Roman" w:cs="Arial"/>
                <w:szCs w:val="24"/>
                <w:lang w:val="en-GB"/>
              </w:rPr>
            </w:pPr>
            <w:r w:rsidRPr="004C2DBE">
              <w:rPr>
                <w:rFonts w:eastAsia="Times New Roman" w:cs="Arial"/>
                <w:szCs w:val="24"/>
                <w:lang w:val="en-GB"/>
              </w:rPr>
              <w:t>Provide adequate and accessible storage and distribution of health education resources</w:t>
            </w:r>
            <w:r w:rsidRPr="00417418">
              <w:rPr>
                <w:rStyle w:val="FootnoteReference"/>
              </w:rPr>
              <w:footnoteReference w:id="16"/>
            </w:r>
            <w:r w:rsidRPr="004C2DBE">
              <w:rPr>
                <w:rFonts w:eastAsia="Times New Roman" w:cs="Arial"/>
                <w:szCs w:val="24"/>
                <w:lang w:val="en-GB"/>
              </w:rPr>
              <w:t>:</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store adequate stocks of all approved health education materials to meet </w:t>
            </w:r>
            <w:r>
              <w:rPr>
                <w:rFonts w:eastAsia="Times New Roman" w:cs="Arial"/>
                <w:szCs w:val="24"/>
                <w:lang w:val="en-GB"/>
              </w:rPr>
              <w:t xml:space="preserve">local and </w:t>
            </w:r>
            <w:r w:rsidRPr="004C2DBE">
              <w:rPr>
                <w:rFonts w:eastAsia="Times New Roman" w:cs="Arial"/>
                <w:szCs w:val="24"/>
                <w:lang w:val="en-GB"/>
              </w:rPr>
              <w:t>regional demands for resources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ensure that health information resources are available in support of public health programmes, and distributed promptly on request</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provide a specific ‘authorised provider’ point of contact for queries about health education resources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copy and distribute the Catalogue of Health Education Resources to interested organisations and individuals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ensure health education resources are freely accessible and available to public health services staff and other organisations and individuals, including providing a responsive and culturally appropriate contact for requests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foster the development and maintenance of databases and networks that support the distribution of health education resources, including identifying appropriate community groups and organisations to which targeted resources should be sent proactively.</w:t>
            </w:r>
          </w:p>
          <w:p w:rsidR="004C2DBE" w:rsidRPr="004C2DBE" w:rsidRDefault="004C2DBE" w:rsidP="007C6872">
            <w:pPr>
              <w:spacing w:before="60" w:after="60" w:line="240" w:lineRule="auto"/>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bl>
    <w:p w:rsidR="004C2DBE" w:rsidRDefault="004C2DBE" w:rsidP="007C6872">
      <w:pPr>
        <w:spacing w:before="120" w:after="120" w:line="240" w:lineRule="auto"/>
        <w:rPr>
          <w:rFonts w:eastAsia="Times New Roman" w:cs="Arial"/>
          <w:szCs w:val="24"/>
          <w:lang w:val="en-GB"/>
        </w:rPr>
      </w:pPr>
    </w:p>
    <w:tbl>
      <w:tblPr>
        <w:tblW w:w="4997"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10490"/>
      </w:tblGrid>
      <w:tr w:rsidR="004C2DBE" w:rsidRPr="004C2DBE" w:rsidTr="002E0D29">
        <w:tc>
          <w:tcPr>
            <w:tcW w:w="5000" w:type="pct"/>
            <w:shd w:val="clear" w:color="auto" w:fill="BFBFBF" w:themeFill="background1" w:themeFillShade="BF"/>
            <w:vAlign w:val="center"/>
          </w:tcPr>
          <w:p w:rsidR="004C2DBE" w:rsidRPr="004C2DBE" w:rsidRDefault="004C2DBE" w:rsidP="007C6872">
            <w:pPr>
              <w:pStyle w:val="ListParagraph"/>
              <w:numPr>
                <w:ilvl w:val="0"/>
                <w:numId w:val="15"/>
              </w:numPr>
              <w:spacing w:before="60" w:after="60" w:line="240" w:lineRule="auto"/>
              <w:rPr>
                <w:rFonts w:eastAsia="Times New Roman" w:cs="Arial"/>
                <w:szCs w:val="24"/>
                <w:lang w:val="en-GB"/>
              </w:rPr>
            </w:pPr>
            <w:r w:rsidRPr="004C2DBE">
              <w:rPr>
                <w:rFonts w:eastAsia="Times New Roman" w:cs="Arial"/>
                <w:b/>
                <w:bCs/>
                <w:i/>
                <w:iCs/>
                <w:sz w:val="28"/>
                <w:szCs w:val="28"/>
                <w:lang w:val="en-GB" w:eastAsia="en-NZ"/>
              </w:rPr>
              <w:t>Organisation and infrastructural capacity (see also Public Health Assessment and Surveillance)</w:t>
            </w:r>
          </w:p>
        </w:tc>
      </w:tr>
    </w:tbl>
    <w:p w:rsidR="004C2DBE" w:rsidRDefault="004C2DBE" w:rsidP="007C6872">
      <w:pPr>
        <w:spacing w:after="0" w:line="240" w:lineRule="auto"/>
        <w:rPr>
          <w:rFonts w:eastAsia="Times New Roman" w:cs="Arial"/>
          <w:szCs w:val="24"/>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0682"/>
      </w:tblGrid>
      <w:tr w:rsidR="004C2DBE" w:rsidRPr="004C2DBE" w:rsidTr="002E0D29">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4C2DBE" w:rsidRPr="004C2DBE" w:rsidRDefault="004C2DBE" w:rsidP="007C6872">
            <w:pPr>
              <w:spacing w:after="0" w:line="240" w:lineRule="auto"/>
              <w:jc w:val="center"/>
              <w:rPr>
                <w:rFonts w:eastAsia="Times New Roman" w:cs="Arial"/>
                <w:szCs w:val="24"/>
                <w:lang w:val="en-GB"/>
              </w:rPr>
            </w:pPr>
            <w:r w:rsidRPr="004C2DBE">
              <w:rPr>
                <w:rFonts w:eastAsia="Times New Roman" w:cs="Arial"/>
                <w:b/>
                <w:color w:val="FFFFFF" w:themeColor="background1"/>
                <w:szCs w:val="24"/>
                <w:lang w:val="en-GB"/>
              </w:rPr>
              <w:t xml:space="preserve">Activities </w:t>
            </w:r>
          </w:p>
        </w:tc>
      </w:tr>
      <w:tr w:rsidR="004C2DBE" w:rsidRPr="004C2DBE" w:rsidTr="002E0D29">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4C2DBE" w:rsidRPr="004C2DBE" w:rsidRDefault="004C2DBE" w:rsidP="007C6872">
            <w:pPr>
              <w:spacing w:after="0" w:line="240" w:lineRule="auto"/>
              <w:jc w:val="center"/>
              <w:rPr>
                <w:rFonts w:eastAsia="Times New Roman" w:cs="Arial"/>
                <w:szCs w:val="24"/>
                <w:lang w:val="en-GB"/>
              </w:rPr>
            </w:pPr>
          </w:p>
        </w:tc>
      </w:tr>
      <w:tr w:rsidR="004C2DBE" w:rsidRPr="004C2DBE" w:rsidTr="002E0D29">
        <w:trPr>
          <w:trHeight w:val="388"/>
        </w:trPr>
        <w:tc>
          <w:tcPr>
            <w:tcW w:w="5000" w:type="pct"/>
            <w:vMerge w:val="restart"/>
            <w:shd w:val="clear" w:color="auto" w:fill="auto"/>
            <w:tcMar>
              <w:top w:w="0" w:type="dxa"/>
              <w:left w:w="108" w:type="dxa"/>
              <w:bottom w:w="0" w:type="dxa"/>
              <w:right w:w="108" w:type="dxa"/>
            </w:tcMar>
          </w:tcPr>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and implement strategies to develop and maintain the capacity and capability of the public health information system, to effect improvements and strategic investments, to:</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increase accessibility to public health information by public health </w:t>
            </w:r>
            <w:r>
              <w:rPr>
                <w:rFonts w:eastAsia="Times New Roman" w:cs="Arial"/>
                <w:szCs w:val="24"/>
                <w:lang w:val="en-GB"/>
              </w:rPr>
              <w:t xml:space="preserve">workers </w:t>
            </w:r>
            <w:r w:rsidRPr="004C2DBE">
              <w:rPr>
                <w:rFonts w:eastAsia="Times New Roman" w:cs="Arial"/>
                <w:szCs w:val="24"/>
                <w:lang w:val="en-GB"/>
              </w:rPr>
              <w:t>and others such as allied health practitioners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ensure the organisations</w:t>
            </w:r>
            <w:r w:rsidR="00977413">
              <w:rPr>
                <w:rFonts w:eastAsia="Times New Roman" w:cs="Arial"/>
                <w:szCs w:val="24"/>
                <w:lang w:val="en-GB"/>
              </w:rPr>
              <w:t>’</w:t>
            </w:r>
            <w:r w:rsidRPr="004C2DBE">
              <w:rPr>
                <w:rFonts w:eastAsia="Times New Roman" w:cs="Arial"/>
                <w:szCs w:val="24"/>
                <w:lang w:val="en-GB"/>
              </w:rPr>
              <w:t xml:space="preserve"> health information systems meet Ministry</w:t>
            </w:r>
            <w:r w:rsidR="00D90B36">
              <w:rPr>
                <w:rFonts w:eastAsia="Times New Roman" w:cs="Arial"/>
                <w:szCs w:val="24"/>
                <w:lang w:val="en-GB"/>
              </w:rPr>
              <w:t>’s</w:t>
            </w:r>
            <w:r w:rsidRPr="004C2DBE">
              <w:rPr>
                <w:rFonts w:eastAsia="Times New Roman" w:cs="Arial"/>
                <w:szCs w:val="24"/>
                <w:lang w:val="en-GB"/>
              </w:rPr>
              <w:t xml:space="preserve"> </w:t>
            </w:r>
            <w:r w:rsidR="009B4D01">
              <w:rPr>
                <w:rFonts w:eastAsia="Times New Roman" w:cs="Arial"/>
                <w:szCs w:val="24"/>
                <w:lang w:val="en-GB"/>
              </w:rPr>
              <w:t>i</w:t>
            </w:r>
            <w:r w:rsidR="00417418">
              <w:rPr>
                <w:rFonts w:eastAsia="Times New Roman" w:cs="Arial"/>
                <w:szCs w:val="24"/>
                <w:lang w:val="en-GB"/>
              </w:rPr>
              <w:t xml:space="preserve">nformation </w:t>
            </w:r>
            <w:r w:rsidR="009B4D01">
              <w:rPr>
                <w:rFonts w:eastAsia="Times New Roman" w:cs="Arial"/>
                <w:szCs w:val="24"/>
                <w:lang w:val="en-GB"/>
              </w:rPr>
              <w:t>t</w:t>
            </w:r>
            <w:r w:rsidR="00417418">
              <w:rPr>
                <w:rFonts w:eastAsia="Times New Roman" w:cs="Arial"/>
                <w:szCs w:val="24"/>
                <w:lang w:val="en-GB"/>
              </w:rPr>
              <w:t xml:space="preserve">echnology </w:t>
            </w:r>
            <w:r w:rsidR="009B4D01">
              <w:rPr>
                <w:rFonts w:eastAsia="Times New Roman" w:cs="Arial"/>
                <w:szCs w:val="24"/>
                <w:lang w:val="en-GB"/>
              </w:rPr>
              <w:t>c</w:t>
            </w:r>
            <w:r w:rsidR="00417418">
              <w:rPr>
                <w:rFonts w:eastAsia="Times New Roman" w:cs="Arial"/>
                <w:szCs w:val="24"/>
                <w:lang w:val="en-GB"/>
              </w:rPr>
              <w:t xml:space="preserve">ore </w:t>
            </w:r>
            <w:r w:rsidR="009B4D01">
              <w:rPr>
                <w:rFonts w:eastAsia="Times New Roman" w:cs="Arial"/>
                <w:szCs w:val="24"/>
                <w:lang w:val="en-GB"/>
              </w:rPr>
              <w:t>s</w:t>
            </w:r>
            <w:r w:rsidRPr="004C2DBE">
              <w:rPr>
                <w:rFonts w:eastAsia="Times New Roman" w:cs="Arial"/>
                <w:szCs w:val="24"/>
                <w:lang w:val="en-GB"/>
              </w:rPr>
              <w:t>tandards.</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appropriate information communication technology strategies which focus on:</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enabling effective communication within and between the public health system and health care providers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monitoring and reporting o</w:t>
            </w:r>
            <w:r w:rsidR="004B1FEC">
              <w:rPr>
                <w:rFonts w:eastAsia="Times New Roman" w:cs="Arial"/>
                <w:szCs w:val="24"/>
                <w:lang w:val="en-GB"/>
              </w:rPr>
              <w:t>f public health activities (eg,</w:t>
            </w:r>
            <w:r w:rsidRPr="004C2DBE">
              <w:rPr>
                <w:rFonts w:eastAsia="Times New Roman" w:cs="Arial"/>
                <w:szCs w:val="24"/>
                <w:lang w:val="en-GB"/>
              </w:rPr>
              <w:t xml:space="preserve"> appropriate electronic templates are developed and consistently used across organisation</w:t>
            </w:r>
            <w:r w:rsidR="00977413">
              <w:rPr>
                <w:rFonts w:eastAsia="Times New Roman" w:cs="Arial"/>
                <w:szCs w:val="24"/>
                <w:lang w:val="en-GB"/>
              </w:rPr>
              <w:t>s</w:t>
            </w:r>
            <w:r w:rsidRPr="004C2DBE">
              <w:rPr>
                <w:rFonts w:eastAsia="Times New Roman" w:cs="Arial"/>
                <w:szCs w:val="24"/>
                <w:lang w:val="en-GB"/>
              </w:rPr>
              <w:t>).</w:t>
            </w:r>
          </w:p>
          <w:p w:rsidR="00417418" w:rsidRDefault="004C2DBE" w:rsidP="007C6872">
            <w:pPr>
              <w:numPr>
                <w:ilvl w:val="0"/>
                <w:numId w:val="16"/>
              </w:numPr>
              <w:spacing w:before="60" w:after="60" w:line="240" w:lineRule="auto"/>
              <w:ind w:left="318" w:hanging="289"/>
              <w:rPr>
                <w:rFonts w:eastAsia="Times New Roman" w:cs="Arial"/>
                <w:szCs w:val="24"/>
                <w:lang w:val="en-GB"/>
              </w:rPr>
            </w:pPr>
            <w:r w:rsidRPr="00417418">
              <w:rPr>
                <w:rFonts w:eastAsia="Times New Roman" w:cs="Arial"/>
                <w:szCs w:val="24"/>
                <w:lang w:val="en-GB"/>
              </w:rPr>
              <w:t>Develop and maintain necessary linkages between public health information systems and other relevant information systems</w:t>
            </w:r>
            <w:r w:rsidR="00417418">
              <w:rPr>
                <w:rStyle w:val="FootnoteReference"/>
                <w:rFonts w:eastAsia="Times New Roman" w:cs="Arial"/>
                <w:szCs w:val="24"/>
                <w:lang w:val="en-GB"/>
              </w:rPr>
              <w:footnoteReference w:id="17"/>
            </w:r>
            <w:r w:rsidRPr="00417418">
              <w:rPr>
                <w:rFonts w:eastAsia="Times New Roman" w:cs="Arial"/>
                <w:szCs w:val="24"/>
                <w:lang w:val="en-GB"/>
              </w:rPr>
              <w:t xml:space="preserve"> </w:t>
            </w:r>
          </w:p>
          <w:p w:rsidR="004C2DBE" w:rsidRPr="00417418" w:rsidRDefault="004C2DBE" w:rsidP="007C6872">
            <w:pPr>
              <w:numPr>
                <w:ilvl w:val="0"/>
                <w:numId w:val="16"/>
              </w:numPr>
              <w:spacing w:before="60" w:after="60" w:line="240" w:lineRule="auto"/>
              <w:ind w:left="318" w:hanging="289"/>
              <w:rPr>
                <w:rFonts w:eastAsia="Times New Roman" w:cs="Arial"/>
                <w:szCs w:val="24"/>
                <w:lang w:val="en-GB"/>
              </w:rPr>
            </w:pPr>
            <w:r w:rsidRPr="00417418">
              <w:rPr>
                <w:rFonts w:eastAsia="Times New Roman" w:cs="Arial"/>
                <w:szCs w:val="24"/>
                <w:lang w:val="en-GB"/>
              </w:rPr>
              <w:lastRenderedPageBreak/>
              <w:t xml:space="preserve">Contribute where appropriate to regional and national public health information systems planning and development. </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Undertake strategic/operational/business planning of service (including business continuity planning) recognising resources, regional priorities, and issues.</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Use, as appropriate, Whānau Ora Health Impact Assessment (WOHIA) tool, the Health Equity Assessment Tool</w:t>
            </w:r>
            <w:r w:rsidR="007C6872">
              <w:rPr>
                <w:rFonts w:eastAsia="Times New Roman" w:cs="Arial"/>
                <w:szCs w:val="24"/>
                <w:lang w:val="en-GB"/>
              </w:rPr>
              <w:t xml:space="preserve"> </w:t>
            </w:r>
            <w:r w:rsidR="007C6872" w:rsidRPr="004C2DBE">
              <w:rPr>
                <w:rFonts w:eastAsia="Times New Roman" w:cs="Arial"/>
                <w:szCs w:val="24"/>
                <w:lang w:val="en-GB"/>
              </w:rPr>
              <w:t>(HEAT)</w:t>
            </w:r>
            <w:r w:rsidRPr="004C2DBE">
              <w:rPr>
                <w:rFonts w:eastAsia="Times New Roman" w:cs="Arial"/>
                <w:szCs w:val="24"/>
                <w:lang w:val="en-GB"/>
              </w:rPr>
              <w:t>: A User's Guide and other appropriate tools for programme development and implementation.</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Support and develop effective governance structures and management arrangements, ensuring the following:</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clarity on scope of governance role and responsibilities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purposeful recruitment for required skills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opportunity to do appropriate training (eg, human resources financial training for board members)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advocates and ensures appropriate governance and service management core standards are considered and adhered to.</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quality improvement plans for the organisation and ensure culture and systems for continuous quality improvement.</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Ensure organisational policy development and review processes are well established and understood by staff.</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evidenced-based tool/s</w:t>
            </w:r>
            <w:r w:rsidRPr="00417418">
              <w:rPr>
                <w:rStyle w:val="FootnoteReference"/>
              </w:rPr>
              <w:footnoteReference w:id="18"/>
            </w:r>
            <w:r w:rsidRPr="004C2DBE">
              <w:rPr>
                <w:rFonts w:eastAsia="Times New Roman" w:cs="Arial"/>
                <w:szCs w:val="24"/>
                <w:lang w:val="en-GB"/>
              </w:rPr>
              <w:t xml:space="preserve"> for assessing shifts in the workforce knowledge, skill, understanding, beliefs and behaviours.</w:t>
            </w: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r w:rsidR="004C2DBE" w:rsidRPr="004C2DBE" w:rsidTr="002E0D29">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bl>
    <w:p w:rsidR="004C2DBE" w:rsidRDefault="004C2DBE" w:rsidP="007C6872">
      <w:pPr>
        <w:spacing w:before="120" w:after="120" w:line="240" w:lineRule="auto"/>
        <w:rPr>
          <w:rFonts w:eastAsia="Times New Roman" w:cs="Arial"/>
          <w:szCs w:val="24"/>
          <w:lang w:val="en-GB"/>
        </w:rPr>
      </w:pPr>
    </w:p>
    <w:tbl>
      <w:tblPr>
        <w:tblW w:w="4997" w:type="pct"/>
        <w:tblInd w:w="15"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10490"/>
      </w:tblGrid>
      <w:tr w:rsidR="004C2DBE" w:rsidRPr="004C2DBE" w:rsidTr="004C2DBE">
        <w:tc>
          <w:tcPr>
            <w:tcW w:w="5000" w:type="pct"/>
            <w:shd w:val="clear" w:color="auto" w:fill="BFBFBF" w:themeFill="background1" w:themeFillShade="BF"/>
            <w:vAlign w:val="center"/>
          </w:tcPr>
          <w:p w:rsidR="004C2DBE" w:rsidRPr="004C2DBE" w:rsidRDefault="004C2DBE" w:rsidP="007C6872">
            <w:pPr>
              <w:pStyle w:val="ListParagraph"/>
              <w:numPr>
                <w:ilvl w:val="0"/>
                <w:numId w:val="15"/>
              </w:numPr>
              <w:spacing w:before="60" w:after="60" w:line="240" w:lineRule="auto"/>
              <w:rPr>
                <w:rFonts w:eastAsia="Times New Roman" w:cs="Arial"/>
                <w:szCs w:val="24"/>
                <w:lang w:val="en-GB"/>
              </w:rPr>
            </w:pPr>
            <w:r w:rsidRPr="004C2DBE">
              <w:rPr>
                <w:rFonts w:eastAsia="Times New Roman" w:cs="Arial"/>
                <w:b/>
                <w:bCs/>
                <w:i/>
                <w:iCs/>
                <w:sz w:val="28"/>
                <w:szCs w:val="28"/>
                <w:lang w:val="en-GB" w:eastAsia="en-NZ"/>
              </w:rPr>
              <w:t>Networks and Partnerships</w:t>
            </w:r>
          </w:p>
        </w:tc>
      </w:tr>
    </w:tbl>
    <w:p w:rsidR="00185839" w:rsidRPr="004C2DBE" w:rsidRDefault="00185839" w:rsidP="007C6872">
      <w:pPr>
        <w:spacing w:after="0" w:line="240" w:lineRule="auto"/>
        <w:rPr>
          <w:rFonts w:eastAsia="Times New Roman" w:cs="Arial"/>
          <w:szCs w:val="24"/>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0682"/>
      </w:tblGrid>
      <w:tr w:rsidR="004C2DBE" w:rsidRPr="004C2DBE" w:rsidTr="004C2DBE">
        <w:trPr>
          <w:trHeight w:val="312"/>
          <w:tblHeader/>
        </w:trPr>
        <w:tc>
          <w:tcPr>
            <w:tcW w:w="5000"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rsidR="004C2DBE" w:rsidRPr="004C2DBE" w:rsidRDefault="004C2DBE" w:rsidP="007C6872">
            <w:pPr>
              <w:spacing w:after="0" w:line="240" w:lineRule="auto"/>
              <w:jc w:val="center"/>
              <w:rPr>
                <w:rFonts w:eastAsia="Times New Roman" w:cs="Arial"/>
                <w:szCs w:val="24"/>
                <w:lang w:val="en-GB"/>
              </w:rPr>
            </w:pPr>
            <w:r w:rsidRPr="004C2DBE">
              <w:rPr>
                <w:rFonts w:eastAsia="Times New Roman" w:cs="Arial"/>
                <w:b/>
                <w:color w:val="FFFFFF" w:themeColor="background1"/>
                <w:szCs w:val="24"/>
                <w:lang w:val="en-GB"/>
              </w:rPr>
              <w:t xml:space="preserve">Activities </w:t>
            </w:r>
          </w:p>
        </w:tc>
      </w:tr>
      <w:tr w:rsidR="004C2DBE" w:rsidRPr="004C2DBE" w:rsidTr="004C2DBE">
        <w:trPr>
          <w:trHeight w:val="312"/>
          <w:tblHeader/>
        </w:trPr>
        <w:tc>
          <w:tcPr>
            <w:tcW w:w="5000"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rsidR="004C2DBE" w:rsidRPr="004C2DBE" w:rsidRDefault="004C2DBE" w:rsidP="007C6872">
            <w:pPr>
              <w:spacing w:after="0" w:line="240" w:lineRule="auto"/>
              <w:jc w:val="center"/>
              <w:rPr>
                <w:rFonts w:eastAsia="Times New Roman" w:cs="Arial"/>
                <w:szCs w:val="24"/>
                <w:lang w:val="en-GB"/>
              </w:rPr>
            </w:pPr>
          </w:p>
        </w:tc>
      </w:tr>
      <w:tr w:rsidR="004C2DBE" w:rsidRPr="004C2DBE" w:rsidTr="004C2DBE">
        <w:trPr>
          <w:trHeight w:val="396"/>
        </w:trPr>
        <w:tc>
          <w:tcPr>
            <w:tcW w:w="5000" w:type="pct"/>
            <w:vMerge w:val="restart"/>
            <w:shd w:val="clear" w:color="auto" w:fill="auto"/>
            <w:tcMar>
              <w:top w:w="0" w:type="dxa"/>
              <w:left w:w="108" w:type="dxa"/>
              <w:bottom w:w="0" w:type="dxa"/>
              <w:right w:w="108" w:type="dxa"/>
            </w:tcMar>
          </w:tcPr>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appropriate public health network/s with clear membership roles, scope, purpose and expectations to:</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maintain effective networks for strategic alliances and sharing of learning and experiences</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provide secretariat support as required and appropriate to facilitate and coordinate activities of network</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Link with agencies that share contributi</w:t>
            </w:r>
            <w:r w:rsidR="004B1FEC">
              <w:rPr>
                <w:rFonts w:eastAsia="Times New Roman" w:cs="Arial"/>
                <w:szCs w:val="24"/>
                <w:lang w:val="en-GB"/>
              </w:rPr>
              <w:t>on to common health outcomes (e</w:t>
            </w:r>
            <w:r w:rsidRPr="004C2DBE">
              <w:rPr>
                <w:rFonts w:eastAsia="Times New Roman" w:cs="Arial"/>
                <w:szCs w:val="24"/>
                <w:lang w:val="en-GB"/>
              </w:rPr>
              <w:t>g</w:t>
            </w:r>
            <w:r w:rsidR="004B1FEC">
              <w:rPr>
                <w:rFonts w:eastAsia="Times New Roman" w:cs="Arial"/>
                <w:szCs w:val="24"/>
                <w:lang w:val="en-GB"/>
              </w:rPr>
              <w:t>,</w:t>
            </w:r>
            <w:r w:rsidRPr="004C2DBE">
              <w:rPr>
                <w:rFonts w:eastAsia="Times New Roman" w:cs="Arial"/>
                <w:szCs w:val="24"/>
                <w:lang w:val="en-GB"/>
              </w:rPr>
              <w:t xml:space="preserve"> national and local government, housing/building, education sectors, food safety and quality, environment, transport, biosecurity) </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Develop, maintain and actively engage, communicate, collaborate, work in partnerships with wider public health sector (including iwi providers, hāpu, Māori whānau, Pacific and other ethnic community providers, where appropriate) to:</w:t>
            </w:r>
          </w:p>
          <w:p w:rsidR="004C2DBE" w:rsidRPr="004C2DBE" w:rsidRDefault="004C2DBE" w:rsidP="007C6872">
            <w:pPr>
              <w:pStyle w:val="ListParagraph"/>
              <w:numPr>
                <w:ilvl w:val="0"/>
                <w:numId w:val="17"/>
              </w:numPr>
              <w:spacing w:before="60" w:after="60" w:line="240" w:lineRule="auto"/>
              <w:ind w:left="532" w:hanging="215"/>
              <w:contextualSpacing w:val="0"/>
              <w:rPr>
                <w:rFonts w:eastAsia="Times New Roman" w:cs="Arial"/>
                <w:szCs w:val="24"/>
                <w:lang w:val="en-GB"/>
              </w:rPr>
            </w:pPr>
            <w:r w:rsidRPr="004C2DBE">
              <w:rPr>
                <w:rFonts w:eastAsia="Times New Roman" w:cs="Arial"/>
                <w:szCs w:val="24"/>
                <w:lang w:val="en-GB"/>
              </w:rPr>
              <w:t>enable joint planning (including regional planning), partnerships and mutual support for public health providers</w:t>
            </w:r>
          </w:p>
          <w:p w:rsidR="004C2DBE" w:rsidRPr="004C2DBE" w:rsidRDefault="004C2DBE" w:rsidP="007C6872">
            <w:pPr>
              <w:pStyle w:val="ListParagraph"/>
              <w:numPr>
                <w:ilvl w:val="0"/>
                <w:numId w:val="17"/>
              </w:numPr>
              <w:spacing w:before="60" w:after="60" w:line="240" w:lineRule="auto"/>
              <w:ind w:left="532" w:hanging="215"/>
              <w:contextualSpacing w:val="0"/>
              <w:rPr>
                <w:rFonts w:eastAsia="Times New Roman" w:cs="Arial"/>
                <w:szCs w:val="24"/>
                <w:lang w:val="en-GB"/>
              </w:rPr>
            </w:pPr>
            <w:r w:rsidRPr="004C2DBE">
              <w:rPr>
                <w:rFonts w:eastAsia="Times New Roman" w:cs="Arial"/>
                <w:szCs w:val="24"/>
                <w:lang w:val="en-GB"/>
              </w:rPr>
              <w:lastRenderedPageBreak/>
              <w:t xml:space="preserve">promote healthy public policies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develop sector consensus, prioritise sector strategies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 xml:space="preserve">undertake joint initiatives </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promote consistent messages where appropriate and applicable</w:t>
            </w:r>
          </w:p>
          <w:p w:rsidR="004C2DBE" w:rsidRPr="004C2DBE" w:rsidRDefault="004C2DBE" w:rsidP="007C6872">
            <w:pPr>
              <w:numPr>
                <w:ilvl w:val="0"/>
                <w:numId w:val="17"/>
              </w:numPr>
              <w:spacing w:before="60" w:after="60" w:line="240" w:lineRule="auto"/>
              <w:ind w:left="532" w:hanging="215"/>
              <w:rPr>
                <w:rFonts w:eastAsia="Times New Roman" w:cs="Arial"/>
                <w:szCs w:val="24"/>
                <w:lang w:val="en-GB"/>
              </w:rPr>
            </w:pPr>
            <w:r w:rsidRPr="004C2DBE">
              <w:rPr>
                <w:rFonts w:eastAsia="Times New Roman" w:cs="Arial"/>
                <w:szCs w:val="24"/>
                <w:lang w:val="en-GB"/>
              </w:rPr>
              <w:t>share learning, experiences and resources</w:t>
            </w:r>
            <w:r w:rsidR="00977413">
              <w:rPr>
                <w:rFonts w:eastAsia="Times New Roman" w:cs="Arial"/>
                <w:szCs w:val="24"/>
                <w:lang w:val="en-GB"/>
              </w:rPr>
              <w:t>.</w:t>
            </w:r>
          </w:p>
          <w:p w:rsidR="004C2DBE" w:rsidRPr="004C2DBE" w:rsidRDefault="004C2DBE" w:rsidP="007C6872">
            <w:pPr>
              <w:numPr>
                <w:ilvl w:val="0"/>
                <w:numId w:val="16"/>
              </w:numPr>
              <w:spacing w:before="60" w:after="60" w:line="240" w:lineRule="auto"/>
              <w:ind w:left="318" w:hanging="289"/>
              <w:rPr>
                <w:rFonts w:eastAsia="Times New Roman" w:cs="Arial"/>
                <w:szCs w:val="24"/>
                <w:lang w:val="en-GB"/>
              </w:rPr>
            </w:pPr>
            <w:r w:rsidRPr="004C2DBE">
              <w:rPr>
                <w:rFonts w:eastAsia="Times New Roman" w:cs="Arial"/>
                <w:szCs w:val="24"/>
                <w:lang w:val="en-GB"/>
              </w:rPr>
              <w:t>Promote and advocate for intersectoral use of public health approaches and coordination of outcome-driven initiatives</w:t>
            </w:r>
          </w:p>
          <w:p w:rsidR="004C2DBE" w:rsidRPr="004C2DBE" w:rsidRDefault="004C2DBE" w:rsidP="007C6872">
            <w:pPr>
              <w:numPr>
                <w:ilvl w:val="0"/>
                <w:numId w:val="17"/>
              </w:numPr>
              <w:spacing w:after="120" w:line="240" w:lineRule="auto"/>
              <w:ind w:left="532" w:hanging="215"/>
              <w:rPr>
                <w:rFonts w:eastAsia="Times New Roman" w:cs="Arial"/>
                <w:szCs w:val="24"/>
                <w:lang w:val="en-GB"/>
              </w:rPr>
            </w:pPr>
            <w:r w:rsidRPr="004C2DBE">
              <w:rPr>
                <w:rFonts w:eastAsia="Times New Roman" w:cs="Arial"/>
                <w:szCs w:val="24"/>
                <w:lang w:val="en-GB"/>
              </w:rPr>
              <w:t>Measure and report on collective impact</w:t>
            </w:r>
            <w:r w:rsidR="00977413">
              <w:rPr>
                <w:rFonts w:eastAsia="Times New Roman" w:cs="Arial"/>
                <w:szCs w:val="24"/>
                <w:lang w:val="en-GB"/>
              </w:rPr>
              <w:t>.</w:t>
            </w: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numPr>
                <w:ilvl w:val="0"/>
                <w:numId w:val="3"/>
              </w:numPr>
              <w:spacing w:before="60" w:after="60" w:line="240" w:lineRule="auto"/>
              <w:ind w:left="175" w:hanging="175"/>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r w:rsidR="004C2DBE" w:rsidRPr="004C2DBE" w:rsidTr="004C2DBE">
        <w:trPr>
          <w:trHeight w:val="396"/>
        </w:trPr>
        <w:tc>
          <w:tcPr>
            <w:tcW w:w="5000" w:type="pct"/>
            <w:vMerge/>
            <w:shd w:val="clear" w:color="auto" w:fill="auto"/>
            <w:tcMar>
              <w:top w:w="0" w:type="dxa"/>
              <w:left w:w="108" w:type="dxa"/>
              <w:bottom w:w="0" w:type="dxa"/>
              <w:right w:w="108" w:type="dxa"/>
            </w:tcMar>
          </w:tcPr>
          <w:p w:rsidR="004C2DBE" w:rsidRPr="004C2DBE" w:rsidRDefault="004C2DBE" w:rsidP="007C6872">
            <w:pPr>
              <w:spacing w:before="60" w:after="60" w:line="240" w:lineRule="auto"/>
              <w:rPr>
                <w:rFonts w:eastAsia="Times New Roman" w:cs="Arial"/>
                <w:szCs w:val="24"/>
                <w:lang w:val="en-GB"/>
              </w:rPr>
            </w:pPr>
          </w:p>
        </w:tc>
      </w:tr>
    </w:tbl>
    <w:p w:rsidR="002D45E6" w:rsidRPr="002D45E6" w:rsidRDefault="002D45E6" w:rsidP="007C6872">
      <w:pPr>
        <w:pStyle w:val="Heading1"/>
        <w:rPr>
          <w:lang w:val="en-GB"/>
        </w:rPr>
      </w:pPr>
      <w:r w:rsidRPr="002D45E6">
        <w:rPr>
          <w:lang w:val="en-GB"/>
        </w:rPr>
        <w:lastRenderedPageBreak/>
        <w:t>Service Linkages</w:t>
      </w:r>
    </w:p>
    <w:p w:rsidR="002D45E6" w:rsidRPr="00316B6C" w:rsidRDefault="002D45E6" w:rsidP="007C6872">
      <w:pPr>
        <w:spacing w:line="240" w:lineRule="auto"/>
        <w:rPr>
          <w:szCs w:val="24"/>
          <w:lang w:val="en-GB"/>
        </w:rPr>
      </w:pPr>
      <w:r w:rsidRPr="00316B6C">
        <w:rPr>
          <w:szCs w:val="24"/>
          <w:lang w:val="en-GB"/>
        </w:rPr>
        <w:t xml:space="preserve">In addition to the linkages listed in </w:t>
      </w:r>
      <w:r w:rsidR="004409A8">
        <w:rPr>
          <w:szCs w:val="24"/>
          <w:lang w:val="en-GB"/>
        </w:rPr>
        <w:t xml:space="preserve">the </w:t>
      </w:r>
      <w:r w:rsidR="002B1E33" w:rsidRPr="00316B6C">
        <w:rPr>
          <w:szCs w:val="24"/>
          <w:lang w:val="en-GB"/>
        </w:rPr>
        <w:t>tier one</w:t>
      </w:r>
      <w:r w:rsidRPr="00316B6C">
        <w:rPr>
          <w:szCs w:val="24"/>
          <w:lang w:val="en-GB"/>
        </w:rPr>
        <w:t xml:space="preserve"> Public Health Services service specification,</w:t>
      </w:r>
      <w:r w:rsidR="004409A8" w:rsidRPr="004409A8">
        <w:rPr>
          <w:szCs w:val="24"/>
          <w:lang w:val="en-GB"/>
        </w:rPr>
        <w:t xml:space="preserve"> </w:t>
      </w:r>
      <w:r w:rsidR="004409A8">
        <w:rPr>
          <w:szCs w:val="24"/>
          <w:lang w:val="en-GB"/>
        </w:rPr>
        <w:t>t</w:t>
      </w:r>
      <w:r w:rsidR="004409A8" w:rsidRPr="00316B6C">
        <w:rPr>
          <w:szCs w:val="24"/>
          <w:lang w:val="en-GB"/>
        </w:rPr>
        <w:t xml:space="preserve">he </w:t>
      </w:r>
      <w:r w:rsidR="00417418">
        <w:rPr>
          <w:szCs w:val="24"/>
          <w:lang w:val="en-GB"/>
        </w:rPr>
        <w:t>S</w:t>
      </w:r>
      <w:r w:rsidR="004409A8" w:rsidRPr="00316B6C">
        <w:rPr>
          <w:szCs w:val="24"/>
          <w:lang w:val="en-GB"/>
        </w:rPr>
        <w:t xml:space="preserve">ervice should ensure linkages </w:t>
      </w:r>
      <w:r w:rsidR="00393C99" w:rsidRPr="00316B6C">
        <w:rPr>
          <w:szCs w:val="24"/>
          <w:lang w:val="en-GB"/>
        </w:rPr>
        <w:t xml:space="preserve">with </w:t>
      </w:r>
      <w:r w:rsidR="00393C99">
        <w:rPr>
          <w:szCs w:val="24"/>
          <w:lang w:val="en-GB"/>
        </w:rPr>
        <w:t>public</w:t>
      </w:r>
      <w:r w:rsidR="004409A8">
        <w:rPr>
          <w:szCs w:val="24"/>
          <w:lang w:val="en-GB"/>
        </w:rPr>
        <w:t xml:space="preserve"> </w:t>
      </w:r>
      <w:r w:rsidR="00977413">
        <w:rPr>
          <w:szCs w:val="24"/>
          <w:lang w:val="en-GB"/>
        </w:rPr>
        <w:t>h</w:t>
      </w:r>
      <w:r w:rsidR="004409A8">
        <w:rPr>
          <w:szCs w:val="24"/>
          <w:lang w:val="en-GB"/>
        </w:rPr>
        <w:t xml:space="preserve">ealth </w:t>
      </w:r>
      <w:r w:rsidR="00977413">
        <w:rPr>
          <w:szCs w:val="24"/>
          <w:lang w:val="en-GB"/>
        </w:rPr>
        <w:t>c</w:t>
      </w:r>
      <w:r w:rsidR="004409A8">
        <w:rPr>
          <w:szCs w:val="24"/>
          <w:lang w:val="en-GB"/>
        </w:rPr>
        <w:t xml:space="preserve">apacity </w:t>
      </w:r>
      <w:r w:rsidR="00977413">
        <w:rPr>
          <w:szCs w:val="24"/>
          <w:lang w:val="en-GB"/>
        </w:rPr>
        <w:t>d</w:t>
      </w:r>
      <w:r w:rsidR="004409A8">
        <w:rPr>
          <w:szCs w:val="24"/>
          <w:lang w:val="en-GB"/>
        </w:rPr>
        <w:t>evelopment plans.  Further,</w:t>
      </w:r>
      <w:r w:rsidRPr="00316B6C">
        <w:rPr>
          <w:szCs w:val="24"/>
          <w:lang w:val="en-GB"/>
        </w:rPr>
        <w:t xml:space="preserve"> the service provider will demonstrate linkages and/or referrals where appropriate, but are not limited, to the following:</w:t>
      </w:r>
    </w:p>
    <w:p w:rsidR="002D45E6" w:rsidRPr="00316B6C" w:rsidRDefault="002D45E6" w:rsidP="007C6872">
      <w:pPr>
        <w:numPr>
          <w:ilvl w:val="0"/>
          <w:numId w:val="4"/>
        </w:numPr>
        <w:spacing w:after="0" w:line="240" w:lineRule="auto"/>
        <w:ind w:left="426" w:hanging="426"/>
        <w:rPr>
          <w:szCs w:val="24"/>
          <w:lang w:val="en-GB"/>
        </w:rPr>
      </w:pPr>
      <w:r w:rsidRPr="00316B6C">
        <w:rPr>
          <w:szCs w:val="24"/>
          <w:lang w:val="en-GB"/>
        </w:rPr>
        <w:t>Māori and iwi health providers</w:t>
      </w:r>
    </w:p>
    <w:p w:rsidR="002D45E6" w:rsidRPr="00316B6C" w:rsidRDefault="002D45E6" w:rsidP="007C6872">
      <w:pPr>
        <w:numPr>
          <w:ilvl w:val="0"/>
          <w:numId w:val="4"/>
        </w:numPr>
        <w:spacing w:after="0" w:line="240" w:lineRule="auto"/>
        <w:ind w:left="426" w:hanging="426"/>
        <w:rPr>
          <w:szCs w:val="24"/>
          <w:lang w:val="en-GB"/>
        </w:rPr>
      </w:pPr>
      <w:r w:rsidRPr="00316B6C">
        <w:rPr>
          <w:szCs w:val="24"/>
          <w:lang w:val="en-GB"/>
        </w:rPr>
        <w:t>Pacific and other ethnic specific public health service providers</w:t>
      </w:r>
    </w:p>
    <w:p w:rsidR="002D45E6" w:rsidRPr="00316B6C" w:rsidRDefault="002D45E6" w:rsidP="007C6872">
      <w:pPr>
        <w:numPr>
          <w:ilvl w:val="0"/>
          <w:numId w:val="4"/>
        </w:numPr>
        <w:spacing w:after="0" w:line="240" w:lineRule="auto"/>
        <w:ind w:left="426" w:hanging="426"/>
        <w:rPr>
          <w:szCs w:val="24"/>
          <w:lang w:val="en-GB"/>
        </w:rPr>
      </w:pPr>
      <w:r w:rsidRPr="00316B6C">
        <w:rPr>
          <w:szCs w:val="24"/>
          <w:lang w:val="en-GB"/>
        </w:rPr>
        <w:t xml:space="preserve">Public </w:t>
      </w:r>
      <w:r w:rsidR="00977413">
        <w:rPr>
          <w:szCs w:val="24"/>
          <w:lang w:val="en-GB"/>
        </w:rPr>
        <w:t>h</w:t>
      </w:r>
      <w:r w:rsidRPr="00316B6C">
        <w:rPr>
          <w:szCs w:val="24"/>
          <w:lang w:val="en-GB"/>
        </w:rPr>
        <w:t xml:space="preserve">ealth </w:t>
      </w:r>
      <w:r w:rsidR="00977413">
        <w:rPr>
          <w:szCs w:val="24"/>
          <w:lang w:val="en-GB"/>
        </w:rPr>
        <w:t>a</w:t>
      </w:r>
      <w:r w:rsidRPr="00316B6C">
        <w:rPr>
          <w:szCs w:val="24"/>
          <w:lang w:val="en-GB"/>
        </w:rPr>
        <w:t xml:space="preserve">ssociations </w:t>
      </w:r>
    </w:p>
    <w:p w:rsidR="002D45E6" w:rsidRPr="00316B6C" w:rsidRDefault="002D45E6" w:rsidP="007C6872">
      <w:pPr>
        <w:numPr>
          <w:ilvl w:val="0"/>
          <w:numId w:val="4"/>
        </w:numPr>
        <w:spacing w:after="0" w:line="240" w:lineRule="auto"/>
        <w:ind w:left="426" w:hanging="426"/>
        <w:rPr>
          <w:szCs w:val="24"/>
          <w:lang w:val="en-GB"/>
        </w:rPr>
      </w:pPr>
      <w:r w:rsidRPr="00316B6C">
        <w:rPr>
          <w:szCs w:val="24"/>
          <w:lang w:val="en-GB"/>
        </w:rPr>
        <w:t>Other government and Crown entities such as Health Workforce New Zealand</w:t>
      </w:r>
    </w:p>
    <w:p w:rsidR="002D45E6" w:rsidRPr="00316B6C" w:rsidRDefault="00A03C6A" w:rsidP="007C6872">
      <w:pPr>
        <w:numPr>
          <w:ilvl w:val="0"/>
          <w:numId w:val="4"/>
        </w:numPr>
        <w:spacing w:after="0" w:line="240" w:lineRule="auto"/>
        <w:ind w:left="426" w:hanging="426"/>
        <w:rPr>
          <w:szCs w:val="24"/>
          <w:lang w:val="en-GB"/>
        </w:rPr>
      </w:pPr>
      <w:r>
        <w:rPr>
          <w:szCs w:val="24"/>
          <w:lang w:val="en-GB"/>
        </w:rPr>
        <w:t>PHUs</w:t>
      </w:r>
    </w:p>
    <w:p w:rsidR="002D45E6" w:rsidRPr="00316B6C" w:rsidRDefault="00A03C6A" w:rsidP="007C6872">
      <w:pPr>
        <w:numPr>
          <w:ilvl w:val="0"/>
          <w:numId w:val="4"/>
        </w:numPr>
        <w:spacing w:after="0" w:line="240" w:lineRule="auto"/>
        <w:ind w:left="426" w:hanging="426"/>
        <w:rPr>
          <w:b/>
          <w:szCs w:val="24"/>
          <w:lang w:val="en-GB"/>
        </w:rPr>
      </w:pPr>
      <w:r>
        <w:rPr>
          <w:szCs w:val="24"/>
          <w:lang w:val="en-GB"/>
        </w:rPr>
        <w:t>NGOs</w:t>
      </w:r>
    </w:p>
    <w:p w:rsidR="00393C99" w:rsidRPr="00393C99" w:rsidRDefault="002D45E6" w:rsidP="007C6872">
      <w:pPr>
        <w:numPr>
          <w:ilvl w:val="0"/>
          <w:numId w:val="4"/>
        </w:numPr>
        <w:spacing w:after="0" w:line="240" w:lineRule="auto"/>
        <w:ind w:left="425" w:hanging="425"/>
        <w:rPr>
          <w:b/>
          <w:szCs w:val="24"/>
          <w:lang w:val="en-GB"/>
        </w:rPr>
      </w:pPr>
      <w:r w:rsidRPr="00393C99">
        <w:rPr>
          <w:szCs w:val="24"/>
          <w:lang w:val="en-GB"/>
        </w:rPr>
        <w:t>Local community networks</w:t>
      </w:r>
    </w:p>
    <w:p w:rsidR="009B4D01" w:rsidRPr="00393C99" w:rsidRDefault="009B4D01" w:rsidP="007C6872">
      <w:pPr>
        <w:numPr>
          <w:ilvl w:val="0"/>
          <w:numId w:val="4"/>
        </w:numPr>
        <w:spacing w:after="0" w:line="240" w:lineRule="auto"/>
        <w:ind w:left="425" w:hanging="425"/>
        <w:rPr>
          <w:b/>
          <w:szCs w:val="24"/>
          <w:lang w:val="en-GB"/>
        </w:rPr>
      </w:pPr>
      <w:r w:rsidRPr="00393C99">
        <w:rPr>
          <w:szCs w:val="24"/>
          <w:lang w:val="en-GB"/>
        </w:rPr>
        <w:t>Universities and research institutions</w:t>
      </w:r>
      <w:r w:rsidR="00393C99">
        <w:rPr>
          <w:szCs w:val="24"/>
          <w:lang w:val="en-GB"/>
        </w:rPr>
        <w:t>.</w:t>
      </w:r>
    </w:p>
    <w:p w:rsidR="002D45E6" w:rsidRPr="002D45E6" w:rsidRDefault="002D45E6" w:rsidP="007C6872">
      <w:pPr>
        <w:pStyle w:val="Heading1"/>
        <w:rPr>
          <w:lang w:val="en-GB"/>
        </w:rPr>
      </w:pPr>
      <w:r w:rsidRPr="002D45E6">
        <w:rPr>
          <w:lang w:val="en-GB"/>
        </w:rPr>
        <w:t>Quality Requirements</w:t>
      </w:r>
    </w:p>
    <w:p w:rsidR="004759ED" w:rsidRDefault="004759ED" w:rsidP="007C6872">
      <w:pPr>
        <w:spacing w:before="120" w:after="120" w:line="240" w:lineRule="auto"/>
        <w:rPr>
          <w:szCs w:val="24"/>
          <w:lang w:val="en-GB"/>
        </w:rPr>
      </w:pPr>
      <w:r>
        <w:rPr>
          <w:szCs w:val="24"/>
          <w:lang w:val="en-GB"/>
        </w:rPr>
        <w:t xml:space="preserve">Public Health Services must comply with the 1999 Provider Quality Specifications for Public Health Services (PQS) or any update in the service agreement that replaces this document.  </w:t>
      </w:r>
    </w:p>
    <w:p w:rsidR="004759ED" w:rsidRDefault="004759ED" w:rsidP="007C6872">
      <w:pPr>
        <w:spacing w:before="120" w:after="120" w:line="240" w:lineRule="auto"/>
        <w:rPr>
          <w:szCs w:val="24"/>
          <w:lang w:val="en-GB"/>
        </w:rPr>
      </w:pPr>
      <w:r>
        <w:rPr>
          <w:szCs w:val="24"/>
          <w:lang w:val="en-GB"/>
        </w:rPr>
        <w:t xml:space="preserve">Where specified in service agreements, services must also comply with Ministry of Health mandated Business Viability Standards (BVS).  If there is any conflict between the Provider’s obligations in the PQS and the </w:t>
      </w:r>
      <w:r w:rsidR="005A30FF">
        <w:rPr>
          <w:szCs w:val="24"/>
          <w:lang w:val="en-GB"/>
        </w:rPr>
        <w:t>BVS</w:t>
      </w:r>
      <w:r>
        <w:rPr>
          <w:szCs w:val="24"/>
          <w:lang w:val="en-GB"/>
        </w:rPr>
        <w:t xml:space="preserve">, the obligations on the Provider as described in the </w:t>
      </w:r>
      <w:r w:rsidR="005A30FF">
        <w:rPr>
          <w:szCs w:val="24"/>
          <w:lang w:val="en-GB"/>
        </w:rPr>
        <w:t>BVS</w:t>
      </w:r>
      <w:r>
        <w:rPr>
          <w:szCs w:val="24"/>
          <w:lang w:val="en-GB"/>
        </w:rPr>
        <w:t xml:space="preserve"> will prevail.</w:t>
      </w:r>
    </w:p>
    <w:p w:rsidR="004409A8" w:rsidRDefault="004409A8" w:rsidP="007C6872">
      <w:pPr>
        <w:spacing w:before="120" w:after="120" w:line="240" w:lineRule="auto"/>
        <w:rPr>
          <w:szCs w:val="24"/>
          <w:lang w:val="en-GB"/>
        </w:rPr>
      </w:pPr>
      <w:r>
        <w:rPr>
          <w:szCs w:val="24"/>
          <w:lang w:val="en-GB"/>
        </w:rPr>
        <w:t xml:space="preserve">Where the Ministry has developed guidance documents to support the planning, design or delivery of services under this service specification, providers will be required to reflect this guidance in their services.  </w:t>
      </w:r>
    </w:p>
    <w:p w:rsidR="002D45E6" w:rsidRPr="00A03C6A" w:rsidRDefault="002D45E6" w:rsidP="007C6872">
      <w:pPr>
        <w:spacing w:before="120" w:after="120" w:line="240" w:lineRule="auto"/>
        <w:rPr>
          <w:szCs w:val="24"/>
          <w:lang w:val="en-GB"/>
        </w:rPr>
      </w:pPr>
      <w:r w:rsidRPr="00A03C6A">
        <w:rPr>
          <w:szCs w:val="24"/>
          <w:lang w:val="en-GB"/>
        </w:rPr>
        <w:t>Services delivered under this service specification are expected to demonstrate best practice or are based on the best available evidence for publi</w:t>
      </w:r>
      <w:r w:rsidR="00A03C6A">
        <w:rPr>
          <w:szCs w:val="24"/>
          <w:lang w:val="en-GB"/>
        </w:rPr>
        <w:t xml:space="preserve">c health capacity development. </w:t>
      </w:r>
      <w:r w:rsidRPr="00A03C6A">
        <w:rPr>
          <w:szCs w:val="24"/>
          <w:lang w:val="en-GB"/>
        </w:rPr>
        <w:t>Capacity development best practice attributes</w:t>
      </w:r>
      <w:r w:rsidR="00C31055">
        <w:rPr>
          <w:szCs w:val="24"/>
          <w:lang w:val="en-GB"/>
        </w:rPr>
        <w:t>:</w:t>
      </w:r>
    </w:p>
    <w:p w:rsidR="002D45E6" w:rsidRPr="00A03C6A" w:rsidRDefault="00A03C6A" w:rsidP="007C6872">
      <w:pPr>
        <w:numPr>
          <w:ilvl w:val="0"/>
          <w:numId w:val="4"/>
        </w:numPr>
        <w:spacing w:after="0" w:line="240" w:lineRule="auto"/>
        <w:ind w:left="567" w:hanging="567"/>
        <w:rPr>
          <w:szCs w:val="24"/>
          <w:lang w:val="en-GB"/>
        </w:rPr>
      </w:pPr>
      <w:r>
        <w:rPr>
          <w:szCs w:val="24"/>
          <w:lang w:val="en-GB"/>
        </w:rPr>
        <w:t xml:space="preserve">are </w:t>
      </w:r>
      <w:r w:rsidR="002D45E6" w:rsidRPr="00A03C6A">
        <w:rPr>
          <w:szCs w:val="24"/>
          <w:lang w:val="en-GB"/>
        </w:rPr>
        <w:t>led by the organisation as a whole, at the strategic and operational level</w:t>
      </w:r>
    </w:p>
    <w:p w:rsidR="002D45E6" w:rsidRPr="00A03C6A" w:rsidRDefault="00A03C6A" w:rsidP="007C6872">
      <w:pPr>
        <w:numPr>
          <w:ilvl w:val="0"/>
          <w:numId w:val="4"/>
        </w:numPr>
        <w:spacing w:after="0" w:line="240" w:lineRule="auto"/>
        <w:ind w:left="567" w:hanging="567"/>
        <w:rPr>
          <w:szCs w:val="24"/>
          <w:lang w:val="en-GB"/>
        </w:rPr>
      </w:pPr>
      <w:r>
        <w:rPr>
          <w:szCs w:val="24"/>
          <w:lang w:val="en-GB"/>
        </w:rPr>
        <w:t xml:space="preserve">include </w:t>
      </w:r>
      <w:r w:rsidR="002D45E6" w:rsidRPr="00A03C6A">
        <w:rPr>
          <w:szCs w:val="24"/>
          <w:lang w:val="en-GB"/>
        </w:rPr>
        <w:t xml:space="preserve">understanding and have the ability to apply </w:t>
      </w:r>
      <w:r w:rsidR="004B1FEC">
        <w:rPr>
          <w:szCs w:val="24"/>
          <w:lang w:val="en-GB"/>
        </w:rPr>
        <w:t>Te Tiriti o</w:t>
      </w:r>
      <w:r w:rsidR="002D45E6" w:rsidRPr="00A03C6A">
        <w:rPr>
          <w:szCs w:val="24"/>
          <w:lang w:val="en-GB"/>
        </w:rPr>
        <w:t xml:space="preserve"> Waitangi</w:t>
      </w:r>
      <w:r w:rsidR="00C31055" w:rsidRPr="00C31055">
        <w:rPr>
          <w:rFonts w:eastAsia="Calibri" w:cs="Arial"/>
          <w:vertAlign w:val="superscript"/>
        </w:rPr>
        <w:footnoteReference w:id="19"/>
      </w:r>
      <w:r w:rsidR="002D45E6" w:rsidRPr="00A03C6A">
        <w:rPr>
          <w:szCs w:val="24"/>
          <w:lang w:val="en-GB"/>
        </w:rPr>
        <w:t>, He Korowa</w:t>
      </w:r>
      <w:r w:rsidR="00417418">
        <w:rPr>
          <w:szCs w:val="24"/>
          <w:lang w:val="en-GB"/>
        </w:rPr>
        <w:t>i Oranga,</w:t>
      </w:r>
      <w:r w:rsidR="002D45E6" w:rsidRPr="00A03C6A">
        <w:rPr>
          <w:szCs w:val="24"/>
          <w:lang w:val="en-GB"/>
        </w:rPr>
        <w:t xml:space="preserve"> and principles of equity and social justice</w:t>
      </w:r>
      <w:r w:rsidR="00C31055" w:rsidRPr="00C31055">
        <w:rPr>
          <w:rFonts w:eastAsia="Calibri" w:cs="Arial"/>
          <w:vertAlign w:val="superscript"/>
        </w:rPr>
        <w:footnoteReference w:id="20"/>
      </w:r>
      <w:r w:rsidR="00C31055" w:rsidRPr="00C31055">
        <w:rPr>
          <w:rFonts w:eastAsia="Calibri" w:cs="Arial"/>
          <w:vertAlign w:val="superscript"/>
        </w:rPr>
        <w:t xml:space="preserve"> </w:t>
      </w:r>
    </w:p>
    <w:p w:rsidR="002D45E6" w:rsidRPr="00A03C6A" w:rsidRDefault="00417418" w:rsidP="007C6872">
      <w:pPr>
        <w:numPr>
          <w:ilvl w:val="0"/>
          <w:numId w:val="4"/>
        </w:numPr>
        <w:spacing w:after="0" w:line="240" w:lineRule="auto"/>
        <w:ind w:left="567" w:hanging="567"/>
        <w:rPr>
          <w:szCs w:val="24"/>
          <w:lang w:val="en-GB"/>
        </w:rPr>
      </w:pPr>
      <w:r>
        <w:rPr>
          <w:szCs w:val="24"/>
          <w:lang w:val="en-GB"/>
        </w:rPr>
        <w:lastRenderedPageBreak/>
        <w:t>uses</w:t>
      </w:r>
      <w:r w:rsidR="00A03C6A">
        <w:rPr>
          <w:szCs w:val="24"/>
          <w:lang w:val="en-GB"/>
        </w:rPr>
        <w:t xml:space="preserve"> </w:t>
      </w:r>
      <w:r w:rsidR="002D45E6" w:rsidRPr="00A03C6A">
        <w:rPr>
          <w:szCs w:val="24"/>
          <w:lang w:val="en-GB"/>
        </w:rPr>
        <w:t>inclusive participatory approach</w:t>
      </w:r>
      <w:r>
        <w:rPr>
          <w:szCs w:val="24"/>
          <w:lang w:val="en-GB"/>
        </w:rPr>
        <w:t>es</w:t>
      </w:r>
      <w:r w:rsidR="002D45E6" w:rsidRPr="00A03C6A">
        <w:rPr>
          <w:szCs w:val="24"/>
          <w:lang w:val="en-GB"/>
        </w:rPr>
        <w:t>, with strong commitment of and ownership by public health service providers</w:t>
      </w:r>
      <w:r w:rsidR="00C31055" w:rsidRPr="00C31055">
        <w:rPr>
          <w:rFonts w:eastAsia="Calibri" w:cs="Arial"/>
          <w:vertAlign w:val="superscript"/>
        </w:rPr>
        <w:footnoteReference w:id="21"/>
      </w:r>
    </w:p>
    <w:p w:rsidR="002D45E6" w:rsidRPr="00A03C6A" w:rsidRDefault="00A03C6A" w:rsidP="007C6872">
      <w:pPr>
        <w:numPr>
          <w:ilvl w:val="0"/>
          <w:numId w:val="4"/>
        </w:numPr>
        <w:spacing w:after="0" w:line="240" w:lineRule="auto"/>
        <w:ind w:left="567" w:hanging="567"/>
        <w:rPr>
          <w:szCs w:val="24"/>
          <w:lang w:val="en-GB"/>
        </w:rPr>
      </w:pPr>
      <w:r>
        <w:rPr>
          <w:szCs w:val="24"/>
          <w:lang w:val="en-GB"/>
        </w:rPr>
        <w:t xml:space="preserve">are </w:t>
      </w:r>
      <w:r w:rsidR="002D45E6" w:rsidRPr="00A03C6A">
        <w:rPr>
          <w:szCs w:val="24"/>
          <w:lang w:val="en-GB"/>
        </w:rPr>
        <w:t>initiatives and programmes that address</w:t>
      </w:r>
      <w:r w:rsidR="00417418">
        <w:rPr>
          <w:szCs w:val="24"/>
          <w:lang w:val="en-GB"/>
        </w:rPr>
        <w:t>es</w:t>
      </w:r>
      <w:r w:rsidR="002D45E6" w:rsidRPr="00A03C6A">
        <w:rPr>
          <w:szCs w:val="24"/>
          <w:lang w:val="en-GB"/>
        </w:rPr>
        <w:t xml:space="preserve"> the broad social, cultural, environmental and economic determinants of health</w:t>
      </w:r>
      <w:r w:rsidR="00C31055" w:rsidRPr="00C31055">
        <w:rPr>
          <w:szCs w:val="24"/>
          <w:vertAlign w:val="superscript"/>
          <w:lang w:val="en-GB"/>
        </w:rPr>
        <w:footnoteReference w:id="22"/>
      </w:r>
    </w:p>
    <w:p w:rsidR="002D45E6" w:rsidRDefault="00A03C6A" w:rsidP="007C6872">
      <w:pPr>
        <w:numPr>
          <w:ilvl w:val="0"/>
          <w:numId w:val="4"/>
        </w:numPr>
        <w:spacing w:after="120" w:line="240" w:lineRule="auto"/>
        <w:ind w:left="567" w:hanging="567"/>
        <w:rPr>
          <w:szCs w:val="24"/>
          <w:lang w:val="en-GB"/>
        </w:rPr>
      </w:pPr>
      <w:r>
        <w:rPr>
          <w:szCs w:val="24"/>
          <w:lang w:val="en-GB"/>
        </w:rPr>
        <w:t>include</w:t>
      </w:r>
      <w:r w:rsidR="00417418">
        <w:rPr>
          <w:szCs w:val="24"/>
          <w:lang w:val="en-GB"/>
        </w:rPr>
        <w:t>s</w:t>
      </w:r>
      <w:r>
        <w:rPr>
          <w:szCs w:val="24"/>
          <w:lang w:val="en-GB"/>
        </w:rPr>
        <w:t xml:space="preserve"> </w:t>
      </w:r>
      <w:r w:rsidR="002D45E6" w:rsidRPr="00A03C6A">
        <w:rPr>
          <w:szCs w:val="24"/>
          <w:lang w:val="en-GB"/>
        </w:rPr>
        <w:t>Te Pae Mahutonga</w:t>
      </w:r>
      <w:r w:rsidR="002D45E6" w:rsidRPr="00A03C6A">
        <w:rPr>
          <w:szCs w:val="24"/>
          <w:vertAlign w:val="superscript"/>
          <w:lang w:val="en-GB"/>
        </w:rPr>
        <w:footnoteReference w:id="23"/>
      </w:r>
      <w:r w:rsidR="002D45E6" w:rsidRPr="00A03C6A">
        <w:rPr>
          <w:szCs w:val="24"/>
          <w:lang w:val="en-GB"/>
        </w:rPr>
        <w:t xml:space="preserve"> key elements of Nga manukura (leadership) and Te Mana whakahaere (autonomy) a</w:t>
      </w:r>
      <w:r w:rsidR="00417418">
        <w:rPr>
          <w:szCs w:val="24"/>
          <w:lang w:val="en-GB"/>
        </w:rPr>
        <w:t>s</w:t>
      </w:r>
      <w:r w:rsidR="002D45E6" w:rsidRPr="00A03C6A">
        <w:rPr>
          <w:szCs w:val="24"/>
          <w:lang w:val="en-GB"/>
        </w:rPr>
        <w:t xml:space="preserve"> important components to strengthening </w:t>
      </w:r>
      <w:r w:rsidR="00604D72" w:rsidRPr="00A03C6A">
        <w:rPr>
          <w:szCs w:val="24"/>
          <w:lang w:val="en-GB"/>
        </w:rPr>
        <w:t>Māori</w:t>
      </w:r>
      <w:r w:rsidR="002D45E6" w:rsidRPr="00A03C6A">
        <w:rPr>
          <w:szCs w:val="24"/>
          <w:lang w:val="en-GB"/>
        </w:rPr>
        <w:t xml:space="preserve"> public health workforce.</w:t>
      </w:r>
    </w:p>
    <w:p w:rsidR="008A712C" w:rsidRPr="002235AC" w:rsidRDefault="008A712C" w:rsidP="007C6872">
      <w:pPr>
        <w:spacing w:before="120" w:after="0" w:line="240" w:lineRule="auto"/>
        <w:rPr>
          <w:szCs w:val="24"/>
          <w:lang w:val="en-GB"/>
        </w:rPr>
      </w:pPr>
      <w:r>
        <w:rPr>
          <w:szCs w:val="24"/>
          <w:lang w:val="en-GB"/>
        </w:rPr>
        <w:t>All public health p</w:t>
      </w:r>
      <w:r w:rsidRPr="002235AC">
        <w:rPr>
          <w:szCs w:val="24"/>
          <w:lang w:val="en-GB"/>
        </w:rPr>
        <w:t>roviders are expected to clearly demonstrate, in planning and reporting documents, how activities will contribute to the outcomes of improving Māori health a</w:t>
      </w:r>
      <w:r>
        <w:rPr>
          <w:szCs w:val="24"/>
          <w:lang w:val="en-GB"/>
        </w:rPr>
        <w:t xml:space="preserve">nd achieving health equity. </w:t>
      </w:r>
    </w:p>
    <w:p w:rsidR="00A03C6A" w:rsidRPr="00A03C6A" w:rsidRDefault="002D45E6" w:rsidP="007C6872">
      <w:pPr>
        <w:pStyle w:val="Heading1"/>
        <w:rPr>
          <w:rFonts w:eastAsia="Times New Roman"/>
          <w:lang w:val="en-GB"/>
        </w:rPr>
      </w:pPr>
      <w:r w:rsidRPr="002D45E6">
        <w:rPr>
          <w:rFonts w:eastAsia="Times New Roman"/>
          <w:lang w:val="en-GB"/>
        </w:rPr>
        <w:t xml:space="preserve">Purchase Units </w:t>
      </w:r>
      <w:r w:rsidR="005454BF">
        <w:rPr>
          <w:rFonts w:eastAsia="Times New Roman"/>
          <w:lang w:val="en-GB"/>
        </w:rPr>
        <w:t>and Reporting Requirements</w:t>
      </w:r>
    </w:p>
    <w:p w:rsidR="00F244DD" w:rsidRPr="00C31055" w:rsidRDefault="00F244DD" w:rsidP="007C6872">
      <w:pPr>
        <w:tabs>
          <w:tab w:val="left" w:pos="1260"/>
        </w:tabs>
        <w:spacing w:before="120" w:after="120" w:line="240" w:lineRule="auto"/>
        <w:rPr>
          <w:szCs w:val="24"/>
          <w:lang w:val="en-GB"/>
        </w:rPr>
      </w:pPr>
      <w:r w:rsidRPr="00C31055">
        <w:rPr>
          <w:szCs w:val="24"/>
          <w:lang w:val="en-GB"/>
        </w:rPr>
        <w:t xml:space="preserve">Purchase </w:t>
      </w:r>
      <w:r w:rsidR="005A30FF" w:rsidRPr="00C31055">
        <w:rPr>
          <w:szCs w:val="24"/>
          <w:lang w:val="en-GB"/>
        </w:rPr>
        <w:t>u</w:t>
      </w:r>
      <w:r w:rsidR="00BB73AC">
        <w:rPr>
          <w:szCs w:val="24"/>
          <w:lang w:val="en-GB"/>
        </w:rPr>
        <w:t>nit</w:t>
      </w:r>
      <w:r w:rsidR="007C6872">
        <w:rPr>
          <w:szCs w:val="24"/>
          <w:lang w:val="en-GB"/>
        </w:rPr>
        <w:t>s</w:t>
      </w:r>
      <w:r w:rsidR="00A03C6A" w:rsidRPr="00C31055">
        <w:rPr>
          <w:szCs w:val="24"/>
          <w:lang w:val="en-GB"/>
        </w:rPr>
        <w:t xml:space="preserve"> (PUs)</w:t>
      </w:r>
      <w:bookmarkStart w:id="23" w:name="_GoBack"/>
      <w:bookmarkEnd w:id="23"/>
      <w:r w:rsidR="00BB73AC">
        <w:rPr>
          <w:szCs w:val="24"/>
          <w:lang w:val="en-GB"/>
        </w:rPr>
        <w:t xml:space="preserve"> </w:t>
      </w:r>
      <w:r w:rsidRPr="00C31055">
        <w:rPr>
          <w:szCs w:val="24"/>
          <w:lang w:val="en-GB"/>
        </w:rPr>
        <w:t>are defined in the joint DHB and Ministry’s Nationwide Service Framework Purchase Unit Data Dictionar</w:t>
      </w:r>
      <w:r w:rsidR="00A03C6A" w:rsidRPr="00C31055">
        <w:rPr>
          <w:szCs w:val="24"/>
          <w:lang w:val="en-GB"/>
        </w:rPr>
        <w:t xml:space="preserve">y.  The following </w:t>
      </w:r>
      <w:r w:rsidR="005454BF" w:rsidRPr="00C31055">
        <w:rPr>
          <w:szCs w:val="24"/>
          <w:lang w:val="en-GB"/>
        </w:rPr>
        <w:t>PUs</w:t>
      </w:r>
      <w:r w:rsidRPr="00C31055">
        <w:rPr>
          <w:szCs w:val="24"/>
          <w:lang w:val="en-GB"/>
        </w:rPr>
        <w:t xml:space="preserve"> appl</w:t>
      </w:r>
      <w:r w:rsidR="005454BF" w:rsidRPr="00C31055">
        <w:rPr>
          <w:szCs w:val="24"/>
          <w:lang w:val="en-GB"/>
        </w:rPr>
        <w:t>y</w:t>
      </w:r>
      <w:r w:rsidR="00A03C6A" w:rsidRPr="00C31055">
        <w:rPr>
          <w:szCs w:val="24"/>
          <w:lang w:val="en-GB"/>
        </w:rPr>
        <w:t xml:space="preserve"> to this Service.</w:t>
      </w:r>
    </w:p>
    <w:p w:rsidR="005A30FF" w:rsidRPr="00C31055" w:rsidRDefault="005454BF" w:rsidP="007C6872">
      <w:pPr>
        <w:spacing w:after="120" w:line="240" w:lineRule="auto"/>
        <w:rPr>
          <w:szCs w:val="24"/>
          <w:lang w:val="en-GB"/>
        </w:rPr>
      </w:pPr>
      <w:r w:rsidRPr="00C31055">
        <w:rPr>
          <w:szCs w:val="24"/>
          <w:lang w:val="en-GB"/>
        </w:rPr>
        <w:t>All other reporting requirements are detailed in the individual provider contracts.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711"/>
        <w:gridCol w:w="5158"/>
        <w:gridCol w:w="1159"/>
      </w:tblGrid>
      <w:tr w:rsidR="00977FA1" w:rsidRPr="009E6139" w:rsidTr="00575C06">
        <w:trPr>
          <w:trHeight w:val="561"/>
          <w:tblHeader/>
        </w:trPr>
        <w:tc>
          <w:tcPr>
            <w:tcW w:w="608" w:type="pct"/>
            <w:tcBorders>
              <w:top w:val="single" w:sz="4" w:space="0" w:color="auto"/>
              <w:left w:val="single" w:sz="4" w:space="0" w:color="auto"/>
              <w:bottom w:val="single" w:sz="4" w:space="0" w:color="auto"/>
              <w:right w:val="single" w:sz="4" w:space="0" w:color="auto"/>
            </w:tcBorders>
            <w:shd w:val="clear" w:color="auto" w:fill="D9D9D9"/>
            <w:hideMark/>
          </w:tcPr>
          <w:p w:rsidR="00977FA1" w:rsidRPr="009E6139" w:rsidRDefault="00977FA1" w:rsidP="007C6872">
            <w:pPr>
              <w:spacing w:before="40" w:after="40" w:line="240" w:lineRule="auto"/>
              <w:rPr>
                <w:rFonts w:eastAsia="Times New Roman" w:cs="Arial"/>
                <w:b/>
                <w:sz w:val="20"/>
                <w:szCs w:val="20"/>
                <w:lang w:val="en-AU"/>
              </w:rPr>
            </w:pPr>
            <w:r w:rsidRPr="009E6139">
              <w:rPr>
                <w:rFonts w:eastAsia="Times New Roman" w:cs="Arial"/>
                <w:b/>
                <w:sz w:val="20"/>
                <w:szCs w:val="20"/>
                <w:lang w:val="en-AU"/>
              </w:rPr>
              <w:t>PU Code</w:t>
            </w:r>
          </w:p>
        </w:tc>
        <w:tc>
          <w:tcPr>
            <w:tcW w:w="1319" w:type="pct"/>
            <w:tcBorders>
              <w:top w:val="single" w:sz="4" w:space="0" w:color="auto"/>
              <w:left w:val="single" w:sz="4" w:space="0" w:color="auto"/>
              <w:bottom w:val="single" w:sz="4" w:space="0" w:color="auto"/>
              <w:right w:val="single" w:sz="4" w:space="0" w:color="auto"/>
            </w:tcBorders>
            <w:shd w:val="clear" w:color="auto" w:fill="D9D9D9"/>
            <w:hideMark/>
          </w:tcPr>
          <w:p w:rsidR="00977FA1" w:rsidRPr="009E6139" w:rsidRDefault="00977FA1" w:rsidP="007C6872">
            <w:pPr>
              <w:spacing w:before="40" w:after="40" w:line="240" w:lineRule="auto"/>
              <w:ind w:right="-108"/>
              <w:rPr>
                <w:rFonts w:eastAsia="Times New Roman" w:cs="Arial"/>
                <w:b/>
                <w:sz w:val="20"/>
                <w:szCs w:val="20"/>
                <w:lang w:val="en-AU"/>
              </w:rPr>
            </w:pPr>
            <w:r>
              <w:rPr>
                <w:rFonts w:eastAsia="Times New Roman" w:cs="Arial"/>
                <w:b/>
                <w:sz w:val="20"/>
                <w:szCs w:val="20"/>
                <w:lang w:val="en-AU"/>
              </w:rPr>
              <w:t>PU</w:t>
            </w:r>
            <w:r w:rsidRPr="009E6139">
              <w:rPr>
                <w:rFonts w:eastAsia="Times New Roman" w:cs="Arial"/>
                <w:b/>
                <w:sz w:val="20"/>
                <w:szCs w:val="20"/>
                <w:lang w:val="en-AU"/>
              </w:rPr>
              <w:t xml:space="preserve"> Code Description</w:t>
            </w:r>
          </w:p>
        </w:tc>
        <w:tc>
          <w:tcPr>
            <w:tcW w:w="2509" w:type="pct"/>
            <w:tcBorders>
              <w:top w:val="single" w:sz="4" w:space="0" w:color="auto"/>
              <w:left w:val="single" w:sz="4" w:space="0" w:color="auto"/>
              <w:bottom w:val="single" w:sz="4" w:space="0" w:color="auto"/>
              <w:right w:val="single" w:sz="4" w:space="0" w:color="auto"/>
            </w:tcBorders>
            <w:shd w:val="clear" w:color="auto" w:fill="D9D9D9"/>
          </w:tcPr>
          <w:p w:rsidR="00977FA1" w:rsidRPr="009E6139" w:rsidRDefault="00977FA1" w:rsidP="007C6872">
            <w:pPr>
              <w:spacing w:before="40" w:after="40" w:line="240" w:lineRule="auto"/>
              <w:rPr>
                <w:rFonts w:eastAsia="Times New Roman" w:cs="Arial"/>
                <w:b/>
                <w:sz w:val="20"/>
                <w:szCs w:val="20"/>
                <w:lang w:val="en-AU"/>
              </w:rPr>
            </w:pPr>
            <w:r w:rsidRPr="009E6139">
              <w:rPr>
                <w:rFonts w:eastAsia="Times New Roman" w:cs="Arial"/>
                <w:b/>
                <w:sz w:val="20"/>
                <w:szCs w:val="20"/>
                <w:lang w:val="en-AU"/>
              </w:rPr>
              <w:t>PU Definition</w:t>
            </w:r>
          </w:p>
          <w:p w:rsidR="00977FA1" w:rsidRPr="009E6139" w:rsidRDefault="00977FA1" w:rsidP="007C6872">
            <w:pPr>
              <w:spacing w:before="40" w:after="40" w:line="240" w:lineRule="auto"/>
              <w:rPr>
                <w:rFonts w:eastAsia="Times New Roman" w:cs="Arial"/>
                <w:b/>
                <w:sz w:val="20"/>
                <w:szCs w:val="20"/>
                <w:lang w:val="en-AU"/>
              </w:rPr>
            </w:pPr>
          </w:p>
        </w:tc>
        <w:tc>
          <w:tcPr>
            <w:tcW w:w="564" w:type="pct"/>
            <w:tcBorders>
              <w:top w:val="single" w:sz="4" w:space="0" w:color="auto"/>
              <w:left w:val="single" w:sz="4" w:space="0" w:color="auto"/>
              <w:bottom w:val="single" w:sz="4" w:space="0" w:color="auto"/>
              <w:right w:val="single" w:sz="4" w:space="0" w:color="auto"/>
            </w:tcBorders>
            <w:shd w:val="clear" w:color="auto" w:fill="D9D9D9"/>
          </w:tcPr>
          <w:p w:rsidR="00977FA1" w:rsidRPr="009E6139" w:rsidRDefault="00977FA1" w:rsidP="007C6872">
            <w:pPr>
              <w:spacing w:before="40" w:after="40" w:line="240" w:lineRule="auto"/>
              <w:rPr>
                <w:rFonts w:eastAsia="Times New Roman" w:cs="Arial"/>
                <w:b/>
                <w:sz w:val="20"/>
                <w:szCs w:val="20"/>
                <w:lang w:val="en-AU"/>
              </w:rPr>
            </w:pPr>
            <w:r w:rsidRPr="009E6139">
              <w:rPr>
                <w:rFonts w:eastAsia="Times New Roman" w:cs="Arial"/>
                <w:b/>
                <w:sz w:val="20"/>
                <w:szCs w:val="20"/>
                <w:lang w:val="en-AU"/>
              </w:rPr>
              <w:t>Unit of Measure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RMCAP10</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Calibri" w:cs="Arial"/>
                <w:color w:val="000000"/>
                <w:sz w:val="20"/>
                <w:szCs w:val="20"/>
              </w:rPr>
            </w:pPr>
            <w:r w:rsidRPr="009E6139">
              <w:rPr>
                <w:rFonts w:eastAsia="Times New Roman" w:cs="Arial"/>
                <w:color w:val="000000"/>
                <w:sz w:val="20"/>
                <w:szCs w:val="20"/>
                <w:lang w:eastAsia="en-NZ"/>
              </w:rPr>
              <w:t xml:space="preserve">PH Capacity Development </w:t>
            </w:r>
            <w:r>
              <w:rPr>
                <w:rFonts w:eastAsia="Times New Roman" w:cs="Arial"/>
                <w:color w:val="000000"/>
                <w:sz w:val="20"/>
                <w:szCs w:val="20"/>
                <w:lang w:eastAsia="en-NZ"/>
              </w:rPr>
              <w:t xml:space="preserve">- </w:t>
            </w:r>
            <w:r w:rsidRPr="009E6139">
              <w:rPr>
                <w:rFonts w:eastAsia="Times New Roman" w:cs="Arial"/>
                <w:color w:val="000000"/>
                <w:sz w:val="20"/>
                <w:szCs w:val="20"/>
                <w:lang w:eastAsia="en-NZ"/>
              </w:rPr>
              <w:t>Human Resources</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Pr>
                <w:rFonts w:eastAsia="Times New Roman" w:cs="Arial"/>
                <w:color w:val="000000"/>
                <w:sz w:val="20"/>
                <w:szCs w:val="20"/>
                <w:lang w:eastAsia="en-NZ"/>
              </w:rPr>
              <w:t>Public health capacity development s</w:t>
            </w:r>
            <w:r w:rsidRPr="009E6139">
              <w:rPr>
                <w:rFonts w:eastAsia="Times New Roman" w:cs="Arial"/>
                <w:color w:val="000000"/>
                <w:sz w:val="20"/>
                <w:szCs w:val="20"/>
                <w:lang w:eastAsia="en-NZ"/>
              </w:rPr>
              <w:t>ervices for sector capability development</w:t>
            </w:r>
            <w:r>
              <w:rPr>
                <w:rFonts w:eastAsia="Times New Roman" w:cs="Arial"/>
                <w:color w:val="000000"/>
                <w:sz w:val="20"/>
                <w:szCs w:val="20"/>
                <w:lang w:eastAsia="en-NZ"/>
              </w:rPr>
              <w:t>.</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RMCAP11</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PH Capacity Development – Information, knowledge systems and organisational infrastructure</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Pr>
                <w:rFonts w:eastAsia="Times New Roman" w:cs="Arial"/>
                <w:color w:val="000000"/>
                <w:sz w:val="20"/>
                <w:szCs w:val="20"/>
                <w:lang w:eastAsia="en-NZ"/>
              </w:rPr>
              <w:t>Public health capacity development s</w:t>
            </w:r>
            <w:r w:rsidRPr="009E6139">
              <w:rPr>
                <w:rFonts w:eastAsia="Times New Roman" w:cs="Arial"/>
                <w:color w:val="000000"/>
                <w:sz w:val="20"/>
                <w:szCs w:val="20"/>
                <w:lang w:eastAsia="en-NZ"/>
              </w:rPr>
              <w:t>ervices for producing health information, research, evaluation and knowledge management, quality plans and governance</w:t>
            </w:r>
            <w:r>
              <w:rPr>
                <w:rFonts w:eastAsia="Times New Roman" w:cs="Arial"/>
                <w:color w:val="000000"/>
                <w:sz w:val="20"/>
                <w:szCs w:val="20"/>
                <w:lang w:eastAsia="en-NZ"/>
              </w:rPr>
              <w:t>.</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RMCAP12</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PH Capacity Development – Networks and Partnerships</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Pr>
                <w:rFonts w:eastAsia="Times New Roman" w:cs="Arial"/>
                <w:color w:val="000000"/>
                <w:sz w:val="20"/>
                <w:szCs w:val="20"/>
                <w:lang w:eastAsia="en-NZ"/>
              </w:rPr>
              <w:t>Public health capacity development s</w:t>
            </w:r>
            <w:r w:rsidRPr="009E6139">
              <w:rPr>
                <w:rFonts w:eastAsia="Times New Roman" w:cs="Arial"/>
                <w:color w:val="000000"/>
                <w:sz w:val="20"/>
                <w:szCs w:val="20"/>
                <w:lang w:eastAsia="en-NZ"/>
              </w:rPr>
              <w:t xml:space="preserve">ervices </w:t>
            </w:r>
            <w:r>
              <w:rPr>
                <w:rFonts w:eastAsia="Times New Roman" w:cs="Arial"/>
                <w:color w:val="000000"/>
                <w:sz w:val="20"/>
                <w:szCs w:val="20"/>
                <w:lang w:eastAsia="en-NZ"/>
              </w:rPr>
              <w:t>for</w:t>
            </w:r>
            <w:r w:rsidRPr="009E6139">
              <w:rPr>
                <w:rFonts w:eastAsia="Times New Roman" w:cs="Arial"/>
                <w:color w:val="000000"/>
                <w:sz w:val="20"/>
                <w:szCs w:val="20"/>
                <w:lang w:eastAsia="en-NZ"/>
              </w:rPr>
              <w:t xml:space="preserve"> </w:t>
            </w:r>
            <w:r>
              <w:rPr>
                <w:rFonts w:eastAsia="Times New Roman" w:cs="Arial"/>
                <w:color w:val="000000"/>
                <w:sz w:val="20"/>
                <w:szCs w:val="20"/>
                <w:lang w:eastAsia="en-NZ"/>
              </w:rPr>
              <w:t xml:space="preserve">developing </w:t>
            </w:r>
            <w:r w:rsidRPr="009E6139">
              <w:rPr>
                <w:rFonts w:eastAsia="Times New Roman" w:cs="Arial"/>
                <w:color w:val="000000"/>
                <w:sz w:val="20"/>
                <w:szCs w:val="20"/>
                <w:lang w:eastAsia="en-NZ"/>
              </w:rPr>
              <w:t>sector leadership</w:t>
            </w:r>
            <w:r>
              <w:rPr>
                <w:rFonts w:eastAsia="Times New Roman" w:cs="Arial"/>
                <w:color w:val="000000"/>
                <w:sz w:val="20"/>
                <w:szCs w:val="20"/>
                <w:lang w:eastAsia="en-NZ"/>
              </w:rPr>
              <w:t>.</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RMCAP20</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 xml:space="preserve">PH Capacity Development – Alcohol </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services that deliver programmes to help prevent harm associated with the misuse of alcohol.</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RMCAP21</w:t>
            </w:r>
          </w:p>
        </w:tc>
        <w:tc>
          <w:tcPr>
            <w:tcW w:w="131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PH Capacity Development – Illicit Drugs and Psychoactive Substances</w:t>
            </w:r>
          </w:p>
        </w:tc>
        <w:tc>
          <w:tcPr>
            <w:tcW w:w="250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services that deliver programmes to help prevent harm associated with the misuse of dr</w:t>
            </w:r>
            <w:r>
              <w:rPr>
                <w:rFonts w:eastAsia="Times New Roman" w:cs="Arial"/>
                <w:color w:val="000000"/>
                <w:sz w:val="20"/>
                <w:szCs w:val="20"/>
                <w:lang w:eastAsia="en-NZ"/>
              </w:rPr>
              <w:t>ugs and psychoactive substances</w:t>
            </w:r>
            <w:r w:rsidRPr="003329A7">
              <w:rPr>
                <w:rFonts w:eastAsia="Times New Roman" w:cs="Arial"/>
                <w:color w:val="000000"/>
                <w:sz w:val="20"/>
                <w:szCs w:val="20"/>
                <w:lang w:eastAsia="en-NZ"/>
              </w:rPr>
              <w:t>.</w:t>
            </w:r>
          </w:p>
        </w:tc>
        <w:tc>
          <w:tcPr>
            <w:tcW w:w="564"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sz w:val="20"/>
                <w:szCs w:val="20"/>
                <w:lang w:val="en-AU"/>
              </w:rPr>
            </w:pPr>
            <w:r w:rsidRPr="003329A7">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RMCAP22</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PH Capacity Development – Community Action Youth and Drugs (CAYAD)</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Community Action Youth and Drugs (CAYAD) programmes.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RMCAP23</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Nutrition and Physical Activity</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the delivery of nutrition and physical activity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RMCAP27</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 xml:space="preserve">PH Capacity Development – Sexual Health </w:t>
            </w:r>
            <w:r>
              <w:rPr>
                <w:rFonts w:eastAsia="Times New Roman" w:cs="Arial"/>
                <w:color w:val="000000"/>
                <w:sz w:val="20"/>
                <w:szCs w:val="20"/>
                <w:lang w:eastAsia="en-NZ"/>
              </w:rPr>
              <w:t>P</w:t>
            </w:r>
            <w:r w:rsidRPr="009E6139">
              <w:rPr>
                <w:rFonts w:eastAsia="Times New Roman" w:cs="Arial"/>
                <w:color w:val="000000"/>
                <w:sz w:val="20"/>
                <w:szCs w:val="20"/>
                <w:lang w:eastAsia="en-NZ"/>
              </w:rPr>
              <w:t>romotion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the delivery of sexual health promotion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RMCAP28</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 xml:space="preserve">PH Capacity Development – </w:t>
            </w:r>
            <w:r>
              <w:rPr>
                <w:rFonts w:eastAsia="Times New Roman" w:cs="Arial"/>
                <w:color w:val="000000"/>
                <w:sz w:val="20"/>
                <w:szCs w:val="20"/>
                <w:lang w:eastAsia="en-NZ"/>
              </w:rPr>
              <w:t>Smokefree Environments (</w:t>
            </w:r>
            <w:r w:rsidRPr="009E6139">
              <w:rPr>
                <w:rFonts w:eastAsia="Times New Roman" w:cs="Arial"/>
                <w:color w:val="000000"/>
                <w:sz w:val="20"/>
                <w:szCs w:val="20"/>
                <w:lang w:eastAsia="en-NZ"/>
              </w:rPr>
              <w:t>Tobacco Control</w:t>
            </w:r>
            <w:r>
              <w:rPr>
                <w:rFonts w:eastAsia="Times New Roman" w:cs="Arial"/>
                <w:color w:val="000000"/>
                <w:sz w:val="20"/>
                <w:szCs w:val="20"/>
                <w:lang w:eastAsia="en-NZ"/>
              </w:rPr>
              <w:t>)</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the delivery of smokefree environments (tobacco control)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AU"/>
              </w:rPr>
            </w:pPr>
            <w:r w:rsidRPr="009E6139">
              <w:rPr>
                <w:rFonts w:eastAsia="Times New Roman" w:cs="Arial"/>
                <w:color w:val="000000"/>
                <w:sz w:val="20"/>
                <w:szCs w:val="20"/>
                <w:lang w:eastAsia="en-NZ"/>
              </w:rPr>
              <w:t>RMCAP29</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9E6139">
              <w:rPr>
                <w:rFonts w:eastAsia="Times New Roman" w:cs="Arial"/>
                <w:color w:val="000000"/>
                <w:sz w:val="20"/>
                <w:szCs w:val="20"/>
                <w:lang w:eastAsia="en-NZ"/>
              </w:rPr>
              <w:t xml:space="preserve">PH Capacity Development – </w:t>
            </w:r>
            <w:r>
              <w:rPr>
                <w:rFonts w:eastAsia="Times New Roman" w:cs="Arial"/>
                <w:color w:val="000000"/>
                <w:sz w:val="20"/>
                <w:szCs w:val="20"/>
                <w:lang w:eastAsia="en-NZ"/>
              </w:rPr>
              <w:t>Stop Smoking (</w:t>
            </w:r>
            <w:r w:rsidRPr="009E6139">
              <w:rPr>
                <w:rFonts w:eastAsia="Times New Roman" w:cs="Arial"/>
                <w:color w:val="000000"/>
                <w:sz w:val="20"/>
                <w:szCs w:val="20"/>
                <w:lang w:eastAsia="en-NZ"/>
              </w:rPr>
              <w:t>Smoking Cessation</w:t>
            </w:r>
            <w:r>
              <w:rPr>
                <w:rFonts w:eastAsia="Times New Roman" w:cs="Arial"/>
                <w:color w:val="000000"/>
                <w:sz w:val="20"/>
                <w:szCs w:val="20"/>
                <w:lang w:eastAsia="en-NZ"/>
              </w:rPr>
              <w:t>)</w:t>
            </w:r>
            <w:r w:rsidRPr="009E6139">
              <w:rPr>
                <w:rFonts w:eastAsia="Times New Roman" w:cs="Arial"/>
                <w:color w:val="000000"/>
                <w:sz w:val="20"/>
                <w:szCs w:val="20"/>
                <w:lang w:eastAsia="en-NZ"/>
              </w:rPr>
              <w:t xml:space="preserve"> Services</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sz w:val="20"/>
                <w:szCs w:val="20"/>
                <w:lang w:val="en-GB"/>
              </w:rPr>
            </w:pPr>
            <w:r w:rsidRPr="003827AC">
              <w:rPr>
                <w:rFonts w:eastAsia="Times New Roman" w:cs="Arial"/>
                <w:color w:val="000000"/>
                <w:sz w:val="20"/>
                <w:szCs w:val="20"/>
                <w:lang w:eastAsia="en-NZ"/>
              </w:rPr>
              <w:t>Capacity development for the delivery of stop smoking (smoking cessation)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RMCAP30</w:t>
            </w:r>
          </w:p>
        </w:tc>
        <w:tc>
          <w:tcPr>
            <w:tcW w:w="131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 xml:space="preserve">PH Capacity Development </w:t>
            </w:r>
            <w:r w:rsidRPr="003329A7">
              <w:rPr>
                <w:rFonts w:eastAsia="Times New Roman" w:cs="Arial"/>
                <w:color w:val="000000"/>
                <w:sz w:val="20"/>
                <w:szCs w:val="20"/>
                <w:lang w:eastAsia="en-NZ"/>
              </w:rPr>
              <w:lastRenderedPageBreak/>
              <w:t>– Communicable Diseases</w:t>
            </w:r>
          </w:p>
        </w:tc>
        <w:tc>
          <w:tcPr>
            <w:tcW w:w="250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lastRenderedPageBreak/>
              <w:t xml:space="preserve">Capacity development for the delivery of communicable </w:t>
            </w:r>
            <w:r w:rsidRPr="003827AC">
              <w:rPr>
                <w:rFonts w:eastAsia="Times New Roman" w:cs="Arial"/>
                <w:color w:val="000000"/>
                <w:sz w:val="20"/>
                <w:szCs w:val="20"/>
                <w:lang w:eastAsia="en-NZ"/>
              </w:rPr>
              <w:lastRenderedPageBreak/>
              <w:t>disease prevention and control services.</w:t>
            </w:r>
          </w:p>
        </w:tc>
        <w:tc>
          <w:tcPr>
            <w:tcW w:w="564"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sz w:val="20"/>
                <w:szCs w:val="20"/>
                <w:lang w:val="en-AU"/>
              </w:rPr>
              <w:lastRenderedPageBreak/>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lastRenderedPageBreak/>
              <w:t>RMCAP31</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 xml:space="preserve">PH Capacity Development – Rheumatic Fever Prevention </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Rheumatic Fever prevention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RMCAP32</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Needle Exchange Programme</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needle exchange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RMCAP33</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Hepatitis B and C Health Promotion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Hepatitis B and C health promotion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RMCAP34</w:t>
            </w:r>
          </w:p>
        </w:tc>
        <w:tc>
          <w:tcPr>
            <w:tcW w:w="131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color w:val="000000"/>
                <w:sz w:val="20"/>
                <w:szCs w:val="20"/>
                <w:lang w:eastAsia="en-NZ"/>
              </w:rPr>
              <w:t xml:space="preserve">PH Capacity Development – Refugees and Asylum Seekers </w:t>
            </w:r>
          </w:p>
        </w:tc>
        <w:tc>
          <w:tcPr>
            <w:tcW w:w="2509"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 xml:space="preserve">Capacity development for the delivery of public health services </w:t>
            </w:r>
            <w:r>
              <w:rPr>
                <w:rFonts w:eastAsia="Times New Roman" w:cs="Arial"/>
                <w:color w:val="000000"/>
                <w:sz w:val="20"/>
                <w:szCs w:val="20"/>
                <w:lang w:eastAsia="en-NZ"/>
              </w:rPr>
              <w:t>for refugees and asylum seekers</w:t>
            </w:r>
            <w:r w:rsidRPr="003329A7">
              <w:rPr>
                <w:rFonts w:eastAsia="Times New Roman" w:cs="Arial"/>
                <w:color w:val="000000"/>
                <w:sz w:val="20"/>
                <w:szCs w:val="20"/>
                <w:lang w:eastAsia="en-NZ"/>
              </w:rPr>
              <w:t>.</w:t>
            </w:r>
          </w:p>
        </w:tc>
        <w:tc>
          <w:tcPr>
            <w:tcW w:w="564" w:type="pct"/>
            <w:tcBorders>
              <w:top w:val="single" w:sz="4" w:space="0" w:color="auto"/>
              <w:left w:val="single" w:sz="4" w:space="0" w:color="auto"/>
              <w:bottom w:val="single" w:sz="4" w:space="0" w:color="auto"/>
              <w:right w:val="single" w:sz="4" w:space="0" w:color="auto"/>
            </w:tcBorders>
          </w:tcPr>
          <w:p w:rsidR="00977FA1" w:rsidRPr="003329A7" w:rsidRDefault="00977FA1" w:rsidP="007C6872">
            <w:pPr>
              <w:spacing w:before="20" w:after="20" w:line="240" w:lineRule="auto"/>
              <w:rPr>
                <w:rFonts w:eastAsia="Times New Roman" w:cs="Arial"/>
                <w:color w:val="000000"/>
                <w:sz w:val="20"/>
                <w:szCs w:val="20"/>
                <w:lang w:eastAsia="en-NZ"/>
              </w:rPr>
            </w:pPr>
            <w:r w:rsidRPr="003329A7">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RMCAP35</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Injury Prevention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injury prevention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RMCAP36</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–Environment</w:t>
            </w:r>
            <w:r w:rsidR="005C5FDC">
              <w:rPr>
                <w:rFonts w:eastAsia="Times New Roman" w:cs="Arial"/>
                <w:color w:val="000000"/>
                <w:sz w:val="20"/>
                <w:szCs w:val="20"/>
                <w:lang w:eastAsia="en-NZ"/>
              </w:rPr>
              <w:t>al</w:t>
            </w:r>
            <w:r w:rsidRPr="009E6139">
              <w:rPr>
                <w:rFonts w:eastAsia="Times New Roman" w:cs="Arial"/>
                <w:color w:val="000000"/>
                <w:sz w:val="20"/>
                <w:szCs w:val="20"/>
                <w:lang w:eastAsia="en-NZ"/>
              </w:rPr>
              <w:t xml:space="preserve"> Health </w:t>
            </w:r>
            <w:r>
              <w:rPr>
                <w:rFonts w:eastAsia="Times New Roman" w:cs="Arial"/>
                <w:color w:val="000000"/>
                <w:sz w:val="20"/>
                <w:szCs w:val="20"/>
                <w:lang w:eastAsia="en-NZ"/>
              </w:rPr>
              <w:t>Protection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environmental health protection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RMCAP37</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Social Environment</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social environment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RMCAP38</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Health Promoting Schools</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health promoting schools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RMCAP40</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Mental Health promotion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mental health promotion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RMCAP41</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 xml:space="preserve">PH Capacity Development – Suicide Prevention </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3827AC">
              <w:rPr>
                <w:rFonts w:eastAsia="Times New Roman" w:cs="Arial"/>
                <w:color w:val="000000"/>
                <w:sz w:val="20"/>
                <w:szCs w:val="20"/>
                <w:lang w:eastAsia="en-NZ"/>
              </w:rPr>
              <w:t>Capacity development for the delivery of suicide prevention services.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RMCAP42</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PH Capacity Development – Maternal and Child Health Promotion</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 xml:space="preserve">Capacity </w:t>
            </w:r>
            <w:r w:rsidR="005A30FF">
              <w:rPr>
                <w:rFonts w:eastAsia="Times New Roman" w:cs="Arial"/>
                <w:color w:val="000000"/>
                <w:sz w:val="20"/>
                <w:szCs w:val="20"/>
                <w:lang w:eastAsia="en-NZ"/>
              </w:rPr>
              <w:t>d</w:t>
            </w:r>
            <w:r w:rsidRPr="009E6139">
              <w:rPr>
                <w:rFonts w:eastAsia="Times New Roman" w:cs="Arial"/>
                <w:color w:val="000000"/>
                <w:sz w:val="20"/>
                <w:szCs w:val="20"/>
                <w:lang w:eastAsia="en-NZ"/>
              </w:rPr>
              <w:t>evelopment for the delivery of maternal and child health promotion services</w:t>
            </w:r>
            <w:r w:rsidR="005C5FDC">
              <w:rPr>
                <w:rFonts w:eastAsia="Times New Roman" w:cs="Arial"/>
                <w:color w:val="000000"/>
                <w:sz w:val="20"/>
                <w:szCs w:val="20"/>
                <w:lang w:eastAsia="en-NZ"/>
              </w:rPr>
              <w:t xml:space="preserve">. </w:t>
            </w:r>
            <w:r w:rsidR="005C5FDC" w:rsidRPr="005C5FDC">
              <w:rPr>
                <w:rFonts w:eastAsia="Times New Roman" w:cs="Arial"/>
                <w:color w:val="000000"/>
                <w:sz w:val="20"/>
                <w:szCs w:val="20"/>
                <w:lang w:eastAsia="en-NZ"/>
              </w:rPr>
              <w:t>Excludes services funded under RMPM25 - Maternal and Child Health Obesity Programmes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r w:rsidR="00977FA1" w:rsidRPr="009E6139" w:rsidTr="00575C06">
        <w:trPr>
          <w:trHeight w:val="269"/>
        </w:trPr>
        <w:tc>
          <w:tcPr>
            <w:tcW w:w="608"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RMCAP43</w:t>
            </w:r>
          </w:p>
        </w:tc>
        <w:tc>
          <w:tcPr>
            <w:tcW w:w="131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 xml:space="preserve">PH Capacity Development – Violence </w:t>
            </w:r>
            <w:r>
              <w:rPr>
                <w:rFonts w:eastAsia="Times New Roman" w:cs="Arial"/>
                <w:color w:val="000000"/>
                <w:sz w:val="20"/>
                <w:szCs w:val="20"/>
                <w:lang w:eastAsia="en-NZ"/>
              </w:rPr>
              <w:t>Intervention</w:t>
            </w:r>
            <w:r w:rsidRPr="009E6139">
              <w:rPr>
                <w:rFonts w:eastAsia="Times New Roman" w:cs="Arial"/>
                <w:color w:val="000000"/>
                <w:sz w:val="20"/>
                <w:szCs w:val="20"/>
                <w:lang w:eastAsia="en-NZ"/>
              </w:rPr>
              <w:t xml:space="preserve"> Programme </w:t>
            </w:r>
            <w:r>
              <w:rPr>
                <w:rFonts w:eastAsia="Times New Roman" w:cs="Arial"/>
                <w:color w:val="000000"/>
                <w:sz w:val="20"/>
                <w:szCs w:val="20"/>
                <w:lang w:eastAsia="en-NZ"/>
              </w:rPr>
              <w:t>(VIP)</w:t>
            </w:r>
          </w:p>
        </w:tc>
        <w:tc>
          <w:tcPr>
            <w:tcW w:w="2509"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color w:val="000000"/>
                <w:sz w:val="20"/>
                <w:szCs w:val="20"/>
                <w:lang w:eastAsia="en-NZ"/>
              </w:rPr>
              <w:t xml:space="preserve">Capacity </w:t>
            </w:r>
            <w:r w:rsidR="005A30FF">
              <w:rPr>
                <w:rFonts w:eastAsia="Times New Roman" w:cs="Arial"/>
                <w:color w:val="000000"/>
                <w:sz w:val="20"/>
                <w:szCs w:val="20"/>
                <w:lang w:eastAsia="en-NZ"/>
              </w:rPr>
              <w:t>d</w:t>
            </w:r>
            <w:r w:rsidRPr="009E6139">
              <w:rPr>
                <w:rFonts w:eastAsia="Times New Roman" w:cs="Arial"/>
                <w:color w:val="000000"/>
                <w:sz w:val="20"/>
                <w:szCs w:val="20"/>
                <w:lang w:eastAsia="en-NZ"/>
              </w:rPr>
              <w:t xml:space="preserve">evelopment for the delivery of </w:t>
            </w:r>
            <w:r>
              <w:rPr>
                <w:rFonts w:eastAsia="Times New Roman" w:cs="Arial"/>
                <w:color w:val="000000"/>
                <w:sz w:val="20"/>
                <w:szCs w:val="20"/>
                <w:lang w:eastAsia="en-NZ"/>
              </w:rPr>
              <w:t xml:space="preserve">the </w:t>
            </w:r>
            <w:r w:rsidRPr="00977FA1">
              <w:rPr>
                <w:rFonts w:eastAsia="Times New Roman" w:cs="Arial"/>
                <w:color w:val="000000"/>
                <w:sz w:val="20"/>
                <w:szCs w:val="20"/>
                <w:lang w:eastAsia="en-NZ"/>
              </w:rPr>
              <w:t xml:space="preserve">Violence Intervention Programme </w:t>
            </w:r>
            <w:r>
              <w:rPr>
                <w:rFonts w:eastAsia="Times New Roman" w:cs="Arial"/>
                <w:color w:val="000000"/>
                <w:sz w:val="20"/>
                <w:szCs w:val="20"/>
                <w:lang w:eastAsia="en-NZ"/>
              </w:rPr>
              <w:t xml:space="preserve">(VIP), </w:t>
            </w:r>
            <w:r w:rsidRPr="009E6139">
              <w:rPr>
                <w:rFonts w:eastAsia="Times New Roman" w:cs="Arial"/>
                <w:color w:val="000000"/>
                <w:sz w:val="20"/>
                <w:szCs w:val="20"/>
                <w:lang w:eastAsia="en-NZ"/>
              </w:rPr>
              <w:t>including a national service to provide training for health professionals to increase understanding of violence, victim identification, support and referral as part of a compre</w:t>
            </w:r>
            <w:r w:rsidR="005A30FF">
              <w:rPr>
                <w:rFonts w:eastAsia="Times New Roman" w:cs="Arial"/>
                <w:color w:val="000000"/>
                <w:sz w:val="20"/>
                <w:szCs w:val="20"/>
                <w:lang w:eastAsia="en-NZ"/>
              </w:rPr>
              <w:t>hensive systems change approach,</w:t>
            </w:r>
            <w:r w:rsidRPr="009E6139">
              <w:rPr>
                <w:rFonts w:eastAsia="Times New Roman" w:cs="Arial"/>
                <w:color w:val="000000"/>
                <w:sz w:val="20"/>
                <w:szCs w:val="20"/>
                <w:lang w:eastAsia="en-NZ"/>
              </w:rPr>
              <w:t xml:space="preserve"> and evaluation to inform practice and address evidence gaps.</w:t>
            </w:r>
          </w:p>
        </w:tc>
        <w:tc>
          <w:tcPr>
            <w:tcW w:w="564" w:type="pct"/>
            <w:tcBorders>
              <w:top w:val="single" w:sz="4" w:space="0" w:color="auto"/>
              <w:left w:val="single" w:sz="4" w:space="0" w:color="auto"/>
              <w:bottom w:val="single" w:sz="4" w:space="0" w:color="auto"/>
              <w:right w:val="single" w:sz="4" w:space="0" w:color="auto"/>
            </w:tcBorders>
          </w:tcPr>
          <w:p w:rsidR="00977FA1" w:rsidRPr="009E6139" w:rsidRDefault="00977FA1" w:rsidP="007C6872">
            <w:pPr>
              <w:spacing w:before="20" w:after="20" w:line="240" w:lineRule="auto"/>
              <w:rPr>
                <w:rFonts w:eastAsia="Times New Roman" w:cs="Arial"/>
                <w:color w:val="000000"/>
                <w:sz w:val="20"/>
                <w:szCs w:val="20"/>
                <w:lang w:eastAsia="en-NZ"/>
              </w:rPr>
            </w:pPr>
            <w:r w:rsidRPr="009E6139">
              <w:rPr>
                <w:rFonts w:eastAsia="Times New Roman" w:cs="Arial"/>
                <w:sz w:val="20"/>
                <w:szCs w:val="20"/>
                <w:lang w:val="en-AU"/>
              </w:rPr>
              <w:t>Service</w:t>
            </w:r>
          </w:p>
        </w:tc>
      </w:tr>
    </w:tbl>
    <w:p w:rsidR="009E6139" w:rsidRDefault="009E6139" w:rsidP="007C6872">
      <w:pPr>
        <w:tabs>
          <w:tab w:val="left" w:pos="1260"/>
        </w:tabs>
        <w:spacing w:after="0" w:line="240" w:lineRule="auto"/>
        <w:rPr>
          <w:rFonts w:eastAsia="Times New Roman" w:cs="Arial"/>
          <w:szCs w:val="24"/>
          <w:lang w:val="en-AU"/>
        </w:rPr>
      </w:pPr>
    </w:p>
    <w:tbl>
      <w:tblPr>
        <w:tblStyle w:val="TableGrid1"/>
        <w:tblW w:w="5000" w:type="pct"/>
        <w:tblLook w:val="04A0" w:firstRow="1" w:lastRow="0" w:firstColumn="1" w:lastColumn="0" w:noHBand="0" w:noVBand="1"/>
      </w:tblPr>
      <w:tblGrid>
        <w:gridCol w:w="1901"/>
        <w:gridCol w:w="8781"/>
      </w:tblGrid>
      <w:tr w:rsidR="005454BF" w:rsidRPr="005454BF" w:rsidTr="005A30FF">
        <w:trPr>
          <w:trHeight w:val="343"/>
        </w:trPr>
        <w:tc>
          <w:tcPr>
            <w:tcW w:w="890" w:type="pct"/>
            <w:tcBorders>
              <w:top w:val="single" w:sz="4" w:space="0" w:color="auto"/>
              <w:left w:val="single" w:sz="4" w:space="0" w:color="auto"/>
              <w:bottom w:val="single" w:sz="4" w:space="0" w:color="auto"/>
              <w:right w:val="single" w:sz="4" w:space="0" w:color="auto"/>
            </w:tcBorders>
            <w:shd w:val="pct12" w:color="auto" w:fill="auto"/>
            <w:hideMark/>
          </w:tcPr>
          <w:p w:rsidR="005454BF" w:rsidRPr="005454BF" w:rsidRDefault="005454BF" w:rsidP="007C6872">
            <w:pPr>
              <w:spacing w:before="120" w:after="120"/>
              <w:rPr>
                <w:rFonts w:cs="Arial"/>
                <w:b/>
                <w:sz w:val="20"/>
                <w:szCs w:val="20"/>
                <w:lang w:val="en-GB"/>
              </w:rPr>
            </w:pPr>
            <w:r w:rsidRPr="005454BF">
              <w:rPr>
                <w:rFonts w:cs="Arial"/>
                <w:b/>
                <w:sz w:val="20"/>
                <w:szCs w:val="20"/>
                <w:lang w:val="en-GB"/>
              </w:rPr>
              <w:t xml:space="preserve">Unit of Measure </w:t>
            </w:r>
          </w:p>
        </w:tc>
        <w:tc>
          <w:tcPr>
            <w:tcW w:w="4110" w:type="pct"/>
            <w:tcBorders>
              <w:top w:val="single" w:sz="4" w:space="0" w:color="auto"/>
              <w:left w:val="single" w:sz="4" w:space="0" w:color="auto"/>
              <w:bottom w:val="single" w:sz="4" w:space="0" w:color="auto"/>
              <w:right w:val="single" w:sz="4" w:space="0" w:color="auto"/>
            </w:tcBorders>
            <w:shd w:val="pct12" w:color="auto" w:fill="auto"/>
            <w:hideMark/>
          </w:tcPr>
          <w:p w:rsidR="005454BF" w:rsidRPr="005454BF" w:rsidRDefault="005454BF" w:rsidP="007C6872">
            <w:pPr>
              <w:spacing w:before="120" w:after="120"/>
              <w:rPr>
                <w:rFonts w:cs="Arial"/>
                <w:b/>
                <w:sz w:val="20"/>
                <w:szCs w:val="20"/>
                <w:lang w:val="en-GB"/>
              </w:rPr>
            </w:pPr>
            <w:r w:rsidRPr="005454BF">
              <w:rPr>
                <w:rFonts w:cs="Arial"/>
                <w:b/>
                <w:sz w:val="20"/>
                <w:szCs w:val="20"/>
                <w:lang w:val="en-GB"/>
              </w:rPr>
              <w:t>Unit of Measure Definition</w:t>
            </w:r>
          </w:p>
        </w:tc>
      </w:tr>
      <w:tr w:rsidR="005454BF" w:rsidRPr="005454BF" w:rsidTr="005A30FF">
        <w:trPr>
          <w:trHeight w:val="343"/>
        </w:trPr>
        <w:tc>
          <w:tcPr>
            <w:tcW w:w="890" w:type="pct"/>
            <w:tcBorders>
              <w:top w:val="single" w:sz="4" w:space="0" w:color="auto"/>
              <w:left w:val="single" w:sz="4" w:space="0" w:color="auto"/>
              <w:bottom w:val="single" w:sz="4" w:space="0" w:color="auto"/>
              <w:right w:val="single" w:sz="4" w:space="0" w:color="auto"/>
            </w:tcBorders>
          </w:tcPr>
          <w:p w:rsidR="005454BF" w:rsidRPr="005454BF" w:rsidRDefault="005454BF" w:rsidP="007C6872">
            <w:pPr>
              <w:spacing w:before="20" w:after="20"/>
              <w:rPr>
                <w:rFonts w:cs="Arial"/>
                <w:sz w:val="20"/>
                <w:szCs w:val="20"/>
                <w:lang w:val="en-GB"/>
              </w:rPr>
            </w:pPr>
            <w:r w:rsidRPr="005454BF">
              <w:rPr>
                <w:rFonts w:cs="Arial"/>
                <w:sz w:val="20"/>
                <w:szCs w:val="20"/>
                <w:lang w:val="en-GB"/>
              </w:rPr>
              <w:t>Service</w:t>
            </w:r>
          </w:p>
        </w:tc>
        <w:tc>
          <w:tcPr>
            <w:tcW w:w="4110" w:type="pct"/>
            <w:tcBorders>
              <w:top w:val="single" w:sz="4" w:space="0" w:color="auto"/>
              <w:left w:val="single" w:sz="4" w:space="0" w:color="auto"/>
              <w:bottom w:val="single" w:sz="4" w:space="0" w:color="auto"/>
              <w:right w:val="single" w:sz="4" w:space="0" w:color="auto"/>
            </w:tcBorders>
          </w:tcPr>
          <w:p w:rsidR="005454BF" w:rsidRPr="005454BF" w:rsidRDefault="005454BF" w:rsidP="007C6872">
            <w:pPr>
              <w:spacing w:before="20" w:after="20"/>
              <w:rPr>
                <w:rFonts w:cs="Arial"/>
                <w:sz w:val="20"/>
                <w:szCs w:val="20"/>
                <w:lang w:val="en-GB"/>
              </w:rPr>
            </w:pPr>
            <w:r w:rsidRPr="005454BF">
              <w:rPr>
                <w:rFonts w:cs="Arial"/>
                <w:sz w:val="20"/>
                <w:szCs w:val="20"/>
                <w:lang w:val="en-GB"/>
              </w:rPr>
              <w:t>Service purchased in a block arrangement uniquely agreed between the parties to the agreement</w:t>
            </w:r>
          </w:p>
        </w:tc>
      </w:tr>
    </w:tbl>
    <w:p w:rsidR="009B59D0" w:rsidRDefault="009B59D0" w:rsidP="007C6872">
      <w:pPr>
        <w:spacing w:line="240" w:lineRule="auto"/>
        <w:rPr>
          <w:b/>
          <w:lang w:val="en-AU"/>
        </w:rPr>
        <w:sectPr w:rsidR="009B59D0" w:rsidSect="007F573A">
          <w:headerReference w:type="default" r:id="rId11"/>
          <w:footerReference w:type="default" r:id="rId12"/>
          <w:footerReference w:type="first" r:id="rId13"/>
          <w:pgSz w:w="11906" w:h="16838"/>
          <w:pgMar w:top="720" w:right="720" w:bottom="720" w:left="720" w:header="708" w:footer="708" w:gutter="0"/>
          <w:pgNumType w:start="1"/>
          <w:cols w:space="708"/>
          <w:titlePg/>
          <w:docGrid w:linePitch="360"/>
        </w:sectPr>
      </w:pPr>
    </w:p>
    <w:p w:rsidR="007F573A" w:rsidRPr="004A4DD7" w:rsidRDefault="007F573A" w:rsidP="007C6872">
      <w:pPr>
        <w:pStyle w:val="ListParagraph"/>
        <w:spacing w:line="240" w:lineRule="auto"/>
        <w:rPr>
          <w:rFonts w:eastAsia="Times New Roman" w:cs="Arial"/>
          <w:b/>
          <w:i/>
          <w:szCs w:val="24"/>
        </w:rPr>
      </w:pPr>
      <w:r w:rsidRPr="00695D07">
        <w:rPr>
          <w:rFonts w:eastAsia="Times New Roman" w:cs="Arial"/>
          <w:b/>
          <w:i/>
          <w:szCs w:val="24"/>
        </w:rPr>
        <w:lastRenderedPageBreak/>
        <w:t>Appendix 1</w:t>
      </w:r>
      <w:r>
        <w:rPr>
          <w:rFonts w:eastAsia="Times New Roman" w:cs="Arial"/>
          <w:b/>
          <w:i/>
          <w:szCs w:val="24"/>
        </w:rPr>
        <w:t xml:space="preserve">: </w:t>
      </w:r>
      <w:r w:rsidR="004A4DD7" w:rsidRPr="004A4DD7">
        <w:rPr>
          <w:rFonts w:eastAsia="Times New Roman" w:cs="Arial"/>
          <w:b/>
          <w:i/>
          <w:szCs w:val="24"/>
        </w:rPr>
        <w:t>Overview of the relationships between the specifications for Public Health Services.</w:t>
      </w:r>
    </w:p>
    <w:p w:rsidR="009B59D0" w:rsidRPr="00977413" w:rsidRDefault="007C6872" w:rsidP="007C6872">
      <w:pPr>
        <w:spacing w:line="240" w:lineRule="auto"/>
        <w:rPr>
          <w:b/>
          <w:lang w:val="en-AU"/>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75pt;margin-top:4.75pt;width:598.5pt;height:422.5pt;z-index:251659264;mso-position-horizontal:absolute;mso-position-horizontal-relative:text;mso-position-vertical-relative:text">
            <v:imagedata r:id="rId14" o:title=""/>
            <w10:wrap type="square" side="left"/>
          </v:shape>
          <o:OLEObject Type="Embed" ProgID="AcroExch.Document.11" ShapeID="_x0000_s1027" DrawAspect="Content" ObjectID="_1532500520" r:id="rId15"/>
        </w:pict>
      </w:r>
    </w:p>
    <w:sectPr w:rsidR="009B59D0" w:rsidRPr="00977413" w:rsidSect="009B59D0">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95" w:rsidRDefault="00085395" w:rsidP="002D45E6">
      <w:pPr>
        <w:spacing w:after="0" w:line="240" w:lineRule="auto"/>
      </w:pPr>
      <w:r>
        <w:separator/>
      </w:r>
    </w:p>
  </w:endnote>
  <w:endnote w:type="continuationSeparator" w:id="0">
    <w:p w:rsidR="00085395" w:rsidRDefault="00085395" w:rsidP="002D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3A" w:rsidRPr="007F573A" w:rsidRDefault="007F573A" w:rsidP="007F573A">
    <w:pPr>
      <w:pBdr>
        <w:top w:val="single" w:sz="4" w:space="1" w:color="auto"/>
      </w:pBdr>
      <w:tabs>
        <w:tab w:val="center" w:pos="4513"/>
        <w:tab w:val="right" w:pos="9026"/>
      </w:tabs>
      <w:spacing w:before="120" w:after="0" w:line="240" w:lineRule="auto"/>
      <w:rPr>
        <w:rFonts w:eastAsiaTheme="majorEastAsia" w:cs="Arial"/>
        <w:sz w:val="20"/>
        <w:szCs w:val="20"/>
      </w:rPr>
    </w:pPr>
    <w:r w:rsidRPr="007F573A">
      <w:rPr>
        <w:rFonts w:eastAsiaTheme="majorEastAsia" w:cs="Arial"/>
        <w:sz w:val="20"/>
        <w:szCs w:val="20"/>
      </w:rPr>
      <w:t>Public Health Services – tier two Health Promotion service specification July 2016</w:t>
    </w:r>
  </w:p>
  <w:p w:rsidR="007F573A" w:rsidRPr="007F573A" w:rsidRDefault="007F573A" w:rsidP="001D3D26">
    <w:pPr>
      <w:tabs>
        <w:tab w:val="center" w:pos="4513"/>
        <w:tab w:val="right" w:pos="9026"/>
      </w:tabs>
      <w:spacing w:after="0" w:line="240" w:lineRule="auto"/>
      <w:rPr>
        <w:rFonts w:eastAsia="Calibri" w:cs="Times New Roman"/>
        <w:sz w:val="20"/>
        <w:szCs w:val="20"/>
      </w:rPr>
    </w:pPr>
    <w:r w:rsidRPr="007F573A">
      <w:rPr>
        <w:rFonts w:eastAsiaTheme="majorEastAsia" w:cs="Arial"/>
        <w:sz w:val="20"/>
        <w:szCs w:val="20"/>
      </w:rPr>
      <w:t>Nationwide Service Framework</w:t>
    </w:r>
    <w:r w:rsidR="001D3D26">
      <w:rPr>
        <w:rFonts w:eastAsiaTheme="majorEastAsia" w:cs="Arial"/>
        <w:sz w:val="20"/>
        <w:szCs w:val="20"/>
      </w:rPr>
      <w:ptab w:relativeTo="margin" w:alignment="right" w:leader="none"/>
    </w:r>
    <w:r w:rsidRPr="007F573A">
      <w:rPr>
        <w:rFonts w:eastAsia="Calibri" w:cs="Times New Roman"/>
        <w:sz w:val="20"/>
        <w:szCs w:val="20"/>
      </w:rPr>
      <w:fldChar w:fldCharType="begin"/>
    </w:r>
    <w:r w:rsidRPr="007F573A">
      <w:rPr>
        <w:rFonts w:eastAsia="Calibri" w:cs="Times New Roman"/>
        <w:sz w:val="20"/>
        <w:szCs w:val="20"/>
      </w:rPr>
      <w:instrText xml:space="preserve"> PAGE   \* MERGEFORMAT </w:instrText>
    </w:r>
    <w:r w:rsidRPr="007F573A">
      <w:rPr>
        <w:rFonts w:eastAsia="Calibri" w:cs="Times New Roman"/>
        <w:sz w:val="20"/>
        <w:szCs w:val="20"/>
      </w:rPr>
      <w:fldChar w:fldCharType="separate"/>
    </w:r>
    <w:r w:rsidR="007C6872">
      <w:rPr>
        <w:rFonts w:eastAsia="Calibri" w:cs="Times New Roman"/>
        <w:noProof/>
        <w:sz w:val="20"/>
        <w:szCs w:val="20"/>
      </w:rPr>
      <w:t>12</w:t>
    </w:r>
    <w:r w:rsidRPr="007F573A">
      <w:rPr>
        <w:rFonts w:eastAsia="Calibri" w:cs="Times New Roman"/>
        <w:noProof/>
        <w:sz w:val="20"/>
        <w:szCs w:val="20"/>
      </w:rPr>
      <w:fldChar w:fldCharType="end"/>
    </w:r>
  </w:p>
  <w:p w:rsidR="00EC6BEB" w:rsidRDefault="00EC6BEB" w:rsidP="007F573A">
    <w:pPr>
      <w:pStyle w:val="Footer"/>
      <w:jc w:val="right"/>
      <w:rPr>
        <w:rFonts w:eastAsia="Calibri" w:cs="Times New Roman"/>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3A" w:rsidRPr="007F573A" w:rsidRDefault="007F573A" w:rsidP="007F573A">
    <w:pPr>
      <w:pBdr>
        <w:top w:val="thinThickSmallGap" w:sz="24" w:space="1" w:color="622423" w:themeColor="accent2" w:themeShade="7F"/>
      </w:pBdr>
      <w:tabs>
        <w:tab w:val="center" w:pos="4513"/>
        <w:tab w:val="right" w:pos="9026"/>
      </w:tabs>
      <w:spacing w:before="120" w:after="0" w:line="240" w:lineRule="auto"/>
      <w:rPr>
        <w:rFonts w:eastAsiaTheme="majorEastAsia" w:cs="Arial"/>
        <w:sz w:val="20"/>
        <w:szCs w:val="20"/>
      </w:rPr>
    </w:pPr>
    <w:r w:rsidRPr="007F573A">
      <w:rPr>
        <w:rFonts w:eastAsiaTheme="majorEastAsia" w:cs="Arial"/>
        <w:sz w:val="20"/>
        <w:szCs w:val="20"/>
      </w:rPr>
      <w:t>Public Health Services – tier two Health Promotion service specification July 2016</w:t>
    </w:r>
  </w:p>
  <w:p w:rsidR="007F573A" w:rsidRPr="007F573A" w:rsidRDefault="007F573A" w:rsidP="007F573A">
    <w:pPr>
      <w:tabs>
        <w:tab w:val="center" w:pos="4513"/>
        <w:tab w:val="right" w:pos="9026"/>
      </w:tabs>
      <w:spacing w:after="0" w:line="240" w:lineRule="auto"/>
      <w:rPr>
        <w:rFonts w:eastAsia="Calibri" w:cs="Times New Roman"/>
        <w:sz w:val="20"/>
        <w:szCs w:val="20"/>
      </w:rPr>
    </w:pPr>
    <w:r w:rsidRPr="007F573A">
      <w:rPr>
        <w:rFonts w:eastAsiaTheme="majorEastAsia" w:cs="Arial"/>
        <w:sz w:val="20"/>
        <w:szCs w:val="20"/>
      </w:rPr>
      <w:t>Nationwide Service Framework</w:t>
    </w:r>
  </w:p>
  <w:p w:rsidR="00EC6BEB" w:rsidRDefault="00EC6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95" w:rsidRDefault="00085395" w:rsidP="002D45E6">
      <w:pPr>
        <w:spacing w:after="0" w:line="240" w:lineRule="auto"/>
      </w:pPr>
      <w:r>
        <w:separator/>
      </w:r>
    </w:p>
  </w:footnote>
  <w:footnote w:type="continuationSeparator" w:id="0">
    <w:p w:rsidR="00085395" w:rsidRDefault="00085395" w:rsidP="002D45E6">
      <w:pPr>
        <w:spacing w:after="0" w:line="240" w:lineRule="auto"/>
      </w:pPr>
      <w:r>
        <w:continuationSeparator/>
      </w:r>
    </w:p>
  </w:footnote>
  <w:footnote w:id="1">
    <w:p w:rsidR="00916C66" w:rsidRPr="008A712C" w:rsidRDefault="00916C66" w:rsidP="00916C66">
      <w:pPr>
        <w:pStyle w:val="FootnoteText"/>
        <w:rPr>
          <w:i/>
          <w:lang w:val="en"/>
        </w:rPr>
      </w:pPr>
      <w:r>
        <w:rPr>
          <w:rStyle w:val="FootnoteReference"/>
        </w:rPr>
        <w:footnoteRef/>
      </w:r>
      <w:r w:rsidRPr="008A712C">
        <w:rPr>
          <w:rStyle w:val="FootnoteReference"/>
        </w:rPr>
        <w:t xml:space="preserve"> </w:t>
      </w:r>
      <w:r w:rsidRPr="008A712C">
        <w:rPr>
          <w:lang w:val="en"/>
        </w:rPr>
        <w:t>New Zealand Public Health Clinical Network</w:t>
      </w:r>
      <w:r>
        <w:rPr>
          <w:lang w:val="en"/>
        </w:rPr>
        <w:t xml:space="preserve">. 2011.  </w:t>
      </w:r>
      <w:r>
        <w:rPr>
          <w:i/>
          <w:lang w:val="en"/>
        </w:rPr>
        <w:t>Core Public Health Functions for New Zealand.</w:t>
      </w:r>
    </w:p>
  </w:footnote>
  <w:footnote w:id="2">
    <w:p w:rsidR="008A712C" w:rsidRPr="008A712C" w:rsidRDefault="008A712C">
      <w:pPr>
        <w:pStyle w:val="FootnoteText"/>
        <w:rPr>
          <w:i/>
          <w:lang w:val="en"/>
        </w:rPr>
      </w:pPr>
      <w:r>
        <w:rPr>
          <w:rStyle w:val="FootnoteReference"/>
        </w:rPr>
        <w:footnoteRef/>
      </w:r>
      <w:r w:rsidRPr="008A712C">
        <w:rPr>
          <w:rStyle w:val="FootnoteReference"/>
        </w:rPr>
        <w:t xml:space="preserve"> </w:t>
      </w:r>
      <w:r w:rsidRPr="008A712C">
        <w:rPr>
          <w:lang w:val="en"/>
        </w:rPr>
        <w:t>New Zealand Public Health Clinical Network</w:t>
      </w:r>
      <w:r>
        <w:rPr>
          <w:lang w:val="en"/>
        </w:rPr>
        <w:t xml:space="preserve">. 2011.  </w:t>
      </w:r>
      <w:r>
        <w:rPr>
          <w:i/>
          <w:lang w:val="en"/>
        </w:rPr>
        <w:t>Core Public Health Functions for New Zealand.</w:t>
      </w:r>
    </w:p>
  </w:footnote>
  <w:footnote w:id="3">
    <w:p w:rsidR="008A712C" w:rsidRPr="008A712C" w:rsidRDefault="008A712C" w:rsidP="008A712C">
      <w:pPr>
        <w:pStyle w:val="FootnoteText"/>
        <w:rPr>
          <w:lang w:val="en"/>
        </w:rPr>
      </w:pPr>
      <w:r w:rsidRPr="00723017">
        <w:rPr>
          <w:rStyle w:val="FootnoteReference"/>
        </w:rPr>
        <w:footnoteRef/>
      </w:r>
      <w:r w:rsidRPr="00723017">
        <w:rPr>
          <w:rStyle w:val="FootnoteReference"/>
        </w:rPr>
        <w:t xml:space="preserve"> </w:t>
      </w:r>
      <w:r w:rsidRPr="008A712C">
        <w:rPr>
          <w:lang w:val="en"/>
        </w:rPr>
        <w:t>http://www.who.int/violence_injury_prevention/publications/capacitybuilding/en/index.html</w:t>
      </w:r>
    </w:p>
  </w:footnote>
  <w:footnote w:id="4">
    <w:p w:rsidR="008A712C" w:rsidRPr="008A712C" w:rsidRDefault="008A712C" w:rsidP="008A712C">
      <w:pPr>
        <w:pStyle w:val="FootnoteText"/>
        <w:rPr>
          <w:lang w:val="en"/>
        </w:rPr>
      </w:pPr>
      <w:r w:rsidRPr="008A712C">
        <w:rPr>
          <w:rStyle w:val="FootnoteReference"/>
        </w:rPr>
        <w:footnoteRef/>
      </w:r>
      <w:r w:rsidRPr="008A712C">
        <w:rPr>
          <w:rStyle w:val="FootnoteReference"/>
        </w:rPr>
        <w:t xml:space="preserve"> </w:t>
      </w:r>
      <w:r w:rsidRPr="008A712C">
        <w:rPr>
          <w:lang w:val="en"/>
        </w:rPr>
        <w:t>http://www.phac-aspc.gc.ca/publicat/sars-sras/naylor/4-eng.php#s4a</w:t>
      </w:r>
    </w:p>
  </w:footnote>
  <w:footnote w:id="5">
    <w:p w:rsidR="00C31055" w:rsidRDefault="00C31055" w:rsidP="00C31055">
      <w:pPr>
        <w:pStyle w:val="FootnoteText"/>
      </w:pPr>
      <w:r>
        <w:rPr>
          <w:rStyle w:val="FootnoteReference"/>
        </w:rPr>
        <w:footnoteRef/>
      </w:r>
      <w:r>
        <w:t xml:space="preserve"> As per the New Zealand Public Health Clinical Network report on the </w:t>
      </w:r>
      <w:r>
        <w:rPr>
          <w:i/>
        </w:rPr>
        <w:t>Core Public Health Functions for New Zealand</w:t>
      </w:r>
      <w:r>
        <w:t>, t</w:t>
      </w:r>
      <w:r w:rsidRPr="00C31055">
        <w:t xml:space="preserve">hese components </w:t>
      </w:r>
      <w:r>
        <w:t xml:space="preserve">also </w:t>
      </w:r>
      <w:r w:rsidRPr="00C31055">
        <w:t>draw on existing frameworks from the World Health Organisation and comparable jurisdictions such as Canadian Health, Australia and UK National Health Services.</w:t>
      </w:r>
    </w:p>
  </w:footnote>
  <w:footnote w:id="6">
    <w:p w:rsidR="004409A8" w:rsidRDefault="004409A8" w:rsidP="004409A8">
      <w:pPr>
        <w:pStyle w:val="FootnoteText"/>
      </w:pPr>
      <w:r>
        <w:rPr>
          <w:rStyle w:val="FootnoteReference"/>
        </w:rPr>
        <w:footnoteRef/>
      </w:r>
      <w:r>
        <w:t xml:space="preserve"> </w:t>
      </w:r>
      <w:r w:rsidR="00417418" w:rsidRPr="00417418">
        <w:rPr>
          <w:lang w:val="en"/>
        </w:rPr>
        <w:t>Minister of Health. 2016. New Zealand Health Strategy: Future direction. Wellington: Ministry of Health.</w:t>
      </w:r>
    </w:p>
  </w:footnote>
  <w:footnote w:id="7">
    <w:p w:rsidR="00417418" w:rsidRDefault="00417418">
      <w:pPr>
        <w:pStyle w:val="FootnoteText"/>
      </w:pPr>
      <w:r>
        <w:rPr>
          <w:rStyle w:val="FootnoteReference"/>
        </w:rPr>
        <w:footnoteRef/>
      </w:r>
      <w:r>
        <w:t xml:space="preserve"> </w:t>
      </w:r>
      <w:r w:rsidRPr="00417418">
        <w:rPr>
          <w:lang w:val="en"/>
        </w:rPr>
        <w:t>Minist</w:t>
      </w:r>
      <w:r>
        <w:rPr>
          <w:lang w:val="en"/>
        </w:rPr>
        <w:t xml:space="preserve">ry of Health. 2014. </w:t>
      </w:r>
      <w:r w:rsidRPr="00417418">
        <w:rPr>
          <w:lang w:val="en"/>
        </w:rPr>
        <w:t>He Korowai Oranga – Māori Health Strategy. Wellington: Ministry of Health.</w:t>
      </w:r>
    </w:p>
  </w:footnote>
  <w:footnote w:id="8">
    <w:p w:rsidR="00417418" w:rsidRDefault="00417418" w:rsidP="00417418">
      <w:pPr>
        <w:pStyle w:val="FootnoteText"/>
      </w:pPr>
      <w:r>
        <w:rPr>
          <w:rStyle w:val="FootnoteReference"/>
        </w:rPr>
        <w:footnoteRef/>
      </w:r>
      <w:r>
        <w:t xml:space="preserve"> </w:t>
      </w:r>
      <w:r w:rsidRPr="00417418">
        <w:rPr>
          <w:lang w:val="en"/>
        </w:rPr>
        <w:t>Pae ora is the Government’s vision for Māori health.</w:t>
      </w:r>
      <w:r>
        <w:rPr>
          <w:lang w:val="en"/>
        </w:rPr>
        <w:t xml:space="preserve"> </w:t>
      </w:r>
      <w:r w:rsidRPr="00417418">
        <w:t xml:space="preserve"> </w:t>
      </w:r>
      <w:r>
        <w:t xml:space="preserve">It </w:t>
      </w:r>
      <w:r w:rsidRPr="00417418">
        <w:rPr>
          <w:lang w:val="en"/>
        </w:rPr>
        <w:t>encourages everyone in the health and disability sector to work collaboratively, to think beyond narrow definitions of health, and to provide high-quality and effective services.</w:t>
      </w:r>
      <w:r>
        <w:rPr>
          <w:lang w:val="en"/>
        </w:rPr>
        <w:t xml:space="preserve"> The 3 interconnected elements of Pae ora are: </w:t>
      </w:r>
      <w:r w:rsidRPr="00417418">
        <w:rPr>
          <w:lang w:val="en"/>
        </w:rPr>
        <w:t>mauri ora – healthy individuals</w:t>
      </w:r>
      <w:r>
        <w:rPr>
          <w:lang w:val="en"/>
        </w:rPr>
        <w:t xml:space="preserve">, </w:t>
      </w:r>
      <w:r w:rsidRPr="00417418">
        <w:rPr>
          <w:lang w:val="en"/>
        </w:rPr>
        <w:t>whānau ora – healthy families</w:t>
      </w:r>
      <w:r>
        <w:rPr>
          <w:lang w:val="en"/>
        </w:rPr>
        <w:t xml:space="preserve"> and wai ora – healthy environments</w:t>
      </w:r>
    </w:p>
  </w:footnote>
  <w:footnote w:id="9">
    <w:p w:rsidR="00916C66" w:rsidRPr="00C31055" w:rsidRDefault="00916C66" w:rsidP="00916C66">
      <w:pPr>
        <w:pStyle w:val="FootnoteText"/>
        <w:rPr>
          <w:sz w:val="18"/>
          <w:szCs w:val="18"/>
        </w:rPr>
      </w:pPr>
      <w:r w:rsidRPr="00C31055">
        <w:rPr>
          <w:rStyle w:val="FootnoteReference"/>
          <w:sz w:val="22"/>
          <w:szCs w:val="22"/>
        </w:rPr>
        <w:footnoteRef/>
      </w:r>
      <w:r w:rsidRPr="00C31055">
        <w:rPr>
          <w:rStyle w:val="FootnoteReference"/>
          <w:sz w:val="22"/>
          <w:szCs w:val="22"/>
        </w:rPr>
        <w:t xml:space="preserve"> </w:t>
      </w:r>
      <w:r w:rsidRPr="00C31055">
        <w:rPr>
          <w:sz w:val="18"/>
          <w:szCs w:val="18"/>
        </w:rPr>
        <w:t xml:space="preserve">Equity is a key thread in He Korowai Oranga: “The World Health Organization defines equity as the absence of avoidable or remediable differences among groups of people.”. </w:t>
      </w:r>
    </w:p>
  </w:footnote>
  <w:footnote w:id="10">
    <w:p w:rsidR="004409A8" w:rsidRDefault="004409A8" w:rsidP="004409A8">
      <w:pPr>
        <w:pStyle w:val="FootnoteText"/>
      </w:pPr>
      <w:r>
        <w:rPr>
          <w:rStyle w:val="FootnoteReference"/>
        </w:rPr>
        <w:footnoteRef/>
      </w:r>
      <w:r>
        <w:t xml:space="preserve"> </w:t>
      </w:r>
      <w:r w:rsidRPr="001A1B36">
        <w:t>MBIE is leading a whole of government transition to RB</w:t>
      </w:r>
      <w:r>
        <w:t xml:space="preserve">A which is an outcomes framework, as part of a Streamlined Contracting Framework. Please refer to: </w:t>
      </w:r>
      <w:hyperlink r:id="rId1" w:history="1">
        <w:r w:rsidRPr="001026BF">
          <w:rPr>
            <w:rStyle w:val="Hyperlink"/>
          </w:rPr>
          <w:t>http://www.business.govt.nz/procurement/procurement-reform/streamlined-contracting-with-ngos</w:t>
        </w:r>
      </w:hyperlink>
      <w:r>
        <w:t xml:space="preserve"> RBA </w:t>
      </w:r>
      <w:r w:rsidRPr="0003325F">
        <w:t>has two levels of accountability – population accountability (where providers collectively contribute towards population outcomes) and performance accountability (</w:t>
      </w:r>
      <w:r>
        <w:t>w</w:t>
      </w:r>
      <w:r w:rsidRPr="0003325F">
        <w:t xml:space="preserve">here the provider is responsible for </w:t>
      </w:r>
      <w:r>
        <w:t xml:space="preserve">the </w:t>
      </w:r>
      <w:r w:rsidRPr="0003325F">
        <w:t>outcomes of the clients it engages with</w:t>
      </w:r>
      <w:r>
        <w:t xml:space="preserve"> [client outcomes]</w:t>
      </w:r>
      <w:r w:rsidRPr="0003325F">
        <w:t>).</w:t>
      </w:r>
      <w:r>
        <w:t xml:space="preserve"> </w:t>
      </w:r>
    </w:p>
  </w:footnote>
  <w:footnote w:id="11">
    <w:p w:rsidR="004409A8" w:rsidRPr="00F60E21" w:rsidRDefault="004409A8" w:rsidP="00EC6BEB">
      <w:pPr>
        <w:spacing w:after="0"/>
        <w:rPr>
          <w:sz w:val="18"/>
          <w:szCs w:val="18"/>
        </w:rPr>
      </w:pPr>
      <w:r>
        <w:rPr>
          <w:rStyle w:val="FootnoteReference"/>
        </w:rPr>
        <w:footnoteRef/>
      </w:r>
      <w:r>
        <w:t xml:space="preserve"> </w:t>
      </w:r>
      <w:r w:rsidRPr="00F60E21">
        <w:rPr>
          <w:sz w:val="18"/>
          <w:szCs w:val="18"/>
        </w:rPr>
        <w:t xml:space="preserve">For contracts based on a Results-based accountability (RBA) framework, </w:t>
      </w:r>
      <w:r w:rsidR="001D3D26">
        <w:rPr>
          <w:sz w:val="18"/>
          <w:szCs w:val="18"/>
        </w:rPr>
        <w:t xml:space="preserve">a </w:t>
      </w:r>
      <w:r w:rsidR="001D3D26">
        <w:rPr>
          <w:rFonts w:ascii="Arial Mäori" w:hAnsi="Arial Mäori" w:cs="Arial Mäori"/>
          <w:i/>
          <w:iCs/>
          <w:color w:val="000000"/>
          <w:sz w:val="20"/>
          <w:szCs w:val="20"/>
        </w:rPr>
        <w:t xml:space="preserve">guidance document with related performance measures </w:t>
      </w:r>
      <w:r w:rsidR="001D3D26" w:rsidRPr="00F60E21">
        <w:rPr>
          <w:sz w:val="18"/>
          <w:szCs w:val="18"/>
        </w:rPr>
        <w:t xml:space="preserve">(How many, How well, Is anyone better off?) </w:t>
      </w:r>
      <w:r w:rsidR="001D3D26">
        <w:rPr>
          <w:rFonts w:ascii="Arial Mäori" w:hAnsi="Arial Mäori" w:cs="Arial Mäori"/>
          <w:i/>
          <w:iCs/>
          <w:color w:val="000000"/>
          <w:sz w:val="20"/>
          <w:szCs w:val="20"/>
        </w:rPr>
        <w:t xml:space="preserve">based on RBA is available for download on the NSFL website (see section titled “Downloads”) </w:t>
      </w:r>
      <w:hyperlink r:id="rId2" w:history="1">
        <w:r w:rsidR="00EC6BEB" w:rsidRPr="00212A60">
          <w:rPr>
            <w:rStyle w:val="Hyperlink"/>
            <w:sz w:val="18"/>
            <w:szCs w:val="18"/>
          </w:rPr>
          <w:t>http://nsfl.health.govt.nz/service-specifications/current-service-specifications/public-health-service-specifications</w:t>
        </w:r>
      </w:hyperlink>
      <w:r w:rsidR="00EC6BEB">
        <w:rPr>
          <w:sz w:val="18"/>
          <w:szCs w:val="18"/>
        </w:rPr>
        <w:t xml:space="preserve"> </w:t>
      </w:r>
      <w:r w:rsidR="00904E30">
        <w:rPr>
          <w:sz w:val="18"/>
          <w:szCs w:val="18"/>
        </w:rPr>
        <w:t xml:space="preserve"> </w:t>
      </w:r>
      <w:r w:rsidRPr="00F60E21">
        <w:rPr>
          <w:sz w:val="18"/>
          <w:szCs w:val="18"/>
        </w:rPr>
        <w:t>in the section entitled “</w:t>
      </w:r>
      <w:r w:rsidR="00EC6BEB">
        <w:rPr>
          <w:sz w:val="18"/>
          <w:szCs w:val="18"/>
        </w:rPr>
        <w:t>downloads</w:t>
      </w:r>
      <w:r w:rsidRPr="00F60E21">
        <w:rPr>
          <w:sz w:val="18"/>
          <w:szCs w:val="18"/>
        </w:rPr>
        <w:t xml:space="preserve">”.  </w:t>
      </w:r>
      <w:r>
        <w:rPr>
          <w:sz w:val="18"/>
          <w:szCs w:val="18"/>
        </w:rPr>
        <w:t xml:space="preserve">This guidance document will be reviewed and performance measures updated as required.  </w:t>
      </w:r>
    </w:p>
  </w:footnote>
  <w:footnote w:id="12">
    <w:p w:rsidR="00193AD4" w:rsidRPr="0077315F" w:rsidRDefault="00193AD4" w:rsidP="0077315F">
      <w:pPr>
        <w:pStyle w:val="FootnoteText"/>
        <w:rPr>
          <w:sz w:val="16"/>
          <w:szCs w:val="16"/>
        </w:rPr>
      </w:pPr>
      <w:r w:rsidRPr="00B34254">
        <w:rPr>
          <w:rStyle w:val="FootnoteReference"/>
          <w:sz w:val="18"/>
          <w:szCs w:val="18"/>
        </w:rPr>
        <w:footnoteRef/>
      </w:r>
      <w:r w:rsidRPr="00B34254">
        <w:rPr>
          <w:sz w:val="18"/>
          <w:szCs w:val="18"/>
        </w:rPr>
        <w:t xml:space="preserve"> A comprehensive approach will be delivered across a range of providers. It is not the expectation that every provider should deliver all these activities.</w:t>
      </w:r>
      <w:r w:rsidRPr="0077315F">
        <w:rPr>
          <w:sz w:val="16"/>
          <w:szCs w:val="16"/>
        </w:rPr>
        <w:t xml:space="preserve"> </w:t>
      </w:r>
    </w:p>
  </w:footnote>
  <w:footnote w:id="13">
    <w:p w:rsidR="004C2DBE" w:rsidRPr="00B34254" w:rsidRDefault="004C2DBE" w:rsidP="004C2DBE">
      <w:pPr>
        <w:pStyle w:val="FootnoteText"/>
        <w:rPr>
          <w:b/>
          <w:sz w:val="18"/>
          <w:szCs w:val="18"/>
        </w:rPr>
      </w:pPr>
      <w:r>
        <w:rPr>
          <w:rStyle w:val="FootnoteReference"/>
        </w:rPr>
        <w:footnoteRef/>
      </w:r>
      <w:r>
        <w:t xml:space="preserve"> </w:t>
      </w:r>
      <w:r w:rsidRPr="00B34254">
        <w:rPr>
          <w:sz w:val="18"/>
          <w:szCs w:val="18"/>
        </w:rPr>
        <w:t>Te Uru Kahikatea (TUK) is the national workforce development plan to support the growth and development of the public health workforce in Aotearoa, New Zealand.  Services under the Human Resources components need to be guided by TUK.  Follow the links below for appropriate documents.</w:t>
      </w:r>
    </w:p>
    <w:p w:rsidR="004C2DBE" w:rsidRPr="00B34254" w:rsidRDefault="004C2DBE" w:rsidP="00B42576">
      <w:pPr>
        <w:pStyle w:val="FootnoteText"/>
        <w:numPr>
          <w:ilvl w:val="0"/>
          <w:numId w:val="2"/>
        </w:numPr>
        <w:rPr>
          <w:sz w:val="18"/>
          <w:szCs w:val="18"/>
        </w:rPr>
      </w:pPr>
      <w:r w:rsidRPr="00B34254">
        <w:rPr>
          <w:b/>
          <w:sz w:val="18"/>
          <w:szCs w:val="18"/>
        </w:rPr>
        <w:t>Public health workforce</w:t>
      </w:r>
      <w:r w:rsidRPr="00B34254">
        <w:rPr>
          <w:sz w:val="18"/>
          <w:szCs w:val="18"/>
        </w:rPr>
        <w:t xml:space="preserve">, refer to: Te Uru Kahikatea on </w:t>
      </w:r>
      <w:hyperlink r:id="rId3" w:history="1">
        <w:r w:rsidRPr="00B34254">
          <w:rPr>
            <w:rStyle w:val="Hyperlink"/>
            <w:sz w:val="18"/>
            <w:szCs w:val="18"/>
          </w:rPr>
          <w:t>http://www.publichealthworkforce.org.nz/public-health-employment-workforce-tuk.aspx</w:t>
        </w:r>
      </w:hyperlink>
    </w:p>
    <w:p w:rsidR="004C2DBE" w:rsidRPr="00B34254" w:rsidRDefault="004C2DBE" w:rsidP="00B42576">
      <w:pPr>
        <w:pStyle w:val="FootnoteText"/>
        <w:numPr>
          <w:ilvl w:val="0"/>
          <w:numId w:val="2"/>
        </w:numPr>
        <w:rPr>
          <w:sz w:val="18"/>
          <w:szCs w:val="18"/>
        </w:rPr>
      </w:pPr>
      <w:r w:rsidRPr="00B34254">
        <w:rPr>
          <w:b/>
          <w:sz w:val="18"/>
          <w:szCs w:val="18"/>
        </w:rPr>
        <w:t>TUK Maori public health work plan</w:t>
      </w:r>
      <w:r w:rsidRPr="00B34254">
        <w:rPr>
          <w:sz w:val="18"/>
          <w:szCs w:val="18"/>
        </w:rPr>
        <w:t xml:space="preserve"> 2011-2017 </w:t>
      </w:r>
      <w:hyperlink r:id="rId4" w:history="1">
        <w:r w:rsidRPr="00B34254">
          <w:rPr>
            <w:rStyle w:val="Hyperlink"/>
            <w:sz w:val="18"/>
            <w:szCs w:val="18"/>
          </w:rPr>
          <w:t>http://www.publichealthworkforce.org.nz/data/media/documents/Maori%20PHWD/TUK%20Maori%20workplans/FINAL%20NOV%202011%20Maori%20public%20health%20action%20plan-03.pdf</w:t>
        </w:r>
      </w:hyperlink>
    </w:p>
    <w:p w:rsidR="004C2DBE" w:rsidRPr="00B34254" w:rsidRDefault="004C2DBE" w:rsidP="00B42576">
      <w:pPr>
        <w:pStyle w:val="FootnoteText"/>
        <w:numPr>
          <w:ilvl w:val="0"/>
          <w:numId w:val="2"/>
        </w:numPr>
        <w:rPr>
          <w:sz w:val="18"/>
          <w:szCs w:val="18"/>
        </w:rPr>
      </w:pPr>
      <w:r w:rsidRPr="00B34254">
        <w:rPr>
          <w:b/>
          <w:sz w:val="18"/>
          <w:szCs w:val="18"/>
        </w:rPr>
        <w:t xml:space="preserve">Pacific public health work plan and implementation plan 2013-2017 </w:t>
      </w:r>
      <w:r w:rsidRPr="00B34254">
        <w:rPr>
          <w:rStyle w:val="Hyperlink"/>
          <w:sz w:val="18"/>
          <w:szCs w:val="18"/>
        </w:rPr>
        <w:t>http://www.publichealthworkforce.org.nz/data/media/documents/Pacific%20PH%20WFD/taeao-o-tautai-public-health-workforce-plan.pdf</w:t>
      </w:r>
    </w:p>
  </w:footnote>
  <w:footnote w:id="14">
    <w:p w:rsidR="004C2DBE" w:rsidRPr="00417418" w:rsidRDefault="004C2DBE" w:rsidP="00417418">
      <w:pPr>
        <w:pStyle w:val="FootnoteText"/>
        <w:spacing w:before="60" w:after="60"/>
        <w:ind w:left="284" w:right="-612" w:hanging="284"/>
        <w:rPr>
          <w:sz w:val="18"/>
          <w:szCs w:val="18"/>
        </w:rPr>
      </w:pPr>
      <w:r w:rsidRPr="00417418">
        <w:rPr>
          <w:rStyle w:val="FootnoteReference"/>
        </w:rPr>
        <w:footnoteRef/>
      </w:r>
      <w:r w:rsidRPr="00417418">
        <w:rPr>
          <w:rStyle w:val="FootnoteReference"/>
        </w:rPr>
        <w:t xml:space="preserve"> </w:t>
      </w:r>
      <w:r w:rsidRPr="00417418">
        <w:rPr>
          <w:sz w:val="18"/>
          <w:szCs w:val="18"/>
        </w:rPr>
        <w:t>This could be staff in own organisation (internal staff) or those in other public health sector organisations (external staff)</w:t>
      </w:r>
    </w:p>
  </w:footnote>
  <w:footnote w:id="15">
    <w:p w:rsidR="004C2DBE" w:rsidRPr="00417418" w:rsidRDefault="004C2DBE" w:rsidP="00417418">
      <w:pPr>
        <w:pStyle w:val="FootnoteText"/>
        <w:spacing w:before="60" w:after="60"/>
        <w:ind w:left="284" w:right="-612" w:hanging="284"/>
      </w:pPr>
      <w:r w:rsidRPr="00417418">
        <w:rPr>
          <w:rStyle w:val="FootnoteReference"/>
          <w:sz w:val="24"/>
          <w:szCs w:val="22"/>
        </w:rPr>
        <w:footnoteRef/>
      </w:r>
      <w:r w:rsidRPr="00417418">
        <w:rPr>
          <w:rStyle w:val="FootnoteReference"/>
          <w:sz w:val="24"/>
        </w:rPr>
        <w:t xml:space="preserve"> </w:t>
      </w:r>
      <w:r>
        <w:tab/>
      </w:r>
      <w:r w:rsidRPr="00417418">
        <w:t>Refer to T2 Public Health Assessment and Surveillance specifications.</w:t>
      </w:r>
    </w:p>
  </w:footnote>
  <w:footnote w:id="16">
    <w:p w:rsidR="004C2DBE" w:rsidRPr="00D7319F" w:rsidRDefault="004C2DBE" w:rsidP="00417418">
      <w:pPr>
        <w:pStyle w:val="FootnoteText"/>
        <w:spacing w:before="60" w:after="60"/>
        <w:ind w:left="284" w:right="-612" w:hanging="284"/>
        <w:rPr>
          <w:rFonts w:asciiTheme="minorHAnsi" w:hAnsiTheme="minorHAnsi"/>
        </w:rPr>
      </w:pPr>
      <w:r w:rsidRPr="00D7319F">
        <w:rPr>
          <w:rStyle w:val="FootnoteReference"/>
          <w:rFonts w:asciiTheme="minorHAnsi" w:hAnsiTheme="minorHAnsi"/>
        </w:rPr>
        <w:footnoteRef/>
      </w:r>
      <w:r w:rsidRPr="00D7319F">
        <w:rPr>
          <w:rFonts w:asciiTheme="minorHAnsi" w:hAnsiTheme="minorHAnsi"/>
        </w:rPr>
        <w:t xml:space="preserve"> </w:t>
      </w:r>
      <w:r w:rsidRPr="00417418">
        <w:tab/>
        <w:t>For authorised providers only.</w:t>
      </w:r>
    </w:p>
  </w:footnote>
  <w:footnote w:id="17">
    <w:p w:rsidR="00417418" w:rsidRDefault="00417418" w:rsidP="00417418">
      <w:pPr>
        <w:spacing w:after="0" w:line="240" w:lineRule="auto"/>
      </w:pPr>
      <w:r w:rsidRPr="008A712C">
        <w:rPr>
          <w:rStyle w:val="FootnoteReference"/>
          <w:sz w:val="22"/>
        </w:rPr>
        <w:footnoteRef/>
      </w:r>
      <w:r w:rsidRPr="008A712C">
        <w:rPr>
          <w:rStyle w:val="FootnoteReference"/>
          <w:sz w:val="22"/>
        </w:rPr>
        <w:t xml:space="preserve"> </w:t>
      </w:r>
      <w:r>
        <w:rPr>
          <w:sz w:val="20"/>
          <w:szCs w:val="20"/>
        </w:rPr>
        <w:t>Re</w:t>
      </w:r>
      <w:r w:rsidRPr="00417418">
        <w:rPr>
          <w:sz w:val="20"/>
          <w:szCs w:val="20"/>
        </w:rPr>
        <w:t xml:space="preserve">fer to Tier 2 Public Health Assessment and Surveillance service specification. </w:t>
      </w:r>
    </w:p>
  </w:footnote>
  <w:footnote w:id="18">
    <w:p w:rsidR="004C2DBE" w:rsidRPr="00D7319F" w:rsidRDefault="004C2DBE" w:rsidP="00417418">
      <w:pPr>
        <w:pStyle w:val="FootnoteText"/>
      </w:pPr>
      <w:r w:rsidRPr="00E76A4E">
        <w:rPr>
          <w:rStyle w:val="FootnoteReference"/>
          <w:sz w:val="22"/>
          <w:szCs w:val="22"/>
        </w:rPr>
        <w:footnoteRef/>
      </w:r>
      <w:r w:rsidRPr="00E76A4E">
        <w:rPr>
          <w:sz w:val="22"/>
          <w:szCs w:val="22"/>
        </w:rPr>
        <w:t xml:space="preserve"> </w:t>
      </w:r>
      <w:r w:rsidRPr="00D7319F">
        <w:t>Local or national tools can be developed for consistent measures and reporting.</w:t>
      </w:r>
    </w:p>
  </w:footnote>
  <w:footnote w:id="19">
    <w:p w:rsidR="00C31055" w:rsidRPr="00C31055" w:rsidRDefault="00C31055" w:rsidP="00C31055">
      <w:pPr>
        <w:pStyle w:val="FootnoteText"/>
        <w:rPr>
          <w:sz w:val="18"/>
          <w:szCs w:val="18"/>
        </w:rPr>
      </w:pPr>
      <w:r w:rsidRPr="00C31055">
        <w:rPr>
          <w:rStyle w:val="FootnoteReference"/>
          <w:sz w:val="22"/>
          <w:szCs w:val="22"/>
        </w:rPr>
        <w:footnoteRef/>
      </w:r>
      <w:r w:rsidRPr="00C31055">
        <w:rPr>
          <w:rStyle w:val="FootnoteReference"/>
          <w:sz w:val="22"/>
          <w:szCs w:val="22"/>
        </w:rPr>
        <w:t xml:space="preserve"> </w:t>
      </w:r>
      <w:r w:rsidRPr="00C31055">
        <w:rPr>
          <w:sz w:val="18"/>
          <w:szCs w:val="18"/>
        </w:rPr>
        <w:t xml:space="preserve">TUHANZ A Treaty Understanding of Hauora in Aotearoa - New Zealand (TUHANZ) from the Health Promotion Forum of New Zealand offers guidance of the application of te Tiriti o Waitangi in health promotion practice in Aotearoa - New Zealand </w:t>
      </w:r>
      <w:r w:rsidRPr="00C31055">
        <w:rPr>
          <w:sz w:val="18"/>
          <w:szCs w:val="18"/>
        </w:rPr>
        <w:fldChar w:fldCharType="begin"/>
      </w:r>
      <w:r w:rsidRPr="00C31055">
        <w:rPr>
          <w:sz w:val="18"/>
          <w:szCs w:val="18"/>
        </w:rPr>
        <w:instrText xml:space="preserve"> ADDIN EN.CITE &lt;EndNote&gt;&lt;Cite&gt;&lt;Author&gt;Health Promotion Forum of New Zealand&lt;/Author&gt;&lt;Year&gt;2002&lt;/Year&gt;&lt;RecNum&gt;28&lt;/RecNum&gt;&lt;DisplayText&gt;(Health Promotion Forum of New Zealand, 2002)&lt;/DisplayText&gt;&lt;record&gt;&lt;rec-number&gt;28&lt;/rec-number&gt;&lt;foreign-keys&gt;&lt;key app="EN" db-id="stdwdf29mzf9z1eet05xpsr9ttd9w5x2xpda"&gt;28&lt;/key&gt;&lt;/foreign-keys&gt;&lt;ref-type name="Report"&gt;27&lt;/ref-type&gt;&lt;contributors&gt;&lt;authors&gt;&lt;author&gt;Health Promotion Forum of New Zealand,&lt;/author&gt;&lt;/authors&gt;&lt;tertiary-authors&gt;&lt;author&gt;Health Promotion Forum of New Zealand&lt;/author&gt;&lt;/tertiary-authors&gt;&lt;/contributors&gt;&lt;titles&gt;&lt;title&gt;TUHA-NZ: a Treaty Understanding of Hauora in Aotearora - New Zealand&lt;/title&gt;&lt;/titles&gt;&lt;dates&gt;&lt;year&gt;2002&lt;/year&gt;&lt;/dates&gt;&lt;pub-location&gt;Auckland&lt;/pub-location&gt;&lt;urls&gt;&lt;/urls&gt;&lt;/record&gt;&lt;/Cite&gt;&lt;/EndNote&gt;</w:instrText>
      </w:r>
      <w:r w:rsidRPr="00C31055">
        <w:rPr>
          <w:sz w:val="18"/>
          <w:szCs w:val="18"/>
        </w:rPr>
        <w:fldChar w:fldCharType="separate"/>
      </w:r>
      <w:r w:rsidRPr="00C31055">
        <w:rPr>
          <w:sz w:val="18"/>
          <w:szCs w:val="18"/>
        </w:rPr>
        <w:t>(</w:t>
      </w:r>
      <w:hyperlink w:anchor="_ENREF_3" w:tooltip="Health Promotion Forum of New Zealand, 2002 #28" w:history="1">
        <w:r w:rsidRPr="00C31055">
          <w:rPr>
            <w:sz w:val="18"/>
            <w:szCs w:val="18"/>
          </w:rPr>
          <w:t>Health Promotion Forum of New Zealand, 2002</w:t>
        </w:r>
      </w:hyperlink>
      <w:r w:rsidRPr="00C31055">
        <w:rPr>
          <w:sz w:val="18"/>
          <w:szCs w:val="18"/>
        </w:rPr>
        <w:t>)</w:t>
      </w:r>
      <w:r w:rsidRPr="00C31055">
        <w:rPr>
          <w:sz w:val="18"/>
          <w:szCs w:val="18"/>
        </w:rPr>
        <w:fldChar w:fldCharType="end"/>
      </w:r>
      <w:r w:rsidRPr="00C31055">
        <w:rPr>
          <w:sz w:val="18"/>
          <w:szCs w:val="18"/>
        </w:rPr>
        <w:t>.</w:t>
      </w:r>
    </w:p>
  </w:footnote>
  <w:footnote w:id="20">
    <w:p w:rsidR="00C31055" w:rsidRPr="00C31055" w:rsidRDefault="00C31055" w:rsidP="00C31055">
      <w:pPr>
        <w:pStyle w:val="FootnoteText"/>
        <w:rPr>
          <w:sz w:val="18"/>
          <w:szCs w:val="18"/>
        </w:rPr>
      </w:pPr>
      <w:r w:rsidRPr="00C31055">
        <w:rPr>
          <w:rStyle w:val="FootnoteReference"/>
          <w:sz w:val="22"/>
          <w:szCs w:val="22"/>
        </w:rPr>
        <w:footnoteRef/>
      </w:r>
      <w:r w:rsidRPr="00C31055">
        <w:rPr>
          <w:rStyle w:val="FootnoteReference"/>
          <w:sz w:val="22"/>
          <w:szCs w:val="22"/>
        </w:rPr>
        <w:t xml:space="preserve"> </w:t>
      </w:r>
      <w:r w:rsidRPr="00C31055">
        <w:rPr>
          <w:sz w:val="18"/>
          <w:szCs w:val="18"/>
        </w:rPr>
        <w:t xml:space="preserve">Equity is a key thread in He Korowai Oranga: “The World Health Organization defines equity as the absence of avoidable or remediable differences among groups of people.”. </w:t>
      </w:r>
    </w:p>
  </w:footnote>
  <w:footnote w:id="21">
    <w:p w:rsidR="00C31055" w:rsidRPr="00C31055" w:rsidRDefault="00C31055" w:rsidP="00C31055">
      <w:pPr>
        <w:pStyle w:val="FootnoteText"/>
      </w:pPr>
      <w:r w:rsidRPr="00C31055">
        <w:rPr>
          <w:rStyle w:val="FootnoteReference"/>
          <w:sz w:val="22"/>
          <w:szCs w:val="22"/>
        </w:rPr>
        <w:footnoteRef/>
      </w:r>
      <w:r w:rsidRPr="00695D07">
        <w:rPr>
          <w:rFonts w:eastAsia="Times New Roman" w:cs="Arial"/>
          <w:i/>
          <w:lang w:val="en-AU"/>
        </w:rPr>
        <w:t xml:space="preserve"> </w:t>
      </w:r>
      <w:r w:rsidRPr="00C31055">
        <w:rPr>
          <w:sz w:val="18"/>
          <w:szCs w:val="18"/>
        </w:rPr>
        <w:t>See reference 17</w:t>
      </w:r>
      <w:r>
        <w:rPr>
          <w:sz w:val="18"/>
          <w:szCs w:val="18"/>
        </w:rPr>
        <w:t xml:space="preserve"> above</w:t>
      </w:r>
    </w:p>
  </w:footnote>
  <w:footnote w:id="22">
    <w:p w:rsidR="00C31055" w:rsidRDefault="00C31055" w:rsidP="00C31055">
      <w:pPr>
        <w:pStyle w:val="FootnoteText"/>
      </w:pPr>
      <w:r w:rsidRPr="008A712C">
        <w:rPr>
          <w:rStyle w:val="FootnoteReference"/>
          <w:sz w:val="22"/>
          <w:szCs w:val="22"/>
        </w:rPr>
        <w:footnoteRef/>
      </w:r>
      <w:r w:rsidRPr="008A712C">
        <w:rPr>
          <w:sz w:val="18"/>
          <w:szCs w:val="18"/>
        </w:rPr>
        <w:t xml:space="preserve"> Ministry of Health Services (British Colombia) – Population Health and Wellness. (2005). A Framework for Core Functions in Public Health.  Resource Document. Vancouver: Population Health and Wellness, Ministry for Health Services, Province of British Columbia.</w:t>
      </w:r>
    </w:p>
  </w:footnote>
  <w:footnote w:id="23">
    <w:p w:rsidR="00193AD4" w:rsidRPr="00604D72" w:rsidRDefault="00193AD4" w:rsidP="002D45E6">
      <w:pPr>
        <w:pStyle w:val="FootnoteText"/>
        <w:rPr>
          <w:sz w:val="16"/>
          <w:szCs w:val="16"/>
        </w:rPr>
      </w:pPr>
      <w:r w:rsidRPr="008A712C">
        <w:rPr>
          <w:rStyle w:val="FootnoteReference"/>
          <w:sz w:val="22"/>
          <w:szCs w:val="22"/>
        </w:rPr>
        <w:footnoteRef/>
      </w:r>
      <w:r w:rsidRPr="00604D72">
        <w:rPr>
          <w:sz w:val="16"/>
          <w:szCs w:val="16"/>
        </w:rPr>
        <w:t xml:space="preserve"> </w:t>
      </w:r>
      <w:r w:rsidRPr="00B34254">
        <w:rPr>
          <w:sz w:val="18"/>
          <w:szCs w:val="18"/>
        </w:rPr>
        <w:t>Ratima M. (2010) Maori Health Promotion-a comprehensive definition and strategic consideration Health Promotion of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4" w:rsidRDefault="00193AD4" w:rsidP="00331D2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11084"/>
      <w:docPartObj>
        <w:docPartGallery w:val="Page Numbers (Top of Page)"/>
        <w:docPartUnique/>
      </w:docPartObj>
    </w:sdtPr>
    <w:sdtEndPr>
      <w:rPr>
        <w:noProof/>
      </w:rPr>
    </w:sdtEndPr>
    <w:sdtContent>
      <w:p w:rsidR="009B59D0" w:rsidRDefault="009B59D0" w:rsidP="009B59D0">
        <w:pPr>
          <w:pStyle w:val="Header"/>
        </w:pPr>
        <w:r>
          <w:tab/>
        </w:r>
        <w:r>
          <w:tab/>
        </w:r>
        <w:r>
          <w:tab/>
        </w:r>
        <w:r>
          <w:tab/>
        </w:r>
        <w:r>
          <w:tab/>
        </w:r>
        <w:r>
          <w:tab/>
        </w:r>
        <w:r>
          <w:tab/>
        </w:r>
        <w:r>
          <w:tab/>
        </w:r>
        <w:r>
          <w:tab/>
        </w:r>
        <w:r>
          <w:tab/>
        </w: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A7A"/>
    <w:multiLevelType w:val="hybridMultilevel"/>
    <w:tmpl w:val="4482A4F0"/>
    <w:lvl w:ilvl="0" w:tplc="14090001">
      <w:start w:val="1"/>
      <w:numFmt w:val="bullet"/>
      <w:lvlText w:val=""/>
      <w:lvlJc w:val="left"/>
      <w:pPr>
        <w:ind w:left="862" w:hanging="360"/>
      </w:pPr>
      <w:rPr>
        <w:rFonts w:ascii="Symbol" w:hAnsi="Symbol" w:hint="default"/>
      </w:rPr>
    </w:lvl>
    <w:lvl w:ilvl="1" w:tplc="14090019">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nsid w:val="108A230A"/>
    <w:multiLevelType w:val="hybridMultilevel"/>
    <w:tmpl w:val="C17EA7D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nsid w:val="11D42EDF"/>
    <w:multiLevelType w:val="hybridMultilevel"/>
    <w:tmpl w:val="C15A3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75D72FE"/>
    <w:multiLevelType w:val="hybridMultilevel"/>
    <w:tmpl w:val="9656F090"/>
    <w:lvl w:ilvl="0" w:tplc="EBB622EC">
      <w:start w:val="1"/>
      <w:numFmt w:val="decimal"/>
      <w:pStyle w:val="Heading2"/>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DF13AB2"/>
    <w:multiLevelType w:val="hybridMultilevel"/>
    <w:tmpl w:val="FB7C5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F6E51B6"/>
    <w:multiLevelType w:val="hybridMultilevel"/>
    <w:tmpl w:val="19F08EC4"/>
    <w:lvl w:ilvl="0" w:tplc="6246B286">
      <w:start w:val="1559"/>
      <w:numFmt w:val="bullet"/>
      <w:lvlText w:val="-"/>
      <w:lvlJc w:val="left"/>
      <w:pPr>
        <w:ind w:left="360" w:hanging="360"/>
      </w:pPr>
      <w:rPr>
        <w:rFonts w:ascii="Arial" w:hAnsi="Arial" w:hint="default"/>
        <w:b/>
        <w:i w:val="0"/>
        <w:sz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5164509"/>
    <w:multiLevelType w:val="hybridMultilevel"/>
    <w:tmpl w:val="2DB01A80"/>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start w:val="1"/>
      <w:numFmt w:val="bullet"/>
      <w:lvlText w:val=""/>
      <w:lvlJc w:val="left"/>
      <w:pPr>
        <w:ind w:left="2166" w:hanging="360"/>
      </w:pPr>
      <w:rPr>
        <w:rFonts w:ascii="Symbol" w:hAnsi="Symbol" w:hint="default"/>
      </w:rPr>
    </w:lvl>
    <w:lvl w:ilvl="4" w:tplc="14090003">
      <w:start w:val="1"/>
      <w:numFmt w:val="bullet"/>
      <w:lvlText w:val="o"/>
      <w:lvlJc w:val="left"/>
      <w:pPr>
        <w:ind w:left="2886" w:hanging="360"/>
      </w:pPr>
      <w:rPr>
        <w:rFonts w:ascii="Courier New" w:hAnsi="Courier New" w:cs="Courier New" w:hint="default"/>
      </w:rPr>
    </w:lvl>
    <w:lvl w:ilvl="5" w:tplc="14090005">
      <w:start w:val="1"/>
      <w:numFmt w:val="bullet"/>
      <w:lvlText w:val=""/>
      <w:lvlJc w:val="left"/>
      <w:pPr>
        <w:ind w:left="3606" w:hanging="360"/>
      </w:pPr>
      <w:rPr>
        <w:rFonts w:ascii="Wingdings" w:hAnsi="Wingdings" w:hint="default"/>
      </w:rPr>
    </w:lvl>
    <w:lvl w:ilvl="6" w:tplc="14090001">
      <w:start w:val="1"/>
      <w:numFmt w:val="bullet"/>
      <w:lvlText w:val=""/>
      <w:lvlJc w:val="left"/>
      <w:pPr>
        <w:ind w:left="4326" w:hanging="360"/>
      </w:pPr>
      <w:rPr>
        <w:rFonts w:ascii="Symbol" w:hAnsi="Symbol" w:hint="default"/>
      </w:rPr>
    </w:lvl>
    <w:lvl w:ilvl="7" w:tplc="14090003">
      <w:start w:val="1"/>
      <w:numFmt w:val="bullet"/>
      <w:lvlText w:val="o"/>
      <w:lvlJc w:val="left"/>
      <w:pPr>
        <w:ind w:left="5046" w:hanging="360"/>
      </w:pPr>
      <w:rPr>
        <w:rFonts w:ascii="Courier New" w:hAnsi="Courier New" w:cs="Courier New" w:hint="default"/>
      </w:rPr>
    </w:lvl>
    <w:lvl w:ilvl="8" w:tplc="14090005">
      <w:start w:val="1"/>
      <w:numFmt w:val="bullet"/>
      <w:lvlText w:val=""/>
      <w:lvlJc w:val="left"/>
      <w:pPr>
        <w:ind w:left="5766" w:hanging="360"/>
      </w:pPr>
      <w:rPr>
        <w:rFonts w:ascii="Wingdings" w:hAnsi="Wingdings" w:hint="default"/>
      </w:rPr>
    </w:lvl>
  </w:abstractNum>
  <w:abstractNum w:abstractNumId="7">
    <w:nsid w:val="371D1AC1"/>
    <w:multiLevelType w:val="hybridMultilevel"/>
    <w:tmpl w:val="0BAAF8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020470C"/>
    <w:multiLevelType w:val="hybridMultilevel"/>
    <w:tmpl w:val="B464E3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7182295"/>
    <w:multiLevelType w:val="hybridMultilevel"/>
    <w:tmpl w:val="CE26259E"/>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BB3685E"/>
    <w:multiLevelType w:val="hybridMultilevel"/>
    <w:tmpl w:val="6F1CF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815FF6"/>
    <w:multiLevelType w:val="hybridMultilevel"/>
    <w:tmpl w:val="F63AB9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50C628A"/>
    <w:multiLevelType w:val="hybridMultilevel"/>
    <w:tmpl w:val="422AC6EE"/>
    <w:lvl w:ilvl="0" w:tplc="C6BCC69E">
      <w:numFmt w:val="bullet"/>
      <w:lvlText w:val="•"/>
      <w:lvlJc w:val="left"/>
      <w:pPr>
        <w:ind w:left="360" w:hanging="360"/>
      </w:pPr>
      <w:rPr>
        <w:rFonts w:ascii="Arial" w:eastAsia="Times New Roman" w:hAnsi="Arial" w:cs="Aria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5F190BDD"/>
    <w:multiLevelType w:val="hybridMultilevel"/>
    <w:tmpl w:val="9EB28B8C"/>
    <w:lvl w:ilvl="0" w:tplc="C7C8C2F0">
      <w:start w:val="1"/>
      <w:numFmt w:val="bullet"/>
      <w:lvlText w:val=""/>
      <w:lvlJc w:val="left"/>
      <w:pPr>
        <w:tabs>
          <w:tab w:val="num" w:pos="192"/>
        </w:tabs>
        <w:ind w:left="192" w:hanging="360"/>
      </w:pPr>
      <w:rPr>
        <w:rFonts w:ascii="Symbol" w:hAnsi="Symbol" w:hint="default"/>
        <w:color w:val="auto"/>
      </w:rPr>
    </w:lvl>
    <w:lvl w:ilvl="1" w:tplc="B69AD60E">
      <w:start w:val="1"/>
      <w:numFmt w:val="bullet"/>
      <w:lvlText w:val="­"/>
      <w:lvlJc w:val="left"/>
      <w:pPr>
        <w:tabs>
          <w:tab w:val="num" w:pos="912"/>
        </w:tabs>
        <w:ind w:left="912" w:hanging="360"/>
      </w:pPr>
      <w:rPr>
        <w:rFonts w:ascii="Courier New" w:hAnsi="Courier New" w:hint="default"/>
      </w:rPr>
    </w:lvl>
    <w:lvl w:ilvl="2" w:tplc="04090005">
      <w:start w:val="1"/>
      <w:numFmt w:val="bullet"/>
      <w:lvlText w:val=""/>
      <w:lvlJc w:val="left"/>
      <w:pPr>
        <w:tabs>
          <w:tab w:val="num" w:pos="1632"/>
        </w:tabs>
        <w:ind w:left="1632" w:hanging="360"/>
      </w:pPr>
      <w:rPr>
        <w:rFonts w:ascii="Wingdings" w:hAnsi="Wingdings" w:hint="default"/>
      </w:rPr>
    </w:lvl>
    <w:lvl w:ilvl="3" w:tplc="1FA4289E">
      <w:start w:val="1"/>
      <w:numFmt w:val="bullet"/>
      <w:lvlText w:val=""/>
      <w:lvlJc w:val="left"/>
      <w:pPr>
        <w:tabs>
          <w:tab w:val="num" w:pos="2352"/>
        </w:tabs>
        <w:ind w:left="2352" w:hanging="360"/>
      </w:pPr>
      <w:rPr>
        <w:rFonts w:ascii="Wingdings" w:hAnsi="Wingdings" w:hint="default"/>
      </w:rPr>
    </w:lvl>
    <w:lvl w:ilvl="4" w:tplc="04090003">
      <w:start w:val="1"/>
      <w:numFmt w:val="bullet"/>
      <w:lvlText w:val="o"/>
      <w:lvlJc w:val="left"/>
      <w:pPr>
        <w:tabs>
          <w:tab w:val="num" w:pos="3072"/>
        </w:tabs>
        <w:ind w:left="3072" w:hanging="360"/>
      </w:pPr>
      <w:rPr>
        <w:rFonts w:ascii="Courier New" w:hAnsi="Courier New" w:cs="Courier New" w:hint="default"/>
      </w:rPr>
    </w:lvl>
    <w:lvl w:ilvl="5" w:tplc="04090005">
      <w:start w:val="1"/>
      <w:numFmt w:val="bullet"/>
      <w:lvlText w:val=""/>
      <w:lvlJc w:val="left"/>
      <w:pPr>
        <w:tabs>
          <w:tab w:val="num" w:pos="3792"/>
        </w:tabs>
        <w:ind w:left="3792" w:hanging="360"/>
      </w:pPr>
      <w:rPr>
        <w:rFonts w:ascii="Wingdings" w:hAnsi="Wingdings" w:hint="default"/>
      </w:rPr>
    </w:lvl>
    <w:lvl w:ilvl="6" w:tplc="04090001">
      <w:start w:val="1"/>
      <w:numFmt w:val="bullet"/>
      <w:lvlText w:val=""/>
      <w:lvlJc w:val="left"/>
      <w:pPr>
        <w:tabs>
          <w:tab w:val="num" w:pos="4512"/>
        </w:tabs>
        <w:ind w:left="4512" w:hanging="360"/>
      </w:pPr>
      <w:rPr>
        <w:rFonts w:ascii="Symbol" w:hAnsi="Symbol" w:hint="default"/>
      </w:rPr>
    </w:lvl>
    <w:lvl w:ilvl="7" w:tplc="04090003">
      <w:start w:val="1"/>
      <w:numFmt w:val="bullet"/>
      <w:lvlText w:val="o"/>
      <w:lvlJc w:val="left"/>
      <w:pPr>
        <w:tabs>
          <w:tab w:val="num" w:pos="5232"/>
        </w:tabs>
        <w:ind w:left="5232" w:hanging="360"/>
      </w:pPr>
      <w:rPr>
        <w:rFonts w:ascii="Courier New" w:hAnsi="Courier New" w:cs="Courier New" w:hint="default"/>
      </w:rPr>
    </w:lvl>
    <w:lvl w:ilvl="8" w:tplc="04090005">
      <w:start w:val="1"/>
      <w:numFmt w:val="bullet"/>
      <w:lvlText w:val=""/>
      <w:lvlJc w:val="left"/>
      <w:pPr>
        <w:tabs>
          <w:tab w:val="num" w:pos="5952"/>
        </w:tabs>
        <w:ind w:left="5952" w:hanging="360"/>
      </w:pPr>
      <w:rPr>
        <w:rFonts w:ascii="Wingdings" w:hAnsi="Wingdings" w:hint="default"/>
      </w:rPr>
    </w:lvl>
  </w:abstractNum>
  <w:abstractNum w:abstractNumId="14">
    <w:nsid w:val="68AA04F3"/>
    <w:multiLevelType w:val="hybridMultilevel"/>
    <w:tmpl w:val="2CDECB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23C3F1E"/>
    <w:multiLevelType w:val="hybridMultilevel"/>
    <w:tmpl w:val="59129FAA"/>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abstractNum w:abstractNumId="16">
    <w:nsid w:val="752F5926"/>
    <w:multiLevelType w:val="multilevel"/>
    <w:tmpl w:val="01403294"/>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78B55FB"/>
    <w:multiLevelType w:val="hybridMultilevel"/>
    <w:tmpl w:val="A59002EC"/>
    <w:lvl w:ilvl="0" w:tplc="9D1CE2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5"/>
  </w:num>
  <w:num w:numId="5">
    <w:abstractNumId w:val="10"/>
  </w:num>
  <w:num w:numId="6">
    <w:abstractNumId w:val="14"/>
  </w:num>
  <w:num w:numId="7">
    <w:abstractNumId w:val="11"/>
  </w:num>
  <w:num w:numId="8">
    <w:abstractNumId w:val="17"/>
  </w:num>
  <w:num w:numId="9">
    <w:abstractNumId w:val="8"/>
  </w:num>
  <w:num w:numId="10">
    <w:abstractNumId w:val="2"/>
  </w:num>
  <w:num w:numId="11">
    <w:abstractNumId w:val="4"/>
  </w:num>
  <w:num w:numId="12">
    <w:abstractNumId w:val="7"/>
  </w:num>
  <w:num w:numId="13">
    <w:abstractNumId w:val="3"/>
  </w:num>
  <w:num w:numId="14">
    <w:abstractNumId w:val="16"/>
  </w:num>
  <w:num w:numId="15">
    <w:abstractNumId w:val="9"/>
  </w:num>
  <w:num w:numId="16">
    <w:abstractNumId w:val="0"/>
  </w:num>
  <w:num w:numId="17">
    <w:abstractNumId w:val="5"/>
  </w:num>
  <w:num w:numId="18">
    <w:abstractNumId w:val="13"/>
  </w:num>
  <w:num w:numId="19">
    <w:abstractNumId w:val="16"/>
    <w:lvlOverride w:ilvl="0">
      <w:startOverride w:val="2"/>
    </w:lvlOverride>
    <w:lvlOverride w:ilvl="1">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E6"/>
    <w:rsid w:val="000114C2"/>
    <w:rsid w:val="0001213D"/>
    <w:rsid w:val="00014778"/>
    <w:rsid w:val="00020941"/>
    <w:rsid w:val="00035FA4"/>
    <w:rsid w:val="00047C21"/>
    <w:rsid w:val="00085395"/>
    <w:rsid w:val="00085DF2"/>
    <w:rsid w:val="00085FAD"/>
    <w:rsid w:val="000A66BE"/>
    <w:rsid w:val="000B3A37"/>
    <w:rsid w:val="000C55E5"/>
    <w:rsid w:val="000F473E"/>
    <w:rsid w:val="0010289E"/>
    <w:rsid w:val="00102AB2"/>
    <w:rsid w:val="00124AED"/>
    <w:rsid w:val="001413F3"/>
    <w:rsid w:val="00145966"/>
    <w:rsid w:val="0015280B"/>
    <w:rsid w:val="00157179"/>
    <w:rsid w:val="00157667"/>
    <w:rsid w:val="00161DA7"/>
    <w:rsid w:val="00185839"/>
    <w:rsid w:val="0018591D"/>
    <w:rsid w:val="00193AD4"/>
    <w:rsid w:val="0019638D"/>
    <w:rsid w:val="001965D4"/>
    <w:rsid w:val="001B2497"/>
    <w:rsid w:val="001C3927"/>
    <w:rsid w:val="001D3D26"/>
    <w:rsid w:val="001D6846"/>
    <w:rsid w:val="001E51DB"/>
    <w:rsid w:val="001F64AB"/>
    <w:rsid w:val="00216476"/>
    <w:rsid w:val="002177A6"/>
    <w:rsid w:val="002235AC"/>
    <w:rsid w:val="00230006"/>
    <w:rsid w:val="00232C8D"/>
    <w:rsid w:val="002519FC"/>
    <w:rsid w:val="002615E9"/>
    <w:rsid w:val="00296C9F"/>
    <w:rsid w:val="00296E0D"/>
    <w:rsid w:val="002B1E33"/>
    <w:rsid w:val="002D45E6"/>
    <w:rsid w:val="002E3F4A"/>
    <w:rsid w:val="002E7221"/>
    <w:rsid w:val="0030460B"/>
    <w:rsid w:val="00312345"/>
    <w:rsid w:val="00316B6C"/>
    <w:rsid w:val="00331D2F"/>
    <w:rsid w:val="003329A7"/>
    <w:rsid w:val="00333B2D"/>
    <w:rsid w:val="00375D76"/>
    <w:rsid w:val="003827AC"/>
    <w:rsid w:val="0038338C"/>
    <w:rsid w:val="0038706A"/>
    <w:rsid w:val="00391D46"/>
    <w:rsid w:val="00393C99"/>
    <w:rsid w:val="003B4506"/>
    <w:rsid w:val="003B7D43"/>
    <w:rsid w:val="003C02B7"/>
    <w:rsid w:val="003C1DF8"/>
    <w:rsid w:val="003C2CB5"/>
    <w:rsid w:val="003D28FF"/>
    <w:rsid w:val="003F0DAC"/>
    <w:rsid w:val="004038E2"/>
    <w:rsid w:val="00405711"/>
    <w:rsid w:val="0041136A"/>
    <w:rsid w:val="00417418"/>
    <w:rsid w:val="00430ACD"/>
    <w:rsid w:val="004409A8"/>
    <w:rsid w:val="00460FDC"/>
    <w:rsid w:val="0046224B"/>
    <w:rsid w:val="00472871"/>
    <w:rsid w:val="004759ED"/>
    <w:rsid w:val="00476773"/>
    <w:rsid w:val="004828D0"/>
    <w:rsid w:val="004A4DD7"/>
    <w:rsid w:val="004B1FEC"/>
    <w:rsid w:val="004C2DBE"/>
    <w:rsid w:val="004D18EE"/>
    <w:rsid w:val="004F31E4"/>
    <w:rsid w:val="00504759"/>
    <w:rsid w:val="0050488A"/>
    <w:rsid w:val="00507FED"/>
    <w:rsid w:val="0053435E"/>
    <w:rsid w:val="00534C93"/>
    <w:rsid w:val="005454BF"/>
    <w:rsid w:val="00561FB8"/>
    <w:rsid w:val="005627BC"/>
    <w:rsid w:val="005739F5"/>
    <w:rsid w:val="00575C06"/>
    <w:rsid w:val="00585C08"/>
    <w:rsid w:val="00594A6F"/>
    <w:rsid w:val="005A30FF"/>
    <w:rsid w:val="005C190E"/>
    <w:rsid w:val="005C5FDC"/>
    <w:rsid w:val="005D457A"/>
    <w:rsid w:val="006030BA"/>
    <w:rsid w:val="00604D72"/>
    <w:rsid w:val="00611CB4"/>
    <w:rsid w:val="006325FA"/>
    <w:rsid w:val="0064768D"/>
    <w:rsid w:val="00656477"/>
    <w:rsid w:val="006632FF"/>
    <w:rsid w:val="006660D4"/>
    <w:rsid w:val="00667B84"/>
    <w:rsid w:val="00673719"/>
    <w:rsid w:val="00690A8F"/>
    <w:rsid w:val="006B251F"/>
    <w:rsid w:val="006E22C5"/>
    <w:rsid w:val="006F3086"/>
    <w:rsid w:val="006F4DAB"/>
    <w:rsid w:val="00700757"/>
    <w:rsid w:val="007043AD"/>
    <w:rsid w:val="00713F2B"/>
    <w:rsid w:val="00725A41"/>
    <w:rsid w:val="00751BBC"/>
    <w:rsid w:val="00752B19"/>
    <w:rsid w:val="007543B6"/>
    <w:rsid w:val="0077315F"/>
    <w:rsid w:val="00776568"/>
    <w:rsid w:val="007918C7"/>
    <w:rsid w:val="00794ECB"/>
    <w:rsid w:val="007C6872"/>
    <w:rsid w:val="007D11A1"/>
    <w:rsid w:val="007D2E49"/>
    <w:rsid w:val="007E7084"/>
    <w:rsid w:val="007F40DD"/>
    <w:rsid w:val="007F573A"/>
    <w:rsid w:val="00801666"/>
    <w:rsid w:val="00806141"/>
    <w:rsid w:val="008121A5"/>
    <w:rsid w:val="00813E8B"/>
    <w:rsid w:val="0085605A"/>
    <w:rsid w:val="00876BB3"/>
    <w:rsid w:val="0088498E"/>
    <w:rsid w:val="008A712C"/>
    <w:rsid w:val="008A77F6"/>
    <w:rsid w:val="008B13C6"/>
    <w:rsid w:val="008D5BF9"/>
    <w:rsid w:val="008D5FE4"/>
    <w:rsid w:val="0090150E"/>
    <w:rsid w:val="009048CF"/>
    <w:rsid w:val="00904E30"/>
    <w:rsid w:val="00910EF7"/>
    <w:rsid w:val="009138C8"/>
    <w:rsid w:val="00916C66"/>
    <w:rsid w:val="00950D80"/>
    <w:rsid w:val="00964D28"/>
    <w:rsid w:val="0097513E"/>
    <w:rsid w:val="00977413"/>
    <w:rsid w:val="00977FA1"/>
    <w:rsid w:val="009830C0"/>
    <w:rsid w:val="00984BDE"/>
    <w:rsid w:val="009866FE"/>
    <w:rsid w:val="009878D6"/>
    <w:rsid w:val="009B4D01"/>
    <w:rsid w:val="009B59D0"/>
    <w:rsid w:val="009C3AD3"/>
    <w:rsid w:val="009E6139"/>
    <w:rsid w:val="009F3C92"/>
    <w:rsid w:val="00A03C6A"/>
    <w:rsid w:val="00A115EF"/>
    <w:rsid w:val="00A11F0C"/>
    <w:rsid w:val="00A14461"/>
    <w:rsid w:val="00A776FE"/>
    <w:rsid w:val="00A813DE"/>
    <w:rsid w:val="00AA45DF"/>
    <w:rsid w:val="00AA7E28"/>
    <w:rsid w:val="00AB36CB"/>
    <w:rsid w:val="00AB3F01"/>
    <w:rsid w:val="00AC54B4"/>
    <w:rsid w:val="00AD7D40"/>
    <w:rsid w:val="00AE0335"/>
    <w:rsid w:val="00AE0750"/>
    <w:rsid w:val="00AF3065"/>
    <w:rsid w:val="00B104E2"/>
    <w:rsid w:val="00B34254"/>
    <w:rsid w:val="00B35BB6"/>
    <w:rsid w:val="00B42576"/>
    <w:rsid w:val="00B47AEE"/>
    <w:rsid w:val="00B61150"/>
    <w:rsid w:val="00B74B0C"/>
    <w:rsid w:val="00B957D8"/>
    <w:rsid w:val="00BB18B6"/>
    <w:rsid w:val="00BB73AC"/>
    <w:rsid w:val="00BC6887"/>
    <w:rsid w:val="00BE0135"/>
    <w:rsid w:val="00BE053C"/>
    <w:rsid w:val="00C16B5E"/>
    <w:rsid w:val="00C31055"/>
    <w:rsid w:val="00C34518"/>
    <w:rsid w:val="00C63DCD"/>
    <w:rsid w:val="00C65996"/>
    <w:rsid w:val="00C66190"/>
    <w:rsid w:val="00C75D7B"/>
    <w:rsid w:val="00CA6D79"/>
    <w:rsid w:val="00CE1126"/>
    <w:rsid w:val="00CF7588"/>
    <w:rsid w:val="00D03F66"/>
    <w:rsid w:val="00D1554F"/>
    <w:rsid w:val="00D476B2"/>
    <w:rsid w:val="00D601A8"/>
    <w:rsid w:val="00D90B36"/>
    <w:rsid w:val="00DA17A6"/>
    <w:rsid w:val="00DB4491"/>
    <w:rsid w:val="00DC5CCA"/>
    <w:rsid w:val="00DD0C1F"/>
    <w:rsid w:val="00DD69A8"/>
    <w:rsid w:val="00E03D89"/>
    <w:rsid w:val="00E112E5"/>
    <w:rsid w:val="00E62348"/>
    <w:rsid w:val="00E7203B"/>
    <w:rsid w:val="00E739EB"/>
    <w:rsid w:val="00E86BD6"/>
    <w:rsid w:val="00E96655"/>
    <w:rsid w:val="00EA2ACC"/>
    <w:rsid w:val="00EC6BEB"/>
    <w:rsid w:val="00EE00D5"/>
    <w:rsid w:val="00EE40BA"/>
    <w:rsid w:val="00F01721"/>
    <w:rsid w:val="00F04BCD"/>
    <w:rsid w:val="00F244DD"/>
    <w:rsid w:val="00F25FF9"/>
    <w:rsid w:val="00F36C84"/>
    <w:rsid w:val="00F374A8"/>
    <w:rsid w:val="00F43CC2"/>
    <w:rsid w:val="00F57D52"/>
    <w:rsid w:val="00F60E21"/>
    <w:rsid w:val="00F709A5"/>
    <w:rsid w:val="00F73E53"/>
    <w:rsid w:val="00F87152"/>
    <w:rsid w:val="00F93E98"/>
    <w:rsid w:val="00FB7F27"/>
    <w:rsid w:val="00FC5DDB"/>
    <w:rsid w:val="00FD56B4"/>
    <w:rsid w:val="00FD66B8"/>
    <w:rsid w:val="00FE3F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88"/>
  </w:style>
  <w:style w:type="paragraph" w:styleId="Heading1">
    <w:name w:val="heading 1"/>
    <w:basedOn w:val="Normal"/>
    <w:next w:val="Normal"/>
    <w:link w:val="Heading1Char"/>
    <w:autoRedefine/>
    <w:uiPriority w:val="9"/>
    <w:qFormat/>
    <w:rsid w:val="007C6872"/>
    <w:pPr>
      <w:keepNext/>
      <w:keepLines/>
      <w:numPr>
        <w:numId w:val="14"/>
      </w:numPr>
      <w:spacing w:before="120" w:after="120" w:line="240" w:lineRule="auto"/>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8A77F6"/>
    <w:pPr>
      <w:keepNext/>
      <w:keepLines/>
      <w:numPr>
        <w:numId w:val="13"/>
      </w:numPr>
      <w:spacing w:before="120" w:after="0" w:line="240" w:lineRule="auto"/>
      <w:ind w:left="357"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E6"/>
    <w:rPr>
      <w:rFonts w:ascii="Tahoma" w:hAnsi="Tahoma" w:cs="Tahoma"/>
      <w:sz w:val="16"/>
      <w:szCs w:val="16"/>
    </w:rPr>
  </w:style>
  <w:style w:type="character" w:styleId="Hyperlink">
    <w:name w:val="Hyperlink"/>
    <w:basedOn w:val="DefaultParagraphFont"/>
    <w:uiPriority w:val="99"/>
    <w:unhideWhenUsed/>
    <w:rsid w:val="002D45E6"/>
    <w:rPr>
      <w:color w:val="0000FF" w:themeColor="hyperlink"/>
      <w:u w:val="single"/>
    </w:rPr>
  </w:style>
  <w:style w:type="paragraph" w:styleId="ListParagraph">
    <w:name w:val="List Paragraph"/>
    <w:basedOn w:val="Normal"/>
    <w:uiPriority w:val="34"/>
    <w:qFormat/>
    <w:rsid w:val="002D45E6"/>
    <w:pPr>
      <w:ind w:left="720"/>
      <w:contextualSpacing/>
    </w:pPr>
  </w:style>
  <w:style w:type="paragraph" w:styleId="FootnoteText">
    <w:name w:val="footnote text"/>
    <w:basedOn w:val="Normal"/>
    <w:link w:val="FootnoteTextChar"/>
    <w:uiPriority w:val="99"/>
    <w:unhideWhenUsed/>
    <w:rsid w:val="002D45E6"/>
    <w:pPr>
      <w:spacing w:after="0" w:line="240" w:lineRule="auto"/>
    </w:pPr>
    <w:rPr>
      <w:sz w:val="20"/>
      <w:szCs w:val="20"/>
    </w:rPr>
  </w:style>
  <w:style w:type="character" w:customStyle="1" w:styleId="FootnoteTextChar">
    <w:name w:val="Footnote Text Char"/>
    <w:basedOn w:val="DefaultParagraphFont"/>
    <w:link w:val="FootnoteText"/>
    <w:uiPriority w:val="99"/>
    <w:rsid w:val="002D45E6"/>
    <w:rPr>
      <w:sz w:val="20"/>
      <w:szCs w:val="20"/>
    </w:rPr>
  </w:style>
  <w:style w:type="table" w:styleId="TableGrid">
    <w:name w:val="Table Grid"/>
    <w:basedOn w:val="TableNormal"/>
    <w:uiPriority w:val="59"/>
    <w:rsid w:val="002D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D45E6"/>
    <w:rPr>
      <w:vertAlign w:val="superscript"/>
    </w:rPr>
  </w:style>
  <w:style w:type="paragraph" w:customStyle="1" w:styleId="TableText">
    <w:name w:val="TableText"/>
    <w:basedOn w:val="Normal"/>
    <w:uiPriority w:val="99"/>
    <w:rsid w:val="002D45E6"/>
    <w:pPr>
      <w:spacing w:before="80" w:after="80" w:line="240" w:lineRule="auto"/>
    </w:pPr>
    <w:rPr>
      <w:rFonts w:ascii="Arial Mäori" w:eastAsia="Times New Roman" w:hAnsi="Arial Mäori" w:cs="Times New Roman"/>
      <w:sz w:val="18"/>
      <w:szCs w:val="20"/>
    </w:rPr>
  </w:style>
  <w:style w:type="paragraph" w:styleId="Header">
    <w:name w:val="header"/>
    <w:basedOn w:val="Normal"/>
    <w:link w:val="HeaderChar"/>
    <w:uiPriority w:val="99"/>
    <w:unhideWhenUsed/>
    <w:rsid w:val="0081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1A5"/>
  </w:style>
  <w:style w:type="paragraph" w:styleId="Footer">
    <w:name w:val="footer"/>
    <w:basedOn w:val="Normal"/>
    <w:link w:val="FooterChar"/>
    <w:uiPriority w:val="99"/>
    <w:unhideWhenUsed/>
    <w:rsid w:val="0081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1A5"/>
  </w:style>
  <w:style w:type="paragraph" w:styleId="CommentText">
    <w:name w:val="annotation text"/>
    <w:basedOn w:val="Normal"/>
    <w:link w:val="CommentTextChar"/>
    <w:uiPriority w:val="99"/>
    <w:semiHidden/>
    <w:unhideWhenUsed/>
    <w:rsid w:val="00C34518"/>
    <w:pPr>
      <w:spacing w:line="240" w:lineRule="auto"/>
    </w:pPr>
    <w:rPr>
      <w:sz w:val="20"/>
      <w:szCs w:val="20"/>
    </w:rPr>
  </w:style>
  <w:style w:type="character" w:customStyle="1" w:styleId="CommentTextChar">
    <w:name w:val="Comment Text Char"/>
    <w:basedOn w:val="DefaultParagraphFont"/>
    <w:link w:val="CommentText"/>
    <w:uiPriority w:val="99"/>
    <w:semiHidden/>
    <w:rsid w:val="00C34518"/>
    <w:rPr>
      <w:sz w:val="20"/>
      <w:szCs w:val="20"/>
    </w:rPr>
  </w:style>
  <w:style w:type="paragraph" w:styleId="CommentSubject">
    <w:name w:val="annotation subject"/>
    <w:basedOn w:val="CommentText"/>
    <w:next w:val="CommentText"/>
    <w:link w:val="CommentSubjectChar"/>
    <w:uiPriority w:val="99"/>
    <w:semiHidden/>
    <w:unhideWhenUsed/>
    <w:rsid w:val="00C34518"/>
    <w:pPr>
      <w:spacing w:before="120" w:after="120"/>
    </w:pPr>
    <w:rPr>
      <w:b/>
      <w:bCs/>
    </w:rPr>
  </w:style>
  <w:style w:type="character" w:customStyle="1" w:styleId="CommentSubjectChar">
    <w:name w:val="Comment Subject Char"/>
    <w:basedOn w:val="CommentTextChar"/>
    <w:link w:val="CommentSubject"/>
    <w:uiPriority w:val="99"/>
    <w:semiHidden/>
    <w:rsid w:val="00C34518"/>
    <w:rPr>
      <w:b/>
      <w:bCs/>
      <w:sz w:val="20"/>
      <w:szCs w:val="20"/>
    </w:rPr>
  </w:style>
  <w:style w:type="character" w:customStyle="1" w:styleId="Heading2Char">
    <w:name w:val="Heading 2 Char"/>
    <w:basedOn w:val="DefaultParagraphFont"/>
    <w:link w:val="Heading2"/>
    <w:uiPriority w:val="9"/>
    <w:semiHidden/>
    <w:rsid w:val="008A77F6"/>
    <w:rPr>
      <w:rFonts w:eastAsiaTheme="majorEastAsia" w:cstheme="majorBidi"/>
      <w:b/>
      <w:bCs/>
      <w:szCs w:val="26"/>
    </w:rPr>
  </w:style>
  <w:style w:type="character" w:customStyle="1" w:styleId="Heading1Char">
    <w:name w:val="Heading 1 Char"/>
    <w:basedOn w:val="DefaultParagraphFont"/>
    <w:link w:val="Heading1"/>
    <w:uiPriority w:val="9"/>
    <w:rsid w:val="007C6872"/>
    <w:rPr>
      <w:rFonts w:eastAsiaTheme="majorEastAsia" w:cstheme="majorBidi"/>
      <w:b/>
      <w:bCs/>
      <w:szCs w:val="28"/>
    </w:rPr>
  </w:style>
  <w:style w:type="character" w:styleId="CommentReference">
    <w:name w:val="annotation reference"/>
    <w:basedOn w:val="DefaultParagraphFont"/>
    <w:uiPriority w:val="99"/>
    <w:semiHidden/>
    <w:unhideWhenUsed/>
    <w:rsid w:val="005454BF"/>
    <w:rPr>
      <w:sz w:val="16"/>
      <w:szCs w:val="16"/>
    </w:rPr>
  </w:style>
  <w:style w:type="table" w:customStyle="1" w:styleId="TableGrid1">
    <w:name w:val="Table Grid1"/>
    <w:basedOn w:val="TableNormal"/>
    <w:next w:val="TableGrid"/>
    <w:uiPriority w:val="59"/>
    <w:rsid w:val="0054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418"/>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88"/>
  </w:style>
  <w:style w:type="paragraph" w:styleId="Heading1">
    <w:name w:val="heading 1"/>
    <w:basedOn w:val="Normal"/>
    <w:next w:val="Normal"/>
    <w:link w:val="Heading1Char"/>
    <w:autoRedefine/>
    <w:uiPriority w:val="9"/>
    <w:qFormat/>
    <w:rsid w:val="007C6872"/>
    <w:pPr>
      <w:keepNext/>
      <w:keepLines/>
      <w:numPr>
        <w:numId w:val="14"/>
      </w:numPr>
      <w:spacing w:before="120" w:after="120" w:line="240" w:lineRule="auto"/>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8A77F6"/>
    <w:pPr>
      <w:keepNext/>
      <w:keepLines/>
      <w:numPr>
        <w:numId w:val="13"/>
      </w:numPr>
      <w:spacing w:before="120" w:after="0" w:line="240" w:lineRule="auto"/>
      <w:ind w:left="357"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E6"/>
    <w:rPr>
      <w:rFonts w:ascii="Tahoma" w:hAnsi="Tahoma" w:cs="Tahoma"/>
      <w:sz w:val="16"/>
      <w:szCs w:val="16"/>
    </w:rPr>
  </w:style>
  <w:style w:type="character" w:styleId="Hyperlink">
    <w:name w:val="Hyperlink"/>
    <w:basedOn w:val="DefaultParagraphFont"/>
    <w:uiPriority w:val="99"/>
    <w:unhideWhenUsed/>
    <w:rsid w:val="002D45E6"/>
    <w:rPr>
      <w:color w:val="0000FF" w:themeColor="hyperlink"/>
      <w:u w:val="single"/>
    </w:rPr>
  </w:style>
  <w:style w:type="paragraph" w:styleId="ListParagraph">
    <w:name w:val="List Paragraph"/>
    <w:basedOn w:val="Normal"/>
    <w:uiPriority w:val="34"/>
    <w:qFormat/>
    <w:rsid w:val="002D45E6"/>
    <w:pPr>
      <w:ind w:left="720"/>
      <w:contextualSpacing/>
    </w:pPr>
  </w:style>
  <w:style w:type="paragraph" w:styleId="FootnoteText">
    <w:name w:val="footnote text"/>
    <w:basedOn w:val="Normal"/>
    <w:link w:val="FootnoteTextChar"/>
    <w:uiPriority w:val="99"/>
    <w:unhideWhenUsed/>
    <w:rsid w:val="002D45E6"/>
    <w:pPr>
      <w:spacing w:after="0" w:line="240" w:lineRule="auto"/>
    </w:pPr>
    <w:rPr>
      <w:sz w:val="20"/>
      <w:szCs w:val="20"/>
    </w:rPr>
  </w:style>
  <w:style w:type="character" w:customStyle="1" w:styleId="FootnoteTextChar">
    <w:name w:val="Footnote Text Char"/>
    <w:basedOn w:val="DefaultParagraphFont"/>
    <w:link w:val="FootnoteText"/>
    <w:uiPriority w:val="99"/>
    <w:rsid w:val="002D45E6"/>
    <w:rPr>
      <w:sz w:val="20"/>
      <w:szCs w:val="20"/>
    </w:rPr>
  </w:style>
  <w:style w:type="table" w:styleId="TableGrid">
    <w:name w:val="Table Grid"/>
    <w:basedOn w:val="TableNormal"/>
    <w:uiPriority w:val="59"/>
    <w:rsid w:val="002D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D45E6"/>
    <w:rPr>
      <w:vertAlign w:val="superscript"/>
    </w:rPr>
  </w:style>
  <w:style w:type="paragraph" w:customStyle="1" w:styleId="TableText">
    <w:name w:val="TableText"/>
    <w:basedOn w:val="Normal"/>
    <w:uiPriority w:val="99"/>
    <w:rsid w:val="002D45E6"/>
    <w:pPr>
      <w:spacing w:before="80" w:after="80" w:line="240" w:lineRule="auto"/>
    </w:pPr>
    <w:rPr>
      <w:rFonts w:ascii="Arial Mäori" w:eastAsia="Times New Roman" w:hAnsi="Arial Mäori" w:cs="Times New Roman"/>
      <w:sz w:val="18"/>
      <w:szCs w:val="20"/>
    </w:rPr>
  </w:style>
  <w:style w:type="paragraph" w:styleId="Header">
    <w:name w:val="header"/>
    <w:basedOn w:val="Normal"/>
    <w:link w:val="HeaderChar"/>
    <w:uiPriority w:val="99"/>
    <w:unhideWhenUsed/>
    <w:rsid w:val="00812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1A5"/>
  </w:style>
  <w:style w:type="paragraph" w:styleId="Footer">
    <w:name w:val="footer"/>
    <w:basedOn w:val="Normal"/>
    <w:link w:val="FooterChar"/>
    <w:uiPriority w:val="99"/>
    <w:unhideWhenUsed/>
    <w:rsid w:val="00812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1A5"/>
  </w:style>
  <w:style w:type="paragraph" w:styleId="CommentText">
    <w:name w:val="annotation text"/>
    <w:basedOn w:val="Normal"/>
    <w:link w:val="CommentTextChar"/>
    <w:uiPriority w:val="99"/>
    <w:semiHidden/>
    <w:unhideWhenUsed/>
    <w:rsid w:val="00C34518"/>
    <w:pPr>
      <w:spacing w:line="240" w:lineRule="auto"/>
    </w:pPr>
    <w:rPr>
      <w:sz w:val="20"/>
      <w:szCs w:val="20"/>
    </w:rPr>
  </w:style>
  <w:style w:type="character" w:customStyle="1" w:styleId="CommentTextChar">
    <w:name w:val="Comment Text Char"/>
    <w:basedOn w:val="DefaultParagraphFont"/>
    <w:link w:val="CommentText"/>
    <w:uiPriority w:val="99"/>
    <w:semiHidden/>
    <w:rsid w:val="00C34518"/>
    <w:rPr>
      <w:sz w:val="20"/>
      <w:szCs w:val="20"/>
    </w:rPr>
  </w:style>
  <w:style w:type="paragraph" w:styleId="CommentSubject">
    <w:name w:val="annotation subject"/>
    <w:basedOn w:val="CommentText"/>
    <w:next w:val="CommentText"/>
    <w:link w:val="CommentSubjectChar"/>
    <w:uiPriority w:val="99"/>
    <w:semiHidden/>
    <w:unhideWhenUsed/>
    <w:rsid w:val="00C34518"/>
    <w:pPr>
      <w:spacing w:before="120" w:after="120"/>
    </w:pPr>
    <w:rPr>
      <w:b/>
      <w:bCs/>
    </w:rPr>
  </w:style>
  <w:style w:type="character" w:customStyle="1" w:styleId="CommentSubjectChar">
    <w:name w:val="Comment Subject Char"/>
    <w:basedOn w:val="CommentTextChar"/>
    <w:link w:val="CommentSubject"/>
    <w:uiPriority w:val="99"/>
    <w:semiHidden/>
    <w:rsid w:val="00C34518"/>
    <w:rPr>
      <w:b/>
      <w:bCs/>
      <w:sz w:val="20"/>
      <w:szCs w:val="20"/>
    </w:rPr>
  </w:style>
  <w:style w:type="character" w:customStyle="1" w:styleId="Heading2Char">
    <w:name w:val="Heading 2 Char"/>
    <w:basedOn w:val="DefaultParagraphFont"/>
    <w:link w:val="Heading2"/>
    <w:uiPriority w:val="9"/>
    <w:semiHidden/>
    <w:rsid w:val="008A77F6"/>
    <w:rPr>
      <w:rFonts w:eastAsiaTheme="majorEastAsia" w:cstheme="majorBidi"/>
      <w:b/>
      <w:bCs/>
      <w:szCs w:val="26"/>
    </w:rPr>
  </w:style>
  <w:style w:type="character" w:customStyle="1" w:styleId="Heading1Char">
    <w:name w:val="Heading 1 Char"/>
    <w:basedOn w:val="DefaultParagraphFont"/>
    <w:link w:val="Heading1"/>
    <w:uiPriority w:val="9"/>
    <w:rsid w:val="007C6872"/>
    <w:rPr>
      <w:rFonts w:eastAsiaTheme="majorEastAsia" w:cstheme="majorBidi"/>
      <w:b/>
      <w:bCs/>
      <w:szCs w:val="28"/>
    </w:rPr>
  </w:style>
  <w:style w:type="character" w:styleId="CommentReference">
    <w:name w:val="annotation reference"/>
    <w:basedOn w:val="DefaultParagraphFont"/>
    <w:uiPriority w:val="99"/>
    <w:semiHidden/>
    <w:unhideWhenUsed/>
    <w:rsid w:val="005454BF"/>
    <w:rPr>
      <w:sz w:val="16"/>
      <w:szCs w:val="16"/>
    </w:rPr>
  </w:style>
  <w:style w:type="table" w:customStyle="1" w:styleId="TableGrid1">
    <w:name w:val="Table Grid1"/>
    <w:basedOn w:val="TableNormal"/>
    <w:next w:val="TableGrid"/>
    <w:uiPriority w:val="59"/>
    <w:rsid w:val="0054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41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3614">
      <w:bodyDiv w:val="1"/>
      <w:marLeft w:val="0"/>
      <w:marRight w:val="0"/>
      <w:marTop w:val="0"/>
      <w:marBottom w:val="0"/>
      <w:divBdr>
        <w:top w:val="none" w:sz="0" w:space="0" w:color="auto"/>
        <w:left w:val="none" w:sz="0" w:space="0" w:color="auto"/>
        <w:bottom w:val="none" w:sz="0" w:space="0" w:color="auto"/>
        <w:right w:val="none" w:sz="0" w:space="0" w:color="auto"/>
      </w:divBdr>
    </w:div>
    <w:div w:id="801463496">
      <w:bodyDiv w:val="1"/>
      <w:marLeft w:val="0"/>
      <w:marRight w:val="0"/>
      <w:marTop w:val="0"/>
      <w:marBottom w:val="0"/>
      <w:divBdr>
        <w:top w:val="none" w:sz="0" w:space="0" w:color="auto"/>
        <w:left w:val="none" w:sz="0" w:space="0" w:color="auto"/>
        <w:bottom w:val="none" w:sz="0" w:space="0" w:color="auto"/>
        <w:right w:val="none" w:sz="0" w:space="0" w:color="auto"/>
      </w:divBdr>
      <w:divsChild>
        <w:div w:id="722600131">
          <w:marLeft w:val="0"/>
          <w:marRight w:val="0"/>
          <w:marTop w:val="0"/>
          <w:marBottom w:val="0"/>
          <w:divBdr>
            <w:top w:val="none" w:sz="0" w:space="0" w:color="auto"/>
            <w:left w:val="none" w:sz="0" w:space="0" w:color="auto"/>
            <w:bottom w:val="none" w:sz="0" w:space="0" w:color="auto"/>
            <w:right w:val="none" w:sz="0" w:space="0" w:color="auto"/>
          </w:divBdr>
          <w:divsChild>
            <w:div w:id="553200634">
              <w:marLeft w:val="0"/>
              <w:marRight w:val="0"/>
              <w:marTop w:val="0"/>
              <w:marBottom w:val="0"/>
              <w:divBdr>
                <w:top w:val="none" w:sz="0" w:space="0" w:color="auto"/>
                <w:left w:val="none" w:sz="0" w:space="0" w:color="auto"/>
                <w:bottom w:val="none" w:sz="0" w:space="0" w:color="auto"/>
                <w:right w:val="none" w:sz="0" w:space="0" w:color="auto"/>
              </w:divBdr>
              <w:divsChild>
                <w:div w:id="1383284758">
                  <w:marLeft w:val="-225"/>
                  <w:marRight w:val="-225"/>
                  <w:marTop w:val="0"/>
                  <w:marBottom w:val="0"/>
                  <w:divBdr>
                    <w:top w:val="none" w:sz="0" w:space="0" w:color="auto"/>
                    <w:left w:val="none" w:sz="0" w:space="0" w:color="auto"/>
                    <w:bottom w:val="none" w:sz="0" w:space="0" w:color="auto"/>
                    <w:right w:val="none" w:sz="0" w:space="0" w:color="auto"/>
                  </w:divBdr>
                  <w:divsChild>
                    <w:div w:id="1791700804">
                      <w:marLeft w:val="0"/>
                      <w:marRight w:val="0"/>
                      <w:marTop w:val="0"/>
                      <w:marBottom w:val="0"/>
                      <w:divBdr>
                        <w:top w:val="none" w:sz="0" w:space="0" w:color="auto"/>
                        <w:left w:val="none" w:sz="0" w:space="0" w:color="auto"/>
                        <w:bottom w:val="none" w:sz="0" w:space="0" w:color="auto"/>
                        <w:right w:val="none" w:sz="0" w:space="0" w:color="auto"/>
                      </w:divBdr>
                      <w:divsChild>
                        <w:div w:id="1776367359">
                          <w:marLeft w:val="0"/>
                          <w:marRight w:val="0"/>
                          <w:marTop w:val="0"/>
                          <w:marBottom w:val="0"/>
                          <w:divBdr>
                            <w:top w:val="none" w:sz="0" w:space="0" w:color="auto"/>
                            <w:left w:val="none" w:sz="0" w:space="0" w:color="auto"/>
                            <w:bottom w:val="none" w:sz="0" w:space="0" w:color="auto"/>
                            <w:right w:val="none" w:sz="0" w:space="0" w:color="auto"/>
                          </w:divBdr>
                          <w:divsChild>
                            <w:div w:id="236943177">
                              <w:marLeft w:val="-225"/>
                              <w:marRight w:val="-225"/>
                              <w:marTop w:val="0"/>
                              <w:marBottom w:val="0"/>
                              <w:divBdr>
                                <w:top w:val="none" w:sz="0" w:space="0" w:color="auto"/>
                                <w:left w:val="none" w:sz="0" w:space="0" w:color="auto"/>
                                <w:bottom w:val="none" w:sz="0" w:space="0" w:color="auto"/>
                                <w:right w:val="none" w:sz="0" w:space="0" w:color="auto"/>
                              </w:divBdr>
                              <w:divsChild>
                                <w:div w:id="1269048359">
                                  <w:marLeft w:val="0"/>
                                  <w:marRight w:val="0"/>
                                  <w:marTop w:val="0"/>
                                  <w:marBottom w:val="0"/>
                                  <w:divBdr>
                                    <w:top w:val="none" w:sz="0" w:space="0" w:color="auto"/>
                                    <w:left w:val="none" w:sz="0" w:space="0" w:color="auto"/>
                                    <w:bottom w:val="none" w:sz="0" w:space="0" w:color="auto"/>
                                    <w:right w:val="none" w:sz="0" w:space="0" w:color="auto"/>
                                  </w:divBdr>
                                  <w:divsChild>
                                    <w:div w:id="1693653146">
                                      <w:marLeft w:val="0"/>
                                      <w:marRight w:val="0"/>
                                      <w:marTop w:val="0"/>
                                      <w:marBottom w:val="0"/>
                                      <w:divBdr>
                                        <w:top w:val="none" w:sz="0" w:space="0" w:color="auto"/>
                                        <w:left w:val="none" w:sz="0" w:space="0" w:color="auto"/>
                                        <w:bottom w:val="none" w:sz="0" w:space="0" w:color="auto"/>
                                        <w:right w:val="none" w:sz="0" w:space="0" w:color="auto"/>
                                      </w:divBdr>
                                      <w:divsChild>
                                        <w:div w:id="849683348">
                                          <w:marLeft w:val="0"/>
                                          <w:marRight w:val="0"/>
                                          <w:marTop w:val="0"/>
                                          <w:marBottom w:val="0"/>
                                          <w:divBdr>
                                            <w:top w:val="none" w:sz="0" w:space="0" w:color="auto"/>
                                            <w:left w:val="none" w:sz="0" w:space="0" w:color="auto"/>
                                            <w:bottom w:val="none" w:sz="0" w:space="0" w:color="auto"/>
                                            <w:right w:val="none" w:sz="0" w:space="0" w:color="auto"/>
                                          </w:divBdr>
                                          <w:divsChild>
                                            <w:div w:id="470485618">
                                              <w:marLeft w:val="0"/>
                                              <w:marRight w:val="0"/>
                                              <w:marTop w:val="0"/>
                                              <w:marBottom w:val="0"/>
                                              <w:divBdr>
                                                <w:top w:val="none" w:sz="0" w:space="0" w:color="auto"/>
                                                <w:left w:val="none" w:sz="0" w:space="0" w:color="auto"/>
                                                <w:bottom w:val="none" w:sz="0" w:space="0" w:color="auto"/>
                                                <w:right w:val="none" w:sz="0" w:space="0" w:color="auto"/>
                                              </w:divBdr>
                                              <w:divsChild>
                                                <w:div w:id="718239900">
                                                  <w:marLeft w:val="0"/>
                                                  <w:marRight w:val="0"/>
                                                  <w:marTop w:val="0"/>
                                                  <w:marBottom w:val="0"/>
                                                  <w:divBdr>
                                                    <w:top w:val="none" w:sz="0" w:space="0" w:color="auto"/>
                                                    <w:left w:val="none" w:sz="0" w:space="0" w:color="auto"/>
                                                    <w:bottom w:val="none" w:sz="0" w:space="0" w:color="auto"/>
                                                    <w:right w:val="none" w:sz="0" w:space="0" w:color="auto"/>
                                                  </w:divBdr>
                                                  <w:divsChild>
                                                    <w:div w:id="18707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507550974">
      <w:bodyDiv w:val="1"/>
      <w:marLeft w:val="0"/>
      <w:marRight w:val="0"/>
      <w:marTop w:val="0"/>
      <w:marBottom w:val="0"/>
      <w:divBdr>
        <w:top w:val="none" w:sz="0" w:space="0" w:color="auto"/>
        <w:left w:val="none" w:sz="0" w:space="0" w:color="auto"/>
        <w:bottom w:val="none" w:sz="0" w:space="0" w:color="auto"/>
        <w:right w:val="none" w:sz="0" w:space="0" w:color="auto"/>
      </w:divBdr>
    </w:div>
    <w:div w:id="1999263746">
      <w:bodyDiv w:val="1"/>
      <w:marLeft w:val="0"/>
      <w:marRight w:val="0"/>
      <w:marTop w:val="0"/>
      <w:marBottom w:val="0"/>
      <w:divBdr>
        <w:top w:val="none" w:sz="0" w:space="0" w:color="auto"/>
        <w:left w:val="none" w:sz="0" w:space="0" w:color="auto"/>
        <w:bottom w:val="none" w:sz="0" w:space="0" w:color="auto"/>
        <w:right w:val="none" w:sz="0" w:space="0" w:color="auto"/>
      </w:divBdr>
      <w:divsChild>
        <w:div w:id="1819608858">
          <w:marLeft w:val="0"/>
          <w:marRight w:val="0"/>
          <w:marTop w:val="0"/>
          <w:marBottom w:val="0"/>
          <w:divBdr>
            <w:top w:val="none" w:sz="0" w:space="0" w:color="auto"/>
            <w:left w:val="none" w:sz="0" w:space="0" w:color="auto"/>
            <w:bottom w:val="none" w:sz="0" w:space="0" w:color="auto"/>
            <w:right w:val="none" w:sz="0" w:space="0" w:color="auto"/>
          </w:divBdr>
          <w:divsChild>
            <w:div w:id="1299720127">
              <w:marLeft w:val="0"/>
              <w:marRight w:val="0"/>
              <w:marTop w:val="0"/>
              <w:marBottom w:val="0"/>
              <w:divBdr>
                <w:top w:val="none" w:sz="0" w:space="0" w:color="auto"/>
                <w:left w:val="none" w:sz="0" w:space="0" w:color="auto"/>
                <w:bottom w:val="none" w:sz="0" w:space="0" w:color="auto"/>
                <w:right w:val="none" w:sz="0" w:space="0" w:color="auto"/>
              </w:divBdr>
              <w:divsChild>
                <w:div w:id="861866517">
                  <w:marLeft w:val="-225"/>
                  <w:marRight w:val="-225"/>
                  <w:marTop w:val="0"/>
                  <w:marBottom w:val="0"/>
                  <w:divBdr>
                    <w:top w:val="none" w:sz="0" w:space="0" w:color="auto"/>
                    <w:left w:val="none" w:sz="0" w:space="0" w:color="auto"/>
                    <w:bottom w:val="none" w:sz="0" w:space="0" w:color="auto"/>
                    <w:right w:val="none" w:sz="0" w:space="0" w:color="auto"/>
                  </w:divBdr>
                  <w:divsChild>
                    <w:div w:id="1151676701">
                      <w:marLeft w:val="0"/>
                      <w:marRight w:val="0"/>
                      <w:marTop w:val="0"/>
                      <w:marBottom w:val="0"/>
                      <w:divBdr>
                        <w:top w:val="none" w:sz="0" w:space="0" w:color="auto"/>
                        <w:left w:val="none" w:sz="0" w:space="0" w:color="auto"/>
                        <w:bottom w:val="none" w:sz="0" w:space="0" w:color="auto"/>
                        <w:right w:val="none" w:sz="0" w:space="0" w:color="auto"/>
                      </w:divBdr>
                      <w:divsChild>
                        <w:div w:id="275717848">
                          <w:marLeft w:val="0"/>
                          <w:marRight w:val="0"/>
                          <w:marTop w:val="0"/>
                          <w:marBottom w:val="0"/>
                          <w:divBdr>
                            <w:top w:val="none" w:sz="0" w:space="0" w:color="auto"/>
                            <w:left w:val="none" w:sz="0" w:space="0" w:color="auto"/>
                            <w:bottom w:val="none" w:sz="0" w:space="0" w:color="auto"/>
                            <w:right w:val="none" w:sz="0" w:space="0" w:color="auto"/>
                          </w:divBdr>
                          <w:divsChild>
                            <w:div w:id="1282806405">
                              <w:marLeft w:val="-225"/>
                              <w:marRight w:val="-225"/>
                              <w:marTop w:val="0"/>
                              <w:marBottom w:val="0"/>
                              <w:divBdr>
                                <w:top w:val="none" w:sz="0" w:space="0" w:color="auto"/>
                                <w:left w:val="none" w:sz="0" w:space="0" w:color="auto"/>
                                <w:bottom w:val="none" w:sz="0" w:space="0" w:color="auto"/>
                                <w:right w:val="none" w:sz="0" w:space="0" w:color="auto"/>
                              </w:divBdr>
                              <w:divsChild>
                                <w:div w:id="1581986481">
                                  <w:marLeft w:val="0"/>
                                  <w:marRight w:val="0"/>
                                  <w:marTop w:val="0"/>
                                  <w:marBottom w:val="0"/>
                                  <w:divBdr>
                                    <w:top w:val="none" w:sz="0" w:space="0" w:color="auto"/>
                                    <w:left w:val="none" w:sz="0" w:space="0" w:color="auto"/>
                                    <w:bottom w:val="none" w:sz="0" w:space="0" w:color="auto"/>
                                    <w:right w:val="none" w:sz="0" w:space="0" w:color="auto"/>
                                  </w:divBdr>
                                  <w:divsChild>
                                    <w:div w:id="225531872">
                                      <w:marLeft w:val="0"/>
                                      <w:marRight w:val="0"/>
                                      <w:marTop w:val="0"/>
                                      <w:marBottom w:val="0"/>
                                      <w:divBdr>
                                        <w:top w:val="none" w:sz="0" w:space="0" w:color="auto"/>
                                        <w:left w:val="none" w:sz="0" w:space="0" w:color="auto"/>
                                        <w:bottom w:val="none" w:sz="0" w:space="0" w:color="auto"/>
                                        <w:right w:val="none" w:sz="0" w:space="0" w:color="auto"/>
                                      </w:divBdr>
                                      <w:divsChild>
                                        <w:div w:id="2113740846">
                                          <w:marLeft w:val="0"/>
                                          <w:marRight w:val="0"/>
                                          <w:marTop w:val="0"/>
                                          <w:marBottom w:val="0"/>
                                          <w:divBdr>
                                            <w:top w:val="none" w:sz="0" w:space="0" w:color="auto"/>
                                            <w:left w:val="none" w:sz="0" w:space="0" w:color="auto"/>
                                            <w:bottom w:val="none" w:sz="0" w:space="0" w:color="auto"/>
                                            <w:right w:val="none" w:sz="0" w:space="0" w:color="auto"/>
                                          </w:divBdr>
                                          <w:divsChild>
                                            <w:div w:id="1001158781">
                                              <w:marLeft w:val="0"/>
                                              <w:marRight w:val="0"/>
                                              <w:marTop w:val="0"/>
                                              <w:marBottom w:val="0"/>
                                              <w:divBdr>
                                                <w:top w:val="none" w:sz="0" w:space="0" w:color="auto"/>
                                                <w:left w:val="none" w:sz="0" w:space="0" w:color="auto"/>
                                                <w:bottom w:val="none" w:sz="0" w:space="0" w:color="auto"/>
                                                <w:right w:val="none" w:sz="0" w:space="0" w:color="auto"/>
                                              </w:divBdr>
                                              <w:divsChild>
                                                <w:div w:id="1321159590">
                                                  <w:marLeft w:val="0"/>
                                                  <w:marRight w:val="0"/>
                                                  <w:marTop w:val="0"/>
                                                  <w:marBottom w:val="0"/>
                                                  <w:divBdr>
                                                    <w:top w:val="none" w:sz="0" w:space="0" w:color="auto"/>
                                                    <w:left w:val="none" w:sz="0" w:space="0" w:color="auto"/>
                                                    <w:bottom w:val="none" w:sz="0" w:space="0" w:color="auto"/>
                                                    <w:right w:val="none" w:sz="0" w:space="0" w:color="auto"/>
                                                  </w:divBdr>
                                                  <w:divsChild>
                                                    <w:div w:id="16979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publichealthworkforce.org.nz/public-health-employment-workforce-tuk.aspx" TargetMode="External"/><Relationship Id="rId2" Type="http://schemas.openxmlformats.org/officeDocument/2006/relationships/hyperlink" Target="http://nsfl.health.govt.nz/service-specifications/current-service-specifications/public-health-service-specifications" TargetMode="External"/><Relationship Id="rId1" Type="http://schemas.openxmlformats.org/officeDocument/2006/relationships/hyperlink" Target="http://www.business.govt.nz/procurement/procurement-reform/streamlined-contracting-with-ngos" TargetMode="External"/><Relationship Id="rId4" Type="http://schemas.openxmlformats.org/officeDocument/2006/relationships/hyperlink" Target="http://www.publichealthworkforce.org.nz/data/media/documents/Maori%20PHWD/TUK%20Maori%20workplans/FINAL%20NOV%202011%20Maori%20public%20health%20action%20plan-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0AD6-28B5-4290-ACA9-B8EF6C28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vailtiff</cp:lastModifiedBy>
  <cp:revision>2</cp:revision>
  <cp:lastPrinted>2016-05-12T23:06:00Z</cp:lastPrinted>
  <dcterms:created xsi:type="dcterms:W3CDTF">2016-08-11T21:49:00Z</dcterms:created>
  <dcterms:modified xsi:type="dcterms:W3CDTF">2016-08-11T21:49:00Z</dcterms:modified>
</cp:coreProperties>
</file>