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5008"/>
        <w:gridCol w:w="1760"/>
        <w:gridCol w:w="3914"/>
      </w:tblGrid>
      <w:tr w:rsidR="00C3701D" w14:paraId="6BE96FF7" w14:textId="77777777" w:rsidTr="00452DFE">
        <w:trPr>
          <w:cantSplit/>
        </w:trPr>
        <w:tc>
          <w:tcPr>
            <w:tcW w:w="2344" w:type="pct"/>
            <w:vAlign w:val="center"/>
            <w:hideMark/>
          </w:tcPr>
          <w:p w14:paraId="199B8BC6" w14:textId="77777777" w:rsidR="00C3701D" w:rsidRDefault="00C3701D" w:rsidP="003E3828">
            <w:pPr>
              <w:spacing w:after="0" w:line="240" w:lineRule="auto"/>
              <w:jc w:val="center"/>
              <w:rPr>
                <w:rFonts w:eastAsia="Times New Roman" w:cs="Arial"/>
                <w:bCs/>
                <w:sz w:val="36"/>
                <w:szCs w:val="24"/>
              </w:rPr>
            </w:pPr>
            <w:r>
              <w:rPr>
                <w:rFonts w:eastAsia="Times New Roman" w:cs="Arial"/>
                <w:noProof/>
                <w:szCs w:val="24"/>
                <w:lang w:eastAsia="en-NZ"/>
              </w:rPr>
              <w:drawing>
                <wp:inline distT="0" distB="0" distL="0" distR="0" wp14:anchorId="117DFBF1" wp14:editId="2936F40A">
                  <wp:extent cx="2051685" cy="8191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1685" cy="819150"/>
                          </a:xfrm>
                          <a:prstGeom prst="rect">
                            <a:avLst/>
                          </a:prstGeom>
                          <a:noFill/>
                          <a:ln>
                            <a:noFill/>
                          </a:ln>
                        </pic:spPr>
                      </pic:pic>
                    </a:graphicData>
                  </a:graphic>
                </wp:inline>
              </w:drawing>
            </w:r>
          </w:p>
        </w:tc>
        <w:tc>
          <w:tcPr>
            <w:tcW w:w="2656" w:type="pct"/>
            <w:gridSpan w:val="2"/>
            <w:vAlign w:val="center"/>
          </w:tcPr>
          <w:p w14:paraId="7F4DEF7C" w14:textId="77777777" w:rsidR="00C3701D" w:rsidRPr="00FD2E46" w:rsidRDefault="00C3701D" w:rsidP="003E3828">
            <w:pPr>
              <w:spacing w:after="0" w:line="240" w:lineRule="auto"/>
              <w:jc w:val="center"/>
              <w:rPr>
                <w:rFonts w:eastAsia="Times New Roman" w:cs="Arial"/>
                <w:bCs/>
                <w:sz w:val="32"/>
                <w:szCs w:val="32"/>
              </w:rPr>
            </w:pPr>
            <w:r w:rsidRPr="00FD2E46">
              <w:rPr>
                <w:rFonts w:eastAsia="Times New Roman" w:cs="Arial"/>
                <w:bCs/>
                <w:sz w:val="32"/>
                <w:szCs w:val="32"/>
              </w:rPr>
              <w:t>All District Health Boards</w:t>
            </w:r>
          </w:p>
        </w:tc>
      </w:tr>
      <w:tr w:rsidR="00C3701D" w14:paraId="68323D76" w14:textId="77777777" w:rsidTr="00452DFE">
        <w:trPr>
          <w:cantSplit/>
        </w:trPr>
        <w:tc>
          <w:tcPr>
            <w:tcW w:w="2344" w:type="pct"/>
            <w:vAlign w:val="center"/>
          </w:tcPr>
          <w:p w14:paraId="757943C0" w14:textId="77777777" w:rsidR="00C3701D" w:rsidRDefault="00C3701D" w:rsidP="003E3828">
            <w:pPr>
              <w:spacing w:after="0" w:line="240" w:lineRule="auto"/>
              <w:jc w:val="center"/>
              <w:rPr>
                <w:rFonts w:eastAsia="Times New Roman" w:cs="Arial"/>
                <w:b/>
                <w:caps/>
                <w:sz w:val="36"/>
                <w:szCs w:val="20"/>
              </w:rPr>
            </w:pPr>
          </w:p>
        </w:tc>
        <w:tc>
          <w:tcPr>
            <w:tcW w:w="2656" w:type="pct"/>
            <w:gridSpan w:val="2"/>
            <w:vAlign w:val="center"/>
          </w:tcPr>
          <w:p w14:paraId="482901AE" w14:textId="77777777" w:rsidR="00C3701D" w:rsidRDefault="00C3701D" w:rsidP="003E3828">
            <w:pPr>
              <w:spacing w:after="0" w:line="240" w:lineRule="auto"/>
              <w:jc w:val="center"/>
              <w:rPr>
                <w:rFonts w:eastAsia="Times New Roman" w:cs="Arial"/>
                <w:b/>
                <w:bCs/>
                <w:szCs w:val="24"/>
              </w:rPr>
            </w:pPr>
          </w:p>
        </w:tc>
      </w:tr>
      <w:tr w:rsidR="00C3701D" w14:paraId="610626C2" w14:textId="77777777" w:rsidTr="00452DFE">
        <w:tc>
          <w:tcPr>
            <w:tcW w:w="5000" w:type="pct"/>
            <w:gridSpan w:val="3"/>
          </w:tcPr>
          <w:p w14:paraId="6A6CBC1E" w14:textId="77777777" w:rsidR="00C3701D" w:rsidRDefault="00C3701D" w:rsidP="003E3828">
            <w:pPr>
              <w:spacing w:before="2520" w:after="0" w:line="240" w:lineRule="auto"/>
              <w:jc w:val="center"/>
              <w:rPr>
                <w:rFonts w:eastAsia="Times New Roman" w:cs="Arial"/>
                <w:b/>
                <w:sz w:val="36"/>
                <w:szCs w:val="36"/>
              </w:rPr>
            </w:pPr>
            <w:r>
              <w:rPr>
                <w:rFonts w:eastAsia="Times New Roman" w:cs="Arial"/>
                <w:b/>
                <w:sz w:val="36"/>
                <w:szCs w:val="36"/>
              </w:rPr>
              <w:t>PUBLIC HEALTH SERVICE</w:t>
            </w:r>
            <w:r w:rsidR="00C42C55">
              <w:rPr>
                <w:rFonts w:eastAsia="Times New Roman" w:cs="Arial"/>
                <w:b/>
                <w:sz w:val="36"/>
                <w:szCs w:val="36"/>
              </w:rPr>
              <w:t>S</w:t>
            </w:r>
          </w:p>
          <w:p w14:paraId="6879CC73" w14:textId="77777777" w:rsidR="00C3701D" w:rsidRDefault="00C3701D" w:rsidP="003E3828">
            <w:pPr>
              <w:spacing w:before="120" w:after="0" w:line="240" w:lineRule="auto"/>
              <w:jc w:val="center"/>
              <w:rPr>
                <w:rFonts w:eastAsia="Times New Roman" w:cs="Arial"/>
                <w:b/>
                <w:bCs/>
                <w:sz w:val="36"/>
                <w:szCs w:val="36"/>
              </w:rPr>
            </w:pPr>
            <w:bookmarkStart w:id="0" w:name="_Toc206389497"/>
            <w:bookmarkStart w:id="1" w:name="_Toc206401873"/>
            <w:bookmarkStart w:id="2" w:name="_Toc206403842"/>
            <w:bookmarkStart w:id="3" w:name="_Toc206404570"/>
            <w:bookmarkStart w:id="4" w:name="_Toc206405300"/>
            <w:bookmarkStart w:id="5" w:name="_Toc206405336"/>
            <w:bookmarkStart w:id="6" w:name="_Toc206406063"/>
            <w:bookmarkStart w:id="7" w:name="_Toc206406491"/>
            <w:r>
              <w:rPr>
                <w:rFonts w:eastAsia="Times New Roman" w:cs="Arial"/>
                <w:b/>
                <w:bCs/>
                <w:sz w:val="36"/>
                <w:szCs w:val="36"/>
              </w:rPr>
              <w:t>PREVENTIVE INTERVENTIONS</w:t>
            </w:r>
          </w:p>
          <w:p w14:paraId="23A533CB" w14:textId="77777777" w:rsidR="00C3701D" w:rsidRDefault="00A47351" w:rsidP="003E3828">
            <w:pPr>
              <w:spacing w:before="120" w:after="0" w:line="240" w:lineRule="auto"/>
              <w:jc w:val="center"/>
              <w:rPr>
                <w:rFonts w:eastAsia="Times New Roman" w:cs="Arial"/>
                <w:b/>
                <w:bCs/>
                <w:sz w:val="36"/>
                <w:szCs w:val="36"/>
              </w:rPr>
            </w:pPr>
            <w:r>
              <w:rPr>
                <w:rFonts w:eastAsia="Times New Roman" w:cs="Arial"/>
                <w:b/>
                <w:bCs/>
                <w:sz w:val="36"/>
                <w:szCs w:val="36"/>
              </w:rPr>
              <w:t>TIER</w:t>
            </w:r>
            <w:r w:rsidR="00C3701D">
              <w:rPr>
                <w:rFonts w:eastAsia="Times New Roman" w:cs="Arial"/>
                <w:b/>
                <w:bCs/>
                <w:sz w:val="36"/>
                <w:szCs w:val="36"/>
              </w:rPr>
              <w:t xml:space="preserve"> </w:t>
            </w:r>
            <w:bookmarkEnd w:id="0"/>
            <w:bookmarkEnd w:id="1"/>
            <w:bookmarkEnd w:id="2"/>
            <w:bookmarkEnd w:id="3"/>
            <w:bookmarkEnd w:id="4"/>
            <w:bookmarkEnd w:id="5"/>
            <w:bookmarkEnd w:id="6"/>
            <w:bookmarkEnd w:id="7"/>
            <w:r w:rsidR="00C3701D">
              <w:rPr>
                <w:rFonts w:eastAsia="Times New Roman" w:cs="Arial"/>
                <w:b/>
                <w:bCs/>
                <w:sz w:val="36"/>
                <w:szCs w:val="36"/>
              </w:rPr>
              <w:t>TWO</w:t>
            </w:r>
          </w:p>
          <w:p w14:paraId="13C0A853" w14:textId="77777777" w:rsidR="00C3701D" w:rsidRPr="0080152E" w:rsidRDefault="00C3701D" w:rsidP="003E3828">
            <w:pPr>
              <w:spacing w:before="120" w:after="1200" w:line="240" w:lineRule="auto"/>
              <w:jc w:val="center"/>
              <w:rPr>
                <w:rFonts w:eastAsia="Times New Roman" w:cs="Arial"/>
                <w:b/>
                <w:bCs/>
                <w:sz w:val="36"/>
                <w:szCs w:val="36"/>
              </w:rPr>
            </w:pPr>
            <w:r>
              <w:rPr>
                <w:rFonts w:eastAsia="Times New Roman" w:cs="Arial"/>
                <w:b/>
                <w:bCs/>
                <w:sz w:val="36"/>
                <w:szCs w:val="36"/>
              </w:rPr>
              <w:t>SERVICE SPECIFICATION</w:t>
            </w:r>
          </w:p>
        </w:tc>
      </w:tr>
      <w:tr w:rsidR="00C3701D" w14:paraId="5E939823" w14:textId="77777777" w:rsidTr="00452DFE">
        <w:tc>
          <w:tcPr>
            <w:tcW w:w="3168" w:type="pct"/>
            <w:gridSpan w:val="2"/>
            <w:hideMark/>
          </w:tcPr>
          <w:p w14:paraId="4409B991" w14:textId="77777777" w:rsidR="009D06E1" w:rsidRDefault="00FD2E46" w:rsidP="003E3828">
            <w:pPr>
              <w:keepNext/>
              <w:autoSpaceDE w:val="0"/>
              <w:autoSpaceDN w:val="0"/>
              <w:adjustRightInd w:val="0"/>
              <w:spacing w:before="120" w:after="240" w:line="240" w:lineRule="auto"/>
              <w:rPr>
                <w:rFonts w:eastAsia="Times New Roman" w:cs="Arial"/>
                <w:sz w:val="32"/>
                <w:szCs w:val="32"/>
              </w:rPr>
            </w:pPr>
            <w:r w:rsidRPr="00FD2E46">
              <w:rPr>
                <w:rFonts w:eastAsia="Times New Roman" w:cs="Arial"/>
                <w:b/>
                <w:sz w:val="32"/>
                <w:szCs w:val="32"/>
              </w:rPr>
              <w:t>STATUS</w:t>
            </w:r>
            <w:r w:rsidR="00C3701D">
              <w:rPr>
                <w:rFonts w:eastAsia="Times New Roman" w:cs="Arial"/>
                <w:sz w:val="32"/>
                <w:szCs w:val="32"/>
              </w:rPr>
              <w:t>:</w:t>
            </w:r>
          </w:p>
          <w:p w14:paraId="4420C864" w14:textId="77777777" w:rsidR="00C3701D" w:rsidRDefault="00C3701D" w:rsidP="003E3828">
            <w:pPr>
              <w:keepNext/>
              <w:autoSpaceDE w:val="0"/>
              <w:autoSpaceDN w:val="0"/>
              <w:adjustRightInd w:val="0"/>
              <w:spacing w:after="240" w:line="240" w:lineRule="auto"/>
              <w:rPr>
                <w:rFonts w:eastAsia="Times New Roman" w:cs="Arial"/>
                <w:sz w:val="32"/>
                <w:szCs w:val="32"/>
              </w:rPr>
            </w:pPr>
            <w:r>
              <w:rPr>
                <w:rFonts w:eastAsia="Times New Roman" w:cs="Arial"/>
                <w:sz w:val="32"/>
                <w:szCs w:val="32"/>
              </w:rPr>
              <w:t xml:space="preserve">Approved for nationwide use for the </w:t>
            </w:r>
            <w:r w:rsidR="00DC1414">
              <w:rPr>
                <w:rFonts w:eastAsia="Times New Roman" w:cs="Arial"/>
                <w:sz w:val="32"/>
                <w:szCs w:val="32"/>
              </w:rPr>
              <w:t xml:space="preserve">standard </w:t>
            </w:r>
            <w:r>
              <w:rPr>
                <w:rFonts w:eastAsia="Times New Roman" w:cs="Arial"/>
                <w:sz w:val="32"/>
                <w:szCs w:val="32"/>
              </w:rPr>
              <w:t>description of services to be funded.</w:t>
            </w:r>
          </w:p>
          <w:p w14:paraId="38B48091" w14:textId="77777777" w:rsidR="00D3588D" w:rsidRDefault="00D3588D" w:rsidP="003E3828">
            <w:pPr>
              <w:spacing w:before="120" w:after="120" w:line="240" w:lineRule="auto"/>
              <w:rPr>
                <w:rFonts w:eastAsia="Times New Roman" w:cs="Arial"/>
                <w:sz w:val="32"/>
                <w:szCs w:val="32"/>
              </w:rPr>
            </w:pPr>
          </w:p>
        </w:tc>
        <w:tc>
          <w:tcPr>
            <w:tcW w:w="1832" w:type="pct"/>
          </w:tcPr>
          <w:p w14:paraId="7FB50527" w14:textId="77777777" w:rsidR="00C3701D" w:rsidRDefault="00C3701D" w:rsidP="003E3828">
            <w:pPr>
              <w:spacing w:before="120" w:after="120" w:line="240" w:lineRule="auto"/>
              <w:rPr>
                <w:rFonts w:eastAsia="Times New Roman" w:cs="Arial"/>
                <w:sz w:val="32"/>
                <w:szCs w:val="32"/>
              </w:rPr>
            </w:pPr>
            <w:r>
              <w:rPr>
                <w:rFonts w:eastAsia="Times New Roman" w:cs="Arial"/>
                <w:b/>
                <w:sz w:val="32"/>
                <w:szCs w:val="32"/>
              </w:rPr>
              <w:t>MANDATORY</w:t>
            </w:r>
            <w:r>
              <w:rPr>
                <w:rFonts w:eastAsia="Times New Roman" w:cs="Arial"/>
                <w:sz w:val="32"/>
                <w:szCs w:val="32"/>
              </w:rPr>
              <w:t xml:space="preserve"> </w:t>
            </w:r>
          </w:p>
        </w:tc>
      </w:tr>
      <w:tr w:rsidR="00C3701D" w14:paraId="10651DB7" w14:textId="77777777" w:rsidTr="00452DFE">
        <w:trPr>
          <w:trHeight w:val="297"/>
        </w:trPr>
        <w:tc>
          <w:tcPr>
            <w:tcW w:w="3168" w:type="pct"/>
            <w:gridSpan w:val="2"/>
            <w:tcBorders>
              <w:top w:val="single" w:sz="4" w:space="0" w:color="auto"/>
              <w:left w:val="nil"/>
              <w:bottom w:val="single" w:sz="4" w:space="0" w:color="auto"/>
              <w:right w:val="nil"/>
            </w:tcBorders>
            <w:shd w:val="clear" w:color="auto" w:fill="CCCCCC"/>
            <w:hideMark/>
          </w:tcPr>
          <w:p w14:paraId="5F405100" w14:textId="77777777" w:rsidR="00C3701D" w:rsidRDefault="00C3701D" w:rsidP="003E3828">
            <w:pPr>
              <w:spacing w:before="120" w:after="120" w:line="240" w:lineRule="auto"/>
              <w:rPr>
                <w:rFonts w:eastAsia="Times New Roman" w:cs="Arial"/>
                <w:b/>
                <w:sz w:val="28"/>
                <w:szCs w:val="28"/>
              </w:rPr>
            </w:pPr>
            <w:bookmarkStart w:id="8" w:name="_Toc206389500"/>
            <w:bookmarkStart w:id="9" w:name="_Toc206401875"/>
            <w:bookmarkStart w:id="10" w:name="_Toc206403844"/>
            <w:bookmarkStart w:id="11" w:name="_Toc206404572"/>
            <w:bookmarkStart w:id="12" w:name="_Toc206405302"/>
            <w:bookmarkStart w:id="13" w:name="_Toc206405338"/>
            <w:bookmarkStart w:id="14" w:name="_Toc206406065"/>
            <w:r>
              <w:rPr>
                <w:rFonts w:eastAsia="Times New Roman" w:cs="Arial"/>
                <w:b/>
                <w:sz w:val="28"/>
                <w:szCs w:val="28"/>
              </w:rPr>
              <w:t>Review History</w:t>
            </w:r>
            <w:bookmarkEnd w:id="8"/>
            <w:bookmarkEnd w:id="9"/>
            <w:bookmarkEnd w:id="10"/>
            <w:bookmarkEnd w:id="11"/>
            <w:bookmarkEnd w:id="12"/>
            <w:bookmarkEnd w:id="13"/>
            <w:bookmarkEnd w:id="14"/>
          </w:p>
        </w:tc>
        <w:tc>
          <w:tcPr>
            <w:tcW w:w="1832" w:type="pct"/>
            <w:tcBorders>
              <w:top w:val="single" w:sz="4" w:space="0" w:color="auto"/>
              <w:left w:val="nil"/>
              <w:bottom w:val="single" w:sz="4" w:space="0" w:color="auto"/>
              <w:right w:val="nil"/>
            </w:tcBorders>
            <w:shd w:val="clear" w:color="auto" w:fill="CCCCCC"/>
            <w:hideMark/>
          </w:tcPr>
          <w:p w14:paraId="4170687B" w14:textId="77777777" w:rsidR="00C3701D" w:rsidRDefault="00C3701D" w:rsidP="003E3828">
            <w:pPr>
              <w:spacing w:before="120" w:after="120" w:line="240" w:lineRule="auto"/>
              <w:rPr>
                <w:rFonts w:eastAsia="Times New Roman" w:cs="Arial"/>
                <w:b/>
                <w:sz w:val="28"/>
                <w:szCs w:val="28"/>
              </w:rPr>
            </w:pPr>
            <w:bookmarkStart w:id="15" w:name="_Toc206389501"/>
            <w:bookmarkStart w:id="16" w:name="_Toc206401876"/>
            <w:bookmarkStart w:id="17" w:name="_Toc206403845"/>
            <w:bookmarkStart w:id="18" w:name="_Toc206404573"/>
            <w:bookmarkStart w:id="19" w:name="_Toc206405303"/>
            <w:bookmarkStart w:id="20" w:name="_Toc206405339"/>
            <w:bookmarkStart w:id="21" w:name="_Toc206406066"/>
            <w:bookmarkStart w:id="22" w:name="_Toc206406493"/>
            <w:r>
              <w:rPr>
                <w:rFonts w:eastAsia="Times New Roman" w:cs="Arial"/>
                <w:b/>
                <w:sz w:val="28"/>
                <w:szCs w:val="28"/>
              </w:rPr>
              <w:t>Date</w:t>
            </w:r>
            <w:bookmarkEnd w:id="15"/>
            <w:bookmarkEnd w:id="16"/>
            <w:bookmarkEnd w:id="17"/>
            <w:bookmarkEnd w:id="18"/>
            <w:bookmarkEnd w:id="19"/>
            <w:bookmarkEnd w:id="20"/>
            <w:bookmarkEnd w:id="21"/>
            <w:bookmarkEnd w:id="22"/>
          </w:p>
        </w:tc>
      </w:tr>
      <w:tr w:rsidR="00C3701D" w14:paraId="47F861E7" w14:textId="77777777" w:rsidTr="00452DFE">
        <w:tc>
          <w:tcPr>
            <w:tcW w:w="3168" w:type="pct"/>
            <w:gridSpan w:val="2"/>
            <w:tcBorders>
              <w:top w:val="single" w:sz="4" w:space="0" w:color="auto"/>
              <w:left w:val="single" w:sz="4" w:space="0" w:color="auto"/>
              <w:bottom w:val="single" w:sz="6" w:space="0" w:color="auto"/>
              <w:right w:val="single" w:sz="6" w:space="0" w:color="auto"/>
            </w:tcBorders>
            <w:vAlign w:val="center"/>
            <w:hideMark/>
          </w:tcPr>
          <w:p w14:paraId="12319F98" w14:textId="77777777" w:rsidR="00C3701D" w:rsidRDefault="000D5CE2" w:rsidP="003E3828">
            <w:pPr>
              <w:spacing w:before="120" w:after="0" w:line="240" w:lineRule="auto"/>
              <w:rPr>
                <w:rFonts w:eastAsia="Times New Roman" w:cs="Arial"/>
                <w:sz w:val="28"/>
                <w:szCs w:val="28"/>
              </w:rPr>
            </w:pPr>
            <w:r>
              <w:rPr>
                <w:rFonts w:eastAsia="Times New Roman" w:cs="Arial"/>
                <w:sz w:val="28"/>
                <w:szCs w:val="28"/>
              </w:rPr>
              <w:t xml:space="preserve">First </w:t>
            </w:r>
            <w:r w:rsidR="00C3701D">
              <w:rPr>
                <w:rFonts w:eastAsia="Times New Roman" w:cs="Arial"/>
                <w:sz w:val="28"/>
                <w:szCs w:val="28"/>
              </w:rPr>
              <w:t xml:space="preserve">Published on NSFL </w:t>
            </w:r>
          </w:p>
        </w:tc>
        <w:tc>
          <w:tcPr>
            <w:tcW w:w="1832" w:type="pct"/>
            <w:tcBorders>
              <w:top w:val="single" w:sz="4" w:space="0" w:color="auto"/>
              <w:left w:val="single" w:sz="6" w:space="0" w:color="auto"/>
              <w:bottom w:val="single" w:sz="6" w:space="0" w:color="auto"/>
              <w:right w:val="single" w:sz="4" w:space="0" w:color="auto"/>
            </w:tcBorders>
            <w:vAlign w:val="center"/>
          </w:tcPr>
          <w:p w14:paraId="14C440D8" w14:textId="77777777" w:rsidR="00C3701D" w:rsidRDefault="00983679" w:rsidP="003E3828">
            <w:pPr>
              <w:spacing w:after="0" w:line="240" w:lineRule="auto"/>
              <w:rPr>
                <w:rFonts w:eastAsia="Times New Roman" w:cs="Arial"/>
                <w:bCs/>
                <w:sz w:val="28"/>
                <w:szCs w:val="28"/>
              </w:rPr>
            </w:pPr>
            <w:r>
              <w:rPr>
                <w:rFonts w:eastAsia="Times New Roman" w:cs="Arial"/>
                <w:bCs/>
                <w:sz w:val="28"/>
                <w:szCs w:val="28"/>
              </w:rPr>
              <w:t xml:space="preserve">July </w:t>
            </w:r>
            <w:r w:rsidR="000305A9">
              <w:rPr>
                <w:rFonts w:eastAsia="Times New Roman" w:cs="Arial"/>
                <w:bCs/>
                <w:sz w:val="28"/>
                <w:szCs w:val="28"/>
              </w:rPr>
              <w:t>2016</w:t>
            </w:r>
          </w:p>
        </w:tc>
      </w:tr>
      <w:tr w:rsidR="00C3701D" w14:paraId="5F00A084" w14:textId="77777777" w:rsidTr="00452DFE">
        <w:tc>
          <w:tcPr>
            <w:tcW w:w="3168" w:type="pct"/>
            <w:gridSpan w:val="2"/>
            <w:tcBorders>
              <w:top w:val="single" w:sz="6" w:space="0" w:color="auto"/>
              <w:left w:val="single" w:sz="4" w:space="0" w:color="auto"/>
              <w:bottom w:val="single" w:sz="6" w:space="0" w:color="auto"/>
              <w:right w:val="single" w:sz="6" w:space="0" w:color="auto"/>
            </w:tcBorders>
            <w:vAlign w:val="center"/>
            <w:hideMark/>
          </w:tcPr>
          <w:p w14:paraId="1ED0C70B" w14:textId="77777777" w:rsidR="00C3701D" w:rsidRDefault="00C3701D" w:rsidP="003E3828">
            <w:pPr>
              <w:spacing w:before="120" w:after="0" w:line="240" w:lineRule="auto"/>
              <w:rPr>
                <w:rFonts w:eastAsia="Times New Roman" w:cs="Arial"/>
                <w:sz w:val="28"/>
                <w:szCs w:val="28"/>
              </w:rPr>
            </w:pPr>
            <w:r>
              <w:rPr>
                <w:rFonts w:eastAsia="Times New Roman" w:cs="Arial"/>
                <w:sz w:val="28"/>
                <w:szCs w:val="28"/>
              </w:rPr>
              <w:t>Consideration for next Service Specification Review</w:t>
            </w:r>
          </w:p>
        </w:tc>
        <w:tc>
          <w:tcPr>
            <w:tcW w:w="1832" w:type="pct"/>
            <w:tcBorders>
              <w:top w:val="single" w:sz="6" w:space="0" w:color="auto"/>
              <w:left w:val="single" w:sz="6" w:space="0" w:color="auto"/>
              <w:bottom w:val="single" w:sz="6" w:space="0" w:color="auto"/>
              <w:right w:val="single" w:sz="4" w:space="0" w:color="auto"/>
            </w:tcBorders>
            <w:vAlign w:val="center"/>
          </w:tcPr>
          <w:p w14:paraId="4A70A898" w14:textId="77777777" w:rsidR="00C3701D" w:rsidRDefault="00983679" w:rsidP="003E3828">
            <w:pPr>
              <w:spacing w:after="0" w:line="240" w:lineRule="auto"/>
              <w:rPr>
                <w:rFonts w:eastAsia="Times New Roman" w:cs="Arial"/>
                <w:sz w:val="28"/>
                <w:szCs w:val="28"/>
              </w:rPr>
            </w:pPr>
            <w:r>
              <w:rPr>
                <w:rFonts w:eastAsia="Times New Roman" w:cs="Arial"/>
                <w:sz w:val="28"/>
                <w:szCs w:val="28"/>
              </w:rPr>
              <w:t xml:space="preserve">By </w:t>
            </w:r>
            <w:r w:rsidR="000305A9">
              <w:rPr>
                <w:rFonts w:eastAsia="Times New Roman" w:cs="Arial"/>
                <w:sz w:val="28"/>
                <w:szCs w:val="28"/>
              </w:rPr>
              <w:t>2019</w:t>
            </w:r>
          </w:p>
        </w:tc>
      </w:tr>
    </w:tbl>
    <w:p w14:paraId="361AC4DD" w14:textId="2D80452B" w:rsidR="00DC1414" w:rsidRDefault="00C3701D" w:rsidP="003E3828">
      <w:pPr>
        <w:spacing w:before="120" w:after="0" w:line="240" w:lineRule="auto"/>
        <w:rPr>
          <w:rFonts w:eastAsia="Times New Roman" w:cs="Arial"/>
          <w:szCs w:val="24"/>
          <w:lang w:eastAsia="en-NZ"/>
        </w:rPr>
      </w:pPr>
      <w:r>
        <w:rPr>
          <w:rFonts w:eastAsia="Times New Roman" w:cs="Arial"/>
          <w:b/>
          <w:szCs w:val="24"/>
          <w:lang w:eastAsia="en-NZ"/>
        </w:rPr>
        <w:t>Note</w:t>
      </w:r>
      <w:r>
        <w:rPr>
          <w:rFonts w:eastAsia="Times New Roman" w:cs="Arial"/>
          <w:szCs w:val="24"/>
          <w:lang w:eastAsia="en-NZ"/>
        </w:rPr>
        <w:t xml:space="preserve">: Contact the Service Specification Programme Manager, </w:t>
      </w:r>
      <w:r w:rsidR="00983679">
        <w:rPr>
          <w:rFonts w:eastAsia="Times New Roman" w:cs="Arial"/>
          <w:szCs w:val="24"/>
          <w:lang w:eastAsia="en-NZ"/>
        </w:rPr>
        <w:t xml:space="preserve">Service </w:t>
      </w:r>
      <w:proofErr w:type="spellStart"/>
      <w:r w:rsidR="00983679">
        <w:rPr>
          <w:rFonts w:eastAsia="Times New Roman" w:cs="Arial"/>
          <w:szCs w:val="24"/>
          <w:lang w:eastAsia="en-NZ"/>
        </w:rPr>
        <w:t>Comissioning</w:t>
      </w:r>
      <w:proofErr w:type="spellEnd"/>
      <w:r>
        <w:rPr>
          <w:rFonts w:eastAsia="Times New Roman" w:cs="Arial"/>
          <w:szCs w:val="24"/>
          <w:lang w:eastAsia="en-NZ"/>
        </w:rPr>
        <w:t>, Ministry of Health</w:t>
      </w:r>
      <w:r w:rsidR="0080152E">
        <w:rPr>
          <w:rFonts w:eastAsia="Times New Roman" w:cs="Arial"/>
          <w:szCs w:val="24"/>
          <w:lang w:eastAsia="en-NZ"/>
        </w:rPr>
        <w:t>,</w:t>
      </w:r>
      <w:r>
        <w:rPr>
          <w:rFonts w:eastAsia="Times New Roman" w:cs="Arial"/>
          <w:szCs w:val="24"/>
          <w:lang w:eastAsia="en-NZ"/>
        </w:rPr>
        <w:t xml:space="preserve"> to discuss the process and guidance available in developing new or updating and revising existi</w:t>
      </w:r>
      <w:r w:rsidR="0015281C">
        <w:rPr>
          <w:rFonts w:eastAsia="Times New Roman" w:cs="Arial"/>
          <w:szCs w:val="24"/>
          <w:lang w:eastAsia="en-NZ"/>
        </w:rPr>
        <w:t xml:space="preserve">ng service specifications.  </w:t>
      </w:r>
    </w:p>
    <w:p w14:paraId="3BFF351E" w14:textId="77777777" w:rsidR="005E0152" w:rsidRDefault="00C3701D" w:rsidP="003E3828">
      <w:pPr>
        <w:spacing w:before="120" w:after="0" w:line="240" w:lineRule="auto"/>
        <w:rPr>
          <w:rFonts w:eastAsia="Times New Roman" w:cs="Arial"/>
          <w:szCs w:val="24"/>
          <w:lang w:eastAsia="en-NZ"/>
        </w:rPr>
      </w:pPr>
      <w:r>
        <w:rPr>
          <w:rFonts w:eastAsia="Times New Roman" w:cs="Arial"/>
          <w:szCs w:val="24"/>
          <w:lang w:eastAsia="en-NZ"/>
        </w:rPr>
        <w:t>Nationwide Service Framework Library</w:t>
      </w:r>
      <w:r w:rsidR="00452DFE">
        <w:rPr>
          <w:rFonts w:eastAsia="Times New Roman" w:cs="Arial"/>
          <w:szCs w:val="24"/>
          <w:lang w:eastAsia="en-NZ"/>
        </w:rPr>
        <w:t xml:space="preserve"> website</w:t>
      </w:r>
      <w:r w:rsidR="000D5CE2">
        <w:rPr>
          <w:rFonts w:eastAsia="Times New Roman" w:cs="Arial"/>
          <w:szCs w:val="24"/>
          <w:lang w:eastAsia="en-NZ"/>
        </w:rPr>
        <w:t>:</w:t>
      </w:r>
      <w:r>
        <w:rPr>
          <w:rFonts w:eastAsia="Times New Roman" w:cs="Arial"/>
          <w:szCs w:val="24"/>
          <w:lang w:eastAsia="en-NZ"/>
        </w:rPr>
        <w:t xml:space="preserve"> </w:t>
      </w:r>
      <w:hyperlink r:id="rId10" w:history="1">
        <w:r w:rsidR="005E0152" w:rsidRPr="005A618B">
          <w:rPr>
            <w:rStyle w:val="Hyperlink"/>
            <w:rFonts w:eastAsia="Times New Roman" w:cs="Arial"/>
            <w:szCs w:val="24"/>
            <w:lang w:eastAsia="en-NZ"/>
          </w:rPr>
          <w:t>http://www.nsfl.health.govt.nz/</w:t>
        </w:r>
      </w:hyperlink>
    </w:p>
    <w:p w14:paraId="48A589C7" w14:textId="77777777" w:rsidR="00C3701D" w:rsidRDefault="00C3701D" w:rsidP="003E3828">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Cs w:val="24"/>
        </w:rPr>
      </w:pPr>
      <w:r>
        <w:rPr>
          <w:rFonts w:eastAsia="Times New Roman" w:cs="Arial"/>
          <w:b/>
          <w:sz w:val="28"/>
          <w:szCs w:val="20"/>
        </w:rPr>
        <w:br w:type="page"/>
      </w:r>
      <w:r>
        <w:rPr>
          <w:rFonts w:eastAsia="Times New Roman" w:cs="Arial"/>
          <w:b/>
          <w:szCs w:val="24"/>
        </w:rPr>
        <w:lastRenderedPageBreak/>
        <w:t>PUBLIC HEALTH SERVICES</w:t>
      </w:r>
    </w:p>
    <w:p w14:paraId="11A374E2" w14:textId="77777777" w:rsidR="00C3701D" w:rsidRDefault="00C3701D" w:rsidP="003E3828">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Cs w:val="24"/>
        </w:rPr>
      </w:pPr>
      <w:r>
        <w:rPr>
          <w:rFonts w:eastAsia="Times New Roman" w:cs="Arial"/>
          <w:b/>
          <w:szCs w:val="24"/>
        </w:rPr>
        <w:t>PREVENTIVE INTERVENTIONS</w:t>
      </w:r>
    </w:p>
    <w:p w14:paraId="46C7B08F" w14:textId="77777777" w:rsidR="00C3701D" w:rsidRDefault="00C3701D" w:rsidP="003E3828">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Cs w:val="24"/>
        </w:rPr>
      </w:pPr>
      <w:r>
        <w:rPr>
          <w:rFonts w:eastAsia="Times New Roman" w:cs="Arial"/>
          <w:b/>
          <w:szCs w:val="24"/>
        </w:rPr>
        <w:t>TIER TWO</w:t>
      </w:r>
    </w:p>
    <w:p w14:paraId="75CD2919" w14:textId="77777777" w:rsidR="00C3701D" w:rsidRDefault="00C3701D" w:rsidP="003E3828">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Cs w:val="24"/>
        </w:rPr>
      </w:pPr>
      <w:r>
        <w:rPr>
          <w:rFonts w:eastAsia="Times New Roman" w:cs="Arial"/>
          <w:b/>
          <w:szCs w:val="24"/>
        </w:rPr>
        <w:t>SERVICE SPECIFICATION</w:t>
      </w:r>
    </w:p>
    <w:p w14:paraId="5AAEAB67" w14:textId="77777777" w:rsidR="00FD2E46" w:rsidRPr="00124AED" w:rsidRDefault="00FD2E46" w:rsidP="003E3828">
      <w:pPr>
        <w:overflowPunct w:val="0"/>
        <w:autoSpaceDE w:val="0"/>
        <w:autoSpaceDN w:val="0"/>
        <w:adjustRightInd w:val="0"/>
        <w:spacing w:before="120" w:after="0" w:line="240" w:lineRule="auto"/>
        <w:textAlignment w:val="baseline"/>
        <w:rPr>
          <w:rFonts w:eastAsia="Times New Roman" w:cs="Arial"/>
          <w:szCs w:val="24"/>
          <w:lang w:val="en-GB"/>
        </w:rPr>
      </w:pPr>
      <w:bookmarkStart w:id="23" w:name="_Toc215319123"/>
      <w:r w:rsidRPr="00124AED">
        <w:rPr>
          <w:rFonts w:eastAsia="Times New Roman" w:cs="Arial"/>
          <w:szCs w:val="24"/>
          <w:lang w:val="en-GB"/>
        </w:rPr>
        <w:t xml:space="preserve">This tier two service specification for Public Health Services </w:t>
      </w:r>
      <w:r w:rsidR="00C265FC">
        <w:rPr>
          <w:rFonts w:eastAsia="Times New Roman" w:cs="Arial"/>
          <w:szCs w:val="24"/>
          <w:lang w:val="en-GB"/>
        </w:rPr>
        <w:t>Preven</w:t>
      </w:r>
      <w:r>
        <w:rPr>
          <w:rFonts w:eastAsia="Times New Roman" w:cs="Arial"/>
          <w:szCs w:val="24"/>
          <w:lang w:val="en-GB"/>
        </w:rPr>
        <w:t>tive Interventions</w:t>
      </w:r>
      <w:r w:rsidRPr="00124AED">
        <w:rPr>
          <w:rFonts w:eastAsia="Times New Roman" w:cs="Arial"/>
          <w:szCs w:val="24"/>
          <w:lang w:val="en-GB"/>
        </w:rPr>
        <w:t>, must be applied in conjunction with the relevant tier one and tier two service specifications so that the total service requirements are explicit.</w:t>
      </w:r>
    </w:p>
    <w:p w14:paraId="79F26A0D" w14:textId="77777777" w:rsidR="00FD2E46" w:rsidRPr="00124AED" w:rsidRDefault="00FD2E46" w:rsidP="003E3828">
      <w:pPr>
        <w:overflowPunct w:val="0"/>
        <w:autoSpaceDE w:val="0"/>
        <w:autoSpaceDN w:val="0"/>
        <w:adjustRightInd w:val="0"/>
        <w:spacing w:before="120" w:after="0" w:line="240" w:lineRule="auto"/>
        <w:textAlignment w:val="baseline"/>
        <w:rPr>
          <w:rFonts w:eastAsia="Times New Roman" w:cs="Arial"/>
          <w:szCs w:val="24"/>
          <w:lang w:val="en-GB"/>
        </w:rPr>
      </w:pPr>
      <w:r w:rsidRPr="00124AED">
        <w:rPr>
          <w:rFonts w:eastAsia="Times New Roman" w:cs="Arial"/>
          <w:szCs w:val="24"/>
          <w:lang w:val="en-GB"/>
        </w:rPr>
        <w:t xml:space="preserve">This tier two service specification </w:t>
      </w:r>
      <w:r>
        <w:rPr>
          <w:rFonts w:eastAsia="Times New Roman" w:cs="Arial"/>
          <w:szCs w:val="24"/>
          <w:lang w:val="en-GB"/>
        </w:rPr>
        <w:t>Preventive Interventions</w:t>
      </w:r>
      <w:r w:rsidRPr="00124AED">
        <w:rPr>
          <w:rFonts w:eastAsia="Times New Roman" w:cs="Arial"/>
          <w:szCs w:val="24"/>
          <w:lang w:val="en-GB"/>
        </w:rPr>
        <w:t xml:space="preserve"> must be read and used in conjunction with the following service specifications:</w:t>
      </w:r>
    </w:p>
    <w:p w14:paraId="63DB7A8B" w14:textId="77777777" w:rsidR="00FD2E46" w:rsidRPr="00124AED" w:rsidRDefault="00FD2E46" w:rsidP="003E3828">
      <w:pPr>
        <w:pStyle w:val="ListParagraph"/>
        <w:numPr>
          <w:ilvl w:val="0"/>
          <w:numId w:val="48"/>
        </w:numPr>
        <w:overflowPunct w:val="0"/>
        <w:autoSpaceDE w:val="0"/>
        <w:autoSpaceDN w:val="0"/>
        <w:adjustRightInd w:val="0"/>
        <w:spacing w:before="120" w:after="0" w:line="240" w:lineRule="auto"/>
        <w:textAlignment w:val="baseline"/>
        <w:rPr>
          <w:rFonts w:eastAsia="Times New Roman" w:cs="Arial"/>
          <w:szCs w:val="24"/>
          <w:lang w:val="en-GB"/>
        </w:rPr>
      </w:pPr>
      <w:proofErr w:type="gramStart"/>
      <w:r w:rsidRPr="00124AED">
        <w:rPr>
          <w:rFonts w:eastAsia="Times New Roman" w:cs="Arial"/>
          <w:szCs w:val="24"/>
          <w:lang w:val="en-GB"/>
        </w:rPr>
        <w:t>tier</w:t>
      </w:r>
      <w:proofErr w:type="gramEnd"/>
      <w:r w:rsidRPr="00124AED">
        <w:rPr>
          <w:rFonts w:eastAsia="Times New Roman" w:cs="Arial"/>
          <w:szCs w:val="24"/>
          <w:lang w:val="en-GB"/>
        </w:rPr>
        <w:t xml:space="preserve"> one Public Health Services service specification. This contains overarching generic principles and content common to all the tiers of specifications under it, see below for details.</w:t>
      </w:r>
    </w:p>
    <w:p w14:paraId="75F91038" w14:textId="77777777" w:rsidR="00FD2E46" w:rsidRDefault="00FD2E46" w:rsidP="003E3828">
      <w:pPr>
        <w:pStyle w:val="ListParagraph"/>
        <w:numPr>
          <w:ilvl w:val="0"/>
          <w:numId w:val="48"/>
        </w:numPr>
        <w:overflowPunct w:val="0"/>
        <w:autoSpaceDE w:val="0"/>
        <w:autoSpaceDN w:val="0"/>
        <w:adjustRightInd w:val="0"/>
        <w:spacing w:before="120" w:line="240" w:lineRule="auto"/>
        <w:textAlignment w:val="baseline"/>
        <w:rPr>
          <w:rFonts w:eastAsia="Times New Roman" w:cs="Arial"/>
          <w:szCs w:val="24"/>
          <w:lang w:val="en-GB"/>
        </w:rPr>
      </w:pPr>
      <w:r w:rsidRPr="00124AED">
        <w:rPr>
          <w:rFonts w:eastAsia="Times New Roman" w:cs="Arial"/>
          <w:szCs w:val="24"/>
          <w:lang w:val="en-GB"/>
        </w:rPr>
        <w:t>the other four tier two Public Health Services service specifications:</w:t>
      </w:r>
    </w:p>
    <w:p w14:paraId="6EF0197F" w14:textId="77777777" w:rsidR="00FD2E46" w:rsidRPr="00124AED" w:rsidRDefault="00FD2E46" w:rsidP="003E3828">
      <w:pPr>
        <w:pStyle w:val="ListParagraph"/>
        <w:numPr>
          <w:ilvl w:val="0"/>
          <w:numId w:val="49"/>
        </w:numPr>
        <w:spacing w:before="60" w:after="0" w:line="240" w:lineRule="auto"/>
      </w:pPr>
      <w:r w:rsidRPr="00124AED">
        <w:t xml:space="preserve">Public Health </w:t>
      </w:r>
      <w:r>
        <w:t>Capacity Development</w:t>
      </w:r>
    </w:p>
    <w:p w14:paraId="0C0EFF5F" w14:textId="77777777" w:rsidR="00FD2E46" w:rsidRPr="00124AED" w:rsidRDefault="00FD2E46" w:rsidP="003E3828">
      <w:pPr>
        <w:pStyle w:val="ListParagraph"/>
        <w:numPr>
          <w:ilvl w:val="0"/>
          <w:numId w:val="49"/>
        </w:numPr>
        <w:spacing w:after="0" w:line="240" w:lineRule="auto"/>
      </w:pPr>
      <w:r w:rsidRPr="00124AED">
        <w:t>Public Health Promotion</w:t>
      </w:r>
    </w:p>
    <w:p w14:paraId="36679815" w14:textId="77777777" w:rsidR="00FD2E46" w:rsidRPr="00124AED" w:rsidRDefault="00FD2E46" w:rsidP="003E3828">
      <w:pPr>
        <w:pStyle w:val="ListParagraph"/>
        <w:numPr>
          <w:ilvl w:val="0"/>
          <w:numId w:val="49"/>
        </w:numPr>
        <w:spacing w:after="0" w:line="240" w:lineRule="auto"/>
      </w:pPr>
      <w:r w:rsidRPr="00124AED">
        <w:t>Public Health Protection</w:t>
      </w:r>
    </w:p>
    <w:p w14:paraId="3F423CCA" w14:textId="77777777" w:rsidR="00FD2E46" w:rsidRPr="00124AED" w:rsidRDefault="00FD2E46" w:rsidP="003E3828">
      <w:pPr>
        <w:pStyle w:val="ListParagraph"/>
        <w:numPr>
          <w:ilvl w:val="0"/>
          <w:numId w:val="49"/>
        </w:numPr>
        <w:spacing w:after="0" w:line="240" w:lineRule="auto"/>
      </w:pPr>
      <w:r>
        <w:t>Health Assessment and Surveillance</w:t>
      </w:r>
      <w:r w:rsidRPr="00124AED">
        <w:t>.</w:t>
      </w:r>
    </w:p>
    <w:p w14:paraId="6B22DF15" w14:textId="77777777" w:rsidR="00FD2E46" w:rsidRPr="00124AED" w:rsidRDefault="00FD2E46" w:rsidP="003E3828">
      <w:pPr>
        <w:spacing w:before="120" w:after="0" w:line="240" w:lineRule="auto"/>
        <w:rPr>
          <w:rFonts w:eastAsia="Times New Roman" w:cs="Arial"/>
          <w:szCs w:val="24"/>
          <w:lang w:val="en-GB"/>
        </w:rPr>
      </w:pPr>
      <w:r w:rsidRPr="00124AED">
        <w:rPr>
          <w:rFonts w:eastAsia="Times New Roman" w:cs="Arial"/>
          <w:szCs w:val="24"/>
          <w:lang w:val="en-GB"/>
        </w:rPr>
        <w:t xml:space="preserve">Please refer to the tier one Public Health Services service </w:t>
      </w:r>
      <w:r w:rsidR="0015281C" w:rsidRPr="00124AED">
        <w:rPr>
          <w:rFonts w:eastAsia="Times New Roman" w:cs="Arial"/>
          <w:szCs w:val="24"/>
          <w:lang w:val="en-GB"/>
        </w:rPr>
        <w:t>specification for</w:t>
      </w:r>
      <w:r w:rsidRPr="00124AED">
        <w:rPr>
          <w:rFonts w:eastAsia="Times New Roman" w:cs="Arial"/>
          <w:szCs w:val="24"/>
          <w:lang w:val="en-GB"/>
        </w:rPr>
        <w:t xml:space="preserve"> details on: </w:t>
      </w:r>
    </w:p>
    <w:p w14:paraId="33D51055" w14:textId="77777777" w:rsidR="00FD2E46" w:rsidRPr="00124AED" w:rsidRDefault="00FD2E46" w:rsidP="003E3828">
      <w:pPr>
        <w:pStyle w:val="ListParagraph"/>
        <w:numPr>
          <w:ilvl w:val="0"/>
          <w:numId w:val="47"/>
        </w:numPr>
        <w:spacing w:before="120" w:after="0" w:line="240" w:lineRule="auto"/>
        <w:ind w:left="360"/>
        <w:rPr>
          <w:rFonts w:eastAsia="Times New Roman" w:cs="Arial"/>
          <w:szCs w:val="24"/>
          <w:lang w:val="en-GB"/>
        </w:rPr>
      </w:pPr>
      <w:r w:rsidRPr="00124AED">
        <w:rPr>
          <w:rFonts w:eastAsia="Times New Roman" w:cs="Arial"/>
          <w:szCs w:val="24"/>
          <w:lang w:val="en-GB"/>
        </w:rPr>
        <w:t xml:space="preserve">Background (including </w:t>
      </w:r>
      <w:proofErr w:type="spellStart"/>
      <w:r w:rsidRPr="00124AED">
        <w:rPr>
          <w:rFonts w:eastAsia="Times New Roman" w:cs="Arial"/>
          <w:szCs w:val="24"/>
          <w:lang w:val="en-GB"/>
        </w:rPr>
        <w:t>Te</w:t>
      </w:r>
      <w:proofErr w:type="spellEnd"/>
      <w:r w:rsidRPr="00124AED">
        <w:rPr>
          <w:rFonts w:eastAsia="Times New Roman" w:cs="Arial"/>
          <w:szCs w:val="24"/>
          <w:lang w:val="en-GB"/>
        </w:rPr>
        <w:t xml:space="preserve"> </w:t>
      </w:r>
      <w:proofErr w:type="spellStart"/>
      <w:r w:rsidRPr="00124AED">
        <w:rPr>
          <w:rFonts w:eastAsia="Times New Roman" w:cs="Arial"/>
          <w:szCs w:val="24"/>
          <w:lang w:val="en-GB"/>
        </w:rPr>
        <w:t>Tiriti</w:t>
      </w:r>
      <w:proofErr w:type="spellEnd"/>
      <w:r w:rsidRPr="00124AED">
        <w:rPr>
          <w:rFonts w:eastAsia="Times New Roman" w:cs="Arial"/>
          <w:szCs w:val="24"/>
          <w:lang w:val="en-GB"/>
        </w:rPr>
        <w:t xml:space="preserve"> o Waitangi, Ottawa Charter and vision)</w:t>
      </w:r>
    </w:p>
    <w:p w14:paraId="0FE04F58" w14:textId="77777777" w:rsidR="00FD2E46" w:rsidRPr="00124AED" w:rsidRDefault="00FD2E46" w:rsidP="003E3828">
      <w:pPr>
        <w:pStyle w:val="ListParagraph"/>
        <w:numPr>
          <w:ilvl w:val="0"/>
          <w:numId w:val="47"/>
        </w:numPr>
        <w:spacing w:after="0" w:line="240" w:lineRule="auto"/>
        <w:ind w:left="360"/>
        <w:rPr>
          <w:rFonts w:eastAsia="Times New Roman" w:cs="Arial"/>
          <w:szCs w:val="24"/>
          <w:lang w:val="en-GB"/>
        </w:rPr>
      </w:pPr>
      <w:r w:rsidRPr="00124AED">
        <w:rPr>
          <w:rFonts w:eastAsia="Times New Roman" w:cs="Arial"/>
          <w:szCs w:val="24"/>
          <w:lang w:val="en-GB"/>
        </w:rPr>
        <w:t>Service Definition</w:t>
      </w:r>
    </w:p>
    <w:p w14:paraId="2B509ADE" w14:textId="77777777" w:rsidR="00FD2E46" w:rsidRPr="00124AED" w:rsidRDefault="00FD2E46" w:rsidP="003E3828">
      <w:pPr>
        <w:pStyle w:val="ListParagraph"/>
        <w:numPr>
          <w:ilvl w:val="0"/>
          <w:numId w:val="47"/>
        </w:numPr>
        <w:spacing w:after="0" w:line="240" w:lineRule="auto"/>
        <w:ind w:left="360"/>
        <w:rPr>
          <w:rFonts w:eastAsia="Times New Roman" w:cs="Arial"/>
          <w:szCs w:val="24"/>
          <w:lang w:val="en-GB"/>
        </w:rPr>
      </w:pPr>
      <w:r w:rsidRPr="00124AED">
        <w:rPr>
          <w:rFonts w:eastAsia="Times New Roman" w:cs="Arial"/>
          <w:szCs w:val="24"/>
          <w:lang w:val="en-GB"/>
        </w:rPr>
        <w:t xml:space="preserve">Service Objectives (including Māori Health, and reducing health inequities, including alignment of approaches with He Korowai </w:t>
      </w:r>
      <w:proofErr w:type="spellStart"/>
      <w:r w:rsidRPr="00124AED">
        <w:rPr>
          <w:rFonts w:eastAsia="Times New Roman" w:cs="Arial"/>
          <w:szCs w:val="24"/>
          <w:lang w:val="en-GB"/>
        </w:rPr>
        <w:t>Oranga</w:t>
      </w:r>
      <w:proofErr w:type="spellEnd"/>
      <w:r w:rsidRPr="00124AED">
        <w:rPr>
          <w:rFonts w:eastAsia="Times New Roman" w:cs="Arial"/>
          <w:szCs w:val="24"/>
          <w:lang w:val="en-GB"/>
        </w:rPr>
        <w:t>, and</w:t>
      </w:r>
      <w:r w:rsidR="00AE556B">
        <w:rPr>
          <w:rFonts w:eastAsia="Times New Roman" w:cs="Arial"/>
          <w:szCs w:val="24"/>
          <w:lang w:val="en-GB"/>
        </w:rPr>
        <w:t xml:space="preserve"> health equity/</w:t>
      </w:r>
      <w:proofErr w:type="spellStart"/>
      <w:r w:rsidR="00AE556B">
        <w:rPr>
          <w:rFonts w:eastAsia="Times New Roman" w:cs="Arial"/>
          <w:szCs w:val="24"/>
          <w:lang w:val="en-GB"/>
        </w:rPr>
        <w:t>Whānau</w:t>
      </w:r>
      <w:proofErr w:type="spellEnd"/>
      <w:r w:rsidR="00AE556B">
        <w:rPr>
          <w:rFonts w:eastAsia="Times New Roman" w:cs="Arial"/>
          <w:szCs w:val="24"/>
          <w:lang w:val="en-GB"/>
        </w:rPr>
        <w:t xml:space="preserve"> Ora tools</w:t>
      </w:r>
      <w:r w:rsidRPr="00124AED">
        <w:rPr>
          <w:rFonts w:eastAsia="Times New Roman" w:cs="Arial"/>
          <w:szCs w:val="24"/>
          <w:lang w:val="en-GB"/>
        </w:rPr>
        <w:t>)</w:t>
      </w:r>
    </w:p>
    <w:p w14:paraId="4E51FD75" w14:textId="77777777" w:rsidR="00FD2E46" w:rsidRPr="00124AED" w:rsidRDefault="00FD2E46" w:rsidP="003E3828">
      <w:pPr>
        <w:pStyle w:val="ListParagraph"/>
        <w:numPr>
          <w:ilvl w:val="0"/>
          <w:numId w:val="47"/>
        </w:numPr>
        <w:spacing w:after="0" w:line="240" w:lineRule="auto"/>
        <w:ind w:left="360"/>
        <w:rPr>
          <w:rFonts w:eastAsia="Times New Roman" w:cs="Arial"/>
          <w:szCs w:val="24"/>
          <w:lang w:val="en-GB"/>
        </w:rPr>
      </w:pPr>
      <w:r w:rsidRPr="00124AED">
        <w:rPr>
          <w:rFonts w:eastAsia="Times New Roman" w:cs="Arial"/>
          <w:szCs w:val="24"/>
          <w:lang w:val="en-GB"/>
        </w:rPr>
        <w:t>Service Users</w:t>
      </w:r>
    </w:p>
    <w:p w14:paraId="3A753DEE" w14:textId="77777777" w:rsidR="00FD2E46" w:rsidRPr="00124AED" w:rsidRDefault="00FD2E46" w:rsidP="003E3828">
      <w:pPr>
        <w:pStyle w:val="ListParagraph"/>
        <w:numPr>
          <w:ilvl w:val="0"/>
          <w:numId w:val="47"/>
        </w:numPr>
        <w:spacing w:after="0" w:line="240" w:lineRule="auto"/>
        <w:ind w:left="360"/>
        <w:rPr>
          <w:rFonts w:eastAsia="Times New Roman" w:cs="Arial"/>
          <w:szCs w:val="24"/>
          <w:lang w:val="en-GB"/>
        </w:rPr>
      </w:pPr>
      <w:r w:rsidRPr="00124AED">
        <w:rPr>
          <w:rFonts w:eastAsia="Times New Roman" w:cs="Arial"/>
          <w:szCs w:val="24"/>
          <w:lang w:val="en-GB"/>
        </w:rPr>
        <w:t>Access (including eligibility and exclusions)</w:t>
      </w:r>
    </w:p>
    <w:p w14:paraId="3ED5B7CA" w14:textId="77777777" w:rsidR="00FD2E46" w:rsidRPr="00124AED" w:rsidRDefault="00FD2E46" w:rsidP="003E3828">
      <w:pPr>
        <w:pStyle w:val="ListParagraph"/>
        <w:numPr>
          <w:ilvl w:val="0"/>
          <w:numId w:val="47"/>
        </w:numPr>
        <w:spacing w:after="0" w:line="240" w:lineRule="auto"/>
        <w:ind w:left="360"/>
        <w:rPr>
          <w:rFonts w:eastAsia="Times New Roman" w:cs="Arial"/>
          <w:szCs w:val="24"/>
          <w:lang w:val="en-GB"/>
        </w:rPr>
      </w:pPr>
      <w:r w:rsidRPr="00124AED">
        <w:rPr>
          <w:rFonts w:eastAsia="Times New Roman" w:cs="Arial"/>
          <w:szCs w:val="24"/>
          <w:lang w:val="en-GB"/>
        </w:rPr>
        <w:t>Service Components</w:t>
      </w:r>
    </w:p>
    <w:p w14:paraId="27F8A28A" w14:textId="77777777" w:rsidR="00FD2E46" w:rsidRPr="00124AED" w:rsidRDefault="00FD2E46" w:rsidP="003E3828">
      <w:pPr>
        <w:pStyle w:val="ListParagraph"/>
        <w:numPr>
          <w:ilvl w:val="0"/>
          <w:numId w:val="47"/>
        </w:numPr>
        <w:spacing w:after="0" w:line="240" w:lineRule="auto"/>
        <w:ind w:left="360"/>
        <w:rPr>
          <w:rFonts w:eastAsia="Times New Roman" w:cs="Arial"/>
          <w:szCs w:val="24"/>
          <w:lang w:val="en-GB"/>
        </w:rPr>
      </w:pPr>
      <w:r w:rsidRPr="00124AED">
        <w:rPr>
          <w:rFonts w:eastAsia="Times New Roman" w:cs="Arial"/>
          <w:szCs w:val="24"/>
          <w:lang w:val="en-GB"/>
        </w:rPr>
        <w:t>Service Linkages</w:t>
      </w:r>
    </w:p>
    <w:p w14:paraId="08806007" w14:textId="77777777" w:rsidR="00FD2E46" w:rsidRPr="00124AED" w:rsidRDefault="00FD2E46" w:rsidP="003E3828">
      <w:pPr>
        <w:pStyle w:val="ListParagraph"/>
        <w:numPr>
          <w:ilvl w:val="0"/>
          <w:numId w:val="47"/>
        </w:numPr>
        <w:spacing w:after="0" w:line="240" w:lineRule="auto"/>
        <w:ind w:left="360"/>
        <w:rPr>
          <w:rFonts w:eastAsia="Times New Roman" w:cs="Arial"/>
          <w:szCs w:val="24"/>
          <w:lang w:val="en-GB"/>
        </w:rPr>
      </w:pPr>
      <w:r w:rsidRPr="00124AED">
        <w:rPr>
          <w:rFonts w:eastAsia="Times New Roman" w:cs="Arial"/>
          <w:szCs w:val="24"/>
          <w:lang w:val="en-GB"/>
        </w:rPr>
        <w:t>Quality Requirements (including legislation, international obligations, guidance material, and political neutrality).</w:t>
      </w:r>
    </w:p>
    <w:p w14:paraId="3FF0A27E" w14:textId="77777777" w:rsidR="00FD2E46" w:rsidRDefault="00FD2E46" w:rsidP="003E3828">
      <w:pPr>
        <w:spacing w:before="120" w:after="0" w:line="240" w:lineRule="auto"/>
        <w:rPr>
          <w:rFonts w:eastAsia="Times New Roman" w:cs="Arial"/>
          <w:szCs w:val="24"/>
          <w:highlight w:val="yellow"/>
          <w:lang w:val="en-GB"/>
        </w:rPr>
      </w:pPr>
      <w:r w:rsidRPr="00124AED">
        <w:rPr>
          <w:rFonts w:eastAsia="Times New Roman" w:cs="Arial"/>
          <w:szCs w:val="24"/>
          <w:lang w:val="en-GB"/>
        </w:rPr>
        <w:t>For a summary overview of the relationships between the various specifications for Public Health Services, refer to the diagram on the next page.</w:t>
      </w:r>
    </w:p>
    <w:bookmarkEnd w:id="23"/>
    <w:p w14:paraId="0D968D39" w14:textId="77777777" w:rsidR="00C3701D" w:rsidRDefault="00C3701D" w:rsidP="003E3828">
      <w:pPr>
        <w:spacing w:before="120" w:after="0" w:line="240" w:lineRule="auto"/>
        <w:jc w:val="both"/>
        <w:rPr>
          <w:rFonts w:eastAsia="Times New Roman" w:cs="Arial"/>
          <w:b/>
          <w:szCs w:val="24"/>
        </w:rPr>
      </w:pPr>
      <w:r>
        <w:rPr>
          <w:rFonts w:eastAsia="Times New Roman" w:cs="Arial"/>
          <w:b/>
          <w:szCs w:val="24"/>
        </w:rPr>
        <w:t>Background</w:t>
      </w:r>
    </w:p>
    <w:p w14:paraId="63B48831" w14:textId="77777777" w:rsidR="00C3701D" w:rsidRDefault="00C3701D" w:rsidP="003E3828">
      <w:pPr>
        <w:spacing w:before="60" w:after="60" w:line="240" w:lineRule="auto"/>
        <w:rPr>
          <w:rFonts w:eastAsia="Times New Roman" w:cs="Arial"/>
          <w:szCs w:val="24"/>
        </w:rPr>
      </w:pPr>
      <w:r>
        <w:rPr>
          <w:rFonts w:eastAsia="Times New Roman" w:cs="Arial"/>
          <w:szCs w:val="24"/>
        </w:rPr>
        <w:t xml:space="preserve">This </w:t>
      </w:r>
      <w:r w:rsidR="00FD2E46">
        <w:rPr>
          <w:rFonts w:eastAsia="Times New Roman" w:cs="Arial"/>
          <w:szCs w:val="24"/>
        </w:rPr>
        <w:t xml:space="preserve">service </w:t>
      </w:r>
      <w:r>
        <w:rPr>
          <w:rFonts w:eastAsia="Times New Roman" w:cs="Arial"/>
          <w:szCs w:val="24"/>
        </w:rPr>
        <w:t>specification outlines the reporting and quality requirements of public health preventive interventions including those related to immunisation services, screening programmes</w:t>
      </w:r>
      <w:r w:rsidR="00467A71">
        <w:rPr>
          <w:rFonts w:eastAsia="Times New Roman" w:cs="Arial"/>
          <w:szCs w:val="24"/>
        </w:rPr>
        <w:t xml:space="preserve">, </w:t>
      </w:r>
      <w:r w:rsidR="004267D8">
        <w:rPr>
          <w:rFonts w:eastAsia="Times New Roman" w:cs="Arial"/>
          <w:szCs w:val="24"/>
        </w:rPr>
        <w:t xml:space="preserve">stop smoking </w:t>
      </w:r>
      <w:r>
        <w:rPr>
          <w:rFonts w:eastAsia="Times New Roman" w:cs="Arial"/>
          <w:szCs w:val="24"/>
        </w:rPr>
        <w:t>services</w:t>
      </w:r>
      <w:r w:rsidR="00220ED9">
        <w:rPr>
          <w:rFonts w:eastAsia="Times New Roman" w:cs="Arial"/>
          <w:szCs w:val="24"/>
        </w:rPr>
        <w:t xml:space="preserve"> and family violence prevention services</w:t>
      </w:r>
      <w:r w:rsidR="00467A71">
        <w:rPr>
          <w:rFonts w:eastAsia="Times New Roman" w:cs="Arial"/>
          <w:szCs w:val="24"/>
        </w:rPr>
        <w:t>.</w:t>
      </w:r>
    </w:p>
    <w:p w14:paraId="7A04B8F4" w14:textId="77777777" w:rsidR="00793D1B" w:rsidRDefault="00A558F6" w:rsidP="003E3828">
      <w:pPr>
        <w:spacing w:before="60" w:after="60" w:line="240" w:lineRule="auto"/>
        <w:rPr>
          <w:rFonts w:eastAsia="Times New Roman" w:cs="Arial"/>
          <w:szCs w:val="24"/>
        </w:rPr>
      </w:pPr>
      <w:r>
        <w:rPr>
          <w:rFonts w:eastAsia="Times New Roman" w:cs="Arial"/>
          <w:szCs w:val="24"/>
        </w:rPr>
        <w:t xml:space="preserve">Public health preventive interventions provide an opportunity to integrate services with opportunities for assessment and referral as required. </w:t>
      </w:r>
    </w:p>
    <w:p w14:paraId="3DFA3F99" w14:textId="77777777" w:rsidR="008E7FB3" w:rsidRDefault="008E7FB3" w:rsidP="003E3828">
      <w:pPr>
        <w:spacing w:line="240" w:lineRule="auto"/>
        <w:rPr>
          <w:rFonts w:ascii="Arial Mäori" w:hAnsi="Arial Mäori" w:cs="Arial Mäori"/>
          <w:szCs w:val="24"/>
          <w:lang w:eastAsia="en-NZ"/>
        </w:rPr>
        <w:sectPr w:rsidR="008E7FB3" w:rsidSect="008D06C1">
          <w:footerReference w:type="even" r:id="rId11"/>
          <w:footerReference w:type="default" r:id="rId12"/>
          <w:pgSz w:w="11906" w:h="16838"/>
          <w:pgMar w:top="720" w:right="720" w:bottom="720" w:left="720" w:header="709" w:footer="709" w:gutter="0"/>
          <w:cols w:space="708"/>
          <w:docGrid w:linePitch="360"/>
        </w:sectPr>
      </w:pPr>
    </w:p>
    <w:p w14:paraId="5E34327C" w14:textId="77777777" w:rsidR="00B67666" w:rsidRDefault="00B67666" w:rsidP="003E3828">
      <w:pPr>
        <w:spacing w:line="240" w:lineRule="auto"/>
        <w:jc w:val="center"/>
        <w:rPr>
          <w:rFonts w:eastAsia="Times New Roman" w:cs="Arial"/>
          <w:b/>
          <w:i/>
          <w:szCs w:val="24"/>
        </w:rPr>
      </w:pPr>
      <w:r>
        <w:rPr>
          <w:rFonts w:eastAsia="Times New Roman" w:cs="Arial"/>
          <w:b/>
          <w:i/>
          <w:szCs w:val="24"/>
        </w:rPr>
        <w:lastRenderedPageBreak/>
        <w:t>Overview of the relationships between the specifications for Public Health Services</w:t>
      </w:r>
    </w:p>
    <w:p w14:paraId="7A6B61DD" w14:textId="1381B0A4" w:rsidR="008E7FB3" w:rsidRDefault="008E7FB3" w:rsidP="003E3828">
      <w:pPr>
        <w:spacing w:line="240" w:lineRule="auto"/>
        <w:jc w:val="center"/>
        <w:rPr>
          <w:rFonts w:ascii="Arial Mäori" w:hAnsi="Arial Mäori" w:cs="Arial Mäori"/>
          <w:szCs w:val="24"/>
          <w:lang w:eastAsia="en-NZ"/>
        </w:rPr>
      </w:pPr>
      <w:r>
        <w:rPr>
          <w:rFonts w:ascii="Arial Mäori" w:hAnsi="Arial Mäori" w:cs="Arial Mäori"/>
          <w:szCs w:val="24"/>
          <w:lang w:eastAsia="en-NZ"/>
        </w:rPr>
        <w:object w:dxaOrig="17865" w:dyaOrig="12630" w14:anchorId="15215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75pt;height:457.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AcroExch.Document.11" ShapeID="_x0000_i1025" DrawAspect="Content" ObjectID="_1532499867" r:id="rId14"/>
        </w:object>
      </w:r>
    </w:p>
    <w:p w14:paraId="36F1EF05" w14:textId="77777777" w:rsidR="008E7FB3" w:rsidRDefault="008E7FB3" w:rsidP="003E3828">
      <w:pPr>
        <w:spacing w:line="240" w:lineRule="auto"/>
        <w:rPr>
          <w:rFonts w:ascii="Arial Mäori" w:hAnsi="Arial Mäori" w:cs="Arial Mäori"/>
          <w:szCs w:val="24"/>
          <w:lang w:eastAsia="en-NZ"/>
        </w:rPr>
        <w:sectPr w:rsidR="008E7FB3" w:rsidSect="008E7FB3">
          <w:pgSz w:w="16838" w:h="11906" w:orient="landscape"/>
          <w:pgMar w:top="720" w:right="720" w:bottom="720" w:left="720" w:header="709" w:footer="709" w:gutter="0"/>
          <w:cols w:space="708"/>
          <w:docGrid w:linePitch="360"/>
        </w:sectPr>
      </w:pPr>
    </w:p>
    <w:p w14:paraId="2870FC76" w14:textId="52B87BC5" w:rsidR="00C3701D" w:rsidRDefault="00C3701D" w:rsidP="003E3828">
      <w:pPr>
        <w:spacing w:after="120" w:line="240" w:lineRule="auto"/>
        <w:rPr>
          <w:rFonts w:eastAsia="Times New Roman" w:cs="Arial"/>
          <w:b/>
          <w:szCs w:val="24"/>
        </w:rPr>
      </w:pPr>
      <w:r>
        <w:rPr>
          <w:rFonts w:eastAsia="Times New Roman" w:cs="Arial"/>
          <w:b/>
          <w:szCs w:val="24"/>
        </w:rPr>
        <w:lastRenderedPageBreak/>
        <w:t>1</w:t>
      </w:r>
      <w:r>
        <w:rPr>
          <w:rFonts w:eastAsia="Times New Roman" w:cs="Arial"/>
          <w:szCs w:val="24"/>
        </w:rPr>
        <w:t>.</w:t>
      </w:r>
      <w:r>
        <w:rPr>
          <w:rFonts w:eastAsia="Times New Roman" w:cs="Arial"/>
          <w:b/>
          <w:szCs w:val="24"/>
        </w:rPr>
        <w:tab/>
        <w:t>Service Definition</w:t>
      </w:r>
    </w:p>
    <w:p w14:paraId="11920174" w14:textId="77777777" w:rsidR="003E5220" w:rsidRPr="003E5220" w:rsidRDefault="003E5220" w:rsidP="003E3828">
      <w:pPr>
        <w:pStyle w:val="NormalWeb"/>
        <w:spacing w:before="120" w:after="120"/>
        <w:ind w:left="0" w:right="0"/>
        <w:rPr>
          <w:rFonts w:ascii="Arial" w:hAnsi="Arial" w:cs="Arial"/>
          <w:lang w:val="en-NZ"/>
        </w:rPr>
      </w:pPr>
      <w:r w:rsidRPr="003E5220">
        <w:rPr>
          <w:rFonts w:ascii="Arial" w:hAnsi="Arial" w:cs="Arial"/>
        </w:rPr>
        <w:t xml:space="preserve">Preventive interventions are population </w:t>
      </w:r>
      <w:proofErr w:type="spellStart"/>
      <w:r w:rsidRPr="003E5220">
        <w:rPr>
          <w:rFonts w:ascii="Arial" w:hAnsi="Arial" w:cs="Arial"/>
        </w:rPr>
        <w:t>programmes</w:t>
      </w:r>
      <w:proofErr w:type="spellEnd"/>
      <w:r w:rsidRPr="003E5220">
        <w:rPr>
          <w:rFonts w:ascii="Arial" w:hAnsi="Arial" w:cs="Arial"/>
        </w:rPr>
        <w:t xml:space="preserve"> delivered to individuals, and comprise of a set of primarily clinical interventions that have been shown to significantly reduce the likelihood that a disease or condition</w:t>
      </w:r>
      <w:r>
        <w:rPr>
          <w:rFonts w:ascii="Arial" w:hAnsi="Arial" w:cs="Arial"/>
        </w:rPr>
        <w:t xml:space="preserve"> that</w:t>
      </w:r>
      <w:r w:rsidRPr="003E5220">
        <w:t xml:space="preserve"> </w:t>
      </w:r>
      <w:r w:rsidRPr="003E5220">
        <w:rPr>
          <w:rFonts w:ascii="Arial" w:hAnsi="Arial" w:cs="Arial"/>
        </w:rPr>
        <w:t>will affect an individual, or to interrupt or slow the progression of that disease or condition.</w:t>
      </w:r>
    </w:p>
    <w:p w14:paraId="294E76AA" w14:textId="77777777" w:rsidR="00EE2291" w:rsidRDefault="00C3701D" w:rsidP="003E3828">
      <w:pPr>
        <w:pStyle w:val="NormalWeb"/>
        <w:spacing w:before="120" w:after="120"/>
        <w:ind w:left="0" w:right="0"/>
        <w:rPr>
          <w:rFonts w:ascii="Arial" w:hAnsi="Arial" w:cs="Arial"/>
          <w:lang w:val="en-NZ"/>
        </w:rPr>
      </w:pPr>
      <w:r>
        <w:rPr>
          <w:rFonts w:ascii="Arial" w:hAnsi="Arial" w:cs="Arial"/>
          <w:lang w:val="en-NZ"/>
        </w:rPr>
        <w:t xml:space="preserve">The focus of </w:t>
      </w:r>
      <w:r w:rsidR="00FD2E46">
        <w:rPr>
          <w:rFonts w:ascii="Arial" w:hAnsi="Arial" w:cs="Arial"/>
          <w:lang w:val="en-NZ"/>
        </w:rPr>
        <w:t xml:space="preserve">public health </w:t>
      </w:r>
      <w:r>
        <w:rPr>
          <w:rFonts w:ascii="Arial" w:hAnsi="Arial" w:cs="Arial"/>
          <w:lang w:val="en-NZ"/>
        </w:rPr>
        <w:t>preventive intervention services is on the detection, early intervention and prevention of a range of conditions includi</w:t>
      </w:r>
      <w:r w:rsidR="00793D1B">
        <w:rPr>
          <w:rFonts w:ascii="Arial" w:hAnsi="Arial" w:cs="Arial"/>
          <w:lang w:val="en-NZ"/>
        </w:rPr>
        <w:t xml:space="preserve">ng vaccine preventable diseases, </w:t>
      </w:r>
      <w:r>
        <w:rPr>
          <w:rFonts w:ascii="Arial" w:hAnsi="Arial" w:cs="Arial"/>
          <w:lang w:val="en-NZ"/>
        </w:rPr>
        <w:t>screening detectable conditions</w:t>
      </w:r>
      <w:r w:rsidR="00793D1B">
        <w:rPr>
          <w:rFonts w:ascii="Arial" w:hAnsi="Arial" w:cs="Arial"/>
          <w:lang w:val="en-NZ"/>
        </w:rPr>
        <w:t>,</w:t>
      </w:r>
      <w:r>
        <w:rPr>
          <w:rFonts w:ascii="Arial" w:hAnsi="Arial" w:cs="Arial"/>
          <w:lang w:val="en-NZ"/>
        </w:rPr>
        <w:t xml:space="preserve"> </w:t>
      </w:r>
      <w:r w:rsidR="004267D8">
        <w:rPr>
          <w:rFonts w:ascii="Arial" w:hAnsi="Arial" w:cs="Arial"/>
          <w:lang w:val="en-NZ"/>
        </w:rPr>
        <w:t xml:space="preserve">stop smoking </w:t>
      </w:r>
      <w:r w:rsidR="00793D1B">
        <w:rPr>
          <w:rFonts w:ascii="Arial" w:hAnsi="Arial" w:cs="Arial"/>
          <w:lang w:val="en-NZ"/>
        </w:rPr>
        <w:t>and fami</w:t>
      </w:r>
      <w:r w:rsidR="00AF2EF3">
        <w:rPr>
          <w:rFonts w:ascii="Arial" w:hAnsi="Arial" w:cs="Arial"/>
          <w:lang w:val="en-NZ"/>
        </w:rPr>
        <w:t>ly violence prevention services.</w:t>
      </w:r>
    </w:p>
    <w:p w14:paraId="422B2216" w14:textId="77777777" w:rsidR="00C3701D" w:rsidRDefault="00FD2E46" w:rsidP="003E3828">
      <w:pPr>
        <w:pStyle w:val="NormalWeb"/>
        <w:spacing w:before="120" w:after="120"/>
        <w:ind w:left="0" w:right="0"/>
        <w:rPr>
          <w:rFonts w:ascii="Arial" w:hAnsi="Arial" w:cs="Arial"/>
          <w:b/>
          <w:lang w:val="en-NZ"/>
        </w:rPr>
      </w:pPr>
      <w:r>
        <w:rPr>
          <w:rFonts w:ascii="Arial" w:hAnsi="Arial" w:cs="Arial"/>
          <w:b/>
          <w:lang w:val="en-NZ"/>
        </w:rPr>
        <w:t>1.1</w:t>
      </w:r>
      <w:r>
        <w:rPr>
          <w:rFonts w:ascii="Arial" w:hAnsi="Arial" w:cs="Arial"/>
          <w:b/>
          <w:lang w:val="en-NZ"/>
        </w:rPr>
        <w:tab/>
      </w:r>
      <w:r w:rsidR="00C3701D">
        <w:rPr>
          <w:rFonts w:ascii="Arial" w:hAnsi="Arial" w:cs="Arial"/>
          <w:b/>
          <w:lang w:val="en-NZ"/>
        </w:rPr>
        <w:t>Immunisation</w:t>
      </w:r>
    </w:p>
    <w:p w14:paraId="0BC78707" w14:textId="77777777" w:rsidR="00C3701D" w:rsidRDefault="00C3701D" w:rsidP="003E3828">
      <w:pPr>
        <w:pStyle w:val="NormalWeb"/>
        <w:spacing w:before="120" w:after="120"/>
        <w:ind w:left="0" w:right="0"/>
        <w:rPr>
          <w:rFonts w:ascii="Arial" w:hAnsi="Arial" w:cs="Arial"/>
          <w:lang w:val="en-NZ"/>
        </w:rPr>
      </w:pPr>
      <w:r>
        <w:rPr>
          <w:rFonts w:ascii="Arial" w:hAnsi="Arial" w:cs="Arial"/>
          <w:lang w:val="en-NZ"/>
        </w:rPr>
        <w:t xml:space="preserve">The Ministry of Health’s National Immunisation Programme aims to prevent diseases through vaccination and achieve immunisation coverage that prevents outbreaks and epidemics.  </w:t>
      </w:r>
    </w:p>
    <w:p w14:paraId="0093D3A4" w14:textId="77777777" w:rsidR="00C3701D" w:rsidRDefault="00C3701D" w:rsidP="003E3828">
      <w:pPr>
        <w:pStyle w:val="NormalWeb"/>
        <w:spacing w:before="120" w:after="120"/>
        <w:ind w:left="0" w:right="0"/>
        <w:rPr>
          <w:rFonts w:ascii="Arial" w:hAnsi="Arial" w:cs="Arial"/>
          <w:lang w:val="en-NZ"/>
        </w:rPr>
      </w:pPr>
      <w:r>
        <w:rPr>
          <w:rFonts w:ascii="Arial" w:hAnsi="Arial" w:cs="Arial"/>
          <w:lang w:val="en-NZ"/>
        </w:rPr>
        <w:t xml:space="preserve">The Programme provides national </w:t>
      </w:r>
      <w:r w:rsidR="00BB73F6">
        <w:rPr>
          <w:rFonts w:ascii="Arial" w:hAnsi="Arial" w:cs="Arial"/>
          <w:lang w:val="en-NZ"/>
        </w:rPr>
        <w:t xml:space="preserve">leadership and </w:t>
      </w:r>
      <w:r>
        <w:rPr>
          <w:rFonts w:ascii="Arial" w:hAnsi="Arial" w:cs="Arial"/>
          <w:lang w:val="en-NZ"/>
        </w:rPr>
        <w:t>oversight of immunisation services, providers and agencies, including setting national and district targets, monitoring disease burden and populations at risk of vaccine preventable diseases, providing guidance to the sector, ensuring immunisation providers deliver services that are safe, effective and meet the needs of their population, improves information and data systems and manages the National Immunisation Register.</w:t>
      </w:r>
    </w:p>
    <w:p w14:paraId="422AE19E" w14:textId="77777777" w:rsidR="00C3701D" w:rsidRDefault="00FD2E46" w:rsidP="003E3828">
      <w:pPr>
        <w:pStyle w:val="NormalWeb"/>
        <w:spacing w:before="120" w:after="120"/>
        <w:ind w:left="0" w:right="0"/>
        <w:rPr>
          <w:rFonts w:ascii="Arial" w:hAnsi="Arial" w:cs="Arial"/>
          <w:b/>
          <w:lang w:val="en-NZ"/>
        </w:rPr>
      </w:pPr>
      <w:r>
        <w:rPr>
          <w:rFonts w:ascii="Arial" w:hAnsi="Arial" w:cs="Arial"/>
          <w:b/>
          <w:lang w:val="en-NZ"/>
        </w:rPr>
        <w:t>1.2</w:t>
      </w:r>
      <w:r>
        <w:rPr>
          <w:rFonts w:ascii="Arial" w:hAnsi="Arial" w:cs="Arial"/>
          <w:b/>
          <w:lang w:val="en-NZ"/>
        </w:rPr>
        <w:tab/>
      </w:r>
      <w:r w:rsidR="00C3701D">
        <w:rPr>
          <w:rFonts w:ascii="Arial" w:hAnsi="Arial" w:cs="Arial"/>
          <w:b/>
          <w:lang w:val="en-NZ"/>
        </w:rPr>
        <w:t>Screening</w:t>
      </w:r>
    </w:p>
    <w:p w14:paraId="021E363B" w14:textId="2F043391" w:rsidR="00C3701D" w:rsidRDefault="00C3701D" w:rsidP="003E3828">
      <w:pPr>
        <w:pStyle w:val="NormalWeb"/>
        <w:spacing w:before="120" w:after="120"/>
        <w:ind w:left="0" w:right="0"/>
        <w:rPr>
          <w:rFonts w:ascii="Arial" w:hAnsi="Arial" w:cs="Arial"/>
          <w:lang w:val="en-NZ"/>
        </w:rPr>
      </w:pPr>
      <w:r>
        <w:rPr>
          <w:rFonts w:ascii="Arial" w:hAnsi="Arial" w:cs="Arial"/>
          <w:lang w:val="en-NZ"/>
        </w:rPr>
        <w:t xml:space="preserve">The National Screening Unit (NSU) </w:t>
      </w:r>
      <w:r w:rsidR="00AA3BBE">
        <w:rPr>
          <w:rFonts w:ascii="Arial" w:hAnsi="Arial" w:cs="Arial"/>
          <w:lang w:val="en-NZ"/>
        </w:rPr>
        <w:t xml:space="preserve">funds the following </w:t>
      </w:r>
      <w:r>
        <w:rPr>
          <w:rFonts w:ascii="Arial" w:hAnsi="Arial" w:cs="Arial"/>
          <w:lang w:val="en-NZ"/>
        </w:rPr>
        <w:t xml:space="preserve">health screening programmes in New Zealand and is responsible for the safety, effectiveness and quality of </w:t>
      </w:r>
      <w:r w:rsidR="00AA3BBE">
        <w:rPr>
          <w:rFonts w:ascii="Arial" w:hAnsi="Arial" w:cs="Arial"/>
          <w:lang w:val="en-NZ"/>
        </w:rPr>
        <w:t xml:space="preserve">these </w:t>
      </w:r>
      <w:r>
        <w:rPr>
          <w:rFonts w:ascii="Arial" w:hAnsi="Arial" w:cs="Arial"/>
          <w:lang w:val="en-NZ"/>
        </w:rPr>
        <w:t>screening programmes.  The NSU leads, oversees, contracts for and coordinates organised screening programmes in New Zealand</w:t>
      </w:r>
      <w:r w:rsidR="00AA3BBE">
        <w:rPr>
          <w:rFonts w:ascii="Arial" w:hAnsi="Arial" w:cs="Arial"/>
          <w:lang w:val="en-NZ"/>
        </w:rPr>
        <w:t xml:space="preserve"> through a range of agreements with district heath boards and other providers</w:t>
      </w:r>
      <w:r w:rsidR="008F15F2">
        <w:rPr>
          <w:rFonts w:ascii="Arial" w:hAnsi="Arial" w:cs="Arial"/>
          <w:lang w:val="en-NZ"/>
        </w:rPr>
        <w:t xml:space="preserve"> which specify the services to be delivered</w:t>
      </w:r>
      <w:r>
        <w:rPr>
          <w:rFonts w:ascii="Arial" w:hAnsi="Arial" w:cs="Arial"/>
          <w:lang w:val="en-NZ"/>
        </w:rPr>
        <w:t xml:space="preserve">.  </w:t>
      </w:r>
    </w:p>
    <w:p w14:paraId="66C49C6E" w14:textId="77777777" w:rsidR="00C3701D" w:rsidRDefault="003E3828" w:rsidP="003E3828">
      <w:pPr>
        <w:numPr>
          <w:ilvl w:val="0"/>
          <w:numId w:val="1"/>
        </w:numPr>
        <w:tabs>
          <w:tab w:val="clear" w:pos="284"/>
          <w:tab w:val="num" w:pos="540"/>
        </w:tabs>
        <w:spacing w:after="0" w:line="240" w:lineRule="auto"/>
        <w:ind w:left="539" w:hanging="539"/>
        <w:rPr>
          <w:rFonts w:cs="Arial"/>
        </w:rPr>
      </w:pPr>
      <w:hyperlink r:id="rId15" w:history="1">
        <w:r w:rsidR="00C3701D" w:rsidRPr="00CB3E36">
          <w:rPr>
            <w:rStyle w:val="Hyperlink"/>
            <w:rFonts w:cs="Arial"/>
            <w:color w:val="auto"/>
            <w:u w:val="none"/>
          </w:rPr>
          <w:t>National Cervical Screening Programme</w:t>
        </w:r>
      </w:hyperlink>
      <w:r w:rsidR="00C3701D" w:rsidRPr="00FD2E46">
        <w:rPr>
          <w:rFonts w:cs="Arial"/>
        </w:rPr>
        <w:t xml:space="preserve"> </w:t>
      </w:r>
      <w:r w:rsidR="00FD2E46">
        <w:rPr>
          <w:rFonts w:cs="Arial"/>
        </w:rPr>
        <w:t>–</w:t>
      </w:r>
      <w:r w:rsidR="009748A3">
        <w:rPr>
          <w:rFonts w:cs="Arial"/>
        </w:rPr>
        <w:t xml:space="preserve"> </w:t>
      </w:r>
      <w:r w:rsidR="00C3701D">
        <w:rPr>
          <w:rFonts w:cs="Arial"/>
        </w:rPr>
        <w:t xml:space="preserve">screens women for abnormal cell changes on the cervix, and </w:t>
      </w:r>
      <w:r w:rsidR="004267D8">
        <w:rPr>
          <w:rFonts w:cs="Arial"/>
        </w:rPr>
        <w:t xml:space="preserve">high-risk human papillomavirus (HPV) </w:t>
      </w:r>
      <w:r w:rsidR="00C3701D">
        <w:rPr>
          <w:rFonts w:cs="Arial"/>
        </w:rPr>
        <w:t>that could lead to cervical cancer</w:t>
      </w:r>
    </w:p>
    <w:p w14:paraId="1FB20327" w14:textId="77777777" w:rsidR="00C3701D" w:rsidRDefault="003E3828" w:rsidP="003E3828">
      <w:pPr>
        <w:pStyle w:val="NormalWeb"/>
        <w:numPr>
          <w:ilvl w:val="0"/>
          <w:numId w:val="1"/>
        </w:numPr>
        <w:tabs>
          <w:tab w:val="clear" w:pos="284"/>
          <w:tab w:val="num" w:pos="540"/>
        </w:tabs>
        <w:spacing w:after="0"/>
        <w:ind w:left="540" w:right="26" w:hanging="540"/>
        <w:rPr>
          <w:rFonts w:ascii="Arial" w:hAnsi="Arial" w:cs="Arial"/>
          <w:lang w:val="en-NZ"/>
        </w:rPr>
      </w:pPr>
      <w:hyperlink r:id="rId16" w:history="1">
        <w:proofErr w:type="spellStart"/>
        <w:r w:rsidR="00C3701D" w:rsidRPr="00CB3E36">
          <w:rPr>
            <w:rStyle w:val="Hyperlink"/>
            <w:rFonts w:ascii="Arial" w:hAnsi="Arial" w:cs="Arial"/>
            <w:color w:val="auto"/>
            <w:u w:val="none"/>
            <w:lang w:val="en-NZ"/>
          </w:rPr>
          <w:t>BreastScreen</w:t>
        </w:r>
        <w:proofErr w:type="spellEnd"/>
        <w:r w:rsidR="00C3701D" w:rsidRPr="00CB3E36">
          <w:rPr>
            <w:rStyle w:val="Hyperlink"/>
            <w:rFonts w:ascii="Arial" w:hAnsi="Arial" w:cs="Arial"/>
            <w:color w:val="auto"/>
            <w:u w:val="none"/>
            <w:lang w:val="en-NZ"/>
          </w:rPr>
          <w:t xml:space="preserve"> </w:t>
        </w:r>
        <w:proofErr w:type="spellStart"/>
        <w:r w:rsidR="00C3701D" w:rsidRPr="00CB3E36">
          <w:rPr>
            <w:rStyle w:val="Hyperlink"/>
            <w:rFonts w:ascii="Arial" w:hAnsi="Arial" w:cs="Arial"/>
            <w:color w:val="auto"/>
            <w:u w:val="none"/>
            <w:lang w:val="en-NZ"/>
          </w:rPr>
          <w:t>Aotearoa</w:t>
        </w:r>
        <w:proofErr w:type="spellEnd"/>
      </w:hyperlink>
      <w:r w:rsidR="00C3701D">
        <w:rPr>
          <w:rFonts w:ascii="Arial" w:hAnsi="Arial" w:cs="Arial"/>
          <w:lang w:val="en-NZ"/>
        </w:rPr>
        <w:t xml:space="preserve"> </w:t>
      </w:r>
      <w:r w:rsidR="00FD2E46">
        <w:rPr>
          <w:rFonts w:ascii="Arial" w:hAnsi="Arial" w:cs="Arial"/>
          <w:lang w:val="en-NZ"/>
        </w:rPr>
        <w:t xml:space="preserve">– </w:t>
      </w:r>
      <w:r w:rsidR="00C3701D">
        <w:rPr>
          <w:rFonts w:ascii="Arial" w:hAnsi="Arial" w:cs="Arial"/>
          <w:lang w:val="en-NZ"/>
        </w:rPr>
        <w:t>screens women for breast cancer</w:t>
      </w:r>
    </w:p>
    <w:p w14:paraId="0B2FA4D2" w14:textId="77777777" w:rsidR="00C3701D" w:rsidRDefault="003E3828" w:rsidP="003E3828">
      <w:pPr>
        <w:numPr>
          <w:ilvl w:val="0"/>
          <w:numId w:val="1"/>
        </w:numPr>
        <w:tabs>
          <w:tab w:val="clear" w:pos="284"/>
          <w:tab w:val="num" w:pos="540"/>
        </w:tabs>
        <w:spacing w:after="0" w:line="240" w:lineRule="auto"/>
        <w:ind w:left="540" w:hanging="540"/>
        <w:rPr>
          <w:rFonts w:cs="Arial"/>
        </w:rPr>
      </w:pPr>
      <w:hyperlink r:id="rId17" w:history="1">
        <w:proofErr w:type="spellStart"/>
        <w:r w:rsidR="00C3701D" w:rsidRPr="00FD2E46">
          <w:rPr>
            <w:rStyle w:val="Hyperlink"/>
            <w:rFonts w:cs="Arial"/>
            <w:color w:val="auto"/>
            <w:u w:val="none"/>
          </w:rPr>
          <w:t>Newborn</w:t>
        </w:r>
        <w:proofErr w:type="spellEnd"/>
        <w:r w:rsidR="00C3701D" w:rsidRPr="00FD2E46">
          <w:rPr>
            <w:rStyle w:val="Hyperlink"/>
            <w:rFonts w:cs="Arial"/>
            <w:color w:val="auto"/>
            <w:u w:val="none"/>
          </w:rPr>
          <w:t xml:space="preserve"> Metabolic Screening Programme</w:t>
        </w:r>
      </w:hyperlink>
      <w:r w:rsidR="00C3701D" w:rsidRPr="00FD2E46">
        <w:rPr>
          <w:rFonts w:cs="Arial"/>
        </w:rPr>
        <w:t xml:space="preserve"> </w:t>
      </w:r>
      <w:r w:rsidR="00C3701D">
        <w:rPr>
          <w:rFonts w:cs="Arial"/>
        </w:rPr>
        <w:t xml:space="preserve">- screens </w:t>
      </w:r>
      <w:proofErr w:type="spellStart"/>
      <w:r w:rsidR="00C3701D">
        <w:rPr>
          <w:rFonts w:cs="Arial"/>
        </w:rPr>
        <w:t>newborn</w:t>
      </w:r>
      <w:proofErr w:type="spellEnd"/>
      <w:r w:rsidR="00C3701D">
        <w:rPr>
          <w:rFonts w:cs="Arial"/>
        </w:rPr>
        <w:t xml:space="preserve"> babies for certain metabolic disorders</w:t>
      </w:r>
    </w:p>
    <w:p w14:paraId="3DD2C1DD" w14:textId="77777777" w:rsidR="00C3701D" w:rsidRDefault="003E3828" w:rsidP="003E3828">
      <w:pPr>
        <w:numPr>
          <w:ilvl w:val="0"/>
          <w:numId w:val="1"/>
        </w:numPr>
        <w:tabs>
          <w:tab w:val="clear" w:pos="284"/>
          <w:tab w:val="num" w:pos="540"/>
        </w:tabs>
        <w:spacing w:after="0" w:line="240" w:lineRule="auto"/>
        <w:ind w:left="540" w:hanging="540"/>
        <w:rPr>
          <w:rFonts w:cs="Arial"/>
        </w:rPr>
      </w:pPr>
      <w:hyperlink r:id="rId18" w:history="1">
        <w:r w:rsidR="00C3701D" w:rsidRPr="00FD2E46">
          <w:rPr>
            <w:rStyle w:val="Hyperlink"/>
            <w:rFonts w:cs="Arial"/>
            <w:color w:val="auto"/>
            <w:u w:val="none"/>
          </w:rPr>
          <w:t xml:space="preserve">Universal </w:t>
        </w:r>
        <w:proofErr w:type="spellStart"/>
        <w:r w:rsidR="00C3701D" w:rsidRPr="00FD2E46">
          <w:rPr>
            <w:rStyle w:val="Hyperlink"/>
            <w:rFonts w:cs="Arial"/>
            <w:color w:val="auto"/>
            <w:u w:val="none"/>
          </w:rPr>
          <w:t>Newborn</w:t>
        </w:r>
        <w:proofErr w:type="spellEnd"/>
        <w:r w:rsidR="00C3701D" w:rsidRPr="00FD2E46">
          <w:rPr>
            <w:rStyle w:val="Hyperlink"/>
            <w:rFonts w:cs="Arial"/>
            <w:color w:val="auto"/>
            <w:u w:val="none"/>
          </w:rPr>
          <w:t xml:space="preserve"> Hearing Screening and Early Intervention Programme</w:t>
        </w:r>
      </w:hyperlink>
      <w:r w:rsidR="00C3701D">
        <w:rPr>
          <w:rFonts w:cs="Arial"/>
        </w:rPr>
        <w:t xml:space="preserve"> - screens </w:t>
      </w:r>
      <w:proofErr w:type="spellStart"/>
      <w:r w:rsidR="00C3701D">
        <w:rPr>
          <w:rFonts w:cs="Arial"/>
        </w:rPr>
        <w:t>newborn</w:t>
      </w:r>
      <w:proofErr w:type="spellEnd"/>
      <w:r w:rsidR="00C3701D">
        <w:rPr>
          <w:rFonts w:cs="Arial"/>
        </w:rPr>
        <w:t xml:space="preserve"> babies for moderate to severe hearing loss.</w:t>
      </w:r>
    </w:p>
    <w:p w14:paraId="59641041" w14:textId="77777777" w:rsidR="004367F7" w:rsidRPr="009E6847" w:rsidRDefault="004367F7" w:rsidP="003E3828">
      <w:pPr>
        <w:autoSpaceDE w:val="0"/>
        <w:autoSpaceDN w:val="0"/>
        <w:adjustRightInd w:val="0"/>
        <w:spacing w:before="120" w:after="0" w:line="240" w:lineRule="auto"/>
        <w:rPr>
          <w:rFonts w:eastAsiaTheme="minorHAnsi" w:cs="Arial"/>
          <w:color w:val="000000"/>
          <w:szCs w:val="24"/>
        </w:rPr>
      </w:pPr>
      <w:r>
        <w:rPr>
          <w:rFonts w:eastAsiaTheme="minorHAnsi" w:cs="Arial"/>
          <w:color w:val="000000"/>
          <w:szCs w:val="24"/>
        </w:rPr>
        <w:t>In addition, the NSU</w:t>
      </w:r>
      <w:r w:rsidRPr="009E6847">
        <w:rPr>
          <w:rFonts w:eastAsiaTheme="minorHAnsi" w:cs="Arial"/>
          <w:color w:val="000000"/>
          <w:szCs w:val="24"/>
        </w:rPr>
        <w:t xml:space="preserve"> provides consumer resources and </w:t>
      </w:r>
      <w:r>
        <w:rPr>
          <w:rFonts w:eastAsiaTheme="minorHAnsi" w:cs="Arial"/>
          <w:color w:val="000000"/>
          <w:szCs w:val="24"/>
        </w:rPr>
        <w:t xml:space="preserve">national </w:t>
      </w:r>
      <w:r w:rsidRPr="009E6847">
        <w:rPr>
          <w:rFonts w:eastAsiaTheme="minorHAnsi" w:cs="Arial"/>
          <w:color w:val="000000"/>
          <w:szCs w:val="24"/>
        </w:rPr>
        <w:t>education and training to referring practitioners</w:t>
      </w:r>
      <w:r>
        <w:rPr>
          <w:rFonts w:eastAsiaTheme="minorHAnsi" w:cs="Arial"/>
          <w:color w:val="000000"/>
          <w:szCs w:val="24"/>
        </w:rPr>
        <w:t xml:space="preserve"> on antenatal HIV screening</w:t>
      </w:r>
      <w:r w:rsidRPr="009E6847">
        <w:rPr>
          <w:rFonts w:eastAsiaTheme="minorHAnsi" w:cs="Arial"/>
          <w:color w:val="000000"/>
          <w:szCs w:val="24"/>
        </w:rPr>
        <w:t>.</w:t>
      </w:r>
      <w:r>
        <w:rPr>
          <w:rStyle w:val="FootnoteReference"/>
          <w:rFonts w:eastAsiaTheme="minorHAnsi" w:cs="Arial"/>
          <w:color w:val="000000"/>
          <w:szCs w:val="24"/>
        </w:rPr>
        <w:footnoteReference w:id="1"/>
      </w:r>
      <w:r w:rsidRPr="009E6847">
        <w:rPr>
          <w:rFonts w:eastAsiaTheme="minorHAnsi" w:cs="Arial"/>
          <w:color w:val="000000"/>
          <w:szCs w:val="24"/>
        </w:rPr>
        <w:t xml:space="preserve"> </w:t>
      </w:r>
    </w:p>
    <w:p w14:paraId="6ED066B3" w14:textId="77777777" w:rsidR="003966CF" w:rsidRDefault="00FD2E46" w:rsidP="003E3828">
      <w:pPr>
        <w:shd w:val="clear" w:color="auto" w:fill="FFFFFF" w:themeFill="background1"/>
        <w:spacing w:before="120" w:after="0" w:line="240" w:lineRule="auto"/>
        <w:rPr>
          <w:rFonts w:cs="Arial"/>
        </w:rPr>
      </w:pPr>
      <w:r>
        <w:rPr>
          <w:rFonts w:cs="Arial"/>
          <w:b/>
        </w:rPr>
        <w:t>1.3</w:t>
      </w:r>
      <w:r>
        <w:rPr>
          <w:rFonts w:cs="Arial"/>
          <w:b/>
        </w:rPr>
        <w:tab/>
      </w:r>
      <w:r w:rsidR="004267D8">
        <w:rPr>
          <w:rFonts w:cs="Arial"/>
          <w:b/>
        </w:rPr>
        <w:t>Stop Smoking</w:t>
      </w:r>
      <w:r w:rsidR="003966CF">
        <w:rPr>
          <w:rFonts w:cs="Arial"/>
          <w:b/>
        </w:rPr>
        <w:t xml:space="preserve"> Services</w:t>
      </w:r>
    </w:p>
    <w:p w14:paraId="4C00E01B" w14:textId="77777777" w:rsidR="00C3701D" w:rsidRDefault="004267D8" w:rsidP="003E3828">
      <w:pPr>
        <w:shd w:val="clear" w:color="auto" w:fill="FFFFFF" w:themeFill="background1"/>
        <w:spacing w:before="120" w:after="0" w:line="240" w:lineRule="auto"/>
        <w:rPr>
          <w:rFonts w:cs="Arial"/>
        </w:rPr>
      </w:pPr>
      <w:r>
        <w:rPr>
          <w:rFonts w:cs="Arial"/>
        </w:rPr>
        <w:t xml:space="preserve">Stop smoking </w:t>
      </w:r>
      <w:r w:rsidR="00C3701D">
        <w:rPr>
          <w:rFonts w:cs="Arial"/>
        </w:rPr>
        <w:t xml:space="preserve">is a core component of the overall Tobacco Control approach in New Zealand (refer </w:t>
      </w:r>
      <w:r w:rsidR="00FD2E46">
        <w:rPr>
          <w:rFonts w:cs="Arial"/>
        </w:rPr>
        <w:t xml:space="preserve">to the </w:t>
      </w:r>
      <w:r w:rsidR="00C3701D">
        <w:rPr>
          <w:rFonts w:cs="Arial"/>
        </w:rPr>
        <w:t>tier two Public Health Services</w:t>
      </w:r>
      <w:r w:rsidR="0083781C">
        <w:rPr>
          <w:rFonts w:cs="Arial"/>
        </w:rPr>
        <w:t xml:space="preserve"> </w:t>
      </w:r>
      <w:r w:rsidR="00C3701D">
        <w:rPr>
          <w:rFonts w:cs="Arial"/>
        </w:rPr>
        <w:t xml:space="preserve">Health Protection </w:t>
      </w:r>
      <w:r w:rsidR="00884F97">
        <w:rPr>
          <w:rFonts w:cs="Arial"/>
        </w:rPr>
        <w:t xml:space="preserve">and Health Promotion </w:t>
      </w:r>
      <w:r w:rsidR="00C3701D">
        <w:rPr>
          <w:rFonts w:cs="Arial"/>
        </w:rPr>
        <w:t>service specification</w:t>
      </w:r>
      <w:r w:rsidR="0080152E">
        <w:rPr>
          <w:rFonts w:cs="Arial"/>
        </w:rPr>
        <w:t>s</w:t>
      </w:r>
      <w:r w:rsidR="00C3701D">
        <w:rPr>
          <w:rFonts w:cs="Arial"/>
        </w:rPr>
        <w:t>).  The overarching aims of the Tobacco Control Programme are to reduce tobacco related morbidity and mortality and decrease tobacco-related disparity.</w:t>
      </w:r>
    </w:p>
    <w:p w14:paraId="58A2480B" w14:textId="77777777" w:rsidR="00C3701D" w:rsidRDefault="004267D8" w:rsidP="003E3828">
      <w:pPr>
        <w:shd w:val="clear" w:color="auto" w:fill="FFFFFF" w:themeFill="background1"/>
        <w:tabs>
          <w:tab w:val="left" w:pos="567"/>
        </w:tabs>
        <w:spacing w:before="120" w:after="120" w:line="240" w:lineRule="auto"/>
        <w:rPr>
          <w:rFonts w:cs="Arial"/>
        </w:rPr>
      </w:pPr>
      <w:r>
        <w:rPr>
          <w:rFonts w:cs="Arial"/>
        </w:rPr>
        <w:t xml:space="preserve">Stop smoking </w:t>
      </w:r>
      <w:r w:rsidR="00C3701D">
        <w:rPr>
          <w:rFonts w:cs="Arial"/>
        </w:rPr>
        <w:t xml:space="preserve">services are provided to people who want help to quit smoking.  The </w:t>
      </w:r>
      <w:r>
        <w:rPr>
          <w:rFonts w:cs="Arial"/>
        </w:rPr>
        <w:t xml:space="preserve">Stop Smoking </w:t>
      </w:r>
      <w:r w:rsidR="00C3701D">
        <w:rPr>
          <w:rFonts w:cs="Arial"/>
        </w:rPr>
        <w:t>Service delivers evidence-based</w:t>
      </w:r>
      <w:r>
        <w:rPr>
          <w:rFonts w:cs="Arial"/>
        </w:rPr>
        <w:t xml:space="preserve"> interventions (based on the New </w:t>
      </w:r>
      <w:r w:rsidR="00C3701D">
        <w:rPr>
          <w:rFonts w:cs="Arial"/>
        </w:rPr>
        <w:t xml:space="preserve">Zealand </w:t>
      </w:r>
      <w:r>
        <w:rPr>
          <w:rFonts w:cs="Arial"/>
        </w:rPr>
        <w:t xml:space="preserve">Stop Smoking </w:t>
      </w:r>
      <w:r w:rsidR="00C3701D">
        <w:rPr>
          <w:rFonts w:cs="Arial"/>
        </w:rPr>
        <w:t>Guidelines)</w:t>
      </w:r>
      <w:r w:rsidR="00C3701D">
        <w:rPr>
          <w:rStyle w:val="FootnoteReference"/>
          <w:rFonts w:cs="Arial"/>
        </w:rPr>
        <w:footnoteReference w:id="2"/>
      </w:r>
      <w:r w:rsidR="00C3701D">
        <w:rPr>
          <w:rFonts w:cs="Arial"/>
        </w:rPr>
        <w:t>, including:</w:t>
      </w:r>
    </w:p>
    <w:p w14:paraId="64B2BED6" w14:textId="77777777" w:rsidR="00C3701D" w:rsidRDefault="00C3701D" w:rsidP="003E3828">
      <w:pPr>
        <w:numPr>
          <w:ilvl w:val="0"/>
          <w:numId w:val="2"/>
        </w:numPr>
        <w:tabs>
          <w:tab w:val="clear" w:pos="360"/>
          <w:tab w:val="num" w:pos="540"/>
        </w:tabs>
        <w:spacing w:after="0" w:line="240" w:lineRule="auto"/>
        <w:ind w:left="540" w:hanging="540"/>
        <w:rPr>
          <w:rFonts w:cs="Arial"/>
        </w:rPr>
      </w:pPr>
      <w:r>
        <w:rPr>
          <w:rFonts w:cs="Arial"/>
        </w:rPr>
        <w:t>access to subsidised nicotine replacement therapy (NRT), or ongoing access if NRT has been initiated by referring agency</w:t>
      </w:r>
    </w:p>
    <w:p w14:paraId="385006B6" w14:textId="77777777" w:rsidR="00C3701D" w:rsidRDefault="00C3701D" w:rsidP="003E3828">
      <w:pPr>
        <w:numPr>
          <w:ilvl w:val="0"/>
          <w:numId w:val="2"/>
        </w:numPr>
        <w:tabs>
          <w:tab w:val="clear" w:pos="360"/>
          <w:tab w:val="num" w:pos="540"/>
        </w:tabs>
        <w:spacing w:after="0" w:line="240" w:lineRule="auto"/>
        <w:ind w:left="540" w:hanging="540"/>
        <w:rPr>
          <w:rFonts w:cs="Arial"/>
        </w:rPr>
      </w:pPr>
      <w:r>
        <w:rPr>
          <w:rFonts w:cs="Arial"/>
        </w:rPr>
        <w:lastRenderedPageBreak/>
        <w:t xml:space="preserve">information about access and information about other approved and/or subsidised cessation medications </w:t>
      </w:r>
    </w:p>
    <w:p w14:paraId="711E4E54" w14:textId="77777777" w:rsidR="00C3701D" w:rsidRDefault="00C3701D" w:rsidP="003E3828">
      <w:pPr>
        <w:numPr>
          <w:ilvl w:val="0"/>
          <w:numId w:val="2"/>
        </w:numPr>
        <w:tabs>
          <w:tab w:val="clear" w:pos="360"/>
          <w:tab w:val="num" w:pos="540"/>
        </w:tabs>
        <w:spacing w:after="0" w:line="240" w:lineRule="auto"/>
        <w:ind w:left="540" w:hanging="540"/>
        <w:rPr>
          <w:rFonts w:cs="Arial"/>
        </w:rPr>
      </w:pPr>
      <w:proofErr w:type="gramStart"/>
      <w:r>
        <w:rPr>
          <w:rFonts w:cs="Arial"/>
        </w:rPr>
        <w:t>behavioural</w:t>
      </w:r>
      <w:proofErr w:type="gramEnd"/>
      <w:r>
        <w:rPr>
          <w:rFonts w:cs="Arial"/>
        </w:rPr>
        <w:t xml:space="preserve"> support</w:t>
      </w:r>
      <w:r w:rsidR="00FD2E46">
        <w:rPr>
          <w:rFonts w:cs="Arial"/>
        </w:rPr>
        <w:t xml:space="preserve"> that can be</w:t>
      </w:r>
      <w:r>
        <w:rPr>
          <w:rFonts w:cs="Arial"/>
        </w:rPr>
        <w:t xml:space="preserve"> delivered in many ways including telephone, and face to face in individual or group sessions</w:t>
      </w:r>
      <w:r w:rsidR="00FD2E46">
        <w:rPr>
          <w:rFonts w:cs="Arial"/>
        </w:rPr>
        <w:t>.</w:t>
      </w:r>
    </w:p>
    <w:p w14:paraId="32AFE108" w14:textId="77777777" w:rsidR="00C3701D" w:rsidRDefault="00C3701D" w:rsidP="003E3828">
      <w:pPr>
        <w:tabs>
          <w:tab w:val="left" w:pos="567"/>
        </w:tabs>
        <w:spacing w:before="120" w:line="240" w:lineRule="auto"/>
        <w:rPr>
          <w:rFonts w:cs="Arial"/>
        </w:rPr>
      </w:pPr>
      <w:r>
        <w:rPr>
          <w:rFonts w:cs="Arial"/>
        </w:rPr>
        <w:t xml:space="preserve">The </w:t>
      </w:r>
      <w:r w:rsidR="00FD2E46">
        <w:rPr>
          <w:rFonts w:cs="Arial"/>
        </w:rPr>
        <w:t xml:space="preserve">service </w:t>
      </w:r>
      <w:r>
        <w:rPr>
          <w:rFonts w:cs="Arial"/>
        </w:rPr>
        <w:t xml:space="preserve">works alongside other Tobacco Control initiatives, including education and promotion activities, and other health and social services to provide dedicated support for </w:t>
      </w:r>
      <w:r w:rsidR="009350C4">
        <w:rPr>
          <w:rFonts w:cs="Arial"/>
        </w:rPr>
        <w:t xml:space="preserve">people </w:t>
      </w:r>
      <w:r>
        <w:rPr>
          <w:rFonts w:cs="Arial"/>
        </w:rPr>
        <w:t>to quit smoking.</w:t>
      </w:r>
    </w:p>
    <w:p w14:paraId="2058B4C5" w14:textId="77777777" w:rsidR="00C3701D" w:rsidRDefault="00FD2E46" w:rsidP="003E3828">
      <w:pPr>
        <w:keepNext/>
        <w:tabs>
          <w:tab w:val="left" w:pos="540"/>
        </w:tabs>
        <w:spacing w:after="0" w:line="240" w:lineRule="auto"/>
        <w:jc w:val="both"/>
        <w:outlineLvl w:val="4"/>
        <w:rPr>
          <w:rFonts w:eastAsia="Times New Roman" w:cs="Arial"/>
          <w:b/>
          <w:szCs w:val="24"/>
        </w:rPr>
      </w:pPr>
      <w:r>
        <w:rPr>
          <w:rFonts w:eastAsia="Times New Roman" w:cs="Arial"/>
          <w:b/>
          <w:szCs w:val="24"/>
        </w:rPr>
        <w:t>1.4</w:t>
      </w:r>
      <w:r>
        <w:rPr>
          <w:rFonts w:eastAsia="Times New Roman" w:cs="Arial"/>
          <w:b/>
          <w:szCs w:val="24"/>
        </w:rPr>
        <w:tab/>
      </w:r>
      <w:r w:rsidR="00220ED9">
        <w:rPr>
          <w:rFonts w:eastAsia="Times New Roman" w:cs="Arial"/>
          <w:b/>
          <w:szCs w:val="24"/>
        </w:rPr>
        <w:t>Family Violence Prevention Services</w:t>
      </w:r>
    </w:p>
    <w:p w14:paraId="061B9A46" w14:textId="77777777" w:rsidR="00220ED9" w:rsidRPr="00220ED9" w:rsidRDefault="00220ED9" w:rsidP="003E3828">
      <w:pPr>
        <w:autoSpaceDE w:val="0"/>
        <w:autoSpaceDN w:val="0"/>
        <w:adjustRightInd w:val="0"/>
        <w:spacing w:before="120" w:after="0" w:line="240" w:lineRule="auto"/>
        <w:rPr>
          <w:rFonts w:eastAsiaTheme="minorHAnsi" w:cs="Arial"/>
          <w:color w:val="000000"/>
          <w:szCs w:val="24"/>
        </w:rPr>
      </w:pPr>
      <w:r w:rsidRPr="00220ED9">
        <w:rPr>
          <w:rFonts w:eastAsiaTheme="minorHAnsi" w:cs="Arial"/>
          <w:color w:val="000000"/>
          <w:szCs w:val="24"/>
        </w:rPr>
        <w:t>The Violence Intervention Programme</w:t>
      </w:r>
      <w:r>
        <w:rPr>
          <w:rFonts w:eastAsiaTheme="minorHAnsi" w:cs="Arial"/>
          <w:color w:val="000000"/>
          <w:szCs w:val="24"/>
        </w:rPr>
        <w:t xml:space="preserve"> (VIP)</w:t>
      </w:r>
      <w:r w:rsidRPr="00220ED9">
        <w:rPr>
          <w:rFonts w:eastAsiaTheme="minorHAnsi" w:cs="Arial"/>
          <w:color w:val="000000"/>
          <w:szCs w:val="24"/>
        </w:rPr>
        <w:t xml:space="preserve"> provides </w:t>
      </w:r>
      <w:r w:rsidR="00430A3A">
        <w:rPr>
          <w:rFonts w:eastAsiaTheme="minorHAnsi" w:cs="Arial"/>
          <w:color w:val="000000"/>
          <w:szCs w:val="24"/>
        </w:rPr>
        <w:t>a structured approach to the implementation of the M</w:t>
      </w:r>
      <w:r w:rsidR="005E0152">
        <w:rPr>
          <w:rFonts w:eastAsiaTheme="minorHAnsi" w:cs="Arial"/>
          <w:color w:val="000000"/>
          <w:szCs w:val="24"/>
        </w:rPr>
        <w:t>inistry</w:t>
      </w:r>
      <w:r w:rsidR="00FD2E46">
        <w:rPr>
          <w:rFonts w:eastAsiaTheme="minorHAnsi" w:cs="Arial"/>
          <w:color w:val="000000"/>
          <w:szCs w:val="24"/>
        </w:rPr>
        <w:t xml:space="preserve">’s </w:t>
      </w:r>
      <w:r w:rsidR="00430A3A">
        <w:rPr>
          <w:rFonts w:eastAsiaTheme="minorHAnsi" w:cs="Arial"/>
          <w:color w:val="000000"/>
          <w:szCs w:val="24"/>
        </w:rPr>
        <w:t xml:space="preserve">Family </w:t>
      </w:r>
      <w:r w:rsidR="00467A71">
        <w:rPr>
          <w:rFonts w:eastAsiaTheme="minorHAnsi" w:cs="Arial"/>
          <w:color w:val="000000"/>
          <w:szCs w:val="24"/>
        </w:rPr>
        <w:t>Violence I</w:t>
      </w:r>
      <w:r w:rsidR="00430A3A">
        <w:rPr>
          <w:rFonts w:eastAsiaTheme="minorHAnsi" w:cs="Arial"/>
          <w:color w:val="000000"/>
          <w:szCs w:val="24"/>
        </w:rPr>
        <w:t xml:space="preserve">ntervention Guidelines that indicate the best practice intervention for family violence within </w:t>
      </w:r>
      <w:r w:rsidR="00793D1B">
        <w:rPr>
          <w:rFonts w:eastAsiaTheme="minorHAnsi" w:cs="Arial"/>
          <w:color w:val="000000"/>
          <w:szCs w:val="24"/>
        </w:rPr>
        <w:t>h</w:t>
      </w:r>
      <w:r w:rsidR="00430A3A">
        <w:rPr>
          <w:rFonts w:eastAsiaTheme="minorHAnsi" w:cs="Arial"/>
          <w:color w:val="000000"/>
          <w:szCs w:val="24"/>
        </w:rPr>
        <w:t xml:space="preserve">ealth. The </w:t>
      </w:r>
      <w:r w:rsidR="00183FC2">
        <w:rPr>
          <w:rFonts w:eastAsiaTheme="minorHAnsi" w:cs="Arial"/>
          <w:color w:val="000000"/>
          <w:szCs w:val="24"/>
        </w:rPr>
        <w:t xml:space="preserve">VIP </w:t>
      </w:r>
      <w:r w:rsidR="00430A3A">
        <w:rPr>
          <w:rFonts w:eastAsiaTheme="minorHAnsi" w:cs="Arial"/>
          <w:color w:val="000000"/>
          <w:szCs w:val="24"/>
        </w:rPr>
        <w:t>supports health professionals to screen and</w:t>
      </w:r>
      <w:r w:rsidR="00793D1B">
        <w:rPr>
          <w:rFonts w:eastAsiaTheme="minorHAnsi" w:cs="Arial"/>
          <w:color w:val="000000"/>
          <w:szCs w:val="24"/>
        </w:rPr>
        <w:t>/</w:t>
      </w:r>
      <w:r w:rsidR="00183FC2">
        <w:rPr>
          <w:rFonts w:eastAsiaTheme="minorHAnsi" w:cs="Arial"/>
          <w:color w:val="000000"/>
          <w:szCs w:val="24"/>
        </w:rPr>
        <w:t>or</w:t>
      </w:r>
      <w:r w:rsidR="00430A3A">
        <w:rPr>
          <w:rFonts w:eastAsiaTheme="minorHAnsi" w:cs="Arial"/>
          <w:color w:val="000000"/>
          <w:szCs w:val="24"/>
        </w:rPr>
        <w:t xml:space="preserve"> identify</w:t>
      </w:r>
      <w:r w:rsidR="00467A71">
        <w:rPr>
          <w:rFonts w:eastAsiaTheme="minorHAnsi" w:cs="Arial"/>
          <w:color w:val="000000"/>
          <w:szCs w:val="24"/>
        </w:rPr>
        <w:t>,</w:t>
      </w:r>
      <w:r w:rsidR="00430A3A">
        <w:rPr>
          <w:rFonts w:eastAsiaTheme="minorHAnsi" w:cs="Arial"/>
          <w:color w:val="000000"/>
          <w:szCs w:val="24"/>
        </w:rPr>
        <w:t xml:space="preserve"> </w:t>
      </w:r>
      <w:r w:rsidRPr="00220ED9">
        <w:rPr>
          <w:rFonts w:eastAsiaTheme="minorHAnsi" w:cs="Arial"/>
          <w:color w:val="000000"/>
          <w:szCs w:val="24"/>
        </w:rPr>
        <w:t xml:space="preserve">assess, treat and refer to appropriate social service support agencies those adults and children who are victims of abuse and violence. The </w:t>
      </w:r>
      <w:r w:rsidR="00FD2E46">
        <w:rPr>
          <w:rFonts w:eastAsiaTheme="minorHAnsi" w:cs="Arial"/>
          <w:color w:val="000000"/>
          <w:szCs w:val="24"/>
        </w:rPr>
        <w:t>VIP</w:t>
      </w:r>
      <w:r w:rsidR="00FD2E46" w:rsidRPr="00220ED9">
        <w:rPr>
          <w:rFonts w:eastAsiaTheme="minorHAnsi" w:cs="Arial"/>
          <w:color w:val="000000"/>
          <w:szCs w:val="24"/>
        </w:rPr>
        <w:t xml:space="preserve"> </w:t>
      </w:r>
      <w:r w:rsidRPr="00220ED9">
        <w:rPr>
          <w:rFonts w:eastAsiaTheme="minorHAnsi" w:cs="Arial"/>
          <w:color w:val="000000"/>
          <w:szCs w:val="24"/>
        </w:rPr>
        <w:t>i</w:t>
      </w:r>
      <w:r w:rsidR="00793D1B">
        <w:rPr>
          <w:rFonts w:eastAsiaTheme="minorHAnsi" w:cs="Arial"/>
          <w:color w:val="000000"/>
          <w:szCs w:val="24"/>
        </w:rPr>
        <w:t>ncludes infra</w:t>
      </w:r>
      <w:r w:rsidR="00467A71">
        <w:rPr>
          <w:rFonts w:eastAsiaTheme="minorHAnsi" w:cs="Arial"/>
          <w:color w:val="000000"/>
          <w:szCs w:val="24"/>
        </w:rPr>
        <w:t>structure support,</w:t>
      </w:r>
      <w:r w:rsidRPr="00220ED9">
        <w:rPr>
          <w:rFonts w:eastAsiaTheme="minorHAnsi" w:cs="Arial"/>
          <w:color w:val="000000"/>
          <w:szCs w:val="24"/>
        </w:rPr>
        <w:t xml:space="preserve"> policies</w:t>
      </w:r>
      <w:r w:rsidR="00183FC2">
        <w:rPr>
          <w:rFonts w:eastAsiaTheme="minorHAnsi" w:cs="Arial"/>
          <w:color w:val="000000"/>
          <w:szCs w:val="24"/>
        </w:rPr>
        <w:t xml:space="preserve"> and guidelines</w:t>
      </w:r>
      <w:r w:rsidRPr="00220ED9">
        <w:rPr>
          <w:rFonts w:eastAsiaTheme="minorHAnsi" w:cs="Arial"/>
          <w:color w:val="000000"/>
          <w:szCs w:val="24"/>
        </w:rPr>
        <w:t>, be</w:t>
      </w:r>
      <w:r w:rsidR="00467A71">
        <w:rPr>
          <w:rFonts w:eastAsiaTheme="minorHAnsi" w:cs="Arial"/>
          <w:color w:val="000000"/>
          <w:szCs w:val="24"/>
        </w:rPr>
        <w:t>st practice training, resources</w:t>
      </w:r>
      <w:r w:rsidRPr="00220ED9">
        <w:rPr>
          <w:rFonts w:eastAsiaTheme="minorHAnsi" w:cs="Arial"/>
          <w:color w:val="000000"/>
          <w:szCs w:val="24"/>
        </w:rPr>
        <w:t>, cultural responsiveness</w:t>
      </w:r>
      <w:r w:rsidR="00183FC2">
        <w:rPr>
          <w:rFonts w:eastAsiaTheme="minorHAnsi" w:cs="Arial"/>
          <w:color w:val="000000"/>
          <w:szCs w:val="24"/>
        </w:rPr>
        <w:t>,</w:t>
      </w:r>
      <w:r w:rsidRPr="00220ED9">
        <w:rPr>
          <w:rFonts w:eastAsiaTheme="minorHAnsi" w:cs="Arial"/>
          <w:color w:val="000000"/>
          <w:szCs w:val="24"/>
        </w:rPr>
        <w:t xml:space="preserve"> training and programme evaluation. </w:t>
      </w:r>
    </w:p>
    <w:p w14:paraId="6BFA2573" w14:textId="77777777" w:rsidR="00220ED9" w:rsidRPr="00D04E1C" w:rsidRDefault="00220ED9" w:rsidP="003E3828">
      <w:pPr>
        <w:spacing w:before="120" w:after="0" w:line="240" w:lineRule="auto"/>
        <w:rPr>
          <w:rFonts w:eastAsiaTheme="minorHAnsi" w:cs="Arial"/>
          <w:color w:val="000000"/>
          <w:szCs w:val="24"/>
        </w:rPr>
      </w:pPr>
      <w:r w:rsidRPr="00D04E1C">
        <w:rPr>
          <w:rFonts w:eastAsiaTheme="minorHAnsi" w:cs="Arial"/>
          <w:color w:val="000000"/>
          <w:szCs w:val="24"/>
        </w:rPr>
        <w:t xml:space="preserve">The VIP is supported by a dedicated violence prevention and early intervention service network. This network, its resources and relationships, provides the </w:t>
      </w:r>
      <w:r w:rsidR="00467A71" w:rsidRPr="00D04E1C">
        <w:rPr>
          <w:rFonts w:eastAsiaTheme="minorHAnsi" w:cs="Arial"/>
          <w:color w:val="000000"/>
          <w:szCs w:val="24"/>
        </w:rPr>
        <w:t>nucleus of a system focussed on</w:t>
      </w:r>
      <w:r w:rsidRPr="00D04E1C">
        <w:rPr>
          <w:rFonts w:eastAsiaTheme="minorHAnsi" w:cs="Arial"/>
          <w:color w:val="000000"/>
          <w:szCs w:val="24"/>
        </w:rPr>
        <w:t xml:space="preserve"> policies, training, </w:t>
      </w:r>
      <w:proofErr w:type="gramStart"/>
      <w:r w:rsidRPr="00D04E1C">
        <w:rPr>
          <w:rFonts w:eastAsiaTheme="minorHAnsi" w:cs="Arial"/>
          <w:color w:val="000000"/>
          <w:szCs w:val="24"/>
        </w:rPr>
        <w:t>information</w:t>
      </w:r>
      <w:proofErr w:type="gramEnd"/>
      <w:r w:rsidRPr="00D04E1C">
        <w:rPr>
          <w:rFonts w:eastAsiaTheme="minorHAnsi" w:cs="Arial"/>
          <w:color w:val="000000"/>
          <w:szCs w:val="24"/>
        </w:rPr>
        <w:t xml:space="preserve"> systems and evidenced interventions from which a coordinated </w:t>
      </w:r>
      <w:r w:rsidR="00FD2E46" w:rsidRPr="00D04E1C">
        <w:rPr>
          <w:rFonts w:eastAsiaTheme="minorHAnsi" w:cs="Arial"/>
          <w:color w:val="000000"/>
          <w:szCs w:val="24"/>
        </w:rPr>
        <w:t>District Health Board (</w:t>
      </w:r>
      <w:r w:rsidRPr="00D04E1C">
        <w:rPr>
          <w:rFonts w:eastAsiaTheme="minorHAnsi" w:cs="Arial"/>
          <w:color w:val="000000"/>
          <w:szCs w:val="24"/>
        </w:rPr>
        <w:t>DHB</w:t>
      </w:r>
      <w:r w:rsidR="00FD2E46" w:rsidRPr="00D04E1C">
        <w:rPr>
          <w:rFonts w:eastAsiaTheme="minorHAnsi" w:cs="Arial"/>
          <w:color w:val="000000"/>
          <w:szCs w:val="24"/>
        </w:rPr>
        <w:t>)</w:t>
      </w:r>
      <w:r w:rsidRPr="00D04E1C">
        <w:rPr>
          <w:rFonts w:eastAsiaTheme="minorHAnsi" w:cs="Arial"/>
          <w:color w:val="000000"/>
          <w:szCs w:val="24"/>
        </w:rPr>
        <w:t>, community-based primary care and inter-agency partnership is growing.</w:t>
      </w:r>
    </w:p>
    <w:p w14:paraId="767BAB8E" w14:textId="77777777" w:rsidR="00C3701D" w:rsidRDefault="00C3701D" w:rsidP="003E3828">
      <w:pPr>
        <w:keepNext/>
        <w:tabs>
          <w:tab w:val="left" w:pos="540"/>
        </w:tabs>
        <w:spacing w:before="240" w:after="0" w:line="240" w:lineRule="auto"/>
        <w:jc w:val="both"/>
        <w:outlineLvl w:val="4"/>
        <w:rPr>
          <w:rFonts w:eastAsia="Times New Roman" w:cs="Arial"/>
          <w:b/>
          <w:szCs w:val="24"/>
        </w:rPr>
      </w:pPr>
      <w:r>
        <w:rPr>
          <w:rFonts w:eastAsia="Times New Roman" w:cs="Arial"/>
          <w:b/>
          <w:szCs w:val="24"/>
        </w:rPr>
        <w:t>2.</w:t>
      </w:r>
      <w:r>
        <w:rPr>
          <w:rFonts w:eastAsia="Times New Roman" w:cs="Arial"/>
          <w:b/>
          <w:szCs w:val="24"/>
        </w:rPr>
        <w:tab/>
        <w:t>Service Objectives</w:t>
      </w:r>
    </w:p>
    <w:p w14:paraId="01714D51" w14:textId="77777777" w:rsidR="00C3701D" w:rsidRPr="00AF2EF3" w:rsidRDefault="00FD2E46" w:rsidP="003E3828">
      <w:pPr>
        <w:pStyle w:val="BodyText"/>
        <w:spacing w:before="120"/>
        <w:rPr>
          <w:rFonts w:ascii="Arial" w:hAnsi="Arial" w:cs="Arial"/>
          <w:b/>
          <w:lang w:val="en-NZ"/>
        </w:rPr>
      </w:pPr>
      <w:r>
        <w:rPr>
          <w:rFonts w:ascii="Arial" w:hAnsi="Arial" w:cs="Arial"/>
          <w:b/>
          <w:lang w:val="en-NZ"/>
        </w:rPr>
        <w:t>2.1</w:t>
      </w:r>
      <w:r>
        <w:rPr>
          <w:rFonts w:ascii="Arial" w:hAnsi="Arial" w:cs="Arial"/>
          <w:b/>
          <w:lang w:val="en-NZ"/>
        </w:rPr>
        <w:tab/>
      </w:r>
      <w:r w:rsidR="00AF2EF3">
        <w:rPr>
          <w:rFonts w:ascii="Arial" w:hAnsi="Arial" w:cs="Arial"/>
          <w:b/>
        </w:rPr>
        <w:t>Immunisation</w:t>
      </w:r>
    </w:p>
    <w:p w14:paraId="72AFD119" w14:textId="77777777" w:rsidR="00C3701D" w:rsidRDefault="00C3701D" w:rsidP="003E3828">
      <w:pPr>
        <w:spacing w:after="0" w:line="240" w:lineRule="auto"/>
      </w:pPr>
      <w:r>
        <w:t xml:space="preserve">Immunisation aims to: </w:t>
      </w:r>
    </w:p>
    <w:p w14:paraId="5DF5A085" w14:textId="77777777" w:rsidR="00C3701D" w:rsidRDefault="00C3701D" w:rsidP="003E3828">
      <w:pPr>
        <w:pStyle w:val="ListParagraph"/>
        <w:numPr>
          <w:ilvl w:val="0"/>
          <w:numId w:val="3"/>
        </w:numPr>
        <w:spacing w:before="120" w:after="0" w:line="240" w:lineRule="auto"/>
      </w:pPr>
      <w:r>
        <w:t>prevent diseases through vaccination and achieving coverage that prevents epidemics</w:t>
      </w:r>
    </w:p>
    <w:p w14:paraId="331BFE09" w14:textId="77777777" w:rsidR="00C3701D" w:rsidRDefault="00C3701D" w:rsidP="003E3828">
      <w:pPr>
        <w:pStyle w:val="ListParagraph"/>
        <w:numPr>
          <w:ilvl w:val="0"/>
          <w:numId w:val="3"/>
        </w:numPr>
        <w:spacing w:after="0" w:line="240" w:lineRule="auto"/>
      </w:pPr>
      <w:proofErr w:type="gramStart"/>
      <w:r>
        <w:t>control</w:t>
      </w:r>
      <w:proofErr w:type="gramEnd"/>
      <w:r>
        <w:t xml:space="preserve"> or eliminate vaccine preventable diseases through the delivery of safe and effective immunisation programmes across all communities.</w:t>
      </w:r>
    </w:p>
    <w:p w14:paraId="53ED7270" w14:textId="77777777" w:rsidR="00C3701D" w:rsidRDefault="00C3701D" w:rsidP="003E3828">
      <w:pPr>
        <w:spacing w:before="120" w:after="0" w:line="240" w:lineRule="auto"/>
      </w:pPr>
      <w:r>
        <w:t>The immunisation system is working well when it provides good service (safe, effective, trusted, efficient, timely and high quality)</w:t>
      </w:r>
      <w:r w:rsidR="00DF4436">
        <w:t>,</w:t>
      </w:r>
      <w:r>
        <w:t xml:space="preserve"> equity of outcomes for high risk populations and value for money.</w:t>
      </w:r>
    </w:p>
    <w:p w14:paraId="574C245A" w14:textId="77777777" w:rsidR="00C3701D" w:rsidRDefault="00C3701D" w:rsidP="003E3828">
      <w:pPr>
        <w:spacing w:before="120" w:after="0" w:line="240" w:lineRule="auto"/>
      </w:pPr>
      <w:r>
        <w:t>The Ministry, DHBs and P</w:t>
      </w:r>
      <w:r w:rsidR="00FD2E46">
        <w:t>rimary Health Organisations (P</w:t>
      </w:r>
      <w:r>
        <w:t>HOs</w:t>
      </w:r>
      <w:r w:rsidR="00FD2E46">
        <w:t>)</w:t>
      </w:r>
      <w:r>
        <w:t xml:space="preserve"> are collectively responsible for achieving the Government’s health targets.</w:t>
      </w:r>
      <w:r w:rsidR="008D06C1">
        <w:t xml:space="preserve">  </w:t>
      </w:r>
      <w:r>
        <w:t>Details on the current health targets can be found on the Ministry</w:t>
      </w:r>
      <w:r w:rsidR="00FD2E46">
        <w:t>’s</w:t>
      </w:r>
      <w:r>
        <w:t xml:space="preserve"> website</w:t>
      </w:r>
      <w:r w:rsidR="00815440">
        <w:rPr>
          <w:rStyle w:val="FootnoteReference"/>
        </w:rPr>
        <w:footnoteReference w:id="3"/>
      </w:r>
      <w:r>
        <w:t xml:space="preserve">. </w:t>
      </w:r>
    </w:p>
    <w:p w14:paraId="1F1B7F97" w14:textId="77777777" w:rsidR="00F0648F" w:rsidRDefault="00793D1B" w:rsidP="003E3828">
      <w:pPr>
        <w:spacing w:before="120" w:after="0" w:line="240" w:lineRule="auto"/>
      </w:pPr>
      <w:r>
        <w:t>Other priority services for the immunisation programme include eradicating measles and reducing whooping cough outbreak</w:t>
      </w:r>
      <w:r w:rsidR="00FD2E46">
        <w:t>s</w:t>
      </w:r>
      <w:r>
        <w:t xml:space="preserve">. </w:t>
      </w:r>
    </w:p>
    <w:p w14:paraId="7CFA9719" w14:textId="77777777" w:rsidR="00C3701D" w:rsidRPr="00AF2EF3" w:rsidRDefault="00FD2E46" w:rsidP="003E3828">
      <w:pPr>
        <w:pStyle w:val="BodyText"/>
        <w:spacing w:before="120"/>
        <w:rPr>
          <w:rFonts w:ascii="Arial" w:hAnsi="Arial" w:cs="Arial"/>
          <w:b/>
          <w:lang w:val="en-NZ"/>
        </w:rPr>
      </w:pPr>
      <w:r>
        <w:rPr>
          <w:rFonts w:ascii="Arial" w:hAnsi="Arial" w:cs="Arial"/>
          <w:b/>
          <w:lang w:val="en-NZ"/>
        </w:rPr>
        <w:t>2.</w:t>
      </w:r>
      <w:r w:rsidR="0083781C">
        <w:rPr>
          <w:rFonts w:ascii="Arial" w:hAnsi="Arial" w:cs="Arial"/>
          <w:b/>
          <w:lang w:val="en-NZ"/>
        </w:rPr>
        <w:t>2</w:t>
      </w:r>
      <w:r>
        <w:rPr>
          <w:rFonts w:ascii="Arial" w:hAnsi="Arial" w:cs="Arial"/>
          <w:b/>
          <w:lang w:val="en-NZ"/>
        </w:rPr>
        <w:tab/>
      </w:r>
      <w:r w:rsidR="00AF2EF3">
        <w:rPr>
          <w:rFonts w:ascii="Arial" w:hAnsi="Arial" w:cs="Arial"/>
          <w:b/>
        </w:rPr>
        <w:t>Screening</w:t>
      </w:r>
    </w:p>
    <w:p w14:paraId="348392B8" w14:textId="77777777" w:rsidR="00C3701D" w:rsidRDefault="00C3701D" w:rsidP="003E3828">
      <w:pPr>
        <w:spacing w:after="120" w:line="240" w:lineRule="auto"/>
        <w:rPr>
          <w:i/>
        </w:rPr>
      </w:pPr>
      <w:r>
        <w:t xml:space="preserve">The </w:t>
      </w:r>
      <w:r w:rsidR="00FD2E46">
        <w:t>NSU</w:t>
      </w:r>
      <w:r>
        <w:t xml:space="preserve"> was established in 2001 to deliver safe, effective and equitable screening programmes. The NSU’s vision is to achieve ‘</w:t>
      </w:r>
      <w:r>
        <w:rPr>
          <w:i/>
        </w:rPr>
        <w:t xml:space="preserve">high quality, equitable and accessible national screening programmes’. </w:t>
      </w:r>
    </w:p>
    <w:p w14:paraId="36A06167" w14:textId="77777777" w:rsidR="00C3701D" w:rsidRDefault="00C3701D" w:rsidP="003E3828">
      <w:pPr>
        <w:spacing w:after="120" w:line="240" w:lineRule="auto"/>
        <w:rPr>
          <w:rFonts w:cs="Arial"/>
        </w:rPr>
      </w:pPr>
      <w:r>
        <w:rPr>
          <w:rFonts w:cs="Arial"/>
        </w:rPr>
        <w:t xml:space="preserve">Screening programmes specifically target and invite an otherwise healthy population to be screened, with a focus on providing a population health service.  Screening programmes must be planned and delivered differently from other health services to ensure that the benefits outweigh the harms on a population basis.  </w:t>
      </w:r>
    </w:p>
    <w:p w14:paraId="41C58DFA" w14:textId="77777777" w:rsidR="00452DFE" w:rsidRDefault="00C3701D" w:rsidP="003E3828">
      <w:pPr>
        <w:spacing w:after="120" w:line="240" w:lineRule="auto"/>
        <w:rPr>
          <w:rFonts w:cs="Arial"/>
        </w:rPr>
      </w:pPr>
      <w:r>
        <w:rPr>
          <w:rFonts w:cs="Arial"/>
        </w:rPr>
        <w:lastRenderedPageBreak/>
        <w:t>Screening programmes require national consistency of service provision and strong national management, coordination and monitoring mechanisms.  There is a strong ethical responsibility on a screening programme to ensure that services are of the highest possible quality and that diagnostic and treatment services are provided in a timely manner.</w:t>
      </w:r>
    </w:p>
    <w:p w14:paraId="52E47654" w14:textId="77777777" w:rsidR="00C3701D" w:rsidRDefault="0083781C" w:rsidP="003E3828">
      <w:pPr>
        <w:pStyle w:val="BodyText"/>
        <w:rPr>
          <w:rFonts w:ascii="Arial" w:hAnsi="Arial" w:cs="Arial"/>
          <w:b/>
        </w:rPr>
      </w:pPr>
      <w:r>
        <w:rPr>
          <w:rFonts w:ascii="Arial" w:hAnsi="Arial" w:cs="Arial"/>
          <w:b/>
          <w:lang w:val="en-NZ"/>
        </w:rPr>
        <w:t>2.3</w:t>
      </w:r>
      <w:r w:rsidR="00FD2E46">
        <w:rPr>
          <w:rFonts w:ascii="Arial" w:hAnsi="Arial" w:cs="Arial"/>
          <w:b/>
          <w:lang w:val="en-NZ"/>
        </w:rPr>
        <w:tab/>
      </w:r>
      <w:r w:rsidR="004267D8">
        <w:rPr>
          <w:rFonts w:ascii="Arial" w:hAnsi="Arial" w:cs="Arial"/>
          <w:b/>
          <w:lang w:val="en-NZ"/>
        </w:rPr>
        <w:t xml:space="preserve">Stop </w:t>
      </w:r>
      <w:r w:rsidR="00C3701D">
        <w:rPr>
          <w:rFonts w:ascii="Arial" w:hAnsi="Arial" w:cs="Arial"/>
          <w:b/>
        </w:rPr>
        <w:t xml:space="preserve">Smoking </w:t>
      </w:r>
      <w:r w:rsidR="003725A7">
        <w:rPr>
          <w:rFonts w:ascii="Arial" w:hAnsi="Arial" w:cs="Arial"/>
          <w:b/>
          <w:lang w:val="en-NZ"/>
        </w:rPr>
        <w:t>Services</w:t>
      </w:r>
    </w:p>
    <w:p w14:paraId="219C4B6F" w14:textId="77777777" w:rsidR="00C3701D" w:rsidRDefault="004267D8" w:rsidP="003E3828">
      <w:pPr>
        <w:tabs>
          <w:tab w:val="left" w:pos="567"/>
        </w:tabs>
        <w:spacing w:before="120" w:after="0" w:line="240" w:lineRule="auto"/>
        <w:rPr>
          <w:rFonts w:cs="Arial"/>
        </w:rPr>
      </w:pPr>
      <w:r>
        <w:rPr>
          <w:rFonts w:cs="Arial"/>
        </w:rPr>
        <w:t xml:space="preserve">Stop </w:t>
      </w:r>
      <w:r w:rsidR="00C3701D">
        <w:rPr>
          <w:rFonts w:cs="Arial"/>
        </w:rPr>
        <w:t>Smoking services aim to reduce:</w:t>
      </w:r>
    </w:p>
    <w:p w14:paraId="75B68D1E" w14:textId="77777777" w:rsidR="003E3828" w:rsidRDefault="003E3828" w:rsidP="003E3828">
      <w:pPr>
        <w:tabs>
          <w:tab w:val="left" w:pos="567"/>
        </w:tabs>
        <w:spacing w:after="0" w:line="240" w:lineRule="auto"/>
        <w:rPr>
          <w:rFonts w:cs="Arial"/>
        </w:rPr>
      </w:pPr>
    </w:p>
    <w:p w14:paraId="0406AFC7" w14:textId="77777777" w:rsidR="00C3701D" w:rsidRDefault="00C3701D" w:rsidP="003E3828">
      <w:pPr>
        <w:numPr>
          <w:ilvl w:val="0"/>
          <w:numId w:val="4"/>
        </w:numPr>
        <w:tabs>
          <w:tab w:val="num" w:pos="540"/>
          <w:tab w:val="left" w:pos="567"/>
        </w:tabs>
        <w:spacing w:after="0" w:line="240" w:lineRule="auto"/>
        <w:ind w:left="540" w:hanging="540"/>
        <w:rPr>
          <w:rFonts w:cs="Arial"/>
        </w:rPr>
      </w:pPr>
      <w:r>
        <w:rPr>
          <w:rFonts w:cs="Arial"/>
        </w:rPr>
        <w:t>tobacco related morbidity and mortality</w:t>
      </w:r>
    </w:p>
    <w:p w14:paraId="0F921F97" w14:textId="77777777" w:rsidR="00C3701D" w:rsidRDefault="00C3701D" w:rsidP="003E3828">
      <w:pPr>
        <w:numPr>
          <w:ilvl w:val="0"/>
          <w:numId w:val="4"/>
        </w:numPr>
        <w:tabs>
          <w:tab w:val="num" w:pos="540"/>
          <w:tab w:val="left" w:pos="567"/>
        </w:tabs>
        <w:spacing w:after="0" w:line="240" w:lineRule="auto"/>
        <w:ind w:left="540" w:hanging="540"/>
        <w:rPr>
          <w:rFonts w:cs="Arial"/>
        </w:rPr>
      </w:pPr>
      <w:r>
        <w:rPr>
          <w:rFonts w:cs="Arial"/>
        </w:rPr>
        <w:t>serious impacts of smoking during pregnancy</w:t>
      </w:r>
    </w:p>
    <w:p w14:paraId="73D2A377" w14:textId="77777777" w:rsidR="005D7EF2" w:rsidRDefault="00C3701D" w:rsidP="003E3828">
      <w:pPr>
        <w:numPr>
          <w:ilvl w:val="0"/>
          <w:numId w:val="4"/>
        </w:numPr>
        <w:tabs>
          <w:tab w:val="num" w:pos="540"/>
          <w:tab w:val="left" w:pos="567"/>
        </w:tabs>
        <w:spacing w:after="0" w:line="240" w:lineRule="auto"/>
        <w:ind w:left="540" w:hanging="540"/>
        <w:rPr>
          <w:rFonts w:cs="Arial"/>
        </w:rPr>
      </w:pPr>
      <w:r>
        <w:rPr>
          <w:rFonts w:cs="Arial"/>
        </w:rPr>
        <w:t xml:space="preserve">smoking prevalence and </w:t>
      </w:r>
      <w:r w:rsidR="00FD2E46">
        <w:rPr>
          <w:rFonts w:cs="Arial"/>
        </w:rPr>
        <w:t xml:space="preserve">use </w:t>
      </w:r>
      <w:r>
        <w:rPr>
          <w:rFonts w:cs="Arial"/>
        </w:rPr>
        <w:t xml:space="preserve">of tobacco </w:t>
      </w:r>
      <w:r w:rsidR="00FD2E46">
        <w:rPr>
          <w:rFonts w:cs="Arial"/>
        </w:rPr>
        <w:t xml:space="preserve">by </w:t>
      </w:r>
      <w:r>
        <w:rPr>
          <w:rFonts w:cs="Arial"/>
        </w:rPr>
        <w:t>Māori and Pacific people to make a major contribution to reducing inequalities in life expectancy and quality of life</w:t>
      </w:r>
    </w:p>
    <w:p w14:paraId="72D61499" w14:textId="77777777" w:rsidR="00C3701D" w:rsidRDefault="005D7EF2" w:rsidP="003E3828">
      <w:pPr>
        <w:numPr>
          <w:ilvl w:val="0"/>
          <w:numId w:val="4"/>
        </w:numPr>
        <w:tabs>
          <w:tab w:val="num" w:pos="540"/>
          <w:tab w:val="left" w:pos="567"/>
        </w:tabs>
        <w:spacing w:after="120" w:line="240" w:lineRule="auto"/>
        <w:ind w:left="540" w:hanging="540"/>
        <w:rPr>
          <w:rFonts w:cs="Arial"/>
        </w:rPr>
      </w:pPr>
      <w:proofErr w:type="gramStart"/>
      <w:r>
        <w:rPr>
          <w:rFonts w:cs="Arial"/>
        </w:rPr>
        <w:t>tobacco</w:t>
      </w:r>
      <w:proofErr w:type="gramEnd"/>
      <w:r>
        <w:rPr>
          <w:rFonts w:cs="Arial"/>
        </w:rPr>
        <w:t xml:space="preserve"> use amongst people with experience of mental health problems</w:t>
      </w:r>
      <w:r w:rsidR="00220ED9">
        <w:rPr>
          <w:rFonts w:cs="Arial"/>
        </w:rPr>
        <w:t>.</w:t>
      </w:r>
    </w:p>
    <w:p w14:paraId="19E121E7" w14:textId="77777777" w:rsidR="00220ED9" w:rsidRDefault="0083781C" w:rsidP="003E3828">
      <w:pPr>
        <w:tabs>
          <w:tab w:val="left" w:pos="709"/>
        </w:tabs>
        <w:spacing w:before="120" w:after="60" w:line="240" w:lineRule="auto"/>
        <w:rPr>
          <w:rFonts w:eastAsia="Times New Roman" w:cs="Arial"/>
          <w:b/>
          <w:szCs w:val="24"/>
        </w:rPr>
      </w:pPr>
      <w:r>
        <w:rPr>
          <w:rFonts w:eastAsia="Times New Roman" w:cs="Arial"/>
          <w:b/>
          <w:szCs w:val="24"/>
        </w:rPr>
        <w:t>2.4</w:t>
      </w:r>
      <w:r w:rsidR="00FD2E46">
        <w:rPr>
          <w:rFonts w:eastAsia="Times New Roman" w:cs="Arial"/>
          <w:b/>
          <w:szCs w:val="24"/>
        </w:rPr>
        <w:tab/>
      </w:r>
      <w:r w:rsidR="00220ED9">
        <w:rPr>
          <w:rFonts w:eastAsia="Times New Roman" w:cs="Arial"/>
          <w:b/>
          <w:szCs w:val="24"/>
        </w:rPr>
        <w:t>Family Violence Prevention Services</w:t>
      </w:r>
    </w:p>
    <w:p w14:paraId="6CDE592E" w14:textId="77777777" w:rsidR="00220ED9" w:rsidRPr="00220ED9" w:rsidRDefault="00220ED9" w:rsidP="003E3828">
      <w:pPr>
        <w:spacing w:before="120" w:after="0" w:line="240" w:lineRule="auto"/>
        <w:rPr>
          <w:rFonts w:eastAsiaTheme="minorHAnsi" w:cs="Arial"/>
          <w:szCs w:val="24"/>
        </w:rPr>
      </w:pPr>
      <w:r w:rsidRPr="00220ED9">
        <w:rPr>
          <w:rFonts w:eastAsiaTheme="minorHAnsi" w:cs="Arial"/>
          <w:szCs w:val="24"/>
        </w:rPr>
        <w:t xml:space="preserve">The objective of family violence prevention services is to reduce and prevent the negative health impacts of family violence through </w:t>
      </w:r>
      <w:r w:rsidR="00183FC2">
        <w:rPr>
          <w:rFonts w:eastAsiaTheme="minorHAnsi" w:cs="Arial"/>
          <w:szCs w:val="24"/>
        </w:rPr>
        <w:t>health promotion</w:t>
      </w:r>
      <w:r w:rsidRPr="00220ED9">
        <w:rPr>
          <w:rFonts w:eastAsiaTheme="minorHAnsi" w:cs="Arial"/>
          <w:szCs w:val="24"/>
        </w:rPr>
        <w:t xml:space="preserve">, early identification, intervention and referral as required, to </w:t>
      </w:r>
      <w:r w:rsidR="00F0648F">
        <w:rPr>
          <w:rFonts w:eastAsiaTheme="minorHAnsi" w:cs="Arial"/>
          <w:szCs w:val="24"/>
        </w:rPr>
        <w:t xml:space="preserve">the </w:t>
      </w:r>
      <w:r w:rsidRPr="00220ED9">
        <w:rPr>
          <w:rFonts w:eastAsiaTheme="minorHAnsi" w:cs="Arial"/>
          <w:szCs w:val="24"/>
        </w:rPr>
        <w:t>appropriate social service agency or health service support.</w:t>
      </w:r>
    </w:p>
    <w:p w14:paraId="291037BE" w14:textId="77777777" w:rsidR="00C3701D" w:rsidRPr="00D168FF" w:rsidRDefault="00D168FF" w:rsidP="003E3828">
      <w:pPr>
        <w:tabs>
          <w:tab w:val="left" w:pos="709"/>
        </w:tabs>
        <w:spacing w:before="120" w:after="60" w:line="240" w:lineRule="auto"/>
        <w:rPr>
          <w:rFonts w:eastAsia="Times New Roman" w:cs="Arial"/>
          <w:b/>
          <w:szCs w:val="24"/>
        </w:rPr>
      </w:pPr>
      <w:r>
        <w:rPr>
          <w:rFonts w:eastAsia="Times New Roman" w:cs="Arial"/>
          <w:b/>
          <w:szCs w:val="24"/>
        </w:rPr>
        <w:t>2.5</w:t>
      </w:r>
      <w:r w:rsidR="00432639">
        <w:rPr>
          <w:rFonts w:eastAsia="Times New Roman" w:cs="Arial"/>
          <w:b/>
          <w:szCs w:val="24"/>
        </w:rPr>
        <w:tab/>
      </w:r>
      <w:r w:rsidR="00C3701D" w:rsidRPr="00D168FF">
        <w:rPr>
          <w:rFonts w:eastAsia="Times New Roman" w:cs="Arial"/>
          <w:b/>
          <w:szCs w:val="24"/>
        </w:rPr>
        <w:t>Māori Health</w:t>
      </w:r>
      <w:r w:rsidR="00FD2E46" w:rsidRPr="00D168FF">
        <w:rPr>
          <w:rFonts w:eastAsia="Times New Roman" w:cs="Arial"/>
          <w:b/>
          <w:szCs w:val="24"/>
        </w:rPr>
        <w:t xml:space="preserve"> Objectives</w:t>
      </w:r>
    </w:p>
    <w:p w14:paraId="6E373B94" w14:textId="77777777" w:rsidR="008709BB" w:rsidRDefault="008709BB" w:rsidP="003E3828">
      <w:pPr>
        <w:spacing w:before="120" w:after="120" w:line="240" w:lineRule="auto"/>
      </w:pPr>
      <w:r>
        <w:t xml:space="preserve">Preventive intervention services need to be delivered in a way that improves Māori health outcomes and achieves </w:t>
      </w:r>
      <w:r w:rsidR="00FD2E46">
        <w:t xml:space="preserve">health </w:t>
      </w:r>
      <w:r>
        <w:t>equity for Māori. Key to achieving this is an understanding of, and the ability to apply</w:t>
      </w:r>
      <w:r w:rsidR="00D3588D">
        <w:t>,</w:t>
      </w:r>
      <w:r>
        <w:t xml:space="preserve"> </w:t>
      </w:r>
      <w:proofErr w:type="spellStart"/>
      <w:r w:rsidR="00FD2E46">
        <w:t>Te</w:t>
      </w:r>
      <w:proofErr w:type="spellEnd"/>
      <w:r w:rsidR="00FD2E46">
        <w:t xml:space="preserve"> </w:t>
      </w:r>
      <w:proofErr w:type="spellStart"/>
      <w:r w:rsidR="00FD2E46">
        <w:t>Tiriti</w:t>
      </w:r>
      <w:proofErr w:type="spellEnd"/>
      <w:r w:rsidR="00FD2E46">
        <w:t xml:space="preserve"> o Waitangi</w:t>
      </w:r>
      <w:r>
        <w:t xml:space="preserve"> and </w:t>
      </w:r>
      <w:r w:rsidRPr="008709BB">
        <w:rPr>
          <w:i/>
        </w:rPr>
        <w:t xml:space="preserve">He Korowai </w:t>
      </w:r>
      <w:proofErr w:type="spellStart"/>
      <w:r w:rsidRPr="008709BB">
        <w:rPr>
          <w:i/>
        </w:rPr>
        <w:t>Oranga</w:t>
      </w:r>
      <w:proofErr w:type="spellEnd"/>
      <w:r w:rsidRPr="008709BB">
        <w:rPr>
          <w:i/>
        </w:rPr>
        <w:t>: M</w:t>
      </w:r>
      <w:r w:rsidR="00261489">
        <w:rPr>
          <w:i/>
        </w:rPr>
        <w:t>ā</w:t>
      </w:r>
      <w:r w:rsidRPr="008709BB">
        <w:rPr>
          <w:i/>
        </w:rPr>
        <w:t xml:space="preserve">ori Health Strategy </w:t>
      </w:r>
      <w:r>
        <w:t>(</w:t>
      </w:r>
      <w:r w:rsidR="00261489">
        <w:t>Ministry of Health</w:t>
      </w:r>
      <w:r>
        <w:t>, 2014).</w:t>
      </w:r>
    </w:p>
    <w:p w14:paraId="57F58883" w14:textId="77777777" w:rsidR="00C3701D" w:rsidRDefault="00C3701D" w:rsidP="003E3828">
      <w:pPr>
        <w:spacing w:before="120" w:after="120" w:line="240" w:lineRule="auto"/>
        <w:rPr>
          <w:rFonts w:cs="Arial"/>
        </w:rPr>
      </w:pPr>
      <w:r>
        <w:t>Refer to the tier one Public Health Services service specification</w:t>
      </w:r>
      <w:r w:rsidR="008709BB">
        <w:t xml:space="preserve"> for </w:t>
      </w:r>
      <w:r w:rsidR="00D3588D">
        <w:t xml:space="preserve">further </w:t>
      </w:r>
      <w:r w:rsidR="008709BB">
        <w:t xml:space="preserve">information </w:t>
      </w:r>
      <w:r w:rsidR="00D3588D">
        <w:t xml:space="preserve">on </w:t>
      </w:r>
      <w:r w:rsidR="008709BB">
        <w:t>improving Māori health.</w:t>
      </w:r>
    </w:p>
    <w:p w14:paraId="0182EB3A" w14:textId="77777777" w:rsidR="00C3701D" w:rsidRDefault="00C3701D" w:rsidP="003E3828">
      <w:pPr>
        <w:tabs>
          <w:tab w:val="left" w:pos="540"/>
        </w:tabs>
        <w:autoSpaceDE w:val="0"/>
        <w:autoSpaceDN w:val="0"/>
        <w:adjustRightInd w:val="0"/>
        <w:spacing w:before="240" w:after="120" w:line="240" w:lineRule="auto"/>
        <w:rPr>
          <w:rFonts w:eastAsia="Times New Roman" w:cs="Arial"/>
          <w:b/>
          <w:szCs w:val="24"/>
        </w:rPr>
      </w:pPr>
      <w:r>
        <w:rPr>
          <w:rFonts w:eastAsia="Times New Roman" w:cs="Arial"/>
          <w:b/>
          <w:szCs w:val="24"/>
        </w:rPr>
        <w:t>3.</w:t>
      </w:r>
      <w:r>
        <w:rPr>
          <w:rFonts w:eastAsia="Times New Roman" w:cs="Arial"/>
          <w:b/>
          <w:szCs w:val="24"/>
        </w:rPr>
        <w:tab/>
        <w:t>Service Users</w:t>
      </w:r>
    </w:p>
    <w:p w14:paraId="1686B730" w14:textId="77777777" w:rsidR="00C3701D" w:rsidRDefault="00C3701D" w:rsidP="003E3828">
      <w:pPr>
        <w:spacing w:after="120" w:line="240" w:lineRule="auto"/>
        <w:ind w:left="30"/>
        <w:rPr>
          <w:rFonts w:cs="Arial"/>
        </w:rPr>
      </w:pPr>
      <w:r>
        <w:rPr>
          <w:rFonts w:cs="Arial"/>
        </w:rPr>
        <w:t>Re</w:t>
      </w:r>
      <w:r w:rsidR="00DF4436">
        <w:rPr>
          <w:rFonts w:cs="Arial"/>
        </w:rPr>
        <w:t>fer to the relevant tier three Preventive I</w:t>
      </w:r>
      <w:r>
        <w:rPr>
          <w:rFonts w:cs="Arial"/>
        </w:rPr>
        <w:t>ntervention</w:t>
      </w:r>
      <w:r w:rsidR="00DF4436">
        <w:rPr>
          <w:rFonts w:cs="Arial"/>
        </w:rPr>
        <w:t>s</w:t>
      </w:r>
      <w:r w:rsidR="00793D1B">
        <w:rPr>
          <w:rFonts w:cs="Arial"/>
        </w:rPr>
        <w:t xml:space="preserve"> service specification </w:t>
      </w:r>
      <w:r w:rsidR="00D11A3A">
        <w:rPr>
          <w:rFonts w:cs="Arial"/>
        </w:rPr>
        <w:t>or National Service Schedule (</w:t>
      </w:r>
      <w:proofErr w:type="spellStart"/>
      <w:r w:rsidR="00D11A3A">
        <w:rPr>
          <w:rFonts w:cs="Arial"/>
        </w:rPr>
        <w:t>eg</w:t>
      </w:r>
      <w:proofErr w:type="spellEnd"/>
      <w:r w:rsidR="00D11A3A">
        <w:rPr>
          <w:rFonts w:cs="Arial"/>
        </w:rPr>
        <w:t>, VIP)</w:t>
      </w:r>
      <w:r w:rsidR="00AA3BBE">
        <w:rPr>
          <w:rFonts w:cs="Arial"/>
        </w:rPr>
        <w:t xml:space="preserve"> or individual provider agreement.</w:t>
      </w:r>
    </w:p>
    <w:p w14:paraId="492E58DF" w14:textId="77777777" w:rsidR="00C3701D" w:rsidRDefault="00C3701D" w:rsidP="003E3828">
      <w:pPr>
        <w:keepNext/>
        <w:spacing w:before="240" w:after="120" w:line="240" w:lineRule="auto"/>
        <w:ind w:left="539" w:hanging="539"/>
        <w:outlineLvl w:val="4"/>
        <w:rPr>
          <w:rFonts w:eastAsia="Times New Roman" w:cs="Arial"/>
          <w:b/>
          <w:szCs w:val="24"/>
        </w:rPr>
      </w:pPr>
      <w:r>
        <w:rPr>
          <w:rFonts w:eastAsia="Times New Roman" w:cs="Arial"/>
          <w:b/>
          <w:szCs w:val="24"/>
        </w:rPr>
        <w:t>4.</w:t>
      </w:r>
      <w:r>
        <w:rPr>
          <w:rFonts w:eastAsia="Times New Roman" w:cs="Arial"/>
          <w:b/>
          <w:szCs w:val="24"/>
        </w:rPr>
        <w:tab/>
        <w:t>Access</w:t>
      </w:r>
    </w:p>
    <w:p w14:paraId="12143D57" w14:textId="77777777" w:rsidR="00C3701D" w:rsidRDefault="00C3701D" w:rsidP="003E3828">
      <w:pPr>
        <w:spacing w:after="120" w:line="240" w:lineRule="auto"/>
        <w:ind w:left="30"/>
        <w:rPr>
          <w:rFonts w:cs="Arial"/>
        </w:rPr>
      </w:pPr>
      <w:r>
        <w:rPr>
          <w:rFonts w:eastAsia="Times New Roman" w:cs="Arial"/>
          <w:szCs w:val="24"/>
        </w:rPr>
        <w:t xml:space="preserve">Preventive </w:t>
      </w:r>
      <w:r w:rsidR="00FD2E46">
        <w:rPr>
          <w:rFonts w:eastAsia="Times New Roman" w:cs="Arial"/>
          <w:szCs w:val="24"/>
        </w:rPr>
        <w:t xml:space="preserve">intervention services </w:t>
      </w:r>
      <w:r>
        <w:rPr>
          <w:rFonts w:eastAsia="Times New Roman" w:cs="Arial"/>
          <w:szCs w:val="24"/>
        </w:rPr>
        <w:t xml:space="preserve">will be provided throughout New Zealand to the Service </w:t>
      </w:r>
      <w:r w:rsidR="00FD2E46">
        <w:rPr>
          <w:rFonts w:eastAsia="Times New Roman" w:cs="Arial"/>
          <w:szCs w:val="24"/>
        </w:rPr>
        <w:t xml:space="preserve">Users </w:t>
      </w:r>
      <w:r>
        <w:rPr>
          <w:rFonts w:eastAsia="Times New Roman" w:cs="Arial"/>
          <w:szCs w:val="24"/>
        </w:rPr>
        <w:t xml:space="preserve">as described </w:t>
      </w:r>
      <w:r w:rsidR="00DF4436">
        <w:rPr>
          <w:rFonts w:cs="Arial"/>
        </w:rPr>
        <w:t>in the relevant tier three Preventive I</w:t>
      </w:r>
      <w:r>
        <w:rPr>
          <w:rFonts w:cs="Arial"/>
        </w:rPr>
        <w:t>ntervention</w:t>
      </w:r>
      <w:r w:rsidR="00DF4436">
        <w:rPr>
          <w:rFonts w:cs="Arial"/>
        </w:rPr>
        <w:t>s</w:t>
      </w:r>
      <w:r w:rsidR="00793D1B">
        <w:rPr>
          <w:rFonts w:cs="Arial"/>
        </w:rPr>
        <w:t xml:space="preserve"> service specification or National Service Schedule</w:t>
      </w:r>
      <w:r w:rsidR="00AA3BBE">
        <w:rPr>
          <w:rFonts w:cs="Arial"/>
        </w:rPr>
        <w:t xml:space="preserve"> or individual provider agreement</w:t>
      </w:r>
      <w:r w:rsidR="00793D1B">
        <w:rPr>
          <w:rFonts w:cs="Arial"/>
        </w:rPr>
        <w:t xml:space="preserve">. </w:t>
      </w:r>
    </w:p>
    <w:p w14:paraId="2D81F7FE" w14:textId="77777777" w:rsidR="00C3701D" w:rsidRDefault="00FD2E46" w:rsidP="003E3828">
      <w:pPr>
        <w:spacing w:before="240" w:after="0" w:line="240" w:lineRule="auto"/>
        <w:ind w:left="567" w:hanging="567"/>
        <w:rPr>
          <w:rFonts w:eastAsia="Times New Roman" w:cs="Arial"/>
          <w:b/>
          <w:szCs w:val="24"/>
        </w:rPr>
      </w:pPr>
      <w:r>
        <w:rPr>
          <w:rFonts w:eastAsia="Times New Roman" w:cs="Arial"/>
          <w:b/>
          <w:szCs w:val="24"/>
        </w:rPr>
        <w:t>5</w:t>
      </w:r>
      <w:r w:rsidR="002E2375">
        <w:rPr>
          <w:rFonts w:eastAsia="Times New Roman" w:cs="Arial"/>
          <w:b/>
          <w:szCs w:val="24"/>
        </w:rPr>
        <w:t>.</w:t>
      </w:r>
      <w:r>
        <w:rPr>
          <w:rFonts w:eastAsia="Times New Roman" w:cs="Arial"/>
          <w:b/>
          <w:szCs w:val="24"/>
        </w:rPr>
        <w:tab/>
      </w:r>
      <w:r w:rsidR="00C3701D">
        <w:rPr>
          <w:rFonts w:eastAsia="Times New Roman" w:cs="Arial"/>
          <w:b/>
          <w:szCs w:val="24"/>
        </w:rPr>
        <w:t>Exclusions</w:t>
      </w:r>
    </w:p>
    <w:p w14:paraId="6E138664" w14:textId="77777777" w:rsidR="00C3701D" w:rsidRDefault="00C3701D" w:rsidP="003E3828">
      <w:pPr>
        <w:spacing w:before="120" w:after="120" w:line="240" w:lineRule="auto"/>
        <w:rPr>
          <w:rFonts w:eastAsia="Times New Roman" w:cs="Arial"/>
          <w:szCs w:val="24"/>
        </w:rPr>
      </w:pPr>
      <w:r>
        <w:rPr>
          <w:rFonts w:eastAsia="Times New Roman" w:cs="Arial"/>
          <w:szCs w:val="24"/>
        </w:rPr>
        <w:t>Refer to the tier one Public Health Services service specification and related detailed tier three service specifications</w:t>
      </w:r>
      <w:r w:rsidR="00220ED9">
        <w:rPr>
          <w:rFonts w:eastAsia="Times New Roman" w:cs="Arial"/>
          <w:szCs w:val="24"/>
        </w:rPr>
        <w:t>.</w:t>
      </w:r>
      <w:r w:rsidR="00AA3BBE">
        <w:rPr>
          <w:rFonts w:eastAsia="Times New Roman" w:cs="Arial"/>
          <w:szCs w:val="24"/>
        </w:rPr>
        <w:t xml:space="preserve">  Exclusions for NSU </w:t>
      </w:r>
      <w:r w:rsidR="00AE2A17">
        <w:rPr>
          <w:rFonts w:eastAsia="Times New Roman" w:cs="Arial"/>
          <w:szCs w:val="24"/>
        </w:rPr>
        <w:t>services</w:t>
      </w:r>
      <w:r w:rsidR="00AA3BBE">
        <w:rPr>
          <w:rFonts w:eastAsia="Times New Roman" w:cs="Arial"/>
          <w:szCs w:val="24"/>
        </w:rPr>
        <w:t xml:space="preserve"> are detailed in the individual provider agreements.</w:t>
      </w:r>
    </w:p>
    <w:p w14:paraId="7E17903A" w14:textId="77777777" w:rsidR="00C3701D" w:rsidRPr="00FD2E46" w:rsidRDefault="00FD2E46" w:rsidP="003E3828">
      <w:pPr>
        <w:keepNext/>
        <w:tabs>
          <w:tab w:val="left" w:pos="540"/>
        </w:tabs>
        <w:spacing w:before="240" w:after="120" w:line="240" w:lineRule="auto"/>
        <w:outlineLvl w:val="1"/>
        <w:rPr>
          <w:rFonts w:eastAsia="Times New Roman" w:cs="Arial"/>
          <w:b/>
          <w:szCs w:val="24"/>
        </w:rPr>
      </w:pPr>
      <w:r>
        <w:rPr>
          <w:rFonts w:eastAsia="Times New Roman" w:cs="Arial"/>
          <w:b/>
          <w:szCs w:val="24"/>
        </w:rPr>
        <w:t>6</w:t>
      </w:r>
      <w:r w:rsidR="00C3701D" w:rsidRPr="00FD2E46">
        <w:rPr>
          <w:rFonts w:eastAsia="Times New Roman" w:cs="Arial"/>
          <w:b/>
          <w:szCs w:val="24"/>
        </w:rPr>
        <w:t>.</w:t>
      </w:r>
      <w:r w:rsidR="00C3701D" w:rsidRPr="00FD2E46">
        <w:rPr>
          <w:rFonts w:eastAsia="Times New Roman" w:cs="Arial"/>
          <w:b/>
          <w:szCs w:val="24"/>
        </w:rPr>
        <w:tab/>
        <w:t>Service Components</w:t>
      </w:r>
    </w:p>
    <w:p w14:paraId="69050278" w14:textId="77777777" w:rsidR="00A86413" w:rsidRDefault="00A86413" w:rsidP="003E3828">
      <w:pPr>
        <w:spacing w:after="0" w:line="240" w:lineRule="auto"/>
      </w:pPr>
      <w:r>
        <w:t xml:space="preserve">Service providers will be delivering services as defined in the relevant tier </w:t>
      </w:r>
      <w:r w:rsidR="00432639">
        <w:t>three</w:t>
      </w:r>
      <w:r>
        <w:t xml:space="preserve"> Preventive </w:t>
      </w:r>
    </w:p>
    <w:p w14:paraId="003CAA1D" w14:textId="77777777" w:rsidR="00A86413" w:rsidRDefault="00A86413" w:rsidP="003E3828">
      <w:pPr>
        <w:spacing w:after="0" w:line="240" w:lineRule="auto"/>
      </w:pPr>
      <w:r>
        <w:t>Interventions service specification</w:t>
      </w:r>
      <w:r w:rsidR="000305A9">
        <w:t>,</w:t>
      </w:r>
      <w:r>
        <w:t xml:space="preserve"> or National Service Schedule</w:t>
      </w:r>
      <w:r w:rsidR="000305A9">
        <w:t>,</w:t>
      </w:r>
      <w:r w:rsidR="00AA3BBE">
        <w:t xml:space="preserve"> or </w:t>
      </w:r>
      <w:r w:rsidR="000305A9">
        <w:t xml:space="preserve">an </w:t>
      </w:r>
      <w:r w:rsidR="00AA3BBE">
        <w:t>individual provider agreement</w:t>
      </w:r>
      <w:r>
        <w:t xml:space="preserve">. The activities listed </w:t>
      </w:r>
      <w:r w:rsidR="00432639">
        <w:t>b</w:t>
      </w:r>
      <w:r>
        <w:t>elow</w:t>
      </w:r>
      <w:r w:rsidR="00432639">
        <w:t>,</w:t>
      </w:r>
      <w:r>
        <w:t xml:space="preserve"> and any additional activities, short-term outcomes, indicators and performance measures will be negotiated with the funder.</w:t>
      </w:r>
    </w:p>
    <w:p w14:paraId="3256B8F5" w14:textId="60BE8325" w:rsidR="00781615" w:rsidRDefault="00A86413" w:rsidP="003E3828">
      <w:pPr>
        <w:spacing w:before="120" w:after="120" w:line="240" w:lineRule="auto"/>
      </w:pPr>
      <w:r>
        <w:t xml:space="preserve">Providers need to demonstrate how activities will contribute to improving Māori health and </w:t>
      </w:r>
      <w:r w:rsidR="0015281C">
        <w:t xml:space="preserve">fostering health equity. </w:t>
      </w:r>
      <w:r>
        <w:t>This will need to be clearly demonstrated in planning and reporting documents.</w:t>
      </w:r>
    </w:p>
    <w:p w14:paraId="07BA0C2B" w14:textId="77777777" w:rsidR="00781615" w:rsidRDefault="00781615" w:rsidP="003E3828">
      <w:pPr>
        <w:spacing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8161"/>
      </w:tblGrid>
      <w:tr w:rsidR="00C3701D" w:rsidRPr="00FD2E46" w14:paraId="76AE77D9" w14:textId="77777777" w:rsidTr="00127197">
        <w:trPr>
          <w:tblHeader/>
        </w:trPr>
        <w:tc>
          <w:tcPr>
            <w:tcW w:w="118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4025F1B" w14:textId="77777777" w:rsidR="00C3701D" w:rsidRPr="00FD2E46" w:rsidRDefault="00C3701D" w:rsidP="003E3828">
            <w:pPr>
              <w:spacing w:before="120" w:after="120" w:line="240" w:lineRule="auto"/>
              <w:jc w:val="center"/>
              <w:rPr>
                <w:rFonts w:eastAsia="Times New Roman" w:cs="Arial"/>
                <w:sz w:val="20"/>
                <w:szCs w:val="20"/>
              </w:rPr>
            </w:pPr>
            <w:r w:rsidRPr="00FD2E46">
              <w:rPr>
                <w:rFonts w:eastAsia="Times New Roman" w:cs="Arial"/>
                <w:b/>
                <w:sz w:val="20"/>
                <w:szCs w:val="20"/>
              </w:rPr>
              <w:lastRenderedPageBreak/>
              <w:t>Components of Service</w:t>
            </w:r>
          </w:p>
        </w:tc>
        <w:tc>
          <w:tcPr>
            <w:tcW w:w="382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A075757" w14:textId="77777777" w:rsidR="00C3701D" w:rsidRPr="00FD2E46" w:rsidRDefault="00C3701D" w:rsidP="003E3828">
            <w:pPr>
              <w:keepNext/>
              <w:spacing w:before="120" w:after="120" w:line="240" w:lineRule="auto"/>
              <w:jc w:val="center"/>
              <w:outlineLvl w:val="4"/>
              <w:rPr>
                <w:rFonts w:eastAsia="Times New Roman" w:cs="Arial"/>
                <w:b/>
                <w:sz w:val="20"/>
                <w:szCs w:val="20"/>
              </w:rPr>
            </w:pPr>
            <w:r w:rsidRPr="00FD2E46">
              <w:rPr>
                <w:rFonts w:eastAsia="Times New Roman" w:cs="Arial"/>
                <w:b/>
                <w:sz w:val="20"/>
                <w:szCs w:val="20"/>
              </w:rPr>
              <w:t>Service Descriptions/Activities</w:t>
            </w:r>
          </w:p>
        </w:tc>
      </w:tr>
      <w:tr w:rsidR="00C3701D" w:rsidRPr="00FD2E46" w14:paraId="0CF97343" w14:textId="77777777" w:rsidTr="00127197">
        <w:tc>
          <w:tcPr>
            <w:tcW w:w="1180" w:type="pct"/>
            <w:tcBorders>
              <w:top w:val="single" w:sz="4" w:space="0" w:color="auto"/>
              <w:left w:val="single" w:sz="4" w:space="0" w:color="auto"/>
              <w:bottom w:val="single" w:sz="4" w:space="0" w:color="auto"/>
              <w:right w:val="single" w:sz="4" w:space="0" w:color="auto"/>
            </w:tcBorders>
            <w:hideMark/>
          </w:tcPr>
          <w:p w14:paraId="1E38B878" w14:textId="77777777" w:rsidR="00C3701D" w:rsidRPr="00FD2E46" w:rsidRDefault="00C3701D" w:rsidP="003E3828">
            <w:pPr>
              <w:spacing w:before="20" w:after="0" w:line="240" w:lineRule="auto"/>
              <w:ind w:left="360" w:hanging="360"/>
              <w:rPr>
                <w:rFonts w:eastAsia="Times New Roman" w:cs="Arial"/>
                <w:b/>
                <w:bCs/>
                <w:sz w:val="20"/>
                <w:szCs w:val="20"/>
              </w:rPr>
            </w:pPr>
            <w:r w:rsidRPr="00FD2E46">
              <w:rPr>
                <w:rFonts w:eastAsia="Times New Roman" w:cs="Arial"/>
                <w:b/>
                <w:bCs/>
                <w:sz w:val="20"/>
                <w:szCs w:val="20"/>
              </w:rPr>
              <w:t>1.</w:t>
            </w:r>
            <w:r w:rsidRPr="00FD2E46">
              <w:rPr>
                <w:rFonts w:eastAsia="Times New Roman" w:cs="Arial"/>
                <w:b/>
                <w:bCs/>
                <w:sz w:val="20"/>
                <w:szCs w:val="20"/>
              </w:rPr>
              <w:tab/>
              <w:t>Immunisation</w:t>
            </w:r>
          </w:p>
        </w:tc>
        <w:tc>
          <w:tcPr>
            <w:tcW w:w="3820" w:type="pct"/>
            <w:tcBorders>
              <w:top w:val="single" w:sz="4" w:space="0" w:color="auto"/>
              <w:left w:val="single" w:sz="4" w:space="0" w:color="auto"/>
              <w:bottom w:val="single" w:sz="4" w:space="0" w:color="auto"/>
              <w:right w:val="single" w:sz="4" w:space="0" w:color="auto"/>
            </w:tcBorders>
            <w:hideMark/>
          </w:tcPr>
          <w:p w14:paraId="01099828" w14:textId="77777777" w:rsidR="00C3701D" w:rsidRPr="00FD2E46" w:rsidRDefault="00C3701D" w:rsidP="003E3828">
            <w:pPr>
              <w:spacing w:before="20" w:after="0" w:line="240" w:lineRule="auto"/>
              <w:rPr>
                <w:rFonts w:cs="Arial"/>
                <w:sz w:val="20"/>
                <w:szCs w:val="20"/>
              </w:rPr>
            </w:pPr>
            <w:r w:rsidRPr="00FD2E46">
              <w:rPr>
                <w:rFonts w:cs="Arial"/>
                <w:sz w:val="20"/>
                <w:szCs w:val="20"/>
              </w:rPr>
              <w:t xml:space="preserve">Public health immunisation services include : </w:t>
            </w:r>
          </w:p>
          <w:p w14:paraId="681EF1B9" w14:textId="77777777" w:rsidR="00BB73F6" w:rsidRPr="00FD2E46" w:rsidRDefault="00BB73F6" w:rsidP="003E3828">
            <w:pPr>
              <w:pStyle w:val="ListParagraph"/>
              <w:numPr>
                <w:ilvl w:val="0"/>
                <w:numId w:val="5"/>
              </w:numPr>
              <w:spacing w:before="40" w:after="0" w:line="240" w:lineRule="auto"/>
              <w:rPr>
                <w:rFonts w:cs="Arial"/>
                <w:sz w:val="20"/>
                <w:szCs w:val="20"/>
              </w:rPr>
            </w:pPr>
            <w:r w:rsidRPr="00FD2E46">
              <w:rPr>
                <w:rFonts w:cs="Arial"/>
                <w:sz w:val="20"/>
                <w:szCs w:val="20"/>
              </w:rPr>
              <w:t>providing leadership on immunisation and advocating for its benefits</w:t>
            </w:r>
          </w:p>
          <w:p w14:paraId="062C3315" w14:textId="77777777" w:rsidR="00BB73F6" w:rsidRPr="00FD2E46" w:rsidRDefault="00BB73F6" w:rsidP="003E3828">
            <w:pPr>
              <w:pStyle w:val="ListParagraph"/>
              <w:numPr>
                <w:ilvl w:val="0"/>
                <w:numId w:val="5"/>
              </w:numPr>
              <w:spacing w:after="0" w:line="240" w:lineRule="auto"/>
              <w:rPr>
                <w:rFonts w:cs="Arial"/>
                <w:sz w:val="20"/>
                <w:szCs w:val="20"/>
              </w:rPr>
            </w:pPr>
            <w:r w:rsidRPr="00FD2E46">
              <w:rPr>
                <w:rFonts w:cs="Arial"/>
                <w:sz w:val="20"/>
                <w:szCs w:val="20"/>
              </w:rPr>
              <w:t>promoting immunisation</w:t>
            </w:r>
          </w:p>
          <w:p w14:paraId="68B068A5" w14:textId="77777777" w:rsidR="00BB73F6" w:rsidRPr="00FD2E46" w:rsidRDefault="00BB73F6" w:rsidP="003E3828">
            <w:pPr>
              <w:pStyle w:val="ListParagraph"/>
              <w:numPr>
                <w:ilvl w:val="0"/>
                <w:numId w:val="5"/>
              </w:numPr>
              <w:spacing w:after="0" w:line="240" w:lineRule="auto"/>
              <w:rPr>
                <w:rFonts w:cs="Arial"/>
                <w:sz w:val="20"/>
                <w:szCs w:val="20"/>
              </w:rPr>
            </w:pPr>
            <w:r w:rsidRPr="00FD2E46">
              <w:rPr>
                <w:rFonts w:cs="Arial"/>
                <w:sz w:val="20"/>
                <w:szCs w:val="20"/>
              </w:rPr>
              <w:t xml:space="preserve">promoting the reduction of </w:t>
            </w:r>
            <w:r w:rsidR="008709BB" w:rsidRPr="00FD2E46">
              <w:rPr>
                <w:rFonts w:cs="Arial"/>
                <w:sz w:val="20"/>
                <w:szCs w:val="20"/>
              </w:rPr>
              <w:t>inequit</w:t>
            </w:r>
            <w:r w:rsidR="008526E1" w:rsidRPr="00FD2E46">
              <w:rPr>
                <w:rFonts w:cs="Arial"/>
                <w:sz w:val="20"/>
                <w:szCs w:val="20"/>
              </w:rPr>
              <w:t>able health outcomes</w:t>
            </w:r>
            <w:r w:rsidR="008709BB" w:rsidRPr="00FD2E46">
              <w:rPr>
                <w:rFonts w:cs="Arial"/>
                <w:sz w:val="20"/>
                <w:szCs w:val="20"/>
              </w:rPr>
              <w:t xml:space="preserve"> </w:t>
            </w:r>
            <w:r w:rsidRPr="00FD2E46">
              <w:rPr>
                <w:rFonts w:cs="Arial"/>
                <w:sz w:val="20"/>
                <w:szCs w:val="20"/>
              </w:rPr>
              <w:t xml:space="preserve">for Māori, Pacific and high deprivation groups </w:t>
            </w:r>
          </w:p>
          <w:p w14:paraId="52AB6EBD" w14:textId="77777777" w:rsidR="00C3701D" w:rsidRPr="00FD2E46" w:rsidRDefault="00C3701D" w:rsidP="003E3828">
            <w:pPr>
              <w:pStyle w:val="ListParagraph"/>
              <w:numPr>
                <w:ilvl w:val="0"/>
                <w:numId w:val="5"/>
              </w:numPr>
              <w:spacing w:after="0" w:line="240" w:lineRule="auto"/>
              <w:rPr>
                <w:rFonts w:cs="Arial"/>
                <w:sz w:val="20"/>
                <w:szCs w:val="20"/>
              </w:rPr>
            </w:pPr>
            <w:r w:rsidRPr="00FD2E46">
              <w:rPr>
                <w:rFonts w:cs="Arial"/>
                <w:sz w:val="20"/>
                <w:szCs w:val="20"/>
              </w:rPr>
              <w:t>increasing immunisation coverage and reducing vaccine preventable diseases</w:t>
            </w:r>
          </w:p>
          <w:p w14:paraId="15C4189D" w14:textId="77777777" w:rsidR="00C3701D" w:rsidRPr="00FD2E46" w:rsidRDefault="00C3701D" w:rsidP="003E3828">
            <w:pPr>
              <w:pStyle w:val="ListParagraph"/>
              <w:numPr>
                <w:ilvl w:val="0"/>
                <w:numId w:val="5"/>
              </w:numPr>
              <w:spacing w:after="0" w:line="240" w:lineRule="auto"/>
              <w:rPr>
                <w:rFonts w:cs="Arial"/>
                <w:sz w:val="20"/>
                <w:szCs w:val="20"/>
              </w:rPr>
            </w:pPr>
            <w:r w:rsidRPr="00FD2E46">
              <w:rPr>
                <w:rFonts w:cs="Arial"/>
                <w:sz w:val="20"/>
                <w:szCs w:val="20"/>
              </w:rPr>
              <w:t xml:space="preserve">coordinating immunisation services </w:t>
            </w:r>
            <w:r w:rsidR="00BB73F6" w:rsidRPr="00FD2E46">
              <w:rPr>
                <w:rFonts w:cs="Arial"/>
                <w:sz w:val="20"/>
                <w:szCs w:val="20"/>
              </w:rPr>
              <w:t>(</w:t>
            </w:r>
            <w:proofErr w:type="spellStart"/>
            <w:r w:rsidR="00BB73F6" w:rsidRPr="00FD2E46">
              <w:rPr>
                <w:rFonts w:cs="Arial"/>
                <w:sz w:val="20"/>
                <w:szCs w:val="20"/>
              </w:rPr>
              <w:t>eg</w:t>
            </w:r>
            <w:proofErr w:type="spellEnd"/>
            <w:r w:rsidR="003966CF" w:rsidRPr="00FD2E46">
              <w:rPr>
                <w:rFonts w:cs="Arial"/>
                <w:sz w:val="20"/>
                <w:szCs w:val="20"/>
              </w:rPr>
              <w:t>,</w:t>
            </w:r>
            <w:r w:rsidR="00BB73F6" w:rsidRPr="00FD2E46">
              <w:rPr>
                <w:rFonts w:cs="Arial"/>
                <w:sz w:val="20"/>
                <w:szCs w:val="20"/>
              </w:rPr>
              <w:t xml:space="preserve"> annual influenza and school based immunisation programmes) </w:t>
            </w:r>
            <w:r w:rsidRPr="00FD2E46">
              <w:rPr>
                <w:rFonts w:cs="Arial"/>
                <w:sz w:val="20"/>
                <w:szCs w:val="20"/>
              </w:rPr>
              <w:t xml:space="preserve">including providing guidance to the sector </w:t>
            </w:r>
          </w:p>
          <w:p w14:paraId="1EF0EB3F" w14:textId="77777777" w:rsidR="00C3701D" w:rsidRPr="00FD2E46" w:rsidRDefault="00C3701D" w:rsidP="003E3828">
            <w:pPr>
              <w:pStyle w:val="ListParagraph"/>
              <w:numPr>
                <w:ilvl w:val="0"/>
                <w:numId w:val="5"/>
              </w:numPr>
              <w:spacing w:after="0" w:line="240" w:lineRule="auto"/>
              <w:rPr>
                <w:rFonts w:cs="Arial"/>
                <w:sz w:val="20"/>
                <w:szCs w:val="20"/>
              </w:rPr>
            </w:pPr>
            <w:proofErr w:type="gramStart"/>
            <w:r w:rsidRPr="00FD2E46">
              <w:rPr>
                <w:rFonts w:cs="Arial"/>
                <w:sz w:val="20"/>
                <w:szCs w:val="20"/>
              </w:rPr>
              <w:t>ensuring</w:t>
            </w:r>
            <w:proofErr w:type="gramEnd"/>
            <w:r w:rsidRPr="00FD2E46">
              <w:rPr>
                <w:rFonts w:cs="Arial"/>
                <w:sz w:val="20"/>
                <w:szCs w:val="20"/>
              </w:rPr>
              <w:t xml:space="preserve"> the safe delivery of immunisation programmes</w:t>
            </w:r>
            <w:r w:rsidR="00793D1B" w:rsidRPr="00FD2E46">
              <w:rPr>
                <w:rFonts w:cs="Arial"/>
                <w:sz w:val="20"/>
                <w:szCs w:val="20"/>
              </w:rPr>
              <w:t>.</w:t>
            </w:r>
          </w:p>
          <w:p w14:paraId="1B7D89CF" w14:textId="77777777" w:rsidR="00C3701D" w:rsidRPr="00FD2E46" w:rsidRDefault="00C3701D" w:rsidP="003E3828">
            <w:pPr>
              <w:spacing w:before="120" w:after="120" w:line="240" w:lineRule="auto"/>
              <w:rPr>
                <w:rFonts w:cs="Arial"/>
                <w:sz w:val="20"/>
                <w:szCs w:val="20"/>
              </w:rPr>
            </w:pPr>
            <w:r w:rsidRPr="00FD2E46">
              <w:rPr>
                <w:rFonts w:cs="Arial"/>
                <w:sz w:val="20"/>
                <w:szCs w:val="20"/>
              </w:rPr>
              <w:t xml:space="preserve">The detailed service description for immunisation services is defined in the </w:t>
            </w:r>
            <w:r w:rsidR="00FD2E46">
              <w:rPr>
                <w:rFonts w:cs="Arial"/>
                <w:sz w:val="20"/>
                <w:szCs w:val="20"/>
              </w:rPr>
              <w:t xml:space="preserve">tier three </w:t>
            </w:r>
            <w:r w:rsidRPr="00FD2E46">
              <w:rPr>
                <w:rFonts w:cs="Arial"/>
                <w:sz w:val="20"/>
                <w:szCs w:val="20"/>
              </w:rPr>
              <w:t xml:space="preserve">Immunisation service </w:t>
            </w:r>
            <w:proofErr w:type="gramStart"/>
            <w:r w:rsidRPr="00FD2E46">
              <w:rPr>
                <w:rFonts w:cs="Arial"/>
                <w:sz w:val="20"/>
                <w:szCs w:val="20"/>
              </w:rPr>
              <w:t>specification</w:t>
            </w:r>
            <w:proofErr w:type="gramEnd"/>
            <w:r w:rsidRPr="00FD2E46">
              <w:rPr>
                <w:rFonts w:cs="Arial"/>
                <w:sz w:val="20"/>
                <w:szCs w:val="20"/>
              </w:rPr>
              <w:t>.</w:t>
            </w:r>
          </w:p>
          <w:p w14:paraId="3A1C8D56" w14:textId="77777777" w:rsidR="00C3701D" w:rsidRPr="00FD2E46" w:rsidRDefault="0086086D" w:rsidP="003E3828">
            <w:pPr>
              <w:pStyle w:val="Heading4"/>
              <w:spacing w:before="0" w:after="0"/>
              <w:rPr>
                <w:rFonts w:ascii="Arial" w:hAnsi="Arial" w:cs="Arial"/>
                <w:b w:val="0"/>
                <w:sz w:val="20"/>
                <w:szCs w:val="20"/>
              </w:rPr>
            </w:pPr>
            <w:r w:rsidRPr="00FD2E46">
              <w:rPr>
                <w:rFonts w:ascii="Arial" w:hAnsi="Arial" w:cs="Arial"/>
                <w:b w:val="0"/>
                <w:sz w:val="20"/>
                <w:szCs w:val="20"/>
                <w:lang w:val="en-NZ"/>
              </w:rPr>
              <w:t xml:space="preserve">Links to other immunisation services are </w:t>
            </w:r>
            <w:r w:rsidR="003966CF" w:rsidRPr="00FD2E46">
              <w:rPr>
                <w:rFonts w:ascii="Arial" w:hAnsi="Arial" w:cs="Arial"/>
                <w:b w:val="0"/>
                <w:sz w:val="20"/>
                <w:szCs w:val="20"/>
                <w:lang w:val="en-NZ"/>
              </w:rPr>
              <w:t>detailed</w:t>
            </w:r>
            <w:r w:rsidR="00C3701D" w:rsidRPr="00FD2E46">
              <w:rPr>
                <w:rFonts w:ascii="Arial" w:hAnsi="Arial" w:cs="Arial"/>
                <w:b w:val="0"/>
                <w:sz w:val="20"/>
                <w:szCs w:val="20"/>
              </w:rPr>
              <w:t xml:space="preserve"> </w:t>
            </w:r>
            <w:r w:rsidRPr="00FD2E46">
              <w:rPr>
                <w:rFonts w:ascii="Arial" w:hAnsi="Arial" w:cs="Arial"/>
                <w:b w:val="0"/>
                <w:sz w:val="20"/>
                <w:szCs w:val="20"/>
                <w:lang w:val="en-NZ"/>
              </w:rPr>
              <w:t xml:space="preserve">in the following relevant </w:t>
            </w:r>
            <w:r w:rsidR="00C3701D" w:rsidRPr="00FD2E46">
              <w:rPr>
                <w:rFonts w:ascii="Arial" w:hAnsi="Arial" w:cs="Arial"/>
                <w:b w:val="0"/>
                <w:sz w:val="20"/>
                <w:szCs w:val="20"/>
              </w:rPr>
              <w:t xml:space="preserve">service </w:t>
            </w:r>
            <w:r w:rsidR="00FD2E46">
              <w:rPr>
                <w:rFonts w:ascii="Arial" w:hAnsi="Arial" w:cs="Arial"/>
                <w:b w:val="0"/>
                <w:sz w:val="20"/>
                <w:szCs w:val="20"/>
                <w:lang w:val="en-NZ"/>
              </w:rPr>
              <w:t>specifications</w:t>
            </w:r>
            <w:r w:rsidR="00C3701D" w:rsidRPr="00FD2E46">
              <w:rPr>
                <w:rFonts w:ascii="Arial" w:hAnsi="Arial" w:cs="Arial"/>
                <w:b w:val="0"/>
                <w:sz w:val="20"/>
                <w:szCs w:val="20"/>
              </w:rPr>
              <w:t xml:space="preserve">: </w:t>
            </w:r>
          </w:p>
          <w:p w14:paraId="7466EC7D" w14:textId="77777777" w:rsidR="00C3701D" w:rsidRPr="00FD2E46" w:rsidRDefault="00FD2E46" w:rsidP="003E3828">
            <w:pPr>
              <w:pStyle w:val="Heading4"/>
              <w:numPr>
                <w:ilvl w:val="0"/>
                <w:numId w:val="50"/>
              </w:numPr>
              <w:spacing w:before="40" w:after="0"/>
              <w:ind w:left="360"/>
              <w:rPr>
                <w:rFonts w:ascii="Arial" w:hAnsi="Arial" w:cs="Arial"/>
                <w:b w:val="0"/>
                <w:sz w:val="20"/>
                <w:szCs w:val="20"/>
              </w:rPr>
            </w:pPr>
            <w:r>
              <w:rPr>
                <w:rFonts w:ascii="Arial" w:hAnsi="Arial" w:cs="Arial"/>
                <w:b w:val="0"/>
                <w:sz w:val="20"/>
                <w:szCs w:val="20"/>
                <w:lang w:val="en-NZ"/>
              </w:rPr>
              <w:t xml:space="preserve">Tier one </w:t>
            </w:r>
            <w:r w:rsidR="0086086D" w:rsidRPr="00FD2E46">
              <w:rPr>
                <w:rFonts w:ascii="Arial" w:hAnsi="Arial" w:cs="Arial"/>
                <w:b w:val="0"/>
                <w:sz w:val="20"/>
                <w:szCs w:val="20"/>
                <w:lang w:val="en-NZ"/>
              </w:rPr>
              <w:t xml:space="preserve">Services for Children and Young People </w:t>
            </w:r>
            <w:r>
              <w:rPr>
                <w:rFonts w:ascii="Arial" w:hAnsi="Arial" w:cs="Arial"/>
                <w:b w:val="0"/>
                <w:sz w:val="20"/>
                <w:szCs w:val="20"/>
                <w:lang w:val="en-NZ"/>
              </w:rPr>
              <w:t>s</w:t>
            </w:r>
            <w:r w:rsidRPr="00FD2E46">
              <w:rPr>
                <w:rFonts w:ascii="Arial" w:hAnsi="Arial" w:cs="Arial"/>
                <w:b w:val="0"/>
                <w:sz w:val="20"/>
                <w:szCs w:val="20"/>
                <w:lang w:val="en-NZ"/>
              </w:rPr>
              <w:t>ervice</w:t>
            </w:r>
            <w:r w:rsidRPr="00FD2E46">
              <w:rPr>
                <w:rFonts w:ascii="Arial" w:hAnsi="Arial" w:cs="Arial"/>
                <w:b w:val="0"/>
                <w:sz w:val="20"/>
                <w:szCs w:val="20"/>
              </w:rPr>
              <w:t xml:space="preserve"> </w:t>
            </w:r>
            <w:r>
              <w:rPr>
                <w:rFonts w:ascii="Arial" w:hAnsi="Arial" w:cs="Arial"/>
                <w:b w:val="0"/>
                <w:sz w:val="20"/>
                <w:szCs w:val="20"/>
                <w:lang w:val="en-NZ"/>
              </w:rPr>
              <w:t>s</w:t>
            </w:r>
            <w:r w:rsidR="003966CF" w:rsidRPr="00FD2E46">
              <w:rPr>
                <w:rFonts w:ascii="Arial" w:hAnsi="Arial" w:cs="Arial"/>
                <w:b w:val="0"/>
                <w:sz w:val="20"/>
                <w:szCs w:val="20"/>
                <w:lang w:val="en-NZ"/>
              </w:rPr>
              <w:t xml:space="preserve">pecification </w:t>
            </w:r>
          </w:p>
          <w:p w14:paraId="2B8B65DB" w14:textId="77777777" w:rsidR="00C3701D" w:rsidRPr="00FD2E46" w:rsidRDefault="00FD2E46" w:rsidP="003E3828">
            <w:pPr>
              <w:pStyle w:val="ListParagraph"/>
              <w:numPr>
                <w:ilvl w:val="0"/>
                <w:numId w:val="6"/>
              </w:numPr>
              <w:spacing w:after="0" w:line="240" w:lineRule="auto"/>
              <w:ind w:left="360"/>
              <w:rPr>
                <w:sz w:val="20"/>
                <w:szCs w:val="20"/>
              </w:rPr>
            </w:pPr>
            <w:r>
              <w:rPr>
                <w:sz w:val="20"/>
                <w:szCs w:val="20"/>
              </w:rPr>
              <w:t xml:space="preserve">Tier two </w:t>
            </w:r>
            <w:r w:rsidR="00C3701D" w:rsidRPr="00FD2E46">
              <w:rPr>
                <w:sz w:val="20"/>
                <w:szCs w:val="20"/>
              </w:rPr>
              <w:t xml:space="preserve">School and Preschool </w:t>
            </w:r>
            <w:r>
              <w:rPr>
                <w:sz w:val="20"/>
                <w:szCs w:val="20"/>
              </w:rPr>
              <w:t>H</w:t>
            </w:r>
            <w:r w:rsidRPr="00FD2E46">
              <w:rPr>
                <w:sz w:val="20"/>
                <w:szCs w:val="20"/>
              </w:rPr>
              <w:t xml:space="preserve">ealth </w:t>
            </w:r>
            <w:r>
              <w:rPr>
                <w:sz w:val="20"/>
                <w:szCs w:val="20"/>
              </w:rPr>
              <w:t>S</w:t>
            </w:r>
            <w:r w:rsidRPr="00FD2E46">
              <w:rPr>
                <w:sz w:val="20"/>
                <w:szCs w:val="20"/>
              </w:rPr>
              <w:t xml:space="preserve">ervices </w:t>
            </w:r>
            <w:r>
              <w:rPr>
                <w:sz w:val="20"/>
                <w:szCs w:val="20"/>
              </w:rPr>
              <w:t>s</w:t>
            </w:r>
            <w:r w:rsidR="0086086D" w:rsidRPr="00FD2E46">
              <w:rPr>
                <w:sz w:val="20"/>
                <w:szCs w:val="20"/>
              </w:rPr>
              <w:t xml:space="preserve">ervice </w:t>
            </w:r>
            <w:r>
              <w:rPr>
                <w:sz w:val="20"/>
                <w:szCs w:val="20"/>
              </w:rPr>
              <w:t>s</w:t>
            </w:r>
            <w:r w:rsidR="0086086D" w:rsidRPr="00FD2E46">
              <w:rPr>
                <w:sz w:val="20"/>
                <w:szCs w:val="20"/>
              </w:rPr>
              <w:t>pecification</w:t>
            </w:r>
            <w:r w:rsidR="00C3701D" w:rsidRPr="00FD2E46">
              <w:rPr>
                <w:sz w:val="20"/>
                <w:szCs w:val="20"/>
              </w:rPr>
              <w:t xml:space="preserve"> </w:t>
            </w:r>
          </w:p>
          <w:p w14:paraId="1DCF5282" w14:textId="77777777" w:rsidR="00C3701D" w:rsidRPr="00FD2E46" w:rsidRDefault="00FD2E46" w:rsidP="003E3828">
            <w:pPr>
              <w:pStyle w:val="ListParagraph"/>
              <w:numPr>
                <w:ilvl w:val="0"/>
                <w:numId w:val="6"/>
              </w:numPr>
              <w:spacing w:after="0" w:line="240" w:lineRule="auto"/>
              <w:ind w:left="360"/>
              <w:rPr>
                <w:sz w:val="20"/>
                <w:szCs w:val="20"/>
              </w:rPr>
            </w:pPr>
            <w:r>
              <w:rPr>
                <w:sz w:val="20"/>
                <w:szCs w:val="20"/>
              </w:rPr>
              <w:t xml:space="preserve">Tier two </w:t>
            </w:r>
            <w:r w:rsidR="00C3701D" w:rsidRPr="00FD2E46">
              <w:rPr>
                <w:sz w:val="20"/>
                <w:szCs w:val="20"/>
              </w:rPr>
              <w:t>Outreach Immunisation Services</w:t>
            </w:r>
            <w:r w:rsidR="0086086D" w:rsidRPr="00FD2E46">
              <w:rPr>
                <w:sz w:val="20"/>
                <w:szCs w:val="20"/>
              </w:rPr>
              <w:t xml:space="preserve"> </w:t>
            </w:r>
            <w:r>
              <w:rPr>
                <w:sz w:val="20"/>
                <w:szCs w:val="20"/>
              </w:rPr>
              <w:t>s</w:t>
            </w:r>
            <w:r w:rsidR="0086086D" w:rsidRPr="00FD2E46">
              <w:rPr>
                <w:sz w:val="20"/>
                <w:szCs w:val="20"/>
              </w:rPr>
              <w:t xml:space="preserve">ervice </w:t>
            </w:r>
            <w:r>
              <w:rPr>
                <w:sz w:val="20"/>
                <w:szCs w:val="20"/>
              </w:rPr>
              <w:t>s</w:t>
            </w:r>
            <w:r w:rsidR="0086086D" w:rsidRPr="00FD2E46">
              <w:rPr>
                <w:sz w:val="20"/>
                <w:szCs w:val="20"/>
              </w:rPr>
              <w:t>pecification</w:t>
            </w:r>
            <w:r w:rsidR="00C3701D" w:rsidRPr="00FD2E46">
              <w:rPr>
                <w:sz w:val="20"/>
                <w:szCs w:val="20"/>
              </w:rPr>
              <w:t xml:space="preserve"> </w:t>
            </w:r>
          </w:p>
          <w:p w14:paraId="359D17CC" w14:textId="77777777" w:rsidR="0086086D" w:rsidRPr="00FD2E46" w:rsidRDefault="00FD2E46" w:rsidP="003E3828">
            <w:pPr>
              <w:pStyle w:val="ListParagraph"/>
              <w:numPr>
                <w:ilvl w:val="0"/>
                <w:numId w:val="6"/>
              </w:numPr>
              <w:spacing w:after="0" w:line="240" w:lineRule="auto"/>
              <w:ind w:left="360"/>
              <w:rPr>
                <w:sz w:val="20"/>
                <w:szCs w:val="20"/>
              </w:rPr>
            </w:pPr>
            <w:r>
              <w:rPr>
                <w:sz w:val="20"/>
                <w:szCs w:val="20"/>
              </w:rPr>
              <w:t xml:space="preserve">Tier two </w:t>
            </w:r>
            <w:r w:rsidR="00C3701D" w:rsidRPr="00FD2E46">
              <w:rPr>
                <w:sz w:val="20"/>
                <w:szCs w:val="20"/>
              </w:rPr>
              <w:t>Well Child</w:t>
            </w:r>
            <w:r w:rsidR="0086086D" w:rsidRPr="00FD2E46">
              <w:rPr>
                <w:sz w:val="20"/>
                <w:szCs w:val="20"/>
              </w:rPr>
              <w:t>/</w:t>
            </w:r>
            <w:r w:rsidR="00C3701D" w:rsidRPr="00FD2E46">
              <w:rPr>
                <w:sz w:val="20"/>
                <w:szCs w:val="20"/>
              </w:rPr>
              <w:t>Tamariki Ora</w:t>
            </w:r>
            <w:r w:rsidR="0086086D" w:rsidRPr="00FD2E46">
              <w:rPr>
                <w:sz w:val="20"/>
                <w:szCs w:val="20"/>
              </w:rPr>
              <w:t xml:space="preserve"> </w:t>
            </w:r>
            <w:r>
              <w:rPr>
                <w:sz w:val="20"/>
                <w:szCs w:val="20"/>
              </w:rPr>
              <w:t xml:space="preserve"> s</w:t>
            </w:r>
            <w:r w:rsidR="0086086D" w:rsidRPr="00FD2E46">
              <w:rPr>
                <w:sz w:val="20"/>
                <w:szCs w:val="20"/>
              </w:rPr>
              <w:t xml:space="preserve">ervice </w:t>
            </w:r>
            <w:r>
              <w:rPr>
                <w:sz w:val="20"/>
                <w:szCs w:val="20"/>
              </w:rPr>
              <w:t>s</w:t>
            </w:r>
            <w:r w:rsidR="0086086D" w:rsidRPr="00FD2E46">
              <w:rPr>
                <w:sz w:val="20"/>
                <w:szCs w:val="20"/>
              </w:rPr>
              <w:t>pecification</w:t>
            </w:r>
          </w:p>
          <w:p w14:paraId="66A6CD64" w14:textId="77777777" w:rsidR="0086086D" w:rsidRPr="00FD2E46" w:rsidRDefault="00FD2E46" w:rsidP="003E3828">
            <w:pPr>
              <w:pStyle w:val="Heading4"/>
              <w:numPr>
                <w:ilvl w:val="0"/>
                <w:numId w:val="6"/>
              </w:numPr>
              <w:spacing w:before="0" w:after="0"/>
              <w:ind w:left="459" w:hanging="459"/>
              <w:rPr>
                <w:rFonts w:ascii="Arial" w:hAnsi="Arial" w:cs="Arial"/>
                <w:b w:val="0"/>
                <w:sz w:val="20"/>
                <w:szCs w:val="20"/>
                <w:lang w:val="en-NZ"/>
              </w:rPr>
            </w:pPr>
            <w:r>
              <w:rPr>
                <w:rFonts w:ascii="Arial" w:hAnsi="Arial" w:cs="Arial"/>
                <w:b w:val="0"/>
                <w:sz w:val="20"/>
                <w:szCs w:val="20"/>
                <w:lang w:val="en-NZ"/>
              </w:rPr>
              <w:t xml:space="preserve">Tier one </w:t>
            </w:r>
            <w:r w:rsidR="0086086D" w:rsidRPr="00FD2E46">
              <w:rPr>
                <w:rFonts w:ascii="Arial" w:hAnsi="Arial" w:cs="Arial"/>
                <w:b w:val="0"/>
                <w:sz w:val="20"/>
                <w:szCs w:val="20"/>
                <w:lang w:val="en-NZ"/>
              </w:rPr>
              <w:t>Maternity Services (DHB Funded</w:t>
            </w:r>
            <w:r w:rsidR="0015281C" w:rsidRPr="00FD2E46">
              <w:rPr>
                <w:rFonts w:ascii="Arial" w:hAnsi="Arial" w:cs="Arial"/>
                <w:b w:val="0"/>
                <w:sz w:val="20"/>
                <w:szCs w:val="20"/>
                <w:lang w:val="en-NZ"/>
              </w:rPr>
              <w:t xml:space="preserve">) </w:t>
            </w:r>
            <w:r w:rsidR="0015281C">
              <w:rPr>
                <w:rFonts w:ascii="Arial" w:hAnsi="Arial" w:cs="Arial"/>
                <w:b w:val="0"/>
                <w:sz w:val="20"/>
                <w:szCs w:val="20"/>
                <w:lang w:val="en-NZ"/>
              </w:rPr>
              <w:t>service</w:t>
            </w:r>
            <w:r w:rsidR="0086086D" w:rsidRPr="00FD2E46">
              <w:rPr>
                <w:rFonts w:ascii="Arial" w:hAnsi="Arial" w:cs="Arial"/>
                <w:b w:val="0"/>
                <w:sz w:val="20"/>
                <w:szCs w:val="20"/>
                <w:lang w:val="en-NZ"/>
              </w:rPr>
              <w:t xml:space="preserve"> </w:t>
            </w:r>
            <w:r>
              <w:rPr>
                <w:rFonts w:ascii="Arial" w:hAnsi="Arial" w:cs="Arial"/>
                <w:b w:val="0"/>
                <w:sz w:val="20"/>
                <w:szCs w:val="20"/>
                <w:lang w:val="en-NZ"/>
              </w:rPr>
              <w:t>s</w:t>
            </w:r>
            <w:r w:rsidR="0086086D" w:rsidRPr="00FD2E46">
              <w:rPr>
                <w:rFonts w:ascii="Arial" w:hAnsi="Arial" w:cs="Arial"/>
                <w:b w:val="0"/>
                <w:sz w:val="20"/>
                <w:szCs w:val="20"/>
                <w:lang w:val="en-NZ"/>
              </w:rPr>
              <w:t>pecification</w:t>
            </w:r>
          </w:p>
          <w:p w14:paraId="28225ED4" w14:textId="77777777" w:rsidR="0086086D" w:rsidRPr="00FD2E46" w:rsidRDefault="00FD2E46" w:rsidP="003E3828">
            <w:pPr>
              <w:pStyle w:val="ListParagraph"/>
              <w:numPr>
                <w:ilvl w:val="0"/>
                <w:numId w:val="35"/>
              </w:numPr>
              <w:spacing w:after="120" w:line="240" w:lineRule="auto"/>
              <w:rPr>
                <w:sz w:val="20"/>
                <w:szCs w:val="20"/>
              </w:rPr>
            </w:pPr>
            <w:r>
              <w:rPr>
                <w:sz w:val="20"/>
                <w:szCs w:val="20"/>
              </w:rPr>
              <w:t xml:space="preserve">Tier two </w:t>
            </w:r>
            <w:r w:rsidR="0086086D" w:rsidRPr="00FD2E46">
              <w:rPr>
                <w:sz w:val="20"/>
                <w:szCs w:val="20"/>
              </w:rPr>
              <w:t xml:space="preserve">Pregnancy and Parenting Information and </w:t>
            </w:r>
            <w:r w:rsidR="0015281C" w:rsidRPr="00FD2E46">
              <w:rPr>
                <w:sz w:val="20"/>
                <w:szCs w:val="20"/>
              </w:rPr>
              <w:t>Education service</w:t>
            </w:r>
            <w:r w:rsidR="0086086D" w:rsidRPr="00FD2E46">
              <w:rPr>
                <w:sz w:val="20"/>
                <w:szCs w:val="20"/>
              </w:rPr>
              <w:t xml:space="preserve"> </w:t>
            </w:r>
            <w:r>
              <w:rPr>
                <w:sz w:val="20"/>
                <w:szCs w:val="20"/>
              </w:rPr>
              <w:t>s</w:t>
            </w:r>
            <w:r w:rsidR="0086086D" w:rsidRPr="00FD2E46">
              <w:rPr>
                <w:sz w:val="20"/>
                <w:szCs w:val="20"/>
              </w:rPr>
              <w:t>pecification</w:t>
            </w:r>
            <w:r>
              <w:rPr>
                <w:sz w:val="20"/>
                <w:szCs w:val="20"/>
              </w:rPr>
              <w:t>.</w:t>
            </w:r>
          </w:p>
          <w:p w14:paraId="499CBB43" w14:textId="77777777" w:rsidR="00C3701D" w:rsidRPr="00FD2E46" w:rsidRDefault="00C3701D" w:rsidP="003E3828">
            <w:pPr>
              <w:pStyle w:val="Heading4"/>
              <w:spacing w:before="0" w:after="0"/>
              <w:rPr>
                <w:rFonts w:ascii="Arial" w:hAnsi="Arial" w:cs="Arial"/>
                <w:b w:val="0"/>
                <w:sz w:val="20"/>
                <w:szCs w:val="20"/>
              </w:rPr>
            </w:pPr>
            <w:r w:rsidRPr="00FD2E46">
              <w:rPr>
                <w:rFonts w:ascii="Arial" w:hAnsi="Arial" w:cs="Arial"/>
                <w:b w:val="0"/>
                <w:sz w:val="20"/>
                <w:szCs w:val="20"/>
              </w:rPr>
              <w:t xml:space="preserve">Crown Funding Agreement </w:t>
            </w:r>
            <w:r w:rsidR="0086086D" w:rsidRPr="00FD2E46">
              <w:rPr>
                <w:rFonts w:ascii="Arial" w:hAnsi="Arial" w:cs="Arial"/>
                <w:b w:val="0"/>
                <w:sz w:val="20"/>
                <w:szCs w:val="20"/>
                <w:lang w:val="en-NZ"/>
              </w:rPr>
              <w:t>Service S</w:t>
            </w:r>
            <w:r w:rsidR="003966CF" w:rsidRPr="00FD2E46">
              <w:rPr>
                <w:rFonts w:ascii="Arial" w:hAnsi="Arial" w:cs="Arial"/>
                <w:b w:val="0"/>
                <w:sz w:val="20"/>
                <w:szCs w:val="20"/>
                <w:lang w:val="en-NZ"/>
              </w:rPr>
              <w:t>pecifications</w:t>
            </w:r>
            <w:r w:rsidRPr="00FD2E46">
              <w:rPr>
                <w:rFonts w:ascii="Arial" w:hAnsi="Arial" w:cs="Arial"/>
                <w:b w:val="0"/>
                <w:sz w:val="20"/>
                <w:szCs w:val="20"/>
              </w:rPr>
              <w:t xml:space="preserve"> for:</w:t>
            </w:r>
          </w:p>
          <w:p w14:paraId="1CC8E7C9" w14:textId="77777777" w:rsidR="00C3701D" w:rsidRPr="00FD2E46" w:rsidRDefault="00127197" w:rsidP="003E3828">
            <w:pPr>
              <w:pStyle w:val="ListParagraph"/>
              <w:numPr>
                <w:ilvl w:val="0"/>
                <w:numId w:val="7"/>
              </w:numPr>
              <w:spacing w:before="40" w:after="0" w:line="240" w:lineRule="auto"/>
              <w:rPr>
                <w:sz w:val="20"/>
                <w:szCs w:val="20"/>
              </w:rPr>
            </w:pPr>
            <w:r>
              <w:rPr>
                <w:sz w:val="20"/>
                <w:szCs w:val="20"/>
              </w:rPr>
              <w:t>HPV</w:t>
            </w:r>
            <w:r w:rsidR="00C3701D" w:rsidRPr="00FD2E46">
              <w:rPr>
                <w:sz w:val="20"/>
                <w:szCs w:val="20"/>
              </w:rPr>
              <w:t xml:space="preserve"> Immunisation Programme</w:t>
            </w:r>
          </w:p>
          <w:p w14:paraId="6270D9D1" w14:textId="77777777" w:rsidR="00C3701D" w:rsidRPr="00FD2E46" w:rsidRDefault="00C3701D" w:rsidP="003E3828">
            <w:pPr>
              <w:pStyle w:val="ListParagraph"/>
              <w:numPr>
                <w:ilvl w:val="0"/>
                <w:numId w:val="7"/>
              </w:numPr>
              <w:spacing w:after="0" w:line="240" w:lineRule="auto"/>
              <w:rPr>
                <w:sz w:val="20"/>
                <w:szCs w:val="20"/>
              </w:rPr>
            </w:pPr>
            <w:r w:rsidRPr="00FD2E46">
              <w:rPr>
                <w:sz w:val="20"/>
                <w:szCs w:val="20"/>
              </w:rPr>
              <w:t xml:space="preserve">Immunisation Coordination Services </w:t>
            </w:r>
          </w:p>
          <w:p w14:paraId="1E6111ED" w14:textId="77777777" w:rsidR="00C3701D" w:rsidRPr="00FD2E46" w:rsidRDefault="00C3701D" w:rsidP="003E3828">
            <w:pPr>
              <w:pStyle w:val="ListParagraph"/>
              <w:numPr>
                <w:ilvl w:val="0"/>
                <w:numId w:val="7"/>
              </w:numPr>
              <w:spacing w:after="20" w:line="240" w:lineRule="auto"/>
              <w:rPr>
                <w:sz w:val="20"/>
                <w:szCs w:val="20"/>
              </w:rPr>
            </w:pPr>
            <w:r w:rsidRPr="00FD2E46">
              <w:rPr>
                <w:sz w:val="20"/>
                <w:szCs w:val="20"/>
              </w:rPr>
              <w:t>National Immunisation Register (NIR) Ongoing Administrator Services</w:t>
            </w:r>
            <w:r w:rsidR="003966CF" w:rsidRPr="00FD2E46">
              <w:rPr>
                <w:sz w:val="20"/>
                <w:szCs w:val="20"/>
              </w:rPr>
              <w:t>.</w:t>
            </w:r>
          </w:p>
        </w:tc>
      </w:tr>
      <w:tr w:rsidR="00C3701D" w:rsidRPr="00FD2E46" w14:paraId="56FA4279" w14:textId="77777777" w:rsidTr="00127197">
        <w:tc>
          <w:tcPr>
            <w:tcW w:w="1180" w:type="pct"/>
            <w:tcBorders>
              <w:top w:val="single" w:sz="4" w:space="0" w:color="auto"/>
              <w:left w:val="single" w:sz="4" w:space="0" w:color="auto"/>
              <w:bottom w:val="single" w:sz="4" w:space="0" w:color="auto"/>
              <w:right w:val="single" w:sz="4" w:space="0" w:color="auto"/>
            </w:tcBorders>
            <w:hideMark/>
          </w:tcPr>
          <w:p w14:paraId="58C793BA" w14:textId="77777777" w:rsidR="00C3701D" w:rsidRPr="00FD2E46" w:rsidRDefault="00C3701D" w:rsidP="003E3828">
            <w:pPr>
              <w:spacing w:before="20" w:after="0" w:line="240" w:lineRule="auto"/>
              <w:ind w:left="360" w:hanging="360"/>
              <w:rPr>
                <w:rFonts w:eastAsia="Times New Roman" w:cs="Arial"/>
                <w:b/>
                <w:bCs/>
                <w:sz w:val="20"/>
                <w:szCs w:val="20"/>
              </w:rPr>
            </w:pPr>
            <w:r w:rsidRPr="00FD2E46">
              <w:rPr>
                <w:rFonts w:eastAsia="Times New Roman" w:cs="Arial"/>
                <w:b/>
                <w:bCs/>
                <w:sz w:val="20"/>
                <w:szCs w:val="20"/>
              </w:rPr>
              <w:t>2.</w:t>
            </w:r>
            <w:r w:rsidRPr="00FD2E46">
              <w:rPr>
                <w:rFonts w:eastAsia="Times New Roman" w:cs="Arial"/>
                <w:b/>
                <w:bCs/>
                <w:sz w:val="20"/>
                <w:szCs w:val="20"/>
              </w:rPr>
              <w:tab/>
              <w:t>National Screening Programmes</w:t>
            </w:r>
          </w:p>
        </w:tc>
        <w:tc>
          <w:tcPr>
            <w:tcW w:w="3820" w:type="pct"/>
            <w:tcBorders>
              <w:top w:val="single" w:sz="4" w:space="0" w:color="auto"/>
              <w:left w:val="single" w:sz="4" w:space="0" w:color="auto"/>
              <w:bottom w:val="single" w:sz="4" w:space="0" w:color="auto"/>
              <w:right w:val="single" w:sz="4" w:space="0" w:color="auto"/>
            </w:tcBorders>
          </w:tcPr>
          <w:p w14:paraId="7B7B1DDC" w14:textId="77777777" w:rsidR="00C3701D" w:rsidRPr="00FD2E46" w:rsidRDefault="00C3701D" w:rsidP="003E3828">
            <w:pPr>
              <w:pStyle w:val="Heading4"/>
              <w:spacing w:before="20" w:after="0"/>
              <w:rPr>
                <w:rFonts w:ascii="Arial" w:hAnsi="Arial" w:cs="Arial"/>
                <w:b w:val="0"/>
                <w:sz w:val="20"/>
                <w:szCs w:val="20"/>
              </w:rPr>
            </w:pPr>
            <w:r w:rsidRPr="00FD2E46">
              <w:rPr>
                <w:rFonts w:ascii="Arial" w:hAnsi="Arial" w:cs="Arial"/>
                <w:b w:val="0"/>
                <w:sz w:val="20"/>
                <w:szCs w:val="20"/>
              </w:rPr>
              <w:t>For national screening programmes the NSU provides the following core functions:</w:t>
            </w:r>
          </w:p>
          <w:p w14:paraId="3D357237" w14:textId="77777777" w:rsidR="00C3701D" w:rsidRPr="00FD2E46" w:rsidRDefault="00FD2E46" w:rsidP="003E3828">
            <w:pPr>
              <w:numPr>
                <w:ilvl w:val="0"/>
                <w:numId w:val="8"/>
              </w:numPr>
              <w:tabs>
                <w:tab w:val="clear" w:pos="360"/>
                <w:tab w:val="num" w:pos="540"/>
              </w:tabs>
              <w:spacing w:before="40" w:after="0" w:line="240" w:lineRule="auto"/>
              <w:ind w:left="539" w:hanging="539"/>
              <w:rPr>
                <w:rFonts w:cs="Arial"/>
                <w:sz w:val="20"/>
                <w:szCs w:val="20"/>
              </w:rPr>
            </w:pPr>
            <w:r>
              <w:rPr>
                <w:rFonts w:cs="Arial"/>
                <w:sz w:val="20"/>
                <w:szCs w:val="20"/>
              </w:rPr>
              <w:t>N</w:t>
            </w:r>
            <w:r w:rsidRPr="00FD2E46">
              <w:rPr>
                <w:rFonts w:cs="Arial"/>
                <w:sz w:val="20"/>
                <w:szCs w:val="20"/>
              </w:rPr>
              <w:t xml:space="preserve">ational </w:t>
            </w:r>
            <w:r w:rsidR="00C3701D" w:rsidRPr="00FD2E46">
              <w:rPr>
                <w:rFonts w:cs="Arial"/>
                <w:sz w:val="20"/>
                <w:szCs w:val="20"/>
              </w:rPr>
              <w:t xml:space="preserve">coordination, leadership, and advice to </w:t>
            </w:r>
            <w:r>
              <w:rPr>
                <w:rFonts w:cs="Arial"/>
                <w:sz w:val="20"/>
                <w:szCs w:val="20"/>
              </w:rPr>
              <w:t>G</w:t>
            </w:r>
            <w:r w:rsidRPr="00FD2E46">
              <w:rPr>
                <w:rFonts w:cs="Arial"/>
                <w:sz w:val="20"/>
                <w:szCs w:val="20"/>
              </w:rPr>
              <w:t xml:space="preserve">overnment </w:t>
            </w:r>
            <w:r w:rsidR="00C3701D" w:rsidRPr="00FD2E46">
              <w:rPr>
                <w:rFonts w:cs="Arial"/>
                <w:sz w:val="20"/>
                <w:szCs w:val="20"/>
              </w:rPr>
              <w:t>regarding screening</w:t>
            </w:r>
            <w:r>
              <w:rPr>
                <w:rFonts w:cs="Arial"/>
                <w:sz w:val="20"/>
                <w:szCs w:val="20"/>
              </w:rPr>
              <w:t>.</w:t>
            </w:r>
            <w:r w:rsidR="00C3701D" w:rsidRPr="00FD2E46">
              <w:rPr>
                <w:rFonts w:cs="Arial"/>
                <w:sz w:val="20"/>
                <w:szCs w:val="20"/>
              </w:rPr>
              <w:t xml:space="preserve"> </w:t>
            </w:r>
          </w:p>
          <w:p w14:paraId="466B7408" w14:textId="77777777" w:rsidR="00C3701D" w:rsidRPr="00FD2E46" w:rsidRDefault="00FD2E46" w:rsidP="003E3828">
            <w:pPr>
              <w:numPr>
                <w:ilvl w:val="0"/>
                <w:numId w:val="8"/>
              </w:numPr>
              <w:tabs>
                <w:tab w:val="clear" w:pos="360"/>
                <w:tab w:val="num" w:pos="540"/>
              </w:tabs>
              <w:spacing w:after="0" w:line="240" w:lineRule="auto"/>
              <w:ind w:left="539" w:hanging="539"/>
              <w:rPr>
                <w:rFonts w:cs="Arial"/>
                <w:sz w:val="20"/>
                <w:szCs w:val="20"/>
              </w:rPr>
            </w:pPr>
            <w:r>
              <w:rPr>
                <w:rFonts w:cs="Arial"/>
                <w:sz w:val="20"/>
                <w:szCs w:val="20"/>
              </w:rPr>
              <w:t>R</w:t>
            </w:r>
            <w:r w:rsidR="00C3701D" w:rsidRPr="00FD2E46">
              <w:rPr>
                <w:rFonts w:cs="Arial"/>
                <w:sz w:val="20"/>
                <w:szCs w:val="20"/>
              </w:rPr>
              <w:t>esearch and development including evaluation of new evidence related to screening and evidence-based appraisal of technological advances in screening</w:t>
            </w:r>
            <w:r>
              <w:rPr>
                <w:rFonts w:cs="Arial"/>
                <w:sz w:val="20"/>
                <w:szCs w:val="20"/>
              </w:rPr>
              <w:t>.</w:t>
            </w:r>
            <w:r w:rsidR="00C3701D" w:rsidRPr="00FD2E46">
              <w:rPr>
                <w:rFonts w:cs="Arial"/>
                <w:sz w:val="20"/>
                <w:szCs w:val="20"/>
              </w:rPr>
              <w:t xml:space="preserve"> </w:t>
            </w:r>
          </w:p>
          <w:p w14:paraId="234F3EC2" w14:textId="77777777" w:rsidR="00C3701D" w:rsidRPr="00FD2E46" w:rsidRDefault="00FD2E46" w:rsidP="003E3828">
            <w:pPr>
              <w:numPr>
                <w:ilvl w:val="0"/>
                <w:numId w:val="8"/>
              </w:numPr>
              <w:tabs>
                <w:tab w:val="clear" w:pos="360"/>
                <w:tab w:val="num" w:pos="540"/>
              </w:tabs>
              <w:spacing w:after="0" w:line="240" w:lineRule="auto"/>
              <w:ind w:left="539" w:hanging="539"/>
              <w:rPr>
                <w:rFonts w:cs="Arial"/>
                <w:sz w:val="20"/>
                <w:szCs w:val="20"/>
              </w:rPr>
            </w:pPr>
            <w:r>
              <w:rPr>
                <w:rFonts w:cs="Arial"/>
                <w:sz w:val="20"/>
                <w:szCs w:val="20"/>
              </w:rPr>
              <w:t>D</w:t>
            </w:r>
            <w:r w:rsidR="00C3701D" w:rsidRPr="00FD2E46">
              <w:rPr>
                <w:rFonts w:cs="Arial"/>
                <w:sz w:val="20"/>
                <w:szCs w:val="20"/>
              </w:rPr>
              <w:t>eveloping frameworks, standards and policy for each screening programme</w:t>
            </w:r>
            <w:r>
              <w:rPr>
                <w:rFonts w:cs="Arial"/>
                <w:sz w:val="20"/>
                <w:szCs w:val="20"/>
              </w:rPr>
              <w:t>.</w:t>
            </w:r>
            <w:r w:rsidR="00C3701D" w:rsidRPr="00FD2E46">
              <w:rPr>
                <w:rFonts w:cs="Arial"/>
                <w:sz w:val="20"/>
                <w:szCs w:val="20"/>
              </w:rPr>
              <w:t xml:space="preserve"> </w:t>
            </w:r>
          </w:p>
          <w:p w14:paraId="322768E0" w14:textId="77777777" w:rsidR="00C3701D" w:rsidRPr="00FD2E46" w:rsidRDefault="00FD2E46" w:rsidP="003E3828">
            <w:pPr>
              <w:numPr>
                <w:ilvl w:val="0"/>
                <w:numId w:val="8"/>
              </w:numPr>
              <w:tabs>
                <w:tab w:val="clear" w:pos="360"/>
                <w:tab w:val="num" w:pos="540"/>
              </w:tabs>
              <w:spacing w:after="0" w:line="240" w:lineRule="auto"/>
              <w:ind w:left="539" w:hanging="539"/>
              <w:rPr>
                <w:rFonts w:cs="Arial"/>
                <w:sz w:val="20"/>
                <w:szCs w:val="20"/>
              </w:rPr>
            </w:pPr>
            <w:r>
              <w:rPr>
                <w:rFonts w:cs="Arial"/>
                <w:sz w:val="20"/>
                <w:szCs w:val="20"/>
              </w:rPr>
              <w:t>A</w:t>
            </w:r>
            <w:r w:rsidR="00C3701D" w:rsidRPr="00FD2E46">
              <w:rPr>
                <w:rFonts w:cs="Arial"/>
                <w:sz w:val="20"/>
                <w:szCs w:val="20"/>
              </w:rPr>
              <w:t>udit, monitoring and evaluation of screening programme performance</w:t>
            </w:r>
            <w:r>
              <w:rPr>
                <w:rFonts w:cs="Arial"/>
                <w:sz w:val="20"/>
                <w:szCs w:val="20"/>
              </w:rPr>
              <w:t>.</w:t>
            </w:r>
          </w:p>
          <w:p w14:paraId="2CEF2F65" w14:textId="77777777" w:rsidR="00C3701D" w:rsidRPr="00FD2E46" w:rsidRDefault="00FD2E46" w:rsidP="003E3828">
            <w:pPr>
              <w:numPr>
                <w:ilvl w:val="0"/>
                <w:numId w:val="8"/>
              </w:numPr>
              <w:tabs>
                <w:tab w:val="clear" w:pos="360"/>
                <w:tab w:val="num" w:pos="540"/>
              </w:tabs>
              <w:spacing w:after="0" w:line="240" w:lineRule="auto"/>
              <w:ind w:left="539" w:hanging="539"/>
              <w:rPr>
                <w:rFonts w:cs="Arial"/>
                <w:sz w:val="20"/>
                <w:szCs w:val="20"/>
              </w:rPr>
            </w:pPr>
            <w:r>
              <w:rPr>
                <w:rFonts w:cs="Arial"/>
                <w:sz w:val="20"/>
                <w:szCs w:val="20"/>
              </w:rPr>
              <w:t>C</w:t>
            </w:r>
            <w:r w:rsidR="00C3701D" w:rsidRPr="00FD2E46">
              <w:rPr>
                <w:rFonts w:cs="Arial"/>
                <w:sz w:val="20"/>
                <w:szCs w:val="20"/>
              </w:rPr>
              <w:t>oordinating, leading and developing a screening workforce</w:t>
            </w:r>
            <w:r>
              <w:rPr>
                <w:rFonts w:cs="Arial"/>
                <w:sz w:val="20"/>
                <w:szCs w:val="20"/>
              </w:rPr>
              <w:t>.</w:t>
            </w:r>
            <w:r w:rsidR="00C3701D" w:rsidRPr="00FD2E46">
              <w:rPr>
                <w:rFonts w:cs="Arial"/>
                <w:sz w:val="20"/>
                <w:szCs w:val="20"/>
              </w:rPr>
              <w:t xml:space="preserve"> </w:t>
            </w:r>
          </w:p>
          <w:p w14:paraId="6EF9FD3F" w14:textId="77777777" w:rsidR="00C3701D" w:rsidRPr="00FD2E46" w:rsidRDefault="00FD2E46" w:rsidP="003E3828">
            <w:pPr>
              <w:numPr>
                <w:ilvl w:val="0"/>
                <w:numId w:val="8"/>
              </w:numPr>
              <w:tabs>
                <w:tab w:val="clear" w:pos="360"/>
                <w:tab w:val="num" w:pos="540"/>
              </w:tabs>
              <w:spacing w:after="0" w:line="240" w:lineRule="auto"/>
              <w:ind w:left="539" w:hanging="539"/>
              <w:rPr>
                <w:rFonts w:cs="Arial"/>
                <w:sz w:val="20"/>
                <w:szCs w:val="20"/>
              </w:rPr>
            </w:pPr>
            <w:r>
              <w:rPr>
                <w:rFonts w:cs="Arial"/>
                <w:sz w:val="20"/>
                <w:szCs w:val="20"/>
              </w:rPr>
              <w:t>A</w:t>
            </w:r>
            <w:r w:rsidR="00C3701D" w:rsidRPr="00FD2E46">
              <w:rPr>
                <w:rFonts w:cs="Arial"/>
                <w:sz w:val="20"/>
                <w:szCs w:val="20"/>
              </w:rPr>
              <w:t>dministering legislation related to screening programmes</w:t>
            </w:r>
            <w:r>
              <w:rPr>
                <w:rFonts w:cs="Arial"/>
                <w:sz w:val="20"/>
                <w:szCs w:val="20"/>
              </w:rPr>
              <w:t>.</w:t>
            </w:r>
            <w:r w:rsidR="00C3701D" w:rsidRPr="00FD2E46">
              <w:rPr>
                <w:rFonts w:cs="Arial"/>
                <w:sz w:val="20"/>
                <w:szCs w:val="20"/>
              </w:rPr>
              <w:t xml:space="preserve"> </w:t>
            </w:r>
          </w:p>
          <w:p w14:paraId="077545A3" w14:textId="77777777" w:rsidR="00C3701D" w:rsidRPr="00FD2E46" w:rsidRDefault="00FD2E46" w:rsidP="003E3828">
            <w:pPr>
              <w:numPr>
                <w:ilvl w:val="0"/>
                <w:numId w:val="8"/>
              </w:numPr>
              <w:tabs>
                <w:tab w:val="clear" w:pos="360"/>
                <w:tab w:val="num" w:pos="540"/>
              </w:tabs>
              <w:spacing w:after="60" w:line="240" w:lineRule="auto"/>
              <w:ind w:left="539" w:hanging="539"/>
              <w:rPr>
                <w:rFonts w:cs="Arial"/>
                <w:sz w:val="20"/>
                <w:szCs w:val="20"/>
              </w:rPr>
            </w:pPr>
            <w:r>
              <w:rPr>
                <w:rFonts w:cs="Arial"/>
                <w:sz w:val="20"/>
                <w:szCs w:val="20"/>
              </w:rPr>
              <w:t>I</w:t>
            </w:r>
            <w:r w:rsidR="00C3701D" w:rsidRPr="00FD2E46">
              <w:rPr>
                <w:rFonts w:cs="Arial"/>
                <w:sz w:val="20"/>
                <w:szCs w:val="20"/>
              </w:rPr>
              <w:t>dentifying under-screened groups and developing effective strategies to improve their participation.</w:t>
            </w:r>
          </w:p>
          <w:p w14:paraId="38FD397C" w14:textId="145B6419" w:rsidR="00C3701D" w:rsidRPr="00FD2E46" w:rsidRDefault="00C3701D" w:rsidP="003E3828">
            <w:pPr>
              <w:spacing w:after="0" w:line="240" w:lineRule="auto"/>
              <w:rPr>
                <w:rFonts w:cs="Arial"/>
                <w:sz w:val="20"/>
                <w:szCs w:val="20"/>
              </w:rPr>
            </w:pPr>
            <w:r w:rsidRPr="00FD2E46">
              <w:rPr>
                <w:rFonts w:cs="Arial"/>
                <w:sz w:val="20"/>
                <w:szCs w:val="20"/>
              </w:rPr>
              <w:t xml:space="preserve">Detailed service descriptions are defined in the </w:t>
            </w:r>
            <w:r w:rsidR="00AE2A17">
              <w:rPr>
                <w:rFonts w:cs="Arial"/>
                <w:sz w:val="20"/>
                <w:szCs w:val="20"/>
              </w:rPr>
              <w:t xml:space="preserve">individual agreements with DHBs and other providers. </w:t>
            </w:r>
          </w:p>
          <w:p w14:paraId="65931785" w14:textId="77777777" w:rsidR="00C3701D" w:rsidRPr="00FD2E46" w:rsidRDefault="00C3701D" w:rsidP="003E3828">
            <w:pPr>
              <w:spacing w:before="60" w:after="20" w:line="240" w:lineRule="auto"/>
              <w:rPr>
                <w:rFonts w:cs="Arial"/>
                <w:sz w:val="20"/>
                <w:szCs w:val="20"/>
              </w:rPr>
            </w:pPr>
            <w:r w:rsidRPr="00FD2E46">
              <w:rPr>
                <w:rFonts w:cs="Arial"/>
                <w:sz w:val="20"/>
                <w:szCs w:val="20"/>
              </w:rPr>
              <w:t xml:space="preserve">The link between </w:t>
            </w:r>
            <w:r w:rsidR="004267D8" w:rsidRPr="00FD2E46">
              <w:rPr>
                <w:rFonts w:cs="Arial"/>
                <w:sz w:val="20"/>
                <w:szCs w:val="20"/>
              </w:rPr>
              <w:t xml:space="preserve">the NCSP </w:t>
            </w:r>
            <w:r w:rsidRPr="00FD2E46">
              <w:rPr>
                <w:rFonts w:cs="Arial"/>
                <w:sz w:val="20"/>
                <w:szCs w:val="20"/>
              </w:rPr>
              <w:t xml:space="preserve">and the </w:t>
            </w:r>
            <w:r w:rsidRPr="00FD2E46">
              <w:rPr>
                <w:sz w:val="20"/>
                <w:szCs w:val="20"/>
              </w:rPr>
              <w:t xml:space="preserve">HPV Immunisation Programme </w:t>
            </w:r>
            <w:r w:rsidRPr="00FD2E46">
              <w:rPr>
                <w:rFonts w:cs="Arial"/>
                <w:sz w:val="20"/>
                <w:szCs w:val="20"/>
              </w:rPr>
              <w:t xml:space="preserve">is important, as the combination of HPV immunisation and cervical screening is the best way to prevent cervical cancer.  Please refer to the </w:t>
            </w:r>
            <w:r w:rsidR="00FD2E46">
              <w:rPr>
                <w:rFonts w:cs="Arial"/>
                <w:sz w:val="20"/>
                <w:szCs w:val="20"/>
              </w:rPr>
              <w:t xml:space="preserve">tier three </w:t>
            </w:r>
            <w:r w:rsidRPr="00FD2E46">
              <w:rPr>
                <w:rFonts w:cs="Arial"/>
                <w:sz w:val="20"/>
                <w:szCs w:val="20"/>
              </w:rPr>
              <w:t>Public Health Preventive Intervention</w:t>
            </w:r>
            <w:r w:rsidR="005D7EF2" w:rsidRPr="00FD2E46">
              <w:rPr>
                <w:rFonts w:cs="Arial"/>
                <w:sz w:val="20"/>
                <w:szCs w:val="20"/>
              </w:rPr>
              <w:t>s</w:t>
            </w:r>
            <w:r w:rsidR="004F1F25">
              <w:rPr>
                <w:rFonts w:cs="Arial"/>
                <w:sz w:val="20"/>
                <w:szCs w:val="20"/>
              </w:rPr>
              <w:t xml:space="preserve"> </w:t>
            </w:r>
            <w:r w:rsidRPr="00FD2E46">
              <w:rPr>
                <w:rFonts w:cs="Arial"/>
                <w:sz w:val="20"/>
                <w:szCs w:val="20"/>
              </w:rPr>
              <w:t>service specification for Immunisation.</w:t>
            </w:r>
          </w:p>
        </w:tc>
      </w:tr>
      <w:tr w:rsidR="00C3701D" w:rsidRPr="00FD2E46" w14:paraId="38E6C18C" w14:textId="77777777" w:rsidTr="00127197">
        <w:tc>
          <w:tcPr>
            <w:tcW w:w="1180" w:type="pct"/>
            <w:tcBorders>
              <w:top w:val="single" w:sz="4" w:space="0" w:color="auto"/>
              <w:left w:val="single" w:sz="4" w:space="0" w:color="auto"/>
              <w:bottom w:val="single" w:sz="4" w:space="0" w:color="auto"/>
              <w:right w:val="single" w:sz="4" w:space="0" w:color="auto"/>
            </w:tcBorders>
            <w:hideMark/>
          </w:tcPr>
          <w:p w14:paraId="59D51125" w14:textId="77777777" w:rsidR="00C3701D" w:rsidRPr="00FD2E46" w:rsidRDefault="004267D8" w:rsidP="003E3828">
            <w:pPr>
              <w:spacing w:before="20" w:after="0" w:line="240" w:lineRule="auto"/>
              <w:ind w:left="360" w:hanging="360"/>
              <w:rPr>
                <w:rFonts w:eastAsia="Times New Roman" w:cs="Arial"/>
                <w:b/>
                <w:bCs/>
                <w:sz w:val="20"/>
                <w:szCs w:val="20"/>
              </w:rPr>
            </w:pPr>
            <w:r w:rsidRPr="00FD2E46">
              <w:rPr>
                <w:rFonts w:eastAsia="Times New Roman" w:cs="Arial"/>
                <w:b/>
                <w:bCs/>
                <w:sz w:val="20"/>
                <w:szCs w:val="20"/>
              </w:rPr>
              <w:t>3.</w:t>
            </w:r>
            <w:r w:rsidRPr="00FD2E46">
              <w:rPr>
                <w:rFonts w:eastAsia="Times New Roman" w:cs="Arial"/>
                <w:b/>
                <w:bCs/>
                <w:sz w:val="20"/>
                <w:szCs w:val="20"/>
              </w:rPr>
              <w:tab/>
              <w:t xml:space="preserve">Stop </w:t>
            </w:r>
            <w:r w:rsidR="00C3701D" w:rsidRPr="00FD2E46">
              <w:rPr>
                <w:rFonts w:eastAsia="Times New Roman" w:cs="Arial"/>
                <w:b/>
                <w:bCs/>
                <w:sz w:val="20"/>
                <w:szCs w:val="20"/>
              </w:rPr>
              <w:t xml:space="preserve">Smoking </w:t>
            </w:r>
            <w:r w:rsidR="003725A7" w:rsidRPr="00FD2E46">
              <w:rPr>
                <w:rFonts w:eastAsia="Times New Roman" w:cs="Arial"/>
                <w:b/>
                <w:bCs/>
                <w:sz w:val="20"/>
                <w:szCs w:val="20"/>
              </w:rPr>
              <w:t>Services</w:t>
            </w:r>
          </w:p>
        </w:tc>
        <w:tc>
          <w:tcPr>
            <w:tcW w:w="3820" w:type="pct"/>
            <w:tcBorders>
              <w:top w:val="single" w:sz="4" w:space="0" w:color="auto"/>
              <w:left w:val="single" w:sz="4" w:space="0" w:color="auto"/>
              <w:bottom w:val="single" w:sz="4" w:space="0" w:color="auto"/>
              <w:right w:val="single" w:sz="4" w:space="0" w:color="auto"/>
            </w:tcBorders>
          </w:tcPr>
          <w:p w14:paraId="5DFF9593" w14:textId="77777777" w:rsidR="00C3701D" w:rsidRPr="00FD2E46" w:rsidRDefault="004267D8" w:rsidP="003E3828">
            <w:pPr>
              <w:spacing w:before="20" w:after="0" w:line="240" w:lineRule="auto"/>
              <w:rPr>
                <w:rFonts w:cs="Arial"/>
                <w:sz w:val="20"/>
                <w:szCs w:val="20"/>
              </w:rPr>
            </w:pPr>
            <w:r w:rsidRPr="00FD2E46">
              <w:rPr>
                <w:rFonts w:cs="Arial"/>
                <w:sz w:val="20"/>
                <w:szCs w:val="20"/>
              </w:rPr>
              <w:t xml:space="preserve">Stop </w:t>
            </w:r>
            <w:r w:rsidR="00C3701D" w:rsidRPr="00FD2E46">
              <w:rPr>
                <w:rFonts w:cs="Arial"/>
                <w:sz w:val="20"/>
                <w:szCs w:val="20"/>
              </w:rPr>
              <w:t xml:space="preserve">Smoking Services </w:t>
            </w:r>
            <w:r w:rsidR="00467A71" w:rsidRPr="00FD2E46">
              <w:rPr>
                <w:rFonts w:cs="Arial"/>
                <w:sz w:val="20"/>
                <w:szCs w:val="20"/>
              </w:rPr>
              <w:t>provide:</w:t>
            </w:r>
          </w:p>
          <w:p w14:paraId="311A2024" w14:textId="77777777" w:rsidR="00C3701D" w:rsidRPr="00FD2E46" w:rsidRDefault="00C3701D" w:rsidP="003E3828">
            <w:pPr>
              <w:numPr>
                <w:ilvl w:val="0"/>
                <w:numId w:val="9"/>
              </w:numPr>
              <w:tabs>
                <w:tab w:val="left" w:pos="540"/>
              </w:tabs>
              <w:spacing w:before="40" w:after="0" w:line="240" w:lineRule="auto"/>
              <w:ind w:left="540" w:hanging="540"/>
              <w:rPr>
                <w:rFonts w:cs="Arial"/>
                <w:sz w:val="20"/>
                <w:szCs w:val="20"/>
              </w:rPr>
            </w:pPr>
            <w:r w:rsidRPr="00FD2E46">
              <w:rPr>
                <w:rFonts w:cs="Arial"/>
                <w:sz w:val="20"/>
                <w:szCs w:val="20"/>
              </w:rPr>
              <w:t xml:space="preserve">evidence-based </w:t>
            </w:r>
            <w:r w:rsidR="004267D8" w:rsidRPr="00FD2E46">
              <w:rPr>
                <w:rFonts w:cs="Arial"/>
                <w:sz w:val="20"/>
                <w:szCs w:val="20"/>
              </w:rPr>
              <w:t xml:space="preserve">stop smoking </w:t>
            </w:r>
            <w:r w:rsidRPr="00FD2E46">
              <w:rPr>
                <w:rFonts w:cs="Arial"/>
                <w:sz w:val="20"/>
                <w:szCs w:val="20"/>
              </w:rPr>
              <w:t xml:space="preserve">treatment as specified </w:t>
            </w:r>
            <w:r w:rsidR="005D7EF2" w:rsidRPr="00FD2E46">
              <w:rPr>
                <w:rFonts w:cs="Arial"/>
                <w:sz w:val="20"/>
                <w:szCs w:val="20"/>
              </w:rPr>
              <w:t xml:space="preserve">in any relevant guidelines issued by the </w:t>
            </w:r>
            <w:r w:rsidR="004F1F25">
              <w:rPr>
                <w:rFonts w:cs="Arial"/>
                <w:sz w:val="20"/>
                <w:szCs w:val="20"/>
              </w:rPr>
              <w:t>Ministry</w:t>
            </w:r>
          </w:p>
          <w:p w14:paraId="524FC298" w14:textId="77777777" w:rsidR="00C3701D" w:rsidRPr="00FD2E46" w:rsidRDefault="00C3701D" w:rsidP="003E3828">
            <w:pPr>
              <w:numPr>
                <w:ilvl w:val="0"/>
                <w:numId w:val="9"/>
              </w:numPr>
              <w:spacing w:after="0" w:line="240" w:lineRule="auto"/>
              <w:ind w:left="540" w:hanging="540"/>
              <w:rPr>
                <w:rFonts w:cs="Arial"/>
                <w:sz w:val="20"/>
                <w:szCs w:val="20"/>
              </w:rPr>
            </w:pPr>
            <w:r w:rsidRPr="00FD2E46">
              <w:rPr>
                <w:rFonts w:cs="Arial"/>
                <w:sz w:val="20"/>
                <w:szCs w:val="20"/>
              </w:rPr>
              <w:t xml:space="preserve">measurement and documentation of  outcome measures </w:t>
            </w:r>
          </w:p>
          <w:p w14:paraId="58E91FED" w14:textId="77777777" w:rsidR="00C3701D" w:rsidRPr="00FD2E46" w:rsidRDefault="00C3701D" w:rsidP="003E3828">
            <w:pPr>
              <w:numPr>
                <w:ilvl w:val="0"/>
                <w:numId w:val="9"/>
              </w:numPr>
              <w:spacing w:after="0" w:line="240" w:lineRule="auto"/>
              <w:ind w:left="540" w:hanging="540"/>
              <w:rPr>
                <w:rFonts w:cs="Arial"/>
                <w:sz w:val="20"/>
                <w:szCs w:val="20"/>
              </w:rPr>
            </w:pPr>
            <w:proofErr w:type="gramStart"/>
            <w:r w:rsidRPr="00FD2E46">
              <w:rPr>
                <w:rFonts w:cs="Arial"/>
                <w:sz w:val="20"/>
                <w:szCs w:val="20"/>
              </w:rPr>
              <w:t>transferring</w:t>
            </w:r>
            <w:proofErr w:type="gramEnd"/>
            <w:r w:rsidRPr="00FD2E46">
              <w:rPr>
                <w:rFonts w:cs="Arial"/>
                <w:sz w:val="20"/>
                <w:szCs w:val="20"/>
              </w:rPr>
              <w:t xml:space="preserve"> treatment to another </w:t>
            </w:r>
            <w:r w:rsidR="00FD2E46">
              <w:rPr>
                <w:rFonts w:cs="Arial"/>
                <w:sz w:val="20"/>
                <w:szCs w:val="20"/>
              </w:rPr>
              <w:t xml:space="preserve">service </w:t>
            </w:r>
            <w:r w:rsidRPr="00FD2E46">
              <w:rPr>
                <w:rFonts w:cs="Arial"/>
                <w:sz w:val="20"/>
                <w:szCs w:val="20"/>
              </w:rPr>
              <w:t xml:space="preserve">provider if appropriate for the Service </w:t>
            </w:r>
            <w:r w:rsidR="00FD2E46">
              <w:rPr>
                <w:rFonts w:cs="Arial"/>
                <w:sz w:val="20"/>
                <w:szCs w:val="20"/>
              </w:rPr>
              <w:t>U</w:t>
            </w:r>
            <w:r w:rsidR="00FD2E46" w:rsidRPr="00FD2E46">
              <w:rPr>
                <w:rFonts w:cs="Arial"/>
                <w:sz w:val="20"/>
                <w:szCs w:val="20"/>
              </w:rPr>
              <w:t>ser</w:t>
            </w:r>
            <w:r w:rsidRPr="00FD2E46">
              <w:rPr>
                <w:rFonts w:cs="Arial"/>
                <w:sz w:val="20"/>
                <w:szCs w:val="20"/>
              </w:rPr>
              <w:t>, or if requested.</w:t>
            </w:r>
          </w:p>
          <w:p w14:paraId="027AB7B8" w14:textId="77777777" w:rsidR="00C3701D" w:rsidRPr="00FD2E46" w:rsidRDefault="00C3701D" w:rsidP="003E3828">
            <w:pPr>
              <w:spacing w:before="60" w:after="20" w:line="240" w:lineRule="auto"/>
              <w:rPr>
                <w:rFonts w:cs="Arial"/>
                <w:sz w:val="20"/>
                <w:szCs w:val="20"/>
              </w:rPr>
            </w:pPr>
            <w:r w:rsidRPr="00FD2E46">
              <w:rPr>
                <w:rFonts w:cs="Arial"/>
                <w:sz w:val="20"/>
                <w:szCs w:val="20"/>
              </w:rPr>
              <w:t xml:space="preserve">The detailed service description for </w:t>
            </w:r>
            <w:r w:rsidR="004267D8" w:rsidRPr="00FD2E46">
              <w:rPr>
                <w:rFonts w:cs="Arial"/>
                <w:sz w:val="20"/>
                <w:szCs w:val="20"/>
              </w:rPr>
              <w:t xml:space="preserve">stop </w:t>
            </w:r>
            <w:r w:rsidRPr="00FD2E46">
              <w:rPr>
                <w:rFonts w:cs="Arial"/>
                <w:sz w:val="20"/>
                <w:szCs w:val="20"/>
              </w:rPr>
              <w:t xml:space="preserve">smoking services is defined in the </w:t>
            </w:r>
            <w:r w:rsidR="00FD2E46">
              <w:rPr>
                <w:rFonts w:cs="Arial"/>
                <w:sz w:val="20"/>
                <w:szCs w:val="20"/>
              </w:rPr>
              <w:t xml:space="preserve">tier three </w:t>
            </w:r>
            <w:r w:rsidRPr="00FD2E46">
              <w:rPr>
                <w:rFonts w:cs="Arial"/>
                <w:sz w:val="20"/>
                <w:szCs w:val="20"/>
              </w:rPr>
              <w:t>Public Health Preventive Intervention</w:t>
            </w:r>
            <w:r w:rsidR="005D7EF2" w:rsidRPr="00FD2E46">
              <w:rPr>
                <w:rFonts w:cs="Arial"/>
                <w:sz w:val="20"/>
                <w:szCs w:val="20"/>
              </w:rPr>
              <w:t>s</w:t>
            </w:r>
            <w:r w:rsidRPr="00FD2E46">
              <w:rPr>
                <w:rFonts w:cs="Arial"/>
                <w:sz w:val="20"/>
                <w:szCs w:val="20"/>
              </w:rPr>
              <w:t xml:space="preserve"> </w:t>
            </w:r>
            <w:r w:rsidR="004267D8" w:rsidRPr="00FD2E46">
              <w:rPr>
                <w:rFonts w:cs="Arial"/>
                <w:sz w:val="20"/>
                <w:szCs w:val="20"/>
              </w:rPr>
              <w:t xml:space="preserve">Stop </w:t>
            </w:r>
            <w:r w:rsidRPr="00FD2E46">
              <w:rPr>
                <w:rFonts w:cs="Arial"/>
                <w:sz w:val="20"/>
                <w:szCs w:val="20"/>
              </w:rPr>
              <w:t>Smoking</w:t>
            </w:r>
            <w:r w:rsidR="003725A7" w:rsidRPr="00FD2E46">
              <w:rPr>
                <w:rFonts w:cs="Arial"/>
                <w:sz w:val="20"/>
                <w:szCs w:val="20"/>
              </w:rPr>
              <w:t xml:space="preserve"> Service</w:t>
            </w:r>
            <w:r w:rsidR="005E0152" w:rsidRPr="00FD2E46">
              <w:rPr>
                <w:rFonts w:cs="Arial"/>
                <w:sz w:val="20"/>
                <w:szCs w:val="20"/>
              </w:rPr>
              <w:t>s</w:t>
            </w:r>
            <w:r w:rsidRPr="00FD2E46">
              <w:rPr>
                <w:rFonts w:cs="Arial"/>
                <w:sz w:val="20"/>
                <w:szCs w:val="20"/>
              </w:rPr>
              <w:t xml:space="preserve"> service specification and should b</w:t>
            </w:r>
            <w:r w:rsidR="004267D8" w:rsidRPr="00FD2E46">
              <w:rPr>
                <w:rFonts w:cs="Arial"/>
                <w:sz w:val="20"/>
                <w:szCs w:val="20"/>
              </w:rPr>
              <w:t xml:space="preserve">e read in conjunction with the </w:t>
            </w:r>
            <w:r w:rsidR="00FD2E46">
              <w:rPr>
                <w:rFonts w:cs="Arial"/>
                <w:sz w:val="20"/>
                <w:szCs w:val="20"/>
              </w:rPr>
              <w:t xml:space="preserve">tier two </w:t>
            </w:r>
            <w:r w:rsidRPr="00FD2E46">
              <w:rPr>
                <w:rFonts w:cs="Arial"/>
                <w:sz w:val="20"/>
                <w:szCs w:val="20"/>
              </w:rPr>
              <w:t>Public Health</w:t>
            </w:r>
            <w:r w:rsidR="00921AEC" w:rsidRPr="00FD2E46">
              <w:rPr>
                <w:rFonts w:cs="Arial"/>
                <w:sz w:val="20"/>
                <w:szCs w:val="20"/>
              </w:rPr>
              <w:t xml:space="preserve"> Services</w:t>
            </w:r>
            <w:r w:rsidRPr="00FD2E46">
              <w:rPr>
                <w:rFonts w:cs="Arial"/>
                <w:sz w:val="20"/>
                <w:szCs w:val="20"/>
              </w:rPr>
              <w:t xml:space="preserve"> Health Protection </w:t>
            </w:r>
            <w:r w:rsidR="00921AEC" w:rsidRPr="00FD2E46">
              <w:rPr>
                <w:rFonts w:cs="Arial"/>
                <w:sz w:val="20"/>
                <w:szCs w:val="20"/>
              </w:rPr>
              <w:t xml:space="preserve">and Health Promotion </w:t>
            </w:r>
            <w:r w:rsidRPr="00FD2E46">
              <w:rPr>
                <w:rFonts w:cs="Arial"/>
                <w:sz w:val="20"/>
                <w:szCs w:val="20"/>
              </w:rPr>
              <w:t xml:space="preserve">service </w:t>
            </w:r>
            <w:r w:rsidR="003966CF" w:rsidRPr="00FD2E46">
              <w:rPr>
                <w:rFonts w:cs="Arial"/>
                <w:sz w:val="20"/>
                <w:szCs w:val="20"/>
              </w:rPr>
              <w:t>specifications.</w:t>
            </w:r>
          </w:p>
        </w:tc>
      </w:tr>
      <w:tr w:rsidR="00220ED9" w:rsidRPr="00FD2E46" w14:paraId="20DEDBFE" w14:textId="77777777" w:rsidTr="00127197">
        <w:tc>
          <w:tcPr>
            <w:tcW w:w="1180" w:type="pct"/>
            <w:tcBorders>
              <w:top w:val="single" w:sz="4" w:space="0" w:color="auto"/>
              <w:left w:val="single" w:sz="4" w:space="0" w:color="auto"/>
              <w:bottom w:val="single" w:sz="4" w:space="0" w:color="auto"/>
              <w:right w:val="single" w:sz="4" w:space="0" w:color="auto"/>
            </w:tcBorders>
          </w:tcPr>
          <w:p w14:paraId="079BD814" w14:textId="77777777" w:rsidR="00220ED9" w:rsidRPr="00FD2E46" w:rsidRDefault="00220ED9" w:rsidP="003E3828">
            <w:pPr>
              <w:pStyle w:val="ListParagraph"/>
              <w:numPr>
                <w:ilvl w:val="0"/>
                <w:numId w:val="37"/>
              </w:numPr>
              <w:spacing w:before="20" w:after="0" w:line="240" w:lineRule="auto"/>
              <w:rPr>
                <w:rFonts w:eastAsia="Times New Roman" w:cs="Arial"/>
                <w:b/>
                <w:bCs/>
                <w:sz w:val="20"/>
                <w:szCs w:val="20"/>
              </w:rPr>
            </w:pPr>
            <w:r w:rsidRPr="00FD2E46">
              <w:rPr>
                <w:rFonts w:eastAsia="Times New Roman" w:cs="Arial"/>
                <w:b/>
                <w:bCs/>
                <w:sz w:val="20"/>
                <w:szCs w:val="20"/>
              </w:rPr>
              <w:t xml:space="preserve">Family Violence </w:t>
            </w:r>
          </w:p>
        </w:tc>
        <w:tc>
          <w:tcPr>
            <w:tcW w:w="3820" w:type="pct"/>
            <w:tcBorders>
              <w:top w:val="single" w:sz="4" w:space="0" w:color="auto"/>
              <w:left w:val="single" w:sz="4" w:space="0" w:color="auto"/>
              <w:bottom w:val="single" w:sz="4" w:space="0" w:color="auto"/>
              <w:right w:val="single" w:sz="4" w:space="0" w:color="auto"/>
            </w:tcBorders>
          </w:tcPr>
          <w:p w14:paraId="00BD34F0" w14:textId="77777777" w:rsidR="00220ED9" w:rsidRPr="00FD2E46" w:rsidRDefault="00220ED9" w:rsidP="003E3828">
            <w:pPr>
              <w:spacing w:before="20" w:after="0" w:line="240" w:lineRule="auto"/>
              <w:jc w:val="both"/>
              <w:rPr>
                <w:rFonts w:eastAsiaTheme="minorHAnsi" w:cs="Arial"/>
                <w:sz w:val="20"/>
                <w:szCs w:val="20"/>
              </w:rPr>
            </w:pPr>
            <w:r w:rsidRPr="00FD2E46">
              <w:rPr>
                <w:rFonts w:eastAsiaTheme="minorHAnsi" w:cs="Arial"/>
                <w:sz w:val="20"/>
                <w:szCs w:val="20"/>
              </w:rPr>
              <w:t xml:space="preserve">Delivery of Family Violence Interventions include delivery of services that: </w:t>
            </w:r>
          </w:p>
          <w:p w14:paraId="75A47B1B" w14:textId="77777777" w:rsidR="00220ED9" w:rsidRPr="00FD2E46" w:rsidRDefault="00467A71" w:rsidP="003E3828">
            <w:pPr>
              <w:numPr>
                <w:ilvl w:val="0"/>
                <w:numId w:val="38"/>
              </w:numPr>
              <w:spacing w:after="0" w:line="240" w:lineRule="auto"/>
              <w:contextualSpacing/>
              <w:jc w:val="both"/>
              <w:rPr>
                <w:rFonts w:eastAsiaTheme="minorHAnsi" w:cs="Arial"/>
                <w:sz w:val="20"/>
                <w:szCs w:val="20"/>
              </w:rPr>
            </w:pPr>
            <w:r w:rsidRPr="00FD2E46">
              <w:rPr>
                <w:rFonts w:eastAsiaTheme="minorHAnsi" w:cs="Arial"/>
                <w:sz w:val="20"/>
                <w:szCs w:val="20"/>
              </w:rPr>
              <w:t>i</w:t>
            </w:r>
            <w:r w:rsidR="00220ED9" w:rsidRPr="00FD2E46">
              <w:rPr>
                <w:rFonts w:eastAsiaTheme="minorHAnsi" w:cs="Arial"/>
                <w:sz w:val="20"/>
                <w:szCs w:val="20"/>
              </w:rPr>
              <w:t xml:space="preserve">mprove the ability of health professionals in DHBs and community-based primary care services to competently and confidently </w:t>
            </w:r>
            <w:r w:rsidR="00183FC2" w:rsidRPr="00FD2E46">
              <w:rPr>
                <w:rFonts w:eastAsiaTheme="minorHAnsi" w:cs="Arial"/>
                <w:sz w:val="20"/>
                <w:szCs w:val="20"/>
              </w:rPr>
              <w:t>identify</w:t>
            </w:r>
            <w:r w:rsidR="00220ED9" w:rsidRPr="00FD2E46">
              <w:rPr>
                <w:rFonts w:eastAsiaTheme="minorHAnsi" w:cs="Arial"/>
                <w:sz w:val="20"/>
                <w:szCs w:val="20"/>
              </w:rPr>
              <w:t>, support</w:t>
            </w:r>
            <w:r w:rsidR="00183FC2" w:rsidRPr="00FD2E46">
              <w:rPr>
                <w:rFonts w:eastAsiaTheme="minorHAnsi" w:cs="Arial"/>
                <w:sz w:val="20"/>
                <w:szCs w:val="20"/>
              </w:rPr>
              <w:t>, assess</w:t>
            </w:r>
            <w:r w:rsidR="00220ED9" w:rsidRPr="00FD2E46">
              <w:rPr>
                <w:rFonts w:eastAsiaTheme="minorHAnsi" w:cs="Arial"/>
                <w:sz w:val="20"/>
                <w:szCs w:val="20"/>
              </w:rPr>
              <w:t xml:space="preserve"> and refer victims of</w:t>
            </w:r>
            <w:r w:rsidR="00183FC2" w:rsidRPr="00FD2E46">
              <w:rPr>
                <w:rFonts w:eastAsiaTheme="minorHAnsi" w:cs="Arial"/>
                <w:sz w:val="20"/>
                <w:szCs w:val="20"/>
              </w:rPr>
              <w:t xml:space="preserve"> family</w:t>
            </w:r>
            <w:r w:rsidRPr="00FD2E46">
              <w:rPr>
                <w:rFonts w:eastAsiaTheme="minorHAnsi" w:cs="Arial"/>
                <w:sz w:val="20"/>
                <w:szCs w:val="20"/>
              </w:rPr>
              <w:t xml:space="preserve"> violence</w:t>
            </w:r>
          </w:p>
          <w:p w14:paraId="4213A32F" w14:textId="77777777" w:rsidR="00220ED9" w:rsidRPr="00FD2E46" w:rsidRDefault="00467A71" w:rsidP="003E3828">
            <w:pPr>
              <w:numPr>
                <w:ilvl w:val="0"/>
                <w:numId w:val="38"/>
              </w:numPr>
              <w:spacing w:after="0" w:line="240" w:lineRule="auto"/>
              <w:contextualSpacing/>
              <w:jc w:val="both"/>
              <w:rPr>
                <w:rFonts w:eastAsiaTheme="minorHAnsi" w:cs="Arial"/>
                <w:sz w:val="20"/>
                <w:szCs w:val="20"/>
              </w:rPr>
            </w:pPr>
            <w:r w:rsidRPr="00FD2E46">
              <w:rPr>
                <w:rFonts w:eastAsiaTheme="minorHAnsi" w:cs="Arial"/>
                <w:sz w:val="20"/>
                <w:szCs w:val="20"/>
              </w:rPr>
              <w:t>a</w:t>
            </w:r>
            <w:r w:rsidR="00220ED9" w:rsidRPr="00FD2E46">
              <w:rPr>
                <w:rFonts w:eastAsiaTheme="minorHAnsi" w:cs="Arial"/>
                <w:sz w:val="20"/>
                <w:szCs w:val="20"/>
              </w:rPr>
              <w:t>chieve and maintain quality standards for best practice service planning, implementation and eva</w:t>
            </w:r>
            <w:r w:rsidRPr="00FD2E46">
              <w:rPr>
                <w:rFonts w:eastAsiaTheme="minorHAnsi" w:cs="Arial"/>
                <w:sz w:val="20"/>
                <w:szCs w:val="20"/>
              </w:rPr>
              <w:t>luation as set by the Ministry</w:t>
            </w:r>
          </w:p>
          <w:p w14:paraId="06682881" w14:textId="77777777" w:rsidR="00220ED9" w:rsidRPr="00FD2E46" w:rsidRDefault="00467A71" w:rsidP="003E3828">
            <w:pPr>
              <w:numPr>
                <w:ilvl w:val="0"/>
                <w:numId w:val="38"/>
              </w:numPr>
              <w:spacing w:after="0" w:line="240" w:lineRule="auto"/>
              <w:contextualSpacing/>
              <w:jc w:val="both"/>
              <w:rPr>
                <w:rFonts w:eastAsiaTheme="minorHAnsi" w:cs="Arial"/>
                <w:sz w:val="20"/>
                <w:szCs w:val="20"/>
              </w:rPr>
            </w:pPr>
            <w:r w:rsidRPr="00FD2E46">
              <w:rPr>
                <w:rFonts w:eastAsiaTheme="minorHAnsi" w:cs="Arial"/>
                <w:sz w:val="20"/>
                <w:szCs w:val="20"/>
              </w:rPr>
              <w:t>i</w:t>
            </w:r>
            <w:r w:rsidR="00220ED9" w:rsidRPr="00FD2E46">
              <w:rPr>
                <w:rFonts w:eastAsiaTheme="minorHAnsi" w:cs="Arial"/>
                <w:sz w:val="20"/>
                <w:szCs w:val="20"/>
              </w:rPr>
              <w:t>ncrease family violence programme responsiveness to Māori and other population groups through quality improvement activities and wrap around se</w:t>
            </w:r>
            <w:r w:rsidRPr="00FD2E46">
              <w:rPr>
                <w:rFonts w:eastAsiaTheme="minorHAnsi" w:cs="Arial"/>
                <w:sz w:val="20"/>
                <w:szCs w:val="20"/>
              </w:rPr>
              <w:t xml:space="preserve">rvices tailored to </w:t>
            </w:r>
            <w:r w:rsidRPr="00FD2E46">
              <w:rPr>
                <w:rFonts w:eastAsiaTheme="minorHAnsi" w:cs="Arial"/>
                <w:sz w:val="20"/>
                <w:szCs w:val="20"/>
              </w:rPr>
              <w:lastRenderedPageBreak/>
              <w:t>their needs</w:t>
            </w:r>
            <w:r w:rsidR="00220ED9" w:rsidRPr="00FD2E46">
              <w:rPr>
                <w:rFonts w:eastAsiaTheme="minorHAnsi" w:cs="Arial"/>
                <w:sz w:val="20"/>
                <w:szCs w:val="20"/>
              </w:rPr>
              <w:t xml:space="preserve"> </w:t>
            </w:r>
          </w:p>
          <w:p w14:paraId="64E69BF3" w14:textId="77777777" w:rsidR="00220ED9" w:rsidRPr="0080152E" w:rsidRDefault="00467A71" w:rsidP="003E3828">
            <w:pPr>
              <w:numPr>
                <w:ilvl w:val="0"/>
                <w:numId w:val="38"/>
              </w:numPr>
              <w:spacing w:after="0" w:line="240" w:lineRule="auto"/>
              <w:contextualSpacing/>
              <w:rPr>
                <w:rFonts w:eastAsiaTheme="minorHAnsi" w:cs="Arial"/>
                <w:sz w:val="20"/>
                <w:szCs w:val="20"/>
              </w:rPr>
            </w:pPr>
            <w:proofErr w:type="gramStart"/>
            <w:r w:rsidRPr="00FD2E46">
              <w:rPr>
                <w:rFonts w:eastAsiaTheme="minorHAnsi" w:cs="Arial"/>
                <w:sz w:val="20"/>
                <w:szCs w:val="20"/>
              </w:rPr>
              <w:t>i</w:t>
            </w:r>
            <w:r w:rsidR="00220ED9" w:rsidRPr="00FD2E46">
              <w:rPr>
                <w:rFonts w:eastAsiaTheme="minorHAnsi" w:cs="Arial"/>
                <w:sz w:val="20"/>
                <w:szCs w:val="20"/>
              </w:rPr>
              <w:t>mprove</w:t>
            </w:r>
            <w:proofErr w:type="gramEnd"/>
            <w:r w:rsidR="00220ED9" w:rsidRPr="00FD2E46">
              <w:rPr>
                <w:rFonts w:eastAsiaTheme="minorHAnsi" w:cs="Arial"/>
                <w:sz w:val="20"/>
                <w:szCs w:val="20"/>
              </w:rPr>
              <w:t xml:space="preserve"> health system responsiveness and service integration with community and other agencies working in child protection and family violence </w:t>
            </w:r>
            <w:r w:rsidR="00183FC2" w:rsidRPr="00FD2E46">
              <w:rPr>
                <w:rFonts w:eastAsiaTheme="minorHAnsi" w:cs="Arial"/>
                <w:sz w:val="20"/>
                <w:szCs w:val="20"/>
              </w:rPr>
              <w:t>intervention</w:t>
            </w:r>
            <w:r w:rsidR="00220ED9" w:rsidRPr="00FD2E46">
              <w:rPr>
                <w:rFonts w:eastAsiaTheme="minorHAnsi" w:cs="Arial"/>
                <w:sz w:val="20"/>
                <w:szCs w:val="20"/>
              </w:rPr>
              <w:t xml:space="preserve"> in primary care settings.</w:t>
            </w:r>
          </w:p>
          <w:p w14:paraId="7DF9B73A" w14:textId="77777777" w:rsidR="00220ED9" w:rsidRPr="00FD2E46" w:rsidRDefault="00220ED9" w:rsidP="003E3828">
            <w:pPr>
              <w:spacing w:before="60" w:after="0" w:line="240" w:lineRule="auto"/>
              <w:rPr>
                <w:rFonts w:eastAsiaTheme="minorHAnsi" w:cs="Arial"/>
                <w:sz w:val="20"/>
                <w:szCs w:val="20"/>
              </w:rPr>
            </w:pPr>
            <w:r w:rsidRPr="00FD2E46">
              <w:rPr>
                <w:rFonts w:eastAsiaTheme="minorHAnsi" w:cs="Arial"/>
                <w:sz w:val="20"/>
                <w:szCs w:val="20"/>
              </w:rPr>
              <w:t>The core functions are:</w:t>
            </w:r>
          </w:p>
          <w:p w14:paraId="6FF7393C" w14:textId="77777777" w:rsidR="00220ED9" w:rsidRPr="00FD2E46" w:rsidRDefault="00220ED9" w:rsidP="003E3828">
            <w:pPr>
              <w:numPr>
                <w:ilvl w:val="0"/>
                <w:numId w:val="8"/>
              </w:numPr>
              <w:spacing w:before="40" w:after="0" w:line="240" w:lineRule="auto"/>
              <w:rPr>
                <w:rFonts w:eastAsiaTheme="minorHAnsi" w:cs="Arial"/>
                <w:sz w:val="20"/>
                <w:szCs w:val="20"/>
              </w:rPr>
            </w:pPr>
            <w:r w:rsidRPr="00FD2E46">
              <w:rPr>
                <w:rFonts w:eastAsiaTheme="minorHAnsi" w:cs="Arial"/>
                <w:sz w:val="20"/>
                <w:szCs w:val="20"/>
              </w:rPr>
              <w:t xml:space="preserve">national implementation coordination, and advice to </w:t>
            </w:r>
            <w:r w:rsidR="00FD2E46">
              <w:rPr>
                <w:rFonts w:eastAsiaTheme="minorHAnsi" w:cs="Arial"/>
                <w:sz w:val="20"/>
                <w:szCs w:val="20"/>
              </w:rPr>
              <w:t>G</w:t>
            </w:r>
            <w:r w:rsidR="00FD2E46" w:rsidRPr="00FD2E46">
              <w:rPr>
                <w:rFonts w:eastAsiaTheme="minorHAnsi" w:cs="Arial"/>
                <w:sz w:val="20"/>
                <w:szCs w:val="20"/>
              </w:rPr>
              <w:t xml:space="preserve">overnment </w:t>
            </w:r>
            <w:r w:rsidRPr="00FD2E46">
              <w:rPr>
                <w:rFonts w:eastAsiaTheme="minorHAnsi" w:cs="Arial"/>
                <w:sz w:val="20"/>
                <w:szCs w:val="20"/>
              </w:rPr>
              <w:t xml:space="preserve">regarding family violence interventions </w:t>
            </w:r>
          </w:p>
          <w:p w14:paraId="7A5B94BA" w14:textId="77777777" w:rsidR="00220ED9" w:rsidRPr="00FD2E46" w:rsidRDefault="00220ED9" w:rsidP="003E3828">
            <w:pPr>
              <w:numPr>
                <w:ilvl w:val="0"/>
                <w:numId w:val="8"/>
              </w:numPr>
              <w:spacing w:after="0" w:line="240" w:lineRule="auto"/>
              <w:rPr>
                <w:rFonts w:eastAsiaTheme="minorHAnsi" w:cs="Arial"/>
                <w:sz w:val="20"/>
                <w:szCs w:val="20"/>
              </w:rPr>
            </w:pPr>
            <w:r w:rsidRPr="00FD2E46">
              <w:rPr>
                <w:rFonts w:eastAsiaTheme="minorHAnsi" w:cs="Arial"/>
                <w:sz w:val="20"/>
                <w:szCs w:val="20"/>
              </w:rPr>
              <w:t xml:space="preserve">district/regional </w:t>
            </w:r>
            <w:r w:rsidR="00183FC2" w:rsidRPr="00FD2E46">
              <w:rPr>
                <w:rFonts w:eastAsiaTheme="minorHAnsi" w:cs="Arial"/>
                <w:sz w:val="20"/>
                <w:szCs w:val="20"/>
              </w:rPr>
              <w:t>infrastructure development</w:t>
            </w:r>
            <w:r w:rsidRPr="00FD2E46">
              <w:rPr>
                <w:rFonts w:eastAsiaTheme="minorHAnsi" w:cs="Arial"/>
                <w:sz w:val="20"/>
                <w:szCs w:val="20"/>
              </w:rPr>
              <w:t xml:space="preserve"> and</w:t>
            </w:r>
            <w:r w:rsidR="00183FC2" w:rsidRPr="00FD2E46">
              <w:rPr>
                <w:rFonts w:eastAsiaTheme="minorHAnsi" w:cs="Arial"/>
                <w:sz w:val="20"/>
                <w:szCs w:val="20"/>
              </w:rPr>
              <w:t xml:space="preserve"> programme implementation with</w:t>
            </w:r>
            <w:r w:rsidRPr="00FD2E46">
              <w:rPr>
                <w:rFonts w:eastAsiaTheme="minorHAnsi" w:cs="Arial"/>
                <w:sz w:val="20"/>
                <w:szCs w:val="20"/>
              </w:rPr>
              <w:t xml:space="preserve"> coordination of workforce development strategies</w:t>
            </w:r>
          </w:p>
          <w:p w14:paraId="26658CFF" w14:textId="77777777" w:rsidR="00A86413" w:rsidRPr="00FD2E46" w:rsidRDefault="00220ED9" w:rsidP="003E3828">
            <w:pPr>
              <w:numPr>
                <w:ilvl w:val="0"/>
                <w:numId w:val="8"/>
              </w:numPr>
              <w:spacing w:after="20" w:line="240" w:lineRule="auto"/>
              <w:rPr>
                <w:rFonts w:eastAsiaTheme="minorHAnsi" w:cs="Arial"/>
                <w:sz w:val="20"/>
                <w:szCs w:val="20"/>
              </w:rPr>
            </w:pPr>
            <w:proofErr w:type="gramStart"/>
            <w:r w:rsidRPr="00FD2E46">
              <w:rPr>
                <w:rFonts w:eastAsiaTheme="minorHAnsi" w:cs="Arial"/>
                <w:sz w:val="20"/>
                <w:szCs w:val="20"/>
              </w:rPr>
              <w:t>service</w:t>
            </w:r>
            <w:proofErr w:type="gramEnd"/>
            <w:r w:rsidRPr="00FD2E46">
              <w:rPr>
                <w:rFonts w:eastAsiaTheme="minorHAnsi" w:cs="Arial"/>
                <w:sz w:val="20"/>
                <w:szCs w:val="20"/>
              </w:rPr>
              <w:t xml:space="preserve"> development including </w:t>
            </w:r>
            <w:r w:rsidR="00183FC2" w:rsidRPr="00FD2E46">
              <w:rPr>
                <w:rFonts w:eastAsiaTheme="minorHAnsi" w:cs="Arial"/>
                <w:sz w:val="20"/>
                <w:szCs w:val="20"/>
              </w:rPr>
              <w:t>quality improvement activities</w:t>
            </w:r>
            <w:r w:rsidR="003054BC" w:rsidRPr="00FD2E46">
              <w:rPr>
                <w:rFonts w:eastAsiaTheme="minorHAnsi" w:cs="Arial"/>
                <w:sz w:val="20"/>
                <w:szCs w:val="20"/>
              </w:rPr>
              <w:t>,</w:t>
            </w:r>
            <w:r w:rsidR="00183FC2" w:rsidRPr="00FD2E46">
              <w:rPr>
                <w:rFonts w:eastAsiaTheme="minorHAnsi" w:cs="Arial"/>
                <w:sz w:val="20"/>
                <w:szCs w:val="20"/>
              </w:rPr>
              <w:t xml:space="preserve"> </w:t>
            </w:r>
            <w:r w:rsidRPr="00FD2E46">
              <w:rPr>
                <w:rFonts w:eastAsiaTheme="minorHAnsi" w:cs="Arial"/>
                <w:sz w:val="20"/>
                <w:szCs w:val="20"/>
              </w:rPr>
              <w:t>evaluation of services implemented an</w:t>
            </w:r>
            <w:r w:rsidR="00467A71" w:rsidRPr="00FD2E46">
              <w:rPr>
                <w:rFonts w:eastAsiaTheme="minorHAnsi" w:cs="Arial"/>
                <w:sz w:val="20"/>
                <w:szCs w:val="20"/>
              </w:rPr>
              <w:t>d new evidence based programmes.</w:t>
            </w:r>
          </w:p>
        </w:tc>
      </w:tr>
    </w:tbl>
    <w:p w14:paraId="20AA7272" w14:textId="77777777" w:rsidR="0006040E" w:rsidRDefault="0006040E" w:rsidP="003E3828">
      <w:pPr>
        <w:keepNext/>
        <w:spacing w:before="120" w:after="120" w:line="240" w:lineRule="auto"/>
        <w:ind w:left="539" w:hanging="539"/>
        <w:jc w:val="both"/>
        <w:outlineLvl w:val="4"/>
        <w:rPr>
          <w:rFonts w:eastAsia="Times New Roman" w:cs="Arial"/>
          <w:b/>
          <w:i/>
          <w:szCs w:val="24"/>
        </w:rPr>
      </w:pPr>
      <w:r>
        <w:rPr>
          <w:rFonts w:eastAsia="Times New Roman" w:cs="Arial"/>
          <w:b/>
          <w:i/>
          <w:szCs w:val="24"/>
        </w:rPr>
        <w:lastRenderedPageBreak/>
        <w:t>Outcome</w:t>
      </w:r>
      <w:r w:rsidR="00A86413">
        <w:rPr>
          <w:rFonts w:eastAsia="Times New Roman" w:cs="Arial"/>
          <w:b/>
          <w:i/>
          <w:szCs w:val="24"/>
        </w:rPr>
        <w:t>s</w:t>
      </w:r>
      <w:r>
        <w:rPr>
          <w:rFonts w:eastAsia="Times New Roman" w:cs="Arial"/>
          <w:b/>
          <w:i/>
          <w:szCs w:val="24"/>
        </w:rPr>
        <w:t xml:space="preserve"> </w:t>
      </w:r>
      <w:r w:rsidR="00FD2E46">
        <w:rPr>
          <w:rFonts w:eastAsia="Times New Roman" w:cs="Arial"/>
          <w:b/>
          <w:i/>
          <w:szCs w:val="24"/>
        </w:rPr>
        <w:t>F</w:t>
      </w:r>
      <w:r>
        <w:rPr>
          <w:rFonts w:eastAsia="Times New Roman" w:cs="Arial"/>
          <w:b/>
          <w:i/>
          <w:szCs w:val="24"/>
        </w:rPr>
        <w:t xml:space="preserve">ramework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5762"/>
      </w:tblGrid>
      <w:tr w:rsidR="0006040E" w:rsidRPr="00FD2E46" w14:paraId="4F4AFE0D" w14:textId="77777777" w:rsidTr="00781615">
        <w:tc>
          <w:tcPr>
            <w:tcW w:w="2303" w:type="pct"/>
            <w:tcBorders>
              <w:top w:val="single" w:sz="4" w:space="0" w:color="auto"/>
              <w:left w:val="single" w:sz="4" w:space="0" w:color="auto"/>
              <w:bottom w:val="single" w:sz="4" w:space="0" w:color="auto"/>
              <w:right w:val="single" w:sz="4" w:space="0" w:color="auto"/>
            </w:tcBorders>
            <w:shd w:val="pct10" w:color="auto" w:fill="auto"/>
          </w:tcPr>
          <w:p w14:paraId="45F54AB8" w14:textId="77777777" w:rsidR="0006040E" w:rsidRPr="00FD2E46" w:rsidRDefault="0006040E" w:rsidP="003E3828">
            <w:pPr>
              <w:widowControl w:val="0"/>
              <w:spacing w:before="60" w:after="60" w:line="240" w:lineRule="auto"/>
              <w:rPr>
                <w:rFonts w:cs="Arial"/>
                <w:b/>
                <w:sz w:val="20"/>
                <w:szCs w:val="20"/>
              </w:rPr>
            </w:pPr>
            <w:r w:rsidRPr="00FD2E46">
              <w:rPr>
                <w:rFonts w:cs="Arial"/>
                <w:b/>
                <w:sz w:val="20"/>
                <w:szCs w:val="20"/>
              </w:rPr>
              <w:t>Provider Activities</w:t>
            </w:r>
          </w:p>
          <w:p w14:paraId="6E403D5F" w14:textId="77777777" w:rsidR="0006040E" w:rsidRPr="00FD2E46" w:rsidRDefault="0006040E" w:rsidP="003E3828">
            <w:pPr>
              <w:widowControl w:val="0"/>
              <w:spacing w:before="60" w:after="60" w:line="240" w:lineRule="auto"/>
              <w:rPr>
                <w:rFonts w:cs="Arial"/>
                <w:b/>
                <w:sz w:val="20"/>
                <w:szCs w:val="20"/>
              </w:rPr>
            </w:pPr>
          </w:p>
        </w:tc>
        <w:tc>
          <w:tcPr>
            <w:tcW w:w="2697" w:type="pct"/>
            <w:tcBorders>
              <w:top w:val="single" w:sz="4" w:space="0" w:color="auto"/>
              <w:left w:val="single" w:sz="4" w:space="0" w:color="auto"/>
              <w:bottom w:val="single" w:sz="4" w:space="0" w:color="auto"/>
              <w:right w:val="single" w:sz="4" w:space="0" w:color="auto"/>
            </w:tcBorders>
            <w:shd w:val="pct10" w:color="auto" w:fill="auto"/>
            <w:hideMark/>
          </w:tcPr>
          <w:p w14:paraId="317F5F1F" w14:textId="77777777" w:rsidR="00A86413" w:rsidRPr="00FD2E46" w:rsidRDefault="0006040E" w:rsidP="003E3828">
            <w:pPr>
              <w:widowControl w:val="0"/>
              <w:spacing w:before="60" w:after="60" w:line="240" w:lineRule="auto"/>
              <w:rPr>
                <w:rFonts w:cs="Arial"/>
                <w:b/>
                <w:sz w:val="20"/>
                <w:szCs w:val="20"/>
              </w:rPr>
            </w:pPr>
            <w:r w:rsidRPr="00FD2E46">
              <w:rPr>
                <w:rFonts w:cs="Arial"/>
                <w:b/>
                <w:sz w:val="20"/>
                <w:szCs w:val="20"/>
              </w:rPr>
              <w:t xml:space="preserve">Short-term </w:t>
            </w:r>
            <w:r w:rsidR="00FD2E46">
              <w:rPr>
                <w:rFonts w:cs="Arial"/>
                <w:b/>
                <w:sz w:val="20"/>
                <w:szCs w:val="20"/>
              </w:rPr>
              <w:t>outcome (programme-</w:t>
            </w:r>
            <w:r w:rsidR="00A86413" w:rsidRPr="00FD2E46">
              <w:rPr>
                <w:rFonts w:cs="Arial"/>
                <w:b/>
                <w:sz w:val="20"/>
                <w:szCs w:val="20"/>
              </w:rPr>
              <w:t>level outcome)</w:t>
            </w:r>
          </w:p>
          <w:p w14:paraId="7E70FA9B" w14:textId="77777777" w:rsidR="00A86413" w:rsidRPr="00FD2E46" w:rsidRDefault="00A86413" w:rsidP="003E3828">
            <w:pPr>
              <w:widowControl w:val="0"/>
              <w:spacing w:before="60" w:after="60" w:line="240" w:lineRule="auto"/>
              <w:rPr>
                <w:rFonts w:cs="Arial"/>
                <w:i/>
                <w:sz w:val="20"/>
                <w:szCs w:val="20"/>
              </w:rPr>
            </w:pPr>
            <w:r w:rsidRPr="00FD2E46">
              <w:rPr>
                <w:rFonts w:cs="Arial"/>
                <w:i/>
                <w:sz w:val="20"/>
                <w:szCs w:val="20"/>
              </w:rPr>
              <w:t>(What we want to achieve)</w:t>
            </w:r>
          </w:p>
        </w:tc>
      </w:tr>
      <w:tr w:rsidR="0006040E" w:rsidRPr="00FD2E46" w14:paraId="58682ECE" w14:textId="77777777" w:rsidTr="00781615">
        <w:tc>
          <w:tcPr>
            <w:tcW w:w="2303" w:type="pct"/>
            <w:tcBorders>
              <w:top w:val="single" w:sz="4" w:space="0" w:color="auto"/>
              <w:left w:val="single" w:sz="4" w:space="0" w:color="auto"/>
              <w:bottom w:val="single" w:sz="4" w:space="0" w:color="auto"/>
              <w:right w:val="single" w:sz="4" w:space="0" w:color="auto"/>
            </w:tcBorders>
            <w:hideMark/>
          </w:tcPr>
          <w:p w14:paraId="0B010860" w14:textId="77777777" w:rsidR="0006040E" w:rsidRPr="00FD2E46" w:rsidRDefault="0006040E" w:rsidP="003E3828">
            <w:pPr>
              <w:spacing w:before="20" w:after="20" w:line="240" w:lineRule="auto"/>
              <w:rPr>
                <w:rFonts w:cs="Arial"/>
                <w:sz w:val="20"/>
                <w:szCs w:val="20"/>
              </w:rPr>
            </w:pPr>
            <w:r w:rsidRPr="00FD2E46">
              <w:rPr>
                <w:rFonts w:cs="Arial"/>
                <w:sz w:val="20"/>
                <w:szCs w:val="20"/>
              </w:rPr>
              <w:t>Deliver components of national screening programmes</w:t>
            </w:r>
          </w:p>
        </w:tc>
        <w:tc>
          <w:tcPr>
            <w:tcW w:w="2697" w:type="pct"/>
            <w:tcBorders>
              <w:top w:val="single" w:sz="4" w:space="0" w:color="auto"/>
              <w:left w:val="single" w:sz="4" w:space="0" w:color="auto"/>
              <w:bottom w:val="single" w:sz="4" w:space="0" w:color="auto"/>
              <w:right w:val="single" w:sz="4" w:space="0" w:color="auto"/>
            </w:tcBorders>
            <w:hideMark/>
          </w:tcPr>
          <w:p w14:paraId="41AB0193" w14:textId="77777777" w:rsidR="0006040E" w:rsidRPr="00FD2E46" w:rsidRDefault="0006040E" w:rsidP="003E3828">
            <w:pPr>
              <w:spacing w:before="20" w:after="20" w:line="240" w:lineRule="auto"/>
              <w:rPr>
                <w:rFonts w:cs="Arial"/>
                <w:sz w:val="20"/>
                <w:szCs w:val="20"/>
              </w:rPr>
            </w:pPr>
            <w:r w:rsidRPr="00FD2E46">
              <w:rPr>
                <w:rFonts w:cs="Arial"/>
                <w:sz w:val="20"/>
                <w:szCs w:val="20"/>
              </w:rPr>
              <w:t>Increased uptake of screening services by the target population</w:t>
            </w:r>
            <w:r w:rsidR="00A86413" w:rsidRPr="00FD2E46">
              <w:rPr>
                <w:rFonts w:cs="Arial"/>
                <w:sz w:val="20"/>
                <w:szCs w:val="20"/>
              </w:rPr>
              <w:t>.</w:t>
            </w:r>
          </w:p>
        </w:tc>
      </w:tr>
      <w:tr w:rsidR="0006040E" w:rsidRPr="00FD2E46" w14:paraId="0E88590B" w14:textId="77777777" w:rsidTr="00781615">
        <w:tc>
          <w:tcPr>
            <w:tcW w:w="2303" w:type="pct"/>
            <w:tcBorders>
              <w:top w:val="single" w:sz="4" w:space="0" w:color="auto"/>
              <w:left w:val="single" w:sz="4" w:space="0" w:color="auto"/>
              <w:bottom w:val="single" w:sz="4" w:space="0" w:color="auto"/>
              <w:right w:val="single" w:sz="4" w:space="0" w:color="auto"/>
            </w:tcBorders>
            <w:hideMark/>
          </w:tcPr>
          <w:p w14:paraId="2FD87CD6" w14:textId="77777777" w:rsidR="0006040E" w:rsidRPr="00FD2E46" w:rsidRDefault="0006040E" w:rsidP="003E3828">
            <w:pPr>
              <w:spacing w:before="20" w:after="20" w:line="240" w:lineRule="auto"/>
              <w:rPr>
                <w:rFonts w:cs="Arial"/>
                <w:sz w:val="20"/>
                <w:szCs w:val="20"/>
              </w:rPr>
            </w:pPr>
            <w:r w:rsidRPr="00FD2E46">
              <w:rPr>
                <w:rFonts w:cs="Arial"/>
                <w:sz w:val="20"/>
                <w:szCs w:val="20"/>
              </w:rPr>
              <w:t xml:space="preserve">Deliver best-practice immunisation services </w:t>
            </w:r>
            <w:proofErr w:type="spellStart"/>
            <w:r w:rsidRPr="00FD2E46">
              <w:rPr>
                <w:rFonts w:cs="Arial"/>
                <w:sz w:val="20"/>
                <w:szCs w:val="20"/>
              </w:rPr>
              <w:t>eg</w:t>
            </w:r>
            <w:proofErr w:type="spellEnd"/>
            <w:r w:rsidR="00DC1414">
              <w:rPr>
                <w:rFonts w:cs="Arial"/>
                <w:sz w:val="20"/>
                <w:szCs w:val="20"/>
              </w:rPr>
              <w:t>,</w:t>
            </w:r>
            <w:r w:rsidRPr="00FD2E46">
              <w:rPr>
                <w:rFonts w:cs="Arial"/>
                <w:sz w:val="20"/>
                <w:szCs w:val="20"/>
              </w:rPr>
              <w:t xml:space="preserve"> that are safe, effective, trusted, efficient, timely and of high quality </w:t>
            </w:r>
          </w:p>
        </w:tc>
        <w:tc>
          <w:tcPr>
            <w:tcW w:w="2697" w:type="pct"/>
            <w:tcBorders>
              <w:top w:val="single" w:sz="4" w:space="0" w:color="auto"/>
              <w:left w:val="single" w:sz="4" w:space="0" w:color="auto"/>
              <w:bottom w:val="single" w:sz="4" w:space="0" w:color="auto"/>
              <w:right w:val="single" w:sz="4" w:space="0" w:color="auto"/>
            </w:tcBorders>
            <w:hideMark/>
          </w:tcPr>
          <w:p w14:paraId="1F39FC14" w14:textId="77777777" w:rsidR="0006040E" w:rsidRPr="00FD2E46" w:rsidRDefault="0006040E" w:rsidP="003E3828">
            <w:pPr>
              <w:spacing w:before="20" w:after="20" w:line="240" w:lineRule="auto"/>
              <w:rPr>
                <w:rFonts w:cs="Arial"/>
                <w:sz w:val="20"/>
                <w:szCs w:val="20"/>
              </w:rPr>
            </w:pPr>
            <w:r w:rsidRPr="00FD2E46">
              <w:rPr>
                <w:rFonts w:cs="Arial"/>
                <w:sz w:val="20"/>
                <w:szCs w:val="20"/>
              </w:rPr>
              <w:t>Achieve and maintain the immunisation health target and the immunisation coverage rates of two year olds.</w:t>
            </w:r>
          </w:p>
        </w:tc>
      </w:tr>
      <w:tr w:rsidR="0006040E" w:rsidRPr="00FD2E46" w14:paraId="3416DC7C" w14:textId="77777777" w:rsidTr="00781615">
        <w:tc>
          <w:tcPr>
            <w:tcW w:w="2303" w:type="pct"/>
            <w:tcBorders>
              <w:top w:val="single" w:sz="4" w:space="0" w:color="auto"/>
              <w:left w:val="single" w:sz="4" w:space="0" w:color="auto"/>
              <w:bottom w:val="single" w:sz="4" w:space="0" w:color="auto"/>
              <w:right w:val="single" w:sz="4" w:space="0" w:color="auto"/>
            </w:tcBorders>
          </w:tcPr>
          <w:p w14:paraId="1FCCC34E" w14:textId="77777777" w:rsidR="0006040E" w:rsidRPr="00FD2E46" w:rsidRDefault="0006040E" w:rsidP="003E3828">
            <w:pPr>
              <w:spacing w:before="20" w:after="20" w:line="240" w:lineRule="auto"/>
              <w:rPr>
                <w:rFonts w:cs="Arial"/>
                <w:sz w:val="20"/>
                <w:szCs w:val="20"/>
              </w:rPr>
            </w:pPr>
            <w:r w:rsidRPr="00FD2E46">
              <w:rPr>
                <w:rFonts w:cs="Arial"/>
                <w:sz w:val="20"/>
                <w:szCs w:val="20"/>
              </w:rPr>
              <w:t xml:space="preserve">Deliver best-practice stop smoking services </w:t>
            </w:r>
          </w:p>
        </w:tc>
        <w:tc>
          <w:tcPr>
            <w:tcW w:w="2697" w:type="pct"/>
            <w:tcBorders>
              <w:top w:val="single" w:sz="4" w:space="0" w:color="auto"/>
              <w:left w:val="single" w:sz="4" w:space="0" w:color="auto"/>
              <w:bottom w:val="single" w:sz="4" w:space="0" w:color="auto"/>
              <w:right w:val="single" w:sz="4" w:space="0" w:color="auto"/>
            </w:tcBorders>
          </w:tcPr>
          <w:p w14:paraId="0D6D45AE" w14:textId="77777777" w:rsidR="0006040E" w:rsidRPr="00FD2E46" w:rsidRDefault="0006040E" w:rsidP="003E3828">
            <w:pPr>
              <w:spacing w:before="20" w:after="20" w:line="240" w:lineRule="auto"/>
              <w:rPr>
                <w:rFonts w:cs="Arial"/>
                <w:sz w:val="20"/>
                <w:szCs w:val="20"/>
              </w:rPr>
            </w:pPr>
            <w:r w:rsidRPr="00FD2E46">
              <w:rPr>
                <w:rFonts w:cs="Arial"/>
                <w:sz w:val="20"/>
                <w:szCs w:val="20"/>
              </w:rPr>
              <w:t>Increase the number of successful quit attempts.</w:t>
            </w:r>
          </w:p>
        </w:tc>
      </w:tr>
      <w:tr w:rsidR="0006040E" w:rsidRPr="00FD2E46" w14:paraId="0C44FF18" w14:textId="77777777" w:rsidTr="00781615">
        <w:tc>
          <w:tcPr>
            <w:tcW w:w="2303" w:type="pct"/>
            <w:tcBorders>
              <w:top w:val="single" w:sz="4" w:space="0" w:color="auto"/>
              <w:left w:val="single" w:sz="4" w:space="0" w:color="auto"/>
              <w:bottom w:val="single" w:sz="4" w:space="0" w:color="auto"/>
              <w:right w:val="single" w:sz="4" w:space="0" w:color="auto"/>
            </w:tcBorders>
          </w:tcPr>
          <w:p w14:paraId="6C154455" w14:textId="77777777" w:rsidR="000C09AD" w:rsidRPr="00FD2E46" w:rsidRDefault="000C09AD" w:rsidP="003E3828">
            <w:pPr>
              <w:spacing w:before="20" w:after="20" w:line="240" w:lineRule="auto"/>
              <w:rPr>
                <w:rFonts w:cs="Arial"/>
                <w:sz w:val="20"/>
                <w:szCs w:val="20"/>
              </w:rPr>
            </w:pPr>
            <w:r w:rsidRPr="00FD2E46">
              <w:rPr>
                <w:rFonts w:eastAsiaTheme="minorHAnsi" w:cs="Arial"/>
                <w:color w:val="000000"/>
                <w:sz w:val="20"/>
                <w:szCs w:val="20"/>
              </w:rPr>
              <w:t>Deliver components of the violence intervention programme</w:t>
            </w:r>
          </w:p>
        </w:tc>
        <w:tc>
          <w:tcPr>
            <w:tcW w:w="2697" w:type="pct"/>
            <w:tcBorders>
              <w:top w:val="single" w:sz="4" w:space="0" w:color="auto"/>
              <w:left w:val="single" w:sz="4" w:space="0" w:color="auto"/>
              <w:bottom w:val="single" w:sz="4" w:space="0" w:color="auto"/>
              <w:right w:val="single" w:sz="4" w:space="0" w:color="auto"/>
            </w:tcBorders>
          </w:tcPr>
          <w:p w14:paraId="06EB4F11" w14:textId="77777777" w:rsidR="000C09AD" w:rsidRPr="00FD2E46" w:rsidRDefault="000C09AD" w:rsidP="003E3828">
            <w:pPr>
              <w:spacing w:before="20" w:after="20" w:line="240" w:lineRule="auto"/>
              <w:rPr>
                <w:rFonts w:cs="Arial"/>
                <w:sz w:val="20"/>
                <w:szCs w:val="20"/>
              </w:rPr>
            </w:pPr>
            <w:r w:rsidRPr="00FD2E46">
              <w:rPr>
                <w:rFonts w:eastAsiaTheme="minorHAnsi" w:cs="Arial"/>
                <w:color w:val="000000"/>
                <w:sz w:val="20"/>
                <w:szCs w:val="20"/>
              </w:rPr>
              <w:t>Reduced health harm of family violence</w:t>
            </w:r>
            <w:r w:rsidR="00C23C2E" w:rsidRPr="00FD2E46">
              <w:rPr>
                <w:rFonts w:eastAsiaTheme="minorHAnsi" w:cs="Arial"/>
                <w:color w:val="000000"/>
                <w:sz w:val="20"/>
                <w:szCs w:val="20"/>
              </w:rPr>
              <w:t>.</w:t>
            </w:r>
          </w:p>
        </w:tc>
      </w:tr>
    </w:tbl>
    <w:p w14:paraId="4DFAECDF" w14:textId="77777777" w:rsidR="00C3701D" w:rsidRPr="00FD2E46" w:rsidRDefault="00C3701D" w:rsidP="003E3828">
      <w:pPr>
        <w:pStyle w:val="ListParagraph"/>
        <w:keepNext/>
        <w:numPr>
          <w:ilvl w:val="0"/>
          <w:numId w:val="51"/>
        </w:numPr>
        <w:spacing w:before="240" w:after="120" w:line="240" w:lineRule="auto"/>
        <w:ind w:left="567" w:hanging="567"/>
        <w:outlineLvl w:val="4"/>
        <w:rPr>
          <w:rFonts w:eastAsia="Times New Roman" w:cs="Arial"/>
          <w:b/>
          <w:szCs w:val="24"/>
        </w:rPr>
      </w:pPr>
      <w:r w:rsidRPr="00FD2E46">
        <w:rPr>
          <w:rFonts w:eastAsia="Times New Roman" w:cs="Arial"/>
          <w:b/>
          <w:szCs w:val="24"/>
        </w:rPr>
        <w:t>Service Linkages</w:t>
      </w:r>
    </w:p>
    <w:p w14:paraId="2E5E06D9" w14:textId="77777777" w:rsidR="00C3701D" w:rsidRDefault="00C3701D" w:rsidP="003E3828">
      <w:pPr>
        <w:spacing w:after="120" w:line="240" w:lineRule="auto"/>
        <w:ind w:left="30"/>
        <w:rPr>
          <w:rFonts w:cs="Arial"/>
        </w:rPr>
      </w:pPr>
      <w:r>
        <w:rPr>
          <w:rFonts w:cs="Arial"/>
        </w:rPr>
        <w:t>Refer to the relevant Public Health Preventive Intervention</w:t>
      </w:r>
      <w:r w:rsidR="00921AEC">
        <w:rPr>
          <w:rFonts w:cs="Arial"/>
        </w:rPr>
        <w:t>s</w:t>
      </w:r>
      <w:r>
        <w:rPr>
          <w:rFonts w:cs="Arial"/>
        </w:rPr>
        <w:t xml:space="preserve"> tier three service specifications </w:t>
      </w:r>
      <w:r w:rsidR="00401635">
        <w:rPr>
          <w:rFonts w:cs="Arial"/>
        </w:rPr>
        <w:t xml:space="preserve">or individual provider agreements </w:t>
      </w:r>
      <w:r>
        <w:rPr>
          <w:rFonts w:cs="Arial"/>
        </w:rPr>
        <w:t>for specific linkages.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824"/>
        <w:gridCol w:w="3014"/>
        <w:gridCol w:w="4708"/>
      </w:tblGrid>
      <w:tr w:rsidR="00C3701D" w:rsidRPr="00FD2E46" w14:paraId="7EEB414A" w14:textId="77777777" w:rsidTr="00781615">
        <w:trPr>
          <w:tblHeader/>
        </w:trPr>
        <w:tc>
          <w:tcPr>
            <w:tcW w:w="5000" w:type="pct"/>
            <w:gridSpan w:val="3"/>
            <w:tcBorders>
              <w:top w:val="single" w:sz="6" w:space="0" w:color="auto"/>
              <w:left w:val="single" w:sz="4" w:space="0" w:color="auto"/>
              <w:bottom w:val="single" w:sz="6" w:space="0" w:color="auto"/>
              <w:right w:val="single" w:sz="4" w:space="0" w:color="auto"/>
            </w:tcBorders>
            <w:shd w:val="clear" w:color="auto" w:fill="D9D9D9" w:themeFill="background1" w:themeFillShade="D9"/>
            <w:hideMark/>
          </w:tcPr>
          <w:p w14:paraId="68397285" w14:textId="77777777" w:rsidR="00C3701D" w:rsidRPr="00FD2E46" w:rsidRDefault="00C3701D" w:rsidP="003E3828">
            <w:pPr>
              <w:autoSpaceDE w:val="0"/>
              <w:autoSpaceDN w:val="0"/>
              <w:adjustRightInd w:val="0"/>
              <w:spacing w:before="120" w:after="120" w:line="240" w:lineRule="auto"/>
              <w:ind w:left="108" w:right="108"/>
              <w:jc w:val="center"/>
              <w:rPr>
                <w:rFonts w:cs="Arial"/>
                <w:b/>
                <w:bCs/>
                <w:sz w:val="20"/>
                <w:szCs w:val="20"/>
              </w:rPr>
            </w:pPr>
            <w:r w:rsidRPr="00FD2E46">
              <w:rPr>
                <w:rFonts w:cs="Arial"/>
                <w:b/>
                <w:bCs/>
                <w:sz w:val="20"/>
                <w:szCs w:val="20"/>
              </w:rPr>
              <w:t>Immunisation</w:t>
            </w:r>
          </w:p>
        </w:tc>
      </w:tr>
      <w:tr w:rsidR="0006040E" w:rsidRPr="00FD2E46" w14:paraId="337049E4" w14:textId="77777777" w:rsidTr="0080152E">
        <w:tc>
          <w:tcPr>
            <w:tcW w:w="1339"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14:paraId="2234A015" w14:textId="77777777" w:rsidR="0006040E" w:rsidRPr="00FD2E46" w:rsidRDefault="0006040E" w:rsidP="003E3828">
            <w:pPr>
              <w:autoSpaceDE w:val="0"/>
              <w:autoSpaceDN w:val="0"/>
              <w:adjustRightInd w:val="0"/>
              <w:spacing w:before="60" w:after="60" w:line="240" w:lineRule="auto"/>
              <w:ind w:left="108" w:right="108"/>
              <w:jc w:val="center"/>
              <w:rPr>
                <w:rFonts w:cs="Arial"/>
                <w:b/>
                <w:bCs/>
                <w:sz w:val="20"/>
                <w:szCs w:val="20"/>
              </w:rPr>
            </w:pPr>
            <w:r w:rsidRPr="00FD2E46">
              <w:rPr>
                <w:rFonts w:cs="Arial"/>
                <w:b/>
                <w:bCs/>
                <w:sz w:val="20"/>
                <w:szCs w:val="20"/>
              </w:rPr>
              <w:t>Service Provider</w:t>
            </w:r>
          </w:p>
        </w:tc>
        <w:tc>
          <w:tcPr>
            <w:tcW w:w="1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EE0431" w14:textId="77777777" w:rsidR="0006040E" w:rsidRPr="00FD2E46" w:rsidRDefault="0006040E" w:rsidP="003E3828">
            <w:pPr>
              <w:autoSpaceDE w:val="0"/>
              <w:autoSpaceDN w:val="0"/>
              <w:adjustRightInd w:val="0"/>
              <w:spacing w:before="60" w:after="60" w:line="240" w:lineRule="auto"/>
              <w:ind w:left="108" w:right="108"/>
              <w:jc w:val="center"/>
              <w:rPr>
                <w:rFonts w:cs="Arial"/>
                <w:b/>
                <w:bCs/>
                <w:sz w:val="20"/>
                <w:szCs w:val="20"/>
              </w:rPr>
            </w:pPr>
            <w:r w:rsidRPr="00FD2E46">
              <w:rPr>
                <w:rFonts w:cs="Arial"/>
                <w:b/>
                <w:bCs/>
                <w:sz w:val="20"/>
                <w:szCs w:val="20"/>
              </w:rPr>
              <w:t>Nature of Linkage</w:t>
            </w:r>
          </w:p>
        </w:tc>
        <w:tc>
          <w:tcPr>
            <w:tcW w:w="2232" w:type="pct"/>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6123BF57" w14:textId="77777777" w:rsidR="0006040E" w:rsidRPr="00FD2E46" w:rsidRDefault="0006040E" w:rsidP="003E3828">
            <w:pPr>
              <w:autoSpaceDE w:val="0"/>
              <w:autoSpaceDN w:val="0"/>
              <w:adjustRightInd w:val="0"/>
              <w:spacing w:before="60" w:after="60" w:line="240" w:lineRule="auto"/>
              <w:jc w:val="center"/>
              <w:rPr>
                <w:rFonts w:cs="Arial"/>
                <w:b/>
                <w:bCs/>
                <w:sz w:val="20"/>
                <w:szCs w:val="20"/>
              </w:rPr>
            </w:pPr>
            <w:r w:rsidRPr="00FD2E46">
              <w:rPr>
                <w:rFonts w:cs="Arial"/>
                <w:b/>
                <w:bCs/>
                <w:sz w:val="20"/>
                <w:szCs w:val="20"/>
              </w:rPr>
              <w:t>Accountabilities</w:t>
            </w:r>
          </w:p>
        </w:tc>
      </w:tr>
      <w:tr w:rsidR="0006040E" w:rsidRPr="00FD2E46" w14:paraId="36550C97" w14:textId="77777777" w:rsidTr="0080152E">
        <w:tc>
          <w:tcPr>
            <w:tcW w:w="1339"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75CF8F22" w14:textId="77777777" w:rsidR="0006040E" w:rsidRPr="00FD2E46" w:rsidRDefault="0015281C" w:rsidP="003E3828">
            <w:pPr>
              <w:pStyle w:val="Indent1"/>
              <w:spacing w:before="20" w:after="20"/>
              <w:ind w:left="0"/>
              <w:rPr>
                <w:rFonts w:cs="Arial"/>
              </w:rPr>
            </w:pPr>
            <w:r>
              <w:rPr>
                <w:rFonts w:cs="Arial"/>
              </w:rPr>
              <w:t xml:space="preserve">PHOs, </w:t>
            </w:r>
            <w:r w:rsidRPr="00FD2E46">
              <w:rPr>
                <w:rFonts w:cs="Arial"/>
              </w:rPr>
              <w:t>general</w:t>
            </w:r>
            <w:r w:rsidR="0006040E" w:rsidRPr="00FD2E46">
              <w:rPr>
                <w:rFonts w:cs="Arial"/>
              </w:rPr>
              <w:t xml:space="preserve"> practitioners and vaccinators </w:t>
            </w:r>
          </w:p>
        </w:tc>
        <w:tc>
          <w:tcPr>
            <w:tcW w:w="142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6B30D5A" w14:textId="77777777" w:rsidR="0006040E" w:rsidRPr="00FD2E46" w:rsidRDefault="0006040E" w:rsidP="003E3828">
            <w:pPr>
              <w:pStyle w:val="Indent1"/>
              <w:spacing w:before="20" w:after="20"/>
              <w:ind w:left="0"/>
              <w:rPr>
                <w:rFonts w:cs="Arial"/>
              </w:rPr>
            </w:pPr>
            <w:r w:rsidRPr="00FD2E46">
              <w:rPr>
                <w:rFonts w:cs="Arial"/>
              </w:rPr>
              <w:t>Liaison, consultation and referral</w:t>
            </w:r>
          </w:p>
        </w:tc>
        <w:tc>
          <w:tcPr>
            <w:tcW w:w="2232" w:type="pct"/>
            <w:tcBorders>
              <w:top w:val="single" w:sz="6" w:space="0" w:color="auto"/>
              <w:left w:val="single" w:sz="6" w:space="0" w:color="auto"/>
              <w:bottom w:val="single" w:sz="6" w:space="0" w:color="auto"/>
              <w:right w:val="single" w:sz="4" w:space="0" w:color="auto"/>
            </w:tcBorders>
            <w:shd w:val="clear" w:color="auto" w:fill="FFFFFF" w:themeFill="background1"/>
            <w:hideMark/>
          </w:tcPr>
          <w:p w14:paraId="0E14153B" w14:textId="77777777" w:rsidR="0006040E" w:rsidRPr="00FD2E46" w:rsidRDefault="0006040E" w:rsidP="003E3828">
            <w:pPr>
              <w:pStyle w:val="Indent1"/>
              <w:numPr>
                <w:ilvl w:val="0"/>
                <w:numId w:val="36"/>
              </w:numPr>
              <w:spacing w:before="20" w:after="20"/>
              <w:rPr>
                <w:rFonts w:cs="Arial"/>
              </w:rPr>
            </w:pPr>
            <w:r w:rsidRPr="00FD2E46">
              <w:rPr>
                <w:rFonts w:cs="Arial"/>
              </w:rPr>
              <w:t xml:space="preserve">To ensure </w:t>
            </w:r>
            <w:proofErr w:type="spellStart"/>
            <w:r w:rsidRPr="00FD2E46">
              <w:rPr>
                <w:rFonts w:cs="Arial"/>
              </w:rPr>
              <w:t>newborns</w:t>
            </w:r>
            <w:proofErr w:type="spellEnd"/>
            <w:r w:rsidRPr="00FD2E46">
              <w:rPr>
                <w:rFonts w:cs="Arial"/>
              </w:rPr>
              <w:t xml:space="preserve"> are enrolled as soon as possible after birth</w:t>
            </w:r>
            <w:r w:rsidR="00FD2E46">
              <w:rPr>
                <w:rFonts w:cs="Arial"/>
              </w:rPr>
              <w:t>.</w:t>
            </w:r>
          </w:p>
          <w:p w14:paraId="337F429D" w14:textId="77777777" w:rsidR="0006040E" w:rsidRPr="00FD2E46" w:rsidRDefault="0006040E" w:rsidP="003E3828">
            <w:pPr>
              <w:pStyle w:val="Indent1"/>
              <w:numPr>
                <w:ilvl w:val="0"/>
                <w:numId w:val="26"/>
              </w:numPr>
              <w:spacing w:before="20" w:after="20"/>
              <w:rPr>
                <w:rFonts w:cs="Arial"/>
              </w:rPr>
            </w:pPr>
            <w:r w:rsidRPr="00FD2E46">
              <w:rPr>
                <w:rFonts w:cs="Arial"/>
              </w:rPr>
              <w:t>Babies and children receive on time immunisation as per the National Immunisation Schedule</w:t>
            </w:r>
            <w:r w:rsidR="00FD2E46">
              <w:rPr>
                <w:rFonts w:cs="Arial"/>
              </w:rPr>
              <w:t>.</w:t>
            </w:r>
          </w:p>
          <w:p w14:paraId="342B5422" w14:textId="77777777" w:rsidR="0006040E" w:rsidRPr="00FD2E46" w:rsidRDefault="0006040E" w:rsidP="003E3828">
            <w:pPr>
              <w:pStyle w:val="Indent1"/>
              <w:numPr>
                <w:ilvl w:val="0"/>
                <w:numId w:val="26"/>
              </w:numPr>
              <w:spacing w:before="20" w:after="20"/>
              <w:rPr>
                <w:rFonts w:cs="Arial"/>
              </w:rPr>
            </w:pPr>
            <w:r w:rsidRPr="00FD2E46">
              <w:rPr>
                <w:rFonts w:cs="Arial"/>
              </w:rPr>
              <w:t>Deliver safe, efficient and high quality immunisation services</w:t>
            </w:r>
            <w:r w:rsidR="00FD2E46">
              <w:rPr>
                <w:rFonts w:cs="Arial"/>
              </w:rPr>
              <w:t>.</w:t>
            </w:r>
            <w:r w:rsidRPr="00FD2E46">
              <w:rPr>
                <w:rFonts w:cs="Arial"/>
              </w:rPr>
              <w:t xml:space="preserve"> </w:t>
            </w:r>
          </w:p>
          <w:p w14:paraId="7D4760AF" w14:textId="77777777" w:rsidR="0006040E" w:rsidRPr="00FD2E46" w:rsidRDefault="0006040E" w:rsidP="003E3828">
            <w:pPr>
              <w:pStyle w:val="Indent1"/>
              <w:numPr>
                <w:ilvl w:val="0"/>
                <w:numId w:val="26"/>
              </w:numPr>
              <w:spacing w:before="20" w:after="20"/>
              <w:rPr>
                <w:rFonts w:cs="Arial"/>
              </w:rPr>
            </w:pPr>
            <w:r w:rsidRPr="00FD2E46">
              <w:rPr>
                <w:rFonts w:cs="Arial"/>
              </w:rPr>
              <w:t>Collaborate with other immunisation providers in the district</w:t>
            </w:r>
            <w:r w:rsidR="00FD2E46">
              <w:rPr>
                <w:rFonts w:cs="Arial"/>
              </w:rPr>
              <w:t>.</w:t>
            </w:r>
            <w:r w:rsidRPr="00FD2E46">
              <w:rPr>
                <w:rFonts w:cs="Arial"/>
              </w:rPr>
              <w:t xml:space="preserve"> </w:t>
            </w:r>
          </w:p>
        </w:tc>
      </w:tr>
      <w:tr w:rsidR="0006040E" w:rsidRPr="00FD2E46" w14:paraId="483204E2" w14:textId="77777777" w:rsidTr="0080152E">
        <w:tc>
          <w:tcPr>
            <w:tcW w:w="1339"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77D0CFCC" w14:textId="77777777" w:rsidR="0006040E" w:rsidRPr="00FD2E46" w:rsidRDefault="0006040E" w:rsidP="003E3828">
            <w:pPr>
              <w:pStyle w:val="Indent1"/>
              <w:spacing w:before="20" w:after="20"/>
              <w:ind w:left="0"/>
              <w:rPr>
                <w:rFonts w:cs="Arial"/>
              </w:rPr>
            </w:pPr>
            <w:r w:rsidRPr="00FD2E46">
              <w:rPr>
                <w:rFonts w:cs="Arial"/>
              </w:rPr>
              <w:t>Other relevant services and providers (</w:t>
            </w:r>
            <w:proofErr w:type="spellStart"/>
            <w:r w:rsidRPr="00FD2E46">
              <w:rPr>
                <w:rFonts w:cs="Arial"/>
              </w:rPr>
              <w:t>eg</w:t>
            </w:r>
            <w:proofErr w:type="spellEnd"/>
            <w:r w:rsidRPr="00FD2E46">
              <w:rPr>
                <w:rFonts w:cs="Arial"/>
              </w:rPr>
              <w:t>, midwives, Well Child</w:t>
            </w:r>
            <w:r w:rsidR="00FD2E46">
              <w:rPr>
                <w:rFonts w:cs="Arial"/>
              </w:rPr>
              <w:t>/</w:t>
            </w:r>
            <w:proofErr w:type="spellStart"/>
            <w:r w:rsidR="00FD2E46">
              <w:rPr>
                <w:rFonts w:cs="Arial"/>
              </w:rPr>
              <w:t>Tamariki</w:t>
            </w:r>
            <w:proofErr w:type="spellEnd"/>
            <w:r w:rsidR="00FD2E46">
              <w:rPr>
                <w:rFonts w:cs="Arial"/>
              </w:rPr>
              <w:t xml:space="preserve"> Ora</w:t>
            </w:r>
            <w:r w:rsidRPr="00FD2E46">
              <w:rPr>
                <w:rFonts w:cs="Arial"/>
              </w:rPr>
              <w:t xml:space="preserve"> service providers, immunisation providers such as outreach, school</w:t>
            </w:r>
            <w:r w:rsidR="00FD2E46">
              <w:rPr>
                <w:rFonts w:cs="Arial"/>
              </w:rPr>
              <w:t>-</w:t>
            </w:r>
            <w:r w:rsidRPr="00FD2E46">
              <w:rPr>
                <w:rFonts w:cs="Arial"/>
              </w:rPr>
              <w:t>based services, general practitioners, pharmacists</w:t>
            </w:r>
          </w:p>
        </w:tc>
        <w:tc>
          <w:tcPr>
            <w:tcW w:w="142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0C0C83C" w14:textId="77777777" w:rsidR="0006040E" w:rsidRPr="00FD2E46" w:rsidRDefault="0006040E" w:rsidP="003E3828">
            <w:pPr>
              <w:pStyle w:val="Indent1"/>
              <w:spacing w:before="20" w:after="20"/>
              <w:ind w:left="0"/>
              <w:rPr>
                <w:rFonts w:cs="Arial"/>
              </w:rPr>
            </w:pPr>
            <w:r w:rsidRPr="00FD2E46">
              <w:rPr>
                <w:rFonts w:cs="Arial"/>
              </w:rPr>
              <w:t>Liaison, consultation and referral</w:t>
            </w:r>
          </w:p>
        </w:tc>
        <w:tc>
          <w:tcPr>
            <w:tcW w:w="2232" w:type="pct"/>
            <w:tcBorders>
              <w:top w:val="single" w:sz="6" w:space="0" w:color="auto"/>
              <w:left w:val="single" w:sz="6" w:space="0" w:color="auto"/>
              <w:bottom w:val="single" w:sz="6" w:space="0" w:color="auto"/>
              <w:right w:val="single" w:sz="4" w:space="0" w:color="auto"/>
            </w:tcBorders>
            <w:shd w:val="clear" w:color="auto" w:fill="FFFFFF" w:themeFill="background1"/>
          </w:tcPr>
          <w:p w14:paraId="1ECE7AD8" w14:textId="77777777" w:rsidR="0006040E" w:rsidRPr="00FD2E46" w:rsidRDefault="0006040E" w:rsidP="003E3828">
            <w:pPr>
              <w:pStyle w:val="Indent1"/>
              <w:numPr>
                <w:ilvl w:val="0"/>
                <w:numId w:val="27"/>
              </w:numPr>
              <w:spacing w:before="20" w:after="20"/>
              <w:rPr>
                <w:rFonts w:cs="Arial"/>
              </w:rPr>
            </w:pPr>
            <w:r w:rsidRPr="00FD2E46">
              <w:rPr>
                <w:rFonts w:cs="Arial"/>
              </w:rPr>
              <w:t>To ensure service users have timely access to appropriately presented immunisation information and relevant advice</w:t>
            </w:r>
            <w:r w:rsidR="00FD2E46">
              <w:rPr>
                <w:rFonts w:cs="Arial"/>
              </w:rPr>
              <w:t>.</w:t>
            </w:r>
          </w:p>
          <w:p w14:paraId="724B6A29" w14:textId="77777777" w:rsidR="0006040E" w:rsidRPr="00FD2E46" w:rsidRDefault="0006040E" w:rsidP="003E3828">
            <w:pPr>
              <w:pStyle w:val="Indent1"/>
              <w:numPr>
                <w:ilvl w:val="0"/>
                <w:numId w:val="27"/>
              </w:numPr>
              <w:spacing w:before="20" w:after="20"/>
              <w:rPr>
                <w:rFonts w:cs="Arial"/>
              </w:rPr>
            </w:pPr>
            <w:r w:rsidRPr="00FD2E46">
              <w:rPr>
                <w:rFonts w:cs="Arial"/>
              </w:rPr>
              <w:t>If relevant, the service delivers safe, efficient and high quality immunisation services as per the National Immunisation Schedule</w:t>
            </w:r>
            <w:r w:rsidR="00FD2E46">
              <w:rPr>
                <w:rFonts w:cs="Arial"/>
              </w:rPr>
              <w:t>.</w:t>
            </w:r>
          </w:p>
          <w:p w14:paraId="5234A1DA" w14:textId="77777777" w:rsidR="0006040E" w:rsidRPr="00FD2E46" w:rsidRDefault="0006040E" w:rsidP="003E3828">
            <w:pPr>
              <w:pStyle w:val="Indent1"/>
              <w:numPr>
                <w:ilvl w:val="0"/>
                <w:numId w:val="27"/>
              </w:numPr>
              <w:spacing w:before="20" w:after="20"/>
              <w:rPr>
                <w:rFonts w:cs="Arial"/>
              </w:rPr>
            </w:pPr>
            <w:r w:rsidRPr="00FD2E46">
              <w:rPr>
                <w:rFonts w:cs="Arial"/>
              </w:rPr>
              <w:t>Collaborate with other immunisation providers in the district</w:t>
            </w:r>
            <w:r w:rsidR="00FD2E46">
              <w:rPr>
                <w:rFonts w:cs="Arial"/>
              </w:rPr>
              <w:t>.</w:t>
            </w:r>
          </w:p>
        </w:tc>
      </w:tr>
      <w:tr w:rsidR="0006040E" w:rsidRPr="00FD2E46" w14:paraId="57726D3F" w14:textId="77777777" w:rsidTr="0080152E">
        <w:tc>
          <w:tcPr>
            <w:tcW w:w="1339"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41F22007" w14:textId="77777777" w:rsidR="0006040E" w:rsidRPr="00FD2E46" w:rsidRDefault="0006040E" w:rsidP="003E3828">
            <w:pPr>
              <w:pStyle w:val="Indent1"/>
              <w:spacing w:before="20" w:after="20"/>
              <w:ind w:left="0"/>
              <w:rPr>
                <w:rFonts w:cs="Arial"/>
              </w:rPr>
            </w:pPr>
            <w:r w:rsidRPr="00FD2E46">
              <w:rPr>
                <w:rFonts w:cs="Arial"/>
              </w:rPr>
              <w:t>Māori and Pacific providers (</w:t>
            </w:r>
            <w:proofErr w:type="spellStart"/>
            <w:r w:rsidRPr="00FD2E46">
              <w:rPr>
                <w:rFonts w:cs="Arial"/>
              </w:rPr>
              <w:t>eg</w:t>
            </w:r>
            <w:proofErr w:type="spellEnd"/>
            <w:r w:rsidRPr="00FD2E46">
              <w:rPr>
                <w:rFonts w:cs="Arial"/>
              </w:rPr>
              <w:t>, Māori Women’s Welfare League)</w:t>
            </w:r>
          </w:p>
        </w:tc>
        <w:tc>
          <w:tcPr>
            <w:tcW w:w="142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0C382CA" w14:textId="77777777" w:rsidR="0006040E" w:rsidRPr="00FD2E46" w:rsidRDefault="0006040E" w:rsidP="003E3828">
            <w:pPr>
              <w:pStyle w:val="Indent1"/>
              <w:spacing w:before="20" w:after="20"/>
              <w:ind w:left="0"/>
              <w:rPr>
                <w:rFonts w:cs="Arial"/>
              </w:rPr>
            </w:pPr>
            <w:r w:rsidRPr="00FD2E46">
              <w:rPr>
                <w:rFonts w:cs="Arial"/>
              </w:rPr>
              <w:t>Liaison, consultation and referral</w:t>
            </w:r>
          </w:p>
        </w:tc>
        <w:tc>
          <w:tcPr>
            <w:tcW w:w="2232" w:type="pct"/>
            <w:tcBorders>
              <w:top w:val="single" w:sz="6" w:space="0" w:color="auto"/>
              <w:left w:val="single" w:sz="6" w:space="0" w:color="auto"/>
              <w:bottom w:val="single" w:sz="6" w:space="0" w:color="auto"/>
              <w:right w:val="single" w:sz="4" w:space="0" w:color="auto"/>
            </w:tcBorders>
            <w:shd w:val="clear" w:color="auto" w:fill="FFFFFF" w:themeFill="background1"/>
            <w:hideMark/>
          </w:tcPr>
          <w:p w14:paraId="677D357B" w14:textId="77777777" w:rsidR="0006040E" w:rsidRPr="00FD2E46" w:rsidRDefault="0006040E" w:rsidP="003E3828">
            <w:pPr>
              <w:pStyle w:val="Indent1"/>
              <w:numPr>
                <w:ilvl w:val="0"/>
                <w:numId w:val="28"/>
              </w:numPr>
              <w:spacing w:before="20" w:after="20"/>
              <w:rPr>
                <w:rFonts w:cs="Arial"/>
              </w:rPr>
            </w:pPr>
            <w:r w:rsidRPr="00FD2E46">
              <w:rPr>
                <w:rFonts w:cs="Arial"/>
              </w:rPr>
              <w:t>Maintains a community development approach for immunisation programme service delivery</w:t>
            </w:r>
            <w:r w:rsidR="00FD2E46">
              <w:rPr>
                <w:rFonts w:cs="Arial"/>
              </w:rPr>
              <w:t>.</w:t>
            </w:r>
          </w:p>
          <w:p w14:paraId="49798F11" w14:textId="77777777" w:rsidR="0006040E" w:rsidRPr="00FD2E46" w:rsidRDefault="0006040E" w:rsidP="003E3828">
            <w:pPr>
              <w:pStyle w:val="Indent1"/>
              <w:numPr>
                <w:ilvl w:val="0"/>
                <w:numId w:val="28"/>
              </w:numPr>
              <w:spacing w:before="20" w:after="20"/>
              <w:rPr>
                <w:rFonts w:cs="Arial"/>
              </w:rPr>
            </w:pPr>
            <w:r w:rsidRPr="00FD2E46">
              <w:rPr>
                <w:rFonts w:cs="Arial"/>
              </w:rPr>
              <w:t>Collaborate with other immunisation providers in the district</w:t>
            </w:r>
          </w:p>
        </w:tc>
      </w:tr>
      <w:tr w:rsidR="0006040E" w:rsidRPr="00FD2E46" w14:paraId="06A2BC99" w14:textId="77777777" w:rsidTr="0080152E">
        <w:tc>
          <w:tcPr>
            <w:tcW w:w="1339"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5BD5DD35" w14:textId="77777777" w:rsidR="0006040E" w:rsidRPr="00FD2E46" w:rsidRDefault="0006040E" w:rsidP="003E3828">
            <w:pPr>
              <w:pStyle w:val="Indent1"/>
              <w:spacing w:before="20" w:after="20"/>
              <w:ind w:left="0"/>
              <w:rPr>
                <w:rFonts w:cs="Arial"/>
              </w:rPr>
            </w:pPr>
            <w:r w:rsidRPr="00FD2E46">
              <w:rPr>
                <w:rFonts w:cs="Arial"/>
              </w:rPr>
              <w:t xml:space="preserve">Ministry of Health, Immunisation Programme </w:t>
            </w:r>
          </w:p>
        </w:tc>
        <w:tc>
          <w:tcPr>
            <w:tcW w:w="142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694137F" w14:textId="77777777" w:rsidR="0006040E" w:rsidRPr="00FD2E46" w:rsidRDefault="0006040E" w:rsidP="003E3828">
            <w:pPr>
              <w:pStyle w:val="Indent1"/>
              <w:spacing w:before="20" w:after="20"/>
              <w:ind w:left="0"/>
              <w:rPr>
                <w:rFonts w:cs="Arial"/>
              </w:rPr>
            </w:pPr>
            <w:r w:rsidRPr="00FD2E46">
              <w:rPr>
                <w:rFonts w:cs="Arial"/>
              </w:rPr>
              <w:t>Contractual,</w:t>
            </w:r>
            <w:r w:rsidR="00127197">
              <w:rPr>
                <w:rFonts w:cs="Arial"/>
              </w:rPr>
              <w:t xml:space="preserve"> </w:t>
            </w:r>
            <w:r w:rsidRPr="00FD2E46">
              <w:rPr>
                <w:rFonts w:cs="Arial"/>
              </w:rPr>
              <w:t>liaison</w:t>
            </w:r>
          </w:p>
        </w:tc>
        <w:tc>
          <w:tcPr>
            <w:tcW w:w="2232" w:type="pct"/>
            <w:tcBorders>
              <w:top w:val="single" w:sz="6" w:space="0" w:color="auto"/>
              <w:left w:val="single" w:sz="6" w:space="0" w:color="auto"/>
              <w:bottom w:val="single" w:sz="6" w:space="0" w:color="auto"/>
              <w:right w:val="single" w:sz="4" w:space="0" w:color="auto"/>
            </w:tcBorders>
            <w:shd w:val="clear" w:color="auto" w:fill="FFFFFF" w:themeFill="background1"/>
            <w:hideMark/>
          </w:tcPr>
          <w:p w14:paraId="69BCAF6C" w14:textId="77777777" w:rsidR="0006040E" w:rsidRPr="00FD2E46" w:rsidRDefault="0006040E" w:rsidP="003E3828">
            <w:pPr>
              <w:pStyle w:val="Indent1"/>
              <w:numPr>
                <w:ilvl w:val="0"/>
                <w:numId w:val="29"/>
              </w:numPr>
              <w:spacing w:before="20" w:after="20"/>
              <w:rPr>
                <w:rFonts w:cs="Arial"/>
              </w:rPr>
            </w:pPr>
            <w:r w:rsidRPr="00FD2E46">
              <w:rPr>
                <w:rFonts w:cs="Arial"/>
              </w:rPr>
              <w:t>Provide immunisation leadership and national direction</w:t>
            </w:r>
            <w:r w:rsidR="00FD2E46">
              <w:rPr>
                <w:rFonts w:cs="Arial"/>
              </w:rPr>
              <w:t>.</w:t>
            </w:r>
          </w:p>
        </w:tc>
      </w:tr>
      <w:tr w:rsidR="0006040E" w:rsidRPr="00FD2E46" w14:paraId="086E7D5B" w14:textId="77777777" w:rsidTr="0080152E">
        <w:tc>
          <w:tcPr>
            <w:tcW w:w="1339"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2C29DE73" w14:textId="77777777" w:rsidR="0006040E" w:rsidRPr="00FD2E46" w:rsidRDefault="00FD2E46" w:rsidP="003E3828">
            <w:pPr>
              <w:pStyle w:val="Indent1"/>
              <w:spacing w:before="20" w:after="20"/>
              <w:ind w:left="0"/>
              <w:rPr>
                <w:rFonts w:cs="Arial"/>
              </w:rPr>
            </w:pPr>
            <w:r>
              <w:rPr>
                <w:rStyle w:val="st"/>
                <w:rFonts w:cs="Arial"/>
                <w:color w:val="222222"/>
              </w:rPr>
              <w:t>Centre for Adverse Reactions Monitoring</w:t>
            </w:r>
            <w:r w:rsidRPr="00FD2E46">
              <w:rPr>
                <w:rFonts w:cs="Arial"/>
              </w:rPr>
              <w:t xml:space="preserve"> </w:t>
            </w:r>
            <w:r>
              <w:rPr>
                <w:rFonts w:cs="Arial"/>
              </w:rPr>
              <w:t>(</w:t>
            </w:r>
            <w:r w:rsidR="0006040E" w:rsidRPr="00FD2E46">
              <w:rPr>
                <w:rFonts w:cs="Arial"/>
              </w:rPr>
              <w:t>CARM</w:t>
            </w:r>
            <w:r>
              <w:rPr>
                <w:rFonts w:cs="Arial"/>
              </w:rPr>
              <w:t>)</w:t>
            </w:r>
          </w:p>
        </w:tc>
        <w:tc>
          <w:tcPr>
            <w:tcW w:w="142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D47A357" w14:textId="77777777" w:rsidR="0006040E" w:rsidRPr="00FD2E46" w:rsidRDefault="0006040E" w:rsidP="003E3828">
            <w:pPr>
              <w:pStyle w:val="Indent1"/>
              <w:spacing w:before="20" w:after="20"/>
              <w:ind w:left="0"/>
              <w:rPr>
                <w:rFonts w:cs="Arial"/>
              </w:rPr>
            </w:pPr>
            <w:r w:rsidRPr="00FD2E46">
              <w:rPr>
                <w:rFonts w:cs="Arial"/>
              </w:rPr>
              <w:t>Liaison, consultation and referral</w:t>
            </w:r>
          </w:p>
        </w:tc>
        <w:tc>
          <w:tcPr>
            <w:tcW w:w="2232" w:type="pct"/>
            <w:tcBorders>
              <w:top w:val="single" w:sz="6" w:space="0" w:color="auto"/>
              <w:left w:val="single" w:sz="6" w:space="0" w:color="auto"/>
              <w:bottom w:val="single" w:sz="6" w:space="0" w:color="auto"/>
              <w:right w:val="single" w:sz="4" w:space="0" w:color="auto"/>
            </w:tcBorders>
            <w:shd w:val="clear" w:color="auto" w:fill="FFFFFF" w:themeFill="background1"/>
            <w:hideMark/>
          </w:tcPr>
          <w:p w14:paraId="205217F9" w14:textId="77777777" w:rsidR="0006040E" w:rsidRPr="00FD2E46" w:rsidRDefault="0006040E" w:rsidP="003E3828">
            <w:pPr>
              <w:pStyle w:val="Indent1"/>
              <w:numPr>
                <w:ilvl w:val="0"/>
                <w:numId w:val="30"/>
              </w:numPr>
              <w:spacing w:before="20" w:after="20"/>
              <w:rPr>
                <w:rFonts w:cs="Arial"/>
              </w:rPr>
            </w:pPr>
            <w:r w:rsidRPr="00FD2E46">
              <w:rPr>
                <w:rFonts w:cs="Arial"/>
              </w:rPr>
              <w:t>Monitor vaccine adverse events and review trends</w:t>
            </w:r>
            <w:r w:rsidR="00FD2E46">
              <w:rPr>
                <w:rFonts w:cs="Arial"/>
              </w:rPr>
              <w:t>.</w:t>
            </w:r>
          </w:p>
        </w:tc>
      </w:tr>
      <w:tr w:rsidR="0006040E" w:rsidRPr="00FD2E46" w14:paraId="2B1788A2" w14:textId="77777777" w:rsidTr="0080152E">
        <w:tc>
          <w:tcPr>
            <w:tcW w:w="1339"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11CBD3FE" w14:textId="77777777" w:rsidR="0006040E" w:rsidRPr="00FD2E46" w:rsidRDefault="0006040E" w:rsidP="003E3828">
            <w:pPr>
              <w:pStyle w:val="Indent1"/>
              <w:spacing w:before="20" w:after="20"/>
              <w:ind w:left="0"/>
              <w:rPr>
                <w:rFonts w:cs="Arial"/>
              </w:rPr>
            </w:pPr>
            <w:r w:rsidRPr="00FD2E46">
              <w:rPr>
                <w:rFonts w:cs="Arial"/>
              </w:rPr>
              <w:lastRenderedPageBreak/>
              <w:t>Immunisation Advisory Centre</w:t>
            </w:r>
          </w:p>
        </w:tc>
        <w:tc>
          <w:tcPr>
            <w:tcW w:w="142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3907922" w14:textId="77777777" w:rsidR="0006040E" w:rsidRPr="00FD2E46" w:rsidRDefault="0006040E" w:rsidP="003E3828">
            <w:pPr>
              <w:pStyle w:val="Indent1"/>
              <w:spacing w:before="20" w:after="20"/>
              <w:ind w:left="0"/>
              <w:rPr>
                <w:rFonts w:cs="Arial"/>
              </w:rPr>
            </w:pPr>
            <w:r w:rsidRPr="00FD2E46">
              <w:rPr>
                <w:rFonts w:cs="Arial"/>
              </w:rPr>
              <w:t>Liaison, consultation and referral</w:t>
            </w:r>
          </w:p>
        </w:tc>
        <w:tc>
          <w:tcPr>
            <w:tcW w:w="2232" w:type="pct"/>
            <w:tcBorders>
              <w:top w:val="single" w:sz="6" w:space="0" w:color="auto"/>
              <w:left w:val="single" w:sz="6" w:space="0" w:color="auto"/>
              <w:bottom w:val="single" w:sz="6" w:space="0" w:color="auto"/>
              <w:right w:val="single" w:sz="4" w:space="0" w:color="auto"/>
            </w:tcBorders>
            <w:shd w:val="clear" w:color="auto" w:fill="FFFFFF" w:themeFill="background1"/>
            <w:hideMark/>
          </w:tcPr>
          <w:p w14:paraId="68840097" w14:textId="77777777" w:rsidR="0006040E" w:rsidRPr="00FD2E46" w:rsidRDefault="0006040E" w:rsidP="003E3828">
            <w:pPr>
              <w:pStyle w:val="Indent1"/>
              <w:numPr>
                <w:ilvl w:val="0"/>
                <w:numId w:val="31"/>
              </w:numPr>
              <w:spacing w:before="20" w:after="20"/>
              <w:rPr>
                <w:rFonts w:cs="Arial"/>
              </w:rPr>
            </w:pPr>
            <w:r w:rsidRPr="00FD2E46">
              <w:rPr>
                <w:rFonts w:cs="Arial"/>
              </w:rPr>
              <w:t>Develops national standards based training programmes</w:t>
            </w:r>
            <w:r w:rsidR="00FD2E46">
              <w:rPr>
                <w:rFonts w:cs="Arial"/>
              </w:rPr>
              <w:t>.</w:t>
            </w:r>
            <w:r w:rsidRPr="00FD2E46">
              <w:rPr>
                <w:rFonts w:cs="Arial"/>
              </w:rPr>
              <w:t xml:space="preserve"> </w:t>
            </w:r>
          </w:p>
        </w:tc>
      </w:tr>
      <w:tr w:rsidR="0006040E" w:rsidRPr="00FD2E46" w14:paraId="70F992A6" w14:textId="77777777" w:rsidTr="0080152E">
        <w:tc>
          <w:tcPr>
            <w:tcW w:w="1339"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40E17848" w14:textId="77777777" w:rsidR="0006040E" w:rsidRPr="00FD2E46" w:rsidRDefault="0006040E" w:rsidP="003E3828">
            <w:pPr>
              <w:pStyle w:val="Indent1"/>
              <w:spacing w:before="20" w:after="20"/>
              <w:ind w:left="0"/>
              <w:rPr>
                <w:rFonts w:cs="Arial"/>
              </w:rPr>
            </w:pPr>
            <w:r w:rsidRPr="00FD2E46">
              <w:rPr>
                <w:rFonts w:cs="Arial"/>
              </w:rPr>
              <w:t>ESR</w:t>
            </w:r>
          </w:p>
        </w:tc>
        <w:tc>
          <w:tcPr>
            <w:tcW w:w="142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4D03C4C" w14:textId="77777777" w:rsidR="0006040E" w:rsidRPr="00FD2E46" w:rsidRDefault="0006040E" w:rsidP="003E3828">
            <w:pPr>
              <w:pStyle w:val="Indent1"/>
              <w:spacing w:before="20" w:after="20"/>
              <w:ind w:left="0"/>
              <w:rPr>
                <w:rFonts w:cs="Arial"/>
              </w:rPr>
            </w:pPr>
            <w:r w:rsidRPr="00FD2E46">
              <w:rPr>
                <w:rFonts w:cs="Arial"/>
              </w:rPr>
              <w:t>Liaison, consultation and referral</w:t>
            </w:r>
          </w:p>
        </w:tc>
        <w:tc>
          <w:tcPr>
            <w:tcW w:w="2232" w:type="pct"/>
            <w:tcBorders>
              <w:top w:val="single" w:sz="6" w:space="0" w:color="auto"/>
              <w:left w:val="single" w:sz="6" w:space="0" w:color="auto"/>
              <w:bottom w:val="single" w:sz="6" w:space="0" w:color="auto"/>
              <w:right w:val="single" w:sz="4" w:space="0" w:color="auto"/>
            </w:tcBorders>
            <w:shd w:val="clear" w:color="auto" w:fill="FFFFFF" w:themeFill="background1"/>
            <w:hideMark/>
          </w:tcPr>
          <w:p w14:paraId="63A5F6CA" w14:textId="77777777" w:rsidR="0006040E" w:rsidRPr="00FD2E46" w:rsidRDefault="0006040E" w:rsidP="003E3828">
            <w:pPr>
              <w:pStyle w:val="Indent1"/>
              <w:numPr>
                <w:ilvl w:val="0"/>
                <w:numId w:val="32"/>
              </w:numPr>
              <w:spacing w:before="20" w:after="20"/>
              <w:rPr>
                <w:rFonts w:cs="Arial"/>
              </w:rPr>
            </w:pPr>
            <w:r w:rsidRPr="00FD2E46">
              <w:rPr>
                <w:rFonts w:cs="Arial"/>
              </w:rPr>
              <w:t xml:space="preserve">Monitors and reports on vaccine preventable disease surveillance </w:t>
            </w:r>
          </w:p>
        </w:tc>
      </w:tr>
      <w:tr w:rsidR="0006040E" w:rsidRPr="00FD2E46" w14:paraId="40B614EA" w14:textId="77777777" w:rsidTr="0080152E">
        <w:tc>
          <w:tcPr>
            <w:tcW w:w="1339" w:type="pct"/>
            <w:tcBorders>
              <w:top w:val="single" w:sz="6" w:space="0" w:color="auto"/>
              <w:left w:val="single" w:sz="4" w:space="0" w:color="auto"/>
              <w:bottom w:val="single" w:sz="6" w:space="0" w:color="auto"/>
              <w:right w:val="single" w:sz="6" w:space="0" w:color="auto"/>
            </w:tcBorders>
            <w:shd w:val="clear" w:color="auto" w:fill="FFFFFF" w:themeFill="background1"/>
            <w:hideMark/>
          </w:tcPr>
          <w:p w14:paraId="317BE065" w14:textId="77777777" w:rsidR="0006040E" w:rsidRPr="00FD2E46" w:rsidRDefault="0006040E" w:rsidP="003E3828">
            <w:pPr>
              <w:pStyle w:val="Indent1"/>
              <w:spacing w:before="20" w:after="20"/>
              <w:ind w:left="0"/>
              <w:rPr>
                <w:rFonts w:cs="Arial"/>
              </w:rPr>
            </w:pPr>
            <w:r w:rsidRPr="00FD2E46">
              <w:rPr>
                <w:rFonts w:cs="Arial"/>
              </w:rPr>
              <w:t>PHARMAC</w:t>
            </w:r>
          </w:p>
        </w:tc>
        <w:tc>
          <w:tcPr>
            <w:tcW w:w="142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85C405B" w14:textId="77777777" w:rsidR="0006040E" w:rsidRPr="00FD2E46" w:rsidRDefault="0006040E" w:rsidP="003E3828">
            <w:pPr>
              <w:pStyle w:val="Indent1"/>
              <w:spacing w:before="20" w:after="20"/>
              <w:ind w:left="0"/>
              <w:rPr>
                <w:rFonts w:cs="Arial"/>
              </w:rPr>
            </w:pPr>
            <w:r w:rsidRPr="00FD2E46">
              <w:rPr>
                <w:rFonts w:cs="Arial"/>
              </w:rPr>
              <w:t xml:space="preserve">Consultation </w:t>
            </w:r>
          </w:p>
        </w:tc>
        <w:tc>
          <w:tcPr>
            <w:tcW w:w="2232" w:type="pct"/>
            <w:tcBorders>
              <w:top w:val="single" w:sz="6" w:space="0" w:color="auto"/>
              <w:left w:val="single" w:sz="6" w:space="0" w:color="auto"/>
              <w:bottom w:val="single" w:sz="6" w:space="0" w:color="auto"/>
              <w:right w:val="single" w:sz="4" w:space="0" w:color="auto"/>
            </w:tcBorders>
            <w:shd w:val="clear" w:color="auto" w:fill="FFFFFF" w:themeFill="background1"/>
            <w:hideMark/>
          </w:tcPr>
          <w:p w14:paraId="061DCFB5" w14:textId="77777777" w:rsidR="0006040E" w:rsidRPr="00FD2E46" w:rsidRDefault="0006040E" w:rsidP="003E3828">
            <w:pPr>
              <w:pStyle w:val="Indent1"/>
              <w:numPr>
                <w:ilvl w:val="0"/>
                <w:numId w:val="33"/>
              </w:numPr>
              <w:spacing w:before="20" w:after="20"/>
              <w:rPr>
                <w:rFonts w:cs="Arial"/>
              </w:rPr>
            </w:pPr>
            <w:r w:rsidRPr="00FD2E46">
              <w:rPr>
                <w:rFonts w:cs="Arial"/>
              </w:rPr>
              <w:t>Vaccine funding and decision making</w:t>
            </w:r>
            <w:r w:rsidR="00FD2E46">
              <w:rPr>
                <w:rFonts w:cs="Arial"/>
              </w:rPr>
              <w:t>.</w:t>
            </w:r>
            <w:r w:rsidRPr="00FD2E46">
              <w:rPr>
                <w:rFonts w:cs="Arial"/>
              </w:rPr>
              <w:t xml:space="preserve"> </w:t>
            </w:r>
          </w:p>
        </w:tc>
      </w:tr>
      <w:tr w:rsidR="0006040E" w:rsidRPr="00FD2E46" w14:paraId="31760631" w14:textId="77777777" w:rsidTr="0080152E">
        <w:tc>
          <w:tcPr>
            <w:tcW w:w="1339" w:type="pct"/>
            <w:tcBorders>
              <w:top w:val="single" w:sz="6" w:space="0" w:color="auto"/>
              <w:left w:val="single" w:sz="4" w:space="0" w:color="auto"/>
              <w:bottom w:val="single" w:sz="4" w:space="0" w:color="auto"/>
              <w:right w:val="single" w:sz="6" w:space="0" w:color="auto"/>
            </w:tcBorders>
            <w:shd w:val="clear" w:color="auto" w:fill="FFFFFF" w:themeFill="background1"/>
            <w:hideMark/>
          </w:tcPr>
          <w:p w14:paraId="244D3DC2" w14:textId="77777777" w:rsidR="0006040E" w:rsidRPr="00FD2E46" w:rsidRDefault="0006040E" w:rsidP="003E3828">
            <w:pPr>
              <w:pStyle w:val="Indent1"/>
              <w:spacing w:before="20" w:after="20"/>
              <w:ind w:left="0"/>
              <w:rPr>
                <w:rFonts w:cs="Arial"/>
              </w:rPr>
            </w:pPr>
            <w:proofErr w:type="spellStart"/>
            <w:r w:rsidRPr="00FD2E46">
              <w:rPr>
                <w:rFonts w:cs="Arial"/>
              </w:rPr>
              <w:t>Medsafe</w:t>
            </w:r>
            <w:proofErr w:type="spellEnd"/>
            <w:r w:rsidRPr="00FD2E46">
              <w:rPr>
                <w:rFonts w:cs="Arial"/>
              </w:rPr>
              <w:t xml:space="preserve"> </w:t>
            </w:r>
          </w:p>
        </w:tc>
        <w:tc>
          <w:tcPr>
            <w:tcW w:w="1429" w:type="pct"/>
            <w:tcBorders>
              <w:top w:val="single" w:sz="6" w:space="0" w:color="auto"/>
              <w:left w:val="single" w:sz="6" w:space="0" w:color="auto"/>
              <w:bottom w:val="single" w:sz="4" w:space="0" w:color="auto"/>
              <w:right w:val="single" w:sz="6" w:space="0" w:color="auto"/>
            </w:tcBorders>
            <w:shd w:val="clear" w:color="auto" w:fill="FFFFFF" w:themeFill="background1"/>
          </w:tcPr>
          <w:p w14:paraId="424712C5" w14:textId="77777777" w:rsidR="0006040E" w:rsidRPr="00FD2E46" w:rsidRDefault="0006040E" w:rsidP="003E3828">
            <w:pPr>
              <w:pStyle w:val="Indent1"/>
              <w:spacing w:before="20" w:after="20"/>
              <w:ind w:left="0"/>
              <w:rPr>
                <w:rFonts w:cs="Arial"/>
              </w:rPr>
            </w:pPr>
            <w:r w:rsidRPr="00FD2E46">
              <w:rPr>
                <w:rFonts w:cs="Arial"/>
              </w:rPr>
              <w:t xml:space="preserve">Regulatory </w:t>
            </w:r>
          </w:p>
        </w:tc>
        <w:tc>
          <w:tcPr>
            <w:tcW w:w="2232" w:type="pct"/>
            <w:tcBorders>
              <w:top w:val="single" w:sz="6" w:space="0" w:color="auto"/>
              <w:left w:val="single" w:sz="6" w:space="0" w:color="auto"/>
              <w:bottom w:val="single" w:sz="4" w:space="0" w:color="auto"/>
              <w:right w:val="single" w:sz="4" w:space="0" w:color="auto"/>
            </w:tcBorders>
            <w:shd w:val="clear" w:color="auto" w:fill="FFFFFF" w:themeFill="background1"/>
            <w:hideMark/>
          </w:tcPr>
          <w:p w14:paraId="3BA7DA7F" w14:textId="77777777" w:rsidR="0006040E" w:rsidRPr="00FD2E46" w:rsidRDefault="0006040E" w:rsidP="003E3828">
            <w:pPr>
              <w:pStyle w:val="Indent1"/>
              <w:numPr>
                <w:ilvl w:val="0"/>
                <w:numId w:val="34"/>
              </w:numPr>
              <w:spacing w:before="20" w:after="20"/>
              <w:rPr>
                <w:rFonts w:cs="Arial"/>
              </w:rPr>
            </w:pPr>
            <w:r w:rsidRPr="00FD2E46">
              <w:rPr>
                <w:rFonts w:cs="Arial"/>
              </w:rPr>
              <w:t xml:space="preserve">Approves vaccines for use in New Zealand </w:t>
            </w:r>
          </w:p>
        </w:tc>
      </w:tr>
    </w:tbl>
    <w:p w14:paraId="14E94382" w14:textId="77777777" w:rsidR="00AB743E" w:rsidRDefault="00AB743E" w:rsidP="003E3828">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824"/>
        <w:gridCol w:w="3014"/>
        <w:gridCol w:w="4708"/>
      </w:tblGrid>
      <w:tr w:rsidR="0006040E" w:rsidRPr="00FD2E46" w14:paraId="5F33B247" w14:textId="77777777" w:rsidTr="0080152E">
        <w:tc>
          <w:tcPr>
            <w:tcW w:w="5000" w:type="pct"/>
            <w:gridSpan w:val="3"/>
            <w:tcBorders>
              <w:top w:val="single" w:sz="6" w:space="0" w:color="auto"/>
              <w:left w:val="single" w:sz="4" w:space="0" w:color="auto"/>
              <w:bottom w:val="single" w:sz="6" w:space="0" w:color="auto"/>
              <w:right w:val="single" w:sz="4" w:space="0" w:color="auto"/>
            </w:tcBorders>
            <w:shd w:val="clear" w:color="auto" w:fill="D9D9D9" w:themeFill="background1" w:themeFillShade="D9"/>
            <w:hideMark/>
          </w:tcPr>
          <w:p w14:paraId="17D8474A" w14:textId="55555619" w:rsidR="0006040E" w:rsidRPr="00FD2E46" w:rsidRDefault="0006040E" w:rsidP="003E3828">
            <w:pPr>
              <w:autoSpaceDE w:val="0"/>
              <w:autoSpaceDN w:val="0"/>
              <w:adjustRightInd w:val="0"/>
              <w:spacing w:before="120" w:after="120" w:line="240" w:lineRule="auto"/>
              <w:ind w:left="108" w:right="108"/>
              <w:jc w:val="center"/>
              <w:rPr>
                <w:rFonts w:cs="Arial"/>
                <w:b/>
                <w:bCs/>
                <w:sz w:val="20"/>
                <w:szCs w:val="20"/>
              </w:rPr>
            </w:pPr>
            <w:r w:rsidRPr="00FD2E46">
              <w:rPr>
                <w:rFonts w:cs="Arial"/>
                <w:b/>
                <w:bCs/>
                <w:sz w:val="20"/>
                <w:szCs w:val="20"/>
              </w:rPr>
              <w:t>Screening</w:t>
            </w:r>
          </w:p>
        </w:tc>
      </w:tr>
      <w:tr w:rsidR="0006040E" w:rsidRPr="00FD2E46" w14:paraId="128DFF3E" w14:textId="77777777" w:rsidTr="0080152E">
        <w:tc>
          <w:tcPr>
            <w:tcW w:w="1339"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14:paraId="5D4B4A2C" w14:textId="77777777" w:rsidR="0006040E" w:rsidRPr="00FD2E46" w:rsidRDefault="0006040E" w:rsidP="003E3828">
            <w:pPr>
              <w:autoSpaceDE w:val="0"/>
              <w:autoSpaceDN w:val="0"/>
              <w:adjustRightInd w:val="0"/>
              <w:spacing w:before="60" w:after="60" w:line="240" w:lineRule="auto"/>
              <w:ind w:left="108" w:right="108"/>
              <w:jc w:val="center"/>
              <w:rPr>
                <w:rFonts w:cs="Arial"/>
                <w:b/>
                <w:bCs/>
                <w:sz w:val="20"/>
                <w:szCs w:val="20"/>
              </w:rPr>
            </w:pPr>
            <w:r w:rsidRPr="00FD2E46">
              <w:rPr>
                <w:rFonts w:cs="Arial"/>
                <w:b/>
                <w:bCs/>
                <w:sz w:val="20"/>
                <w:szCs w:val="20"/>
              </w:rPr>
              <w:t>Service Provider</w:t>
            </w:r>
          </w:p>
        </w:tc>
        <w:tc>
          <w:tcPr>
            <w:tcW w:w="1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6967E8" w14:textId="77777777" w:rsidR="0006040E" w:rsidRPr="00FD2E46" w:rsidRDefault="0006040E" w:rsidP="003E3828">
            <w:pPr>
              <w:autoSpaceDE w:val="0"/>
              <w:autoSpaceDN w:val="0"/>
              <w:adjustRightInd w:val="0"/>
              <w:spacing w:before="60" w:after="60" w:line="240" w:lineRule="auto"/>
              <w:ind w:left="108" w:right="108"/>
              <w:jc w:val="center"/>
              <w:rPr>
                <w:rFonts w:cs="Arial"/>
                <w:b/>
                <w:bCs/>
                <w:sz w:val="20"/>
                <w:szCs w:val="20"/>
              </w:rPr>
            </w:pPr>
            <w:r w:rsidRPr="00FD2E46">
              <w:rPr>
                <w:rFonts w:cs="Arial"/>
                <w:b/>
                <w:bCs/>
                <w:sz w:val="20"/>
                <w:szCs w:val="20"/>
              </w:rPr>
              <w:t>Nature of Linkage</w:t>
            </w:r>
          </w:p>
        </w:tc>
        <w:tc>
          <w:tcPr>
            <w:tcW w:w="2232" w:type="pct"/>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62C3F4AA" w14:textId="77777777" w:rsidR="0006040E" w:rsidRPr="00FD2E46" w:rsidRDefault="0006040E" w:rsidP="003E3828">
            <w:pPr>
              <w:autoSpaceDE w:val="0"/>
              <w:autoSpaceDN w:val="0"/>
              <w:adjustRightInd w:val="0"/>
              <w:spacing w:before="60" w:after="60" w:line="240" w:lineRule="auto"/>
              <w:jc w:val="center"/>
              <w:rPr>
                <w:rFonts w:cs="Arial"/>
                <w:b/>
                <w:bCs/>
                <w:sz w:val="20"/>
                <w:szCs w:val="20"/>
              </w:rPr>
            </w:pPr>
            <w:r w:rsidRPr="00FD2E46">
              <w:rPr>
                <w:rFonts w:cs="Arial"/>
                <w:b/>
                <w:bCs/>
                <w:sz w:val="20"/>
                <w:szCs w:val="20"/>
              </w:rPr>
              <w:t>Accountabilities</w:t>
            </w:r>
          </w:p>
        </w:tc>
      </w:tr>
      <w:tr w:rsidR="0006040E" w:rsidRPr="00FD2E46" w14:paraId="36A19BFF" w14:textId="77777777" w:rsidTr="0080152E">
        <w:tc>
          <w:tcPr>
            <w:tcW w:w="1339" w:type="pct"/>
            <w:tcBorders>
              <w:top w:val="single" w:sz="6" w:space="0" w:color="auto"/>
              <w:left w:val="single" w:sz="4" w:space="0" w:color="auto"/>
              <w:bottom w:val="single" w:sz="6" w:space="0" w:color="auto"/>
              <w:right w:val="single" w:sz="6" w:space="0" w:color="auto"/>
            </w:tcBorders>
            <w:hideMark/>
          </w:tcPr>
          <w:p w14:paraId="6C85AD0F" w14:textId="77777777" w:rsidR="0006040E" w:rsidRPr="00FD2E46" w:rsidRDefault="0006040E" w:rsidP="003E3828">
            <w:pPr>
              <w:pStyle w:val="Indent1"/>
              <w:spacing w:before="20" w:after="20"/>
              <w:ind w:left="0"/>
              <w:rPr>
                <w:rFonts w:cs="Arial"/>
              </w:rPr>
            </w:pPr>
            <w:r w:rsidRPr="00FD2E46">
              <w:rPr>
                <w:rFonts w:cs="Arial"/>
              </w:rPr>
              <w:t>Māori</w:t>
            </w:r>
          </w:p>
        </w:tc>
        <w:tc>
          <w:tcPr>
            <w:tcW w:w="1429" w:type="pct"/>
            <w:tcBorders>
              <w:top w:val="single" w:sz="6" w:space="0" w:color="auto"/>
              <w:left w:val="single" w:sz="6" w:space="0" w:color="auto"/>
              <w:bottom w:val="single" w:sz="6" w:space="0" w:color="auto"/>
              <w:right w:val="single" w:sz="6" w:space="0" w:color="auto"/>
            </w:tcBorders>
            <w:hideMark/>
          </w:tcPr>
          <w:p w14:paraId="5F4D19D9" w14:textId="77777777" w:rsidR="0006040E" w:rsidRPr="00FD2E46" w:rsidRDefault="0006040E" w:rsidP="003E3828">
            <w:pPr>
              <w:pStyle w:val="Indent1"/>
              <w:spacing w:before="20" w:after="20"/>
              <w:ind w:left="0"/>
              <w:rPr>
                <w:rFonts w:cs="Arial"/>
              </w:rPr>
            </w:pPr>
            <w:r w:rsidRPr="00FD2E46">
              <w:rPr>
                <w:rFonts w:cs="Arial"/>
              </w:rPr>
              <w:t>Consultation</w:t>
            </w:r>
          </w:p>
        </w:tc>
        <w:tc>
          <w:tcPr>
            <w:tcW w:w="2232" w:type="pct"/>
            <w:tcBorders>
              <w:top w:val="single" w:sz="6" w:space="0" w:color="auto"/>
              <w:left w:val="single" w:sz="6" w:space="0" w:color="auto"/>
              <w:bottom w:val="single" w:sz="6" w:space="0" w:color="auto"/>
              <w:right w:val="single" w:sz="4" w:space="0" w:color="auto"/>
            </w:tcBorders>
            <w:hideMark/>
          </w:tcPr>
          <w:p w14:paraId="2BE58E59" w14:textId="77777777" w:rsidR="00A86413" w:rsidRPr="00FD2E46" w:rsidRDefault="0006040E" w:rsidP="003E3828">
            <w:pPr>
              <w:pStyle w:val="Indent1"/>
              <w:numPr>
                <w:ilvl w:val="0"/>
                <w:numId w:val="21"/>
              </w:numPr>
              <w:spacing w:before="20" w:after="20"/>
              <w:rPr>
                <w:rFonts w:cs="Arial"/>
              </w:rPr>
            </w:pPr>
            <w:r w:rsidRPr="00FD2E46">
              <w:rPr>
                <w:rFonts w:cs="Arial"/>
              </w:rPr>
              <w:t>Ensure Māori are involved in the design and delivery of services targetin</w:t>
            </w:r>
            <w:r w:rsidR="00A86413" w:rsidRPr="00FD2E46">
              <w:rPr>
                <w:rFonts w:cs="Arial"/>
              </w:rPr>
              <w:t xml:space="preserve">g Māori women and their </w:t>
            </w:r>
            <w:r w:rsidR="00FD2E46">
              <w:rPr>
                <w:rFonts w:cs="Arial"/>
              </w:rPr>
              <w:t>whanau.</w:t>
            </w:r>
          </w:p>
          <w:p w14:paraId="2092B11E" w14:textId="77777777" w:rsidR="0006040E" w:rsidRPr="00FD2E46" w:rsidRDefault="0006040E" w:rsidP="003E3828">
            <w:pPr>
              <w:pStyle w:val="Indent1"/>
              <w:numPr>
                <w:ilvl w:val="0"/>
                <w:numId w:val="21"/>
              </w:numPr>
              <w:spacing w:before="20" w:after="20"/>
              <w:rPr>
                <w:rFonts w:cs="Arial"/>
              </w:rPr>
            </w:pPr>
            <w:r w:rsidRPr="00FD2E46">
              <w:rPr>
                <w:rFonts w:cs="Arial"/>
              </w:rPr>
              <w:t xml:space="preserve">National </w:t>
            </w:r>
            <w:proofErr w:type="spellStart"/>
            <w:r w:rsidRPr="00FD2E46">
              <w:rPr>
                <w:rFonts w:cs="Arial"/>
              </w:rPr>
              <w:t>Kaitiaki</w:t>
            </w:r>
            <w:proofErr w:type="spellEnd"/>
            <w:r w:rsidRPr="00FD2E46">
              <w:rPr>
                <w:rFonts w:cs="Arial"/>
              </w:rPr>
              <w:t xml:space="preserve"> Group approval is required for NCSP Māori data requests</w:t>
            </w:r>
            <w:r w:rsidR="00FD2E46">
              <w:rPr>
                <w:rFonts w:cs="Arial"/>
              </w:rPr>
              <w:t>.</w:t>
            </w:r>
          </w:p>
        </w:tc>
      </w:tr>
      <w:tr w:rsidR="0006040E" w:rsidRPr="00FD2E46" w14:paraId="34712AFA" w14:textId="77777777" w:rsidTr="0080152E">
        <w:tc>
          <w:tcPr>
            <w:tcW w:w="1339" w:type="pct"/>
            <w:tcBorders>
              <w:top w:val="single" w:sz="6" w:space="0" w:color="auto"/>
              <w:left w:val="single" w:sz="4" w:space="0" w:color="auto"/>
              <w:bottom w:val="single" w:sz="6" w:space="0" w:color="auto"/>
              <w:right w:val="single" w:sz="6" w:space="0" w:color="auto"/>
            </w:tcBorders>
            <w:hideMark/>
          </w:tcPr>
          <w:p w14:paraId="70EA6624" w14:textId="77777777" w:rsidR="0006040E" w:rsidRPr="00FD2E46" w:rsidRDefault="0006040E" w:rsidP="003E3828">
            <w:pPr>
              <w:pStyle w:val="Indent1"/>
              <w:spacing w:before="20" w:after="20"/>
              <w:ind w:left="0"/>
              <w:rPr>
                <w:rFonts w:cs="Arial"/>
              </w:rPr>
            </w:pPr>
            <w:r w:rsidRPr="00FD2E46">
              <w:rPr>
                <w:rFonts w:cs="Arial"/>
              </w:rPr>
              <w:t>Māori and Pacific providers</w:t>
            </w:r>
          </w:p>
        </w:tc>
        <w:tc>
          <w:tcPr>
            <w:tcW w:w="1429" w:type="pct"/>
            <w:tcBorders>
              <w:top w:val="single" w:sz="6" w:space="0" w:color="auto"/>
              <w:left w:val="single" w:sz="6" w:space="0" w:color="auto"/>
              <w:bottom w:val="single" w:sz="6" w:space="0" w:color="auto"/>
              <w:right w:val="single" w:sz="6" w:space="0" w:color="auto"/>
            </w:tcBorders>
            <w:hideMark/>
          </w:tcPr>
          <w:p w14:paraId="6B5D717B" w14:textId="77777777" w:rsidR="0006040E" w:rsidRPr="00FD2E46" w:rsidRDefault="0006040E" w:rsidP="003E3828">
            <w:pPr>
              <w:pStyle w:val="Indent1"/>
              <w:spacing w:before="20" w:after="20"/>
              <w:ind w:left="0"/>
              <w:rPr>
                <w:rFonts w:cs="Arial"/>
              </w:rPr>
            </w:pPr>
            <w:r w:rsidRPr="00FD2E46">
              <w:rPr>
                <w:rFonts w:cs="Arial"/>
              </w:rPr>
              <w:t>Liaison, consultation and referral</w:t>
            </w:r>
          </w:p>
        </w:tc>
        <w:tc>
          <w:tcPr>
            <w:tcW w:w="2232" w:type="pct"/>
            <w:tcBorders>
              <w:top w:val="single" w:sz="6" w:space="0" w:color="auto"/>
              <w:left w:val="single" w:sz="6" w:space="0" w:color="auto"/>
              <w:bottom w:val="single" w:sz="6" w:space="0" w:color="auto"/>
              <w:right w:val="single" w:sz="4" w:space="0" w:color="auto"/>
            </w:tcBorders>
            <w:hideMark/>
          </w:tcPr>
          <w:p w14:paraId="7AD76601" w14:textId="77777777" w:rsidR="0006040E" w:rsidRPr="00FD2E46" w:rsidRDefault="0006040E" w:rsidP="003E3828">
            <w:pPr>
              <w:pStyle w:val="Indent1"/>
              <w:numPr>
                <w:ilvl w:val="0"/>
                <w:numId w:val="20"/>
              </w:numPr>
              <w:spacing w:before="20" w:after="20"/>
              <w:rPr>
                <w:rFonts w:cs="Arial"/>
              </w:rPr>
            </w:pPr>
            <w:r w:rsidRPr="00FD2E46">
              <w:rPr>
                <w:rFonts w:cs="Arial"/>
              </w:rPr>
              <w:t>Maintain a community development approach in screening programme service delivery</w:t>
            </w:r>
            <w:r w:rsidR="00FD2E46">
              <w:rPr>
                <w:rFonts w:cs="Arial"/>
              </w:rPr>
              <w:t>.</w:t>
            </w:r>
          </w:p>
        </w:tc>
      </w:tr>
      <w:tr w:rsidR="0006040E" w:rsidRPr="00FD2E46" w14:paraId="485E5DDF" w14:textId="77777777" w:rsidTr="0080152E">
        <w:tc>
          <w:tcPr>
            <w:tcW w:w="1339" w:type="pct"/>
            <w:tcBorders>
              <w:top w:val="single" w:sz="6" w:space="0" w:color="auto"/>
              <w:left w:val="single" w:sz="4" w:space="0" w:color="auto"/>
              <w:bottom w:val="single" w:sz="4" w:space="0" w:color="auto"/>
              <w:right w:val="single" w:sz="6" w:space="0" w:color="auto"/>
            </w:tcBorders>
            <w:hideMark/>
          </w:tcPr>
          <w:p w14:paraId="748A80F9" w14:textId="77777777" w:rsidR="0006040E" w:rsidRPr="00FD2E46" w:rsidRDefault="00FD2E46" w:rsidP="003E3828">
            <w:pPr>
              <w:pStyle w:val="FootnoteText"/>
              <w:spacing w:before="20" w:after="20"/>
              <w:rPr>
                <w:rFonts w:cs="Arial"/>
              </w:rPr>
            </w:pPr>
            <w:r>
              <w:rPr>
                <w:rFonts w:cs="Arial"/>
                <w:lang w:val="en-NZ"/>
              </w:rPr>
              <w:t>PHOs</w:t>
            </w:r>
            <w:r w:rsidR="00C23C2E" w:rsidRPr="00FD2E46">
              <w:rPr>
                <w:rFonts w:cs="Arial"/>
                <w:lang w:val="en-NZ"/>
              </w:rPr>
              <w:t>,</w:t>
            </w:r>
            <w:r>
              <w:rPr>
                <w:rFonts w:cs="Arial"/>
                <w:lang w:val="en-NZ"/>
              </w:rPr>
              <w:t xml:space="preserve"> </w:t>
            </w:r>
            <w:r w:rsidR="00432639" w:rsidRPr="00FD2E46">
              <w:rPr>
                <w:rFonts w:cs="Arial"/>
              </w:rPr>
              <w:t>general</w:t>
            </w:r>
            <w:r w:rsidR="0006040E" w:rsidRPr="00FD2E46">
              <w:rPr>
                <w:rFonts w:cs="Arial"/>
              </w:rPr>
              <w:t xml:space="preserve"> </w:t>
            </w:r>
            <w:r>
              <w:rPr>
                <w:rFonts w:cs="Arial"/>
                <w:lang w:val="en-NZ"/>
              </w:rPr>
              <w:t>p</w:t>
            </w:r>
            <w:proofErr w:type="spellStart"/>
            <w:r w:rsidR="00432639" w:rsidRPr="00FD2E46">
              <w:rPr>
                <w:rFonts w:cs="Arial"/>
              </w:rPr>
              <w:t>ractitioners</w:t>
            </w:r>
            <w:proofErr w:type="spellEnd"/>
            <w:r w:rsidR="00C23C2E" w:rsidRPr="00FD2E46">
              <w:rPr>
                <w:rFonts w:cs="Arial"/>
                <w:lang w:val="en-NZ"/>
              </w:rPr>
              <w:t xml:space="preserve"> and</w:t>
            </w:r>
            <w:r w:rsidR="0006040E" w:rsidRPr="00FD2E46">
              <w:rPr>
                <w:rFonts w:cs="Arial"/>
              </w:rPr>
              <w:t xml:space="preserve"> </w:t>
            </w:r>
            <w:r w:rsidR="00432639" w:rsidRPr="00FD2E46">
              <w:rPr>
                <w:rFonts w:cs="Arial"/>
              </w:rPr>
              <w:t>nurse</w:t>
            </w:r>
            <w:r w:rsidR="0006040E" w:rsidRPr="00FD2E46">
              <w:rPr>
                <w:rFonts w:cs="Arial"/>
              </w:rPr>
              <w:t xml:space="preserve"> </w:t>
            </w:r>
            <w:r>
              <w:rPr>
                <w:rFonts w:cs="Arial"/>
                <w:lang w:val="en-NZ"/>
              </w:rPr>
              <w:t>p</w:t>
            </w:r>
            <w:proofErr w:type="spellStart"/>
            <w:r w:rsidR="0006040E" w:rsidRPr="00FD2E46">
              <w:rPr>
                <w:rFonts w:cs="Arial"/>
              </w:rPr>
              <w:t>ractitioners</w:t>
            </w:r>
            <w:proofErr w:type="spellEnd"/>
          </w:p>
        </w:tc>
        <w:tc>
          <w:tcPr>
            <w:tcW w:w="1429" w:type="pct"/>
            <w:tcBorders>
              <w:top w:val="single" w:sz="6" w:space="0" w:color="auto"/>
              <w:left w:val="single" w:sz="6" w:space="0" w:color="auto"/>
              <w:bottom w:val="single" w:sz="4" w:space="0" w:color="auto"/>
              <w:right w:val="single" w:sz="6" w:space="0" w:color="auto"/>
            </w:tcBorders>
            <w:hideMark/>
          </w:tcPr>
          <w:p w14:paraId="0082CD97" w14:textId="77777777" w:rsidR="0006040E" w:rsidRPr="00FD2E46" w:rsidRDefault="0006040E" w:rsidP="003E3828">
            <w:pPr>
              <w:pStyle w:val="FootnoteText"/>
              <w:spacing w:before="20" w:after="20"/>
              <w:rPr>
                <w:rFonts w:cs="Arial"/>
              </w:rPr>
            </w:pPr>
            <w:r w:rsidRPr="00FD2E46">
              <w:rPr>
                <w:rFonts w:cs="Arial"/>
              </w:rPr>
              <w:t>Liaison, consultation and referral</w:t>
            </w:r>
          </w:p>
        </w:tc>
        <w:tc>
          <w:tcPr>
            <w:tcW w:w="2232" w:type="pct"/>
            <w:tcBorders>
              <w:top w:val="single" w:sz="6" w:space="0" w:color="auto"/>
              <w:left w:val="single" w:sz="6" w:space="0" w:color="auto"/>
              <w:bottom w:val="single" w:sz="4" w:space="0" w:color="auto"/>
              <w:right w:val="single" w:sz="4" w:space="0" w:color="auto"/>
            </w:tcBorders>
            <w:hideMark/>
          </w:tcPr>
          <w:p w14:paraId="3515DA85" w14:textId="77777777" w:rsidR="0006040E" w:rsidRPr="00FD2E46" w:rsidRDefault="0006040E" w:rsidP="003E3828">
            <w:pPr>
              <w:pStyle w:val="FootnoteText"/>
              <w:numPr>
                <w:ilvl w:val="0"/>
                <w:numId w:val="19"/>
              </w:numPr>
              <w:spacing w:before="20" w:after="20"/>
              <w:rPr>
                <w:rFonts w:cs="Arial"/>
              </w:rPr>
            </w:pPr>
            <w:r w:rsidRPr="00FD2E46">
              <w:rPr>
                <w:rFonts w:cs="Arial"/>
              </w:rPr>
              <w:t>Ensure a continuum of care for women and children in the screening pathway</w:t>
            </w:r>
            <w:r w:rsidR="004F1F25">
              <w:rPr>
                <w:rFonts w:cs="Arial"/>
                <w:lang w:val="en-NZ"/>
              </w:rPr>
              <w:t>.</w:t>
            </w:r>
          </w:p>
          <w:p w14:paraId="226CF0CB" w14:textId="77777777" w:rsidR="0006040E" w:rsidRPr="00FD2E46" w:rsidRDefault="0006040E" w:rsidP="003E3828">
            <w:pPr>
              <w:pStyle w:val="FootnoteText"/>
              <w:numPr>
                <w:ilvl w:val="0"/>
                <w:numId w:val="19"/>
              </w:numPr>
              <w:spacing w:before="20" w:after="20"/>
              <w:rPr>
                <w:rFonts w:cs="Arial"/>
              </w:rPr>
            </w:pPr>
            <w:r w:rsidRPr="00FD2E46">
              <w:rPr>
                <w:rFonts w:cs="Arial"/>
                <w:lang w:val="en-NZ"/>
              </w:rPr>
              <w:t>Advocate for culturally appropriate services for Māori to improve access to screening services</w:t>
            </w:r>
            <w:r w:rsidR="00FD2E46">
              <w:rPr>
                <w:rFonts w:cs="Arial"/>
                <w:lang w:val="en-NZ"/>
              </w:rPr>
              <w:t>.</w:t>
            </w:r>
          </w:p>
        </w:tc>
      </w:tr>
      <w:tr w:rsidR="0006040E" w:rsidRPr="00FD2E46" w14:paraId="5B842EED" w14:textId="77777777" w:rsidTr="0080152E">
        <w:tc>
          <w:tcPr>
            <w:tcW w:w="1339" w:type="pct"/>
            <w:tcBorders>
              <w:top w:val="single" w:sz="6" w:space="0" w:color="auto"/>
              <w:left w:val="single" w:sz="4" w:space="0" w:color="auto"/>
              <w:bottom w:val="single" w:sz="4" w:space="0" w:color="auto"/>
              <w:right w:val="single" w:sz="6" w:space="0" w:color="auto"/>
            </w:tcBorders>
            <w:hideMark/>
          </w:tcPr>
          <w:p w14:paraId="67440618" w14:textId="77777777" w:rsidR="0006040E" w:rsidRPr="00FD2E46" w:rsidRDefault="0006040E" w:rsidP="003E3828">
            <w:pPr>
              <w:pStyle w:val="FootnoteText"/>
              <w:spacing w:before="20" w:after="20"/>
              <w:rPr>
                <w:rFonts w:cs="Arial"/>
              </w:rPr>
            </w:pPr>
            <w:r w:rsidRPr="00FD2E46">
              <w:rPr>
                <w:rFonts w:cs="Arial"/>
              </w:rPr>
              <w:t>Other relevant services and providers (</w:t>
            </w:r>
            <w:proofErr w:type="spellStart"/>
            <w:r w:rsidRPr="00FD2E46">
              <w:rPr>
                <w:rFonts w:cs="Arial"/>
              </w:rPr>
              <w:t>eg</w:t>
            </w:r>
            <w:proofErr w:type="spellEnd"/>
            <w:r w:rsidRPr="00FD2E46">
              <w:rPr>
                <w:rFonts w:cs="Arial"/>
              </w:rPr>
              <w:t>, Māori Health, Pacific Health and Social Work services)</w:t>
            </w:r>
          </w:p>
        </w:tc>
        <w:tc>
          <w:tcPr>
            <w:tcW w:w="1429" w:type="pct"/>
            <w:tcBorders>
              <w:top w:val="single" w:sz="6" w:space="0" w:color="auto"/>
              <w:left w:val="single" w:sz="6" w:space="0" w:color="auto"/>
              <w:bottom w:val="single" w:sz="4" w:space="0" w:color="auto"/>
              <w:right w:val="single" w:sz="6" w:space="0" w:color="auto"/>
            </w:tcBorders>
            <w:hideMark/>
          </w:tcPr>
          <w:p w14:paraId="37AAB337" w14:textId="77777777" w:rsidR="0006040E" w:rsidRPr="00FD2E46" w:rsidRDefault="0006040E" w:rsidP="003E3828">
            <w:pPr>
              <w:pStyle w:val="FootnoteText"/>
              <w:spacing w:before="20" w:after="20"/>
              <w:rPr>
                <w:rFonts w:cs="Arial"/>
              </w:rPr>
            </w:pPr>
            <w:r w:rsidRPr="00FD2E46">
              <w:rPr>
                <w:rFonts w:cs="Arial"/>
              </w:rPr>
              <w:t>Liaison, consultation and referral</w:t>
            </w:r>
          </w:p>
        </w:tc>
        <w:tc>
          <w:tcPr>
            <w:tcW w:w="2232" w:type="pct"/>
            <w:tcBorders>
              <w:top w:val="single" w:sz="6" w:space="0" w:color="auto"/>
              <w:left w:val="single" w:sz="6" w:space="0" w:color="auto"/>
              <w:bottom w:val="single" w:sz="4" w:space="0" w:color="auto"/>
              <w:right w:val="single" w:sz="4" w:space="0" w:color="auto"/>
            </w:tcBorders>
            <w:hideMark/>
          </w:tcPr>
          <w:p w14:paraId="2AAA1F6C" w14:textId="77777777" w:rsidR="0006040E" w:rsidRPr="00FD2E46" w:rsidRDefault="0006040E" w:rsidP="003E3828">
            <w:pPr>
              <w:pStyle w:val="FootnoteText"/>
              <w:numPr>
                <w:ilvl w:val="0"/>
                <w:numId w:val="18"/>
              </w:numPr>
              <w:spacing w:before="20" w:after="20"/>
              <w:rPr>
                <w:rFonts w:cs="Arial"/>
              </w:rPr>
            </w:pPr>
            <w:r w:rsidRPr="00FD2E46">
              <w:rPr>
                <w:rFonts w:cs="Arial"/>
              </w:rPr>
              <w:t>Ensure equitable access to a full range of services</w:t>
            </w:r>
            <w:r w:rsidR="00FD2E46">
              <w:rPr>
                <w:rFonts w:cs="Arial"/>
                <w:lang w:val="en-NZ"/>
              </w:rPr>
              <w:t>.</w:t>
            </w:r>
          </w:p>
        </w:tc>
      </w:tr>
      <w:tr w:rsidR="0006040E" w:rsidRPr="00FD2E46" w14:paraId="433D8BDC" w14:textId="77777777" w:rsidTr="0080152E">
        <w:tc>
          <w:tcPr>
            <w:tcW w:w="1339" w:type="pct"/>
            <w:tcBorders>
              <w:top w:val="single" w:sz="6" w:space="0" w:color="auto"/>
              <w:left w:val="single" w:sz="4" w:space="0" w:color="auto"/>
              <w:bottom w:val="single" w:sz="4" w:space="0" w:color="auto"/>
              <w:right w:val="single" w:sz="6" w:space="0" w:color="auto"/>
            </w:tcBorders>
            <w:hideMark/>
          </w:tcPr>
          <w:p w14:paraId="790918E1" w14:textId="77777777" w:rsidR="0006040E" w:rsidRPr="00FD2E46" w:rsidRDefault="00FD3850" w:rsidP="003E3828">
            <w:pPr>
              <w:pStyle w:val="FootnoteText"/>
              <w:spacing w:before="20" w:after="20"/>
              <w:rPr>
                <w:rFonts w:cs="Arial"/>
              </w:rPr>
            </w:pPr>
            <w:r>
              <w:rPr>
                <w:rFonts w:cs="Arial"/>
                <w:lang w:val="en-NZ"/>
              </w:rPr>
              <w:t>S</w:t>
            </w:r>
            <w:proofErr w:type="spellStart"/>
            <w:r w:rsidR="00FD2E46" w:rsidRPr="00FD2E46">
              <w:rPr>
                <w:rFonts w:cs="Arial"/>
              </w:rPr>
              <w:t>econdary</w:t>
            </w:r>
            <w:proofErr w:type="spellEnd"/>
            <w:r w:rsidR="00FD2E46" w:rsidRPr="00FD2E46">
              <w:rPr>
                <w:rFonts w:cs="Arial"/>
              </w:rPr>
              <w:t xml:space="preserve"> </w:t>
            </w:r>
            <w:r w:rsidR="0006040E" w:rsidRPr="00FD2E46">
              <w:rPr>
                <w:rFonts w:cs="Arial"/>
              </w:rPr>
              <w:t xml:space="preserve">and </w:t>
            </w:r>
            <w:r w:rsidR="00432639" w:rsidRPr="00FD2E46">
              <w:rPr>
                <w:rFonts w:cs="Arial"/>
              </w:rPr>
              <w:t>tertiary</w:t>
            </w:r>
            <w:r w:rsidR="00FD2E46" w:rsidRPr="00FD2E46">
              <w:rPr>
                <w:rFonts w:cs="Arial"/>
              </w:rPr>
              <w:t xml:space="preserve"> </w:t>
            </w:r>
            <w:r w:rsidR="0006040E" w:rsidRPr="00FD2E46">
              <w:rPr>
                <w:rFonts w:cs="Arial"/>
              </w:rPr>
              <w:t>hospital services</w:t>
            </w:r>
          </w:p>
        </w:tc>
        <w:tc>
          <w:tcPr>
            <w:tcW w:w="1429" w:type="pct"/>
            <w:tcBorders>
              <w:top w:val="single" w:sz="6" w:space="0" w:color="auto"/>
              <w:left w:val="single" w:sz="6" w:space="0" w:color="auto"/>
              <w:bottom w:val="single" w:sz="4" w:space="0" w:color="auto"/>
              <w:right w:val="single" w:sz="6" w:space="0" w:color="auto"/>
            </w:tcBorders>
            <w:hideMark/>
          </w:tcPr>
          <w:p w14:paraId="6D0C6752" w14:textId="77777777" w:rsidR="0006040E" w:rsidRPr="00FD2E46" w:rsidRDefault="0006040E" w:rsidP="003E3828">
            <w:pPr>
              <w:pStyle w:val="FootnoteText"/>
              <w:spacing w:before="20" w:after="20"/>
              <w:rPr>
                <w:rFonts w:cs="Arial"/>
              </w:rPr>
            </w:pPr>
            <w:r w:rsidRPr="00FD2E46">
              <w:rPr>
                <w:rFonts w:cs="Arial"/>
              </w:rPr>
              <w:t>Liaison, consultation and referral</w:t>
            </w:r>
          </w:p>
        </w:tc>
        <w:tc>
          <w:tcPr>
            <w:tcW w:w="2232" w:type="pct"/>
            <w:tcBorders>
              <w:top w:val="single" w:sz="6" w:space="0" w:color="auto"/>
              <w:left w:val="single" w:sz="6" w:space="0" w:color="auto"/>
              <w:bottom w:val="single" w:sz="4" w:space="0" w:color="auto"/>
              <w:right w:val="single" w:sz="4" w:space="0" w:color="auto"/>
            </w:tcBorders>
            <w:hideMark/>
          </w:tcPr>
          <w:p w14:paraId="0FE4B119" w14:textId="77777777" w:rsidR="0006040E" w:rsidRPr="00FD2E46" w:rsidRDefault="0006040E" w:rsidP="003E3828">
            <w:pPr>
              <w:pStyle w:val="FootnoteText"/>
              <w:numPr>
                <w:ilvl w:val="0"/>
                <w:numId w:val="17"/>
              </w:numPr>
              <w:spacing w:before="20" w:after="20"/>
              <w:rPr>
                <w:rFonts w:cs="Arial"/>
              </w:rPr>
            </w:pPr>
            <w:r w:rsidRPr="00FD2E46">
              <w:rPr>
                <w:rFonts w:cs="Arial"/>
              </w:rPr>
              <w:t>Ensure a continuum of care for women and children in the screening pathway</w:t>
            </w:r>
            <w:r w:rsidR="00FD2E46">
              <w:rPr>
                <w:rFonts w:cs="Arial"/>
                <w:lang w:val="en-NZ"/>
              </w:rPr>
              <w:t>.</w:t>
            </w:r>
          </w:p>
          <w:p w14:paraId="536ACCBF" w14:textId="77777777" w:rsidR="0006040E" w:rsidRPr="00FD2E46" w:rsidRDefault="0006040E" w:rsidP="003E3828">
            <w:pPr>
              <w:pStyle w:val="FootnoteText"/>
              <w:numPr>
                <w:ilvl w:val="0"/>
                <w:numId w:val="17"/>
              </w:numPr>
              <w:spacing w:before="20" w:after="20"/>
              <w:rPr>
                <w:rFonts w:cs="Arial"/>
              </w:rPr>
            </w:pPr>
            <w:r w:rsidRPr="00FD2E46">
              <w:rPr>
                <w:rFonts w:cs="Arial"/>
                <w:lang w:val="en-NZ"/>
              </w:rPr>
              <w:t>Ensure timely access to diagnostic and treatment services</w:t>
            </w:r>
            <w:r w:rsidR="00FD2E46">
              <w:rPr>
                <w:rFonts w:cs="Arial"/>
                <w:lang w:val="en-NZ"/>
              </w:rPr>
              <w:t>.</w:t>
            </w:r>
          </w:p>
        </w:tc>
      </w:tr>
      <w:tr w:rsidR="0006040E" w:rsidRPr="00FD2E46" w14:paraId="445C4FED" w14:textId="77777777" w:rsidTr="0080152E">
        <w:tc>
          <w:tcPr>
            <w:tcW w:w="1339" w:type="pct"/>
            <w:tcBorders>
              <w:top w:val="single" w:sz="6" w:space="0" w:color="auto"/>
              <w:left w:val="single" w:sz="4" w:space="0" w:color="auto"/>
              <w:bottom w:val="single" w:sz="4" w:space="0" w:color="auto"/>
              <w:right w:val="single" w:sz="6" w:space="0" w:color="auto"/>
            </w:tcBorders>
            <w:hideMark/>
          </w:tcPr>
          <w:p w14:paraId="2B2B53E9" w14:textId="77777777" w:rsidR="0006040E" w:rsidRPr="00FD2E46" w:rsidRDefault="0006040E" w:rsidP="003E3828">
            <w:pPr>
              <w:pStyle w:val="Indent1"/>
              <w:spacing w:before="20" w:after="20"/>
              <w:ind w:left="0"/>
              <w:rPr>
                <w:rFonts w:cs="Arial"/>
              </w:rPr>
            </w:pPr>
            <w:r w:rsidRPr="00FD2E46">
              <w:rPr>
                <w:rFonts w:cs="Arial"/>
              </w:rPr>
              <w:t>National Screening Unit</w:t>
            </w:r>
          </w:p>
        </w:tc>
        <w:tc>
          <w:tcPr>
            <w:tcW w:w="1429" w:type="pct"/>
            <w:tcBorders>
              <w:top w:val="single" w:sz="6" w:space="0" w:color="auto"/>
              <w:left w:val="single" w:sz="6" w:space="0" w:color="auto"/>
              <w:bottom w:val="single" w:sz="4" w:space="0" w:color="auto"/>
              <w:right w:val="single" w:sz="6" w:space="0" w:color="auto"/>
            </w:tcBorders>
            <w:hideMark/>
          </w:tcPr>
          <w:p w14:paraId="383ED515" w14:textId="77777777" w:rsidR="0006040E" w:rsidRPr="00FD2E46" w:rsidRDefault="0006040E" w:rsidP="003E3828">
            <w:pPr>
              <w:pStyle w:val="Indent1"/>
              <w:spacing w:before="20" w:after="20"/>
              <w:ind w:left="0"/>
              <w:rPr>
                <w:rFonts w:cs="Arial"/>
              </w:rPr>
            </w:pPr>
            <w:r w:rsidRPr="00FD2E46">
              <w:rPr>
                <w:rFonts w:cs="Arial"/>
              </w:rPr>
              <w:t>Contractual,</w:t>
            </w:r>
            <w:r w:rsidR="0080152E">
              <w:rPr>
                <w:rFonts w:cs="Arial"/>
              </w:rPr>
              <w:t xml:space="preserve"> </w:t>
            </w:r>
            <w:r w:rsidRPr="00FD2E46">
              <w:rPr>
                <w:rFonts w:cs="Arial"/>
              </w:rPr>
              <w:t>liaison</w:t>
            </w:r>
          </w:p>
        </w:tc>
        <w:tc>
          <w:tcPr>
            <w:tcW w:w="2232" w:type="pct"/>
            <w:tcBorders>
              <w:top w:val="single" w:sz="6" w:space="0" w:color="auto"/>
              <w:left w:val="single" w:sz="6" w:space="0" w:color="auto"/>
              <w:bottom w:val="single" w:sz="4" w:space="0" w:color="auto"/>
              <w:right w:val="single" w:sz="4" w:space="0" w:color="auto"/>
            </w:tcBorders>
            <w:hideMark/>
          </w:tcPr>
          <w:p w14:paraId="5D814C63" w14:textId="77777777" w:rsidR="0006040E" w:rsidRPr="00FD2E46" w:rsidRDefault="0006040E" w:rsidP="003E3828">
            <w:pPr>
              <w:pStyle w:val="Indent1"/>
              <w:numPr>
                <w:ilvl w:val="0"/>
                <w:numId w:val="16"/>
              </w:numPr>
              <w:spacing w:before="20" w:after="20"/>
              <w:rPr>
                <w:rFonts w:cs="Arial"/>
              </w:rPr>
            </w:pPr>
            <w:r w:rsidRPr="00FD2E46">
              <w:rPr>
                <w:rFonts w:cs="Arial"/>
              </w:rPr>
              <w:t xml:space="preserve">Meet contractual requirements </w:t>
            </w:r>
            <w:r w:rsidR="004015C6" w:rsidRPr="00FD2E46">
              <w:rPr>
                <w:rFonts w:cs="Arial"/>
              </w:rPr>
              <w:t xml:space="preserve">and have </w:t>
            </w:r>
            <w:r w:rsidRPr="00FD2E46">
              <w:rPr>
                <w:rFonts w:cs="Arial"/>
              </w:rPr>
              <w:t xml:space="preserve">access to </w:t>
            </w:r>
            <w:r w:rsidR="004015C6" w:rsidRPr="00FD2E46">
              <w:rPr>
                <w:rFonts w:cs="Arial"/>
              </w:rPr>
              <w:t xml:space="preserve">advice from the NSU and the ability to raise </w:t>
            </w:r>
            <w:r w:rsidRPr="00FD2E46">
              <w:rPr>
                <w:rFonts w:cs="Arial"/>
              </w:rPr>
              <w:t>issues with the NSU that will ensure quality service provision to meet the goals of official government strategies and policies</w:t>
            </w:r>
            <w:r w:rsidR="00FD2E46">
              <w:rPr>
                <w:rFonts w:cs="Arial"/>
              </w:rPr>
              <w:t>.</w:t>
            </w:r>
          </w:p>
        </w:tc>
      </w:tr>
      <w:tr w:rsidR="0006040E" w:rsidRPr="00FD2E46" w14:paraId="2F7C5940" w14:textId="77777777" w:rsidTr="0080152E">
        <w:tc>
          <w:tcPr>
            <w:tcW w:w="1339" w:type="pct"/>
            <w:tcBorders>
              <w:top w:val="single" w:sz="6" w:space="0" w:color="auto"/>
              <w:left w:val="single" w:sz="4" w:space="0" w:color="auto"/>
              <w:bottom w:val="single" w:sz="4" w:space="0" w:color="auto"/>
              <w:right w:val="single" w:sz="6" w:space="0" w:color="auto"/>
            </w:tcBorders>
            <w:hideMark/>
          </w:tcPr>
          <w:p w14:paraId="24730866" w14:textId="77777777" w:rsidR="0006040E" w:rsidRPr="00FD2E46" w:rsidRDefault="0006040E" w:rsidP="003E3828">
            <w:pPr>
              <w:pStyle w:val="FootnoteText"/>
              <w:spacing w:before="20" w:after="20"/>
              <w:rPr>
                <w:rFonts w:cs="Arial"/>
                <w:lang w:val="en-NZ"/>
              </w:rPr>
            </w:pPr>
            <w:r w:rsidRPr="00FD2E46">
              <w:rPr>
                <w:rFonts w:cs="Arial"/>
              </w:rPr>
              <w:t>Other non-</w:t>
            </w:r>
            <w:r w:rsidR="00432639" w:rsidRPr="00FD2E46">
              <w:rPr>
                <w:rFonts w:cs="Arial"/>
              </w:rPr>
              <w:t>governmental</w:t>
            </w:r>
            <w:r w:rsidR="00FD2E46" w:rsidRPr="00FD2E46">
              <w:rPr>
                <w:rFonts w:cs="Arial"/>
              </w:rPr>
              <w:t xml:space="preserve"> </w:t>
            </w:r>
            <w:r w:rsidRPr="00FD2E46">
              <w:rPr>
                <w:rFonts w:cs="Arial"/>
              </w:rPr>
              <w:t>organisations</w:t>
            </w:r>
            <w:r w:rsidR="00FD2E46">
              <w:rPr>
                <w:rFonts w:cs="Arial"/>
                <w:lang w:val="en-NZ"/>
              </w:rPr>
              <w:t xml:space="preserve"> (NGOs)</w:t>
            </w:r>
          </w:p>
        </w:tc>
        <w:tc>
          <w:tcPr>
            <w:tcW w:w="1429" w:type="pct"/>
            <w:tcBorders>
              <w:top w:val="single" w:sz="6" w:space="0" w:color="auto"/>
              <w:left w:val="single" w:sz="6" w:space="0" w:color="auto"/>
              <w:bottom w:val="single" w:sz="4" w:space="0" w:color="auto"/>
              <w:right w:val="single" w:sz="6" w:space="0" w:color="auto"/>
            </w:tcBorders>
            <w:hideMark/>
          </w:tcPr>
          <w:p w14:paraId="6C15E79A" w14:textId="77777777" w:rsidR="0006040E" w:rsidRPr="00FD2E46" w:rsidRDefault="0006040E" w:rsidP="003E3828">
            <w:pPr>
              <w:pStyle w:val="FootnoteText"/>
              <w:spacing w:before="20" w:after="20"/>
              <w:rPr>
                <w:rFonts w:cs="Arial"/>
              </w:rPr>
            </w:pPr>
            <w:r w:rsidRPr="00FD2E46">
              <w:rPr>
                <w:rFonts w:cs="Arial"/>
              </w:rPr>
              <w:t>Liaison and consultation</w:t>
            </w:r>
          </w:p>
        </w:tc>
        <w:tc>
          <w:tcPr>
            <w:tcW w:w="2232" w:type="pct"/>
            <w:tcBorders>
              <w:top w:val="single" w:sz="6" w:space="0" w:color="auto"/>
              <w:left w:val="single" w:sz="6" w:space="0" w:color="auto"/>
              <w:bottom w:val="single" w:sz="4" w:space="0" w:color="auto"/>
              <w:right w:val="single" w:sz="4" w:space="0" w:color="auto"/>
            </w:tcBorders>
            <w:hideMark/>
          </w:tcPr>
          <w:p w14:paraId="1F62E1C7" w14:textId="77777777" w:rsidR="0006040E" w:rsidRPr="00FD2E46" w:rsidRDefault="0006040E" w:rsidP="003E3828">
            <w:pPr>
              <w:pStyle w:val="FootnoteText"/>
              <w:numPr>
                <w:ilvl w:val="0"/>
                <w:numId w:val="15"/>
              </w:numPr>
              <w:spacing w:before="20" w:after="20"/>
              <w:rPr>
                <w:rFonts w:cs="Arial"/>
              </w:rPr>
            </w:pPr>
            <w:r w:rsidRPr="00FD2E46">
              <w:rPr>
                <w:rFonts w:cs="Arial"/>
              </w:rPr>
              <w:t>Maintain a community development approach in screening</w:t>
            </w:r>
            <w:r w:rsidR="00FD2E46">
              <w:rPr>
                <w:rFonts w:cs="Arial"/>
                <w:lang w:val="en-NZ"/>
              </w:rPr>
              <w:t>.</w:t>
            </w:r>
          </w:p>
        </w:tc>
      </w:tr>
      <w:tr w:rsidR="0006040E" w:rsidRPr="00FD2E46" w14:paraId="2DE2ABB1" w14:textId="77777777" w:rsidTr="0080152E">
        <w:tc>
          <w:tcPr>
            <w:tcW w:w="1339" w:type="pct"/>
            <w:tcBorders>
              <w:top w:val="single" w:sz="6" w:space="0" w:color="auto"/>
              <w:left w:val="single" w:sz="4" w:space="0" w:color="auto"/>
              <w:bottom w:val="single" w:sz="4" w:space="0" w:color="auto"/>
              <w:right w:val="single" w:sz="6" w:space="0" w:color="auto"/>
            </w:tcBorders>
            <w:hideMark/>
          </w:tcPr>
          <w:p w14:paraId="5078AA71" w14:textId="77777777" w:rsidR="0006040E" w:rsidRPr="00FD2E46" w:rsidRDefault="0006040E" w:rsidP="003E3828">
            <w:pPr>
              <w:spacing w:before="20" w:after="20" w:line="240" w:lineRule="auto"/>
              <w:rPr>
                <w:rFonts w:cs="Arial"/>
                <w:sz w:val="20"/>
                <w:szCs w:val="20"/>
              </w:rPr>
            </w:pPr>
            <w:r w:rsidRPr="00FD2E46">
              <w:rPr>
                <w:rFonts w:cs="Arial"/>
                <w:sz w:val="20"/>
                <w:szCs w:val="20"/>
              </w:rPr>
              <w:t>Publicly funded disability or long</w:t>
            </w:r>
            <w:r w:rsidR="00FD2E46">
              <w:rPr>
                <w:rFonts w:cs="Arial"/>
                <w:sz w:val="20"/>
                <w:szCs w:val="20"/>
              </w:rPr>
              <w:t>-</w:t>
            </w:r>
            <w:r w:rsidRPr="00FD2E46">
              <w:rPr>
                <w:rFonts w:cs="Arial"/>
                <w:sz w:val="20"/>
                <w:szCs w:val="20"/>
              </w:rPr>
              <w:t xml:space="preserve">term support services for the Service </w:t>
            </w:r>
            <w:r w:rsidR="00FD2E46">
              <w:rPr>
                <w:rFonts w:cs="Arial"/>
                <w:sz w:val="20"/>
                <w:szCs w:val="20"/>
              </w:rPr>
              <w:t>U</w:t>
            </w:r>
            <w:r w:rsidR="00FD2E46" w:rsidRPr="00FD2E46">
              <w:rPr>
                <w:rFonts w:cs="Arial"/>
                <w:sz w:val="20"/>
                <w:szCs w:val="20"/>
              </w:rPr>
              <w:t xml:space="preserve">sers </w:t>
            </w:r>
            <w:r w:rsidRPr="00FD2E46">
              <w:rPr>
                <w:rFonts w:cs="Arial"/>
                <w:sz w:val="20"/>
                <w:szCs w:val="20"/>
              </w:rPr>
              <w:t>with co- existing disabilities/conditions who meet other funding streams eligibility criteria such as:</w:t>
            </w:r>
          </w:p>
          <w:p w14:paraId="402F81C0" w14:textId="77777777" w:rsidR="0006040E" w:rsidRPr="00FD2E46" w:rsidRDefault="0006040E" w:rsidP="003E3828">
            <w:pPr>
              <w:spacing w:before="20" w:after="20" w:line="240" w:lineRule="auto"/>
              <w:rPr>
                <w:rFonts w:cs="Arial"/>
                <w:sz w:val="20"/>
                <w:szCs w:val="20"/>
              </w:rPr>
            </w:pPr>
            <w:r w:rsidRPr="00FD2E46">
              <w:rPr>
                <w:rFonts w:cs="Arial"/>
                <w:sz w:val="20"/>
                <w:szCs w:val="20"/>
              </w:rPr>
              <w:t>Information and advisory services (</w:t>
            </w:r>
            <w:proofErr w:type="spellStart"/>
            <w:r w:rsidRPr="00FD2E46">
              <w:rPr>
                <w:rFonts w:cs="Arial"/>
                <w:sz w:val="20"/>
                <w:szCs w:val="20"/>
              </w:rPr>
              <w:t>eg</w:t>
            </w:r>
            <w:proofErr w:type="spellEnd"/>
            <w:r w:rsidRPr="00FD2E46">
              <w:rPr>
                <w:rFonts w:cs="Arial"/>
                <w:sz w:val="20"/>
                <w:szCs w:val="20"/>
              </w:rPr>
              <w:t xml:space="preserve">, on available services and how to access these) </w:t>
            </w:r>
          </w:p>
        </w:tc>
        <w:tc>
          <w:tcPr>
            <w:tcW w:w="1429" w:type="pct"/>
            <w:tcBorders>
              <w:top w:val="single" w:sz="6" w:space="0" w:color="auto"/>
              <w:left w:val="single" w:sz="6" w:space="0" w:color="auto"/>
              <w:bottom w:val="single" w:sz="4" w:space="0" w:color="auto"/>
              <w:right w:val="single" w:sz="6" w:space="0" w:color="auto"/>
            </w:tcBorders>
            <w:hideMark/>
          </w:tcPr>
          <w:p w14:paraId="79916E46" w14:textId="77777777" w:rsidR="0006040E" w:rsidRPr="00FD2E46" w:rsidRDefault="0006040E" w:rsidP="003E3828">
            <w:pPr>
              <w:spacing w:before="20" w:after="20" w:line="240" w:lineRule="auto"/>
              <w:rPr>
                <w:rFonts w:cs="Arial"/>
                <w:sz w:val="20"/>
                <w:szCs w:val="20"/>
              </w:rPr>
            </w:pPr>
            <w:r w:rsidRPr="00FD2E46">
              <w:rPr>
                <w:rFonts w:cs="Arial"/>
                <w:sz w:val="20"/>
                <w:szCs w:val="20"/>
              </w:rPr>
              <w:t xml:space="preserve">Liaison </w:t>
            </w:r>
          </w:p>
        </w:tc>
        <w:tc>
          <w:tcPr>
            <w:tcW w:w="2232" w:type="pct"/>
            <w:tcBorders>
              <w:top w:val="single" w:sz="6" w:space="0" w:color="auto"/>
              <w:left w:val="single" w:sz="6" w:space="0" w:color="auto"/>
              <w:bottom w:val="single" w:sz="4" w:space="0" w:color="auto"/>
              <w:right w:val="single" w:sz="4" w:space="0" w:color="auto"/>
            </w:tcBorders>
            <w:hideMark/>
          </w:tcPr>
          <w:p w14:paraId="5B40773A" w14:textId="77777777" w:rsidR="0006040E" w:rsidRPr="00FD2E46" w:rsidRDefault="0006040E" w:rsidP="003E3828">
            <w:pPr>
              <w:keepNext/>
              <w:keepLines/>
              <w:numPr>
                <w:ilvl w:val="0"/>
                <w:numId w:val="10"/>
              </w:numPr>
              <w:tabs>
                <w:tab w:val="num" w:pos="320"/>
              </w:tabs>
              <w:autoSpaceDE w:val="0"/>
              <w:autoSpaceDN w:val="0"/>
              <w:adjustRightInd w:val="0"/>
              <w:spacing w:before="20" w:after="20" w:line="240" w:lineRule="auto"/>
              <w:ind w:left="323" w:right="108" w:hanging="312"/>
              <w:rPr>
                <w:rFonts w:cs="Arial"/>
                <w:sz w:val="20"/>
                <w:szCs w:val="20"/>
              </w:rPr>
            </w:pPr>
            <w:r w:rsidRPr="00FD2E46">
              <w:rPr>
                <w:rFonts w:cs="Arial"/>
                <w:sz w:val="20"/>
                <w:szCs w:val="20"/>
              </w:rPr>
              <w:t>Effective local and regional linkages are in place to facilitate appropriate referrals</w:t>
            </w:r>
            <w:r w:rsidR="00FD2E46">
              <w:rPr>
                <w:rFonts w:cs="Arial"/>
                <w:sz w:val="20"/>
                <w:szCs w:val="20"/>
              </w:rPr>
              <w:t>.</w:t>
            </w:r>
          </w:p>
          <w:p w14:paraId="532AD964" w14:textId="77777777" w:rsidR="0006040E" w:rsidRPr="00FD2E46" w:rsidRDefault="0006040E" w:rsidP="003E3828">
            <w:pPr>
              <w:pStyle w:val="BodyTextIndent"/>
              <w:numPr>
                <w:ilvl w:val="0"/>
                <w:numId w:val="10"/>
              </w:numPr>
              <w:spacing w:before="20" w:after="20"/>
              <w:ind w:left="323" w:hanging="314"/>
              <w:rPr>
                <w:rFonts w:ascii="Arial" w:hAnsi="Arial" w:cs="Arial"/>
                <w:sz w:val="20"/>
                <w:szCs w:val="20"/>
              </w:rPr>
            </w:pPr>
            <w:r w:rsidRPr="00FD2E46">
              <w:rPr>
                <w:rFonts w:ascii="Arial" w:hAnsi="Arial" w:cs="Arial"/>
                <w:sz w:val="20"/>
                <w:szCs w:val="20"/>
              </w:rPr>
              <w:t>Service users have timely access to appropriately presented information and relevant advice.</w:t>
            </w:r>
          </w:p>
        </w:tc>
      </w:tr>
      <w:tr w:rsidR="0006040E" w:rsidRPr="00FD2E46" w14:paraId="7A863D62" w14:textId="77777777" w:rsidTr="0080152E">
        <w:tc>
          <w:tcPr>
            <w:tcW w:w="1339" w:type="pct"/>
            <w:tcBorders>
              <w:top w:val="single" w:sz="6" w:space="0" w:color="auto"/>
              <w:left w:val="single" w:sz="4" w:space="0" w:color="auto"/>
              <w:bottom w:val="single" w:sz="4" w:space="0" w:color="auto"/>
              <w:right w:val="single" w:sz="6" w:space="0" w:color="auto"/>
            </w:tcBorders>
            <w:hideMark/>
          </w:tcPr>
          <w:p w14:paraId="6BE18163" w14:textId="77777777" w:rsidR="0006040E" w:rsidRPr="00FD2E46" w:rsidRDefault="0006040E" w:rsidP="003E3828">
            <w:pPr>
              <w:spacing w:before="20" w:after="20" w:line="240" w:lineRule="auto"/>
              <w:rPr>
                <w:rFonts w:cs="Arial"/>
                <w:sz w:val="20"/>
                <w:szCs w:val="20"/>
              </w:rPr>
            </w:pPr>
            <w:r w:rsidRPr="00FD2E46">
              <w:rPr>
                <w:rFonts w:cs="Arial"/>
                <w:sz w:val="20"/>
                <w:szCs w:val="20"/>
              </w:rPr>
              <w:t>Lead Maternity Carers (LMCs)</w:t>
            </w:r>
          </w:p>
        </w:tc>
        <w:tc>
          <w:tcPr>
            <w:tcW w:w="1429" w:type="pct"/>
            <w:tcBorders>
              <w:top w:val="single" w:sz="6" w:space="0" w:color="auto"/>
              <w:left w:val="single" w:sz="6" w:space="0" w:color="auto"/>
              <w:bottom w:val="single" w:sz="4" w:space="0" w:color="auto"/>
              <w:right w:val="single" w:sz="6" w:space="0" w:color="auto"/>
            </w:tcBorders>
            <w:hideMark/>
          </w:tcPr>
          <w:p w14:paraId="452D95DF" w14:textId="77777777" w:rsidR="0006040E" w:rsidRPr="00FD2E46" w:rsidRDefault="0006040E" w:rsidP="003E3828">
            <w:pPr>
              <w:spacing w:before="20" w:after="20" w:line="240" w:lineRule="auto"/>
              <w:rPr>
                <w:rFonts w:cs="Arial"/>
                <w:sz w:val="20"/>
                <w:szCs w:val="20"/>
              </w:rPr>
            </w:pPr>
            <w:r w:rsidRPr="00FD2E46">
              <w:rPr>
                <w:rFonts w:cs="Arial"/>
                <w:sz w:val="20"/>
                <w:szCs w:val="20"/>
              </w:rPr>
              <w:t>Consultation and liaison</w:t>
            </w:r>
          </w:p>
        </w:tc>
        <w:tc>
          <w:tcPr>
            <w:tcW w:w="2232" w:type="pct"/>
            <w:tcBorders>
              <w:top w:val="single" w:sz="6" w:space="0" w:color="auto"/>
              <w:left w:val="single" w:sz="6" w:space="0" w:color="auto"/>
              <w:bottom w:val="single" w:sz="4" w:space="0" w:color="auto"/>
              <w:right w:val="single" w:sz="4" w:space="0" w:color="auto"/>
            </w:tcBorders>
            <w:hideMark/>
          </w:tcPr>
          <w:p w14:paraId="00DB5CDD" w14:textId="77777777" w:rsidR="0006040E" w:rsidRPr="00FD2E46" w:rsidRDefault="0006040E" w:rsidP="003E3828">
            <w:pPr>
              <w:pStyle w:val="ListParagraph"/>
              <w:keepNext/>
              <w:keepLines/>
              <w:numPr>
                <w:ilvl w:val="0"/>
                <w:numId w:val="11"/>
              </w:numPr>
              <w:autoSpaceDE w:val="0"/>
              <w:autoSpaceDN w:val="0"/>
              <w:adjustRightInd w:val="0"/>
              <w:spacing w:before="20" w:after="20" w:line="240" w:lineRule="auto"/>
              <w:ind w:right="108"/>
              <w:rPr>
                <w:rFonts w:cs="Arial"/>
                <w:sz w:val="20"/>
                <w:szCs w:val="20"/>
              </w:rPr>
            </w:pPr>
            <w:r w:rsidRPr="00FD2E46">
              <w:rPr>
                <w:rFonts w:cs="Arial"/>
                <w:sz w:val="20"/>
                <w:szCs w:val="20"/>
              </w:rPr>
              <w:t xml:space="preserve">Offer of antenatal and </w:t>
            </w:r>
            <w:proofErr w:type="spellStart"/>
            <w:r w:rsidRPr="00FD2E46">
              <w:rPr>
                <w:rFonts w:cs="Arial"/>
                <w:sz w:val="20"/>
                <w:szCs w:val="20"/>
              </w:rPr>
              <w:t>newborn</w:t>
            </w:r>
            <w:proofErr w:type="spellEnd"/>
            <w:r w:rsidRPr="00FD2E46">
              <w:rPr>
                <w:rFonts w:cs="Arial"/>
                <w:sz w:val="20"/>
                <w:szCs w:val="20"/>
              </w:rPr>
              <w:t xml:space="preserve"> screening, informed consent, ensuring screening is completed and follow-up performed as required</w:t>
            </w:r>
            <w:r w:rsidR="00FD2E46">
              <w:rPr>
                <w:rFonts w:cs="Arial"/>
                <w:sz w:val="20"/>
                <w:szCs w:val="20"/>
              </w:rPr>
              <w:t>.</w:t>
            </w:r>
          </w:p>
        </w:tc>
      </w:tr>
      <w:tr w:rsidR="0006040E" w:rsidRPr="00FD2E46" w14:paraId="3024181B" w14:textId="77777777" w:rsidTr="0080152E">
        <w:tc>
          <w:tcPr>
            <w:tcW w:w="1339" w:type="pct"/>
            <w:tcBorders>
              <w:top w:val="single" w:sz="6" w:space="0" w:color="auto"/>
              <w:left w:val="single" w:sz="4" w:space="0" w:color="auto"/>
              <w:bottom w:val="single" w:sz="4" w:space="0" w:color="auto"/>
              <w:right w:val="single" w:sz="6" w:space="0" w:color="auto"/>
            </w:tcBorders>
            <w:hideMark/>
          </w:tcPr>
          <w:p w14:paraId="0AEDD42A" w14:textId="77777777" w:rsidR="0006040E" w:rsidRPr="00FD2E46" w:rsidRDefault="0006040E" w:rsidP="003E3828">
            <w:pPr>
              <w:spacing w:before="20" w:after="20" w:line="240" w:lineRule="auto"/>
              <w:rPr>
                <w:rFonts w:cs="Arial"/>
                <w:sz w:val="20"/>
                <w:szCs w:val="20"/>
              </w:rPr>
            </w:pPr>
            <w:r w:rsidRPr="00FD2E46">
              <w:rPr>
                <w:rFonts w:cs="Arial"/>
                <w:sz w:val="20"/>
                <w:szCs w:val="20"/>
              </w:rPr>
              <w:t xml:space="preserve">College of Midwives, </w:t>
            </w:r>
            <w:r w:rsidR="00FD2E46">
              <w:rPr>
                <w:rFonts w:cs="Arial"/>
                <w:sz w:val="20"/>
                <w:szCs w:val="20"/>
              </w:rPr>
              <w:t>general practitioners</w:t>
            </w:r>
            <w:r w:rsidRPr="00FD2E46">
              <w:rPr>
                <w:rFonts w:cs="Arial"/>
                <w:sz w:val="20"/>
                <w:szCs w:val="20"/>
              </w:rPr>
              <w:t xml:space="preserve">, </w:t>
            </w:r>
            <w:r w:rsidR="00E54B1F">
              <w:rPr>
                <w:rFonts w:cs="Arial"/>
                <w:sz w:val="20"/>
                <w:szCs w:val="20"/>
              </w:rPr>
              <w:t>obstetrics</w:t>
            </w:r>
            <w:r w:rsidR="002C33D8">
              <w:rPr>
                <w:rFonts w:cs="Arial"/>
                <w:sz w:val="20"/>
                <w:szCs w:val="20"/>
              </w:rPr>
              <w:t xml:space="preserve"> &amp;</w:t>
            </w:r>
            <w:r w:rsidRPr="00FD2E46">
              <w:rPr>
                <w:rFonts w:cs="Arial"/>
                <w:sz w:val="20"/>
                <w:szCs w:val="20"/>
              </w:rPr>
              <w:t xml:space="preserve"> </w:t>
            </w:r>
            <w:r w:rsidR="00E54B1F">
              <w:rPr>
                <w:rFonts w:cs="Arial"/>
                <w:sz w:val="20"/>
                <w:szCs w:val="20"/>
              </w:rPr>
              <w:t>gynaecology</w:t>
            </w:r>
            <w:r w:rsidRPr="00FD2E46">
              <w:rPr>
                <w:rFonts w:cs="Arial"/>
                <w:sz w:val="20"/>
                <w:szCs w:val="20"/>
              </w:rPr>
              <w:t xml:space="preserve"> </w:t>
            </w:r>
            <w:r w:rsidR="002C33D8">
              <w:rPr>
                <w:rFonts w:cs="Arial"/>
                <w:sz w:val="20"/>
                <w:szCs w:val="20"/>
              </w:rPr>
              <w:t>and r</w:t>
            </w:r>
            <w:r w:rsidRPr="00FD2E46">
              <w:rPr>
                <w:rFonts w:cs="Arial"/>
                <w:sz w:val="20"/>
                <w:szCs w:val="20"/>
              </w:rPr>
              <w:t>adiology</w:t>
            </w:r>
          </w:p>
        </w:tc>
        <w:tc>
          <w:tcPr>
            <w:tcW w:w="1429" w:type="pct"/>
            <w:tcBorders>
              <w:top w:val="single" w:sz="6" w:space="0" w:color="auto"/>
              <w:left w:val="single" w:sz="6" w:space="0" w:color="auto"/>
              <w:bottom w:val="single" w:sz="4" w:space="0" w:color="auto"/>
              <w:right w:val="single" w:sz="6" w:space="0" w:color="auto"/>
            </w:tcBorders>
            <w:hideMark/>
          </w:tcPr>
          <w:p w14:paraId="60F0FC23" w14:textId="77777777" w:rsidR="0006040E" w:rsidRPr="00FD2E46" w:rsidRDefault="0006040E" w:rsidP="003E3828">
            <w:pPr>
              <w:spacing w:before="20" w:after="20" w:line="240" w:lineRule="auto"/>
              <w:rPr>
                <w:rFonts w:cs="Arial"/>
                <w:sz w:val="20"/>
                <w:szCs w:val="20"/>
              </w:rPr>
            </w:pPr>
            <w:r w:rsidRPr="00FD2E46">
              <w:rPr>
                <w:rFonts w:cs="Arial"/>
                <w:sz w:val="20"/>
                <w:szCs w:val="20"/>
              </w:rPr>
              <w:t>Consultation and liaison</w:t>
            </w:r>
          </w:p>
        </w:tc>
        <w:tc>
          <w:tcPr>
            <w:tcW w:w="2232" w:type="pct"/>
            <w:tcBorders>
              <w:top w:val="single" w:sz="6" w:space="0" w:color="auto"/>
              <w:left w:val="single" w:sz="6" w:space="0" w:color="auto"/>
              <w:bottom w:val="single" w:sz="4" w:space="0" w:color="auto"/>
              <w:right w:val="single" w:sz="4" w:space="0" w:color="auto"/>
            </w:tcBorders>
            <w:hideMark/>
          </w:tcPr>
          <w:p w14:paraId="1805C35A" w14:textId="77777777" w:rsidR="0006040E" w:rsidRPr="00FD2E46" w:rsidRDefault="0006040E" w:rsidP="003E3828">
            <w:pPr>
              <w:keepNext/>
              <w:keepLines/>
              <w:numPr>
                <w:ilvl w:val="0"/>
                <w:numId w:val="10"/>
              </w:numPr>
              <w:tabs>
                <w:tab w:val="num" w:pos="320"/>
              </w:tabs>
              <w:autoSpaceDE w:val="0"/>
              <w:autoSpaceDN w:val="0"/>
              <w:adjustRightInd w:val="0"/>
              <w:spacing w:before="20" w:after="20" w:line="240" w:lineRule="auto"/>
              <w:ind w:left="323" w:right="108" w:hanging="312"/>
              <w:rPr>
                <w:rFonts w:cs="Arial"/>
                <w:sz w:val="20"/>
                <w:szCs w:val="20"/>
              </w:rPr>
            </w:pPr>
            <w:r w:rsidRPr="00FD2E46">
              <w:rPr>
                <w:rFonts w:cs="Arial"/>
                <w:sz w:val="20"/>
                <w:szCs w:val="20"/>
              </w:rPr>
              <w:t>Notification of programme updates, practitioner responsibilities, education resources</w:t>
            </w:r>
            <w:r w:rsidR="00FD2E46">
              <w:rPr>
                <w:rFonts w:cs="Arial"/>
                <w:sz w:val="20"/>
                <w:szCs w:val="20"/>
              </w:rPr>
              <w:t>.</w:t>
            </w:r>
          </w:p>
        </w:tc>
      </w:tr>
      <w:tr w:rsidR="0006040E" w:rsidRPr="00FD2E46" w14:paraId="4F1E8D5C" w14:textId="77777777" w:rsidTr="0080152E">
        <w:tc>
          <w:tcPr>
            <w:tcW w:w="5000" w:type="pct"/>
            <w:gridSpan w:val="3"/>
            <w:tcBorders>
              <w:top w:val="single" w:sz="6" w:space="0" w:color="auto"/>
              <w:left w:val="single" w:sz="4" w:space="0" w:color="auto"/>
              <w:bottom w:val="single" w:sz="4" w:space="0" w:color="auto"/>
              <w:right w:val="single" w:sz="4" w:space="0" w:color="auto"/>
            </w:tcBorders>
            <w:shd w:val="clear" w:color="auto" w:fill="D9D9D9" w:themeFill="background1" w:themeFillShade="D9"/>
            <w:hideMark/>
          </w:tcPr>
          <w:p w14:paraId="4B6725B6" w14:textId="77777777" w:rsidR="0006040E" w:rsidRPr="00FD2E46" w:rsidRDefault="0006040E" w:rsidP="003E3828">
            <w:pPr>
              <w:autoSpaceDE w:val="0"/>
              <w:autoSpaceDN w:val="0"/>
              <w:adjustRightInd w:val="0"/>
              <w:spacing w:before="120" w:after="120" w:line="240" w:lineRule="auto"/>
              <w:ind w:left="108" w:right="108"/>
              <w:jc w:val="center"/>
              <w:rPr>
                <w:rFonts w:cs="Arial"/>
                <w:b/>
                <w:bCs/>
                <w:sz w:val="20"/>
                <w:szCs w:val="20"/>
              </w:rPr>
            </w:pPr>
            <w:r w:rsidRPr="00FD2E46">
              <w:rPr>
                <w:rFonts w:cs="Arial"/>
                <w:b/>
                <w:bCs/>
                <w:sz w:val="20"/>
                <w:szCs w:val="20"/>
              </w:rPr>
              <w:t>Stop Smoking Services</w:t>
            </w:r>
          </w:p>
        </w:tc>
      </w:tr>
      <w:tr w:rsidR="0006040E" w:rsidRPr="00FD2E46" w14:paraId="5792D801" w14:textId="77777777" w:rsidTr="0080152E">
        <w:tc>
          <w:tcPr>
            <w:tcW w:w="1339"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14:paraId="6221DEE2" w14:textId="77777777" w:rsidR="0006040E" w:rsidRPr="00FD2E46" w:rsidRDefault="0006040E" w:rsidP="003E3828">
            <w:pPr>
              <w:autoSpaceDE w:val="0"/>
              <w:autoSpaceDN w:val="0"/>
              <w:adjustRightInd w:val="0"/>
              <w:spacing w:before="60" w:after="60" w:line="240" w:lineRule="auto"/>
              <w:ind w:left="108" w:right="108"/>
              <w:jc w:val="center"/>
              <w:rPr>
                <w:rFonts w:cs="Arial"/>
                <w:b/>
                <w:bCs/>
                <w:sz w:val="20"/>
                <w:szCs w:val="20"/>
              </w:rPr>
            </w:pPr>
            <w:r w:rsidRPr="00FD2E46">
              <w:rPr>
                <w:rFonts w:cs="Arial"/>
                <w:b/>
                <w:bCs/>
                <w:sz w:val="20"/>
                <w:szCs w:val="20"/>
              </w:rPr>
              <w:lastRenderedPageBreak/>
              <w:t>Service Provider</w:t>
            </w:r>
          </w:p>
        </w:tc>
        <w:tc>
          <w:tcPr>
            <w:tcW w:w="1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870637C" w14:textId="77777777" w:rsidR="0006040E" w:rsidRPr="00FD2E46" w:rsidRDefault="0006040E" w:rsidP="003E3828">
            <w:pPr>
              <w:autoSpaceDE w:val="0"/>
              <w:autoSpaceDN w:val="0"/>
              <w:adjustRightInd w:val="0"/>
              <w:spacing w:before="60" w:after="60" w:line="240" w:lineRule="auto"/>
              <w:ind w:left="108" w:right="108"/>
              <w:jc w:val="center"/>
              <w:rPr>
                <w:rFonts w:cs="Arial"/>
                <w:b/>
                <w:bCs/>
                <w:sz w:val="20"/>
                <w:szCs w:val="20"/>
              </w:rPr>
            </w:pPr>
            <w:r w:rsidRPr="00FD2E46">
              <w:rPr>
                <w:rFonts w:cs="Arial"/>
                <w:b/>
                <w:bCs/>
                <w:sz w:val="20"/>
                <w:szCs w:val="20"/>
              </w:rPr>
              <w:t>Nature of Linkage</w:t>
            </w:r>
          </w:p>
        </w:tc>
        <w:tc>
          <w:tcPr>
            <w:tcW w:w="2232" w:type="pct"/>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1AA56EA8" w14:textId="77777777" w:rsidR="0006040E" w:rsidRPr="00FD2E46" w:rsidRDefault="0006040E" w:rsidP="003E3828">
            <w:pPr>
              <w:autoSpaceDE w:val="0"/>
              <w:autoSpaceDN w:val="0"/>
              <w:adjustRightInd w:val="0"/>
              <w:spacing w:before="60" w:after="60" w:line="240" w:lineRule="auto"/>
              <w:jc w:val="center"/>
              <w:rPr>
                <w:rFonts w:cs="Arial"/>
                <w:b/>
                <w:bCs/>
                <w:sz w:val="20"/>
                <w:szCs w:val="20"/>
              </w:rPr>
            </w:pPr>
            <w:r w:rsidRPr="00FD2E46">
              <w:rPr>
                <w:rFonts w:cs="Arial"/>
                <w:b/>
                <w:bCs/>
                <w:sz w:val="20"/>
                <w:szCs w:val="20"/>
              </w:rPr>
              <w:t>Accountabilities</w:t>
            </w:r>
          </w:p>
        </w:tc>
      </w:tr>
      <w:tr w:rsidR="0006040E" w:rsidRPr="00FD2E46" w14:paraId="79549035" w14:textId="77777777" w:rsidTr="0080152E">
        <w:tc>
          <w:tcPr>
            <w:tcW w:w="1339" w:type="pct"/>
            <w:tcBorders>
              <w:top w:val="single" w:sz="6" w:space="0" w:color="auto"/>
              <w:left w:val="single" w:sz="4" w:space="0" w:color="auto"/>
              <w:bottom w:val="single" w:sz="4" w:space="0" w:color="auto"/>
              <w:right w:val="single" w:sz="6" w:space="0" w:color="auto"/>
            </w:tcBorders>
            <w:hideMark/>
          </w:tcPr>
          <w:p w14:paraId="37758850" w14:textId="77777777" w:rsidR="0006040E" w:rsidRPr="00FD2E46" w:rsidRDefault="0006040E" w:rsidP="003E3828">
            <w:pPr>
              <w:spacing w:before="20" w:after="20" w:line="240" w:lineRule="auto"/>
              <w:rPr>
                <w:rFonts w:cs="Arial"/>
                <w:sz w:val="20"/>
                <w:szCs w:val="20"/>
              </w:rPr>
            </w:pPr>
            <w:r w:rsidRPr="00FD2E46">
              <w:rPr>
                <w:rFonts w:cs="Arial"/>
                <w:sz w:val="20"/>
                <w:szCs w:val="20"/>
              </w:rPr>
              <w:t xml:space="preserve">Whānau Ora </w:t>
            </w:r>
            <w:r w:rsidR="00FD2E46">
              <w:rPr>
                <w:rFonts w:cs="Arial"/>
                <w:sz w:val="20"/>
                <w:szCs w:val="20"/>
              </w:rPr>
              <w:t>p</w:t>
            </w:r>
            <w:r w:rsidR="00FD2E46" w:rsidRPr="00FD2E46">
              <w:rPr>
                <w:rFonts w:cs="Arial"/>
                <w:sz w:val="20"/>
                <w:szCs w:val="20"/>
              </w:rPr>
              <w:t>roviders</w:t>
            </w:r>
          </w:p>
        </w:tc>
        <w:tc>
          <w:tcPr>
            <w:tcW w:w="1429" w:type="pct"/>
            <w:tcBorders>
              <w:top w:val="single" w:sz="6" w:space="0" w:color="auto"/>
              <w:left w:val="single" w:sz="6" w:space="0" w:color="auto"/>
              <w:bottom w:val="single" w:sz="4" w:space="0" w:color="auto"/>
              <w:right w:val="single" w:sz="6" w:space="0" w:color="auto"/>
            </w:tcBorders>
            <w:hideMark/>
          </w:tcPr>
          <w:p w14:paraId="32FB38C2" w14:textId="77777777" w:rsidR="0006040E" w:rsidRPr="00FD2E46" w:rsidRDefault="0006040E" w:rsidP="003E3828">
            <w:pPr>
              <w:spacing w:before="20" w:after="20" w:line="240" w:lineRule="auto"/>
              <w:rPr>
                <w:rFonts w:cs="Arial"/>
                <w:sz w:val="20"/>
                <w:szCs w:val="20"/>
              </w:rPr>
            </w:pPr>
            <w:r w:rsidRPr="00FD2E46">
              <w:rPr>
                <w:rFonts w:cs="Arial"/>
                <w:sz w:val="20"/>
                <w:szCs w:val="20"/>
              </w:rPr>
              <w:t>Facilitate service access and participation</w:t>
            </w:r>
          </w:p>
        </w:tc>
        <w:tc>
          <w:tcPr>
            <w:tcW w:w="2232" w:type="pct"/>
            <w:tcBorders>
              <w:top w:val="single" w:sz="6" w:space="0" w:color="auto"/>
              <w:left w:val="single" w:sz="6" w:space="0" w:color="auto"/>
              <w:bottom w:val="single" w:sz="4" w:space="0" w:color="auto"/>
              <w:right w:val="single" w:sz="4" w:space="0" w:color="auto"/>
            </w:tcBorders>
            <w:hideMark/>
          </w:tcPr>
          <w:p w14:paraId="6ABD4031" w14:textId="77777777" w:rsidR="0006040E" w:rsidRPr="00FD2E46" w:rsidRDefault="0006040E" w:rsidP="003E3828">
            <w:pPr>
              <w:pStyle w:val="ListParagraph"/>
              <w:keepNext/>
              <w:keepLines/>
              <w:numPr>
                <w:ilvl w:val="0"/>
                <w:numId w:val="12"/>
              </w:numPr>
              <w:tabs>
                <w:tab w:val="num" w:pos="320"/>
                <w:tab w:val="num" w:pos="360"/>
              </w:tabs>
              <w:autoSpaceDE w:val="0"/>
              <w:autoSpaceDN w:val="0"/>
              <w:adjustRightInd w:val="0"/>
              <w:spacing w:before="20" w:after="20" w:line="240" w:lineRule="auto"/>
              <w:ind w:right="108"/>
              <w:rPr>
                <w:rFonts w:cs="Arial"/>
                <w:sz w:val="20"/>
                <w:szCs w:val="20"/>
              </w:rPr>
            </w:pPr>
            <w:r w:rsidRPr="00FD2E46">
              <w:rPr>
                <w:rFonts w:cs="Arial"/>
                <w:sz w:val="20"/>
                <w:szCs w:val="20"/>
              </w:rPr>
              <w:t xml:space="preserve">The Service must link with these </w:t>
            </w:r>
            <w:proofErr w:type="gramStart"/>
            <w:r w:rsidRPr="00FD2E46">
              <w:rPr>
                <w:rFonts w:cs="Arial"/>
                <w:sz w:val="20"/>
                <w:szCs w:val="20"/>
              </w:rPr>
              <w:t>services,</w:t>
            </w:r>
            <w:proofErr w:type="gramEnd"/>
            <w:r w:rsidRPr="00FD2E46">
              <w:rPr>
                <w:rFonts w:cs="Arial"/>
                <w:sz w:val="20"/>
                <w:szCs w:val="20"/>
              </w:rPr>
              <w:t xml:space="preserve"> facilitate access and participation to culturally appropriate and holistic based services for Māori who smoke and/or their family and </w:t>
            </w:r>
            <w:r w:rsidR="00FD2E46">
              <w:rPr>
                <w:rFonts w:cs="Arial"/>
                <w:sz w:val="20"/>
                <w:szCs w:val="20"/>
              </w:rPr>
              <w:t>whanau.</w:t>
            </w:r>
          </w:p>
        </w:tc>
      </w:tr>
      <w:tr w:rsidR="0006040E" w:rsidRPr="00FD2E46" w14:paraId="7B6223EB" w14:textId="77777777" w:rsidTr="0080152E">
        <w:tc>
          <w:tcPr>
            <w:tcW w:w="1339" w:type="pct"/>
            <w:tcBorders>
              <w:top w:val="single" w:sz="6" w:space="0" w:color="auto"/>
              <w:left w:val="single" w:sz="4" w:space="0" w:color="auto"/>
              <w:bottom w:val="single" w:sz="4" w:space="0" w:color="auto"/>
              <w:right w:val="single" w:sz="6" w:space="0" w:color="auto"/>
            </w:tcBorders>
            <w:hideMark/>
          </w:tcPr>
          <w:p w14:paraId="3C2D3D7C" w14:textId="77777777" w:rsidR="0006040E" w:rsidRPr="00FD2E46" w:rsidRDefault="0006040E" w:rsidP="003E3828">
            <w:pPr>
              <w:spacing w:before="20" w:after="20" w:line="240" w:lineRule="auto"/>
              <w:rPr>
                <w:rFonts w:cs="Arial"/>
                <w:sz w:val="20"/>
                <w:szCs w:val="20"/>
              </w:rPr>
            </w:pPr>
            <w:r w:rsidRPr="00FD2E46">
              <w:rPr>
                <w:rFonts w:cs="Arial"/>
                <w:sz w:val="20"/>
                <w:szCs w:val="20"/>
              </w:rPr>
              <w:t>Māori-Iwi and Māori communities</w:t>
            </w:r>
          </w:p>
        </w:tc>
        <w:tc>
          <w:tcPr>
            <w:tcW w:w="1429" w:type="pct"/>
            <w:tcBorders>
              <w:top w:val="single" w:sz="6" w:space="0" w:color="auto"/>
              <w:left w:val="single" w:sz="6" w:space="0" w:color="auto"/>
              <w:bottom w:val="single" w:sz="4" w:space="0" w:color="auto"/>
              <w:right w:val="single" w:sz="6" w:space="0" w:color="auto"/>
            </w:tcBorders>
            <w:hideMark/>
          </w:tcPr>
          <w:p w14:paraId="2E9C9E2E" w14:textId="77777777" w:rsidR="0006040E" w:rsidRPr="00FD2E46" w:rsidRDefault="0006040E" w:rsidP="003E3828">
            <w:pPr>
              <w:spacing w:before="20" w:after="20" w:line="240" w:lineRule="auto"/>
              <w:rPr>
                <w:rFonts w:cs="Arial"/>
                <w:sz w:val="20"/>
                <w:szCs w:val="20"/>
              </w:rPr>
            </w:pPr>
            <w:r w:rsidRPr="00FD2E46">
              <w:rPr>
                <w:rFonts w:cs="Arial"/>
                <w:sz w:val="20"/>
                <w:szCs w:val="20"/>
              </w:rPr>
              <w:t>Facilitate service access and participation</w:t>
            </w:r>
          </w:p>
        </w:tc>
        <w:tc>
          <w:tcPr>
            <w:tcW w:w="2232" w:type="pct"/>
            <w:tcBorders>
              <w:top w:val="single" w:sz="6" w:space="0" w:color="auto"/>
              <w:left w:val="single" w:sz="6" w:space="0" w:color="auto"/>
              <w:bottom w:val="single" w:sz="4" w:space="0" w:color="auto"/>
              <w:right w:val="single" w:sz="4" w:space="0" w:color="auto"/>
            </w:tcBorders>
            <w:hideMark/>
          </w:tcPr>
          <w:p w14:paraId="496D2646" w14:textId="77777777" w:rsidR="0006040E" w:rsidRPr="00FD2E46" w:rsidRDefault="0006040E" w:rsidP="003E3828">
            <w:pPr>
              <w:pStyle w:val="ListParagraph"/>
              <w:keepNext/>
              <w:keepLines/>
              <w:numPr>
                <w:ilvl w:val="0"/>
                <w:numId w:val="13"/>
              </w:numPr>
              <w:tabs>
                <w:tab w:val="num" w:pos="320"/>
                <w:tab w:val="num" w:pos="360"/>
              </w:tabs>
              <w:autoSpaceDE w:val="0"/>
              <w:autoSpaceDN w:val="0"/>
              <w:adjustRightInd w:val="0"/>
              <w:spacing w:before="20" w:after="20" w:line="240" w:lineRule="auto"/>
              <w:ind w:right="108"/>
              <w:rPr>
                <w:rFonts w:cs="Arial"/>
                <w:sz w:val="20"/>
                <w:szCs w:val="20"/>
              </w:rPr>
            </w:pPr>
            <w:r w:rsidRPr="00FD2E46">
              <w:rPr>
                <w:rFonts w:cs="Arial"/>
                <w:sz w:val="20"/>
                <w:szCs w:val="20"/>
              </w:rPr>
              <w:t>Liaison with local iwi and communities to ensure culturally appropriateness and accessibility to services</w:t>
            </w:r>
            <w:r w:rsidR="00FD2E46">
              <w:rPr>
                <w:rFonts w:cs="Arial"/>
                <w:sz w:val="20"/>
                <w:szCs w:val="20"/>
              </w:rPr>
              <w:t>.</w:t>
            </w:r>
          </w:p>
        </w:tc>
      </w:tr>
      <w:tr w:rsidR="0006040E" w:rsidRPr="00FD2E46" w14:paraId="24473A43" w14:textId="77777777" w:rsidTr="0080152E">
        <w:tc>
          <w:tcPr>
            <w:tcW w:w="1339" w:type="pct"/>
            <w:tcBorders>
              <w:top w:val="single" w:sz="6" w:space="0" w:color="auto"/>
              <w:left w:val="single" w:sz="4" w:space="0" w:color="auto"/>
              <w:bottom w:val="single" w:sz="4" w:space="0" w:color="auto"/>
              <w:right w:val="single" w:sz="6" w:space="0" w:color="auto"/>
            </w:tcBorders>
            <w:hideMark/>
          </w:tcPr>
          <w:p w14:paraId="7F08DC10" w14:textId="77777777" w:rsidR="0006040E" w:rsidRPr="00FD2E46" w:rsidRDefault="0006040E" w:rsidP="003E3828">
            <w:pPr>
              <w:spacing w:before="20" w:after="20" w:line="240" w:lineRule="auto"/>
              <w:rPr>
                <w:rFonts w:cs="Arial"/>
                <w:sz w:val="20"/>
                <w:szCs w:val="20"/>
              </w:rPr>
            </w:pPr>
            <w:r w:rsidRPr="00FD2E46">
              <w:rPr>
                <w:rFonts w:cs="Arial"/>
                <w:sz w:val="20"/>
                <w:szCs w:val="20"/>
              </w:rPr>
              <w:t xml:space="preserve">Local </w:t>
            </w:r>
            <w:r w:rsidR="00FD2E46">
              <w:rPr>
                <w:rFonts w:cs="Arial"/>
                <w:sz w:val="20"/>
                <w:szCs w:val="20"/>
              </w:rPr>
              <w:t>h</w:t>
            </w:r>
            <w:r w:rsidR="00FD2E46" w:rsidRPr="00FD2E46">
              <w:rPr>
                <w:rFonts w:cs="Arial"/>
                <w:sz w:val="20"/>
                <w:szCs w:val="20"/>
              </w:rPr>
              <w:t xml:space="preserve">ealth </w:t>
            </w:r>
            <w:r w:rsidR="00FD2E46">
              <w:rPr>
                <w:rFonts w:cs="Arial"/>
                <w:sz w:val="20"/>
                <w:szCs w:val="20"/>
              </w:rPr>
              <w:t>s</w:t>
            </w:r>
            <w:r w:rsidR="00FD2E46" w:rsidRPr="00FD2E46">
              <w:rPr>
                <w:rFonts w:cs="Arial"/>
                <w:sz w:val="20"/>
                <w:szCs w:val="20"/>
              </w:rPr>
              <w:t>ervices</w:t>
            </w:r>
            <w:r w:rsidRPr="00FD2E46">
              <w:rPr>
                <w:rFonts w:cs="Arial"/>
                <w:sz w:val="20"/>
                <w:szCs w:val="20"/>
              </w:rPr>
              <w:t>, including hospitals, primary care</w:t>
            </w:r>
            <w:r w:rsidR="00FD2E46">
              <w:rPr>
                <w:rFonts w:cs="Arial"/>
                <w:sz w:val="20"/>
                <w:szCs w:val="20"/>
              </w:rPr>
              <w:t>,</w:t>
            </w:r>
            <w:r w:rsidRPr="00FD2E46">
              <w:rPr>
                <w:rFonts w:cs="Arial"/>
                <w:sz w:val="20"/>
                <w:szCs w:val="20"/>
              </w:rPr>
              <w:t xml:space="preserve"> community services, </w:t>
            </w:r>
            <w:r w:rsidR="00FD2E46">
              <w:rPr>
                <w:rFonts w:cs="Arial"/>
                <w:sz w:val="20"/>
                <w:szCs w:val="20"/>
              </w:rPr>
              <w:t>NGOs</w:t>
            </w:r>
            <w:r w:rsidRPr="00FD2E46">
              <w:rPr>
                <w:rFonts w:cs="Arial"/>
                <w:sz w:val="20"/>
                <w:szCs w:val="20"/>
              </w:rPr>
              <w:t xml:space="preserve"> and Maternity Services.  </w:t>
            </w:r>
          </w:p>
        </w:tc>
        <w:tc>
          <w:tcPr>
            <w:tcW w:w="1429" w:type="pct"/>
            <w:tcBorders>
              <w:top w:val="single" w:sz="6" w:space="0" w:color="auto"/>
              <w:left w:val="single" w:sz="6" w:space="0" w:color="auto"/>
              <w:bottom w:val="single" w:sz="4" w:space="0" w:color="auto"/>
              <w:right w:val="single" w:sz="6" w:space="0" w:color="auto"/>
            </w:tcBorders>
            <w:hideMark/>
          </w:tcPr>
          <w:p w14:paraId="11EF4F05" w14:textId="77777777" w:rsidR="0006040E" w:rsidRPr="00FD2E46" w:rsidRDefault="0006040E" w:rsidP="003E3828">
            <w:pPr>
              <w:spacing w:before="20" w:after="20" w:line="240" w:lineRule="auto"/>
              <w:rPr>
                <w:rFonts w:cs="Arial"/>
                <w:sz w:val="20"/>
                <w:szCs w:val="20"/>
              </w:rPr>
            </w:pPr>
            <w:r w:rsidRPr="00FD2E46">
              <w:rPr>
                <w:rFonts w:cs="Arial"/>
                <w:sz w:val="20"/>
                <w:szCs w:val="20"/>
              </w:rPr>
              <w:t>Referral and consultation</w:t>
            </w:r>
          </w:p>
        </w:tc>
        <w:tc>
          <w:tcPr>
            <w:tcW w:w="2232" w:type="pct"/>
            <w:tcBorders>
              <w:top w:val="single" w:sz="6" w:space="0" w:color="auto"/>
              <w:left w:val="single" w:sz="6" w:space="0" w:color="auto"/>
              <w:bottom w:val="single" w:sz="4" w:space="0" w:color="auto"/>
              <w:right w:val="single" w:sz="4" w:space="0" w:color="auto"/>
            </w:tcBorders>
            <w:hideMark/>
          </w:tcPr>
          <w:p w14:paraId="24B73A60" w14:textId="77777777" w:rsidR="0006040E" w:rsidRPr="00FD2E46" w:rsidRDefault="0006040E" w:rsidP="003E3828">
            <w:pPr>
              <w:pStyle w:val="ListParagraph"/>
              <w:keepNext/>
              <w:keepLines/>
              <w:numPr>
                <w:ilvl w:val="0"/>
                <w:numId w:val="14"/>
              </w:numPr>
              <w:tabs>
                <w:tab w:val="num" w:pos="320"/>
                <w:tab w:val="num" w:pos="360"/>
              </w:tabs>
              <w:autoSpaceDE w:val="0"/>
              <w:autoSpaceDN w:val="0"/>
              <w:adjustRightInd w:val="0"/>
              <w:spacing w:before="20" w:after="20" w:line="240" w:lineRule="auto"/>
              <w:ind w:right="108"/>
              <w:rPr>
                <w:rFonts w:cs="Arial"/>
                <w:sz w:val="20"/>
                <w:szCs w:val="20"/>
              </w:rPr>
            </w:pPr>
            <w:r w:rsidRPr="00FD2E46">
              <w:rPr>
                <w:rFonts w:cs="Arial"/>
                <w:sz w:val="20"/>
                <w:szCs w:val="20"/>
              </w:rPr>
              <w:t>Obtain expert clinical consultation</w:t>
            </w:r>
            <w:r w:rsidR="00405148">
              <w:rPr>
                <w:rFonts w:cs="Arial"/>
                <w:sz w:val="20"/>
                <w:szCs w:val="20"/>
              </w:rPr>
              <w:t xml:space="preserve"> </w:t>
            </w:r>
            <w:r w:rsidRPr="00FD2E46">
              <w:rPr>
                <w:rFonts w:cs="Arial"/>
                <w:sz w:val="20"/>
                <w:szCs w:val="20"/>
              </w:rPr>
              <w:t>when necessary and referral</w:t>
            </w:r>
            <w:r w:rsidR="00405148">
              <w:rPr>
                <w:rFonts w:cs="Arial"/>
                <w:sz w:val="20"/>
                <w:szCs w:val="20"/>
              </w:rPr>
              <w:t xml:space="preserve"> </w:t>
            </w:r>
            <w:r w:rsidRPr="00FD2E46">
              <w:rPr>
                <w:rFonts w:cs="Arial"/>
                <w:sz w:val="20"/>
                <w:szCs w:val="20"/>
              </w:rPr>
              <w:t>processes that support continuity of</w:t>
            </w:r>
            <w:r w:rsidR="00405148">
              <w:rPr>
                <w:rFonts w:cs="Arial"/>
                <w:sz w:val="20"/>
                <w:szCs w:val="20"/>
              </w:rPr>
              <w:t xml:space="preserve"> </w:t>
            </w:r>
            <w:r w:rsidRPr="00FD2E46">
              <w:rPr>
                <w:rFonts w:cs="Arial"/>
                <w:sz w:val="20"/>
                <w:szCs w:val="20"/>
              </w:rPr>
              <w:t>care</w:t>
            </w:r>
            <w:r w:rsidR="00FD2E46">
              <w:rPr>
                <w:rFonts w:cs="Arial"/>
                <w:sz w:val="20"/>
                <w:szCs w:val="20"/>
              </w:rPr>
              <w:t>.</w:t>
            </w:r>
          </w:p>
        </w:tc>
      </w:tr>
      <w:tr w:rsidR="0006040E" w:rsidRPr="00FD2E46" w14:paraId="3811875D" w14:textId="77777777" w:rsidTr="0080152E">
        <w:tc>
          <w:tcPr>
            <w:tcW w:w="1339" w:type="pct"/>
            <w:tcBorders>
              <w:top w:val="single" w:sz="6" w:space="0" w:color="auto"/>
              <w:left w:val="single" w:sz="4" w:space="0" w:color="auto"/>
              <w:bottom w:val="single" w:sz="4" w:space="0" w:color="auto"/>
              <w:right w:val="single" w:sz="6" w:space="0" w:color="auto"/>
            </w:tcBorders>
            <w:hideMark/>
          </w:tcPr>
          <w:p w14:paraId="5B92D775" w14:textId="77777777" w:rsidR="0006040E" w:rsidRPr="00FD2E46" w:rsidRDefault="0006040E" w:rsidP="003E3828">
            <w:pPr>
              <w:spacing w:before="20" w:after="20" w:line="240" w:lineRule="auto"/>
              <w:rPr>
                <w:rFonts w:cs="Arial"/>
                <w:sz w:val="20"/>
                <w:szCs w:val="20"/>
              </w:rPr>
            </w:pPr>
            <w:r w:rsidRPr="00FD2E46">
              <w:rPr>
                <w:rFonts w:cs="Arial"/>
                <w:sz w:val="20"/>
                <w:szCs w:val="20"/>
              </w:rPr>
              <w:t>Social services, counselling, community services</w:t>
            </w:r>
          </w:p>
        </w:tc>
        <w:tc>
          <w:tcPr>
            <w:tcW w:w="1429" w:type="pct"/>
            <w:tcBorders>
              <w:top w:val="single" w:sz="6" w:space="0" w:color="auto"/>
              <w:left w:val="single" w:sz="6" w:space="0" w:color="auto"/>
              <w:bottom w:val="single" w:sz="4" w:space="0" w:color="auto"/>
              <w:right w:val="single" w:sz="6" w:space="0" w:color="auto"/>
            </w:tcBorders>
            <w:hideMark/>
          </w:tcPr>
          <w:p w14:paraId="2B608968" w14:textId="77777777" w:rsidR="0006040E" w:rsidRPr="00FD2E46" w:rsidRDefault="0006040E" w:rsidP="003E3828">
            <w:pPr>
              <w:spacing w:before="20" w:after="20" w:line="240" w:lineRule="auto"/>
              <w:rPr>
                <w:rFonts w:cs="Arial"/>
                <w:sz w:val="20"/>
                <w:szCs w:val="20"/>
              </w:rPr>
            </w:pPr>
            <w:r w:rsidRPr="00FD2E46">
              <w:rPr>
                <w:rFonts w:cs="Arial"/>
                <w:sz w:val="20"/>
                <w:szCs w:val="20"/>
              </w:rPr>
              <w:t>Referral and consultation</w:t>
            </w:r>
          </w:p>
        </w:tc>
        <w:tc>
          <w:tcPr>
            <w:tcW w:w="2232" w:type="pct"/>
            <w:tcBorders>
              <w:top w:val="single" w:sz="6" w:space="0" w:color="auto"/>
              <w:left w:val="single" w:sz="6" w:space="0" w:color="auto"/>
              <w:bottom w:val="single" w:sz="4" w:space="0" w:color="auto"/>
              <w:right w:val="single" w:sz="4" w:space="0" w:color="auto"/>
            </w:tcBorders>
            <w:hideMark/>
          </w:tcPr>
          <w:p w14:paraId="318435D2" w14:textId="77777777" w:rsidR="0006040E" w:rsidRPr="00FD2E46" w:rsidRDefault="0006040E" w:rsidP="003E3828">
            <w:pPr>
              <w:pStyle w:val="ListParagraph"/>
              <w:keepNext/>
              <w:keepLines/>
              <w:numPr>
                <w:ilvl w:val="0"/>
                <w:numId w:val="22"/>
              </w:numPr>
              <w:tabs>
                <w:tab w:val="num" w:pos="320"/>
                <w:tab w:val="num" w:pos="360"/>
              </w:tabs>
              <w:autoSpaceDE w:val="0"/>
              <w:autoSpaceDN w:val="0"/>
              <w:adjustRightInd w:val="0"/>
              <w:spacing w:before="20" w:after="20" w:line="240" w:lineRule="auto"/>
              <w:ind w:right="108"/>
              <w:rPr>
                <w:rFonts w:cs="Arial"/>
                <w:sz w:val="20"/>
                <w:szCs w:val="20"/>
              </w:rPr>
            </w:pPr>
            <w:r w:rsidRPr="00FD2E46">
              <w:rPr>
                <w:rFonts w:cs="Arial"/>
                <w:sz w:val="20"/>
                <w:szCs w:val="20"/>
              </w:rPr>
              <w:t>Assessment, treatment and intervention that supports seamless service delivery and continuity of care</w:t>
            </w:r>
            <w:r w:rsidR="00FD2E46">
              <w:rPr>
                <w:rFonts w:cs="Arial"/>
                <w:sz w:val="20"/>
                <w:szCs w:val="20"/>
              </w:rPr>
              <w:t>.</w:t>
            </w:r>
          </w:p>
        </w:tc>
      </w:tr>
      <w:tr w:rsidR="0006040E" w:rsidRPr="00FD2E46" w14:paraId="74DB9EB4" w14:textId="77777777" w:rsidTr="0080152E">
        <w:tc>
          <w:tcPr>
            <w:tcW w:w="1339" w:type="pct"/>
            <w:tcBorders>
              <w:top w:val="single" w:sz="6" w:space="0" w:color="auto"/>
              <w:left w:val="single" w:sz="4" w:space="0" w:color="auto"/>
              <w:bottom w:val="single" w:sz="4" w:space="0" w:color="auto"/>
              <w:right w:val="single" w:sz="6" w:space="0" w:color="auto"/>
            </w:tcBorders>
            <w:hideMark/>
          </w:tcPr>
          <w:p w14:paraId="1382DEF8" w14:textId="77777777" w:rsidR="0006040E" w:rsidRPr="00FD2E46" w:rsidRDefault="0006040E" w:rsidP="003E3828">
            <w:pPr>
              <w:spacing w:before="20" w:after="20" w:line="240" w:lineRule="auto"/>
              <w:rPr>
                <w:rFonts w:cs="Arial"/>
                <w:sz w:val="20"/>
                <w:szCs w:val="20"/>
              </w:rPr>
            </w:pPr>
            <w:r w:rsidRPr="00FD2E46">
              <w:rPr>
                <w:rFonts w:cs="Arial"/>
                <w:sz w:val="20"/>
                <w:szCs w:val="20"/>
              </w:rPr>
              <w:t>Health Promotion Agency, other Health Promotion Service Providers</w:t>
            </w:r>
          </w:p>
        </w:tc>
        <w:tc>
          <w:tcPr>
            <w:tcW w:w="1429" w:type="pct"/>
            <w:tcBorders>
              <w:top w:val="single" w:sz="6" w:space="0" w:color="auto"/>
              <w:left w:val="single" w:sz="6" w:space="0" w:color="auto"/>
              <w:bottom w:val="single" w:sz="4" w:space="0" w:color="auto"/>
              <w:right w:val="single" w:sz="6" w:space="0" w:color="auto"/>
            </w:tcBorders>
            <w:hideMark/>
          </w:tcPr>
          <w:p w14:paraId="1EB07DF4" w14:textId="77777777" w:rsidR="0006040E" w:rsidRPr="00FD2E46" w:rsidRDefault="0006040E" w:rsidP="003E3828">
            <w:pPr>
              <w:spacing w:before="20" w:after="20" w:line="240" w:lineRule="auto"/>
              <w:rPr>
                <w:rFonts w:cs="Arial"/>
                <w:sz w:val="20"/>
                <w:szCs w:val="20"/>
              </w:rPr>
            </w:pPr>
            <w:r w:rsidRPr="00FD2E46">
              <w:rPr>
                <w:rFonts w:cs="Arial"/>
                <w:sz w:val="20"/>
                <w:szCs w:val="20"/>
              </w:rPr>
              <w:t>Facilitate service access and participation</w:t>
            </w:r>
          </w:p>
        </w:tc>
        <w:tc>
          <w:tcPr>
            <w:tcW w:w="2232" w:type="pct"/>
            <w:tcBorders>
              <w:top w:val="single" w:sz="6" w:space="0" w:color="auto"/>
              <w:left w:val="single" w:sz="6" w:space="0" w:color="auto"/>
              <w:bottom w:val="single" w:sz="4" w:space="0" w:color="auto"/>
              <w:right w:val="single" w:sz="4" w:space="0" w:color="auto"/>
            </w:tcBorders>
            <w:hideMark/>
          </w:tcPr>
          <w:p w14:paraId="73DCB368" w14:textId="77777777" w:rsidR="0006040E" w:rsidRPr="00FD2E46" w:rsidRDefault="0006040E" w:rsidP="003E3828">
            <w:pPr>
              <w:pStyle w:val="ListParagraph"/>
              <w:keepNext/>
              <w:keepLines/>
              <w:numPr>
                <w:ilvl w:val="0"/>
                <w:numId w:val="23"/>
              </w:numPr>
              <w:tabs>
                <w:tab w:val="num" w:pos="320"/>
                <w:tab w:val="num" w:pos="360"/>
              </w:tabs>
              <w:autoSpaceDE w:val="0"/>
              <w:autoSpaceDN w:val="0"/>
              <w:adjustRightInd w:val="0"/>
              <w:spacing w:before="20" w:after="20" w:line="240" w:lineRule="auto"/>
              <w:ind w:left="357" w:right="108" w:hanging="357"/>
              <w:rPr>
                <w:rFonts w:cs="Arial"/>
                <w:sz w:val="20"/>
                <w:szCs w:val="20"/>
              </w:rPr>
            </w:pPr>
            <w:r w:rsidRPr="00FD2E46">
              <w:rPr>
                <w:rFonts w:cs="Arial"/>
                <w:sz w:val="20"/>
                <w:szCs w:val="20"/>
              </w:rPr>
              <w:t xml:space="preserve">These </w:t>
            </w:r>
            <w:r w:rsidR="00FD2E46">
              <w:rPr>
                <w:rFonts w:cs="Arial"/>
                <w:sz w:val="20"/>
                <w:szCs w:val="20"/>
              </w:rPr>
              <w:t>s</w:t>
            </w:r>
            <w:r w:rsidR="00FD2E46" w:rsidRPr="00FD2E46">
              <w:rPr>
                <w:rFonts w:cs="Arial"/>
                <w:sz w:val="20"/>
                <w:szCs w:val="20"/>
              </w:rPr>
              <w:t xml:space="preserve">ervices </w:t>
            </w:r>
            <w:r w:rsidRPr="00FD2E46">
              <w:rPr>
                <w:rFonts w:cs="Arial"/>
                <w:sz w:val="20"/>
                <w:szCs w:val="20"/>
              </w:rPr>
              <w:t xml:space="preserve">will increase demand for the </w:t>
            </w:r>
            <w:r w:rsidR="00FD2E46">
              <w:rPr>
                <w:rFonts w:cs="Arial"/>
                <w:sz w:val="20"/>
                <w:szCs w:val="20"/>
              </w:rPr>
              <w:t>s</w:t>
            </w:r>
            <w:r w:rsidR="00FD2E46" w:rsidRPr="00FD2E46">
              <w:rPr>
                <w:rFonts w:cs="Arial"/>
                <w:sz w:val="20"/>
                <w:szCs w:val="20"/>
              </w:rPr>
              <w:t xml:space="preserve">ervice </w:t>
            </w:r>
            <w:r w:rsidRPr="00FD2E46">
              <w:rPr>
                <w:rFonts w:cs="Arial"/>
                <w:sz w:val="20"/>
                <w:szCs w:val="20"/>
              </w:rPr>
              <w:t xml:space="preserve">by prompting quit attempts and directing people who smoke to </w:t>
            </w:r>
            <w:r w:rsidR="00D5773A">
              <w:rPr>
                <w:rFonts w:cs="Arial"/>
                <w:sz w:val="20"/>
                <w:szCs w:val="20"/>
              </w:rPr>
              <w:t xml:space="preserve">the </w:t>
            </w:r>
            <w:r w:rsidR="00FD2E46">
              <w:rPr>
                <w:rFonts w:cs="Arial"/>
                <w:sz w:val="20"/>
                <w:szCs w:val="20"/>
              </w:rPr>
              <w:t>s</w:t>
            </w:r>
            <w:r w:rsidR="00FD2E46" w:rsidRPr="00FD2E46">
              <w:rPr>
                <w:rFonts w:cs="Arial"/>
                <w:sz w:val="20"/>
                <w:szCs w:val="20"/>
              </w:rPr>
              <w:t xml:space="preserve">ervices </w:t>
            </w:r>
          </w:p>
        </w:tc>
      </w:tr>
      <w:tr w:rsidR="0006040E" w:rsidRPr="00FD2E46" w14:paraId="2E9B4037" w14:textId="77777777" w:rsidTr="0080152E">
        <w:tc>
          <w:tcPr>
            <w:tcW w:w="1339" w:type="pct"/>
            <w:tcBorders>
              <w:top w:val="single" w:sz="6" w:space="0" w:color="auto"/>
              <w:left w:val="single" w:sz="4" w:space="0" w:color="auto"/>
              <w:bottom w:val="single" w:sz="4" w:space="0" w:color="auto"/>
              <w:right w:val="single" w:sz="6" w:space="0" w:color="auto"/>
            </w:tcBorders>
            <w:hideMark/>
          </w:tcPr>
          <w:p w14:paraId="28645E65" w14:textId="77777777" w:rsidR="0006040E" w:rsidRPr="00FD2E46" w:rsidRDefault="0006040E" w:rsidP="003E3828">
            <w:pPr>
              <w:spacing w:before="20" w:after="20" w:line="240" w:lineRule="auto"/>
              <w:rPr>
                <w:rFonts w:cs="Arial"/>
                <w:sz w:val="20"/>
                <w:szCs w:val="20"/>
              </w:rPr>
            </w:pPr>
            <w:r w:rsidRPr="00FD2E46">
              <w:rPr>
                <w:rFonts w:cs="Arial"/>
                <w:sz w:val="20"/>
                <w:szCs w:val="20"/>
              </w:rPr>
              <w:t>Pacific Communities</w:t>
            </w:r>
          </w:p>
        </w:tc>
        <w:tc>
          <w:tcPr>
            <w:tcW w:w="1429" w:type="pct"/>
            <w:tcBorders>
              <w:top w:val="single" w:sz="6" w:space="0" w:color="auto"/>
              <w:left w:val="single" w:sz="6" w:space="0" w:color="auto"/>
              <w:bottom w:val="single" w:sz="4" w:space="0" w:color="auto"/>
              <w:right w:val="single" w:sz="6" w:space="0" w:color="auto"/>
            </w:tcBorders>
            <w:hideMark/>
          </w:tcPr>
          <w:p w14:paraId="2D861E09" w14:textId="77777777" w:rsidR="0006040E" w:rsidRPr="00FD2E46" w:rsidRDefault="0006040E" w:rsidP="003E3828">
            <w:pPr>
              <w:spacing w:before="20" w:after="20" w:line="240" w:lineRule="auto"/>
              <w:rPr>
                <w:rFonts w:cs="Arial"/>
                <w:sz w:val="20"/>
                <w:szCs w:val="20"/>
              </w:rPr>
            </w:pPr>
            <w:r w:rsidRPr="00FD2E46">
              <w:rPr>
                <w:rFonts w:cs="Arial"/>
                <w:sz w:val="20"/>
                <w:szCs w:val="20"/>
              </w:rPr>
              <w:t>Consultation, access and participation</w:t>
            </w:r>
          </w:p>
        </w:tc>
        <w:tc>
          <w:tcPr>
            <w:tcW w:w="2232" w:type="pct"/>
            <w:tcBorders>
              <w:top w:val="single" w:sz="6" w:space="0" w:color="auto"/>
              <w:left w:val="single" w:sz="6" w:space="0" w:color="auto"/>
              <w:bottom w:val="single" w:sz="4" w:space="0" w:color="auto"/>
              <w:right w:val="single" w:sz="4" w:space="0" w:color="auto"/>
            </w:tcBorders>
            <w:hideMark/>
          </w:tcPr>
          <w:p w14:paraId="0D3B14D7" w14:textId="77777777" w:rsidR="0006040E" w:rsidRPr="00405148" w:rsidRDefault="0006040E" w:rsidP="003E3828">
            <w:pPr>
              <w:pStyle w:val="ListParagraph"/>
              <w:keepNext/>
              <w:keepLines/>
              <w:numPr>
                <w:ilvl w:val="0"/>
                <w:numId w:val="24"/>
              </w:numPr>
              <w:tabs>
                <w:tab w:val="num" w:pos="320"/>
                <w:tab w:val="num" w:pos="360"/>
              </w:tabs>
              <w:autoSpaceDE w:val="0"/>
              <w:autoSpaceDN w:val="0"/>
              <w:adjustRightInd w:val="0"/>
              <w:spacing w:before="20" w:after="20" w:line="240" w:lineRule="auto"/>
              <w:ind w:right="108"/>
              <w:rPr>
                <w:rFonts w:cs="Arial"/>
                <w:sz w:val="20"/>
                <w:szCs w:val="20"/>
              </w:rPr>
            </w:pPr>
            <w:r w:rsidRPr="00FD2E46">
              <w:rPr>
                <w:rFonts w:cs="Arial"/>
                <w:sz w:val="20"/>
                <w:szCs w:val="20"/>
              </w:rPr>
              <w:t>Liaise with local Pacific Clinical</w:t>
            </w:r>
            <w:r w:rsidR="00405148">
              <w:rPr>
                <w:rFonts w:cs="Arial"/>
                <w:sz w:val="20"/>
                <w:szCs w:val="20"/>
              </w:rPr>
              <w:t xml:space="preserve"> </w:t>
            </w:r>
            <w:r w:rsidRPr="00405148">
              <w:rPr>
                <w:rFonts w:cs="Arial"/>
                <w:sz w:val="20"/>
                <w:szCs w:val="20"/>
              </w:rPr>
              <w:t xml:space="preserve">Leaders and relevant Pacific communities and community groups in a way that is culturally appropriate </w:t>
            </w:r>
          </w:p>
        </w:tc>
      </w:tr>
      <w:tr w:rsidR="0006040E" w:rsidRPr="00FD2E46" w14:paraId="11C5DE43" w14:textId="77777777" w:rsidTr="0080152E">
        <w:tc>
          <w:tcPr>
            <w:tcW w:w="1339" w:type="pct"/>
            <w:tcBorders>
              <w:top w:val="single" w:sz="6" w:space="0" w:color="auto"/>
              <w:left w:val="single" w:sz="4" w:space="0" w:color="auto"/>
              <w:bottom w:val="single" w:sz="6" w:space="0" w:color="auto"/>
              <w:right w:val="single" w:sz="6" w:space="0" w:color="auto"/>
            </w:tcBorders>
            <w:hideMark/>
          </w:tcPr>
          <w:p w14:paraId="14FB5C18" w14:textId="77777777" w:rsidR="0006040E" w:rsidRPr="00FD2E46" w:rsidRDefault="0006040E" w:rsidP="003E3828">
            <w:pPr>
              <w:spacing w:before="20" w:after="20" w:line="240" w:lineRule="auto"/>
              <w:rPr>
                <w:rFonts w:cs="Arial"/>
                <w:sz w:val="20"/>
                <w:szCs w:val="20"/>
              </w:rPr>
            </w:pPr>
            <w:r w:rsidRPr="00FD2E46">
              <w:rPr>
                <w:rFonts w:cs="Arial"/>
                <w:sz w:val="20"/>
                <w:szCs w:val="20"/>
              </w:rPr>
              <w:t xml:space="preserve">The </w:t>
            </w:r>
            <w:proofErr w:type="spellStart"/>
            <w:r w:rsidRPr="00FD2E46">
              <w:rPr>
                <w:rFonts w:cs="Arial"/>
                <w:sz w:val="20"/>
                <w:szCs w:val="20"/>
              </w:rPr>
              <w:t>Quitline</w:t>
            </w:r>
            <w:proofErr w:type="spellEnd"/>
            <w:r w:rsidRPr="00FD2E46">
              <w:rPr>
                <w:rFonts w:cs="Arial"/>
                <w:sz w:val="20"/>
                <w:szCs w:val="20"/>
              </w:rPr>
              <w:t xml:space="preserve">, </w:t>
            </w:r>
            <w:proofErr w:type="spellStart"/>
            <w:r w:rsidRPr="00FD2E46">
              <w:rPr>
                <w:rFonts w:cs="Arial"/>
                <w:sz w:val="20"/>
                <w:szCs w:val="20"/>
              </w:rPr>
              <w:t>Aukati</w:t>
            </w:r>
            <w:proofErr w:type="spellEnd"/>
            <w:r w:rsidRPr="00FD2E46">
              <w:rPr>
                <w:rFonts w:cs="Arial"/>
                <w:sz w:val="20"/>
                <w:szCs w:val="20"/>
              </w:rPr>
              <w:t xml:space="preserve"> Kai </w:t>
            </w:r>
            <w:proofErr w:type="spellStart"/>
            <w:r w:rsidRPr="00FD2E46">
              <w:rPr>
                <w:rFonts w:cs="Arial"/>
                <w:sz w:val="20"/>
                <w:szCs w:val="20"/>
              </w:rPr>
              <w:t>Paipa</w:t>
            </w:r>
            <w:proofErr w:type="spellEnd"/>
            <w:r w:rsidRPr="00FD2E46">
              <w:rPr>
                <w:rFonts w:cs="Arial"/>
                <w:sz w:val="20"/>
                <w:szCs w:val="20"/>
              </w:rPr>
              <w:t xml:space="preserve"> and other local stop smoking service providers.  </w:t>
            </w:r>
          </w:p>
        </w:tc>
        <w:tc>
          <w:tcPr>
            <w:tcW w:w="1429" w:type="pct"/>
            <w:tcBorders>
              <w:top w:val="single" w:sz="6" w:space="0" w:color="auto"/>
              <w:left w:val="single" w:sz="6" w:space="0" w:color="auto"/>
              <w:bottom w:val="single" w:sz="6" w:space="0" w:color="auto"/>
              <w:right w:val="single" w:sz="6" w:space="0" w:color="auto"/>
            </w:tcBorders>
            <w:hideMark/>
          </w:tcPr>
          <w:p w14:paraId="0A08BD98" w14:textId="77777777" w:rsidR="0006040E" w:rsidRPr="00FD2E46" w:rsidRDefault="0006040E" w:rsidP="003E3828">
            <w:pPr>
              <w:spacing w:before="20" w:after="20" w:line="240" w:lineRule="auto"/>
              <w:rPr>
                <w:rFonts w:cs="Arial"/>
                <w:sz w:val="20"/>
                <w:szCs w:val="20"/>
              </w:rPr>
            </w:pPr>
            <w:r w:rsidRPr="00FD2E46">
              <w:rPr>
                <w:rFonts w:cs="Arial"/>
                <w:sz w:val="20"/>
                <w:szCs w:val="20"/>
              </w:rPr>
              <w:t>Referral between services</w:t>
            </w:r>
          </w:p>
        </w:tc>
        <w:tc>
          <w:tcPr>
            <w:tcW w:w="2232" w:type="pct"/>
            <w:tcBorders>
              <w:top w:val="single" w:sz="6" w:space="0" w:color="auto"/>
              <w:left w:val="single" w:sz="6" w:space="0" w:color="auto"/>
              <w:bottom w:val="single" w:sz="6" w:space="0" w:color="auto"/>
              <w:right w:val="single" w:sz="4" w:space="0" w:color="auto"/>
            </w:tcBorders>
            <w:hideMark/>
          </w:tcPr>
          <w:p w14:paraId="0C5E1E87" w14:textId="77777777" w:rsidR="0006040E" w:rsidRPr="00405148" w:rsidRDefault="0006040E" w:rsidP="003E3828">
            <w:pPr>
              <w:pStyle w:val="ListParagraph"/>
              <w:keepNext/>
              <w:keepLines/>
              <w:numPr>
                <w:ilvl w:val="0"/>
                <w:numId w:val="25"/>
              </w:numPr>
              <w:tabs>
                <w:tab w:val="num" w:pos="320"/>
                <w:tab w:val="num" w:pos="360"/>
              </w:tabs>
              <w:autoSpaceDE w:val="0"/>
              <w:autoSpaceDN w:val="0"/>
              <w:adjustRightInd w:val="0"/>
              <w:spacing w:before="20" w:after="20" w:line="240" w:lineRule="auto"/>
              <w:ind w:right="108"/>
              <w:rPr>
                <w:rFonts w:cs="Arial"/>
                <w:sz w:val="20"/>
                <w:szCs w:val="20"/>
              </w:rPr>
            </w:pPr>
            <w:r w:rsidRPr="00FD2E46">
              <w:rPr>
                <w:rFonts w:cs="Arial"/>
                <w:sz w:val="20"/>
                <w:szCs w:val="20"/>
              </w:rPr>
              <w:t>Assessment, treatment and</w:t>
            </w:r>
            <w:r w:rsidR="00405148">
              <w:rPr>
                <w:rFonts w:cs="Arial"/>
                <w:sz w:val="20"/>
                <w:szCs w:val="20"/>
              </w:rPr>
              <w:t xml:space="preserve"> </w:t>
            </w:r>
            <w:r w:rsidRPr="00405148">
              <w:rPr>
                <w:rFonts w:cs="Arial"/>
                <w:sz w:val="20"/>
                <w:szCs w:val="20"/>
              </w:rPr>
              <w:t xml:space="preserve">intervention that supports seamless service delivery and continuity of care.  Refer Service </w:t>
            </w:r>
            <w:r w:rsidR="00FD2E46" w:rsidRPr="00405148">
              <w:rPr>
                <w:rFonts w:cs="Arial"/>
                <w:sz w:val="20"/>
                <w:szCs w:val="20"/>
              </w:rPr>
              <w:t xml:space="preserve">Users </w:t>
            </w:r>
            <w:r w:rsidRPr="00405148">
              <w:rPr>
                <w:rFonts w:cs="Arial"/>
                <w:sz w:val="20"/>
                <w:szCs w:val="20"/>
              </w:rPr>
              <w:t>to another service to meet their needs if appropriate</w:t>
            </w:r>
            <w:r w:rsidR="00FD2E46" w:rsidRPr="00405148">
              <w:rPr>
                <w:rFonts w:cs="Arial"/>
                <w:sz w:val="20"/>
                <w:szCs w:val="20"/>
              </w:rPr>
              <w:t>.</w:t>
            </w:r>
            <w:r w:rsidRPr="00405148">
              <w:rPr>
                <w:rFonts w:cs="Arial"/>
                <w:sz w:val="20"/>
                <w:szCs w:val="20"/>
              </w:rPr>
              <w:t xml:space="preserve"> </w:t>
            </w:r>
          </w:p>
        </w:tc>
      </w:tr>
    </w:tbl>
    <w:p w14:paraId="7B6FA663" w14:textId="77777777" w:rsidR="00AB743E" w:rsidRDefault="00AB743E" w:rsidP="003E3828">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824"/>
        <w:gridCol w:w="3014"/>
        <w:gridCol w:w="4708"/>
      </w:tblGrid>
      <w:tr w:rsidR="0006040E" w:rsidRPr="00FD2E46" w14:paraId="000B6017" w14:textId="77777777" w:rsidTr="00781615">
        <w:trPr>
          <w:tblHeader/>
        </w:trPr>
        <w:tc>
          <w:tcPr>
            <w:tcW w:w="5000" w:type="pct"/>
            <w:gridSpan w:val="3"/>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6EEC732C" w14:textId="67A0D5B7" w:rsidR="0006040E" w:rsidRPr="00FD2E46" w:rsidRDefault="0006040E" w:rsidP="003E3828">
            <w:pPr>
              <w:pStyle w:val="ListParagraph"/>
              <w:keepNext/>
              <w:keepLines/>
              <w:autoSpaceDE w:val="0"/>
              <w:autoSpaceDN w:val="0"/>
              <w:adjustRightInd w:val="0"/>
              <w:spacing w:before="120" w:after="120" w:line="240" w:lineRule="auto"/>
              <w:ind w:left="357" w:right="108"/>
              <w:jc w:val="center"/>
              <w:rPr>
                <w:rFonts w:cs="Arial"/>
                <w:b/>
                <w:sz w:val="20"/>
                <w:szCs w:val="20"/>
              </w:rPr>
            </w:pPr>
            <w:r w:rsidRPr="00FD2E46">
              <w:rPr>
                <w:rFonts w:cs="Arial"/>
                <w:b/>
                <w:sz w:val="20"/>
                <w:szCs w:val="20"/>
              </w:rPr>
              <w:t>Family Violence Prevention Services</w:t>
            </w:r>
          </w:p>
        </w:tc>
      </w:tr>
      <w:tr w:rsidR="0006040E" w:rsidRPr="00FD2E46" w14:paraId="0FCAE5FB" w14:textId="77777777" w:rsidTr="0080152E">
        <w:tc>
          <w:tcPr>
            <w:tcW w:w="1339" w:type="pct"/>
            <w:tcBorders>
              <w:top w:val="single" w:sz="6" w:space="0" w:color="auto"/>
              <w:left w:val="single" w:sz="4" w:space="0" w:color="auto"/>
              <w:bottom w:val="single" w:sz="6" w:space="0" w:color="auto"/>
              <w:right w:val="single" w:sz="6" w:space="0" w:color="auto"/>
            </w:tcBorders>
            <w:shd w:val="clear" w:color="auto" w:fill="F2F2F2" w:themeFill="background1" w:themeFillShade="F2"/>
          </w:tcPr>
          <w:p w14:paraId="4F7204A2" w14:textId="77777777" w:rsidR="0006040E" w:rsidRPr="00FD2E46" w:rsidRDefault="0006040E" w:rsidP="003E3828">
            <w:pPr>
              <w:autoSpaceDE w:val="0"/>
              <w:autoSpaceDN w:val="0"/>
              <w:adjustRightInd w:val="0"/>
              <w:spacing w:before="60" w:after="60" w:line="240" w:lineRule="auto"/>
              <w:ind w:left="108" w:right="108"/>
              <w:jc w:val="center"/>
              <w:rPr>
                <w:rFonts w:cs="Arial"/>
                <w:b/>
                <w:bCs/>
                <w:sz w:val="20"/>
                <w:szCs w:val="20"/>
              </w:rPr>
            </w:pPr>
            <w:r w:rsidRPr="00FD2E46">
              <w:rPr>
                <w:rFonts w:cs="Arial"/>
                <w:b/>
                <w:bCs/>
                <w:sz w:val="20"/>
                <w:szCs w:val="20"/>
              </w:rPr>
              <w:t>Service Provider</w:t>
            </w:r>
          </w:p>
        </w:tc>
        <w:tc>
          <w:tcPr>
            <w:tcW w:w="14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428901F" w14:textId="77777777" w:rsidR="0006040E" w:rsidRPr="00FD2E46" w:rsidRDefault="0006040E" w:rsidP="003E3828">
            <w:pPr>
              <w:autoSpaceDE w:val="0"/>
              <w:autoSpaceDN w:val="0"/>
              <w:adjustRightInd w:val="0"/>
              <w:spacing w:before="60" w:after="60" w:line="240" w:lineRule="auto"/>
              <w:ind w:left="108" w:right="108"/>
              <w:jc w:val="center"/>
              <w:rPr>
                <w:rFonts w:cs="Arial"/>
                <w:b/>
                <w:bCs/>
                <w:sz w:val="20"/>
                <w:szCs w:val="20"/>
              </w:rPr>
            </w:pPr>
            <w:r w:rsidRPr="00FD2E46">
              <w:rPr>
                <w:rFonts w:cs="Arial"/>
                <w:b/>
                <w:bCs/>
                <w:sz w:val="20"/>
                <w:szCs w:val="20"/>
              </w:rPr>
              <w:t>Nature of Linkage</w:t>
            </w:r>
          </w:p>
        </w:tc>
        <w:tc>
          <w:tcPr>
            <w:tcW w:w="2232" w:type="pct"/>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032DD181" w14:textId="77777777" w:rsidR="0006040E" w:rsidRPr="00FD2E46" w:rsidRDefault="0006040E" w:rsidP="003E3828">
            <w:pPr>
              <w:autoSpaceDE w:val="0"/>
              <w:autoSpaceDN w:val="0"/>
              <w:adjustRightInd w:val="0"/>
              <w:spacing w:before="60" w:after="60" w:line="240" w:lineRule="auto"/>
              <w:jc w:val="center"/>
              <w:rPr>
                <w:rFonts w:cs="Arial"/>
                <w:b/>
                <w:bCs/>
                <w:sz w:val="20"/>
                <w:szCs w:val="20"/>
              </w:rPr>
            </w:pPr>
            <w:r w:rsidRPr="00FD2E46">
              <w:rPr>
                <w:rFonts w:cs="Arial"/>
                <w:b/>
                <w:bCs/>
                <w:sz w:val="20"/>
                <w:szCs w:val="20"/>
              </w:rPr>
              <w:t>Accountabilities</w:t>
            </w:r>
          </w:p>
        </w:tc>
      </w:tr>
      <w:tr w:rsidR="0006040E" w:rsidRPr="00FD2E46" w14:paraId="4EBF6490" w14:textId="77777777" w:rsidTr="0080152E">
        <w:tc>
          <w:tcPr>
            <w:tcW w:w="1339" w:type="pct"/>
            <w:tcBorders>
              <w:top w:val="single" w:sz="6" w:space="0" w:color="auto"/>
              <w:left w:val="single" w:sz="4" w:space="0" w:color="auto"/>
              <w:bottom w:val="single" w:sz="6" w:space="0" w:color="auto"/>
              <w:right w:val="single" w:sz="6" w:space="0" w:color="auto"/>
            </w:tcBorders>
          </w:tcPr>
          <w:p w14:paraId="75E596CA" w14:textId="77777777" w:rsidR="0006040E" w:rsidRPr="00FD2E46" w:rsidRDefault="0006040E" w:rsidP="003E3828">
            <w:pPr>
              <w:spacing w:before="20" w:after="20" w:line="240" w:lineRule="auto"/>
              <w:rPr>
                <w:rFonts w:cs="Arial"/>
                <w:sz w:val="20"/>
                <w:szCs w:val="20"/>
              </w:rPr>
            </w:pPr>
            <w:r w:rsidRPr="00FD2E46">
              <w:rPr>
                <w:rFonts w:cs="Arial"/>
                <w:sz w:val="20"/>
                <w:szCs w:val="20"/>
              </w:rPr>
              <w:t>Violence Intervention Programme</w:t>
            </w:r>
            <w:r w:rsidR="00FD2E46">
              <w:rPr>
                <w:rFonts w:cs="Arial"/>
                <w:sz w:val="20"/>
                <w:szCs w:val="20"/>
              </w:rPr>
              <w:t xml:space="preserve"> (VIP)</w:t>
            </w:r>
          </w:p>
        </w:tc>
        <w:tc>
          <w:tcPr>
            <w:tcW w:w="1429" w:type="pct"/>
            <w:tcBorders>
              <w:top w:val="single" w:sz="6" w:space="0" w:color="auto"/>
              <w:left w:val="single" w:sz="6" w:space="0" w:color="auto"/>
              <w:bottom w:val="single" w:sz="6" w:space="0" w:color="auto"/>
              <w:right w:val="single" w:sz="6" w:space="0" w:color="auto"/>
            </w:tcBorders>
          </w:tcPr>
          <w:p w14:paraId="03D6B49A" w14:textId="77777777" w:rsidR="0006040E" w:rsidRPr="00FD2E46" w:rsidRDefault="0006040E" w:rsidP="003E3828">
            <w:pPr>
              <w:spacing w:before="20" w:after="20" w:line="240" w:lineRule="auto"/>
              <w:rPr>
                <w:rFonts w:cs="Arial"/>
                <w:sz w:val="20"/>
                <w:szCs w:val="20"/>
              </w:rPr>
            </w:pPr>
            <w:r w:rsidRPr="00FD2E46">
              <w:rPr>
                <w:rFonts w:cs="Arial"/>
                <w:sz w:val="20"/>
                <w:szCs w:val="20"/>
              </w:rPr>
              <w:t xml:space="preserve">DHB </w:t>
            </w:r>
            <w:r w:rsidR="00FD2E46">
              <w:rPr>
                <w:rFonts w:cs="Arial"/>
                <w:sz w:val="20"/>
                <w:szCs w:val="20"/>
              </w:rPr>
              <w:t>VIP</w:t>
            </w:r>
            <w:r w:rsidRPr="00FD2E46">
              <w:rPr>
                <w:rFonts w:cs="Arial"/>
                <w:sz w:val="20"/>
                <w:szCs w:val="20"/>
              </w:rPr>
              <w:t xml:space="preserve"> Coordinators</w:t>
            </w:r>
          </w:p>
        </w:tc>
        <w:tc>
          <w:tcPr>
            <w:tcW w:w="2232" w:type="pct"/>
            <w:tcBorders>
              <w:top w:val="single" w:sz="6" w:space="0" w:color="auto"/>
              <w:left w:val="single" w:sz="6" w:space="0" w:color="auto"/>
              <w:bottom w:val="single" w:sz="6" w:space="0" w:color="auto"/>
              <w:right w:val="single" w:sz="4" w:space="0" w:color="auto"/>
            </w:tcBorders>
          </w:tcPr>
          <w:p w14:paraId="5EDB3D1A" w14:textId="77777777" w:rsidR="0006040E" w:rsidRPr="00FD2E46" w:rsidRDefault="0006040E" w:rsidP="003E3828">
            <w:pPr>
              <w:pStyle w:val="ListParagraph"/>
              <w:keepNext/>
              <w:keepLines/>
              <w:numPr>
                <w:ilvl w:val="0"/>
                <w:numId w:val="25"/>
              </w:numPr>
              <w:tabs>
                <w:tab w:val="num" w:pos="320"/>
                <w:tab w:val="num" w:pos="360"/>
              </w:tabs>
              <w:autoSpaceDE w:val="0"/>
              <w:autoSpaceDN w:val="0"/>
              <w:adjustRightInd w:val="0"/>
              <w:spacing w:before="20" w:after="20" w:line="240" w:lineRule="auto"/>
              <w:ind w:right="108"/>
              <w:rPr>
                <w:rFonts w:cs="Arial"/>
                <w:sz w:val="20"/>
                <w:szCs w:val="20"/>
              </w:rPr>
            </w:pPr>
            <w:r w:rsidRPr="00FD2E46">
              <w:rPr>
                <w:rFonts w:cs="Arial"/>
                <w:sz w:val="20"/>
                <w:szCs w:val="20"/>
              </w:rPr>
              <w:t>To provide training and support to DHB staff in the implementation and delivery of the National VIP screening programme</w:t>
            </w:r>
            <w:r w:rsidR="00FD2E46">
              <w:rPr>
                <w:rFonts w:cs="Arial"/>
                <w:sz w:val="20"/>
                <w:szCs w:val="20"/>
              </w:rPr>
              <w:t>.</w:t>
            </w:r>
          </w:p>
          <w:p w14:paraId="1BC40163" w14:textId="77777777" w:rsidR="0006040E" w:rsidRPr="00FD2E46" w:rsidRDefault="0006040E" w:rsidP="003E3828">
            <w:pPr>
              <w:pStyle w:val="ListParagraph"/>
              <w:keepNext/>
              <w:keepLines/>
              <w:numPr>
                <w:ilvl w:val="0"/>
                <w:numId w:val="25"/>
              </w:numPr>
              <w:tabs>
                <w:tab w:val="num" w:pos="320"/>
                <w:tab w:val="num" w:pos="360"/>
              </w:tabs>
              <w:autoSpaceDE w:val="0"/>
              <w:autoSpaceDN w:val="0"/>
              <w:adjustRightInd w:val="0"/>
              <w:spacing w:before="20" w:after="20" w:line="240" w:lineRule="auto"/>
              <w:ind w:right="108"/>
              <w:rPr>
                <w:rFonts w:cs="Arial"/>
                <w:sz w:val="20"/>
                <w:szCs w:val="20"/>
              </w:rPr>
            </w:pPr>
            <w:r w:rsidRPr="00FD2E46">
              <w:rPr>
                <w:rFonts w:cs="Arial"/>
                <w:sz w:val="20"/>
                <w:szCs w:val="20"/>
              </w:rPr>
              <w:t>To monitor screening practices to ensure they remain consistent with the national standard</w:t>
            </w:r>
            <w:r w:rsidR="00FD2E46">
              <w:rPr>
                <w:rFonts w:cs="Arial"/>
                <w:sz w:val="20"/>
                <w:szCs w:val="20"/>
              </w:rPr>
              <w:t>.</w:t>
            </w:r>
          </w:p>
          <w:p w14:paraId="4975FEDE" w14:textId="77777777" w:rsidR="0006040E" w:rsidRPr="00FD2E46" w:rsidRDefault="0006040E" w:rsidP="003E3828">
            <w:pPr>
              <w:pStyle w:val="ListParagraph"/>
              <w:keepNext/>
              <w:keepLines/>
              <w:numPr>
                <w:ilvl w:val="0"/>
                <w:numId w:val="25"/>
              </w:numPr>
              <w:tabs>
                <w:tab w:val="num" w:pos="320"/>
                <w:tab w:val="num" w:pos="360"/>
              </w:tabs>
              <w:autoSpaceDE w:val="0"/>
              <w:autoSpaceDN w:val="0"/>
              <w:adjustRightInd w:val="0"/>
              <w:spacing w:before="20" w:after="20" w:line="240" w:lineRule="auto"/>
              <w:ind w:right="108"/>
              <w:rPr>
                <w:rFonts w:cs="Arial"/>
                <w:sz w:val="20"/>
                <w:szCs w:val="20"/>
              </w:rPr>
            </w:pPr>
            <w:r w:rsidRPr="00FD2E46">
              <w:rPr>
                <w:rFonts w:cs="Arial"/>
                <w:sz w:val="20"/>
                <w:szCs w:val="20"/>
              </w:rPr>
              <w:t>To provide training and support to primary health care services to implement screening practices in line with the Ministry’s Family Violence Intervention Guidelines</w:t>
            </w:r>
            <w:r w:rsidR="00FD2E46">
              <w:rPr>
                <w:rFonts w:cs="Arial"/>
                <w:sz w:val="20"/>
                <w:szCs w:val="20"/>
              </w:rPr>
              <w:t>.</w:t>
            </w:r>
          </w:p>
        </w:tc>
      </w:tr>
      <w:tr w:rsidR="0006040E" w:rsidRPr="00FD2E46" w14:paraId="78C47B1D" w14:textId="77777777" w:rsidTr="0080152E">
        <w:tc>
          <w:tcPr>
            <w:tcW w:w="1339" w:type="pct"/>
            <w:tcBorders>
              <w:top w:val="single" w:sz="6" w:space="0" w:color="auto"/>
              <w:left w:val="single" w:sz="4" w:space="0" w:color="auto"/>
              <w:bottom w:val="single" w:sz="6" w:space="0" w:color="auto"/>
              <w:right w:val="single" w:sz="6" w:space="0" w:color="auto"/>
            </w:tcBorders>
          </w:tcPr>
          <w:p w14:paraId="1F81C0F4" w14:textId="77777777" w:rsidR="0006040E" w:rsidRPr="00FD2E46" w:rsidRDefault="0006040E" w:rsidP="003E3828">
            <w:pPr>
              <w:spacing w:before="20" w:after="20" w:line="240" w:lineRule="auto"/>
              <w:rPr>
                <w:rFonts w:cs="Arial"/>
                <w:sz w:val="20"/>
                <w:szCs w:val="20"/>
              </w:rPr>
            </w:pPr>
            <w:r w:rsidRPr="00FD2E46">
              <w:rPr>
                <w:rFonts w:cs="Arial"/>
                <w:sz w:val="20"/>
                <w:szCs w:val="20"/>
              </w:rPr>
              <w:t>National Management Service</w:t>
            </w:r>
          </w:p>
        </w:tc>
        <w:tc>
          <w:tcPr>
            <w:tcW w:w="1429" w:type="pct"/>
            <w:tcBorders>
              <w:top w:val="single" w:sz="6" w:space="0" w:color="auto"/>
              <w:left w:val="single" w:sz="6" w:space="0" w:color="auto"/>
              <w:bottom w:val="single" w:sz="6" w:space="0" w:color="auto"/>
              <w:right w:val="single" w:sz="6" w:space="0" w:color="auto"/>
            </w:tcBorders>
          </w:tcPr>
          <w:p w14:paraId="4FD425E9" w14:textId="77777777" w:rsidR="0006040E" w:rsidRPr="00FD2E46" w:rsidRDefault="0006040E" w:rsidP="003E3828">
            <w:pPr>
              <w:spacing w:before="20" w:after="20" w:line="240" w:lineRule="auto"/>
              <w:rPr>
                <w:rFonts w:cs="Arial"/>
                <w:sz w:val="20"/>
                <w:szCs w:val="20"/>
              </w:rPr>
            </w:pPr>
            <w:r w:rsidRPr="00FD2E46">
              <w:rPr>
                <w:rFonts w:cs="Arial"/>
                <w:sz w:val="20"/>
                <w:szCs w:val="20"/>
              </w:rPr>
              <w:t>Programme Manager, provision of Technical Advice and Coordination of Quality improvements initiatives</w:t>
            </w:r>
          </w:p>
        </w:tc>
        <w:tc>
          <w:tcPr>
            <w:tcW w:w="2232" w:type="pct"/>
            <w:tcBorders>
              <w:top w:val="single" w:sz="6" w:space="0" w:color="auto"/>
              <w:left w:val="single" w:sz="6" w:space="0" w:color="auto"/>
              <w:bottom w:val="single" w:sz="6" w:space="0" w:color="auto"/>
              <w:right w:val="single" w:sz="4" w:space="0" w:color="auto"/>
            </w:tcBorders>
          </w:tcPr>
          <w:p w14:paraId="18BF2A3F" w14:textId="77777777" w:rsidR="0006040E" w:rsidRPr="00FD2E46" w:rsidRDefault="0006040E" w:rsidP="003E3828">
            <w:pPr>
              <w:pStyle w:val="ListParagraph"/>
              <w:keepNext/>
              <w:keepLines/>
              <w:numPr>
                <w:ilvl w:val="0"/>
                <w:numId w:val="39"/>
              </w:numPr>
              <w:tabs>
                <w:tab w:val="left" w:pos="312"/>
              </w:tabs>
              <w:autoSpaceDE w:val="0"/>
              <w:autoSpaceDN w:val="0"/>
              <w:adjustRightInd w:val="0"/>
              <w:spacing w:before="20" w:after="20" w:line="240" w:lineRule="auto"/>
              <w:ind w:right="108"/>
              <w:rPr>
                <w:rFonts w:cs="Arial"/>
                <w:sz w:val="20"/>
                <w:szCs w:val="20"/>
              </w:rPr>
            </w:pPr>
            <w:r w:rsidRPr="00FD2E46">
              <w:rPr>
                <w:rFonts w:cs="Arial"/>
                <w:sz w:val="20"/>
                <w:szCs w:val="20"/>
              </w:rPr>
              <w:t xml:space="preserve">Consultation provided in a timely manner in accordance with </w:t>
            </w:r>
            <w:r w:rsidR="00FD2E46">
              <w:rPr>
                <w:rFonts w:cs="Arial"/>
                <w:sz w:val="20"/>
                <w:szCs w:val="20"/>
              </w:rPr>
              <w:t>n</w:t>
            </w:r>
            <w:r w:rsidR="00FD2E46" w:rsidRPr="00FD2E46">
              <w:rPr>
                <w:rFonts w:cs="Arial"/>
                <w:sz w:val="20"/>
                <w:szCs w:val="20"/>
              </w:rPr>
              <w:t xml:space="preserve">ational </w:t>
            </w:r>
            <w:r w:rsidRPr="00FD2E46">
              <w:rPr>
                <w:rFonts w:cs="Arial"/>
                <w:sz w:val="20"/>
                <w:szCs w:val="20"/>
              </w:rPr>
              <w:t>strategic direction and best practice standards</w:t>
            </w:r>
            <w:r w:rsidR="00FD2E46">
              <w:rPr>
                <w:rFonts w:cs="Arial"/>
                <w:sz w:val="20"/>
                <w:szCs w:val="20"/>
              </w:rPr>
              <w:t>.</w:t>
            </w:r>
          </w:p>
        </w:tc>
      </w:tr>
      <w:tr w:rsidR="0006040E" w:rsidRPr="00FD2E46" w14:paraId="0895395B" w14:textId="77777777" w:rsidTr="0080152E">
        <w:tc>
          <w:tcPr>
            <w:tcW w:w="1339" w:type="pct"/>
            <w:tcBorders>
              <w:top w:val="single" w:sz="6" w:space="0" w:color="auto"/>
              <w:left w:val="single" w:sz="4" w:space="0" w:color="auto"/>
              <w:bottom w:val="single" w:sz="6" w:space="0" w:color="auto"/>
              <w:right w:val="single" w:sz="6" w:space="0" w:color="auto"/>
            </w:tcBorders>
          </w:tcPr>
          <w:p w14:paraId="24B40BA3" w14:textId="77777777" w:rsidR="0006040E" w:rsidRPr="00FD2E46" w:rsidRDefault="0006040E" w:rsidP="003E3828">
            <w:pPr>
              <w:spacing w:before="20" w:after="20" w:line="240" w:lineRule="auto"/>
              <w:rPr>
                <w:rFonts w:cs="Arial"/>
                <w:sz w:val="20"/>
                <w:szCs w:val="20"/>
              </w:rPr>
            </w:pPr>
            <w:r w:rsidRPr="00FD2E46">
              <w:rPr>
                <w:rFonts w:cs="Arial"/>
                <w:sz w:val="20"/>
                <w:szCs w:val="20"/>
              </w:rPr>
              <w:t>National VIP Training and support</w:t>
            </w:r>
          </w:p>
        </w:tc>
        <w:tc>
          <w:tcPr>
            <w:tcW w:w="1429" w:type="pct"/>
            <w:tcBorders>
              <w:top w:val="single" w:sz="6" w:space="0" w:color="auto"/>
              <w:left w:val="single" w:sz="6" w:space="0" w:color="auto"/>
              <w:bottom w:val="single" w:sz="6" w:space="0" w:color="auto"/>
              <w:right w:val="single" w:sz="6" w:space="0" w:color="auto"/>
            </w:tcBorders>
          </w:tcPr>
          <w:p w14:paraId="2A2F28AF" w14:textId="77777777" w:rsidR="0006040E" w:rsidRPr="00FD2E46" w:rsidRDefault="0006040E" w:rsidP="003E3828">
            <w:pPr>
              <w:spacing w:before="20" w:after="20" w:line="240" w:lineRule="auto"/>
              <w:rPr>
                <w:rFonts w:cs="Arial"/>
                <w:sz w:val="20"/>
                <w:szCs w:val="20"/>
              </w:rPr>
            </w:pPr>
            <w:r w:rsidRPr="00FD2E46">
              <w:rPr>
                <w:rFonts w:cs="Arial"/>
                <w:sz w:val="20"/>
                <w:szCs w:val="20"/>
              </w:rPr>
              <w:t xml:space="preserve">National VIP Training support service </w:t>
            </w:r>
          </w:p>
        </w:tc>
        <w:tc>
          <w:tcPr>
            <w:tcW w:w="2232" w:type="pct"/>
            <w:tcBorders>
              <w:top w:val="single" w:sz="6" w:space="0" w:color="auto"/>
              <w:left w:val="single" w:sz="6" w:space="0" w:color="auto"/>
              <w:bottom w:val="single" w:sz="6" w:space="0" w:color="auto"/>
              <w:right w:val="single" w:sz="4" w:space="0" w:color="auto"/>
            </w:tcBorders>
          </w:tcPr>
          <w:p w14:paraId="6E388B73" w14:textId="77777777" w:rsidR="0006040E" w:rsidRPr="00FD2E46" w:rsidRDefault="0006040E" w:rsidP="003E3828">
            <w:pPr>
              <w:pStyle w:val="ListParagraph"/>
              <w:keepNext/>
              <w:keepLines/>
              <w:numPr>
                <w:ilvl w:val="0"/>
                <w:numId w:val="40"/>
              </w:numPr>
              <w:tabs>
                <w:tab w:val="left" w:pos="312"/>
              </w:tabs>
              <w:autoSpaceDE w:val="0"/>
              <w:autoSpaceDN w:val="0"/>
              <w:adjustRightInd w:val="0"/>
              <w:spacing w:before="20" w:after="20" w:line="240" w:lineRule="auto"/>
              <w:ind w:right="108"/>
              <w:rPr>
                <w:rFonts w:cs="Arial"/>
                <w:sz w:val="20"/>
                <w:szCs w:val="20"/>
              </w:rPr>
            </w:pPr>
            <w:r w:rsidRPr="00FD2E46">
              <w:rPr>
                <w:rFonts w:cs="Arial"/>
                <w:sz w:val="20"/>
                <w:szCs w:val="20"/>
              </w:rPr>
              <w:t>To provide training and support to DHBs in the delivery of the National VIP training package</w:t>
            </w:r>
            <w:r w:rsidR="00FD2E46">
              <w:rPr>
                <w:rFonts w:cs="Arial"/>
                <w:sz w:val="20"/>
                <w:szCs w:val="20"/>
              </w:rPr>
              <w:t>.</w:t>
            </w:r>
          </w:p>
          <w:p w14:paraId="0A4ABEBB" w14:textId="77777777" w:rsidR="0006040E" w:rsidRPr="00FD2E46" w:rsidRDefault="0006040E" w:rsidP="003E3828">
            <w:pPr>
              <w:pStyle w:val="ListParagraph"/>
              <w:keepNext/>
              <w:keepLines/>
              <w:numPr>
                <w:ilvl w:val="0"/>
                <w:numId w:val="41"/>
              </w:numPr>
              <w:tabs>
                <w:tab w:val="left" w:pos="312"/>
              </w:tabs>
              <w:autoSpaceDE w:val="0"/>
              <w:autoSpaceDN w:val="0"/>
              <w:adjustRightInd w:val="0"/>
              <w:spacing w:before="20" w:after="20" w:line="240" w:lineRule="auto"/>
              <w:ind w:right="108"/>
              <w:rPr>
                <w:rFonts w:cs="Arial"/>
                <w:sz w:val="20"/>
                <w:szCs w:val="20"/>
              </w:rPr>
            </w:pPr>
            <w:r w:rsidRPr="00FD2E46">
              <w:rPr>
                <w:rFonts w:cs="Arial"/>
                <w:sz w:val="20"/>
                <w:szCs w:val="20"/>
              </w:rPr>
              <w:t>To monitor training to ensure it remains consistent with the national standard</w:t>
            </w:r>
            <w:r w:rsidR="00FD2E46">
              <w:rPr>
                <w:rFonts w:cs="Arial"/>
                <w:sz w:val="20"/>
                <w:szCs w:val="20"/>
              </w:rPr>
              <w:t>.</w:t>
            </w:r>
          </w:p>
          <w:p w14:paraId="7083BA76" w14:textId="77777777" w:rsidR="0006040E" w:rsidRPr="00FD2E46" w:rsidRDefault="0006040E" w:rsidP="003E3828">
            <w:pPr>
              <w:pStyle w:val="ListParagraph"/>
              <w:keepNext/>
              <w:keepLines/>
              <w:numPr>
                <w:ilvl w:val="0"/>
                <w:numId w:val="42"/>
              </w:numPr>
              <w:tabs>
                <w:tab w:val="left" w:pos="312"/>
              </w:tabs>
              <w:autoSpaceDE w:val="0"/>
              <w:autoSpaceDN w:val="0"/>
              <w:adjustRightInd w:val="0"/>
              <w:spacing w:before="20" w:after="20" w:line="240" w:lineRule="auto"/>
              <w:ind w:right="108"/>
              <w:rPr>
                <w:rFonts w:cs="Arial"/>
                <w:sz w:val="20"/>
                <w:szCs w:val="20"/>
              </w:rPr>
            </w:pPr>
            <w:r w:rsidRPr="00FD2E46">
              <w:rPr>
                <w:rFonts w:cs="Arial"/>
                <w:sz w:val="20"/>
                <w:szCs w:val="20"/>
              </w:rPr>
              <w:t>To ensure all DHBs have access to the national training package and advice and that training.</w:t>
            </w:r>
          </w:p>
        </w:tc>
      </w:tr>
      <w:tr w:rsidR="0006040E" w:rsidRPr="00FD2E46" w14:paraId="54F47ECD" w14:textId="77777777" w:rsidTr="0080152E">
        <w:tc>
          <w:tcPr>
            <w:tcW w:w="1339" w:type="pct"/>
            <w:tcBorders>
              <w:top w:val="single" w:sz="6" w:space="0" w:color="auto"/>
              <w:left w:val="single" w:sz="4" w:space="0" w:color="auto"/>
              <w:bottom w:val="single" w:sz="4" w:space="0" w:color="auto"/>
              <w:right w:val="single" w:sz="6" w:space="0" w:color="auto"/>
            </w:tcBorders>
          </w:tcPr>
          <w:p w14:paraId="5FC60E88" w14:textId="77777777" w:rsidR="0006040E" w:rsidRPr="00FD2E46" w:rsidRDefault="0006040E" w:rsidP="003E3828">
            <w:pPr>
              <w:spacing w:before="20" w:after="20" w:line="240" w:lineRule="auto"/>
              <w:rPr>
                <w:rFonts w:cs="Arial"/>
                <w:sz w:val="20"/>
                <w:szCs w:val="20"/>
              </w:rPr>
            </w:pPr>
            <w:r w:rsidRPr="00FD2E46">
              <w:rPr>
                <w:rFonts w:cs="Arial"/>
                <w:sz w:val="20"/>
                <w:szCs w:val="20"/>
              </w:rPr>
              <w:t>National evaluation service</w:t>
            </w:r>
          </w:p>
        </w:tc>
        <w:tc>
          <w:tcPr>
            <w:tcW w:w="1429" w:type="pct"/>
            <w:tcBorders>
              <w:top w:val="single" w:sz="6" w:space="0" w:color="auto"/>
              <w:left w:val="single" w:sz="6" w:space="0" w:color="auto"/>
              <w:bottom w:val="single" w:sz="4" w:space="0" w:color="auto"/>
              <w:right w:val="single" w:sz="6" w:space="0" w:color="auto"/>
            </w:tcBorders>
          </w:tcPr>
          <w:p w14:paraId="4C285345" w14:textId="77777777" w:rsidR="0006040E" w:rsidRPr="00FD2E46" w:rsidRDefault="0006040E" w:rsidP="003E3828">
            <w:pPr>
              <w:spacing w:before="20" w:after="20" w:line="240" w:lineRule="auto"/>
              <w:rPr>
                <w:rFonts w:cs="Arial"/>
                <w:sz w:val="20"/>
                <w:szCs w:val="20"/>
              </w:rPr>
            </w:pPr>
            <w:r w:rsidRPr="00FD2E46">
              <w:rPr>
                <w:rFonts w:cs="Arial"/>
                <w:sz w:val="20"/>
                <w:szCs w:val="20"/>
              </w:rPr>
              <w:t xml:space="preserve">National evaluation </w:t>
            </w:r>
          </w:p>
        </w:tc>
        <w:tc>
          <w:tcPr>
            <w:tcW w:w="2232" w:type="pct"/>
            <w:tcBorders>
              <w:top w:val="single" w:sz="6" w:space="0" w:color="auto"/>
              <w:left w:val="single" w:sz="6" w:space="0" w:color="auto"/>
              <w:bottom w:val="single" w:sz="4" w:space="0" w:color="auto"/>
              <w:right w:val="single" w:sz="4" w:space="0" w:color="auto"/>
            </w:tcBorders>
          </w:tcPr>
          <w:p w14:paraId="420F4C11" w14:textId="77777777" w:rsidR="0006040E" w:rsidRPr="00FD2E46" w:rsidRDefault="0006040E" w:rsidP="003E3828">
            <w:pPr>
              <w:pStyle w:val="ListParagraph"/>
              <w:keepNext/>
              <w:keepLines/>
              <w:numPr>
                <w:ilvl w:val="0"/>
                <w:numId w:val="43"/>
              </w:numPr>
              <w:tabs>
                <w:tab w:val="left" w:pos="312"/>
              </w:tabs>
              <w:autoSpaceDE w:val="0"/>
              <w:autoSpaceDN w:val="0"/>
              <w:adjustRightInd w:val="0"/>
              <w:spacing w:before="20" w:after="20" w:line="240" w:lineRule="auto"/>
              <w:ind w:right="108"/>
              <w:rPr>
                <w:rFonts w:cs="Arial"/>
                <w:sz w:val="20"/>
                <w:szCs w:val="20"/>
              </w:rPr>
            </w:pPr>
            <w:r w:rsidRPr="00FD2E46">
              <w:rPr>
                <w:rFonts w:cs="Arial"/>
                <w:sz w:val="20"/>
                <w:szCs w:val="20"/>
              </w:rPr>
              <w:t>To audit DHB VIP infrastructure and to collate findings</w:t>
            </w:r>
            <w:r w:rsidR="00FD2E46">
              <w:rPr>
                <w:rFonts w:cs="Arial"/>
                <w:sz w:val="20"/>
                <w:szCs w:val="20"/>
              </w:rPr>
              <w:t>.</w:t>
            </w:r>
          </w:p>
          <w:p w14:paraId="5FE60563" w14:textId="77777777" w:rsidR="0006040E" w:rsidRPr="00FD2E46" w:rsidRDefault="0006040E" w:rsidP="003E3828">
            <w:pPr>
              <w:pStyle w:val="ListParagraph"/>
              <w:keepNext/>
              <w:keepLines/>
              <w:numPr>
                <w:ilvl w:val="0"/>
                <w:numId w:val="44"/>
              </w:numPr>
              <w:tabs>
                <w:tab w:val="left" w:pos="312"/>
              </w:tabs>
              <w:autoSpaceDE w:val="0"/>
              <w:autoSpaceDN w:val="0"/>
              <w:adjustRightInd w:val="0"/>
              <w:spacing w:before="20" w:after="20" w:line="240" w:lineRule="auto"/>
              <w:ind w:right="108"/>
              <w:rPr>
                <w:rFonts w:cs="Arial"/>
                <w:sz w:val="20"/>
                <w:szCs w:val="20"/>
              </w:rPr>
            </w:pPr>
            <w:r w:rsidRPr="00FD2E46">
              <w:rPr>
                <w:rFonts w:cs="Arial"/>
                <w:sz w:val="20"/>
                <w:szCs w:val="20"/>
              </w:rPr>
              <w:t>To collect and analyse data from all DHBs to provide a snapshot of programme outputs nationally</w:t>
            </w:r>
            <w:r w:rsidR="00FD2E46">
              <w:rPr>
                <w:rFonts w:cs="Arial"/>
                <w:sz w:val="20"/>
                <w:szCs w:val="20"/>
              </w:rPr>
              <w:t>.</w:t>
            </w:r>
          </w:p>
          <w:p w14:paraId="16697F4F" w14:textId="77777777" w:rsidR="0006040E" w:rsidRPr="00FD2E46" w:rsidRDefault="0006040E" w:rsidP="003E3828">
            <w:pPr>
              <w:pStyle w:val="ListParagraph"/>
              <w:keepNext/>
              <w:keepLines/>
              <w:numPr>
                <w:ilvl w:val="0"/>
                <w:numId w:val="46"/>
              </w:numPr>
              <w:tabs>
                <w:tab w:val="left" w:pos="312"/>
              </w:tabs>
              <w:autoSpaceDE w:val="0"/>
              <w:autoSpaceDN w:val="0"/>
              <w:adjustRightInd w:val="0"/>
              <w:spacing w:before="20" w:after="20" w:line="240" w:lineRule="auto"/>
              <w:ind w:right="108"/>
              <w:rPr>
                <w:rFonts w:cs="Arial"/>
                <w:sz w:val="20"/>
                <w:szCs w:val="20"/>
              </w:rPr>
            </w:pPr>
            <w:r w:rsidRPr="00FD2E46">
              <w:rPr>
                <w:rFonts w:cs="Arial"/>
                <w:sz w:val="20"/>
                <w:szCs w:val="20"/>
              </w:rPr>
              <w:t>Regular reports delivered the level of DHB infrastructure</w:t>
            </w:r>
            <w:r w:rsidR="00FD2E46">
              <w:rPr>
                <w:rFonts w:cs="Arial"/>
                <w:sz w:val="20"/>
                <w:szCs w:val="20"/>
              </w:rPr>
              <w:t>.</w:t>
            </w:r>
          </w:p>
          <w:p w14:paraId="6845B318" w14:textId="77777777" w:rsidR="0006040E" w:rsidRPr="00FD2E46" w:rsidRDefault="0006040E" w:rsidP="003E3828">
            <w:pPr>
              <w:pStyle w:val="ListParagraph"/>
              <w:keepNext/>
              <w:keepLines/>
              <w:numPr>
                <w:ilvl w:val="0"/>
                <w:numId w:val="45"/>
              </w:numPr>
              <w:tabs>
                <w:tab w:val="left" w:pos="312"/>
              </w:tabs>
              <w:autoSpaceDE w:val="0"/>
              <w:autoSpaceDN w:val="0"/>
              <w:adjustRightInd w:val="0"/>
              <w:spacing w:before="20" w:after="20" w:line="240" w:lineRule="auto"/>
              <w:ind w:right="108"/>
              <w:rPr>
                <w:rFonts w:cs="Arial"/>
                <w:sz w:val="20"/>
                <w:szCs w:val="20"/>
              </w:rPr>
            </w:pPr>
            <w:r w:rsidRPr="00FD2E46">
              <w:rPr>
                <w:rFonts w:cs="Arial"/>
                <w:sz w:val="20"/>
                <w:szCs w:val="20"/>
              </w:rPr>
              <w:t xml:space="preserve">Regular reports detail the outputs with trends </w:t>
            </w:r>
            <w:r w:rsidRPr="00FD2E46">
              <w:rPr>
                <w:rFonts w:cs="Arial"/>
                <w:sz w:val="20"/>
                <w:szCs w:val="20"/>
              </w:rPr>
              <w:lastRenderedPageBreak/>
              <w:t>over time.</w:t>
            </w:r>
          </w:p>
        </w:tc>
      </w:tr>
    </w:tbl>
    <w:p w14:paraId="42B16B92" w14:textId="77777777" w:rsidR="00C3701D" w:rsidRDefault="00FD2E46" w:rsidP="003E3828">
      <w:pPr>
        <w:keepNext/>
        <w:tabs>
          <w:tab w:val="left" w:pos="540"/>
        </w:tabs>
        <w:spacing w:before="240" w:after="120" w:line="240" w:lineRule="auto"/>
        <w:outlineLvl w:val="1"/>
        <w:rPr>
          <w:rFonts w:eastAsia="Times New Roman" w:cs="Arial"/>
          <w:b/>
          <w:szCs w:val="24"/>
        </w:rPr>
      </w:pPr>
      <w:r>
        <w:rPr>
          <w:rFonts w:eastAsia="Times New Roman" w:cs="Arial"/>
          <w:b/>
          <w:szCs w:val="24"/>
        </w:rPr>
        <w:lastRenderedPageBreak/>
        <w:t>8</w:t>
      </w:r>
      <w:r w:rsidR="001F28E2">
        <w:rPr>
          <w:rFonts w:eastAsia="Times New Roman" w:cs="Arial"/>
          <w:b/>
          <w:szCs w:val="24"/>
        </w:rPr>
        <w:t>.</w:t>
      </w:r>
      <w:r w:rsidR="001F28E2">
        <w:rPr>
          <w:rFonts w:eastAsia="Times New Roman" w:cs="Arial"/>
          <w:b/>
          <w:szCs w:val="24"/>
        </w:rPr>
        <w:tab/>
      </w:r>
      <w:r w:rsidR="00C3701D">
        <w:rPr>
          <w:rFonts w:eastAsia="Times New Roman" w:cs="Arial"/>
          <w:b/>
          <w:szCs w:val="24"/>
        </w:rPr>
        <w:t>Quality Requirements</w:t>
      </w:r>
    </w:p>
    <w:p w14:paraId="2B788580" w14:textId="77777777" w:rsidR="00633C00" w:rsidRDefault="00C00BD2" w:rsidP="003E3828">
      <w:pPr>
        <w:spacing w:after="0" w:line="240" w:lineRule="auto"/>
        <w:rPr>
          <w:rFonts w:eastAsia="Times New Roman" w:cs="Arial"/>
          <w:szCs w:val="24"/>
        </w:rPr>
      </w:pPr>
      <w:r w:rsidRPr="00C00BD2">
        <w:rPr>
          <w:rFonts w:eastAsia="Times New Roman" w:cs="Arial"/>
          <w:szCs w:val="24"/>
        </w:rPr>
        <w:t xml:space="preserve">Public Health Services must comply with the 1999 Provider Quality Specifications for Public Health Services (PQS) or any update in the service agreement that replaces this document. Where specified in service agreements, services must also comply with Ministry of Health mandated Business Viability Standards (BVS). If there is any conflict between the Provider’s obligations in the PQS and the </w:t>
      </w:r>
      <w:r w:rsidR="0080152E">
        <w:rPr>
          <w:rFonts w:eastAsia="Times New Roman" w:cs="Arial"/>
          <w:szCs w:val="24"/>
        </w:rPr>
        <w:t>BVS</w:t>
      </w:r>
      <w:r w:rsidRPr="00C00BD2">
        <w:rPr>
          <w:rFonts w:eastAsia="Times New Roman" w:cs="Arial"/>
          <w:szCs w:val="24"/>
        </w:rPr>
        <w:t xml:space="preserve">, the obligations on the Provider as described in the </w:t>
      </w:r>
      <w:r w:rsidR="0080152E">
        <w:rPr>
          <w:rFonts w:eastAsia="Times New Roman" w:cs="Arial"/>
          <w:szCs w:val="24"/>
        </w:rPr>
        <w:t>BVS</w:t>
      </w:r>
      <w:r w:rsidRPr="00C00BD2">
        <w:rPr>
          <w:rFonts w:eastAsia="Times New Roman" w:cs="Arial"/>
          <w:szCs w:val="24"/>
        </w:rPr>
        <w:t xml:space="preserve"> will prevail</w:t>
      </w:r>
      <w:r>
        <w:rPr>
          <w:rFonts w:eastAsia="Times New Roman" w:cs="Arial"/>
          <w:szCs w:val="24"/>
        </w:rPr>
        <w:t xml:space="preserve">. </w:t>
      </w:r>
    </w:p>
    <w:p w14:paraId="49A64196" w14:textId="111BBCF8" w:rsidR="00C3701D" w:rsidRDefault="00C3701D" w:rsidP="003E3828">
      <w:pPr>
        <w:spacing w:before="120" w:after="0" w:line="240" w:lineRule="auto"/>
        <w:rPr>
          <w:rFonts w:eastAsia="Times New Roman" w:cs="Arial"/>
          <w:szCs w:val="24"/>
        </w:rPr>
      </w:pPr>
      <w:r>
        <w:rPr>
          <w:rFonts w:eastAsia="Times New Roman" w:cs="Arial"/>
          <w:szCs w:val="24"/>
        </w:rPr>
        <w:t xml:space="preserve">The Service must comply with the Provider Quality Standards specified in the relevant tier three service </w:t>
      </w:r>
      <w:proofErr w:type="gramStart"/>
      <w:r>
        <w:rPr>
          <w:rFonts w:eastAsia="Times New Roman" w:cs="Arial"/>
          <w:szCs w:val="24"/>
        </w:rPr>
        <w:t>specification</w:t>
      </w:r>
      <w:proofErr w:type="gramEnd"/>
      <w:r w:rsidR="00AE2A17">
        <w:rPr>
          <w:rFonts w:eastAsia="Times New Roman" w:cs="Arial"/>
          <w:szCs w:val="24"/>
        </w:rPr>
        <w:t xml:space="preserve"> or individual provider agreement</w:t>
      </w:r>
      <w:r w:rsidR="00A86413">
        <w:rPr>
          <w:rFonts w:eastAsia="Times New Roman" w:cs="Arial"/>
          <w:szCs w:val="24"/>
        </w:rPr>
        <w:t>.</w:t>
      </w:r>
    </w:p>
    <w:p w14:paraId="0A2EF947" w14:textId="77777777" w:rsidR="00793D1B" w:rsidRDefault="00C3701D" w:rsidP="003E3828">
      <w:pPr>
        <w:spacing w:before="120" w:after="0" w:line="240" w:lineRule="auto"/>
        <w:rPr>
          <w:sz w:val="28"/>
        </w:rPr>
      </w:pPr>
      <w:r>
        <w:rPr>
          <w:rFonts w:ascii="Arial Mäori" w:hAnsi="Arial Mäori"/>
          <w:szCs w:val="20"/>
        </w:rPr>
        <w:t>Active clinical governance and clinical leadership at both national and operational service delivery levels is essential to ensure appropriate accountability for screening</w:t>
      </w:r>
      <w:r>
        <w:rPr>
          <w:rFonts w:ascii="Arial Mäori" w:hAnsi="Arial Mäori"/>
          <w:sz w:val="22"/>
          <w:szCs w:val="20"/>
        </w:rPr>
        <w:t>.</w:t>
      </w:r>
    </w:p>
    <w:p w14:paraId="471DCDD8" w14:textId="702D3E2C" w:rsidR="00C3701D" w:rsidRPr="008B488F" w:rsidRDefault="00FD2E46" w:rsidP="003E3828">
      <w:pPr>
        <w:keepNext/>
        <w:tabs>
          <w:tab w:val="left" w:pos="540"/>
        </w:tabs>
        <w:spacing w:before="240" w:after="120" w:line="240" w:lineRule="auto"/>
        <w:ind w:left="540" w:hanging="540"/>
        <w:outlineLvl w:val="1"/>
        <w:rPr>
          <w:rFonts w:eastAsia="Times New Roman" w:cs="Arial"/>
          <w:b/>
          <w:szCs w:val="24"/>
        </w:rPr>
      </w:pPr>
      <w:r w:rsidRPr="008B488F">
        <w:rPr>
          <w:rFonts w:eastAsia="Times New Roman" w:cs="Arial"/>
          <w:b/>
          <w:szCs w:val="24"/>
        </w:rPr>
        <w:t>9</w:t>
      </w:r>
      <w:r w:rsidR="00C3701D" w:rsidRPr="008B488F">
        <w:rPr>
          <w:rFonts w:eastAsia="Times New Roman" w:cs="Arial"/>
          <w:b/>
          <w:szCs w:val="24"/>
        </w:rPr>
        <w:t>.</w:t>
      </w:r>
      <w:r w:rsidR="00C3701D" w:rsidRPr="008B488F">
        <w:rPr>
          <w:rFonts w:eastAsia="Times New Roman" w:cs="Arial"/>
          <w:b/>
          <w:szCs w:val="24"/>
        </w:rPr>
        <w:tab/>
        <w:t>Purchase Unit</w:t>
      </w:r>
      <w:r w:rsidR="00224D19">
        <w:rPr>
          <w:rFonts w:eastAsia="Times New Roman" w:cs="Arial"/>
          <w:b/>
          <w:szCs w:val="24"/>
        </w:rPr>
        <w:t xml:space="preserve"> Codes</w:t>
      </w:r>
      <w:r w:rsidR="00C3701D" w:rsidRPr="008B488F">
        <w:rPr>
          <w:rFonts w:eastAsia="Times New Roman" w:cs="Arial"/>
          <w:b/>
          <w:szCs w:val="24"/>
        </w:rPr>
        <w:t xml:space="preserve"> and Reporting Requirements</w:t>
      </w:r>
    </w:p>
    <w:p w14:paraId="5D6EA205" w14:textId="12B71426" w:rsidR="002E2375" w:rsidRDefault="00A2167E" w:rsidP="003E3828">
      <w:pPr>
        <w:numPr>
          <w:ilvl w:val="12"/>
          <w:numId w:val="0"/>
        </w:numPr>
        <w:spacing w:before="120" w:after="120" w:line="240" w:lineRule="auto"/>
        <w:rPr>
          <w:rFonts w:eastAsia="Times New Roman" w:cs="Arial"/>
          <w:szCs w:val="24"/>
          <w:lang w:val="en-AU"/>
        </w:rPr>
      </w:pPr>
      <w:r w:rsidRPr="002E2375">
        <w:rPr>
          <w:rFonts w:eastAsia="Times New Roman" w:cs="Arial"/>
          <w:b/>
          <w:szCs w:val="24"/>
          <w:lang w:val="en-AU"/>
        </w:rPr>
        <w:t>9.1</w:t>
      </w:r>
      <w:r w:rsidR="0080152E">
        <w:rPr>
          <w:rFonts w:eastAsia="Times New Roman" w:cs="Arial"/>
          <w:b/>
          <w:szCs w:val="24"/>
          <w:lang w:val="en-AU"/>
        </w:rPr>
        <w:tab/>
      </w:r>
      <w:r w:rsidR="002E2375" w:rsidRPr="002E2375">
        <w:rPr>
          <w:rFonts w:eastAsia="Times New Roman" w:cs="Arial"/>
          <w:b/>
          <w:szCs w:val="24"/>
          <w:lang w:val="en-AU"/>
        </w:rPr>
        <w:t>Purchase Unit</w:t>
      </w:r>
      <w:r w:rsidR="00224D19">
        <w:rPr>
          <w:rFonts w:eastAsia="Times New Roman" w:cs="Arial"/>
          <w:b/>
          <w:szCs w:val="24"/>
          <w:lang w:val="en-AU"/>
        </w:rPr>
        <w:t xml:space="preserve"> Codes</w:t>
      </w:r>
    </w:p>
    <w:p w14:paraId="784A8FC0" w14:textId="10F6F0CD" w:rsidR="00D26F96" w:rsidRDefault="00224D19" w:rsidP="003E3828">
      <w:pPr>
        <w:numPr>
          <w:ilvl w:val="12"/>
          <w:numId w:val="0"/>
        </w:numPr>
        <w:spacing w:before="120" w:after="120" w:line="240" w:lineRule="auto"/>
        <w:rPr>
          <w:rFonts w:eastAsia="Times New Roman" w:cs="Arial"/>
          <w:szCs w:val="24"/>
          <w:lang w:val="en-AU"/>
        </w:rPr>
      </w:pPr>
      <w:r>
        <w:rPr>
          <w:rFonts w:eastAsia="Times New Roman" w:cs="Arial"/>
          <w:szCs w:val="24"/>
          <w:lang w:val="en-AU"/>
        </w:rPr>
        <w:t xml:space="preserve">The Public Health </w:t>
      </w:r>
      <w:r w:rsidR="00AB743E">
        <w:rPr>
          <w:rFonts w:eastAsia="Times New Roman" w:cs="Arial"/>
          <w:szCs w:val="24"/>
          <w:lang w:val="en-AU"/>
        </w:rPr>
        <w:t>P</w:t>
      </w:r>
      <w:r w:rsidR="0080152E">
        <w:rPr>
          <w:rFonts w:eastAsia="Times New Roman" w:cs="Arial"/>
          <w:szCs w:val="24"/>
          <w:lang w:val="en-AU"/>
        </w:rPr>
        <w:t xml:space="preserve">urchase </w:t>
      </w:r>
      <w:r w:rsidR="00AB743E">
        <w:rPr>
          <w:rFonts w:eastAsia="Times New Roman" w:cs="Arial"/>
          <w:szCs w:val="24"/>
          <w:lang w:val="en-AU"/>
        </w:rPr>
        <w:t>U</w:t>
      </w:r>
      <w:r w:rsidR="00D26F96">
        <w:rPr>
          <w:rFonts w:eastAsia="Times New Roman" w:cs="Arial"/>
          <w:szCs w:val="24"/>
          <w:lang w:val="en-AU"/>
        </w:rPr>
        <w:t>nit</w:t>
      </w:r>
      <w:r w:rsidR="003E3828">
        <w:rPr>
          <w:rFonts w:eastAsia="Times New Roman" w:cs="Arial"/>
          <w:szCs w:val="24"/>
          <w:lang w:val="en-AU"/>
        </w:rPr>
        <w:t>s</w:t>
      </w:r>
      <w:r>
        <w:rPr>
          <w:rFonts w:eastAsia="Times New Roman" w:cs="Arial"/>
          <w:szCs w:val="24"/>
          <w:lang w:val="en-AU"/>
        </w:rPr>
        <w:t xml:space="preserve"> </w:t>
      </w:r>
      <w:r w:rsidR="001B24DE">
        <w:rPr>
          <w:rFonts w:eastAsia="Times New Roman" w:cs="Arial"/>
          <w:szCs w:val="24"/>
          <w:lang w:val="en-AU"/>
        </w:rPr>
        <w:t>(PUs)</w:t>
      </w:r>
      <w:r w:rsidR="00D26F96">
        <w:rPr>
          <w:rFonts w:eastAsia="Times New Roman" w:cs="Arial"/>
          <w:szCs w:val="24"/>
          <w:lang w:val="en-AU"/>
        </w:rPr>
        <w:t xml:space="preserve"> are defined in the DHB and Ministry’s Nationwide Service Framework Purchase Unit Data Dictionary</w:t>
      </w:r>
      <w:r w:rsidR="00AB743E">
        <w:rPr>
          <w:rStyle w:val="FootnoteReference"/>
          <w:rFonts w:eastAsia="Times New Roman" w:cs="Arial"/>
          <w:szCs w:val="24"/>
          <w:lang w:val="en-AU"/>
        </w:rPr>
        <w:footnoteReference w:id="4"/>
      </w:r>
      <w:r w:rsidR="00D26F96">
        <w:rPr>
          <w:rFonts w:eastAsia="Times New Roman" w:cs="Arial"/>
          <w:szCs w:val="24"/>
          <w:lang w:val="en-AU"/>
        </w:rPr>
        <w:t>.</w:t>
      </w:r>
    </w:p>
    <w:p w14:paraId="5F79B534" w14:textId="7DEBAB15" w:rsidR="00954B9B" w:rsidRPr="00D26F96" w:rsidRDefault="001B24DE" w:rsidP="003E3828">
      <w:pPr>
        <w:numPr>
          <w:ilvl w:val="12"/>
          <w:numId w:val="0"/>
        </w:numPr>
        <w:spacing w:before="120" w:after="120" w:line="240" w:lineRule="auto"/>
        <w:rPr>
          <w:rFonts w:eastAsia="Times New Roman" w:cs="Arial"/>
          <w:szCs w:val="24"/>
          <w:lang w:val="en-AU"/>
        </w:rPr>
      </w:pPr>
      <w:r>
        <w:rPr>
          <w:rFonts w:eastAsia="Times New Roman" w:cs="Arial"/>
          <w:szCs w:val="24"/>
          <w:lang w:val="en-AU"/>
        </w:rPr>
        <w:t>The following PU</w:t>
      </w:r>
      <w:r w:rsidR="00416323">
        <w:rPr>
          <w:rFonts w:eastAsia="Times New Roman" w:cs="Arial"/>
          <w:szCs w:val="24"/>
          <w:lang w:val="en-AU"/>
        </w:rPr>
        <w:t>s</w:t>
      </w:r>
      <w:r>
        <w:rPr>
          <w:rFonts w:eastAsia="Times New Roman" w:cs="Arial"/>
          <w:szCs w:val="24"/>
          <w:lang w:val="en-AU"/>
        </w:rPr>
        <w:t xml:space="preserve"> </w:t>
      </w:r>
      <w:proofErr w:type="gramStart"/>
      <w:r w:rsidR="00416323">
        <w:rPr>
          <w:rFonts w:eastAsia="Times New Roman" w:cs="Arial"/>
          <w:szCs w:val="24"/>
          <w:lang w:val="en-AU"/>
        </w:rPr>
        <w:t>apply</w:t>
      </w:r>
      <w:proofErr w:type="gramEnd"/>
      <w:r w:rsidR="00416323">
        <w:rPr>
          <w:rFonts w:eastAsia="Times New Roman" w:cs="Arial"/>
          <w:szCs w:val="24"/>
          <w:lang w:val="en-AU"/>
        </w:rPr>
        <w:t xml:space="preserve"> </w:t>
      </w:r>
      <w:r>
        <w:rPr>
          <w:rFonts w:eastAsia="Times New Roman" w:cs="Arial"/>
          <w:szCs w:val="24"/>
          <w:lang w:val="en-AU"/>
        </w:rPr>
        <w:t>to the</w:t>
      </w:r>
      <w:r w:rsidR="00D26F96">
        <w:rPr>
          <w:rFonts w:eastAsia="Times New Roman" w:cs="Arial"/>
          <w:szCs w:val="24"/>
          <w:lang w:val="en-AU"/>
        </w:rPr>
        <w:t xml:space="preserve"> </w:t>
      </w:r>
      <w:r w:rsidR="00416323">
        <w:rPr>
          <w:rFonts w:eastAsia="Times New Roman" w:cs="Arial"/>
          <w:szCs w:val="24"/>
          <w:lang w:val="en-AU"/>
        </w:rPr>
        <w:t xml:space="preserve">NSU programmes and the </w:t>
      </w:r>
      <w:r w:rsidR="009B5A29">
        <w:rPr>
          <w:rFonts w:eastAsia="Times New Roman" w:cs="Arial"/>
          <w:szCs w:val="24"/>
          <w:lang w:val="en-AU"/>
        </w:rPr>
        <w:t>Violence Intervention Programme (</w:t>
      </w:r>
      <w:r w:rsidR="00BB5F34">
        <w:rPr>
          <w:rFonts w:eastAsia="Times New Roman" w:cs="Arial"/>
          <w:szCs w:val="24"/>
          <w:lang w:val="en-AU"/>
        </w:rPr>
        <w:t>VIP</w:t>
      </w:r>
      <w:r w:rsidR="009B5A29">
        <w:rPr>
          <w:rFonts w:eastAsia="Times New Roman" w:cs="Arial"/>
          <w:szCs w:val="24"/>
          <w:lang w:val="en-AU"/>
        </w:rPr>
        <w:t>)</w:t>
      </w:r>
      <w:r w:rsidR="00D26F96">
        <w:rPr>
          <w:rFonts w:eastAsia="Times New Roman" w:cs="Arial"/>
          <w:szCs w:val="24"/>
          <w:lang w:val="en-AU"/>
        </w:rPr>
        <w:t xml:space="preserve">.  For </w:t>
      </w:r>
      <w:r>
        <w:rPr>
          <w:rFonts w:eastAsia="Times New Roman" w:cs="Arial"/>
          <w:szCs w:val="24"/>
          <w:lang w:val="en-AU"/>
        </w:rPr>
        <w:t>PU</w:t>
      </w:r>
      <w:r w:rsidR="00D26F96">
        <w:rPr>
          <w:rFonts w:eastAsia="Times New Roman" w:cs="Arial"/>
          <w:szCs w:val="24"/>
          <w:lang w:val="en-AU"/>
        </w:rPr>
        <w:t xml:space="preserve"> details for all other services purchased under this specification, refer to the relevant tier </w:t>
      </w:r>
      <w:r w:rsidR="0080152E">
        <w:rPr>
          <w:rFonts w:eastAsia="Times New Roman" w:cs="Arial"/>
          <w:szCs w:val="24"/>
          <w:lang w:val="en-AU"/>
        </w:rPr>
        <w:t>three</w:t>
      </w:r>
      <w:r w:rsidR="00D26F96">
        <w:rPr>
          <w:rFonts w:eastAsia="Times New Roman" w:cs="Arial"/>
          <w:szCs w:val="24"/>
          <w:lang w:val="en-AU"/>
        </w:rPr>
        <w:t xml:space="preserve"> service specification</w:t>
      </w:r>
      <w:r w:rsidR="003C2DDB">
        <w:rPr>
          <w:rFonts w:eastAsia="Times New Roman" w:cs="Arial"/>
          <w:szCs w:val="24"/>
          <w:lang w:val="en-AU"/>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5473"/>
      </w:tblGrid>
      <w:tr w:rsidR="00416323" w:rsidRPr="00416323" w14:paraId="3E5D7C48" w14:textId="77777777" w:rsidTr="003C2DDB">
        <w:tc>
          <w:tcPr>
            <w:tcW w:w="2438" w:type="pct"/>
            <w:tcBorders>
              <w:top w:val="single" w:sz="4" w:space="0" w:color="auto"/>
              <w:left w:val="single" w:sz="4" w:space="0" w:color="auto"/>
              <w:bottom w:val="single" w:sz="4" w:space="0" w:color="auto"/>
              <w:right w:val="single" w:sz="4" w:space="0" w:color="auto"/>
            </w:tcBorders>
            <w:shd w:val="clear" w:color="auto" w:fill="E0E0E0"/>
            <w:hideMark/>
          </w:tcPr>
          <w:p w14:paraId="23198F3A" w14:textId="77777777" w:rsidR="00416323" w:rsidRPr="00416323" w:rsidRDefault="00416323" w:rsidP="003E3828">
            <w:pPr>
              <w:spacing w:line="240" w:lineRule="auto"/>
              <w:rPr>
                <w:rFonts w:cs="Arial"/>
                <w:b/>
                <w:sz w:val="20"/>
                <w:szCs w:val="20"/>
              </w:rPr>
            </w:pPr>
            <w:r w:rsidRPr="00416323">
              <w:rPr>
                <w:rFonts w:cs="Arial"/>
                <w:b/>
                <w:sz w:val="20"/>
                <w:szCs w:val="20"/>
              </w:rPr>
              <w:t>Title</w:t>
            </w:r>
          </w:p>
        </w:tc>
        <w:tc>
          <w:tcPr>
            <w:tcW w:w="2562" w:type="pct"/>
            <w:tcBorders>
              <w:top w:val="single" w:sz="4" w:space="0" w:color="auto"/>
              <w:left w:val="single" w:sz="4" w:space="0" w:color="auto"/>
              <w:bottom w:val="single" w:sz="4" w:space="0" w:color="auto"/>
              <w:right w:val="single" w:sz="4" w:space="0" w:color="auto"/>
            </w:tcBorders>
            <w:shd w:val="clear" w:color="auto" w:fill="E0E0E0"/>
            <w:hideMark/>
          </w:tcPr>
          <w:p w14:paraId="26985E11" w14:textId="77777777" w:rsidR="00416323" w:rsidRPr="00416323" w:rsidRDefault="00416323" w:rsidP="003E3828">
            <w:pPr>
              <w:spacing w:line="240" w:lineRule="auto"/>
              <w:rPr>
                <w:rFonts w:cs="Arial"/>
                <w:b/>
                <w:sz w:val="20"/>
                <w:szCs w:val="20"/>
              </w:rPr>
            </w:pPr>
            <w:r w:rsidRPr="00416323">
              <w:rPr>
                <w:rFonts w:cs="Arial"/>
                <w:b/>
                <w:sz w:val="20"/>
                <w:szCs w:val="20"/>
              </w:rPr>
              <w:t>PU Code</w:t>
            </w:r>
          </w:p>
        </w:tc>
      </w:tr>
      <w:tr w:rsidR="00416323" w:rsidRPr="00416323" w14:paraId="185427FC" w14:textId="77777777" w:rsidTr="003C2DDB">
        <w:tc>
          <w:tcPr>
            <w:tcW w:w="2438" w:type="pct"/>
            <w:tcBorders>
              <w:top w:val="single" w:sz="4" w:space="0" w:color="auto"/>
              <w:left w:val="single" w:sz="4" w:space="0" w:color="auto"/>
              <w:bottom w:val="single" w:sz="4" w:space="0" w:color="auto"/>
              <w:right w:val="single" w:sz="4" w:space="0" w:color="auto"/>
            </w:tcBorders>
            <w:hideMark/>
          </w:tcPr>
          <w:p w14:paraId="20988EA0" w14:textId="77777777" w:rsidR="00416323" w:rsidRPr="00416323" w:rsidRDefault="00416323" w:rsidP="003E3828">
            <w:pPr>
              <w:spacing w:line="240" w:lineRule="auto"/>
              <w:rPr>
                <w:rFonts w:cs="Arial"/>
                <w:sz w:val="20"/>
                <w:szCs w:val="20"/>
              </w:rPr>
            </w:pPr>
            <w:proofErr w:type="spellStart"/>
            <w:r w:rsidRPr="00416323">
              <w:rPr>
                <w:rFonts w:cs="Arial"/>
                <w:sz w:val="20"/>
                <w:szCs w:val="20"/>
              </w:rPr>
              <w:t>Breastscreen</w:t>
            </w:r>
            <w:proofErr w:type="spellEnd"/>
            <w:r w:rsidRPr="00416323">
              <w:rPr>
                <w:rFonts w:cs="Arial"/>
                <w:sz w:val="20"/>
                <w:szCs w:val="20"/>
              </w:rPr>
              <w:t xml:space="preserve"> </w:t>
            </w:r>
            <w:proofErr w:type="spellStart"/>
            <w:r w:rsidRPr="00416323">
              <w:rPr>
                <w:rFonts w:cs="Arial"/>
                <w:sz w:val="20"/>
                <w:szCs w:val="20"/>
              </w:rPr>
              <w:t>Aotearoa</w:t>
            </w:r>
            <w:proofErr w:type="spellEnd"/>
          </w:p>
        </w:tc>
        <w:tc>
          <w:tcPr>
            <w:tcW w:w="2562" w:type="pct"/>
            <w:tcBorders>
              <w:top w:val="single" w:sz="4" w:space="0" w:color="auto"/>
              <w:left w:val="single" w:sz="4" w:space="0" w:color="auto"/>
              <w:bottom w:val="single" w:sz="4" w:space="0" w:color="auto"/>
              <w:right w:val="single" w:sz="4" w:space="0" w:color="auto"/>
            </w:tcBorders>
            <w:hideMark/>
          </w:tcPr>
          <w:p w14:paraId="17A46219" w14:textId="77777777" w:rsidR="00416323" w:rsidRPr="00416323" w:rsidRDefault="00416323" w:rsidP="003E3828">
            <w:pPr>
              <w:spacing w:line="240" w:lineRule="auto"/>
              <w:rPr>
                <w:rFonts w:cs="Arial"/>
                <w:sz w:val="20"/>
                <w:szCs w:val="20"/>
              </w:rPr>
            </w:pPr>
            <w:r w:rsidRPr="00416323">
              <w:rPr>
                <w:sz w:val="20"/>
                <w:szCs w:val="20"/>
              </w:rPr>
              <w:t>BSA-51, BSA-52, BSA-53, BSA-61, BSA-62, BSA-63, BSA-64, BSA-66, BSA-67, BSAPROJ</w:t>
            </w:r>
          </w:p>
        </w:tc>
      </w:tr>
      <w:tr w:rsidR="00416323" w:rsidRPr="00416323" w14:paraId="3E98DCAE" w14:textId="77777777" w:rsidTr="003C2DDB">
        <w:tc>
          <w:tcPr>
            <w:tcW w:w="2438" w:type="pct"/>
            <w:tcBorders>
              <w:top w:val="single" w:sz="4" w:space="0" w:color="auto"/>
              <w:left w:val="single" w:sz="4" w:space="0" w:color="auto"/>
              <w:bottom w:val="single" w:sz="4" w:space="0" w:color="auto"/>
              <w:right w:val="single" w:sz="4" w:space="0" w:color="auto"/>
            </w:tcBorders>
            <w:hideMark/>
          </w:tcPr>
          <w:p w14:paraId="6F8EAC49" w14:textId="77777777" w:rsidR="00416323" w:rsidRPr="00416323" w:rsidRDefault="00416323" w:rsidP="003E3828">
            <w:pPr>
              <w:spacing w:line="240" w:lineRule="auto"/>
              <w:rPr>
                <w:rFonts w:cs="Arial"/>
                <w:sz w:val="20"/>
                <w:szCs w:val="20"/>
              </w:rPr>
            </w:pPr>
            <w:r w:rsidRPr="00416323">
              <w:rPr>
                <w:rFonts w:cs="Arial"/>
                <w:sz w:val="20"/>
                <w:szCs w:val="20"/>
              </w:rPr>
              <w:t>National Cervical Screening Programme</w:t>
            </w:r>
          </w:p>
        </w:tc>
        <w:tc>
          <w:tcPr>
            <w:tcW w:w="2562" w:type="pct"/>
            <w:tcBorders>
              <w:top w:val="single" w:sz="4" w:space="0" w:color="auto"/>
              <w:left w:val="single" w:sz="4" w:space="0" w:color="auto"/>
              <w:bottom w:val="single" w:sz="4" w:space="0" w:color="auto"/>
              <w:right w:val="single" w:sz="4" w:space="0" w:color="auto"/>
            </w:tcBorders>
            <w:hideMark/>
          </w:tcPr>
          <w:p w14:paraId="4F746022" w14:textId="77777777" w:rsidR="00416323" w:rsidRPr="00416323" w:rsidRDefault="00416323" w:rsidP="003E3828">
            <w:pPr>
              <w:spacing w:line="240" w:lineRule="auto"/>
              <w:rPr>
                <w:rFonts w:cs="Arial"/>
                <w:sz w:val="20"/>
                <w:szCs w:val="20"/>
              </w:rPr>
            </w:pPr>
            <w:r w:rsidRPr="00416323">
              <w:rPr>
                <w:sz w:val="20"/>
                <w:szCs w:val="20"/>
              </w:rPr>
              <w:t>NCSP0070, NCSP-10, NCSP-20, NCSP 31, NCSP-41, NCSP-44, NCSP-46, NCSP-47, NCSP-62, NCSPPROJ</w:t>
            </w:r>
            <w:r w:rsidRPr="00416323">
              <w:rPr>
                <w:rFonts w:cs="Arial"/>
                <w:sz w:val="20"/>
                <w:szCs w:val="20"/>
              </w:rPr>
              <w:t xml:space="preserve"> </w:t>
            </w:r>
          </w:p>
        </w:tc>
      </w:tr>
      <w:tr w:rsidR="00416323" w:rsidRPr="00416323" w14:paraId="4B7E7AF2" w14:textId="77777777" w:rsidTr="003C2DDB">
        <w:tc>
          <w:tcPr>
            <w:tcW w:w="2438" w:type="pct"/>
            <w:tcBorders>
              <w:top w:val="single" w:sz="4" w:space="0" w:color="auto"/>
              <w:left w:val="single" w:sz="4" w:space="0" w:color="auto"/>
              <w:bottom w:val="single" w:sz="4" w:space="0" w:color="auto"/>
              <w:right w:val="single" w:sz="4" w:space="0" w:color="auto"/>
            </w:tcBorders>
            <w:hideMark/>
          </w:tcPr>
          <w:p w14:paraId="0956E15F" w14:textId="77777777" w:rsidR="00416323" w:rsidRPr="00416323" w:rsidRDefault="00416323" w:rsidP="003E3828">
            <w:pPr>
              <w:spacing w:line="240" w:lineRule="auto"/>
              <w:rPr>
                <w:rFonts w:cs="Arial"/>
                <w:sz w:val="20"/>
                <w:szCs w:val="20"/>
              </w:rPr>
            </w:pPr>
            <w:proofErr w:type="spellStart"/>
            <w:r w:rsidRPr="00416323">
              <w:rPr>
                <w:rFonts w:cs="Arial"/>
                <w:sz w:val="20"/>
                <w:szCs w:val="20"/>
              </w:rPr>
              <w:t>Newborn</w:t>
            </w:r>
            <w:proofErr w:type="spellEnd"/>
            <w:r w:rsidRPr="00416323">
              <w:rPr>
                <w:rFonts w:cs="Arial"/>
                <w:sz w:val="20"/>
                <w:szCs w:val="20"/>
              </w:rPr>
              <w:t xml:space="preserve"> Metabolic Screening Programme</w:t>
            </w:r>
          </w:p>
        </w:tc>
        <w:tc>
          <w:tcPr>
            <w:tcW w:w="2562" w:type="pct"/>
            <w:tcBorders>
              <w:top w:val="single" w:sz="4" w:space="0" w:color="auto"/>
              <w:left w:val="single" w:sz="4" w:space="0" w:color="auto"/>
              <w:bottom w:val="single" w:sz="4" w:space="0" w:color="auto"/>
              <w:right w:val="single" w:sz="4" w:space="0" w:color="auto"/>
            </w:tcBorders>
            <w:hideMark/>
          </w:tcPr>
          <w:p w14:paraId="6510AB0A" w14:textId="77777777" w:rsidR="00416323" w:rsidRPr="00416323" w:rsidRDefault="00416323" w:rsidP="003E3828">
            <w:pPr>
              <w:spacing w:line="240" w:lineRule="auto"/>
              <w:rPr>
                <w:rFonts w:cs="Arial"/>
                <w:sz w:val="20"/>
                <w:szCs w:val="20"/>
              </w:rPr>
            </w:pPr>
            <w:r w:rsidRPr="00416323">
              <w:rPr>
                <w:sz w:val="20"/>
                <w:szCs w:val="20"/>
              </w:rPr>
              <w:t>NMSP-1, NMSP-2, NMSP-3, NMSP-4, NMSP-5, NMSP-6, NMSPPROJ</w:t>
            </w:r>
          </w:p>
        </w:tc>
      </w:tr>
      <w:tr w:rsidR="00416323" w:rsidRPr="00416323" w14:paraId="025574A9" w14:textId="77777777" w:rsidTr="003C2DDB">
        <w:tc>
          <w:tcPr>
            <w:tcW w:w="2438" w:type="pct"/>
            <w:tcBorders>
              <w:top w:val="single" w:sz="4" w:space="0" w:color="auto"/>
              <w:left w:val="single" w:sz="4" w:space="0" w:color="auto"/>
              <w:bottom w:val="single" w:sz="4" w:space="0" w:color="auto"/>
              <w:right w:val="single" w:sz="4" w:space="0" w:color="auto"/>
            </w:tcBorders>
            <w:hideMark/>
          </w:tcPr>
          <w:p w14:paraId="4E3F675C" w14:textId="77777777" w:rsidR="00416323" w:rsidRPr="00416323" w:rsidRDefault="00416323" w:rsidP="003E3828">
            <w:pPr>
              <w:spacing w:line="240" w:lineRule="auto"/>
              <w:rPr>
                <w:rFonts w:cs="Arial"/>
                <w:sz w:val="20"/>
                <w:szCs w:val="20"/>
              </w:rPr>
            </w:pPr>
            <w:r w:rsidRPr="00416323">
              <w:rPr>
                <w:rFonts w:cs="Arial"/>
                <w:sz w:val="20"/>
                <w:szCs w:val="20"/>
              </w:rPr>
              <w:t xml:space="preserve">Universal </w:t>
            </w:r>
            <w:proofErr w:type="spellStart"/>
            <w:r w:rsidRPr="00416323">
              <w:rPr>
                <w:rFonts w:cs="Arial"/>
                <w:sz w:val="20"/>
                <w:szCs w:val="20"/>
              </w:rPr>
              <w:t>Newborn</w:t>
            </w:r>
            <w:proofErr w:type="spellEnd"/>
            <w:r w:rsidRPr="00416323">
              <w:rPr>
                <w:rFonts w:cs="Arial"/>
                <w:sz w:val="20"/>
                <w:szCs w:val="20"/>
              </w:rPr>
              <w:t xml:space="preserve"> Hearing Screening and Early Intervention Programme</w:t>
            </w:r>
          </w:p>
        </w:tc>
        <w:tc>
          <w:tcPr>
            <w:tcW w:w="2562" w:type="pct"/>
            <w:tcBorders>
              <w:top w:val="single" w:sz="4" w:space="0" w:color="auto"/>
              <w:left w:val="single" w:sz="4" w:space="0" w:color="auto"/>
              <w:bottom w:val="single" w:sz="4" w:space="0" w:color="auto"/>
              <w:right w:val="single" w:sz="4" w:space="0" w:color="auto"/>
            </w:tcBorders>
            <w:hideMark/>
          </w:tcPr>
          <w:p w14:paraId="716D1F44" w14:textId="77777777" w:rsidR="00416323" w:rsidRPr="00416323" w:rsidRDefault="00416323" w:rsidP="003E3828">
            <w:pPr>
              <w:spacing w:line="240" w:lineRule="auto"/>
              <w:rPr>
                <w:rFonts w:cs="Arial"/>
                <w:sz w:val="20"/>
                <w:szCs w:val="20"/>
              </w:rPr>
            </w:pPr>
            <w:r w:rsidRPr="00416323">
              <w:rPr>
                <w:rFonts w:cs="Arial"/>
                <w:sz w:val="20"/>
                <w:szCs w:val="20"/>
              </w:rPr>
              <w:t>UNHS-40, UNHS-42, UNHSPROJ</w:t>
            </w:r>
          </w:p>
        </w:tc>
      </w:tr>
      <w:tr w:rsidR="00416323" w:rsidRPr="00416323" w14:paraId="25CCB0F7" w14:textId="77777777" w:rsidTr="003C2DDB">
        <w:tc>
          <w:tcPr>
            <w:tcW w:w="2438" w:type="pct"/>
            <w:tcBorders>
              <w:top w:val="single" w:sz="4" w:space="0" w:color="auto"/>
              <w:left w:val="single" w:sz="4" w:space="0" w:color="auto"/>
              <w:bottom w:val="single" w:sz="4" w:space="0" w:color="auto"/>
              <w:right w:val="single" w:sz="4" w:space="0" w:color="auto"/>
            </w:tcBorders>
          </w:tcPr>
          <w:p w14:paraId="24AB86DB" w14:textId="1E161E9F" w:rsidR="00416323" w:rsidRPr="00416323" w:rsidRDefault="009B5A29" w:rsidP="003E3828">
            <w:pPr>
              <w:spacing w:line="240" w:lineRule="auto"/>
              <w:rPr>
                <w:rFonts w:cs="Arial"/>
                <w:sz w:val="20"/>
                <w:szCs w:val="20"/>
              </w:rPr>
            </w:pPr>
            <w:r w:rsidRPr="009B5A29">
              <w:rPr>
                <w:rFonts w:cs="Arial"/>
                <w:sz w:val="20"/>
                <w:szCs w:val="20"/>
              </w:rPr>
              <w:t>Violence Intervention Programme (VIP)</w:t>
            </w:r>
          </w:p>
        </w:tc>
        <w:tc>
          <w:tcPr>
            <w:tcW w:w="2562" w:type="pct"/>
            <w:tcBorders>
              <w:top w:val="single" w:sz="4" w:space="0" w:color="auto"/>
              <w:left w:val="single" w:sz="4" w:space="0" w:color="auto"/>
              <w:bottom w:val="single" w:sz="4" w:space="0" w:color="auto"/>
              <w:right w:val="single" w:sz="4" w:space="0" w:color="auto"/>
            </w:tcBorders>
          </w:tcPr>
          <w:p w14:paraId="63614624" w14:textId="77777777" w:rsidR="00416323" w:rsidRPr="00416323" w:rsidRDefault="00416323" w:rsidP="003E3828">
            <w:pPr>
              <w:spacing w:line="240" w:lineRule="auto"/>
              <w:rPr>
                <w:rFonts w:cs="Arial"/>
                <w:sz w:val="20"/>
                <w:szCs w:val="20"/>
              </w:rPr>
            </w:pPr>
            <w:r w:rsidRPr="00416323">
              <w:rPr>
                <w:rFonts w:cs="Arial"/>
                <w:sz w:val="20"/>
                <w:szCs w:val="20"/>
              </w:rPr>
              <w:t>COOC0070</w:t>
            </w:r>
          </w:p>
        </w:tc>
      </w:tr>
    </w:tbl>
    <w:p w14:paraId="56CD75A1" w14:textId="77777777" w:rsidR="00E52ED1" w:rsidRPr="008B488F" w:rsidRDefault="00E52ED1" w:rsidP="003E3828">
      <w:pPr>
        <w:keepNext/>
        <w:tabs>
          <w:tab w:val="left" w:pos="540"/>
        </w:tabs>
        <w:spacing w:before="120" w:after="120" w:line="240" w:lineRule="auto"/>
        <w:ind w:left="540" w:hanging="540"/>
        <w:outlineLvl w:val="1"/>
        <w:rPr>
          <w:rFonts w:eastAsia="Times New Roman" w:cs="Arial"/>
          <w:b/>
          <w:szCs w:val="24"/>
        </w:rPr>
      </w:pPr>
      <w:r w:rsidRPr="008B488F">
        <w:rPr>
          <w:rFonts w:eastAsia="Times New Roman" w:cs="Arial"/>
          <w:b/>
          <w:szCs w:val="24"/>
        </w:rPr>
        <w:t>9.</w:t>
      </w:r>
      <w:r w:rsidR="00A2167E">
        <w:rPr>
          <w:rFonts w:eastAsia="Times New Roman" w:cs="Arial"/>
          <w:b/>
          <w:szCs w:val="24"/>
        </w:rPr>
        <w:t>2</w:t>
      </w:r>
      <w:r w:rsidRPr="008B488F">
        <w:rPr>
          <w:rFonts w:eastAsia="Times New Roman" w:cs="Arial"/>
          <w:b/>
          <w:szCs w:val="24"/>
        </w:rPr>
        <w:tab/>
      </w:r>
      <w:r>
        <w:rPr>
          <w:rFonts w:eastAsia="Times New Roman" w:cs="Arial"/>
          <w:b/>
          <w:szCs w:val="24"/>
        </w:rPr>
        <w:t xml:space="preserve">Other </w:t>
      </w:r>
      <w:r w:rsidRPr="008B488F">
        <w:rPr>
          <w:rFonts w:eastAsia="Times New Roman" w:cs="Arial"/>
          <w:b/>
          <w:szCs w:val="24"/>
        </w:rPr>
        <w:t>Reporting Requirements</w:t>
      </w:r>
    </w:p>
    <w:p w14:paraId="23267B41" w14:textId="51A16CCA" w:rsidR="00D26F96" w:rsidRDefault="00D26F96" w:rsidP="003E3828">
      <w:pPr>
        <w:spacing w:after="120" w:line="240" w:lineRule="auto"/>
        <w:rPr>
          <w:rFonts w:eastAsia="Times New Roman" w:cs="Arial"/>
          <w:snapToGrid w:val="0"/>
          <w:szCs w:val="24"/>
        </w:rPr>
      </w:pPr>
      <w:r w:rsidRPr="008B488F">
        <w:rPr>
          <w:rFonts w:eastAsia="Times New Roman" w:cs="Arial"/>
          <w:snapToGrid w:val="0"/>
          <w:szCs w:val="24"/>
        </w:rPr>
        <w:t xml:space="preserve">All reporting requirements are detailed in the individual provider </w:t>
      </w:r>
      <w:r w:rsidR="00416323">
        <w:rPr>
          <w:rFonts w:eastAsia="Times New Roman" w:cs="Arial"/>
          <w:snapToGrid w:val="0"/>
          <w:szCs w:val="24"/>
        </w:rPr>
        <w:t>agreements</w:t>
      </w:r>
      <w:r w:rsidRPr="008B488F">
        <w:rPr>
          <w:rFonts w:eastAsia="Times New Roman" w:cs="Arial"/>
          <w:snapToGrid w:val="0"/>
          <w:szCs w:val="24"/>
        </w:rPr>
        <w:t>.</w:t>
      </w:r>
    </w:p>
    <w:p w14:paraId="16533752" w14:textId="75A8F73B" w:rsidR="00D26F96" w:rsidRDefault="00D26F96" w:rsidP="003E3828">
      <w:pPr>
        <w:spacing w:line="240" w:lineRule="auto"/>
      </w:pPr>
      <w:r>
        <w:rPr>
          <w:rFonts w:eastAsia="Times New Roman" w:cs="Arial"/>
          <w:snapToGrid w:val="0"/>
          <w:szCs w:val="24"/>
        </w:rPr>
        <w:t>Service providers must comply with the requirements of national data collections w</w:t>
      </w:r>
      <w:r w:rsidR="00E52ED1">
        <w:rPr>
          <w:rFonts w:eastAsia="Times New Roman" w:cs="Arial"/>
          <w:snapToGrid w:val="0"/>
          <w:szCs w:val="24"/>
        </w:rPr>
        <w:t>h</w:t>
      </w:r>
      <w:r>
        <w:rPr>
          <w:rFonts w:eastAsia="Times New Roman" w:cs="Arial"/>
          <w:snapToGrid w:val="0"/>
          <w:szCs w:val="24"/>
        </w:rPr>
        <w:t>ere applicable.</w:t>
      </w:r>
    </w:p>
    <w:sectPr w:rsidR="00D26F96" w:rsidSect="008E7FB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9834E" w14:textId="77777777" w:rsidR="00376423" w:rsidRDefault="00376423">
      <w:pPr>
        <w:spacing w:after="0" w:line="240" w:lineRule="auto"/>
      </w:pPr>
      <w:r>
        <w:separator/>
      </w:r>
    </w:p>
  </w:endnote>
  <w:endnote w:type="continuationSeparator" w:id="0">
    <w:p w14:paraId="467D68E2" w14:textId="77777777" w:rsidR="00376423" w:rsidRDefault="0037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7D90F" w14:textId="77777777" w:rsidR="00FD3850" w:rsidRDefault="00FD3850" w:rsidP="00FD3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F085E" w14:textId="77777777" w:rsidR="00FD3850" w:rsidRDefault="00FD3850" w:rsidP="00FD38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B18CC" w14:textId="77777777" w:rsidR="00FD3850" w:rsidRPr="00B67666" w:rsidRDefault="00FD3850" w:rsidP="00FD3850">
    <w:pPr>
      <w:pStyle w:val="Footer"/>
      <w:framePr w:wrap="around" w:vAnchor="text" w:hAnchor="margin" w:xAlign="right" w:y="1"/>
      <w:rPr>
        <w:rStyle w:val="PageNumber"/>
        <w:sz w:val="20"/>
        <w:szCs w:val="20"/>
      </w:rPr>
    </w:pPr>
    <w:r w:rsidRPr="00B67666">
      <w:rPr>
        <w:rStyle w:val="PageNumber"/>
        <w:sz w:val="20"/>
        <w:szCs w:val="20"/>
      </w:rPr>
      <w:fldChar w:fldCharType="begin"/>
    </w:r>
    <w:r w:rsidRPr="00B67666">
      <w:rPr>
        <w:rStyle w:val="PageNumber"/>
        <w:sz w:val="20"/>
        <w:szCs w:val="20"/>
      </w:rPr>
      <w:instrText xml:space="preserve">PAGE  </w:instrText>
    </w:r>
    <w:r w:rsidRPr="00B67666">
      <w:rPr>
        <w:rStyle w:val="PageNumber"/>
        <w:sz w:val="20"/>
        <w:szCs w:val="20"/>
      </w:rPr>
      <w:fldChar w:fldCharType="separate"/>
    </w:r>
    <w:r w:rsidR="003E3828">
      <w:rPr>
        <w:rStyle w:val="PageNumber"/>
        <w:noProof/>
        <w:sz w:val="20"/>
        <w:szCs w:val="20"/>
      </w:rPr>
      <w:t>11</w:t>
    </w:r>
    <w:r w:rsidRPr="00B67666">
      <w:rPr>
        <w:rStyle w:val="PageNumber"/>
        <w:sz w:val="20"/>
        <w:szCs w:val="20"/>
      </w:rPr>
      <w:fldChar w:fldCharType="end"/>
    </w:r>
  </w:p>
  <w:p w14:paraId="2E932380" w14:textId="0617510B" w:rsidR="00FD3850" w:rsidRPr="00F77AA2" w:rsidRDefault="00FD3850" w:rsidP="00FD3850">
    <w:pPr>
      <w:pStyle w:val="Footer"/>
      <w:pBdr>
        <w:top w:val="single" w:sz="4" w:space="1" w:color="auto"/>
      </w:pBdr>
      <w:ind w:right="360"/>
      <w:rPr>
        <w:rFonts w:cs="Arial"/>
        <w:sz w:val="19"/>
        <w:szCs w:val="19"/>
      </w:rPr>
    </w:pPr>
    <w:r>
      <w:rPr>
        <w:rFonts w:cs="Arial"/>
        <w:sz w:val="19"/>
        <w:szCs w:val="19"/>
      </w:rPr>
      <w:t>Public Health Services – tier two Preventive Interventions s</w:t>
    </w:r>
    <w:r w:rsidRPr="00F77AA2">
      <w:rPr>
        <w:rFonts w:cs="Arial"/>
        <w:sz w:val="19"/>
        <w:szCs w:val="19"/>
      </w:rPr>
      <w:t xml:space="preserve">ervice </w:t>
    </w:r>
    <w:r>
      <w:rPr>
        <w:rFonts w:cs="Arial"/>
        <w:sz w:val="19"/>
        <w:szCs w:val="19"/>
      </w:rPr>
      <w:t>s</w:t>
    </w:r>
    <w:r w:rsidRPr="00F77AA2">
      <w:rPr>
        <w:rFonts w:cs="Arial"/>
        <w:sz w:val="19"/>
        <w:szCs w:val="19"/>
      </w:rPr>
      <w:t>pecificatio</w:t>
    </w:r>
    <w:r>
      <w:rPr>
        <w:rFonts w:cs="Arial"/>
        <w:sz w:val="19"/>
        <w:szCs w:val="19"/>
      </w:rPr>
      <w:t xml:space="preserve">n </w:t>
    </w:r>
    <w:r w:rsidR="00983679">
      <w:rPr>
        <w:rFonts w:cs="Arial"/>
        <w:sz w:val="19"/>
        <w:szCs w:val="19"/>
      </w:rPr>
      <w:t>July</w:t>
    </w:r>
    <w:r w:rsidR="00432030">
      <w:rPr>
        <w:rFonts w:cs="Arial"/>
        <w:sz w:val="19"/>
        <w:szCs w:val="19"/>
      </w:rPr>
      <w:t xml:space="preserve"> 2016</w:t>
    </w:r>
    <w:r>
      <w:rPr>
        <w:rFonts w:cs="Arial"/>
        <w:sz w:val="19"/>
        <w:szCs w:val="19"/>
      </w:rPr>
      <w:t xml:space="preserve"> </w:t>
    </w:r>
  </w:p>
  <w:p w14:paraId="5DC5B3B9" w14:textId="77777777" w:rsidR="00FD3850" w:rsidRPr="00F77AA2" w:rsidRDefault="00FD3850">
    <w:pPr>
      <w:pStyle w:val="Footer"/>
      <w:rPr>
        <w:rFonts w:cs="Arial"/>
        <w:sz w:val="19"/>
        <w:szCs w:val="19"/>
      </w:rPr>
    </w:pPr>
    <w:r w:rsidRPr="00F77AA2">
      <w:rPr>
        <w:rFonts w:cs="Arial"/>
        <w:sz w:val="19"/>
        <w:szCs w:val="19"/>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09FE7" w14:textId="77777777" w:rsidR="00376423" w:rsidRDefault="00376423">
      <w:pPr>
        <w:spacing w:after="0" w:line="240" w:lineRule="auto"/>
      </w:pPr>
      <w:r>
        <w:separator/>
      </w:r>
    </w:p>
  </w:footnote>
  <w:footnote w:type="continuationSeparator" w:id="0">
    <w:p w14:paraId="233B41E7" w14:textId="77777777" w:rsidR="00376423" w:rsidRDefault="00376423">
      <w:pPr>
        <w:spacing w:after="0" w:line="240" w:lineRule="auto"/>
      </w:pPr>
      <w:r>
        <w:continuationSeparator/>
      </w:r>
    </w:p>
  </w:footnote>
  <w:footnote w:id="1">
    <w:p w14:paraId="720660DE" w14:textId="77777777" w:rsidR="004367F7" w:rsidRPr="009E6847" w:rsidRDefault="004367F7" w:rsidP="004367F7">
      <w:pPr>
        <w:pStyle w:val="FootnoteText"/>
        <w:rPr>
          <w:lang w:val="en-NZ"/>
        </w:rPr>
      </w:pPr>
      <w:r>
        <w:rPr>
          <w:rStyle w:val="FootnoteReference"/>
        </w:rPr>
        <w:footnoteRef/>
      </w:r>
      <w:r>
        <w:t xml:space="preserve"> </w:t>
      </w:r>
      <w:r w:rsidRPr="00D441E2">
        <w:rPr>
          <w:sz w:val="18"/>
          <w:szCs w:val="18"/>
          <w:lang w:val="en-NZ"/>
        </w:rPr>
        <w:t>From 1 July 2015 the NSU changed the model of service for antenatal HIV screening.  This included ceasing national monitoring reports and DHB contracts for programme coordination (</w:t>
      </w:r>
      <w:r>
        <w:rPr>
          <w:sz w:val="18"/>
          <w:szCs w:val="18"/>
          <w:lang w:val="en-NZ"/>
        </w:rPr>
        <w:t>which included</w:t>
      </w:r>
      <w:r w:rsidRPr="00D441E2">
        <w:rPr>
          <w:sz w:val="18"/>
          <w:szCs w:val="18"/>
          <w:lang w:val="en-NZ"/>
        </w:rPr>
        <w:t xml:space="preserve"> </w:t>
      </w:r>
      <w:r>
        <w:rPr>
          <w:sz w:val="18"/>
          <w:szCs w:val="18"/>
          <w:lang w:val="en-NZ"/>
        </w:rPr>
        <w:t xml:space="preserve">support </w:t>
      </w:r>
      <w:r w:rsidRPr="00D441E2">
        <w:rPr>
          <w:sz w:val="18"/>
          <w:szCs w:val="18"/>
          <w:lang w:val="en-NZ"/>
        </w:rPr>
        <w:t>and training</w:t>
      </w:r>
      <w:r>
        <w:rPr>
          <w:sz w:val="18"/>
          <w:szCs w:val="18"/>
          <w:lang w:val="en-NZ"/>
        </w:rPr>
        <w:t xml:space="preserve"> for</w:t>
      </w:r>
      <w:r w:rsidRPr="00D441E2">
        <w:rPr>
          <w:sz w:val="18"/>
          <w:szCs w:val="18"/>
          <w:lang w:val="en-NZ"/>
        </w:rPr>
        <w:t xml:space="preserve"> </w:t>
      </w:r>
      <w:r>
        <w:rPr>
          <w:sz w:val="18"/>
          <w:szCs w:val="18"/>
          <w:lang w:val="en-NZ"/>
        </w:rPr>
        <w:t>referring practitioners</w:t>
      </w:r>
      <w:r w:rsidRPr="00D441E2">
        <w:rPr>
          <w:sz w:val="18"/>
          <w:szCs w:val="18"/>
          <w:lang w:val="en-NZ"/>
        </w:rPr>
        <w:t xml:space="preserve"> and provision of data and reporting information to the NSU).</w:t>
      </w:r>
      <w:r>
        <w:rPr>
          <w:sz w:val="18"/>
          <w:szCs w:val="18"/>
          <w:lang w:val="en-NZ"/>
        </w:rPr>
        <w:t xml:space="preserve">  </w:t>
      </w:r>
    </w:p>
  </w:footnote>
  <w:footnote w:id="2">
    <w:p w14:paraId="79BF1F87" w14:textId="77777777" w:rsidR="00FD3850" w:rsidRPr="003966CF" w:rsidRDefault="00FD3850" w:rsidP="00C3701D">
      <w:pPr>
        <w:pStyle w:val="FootnoteText"/>
        <w:rPr>
          <w:lang w:val="en-NZ"/>
        </w:rPr>
      </w:pPr>
      <w:r w:rsidRPr="003966CF">
        <w:rPr>
          <w:rStyle w:val="FootnoteReference"/>
        </w:rPr>
        <w:footnoteRef/>
      </w:r>
      <w:r w:rsidRPr="003966CF">
        <w:t xml:space="preserve"> </w:t>
      </w:r>
      <w:r w:rsidRPr="00FD2E46">
        <w:rPr>
          <w:rFonts w:ascii="Arial Mäori" w:eastAsiaTheme="minorHAnsi" w:hAnsi="Arial Mäori" w:cs="Arial Mäori"/>
          <w:color w:val="000000"/>
          <w:sz w:val="18"/>
          <w:szCs w:val="18"/>
        </w:rPr>
        <w:t>The New Zealand Guidelines for Helping People to Stop Smoking (2014)</w:t>
      </w:r>
    </w:p>
  </w:footnote>
  <w:footnote w:id="3">
    <w:p w14:paraId="34297A0D" w14:textId="77777777" w:rsidR="00815440" w:rsidRPr="00815440" w:rsidRDefault="00815440">
      <w:pPr>
        <w:pStyle w:val="FootnoteText"/>
        <w:rPr>
          <w:lang w:val="en-NZ"/>
        </w:rPr>
      </w:pPr>
      <w:r>
        <w:rPr>
          <w:rStyle w:val="FootnoteReference"/>
        </w:rPr>
        <w:footnoteRef/>
      </w:r>
      <w:r>
        <w:t xml:space="preserve"> </w:t>
      </w:r>
      <w:r w:rsidRPr="00815440">
        <w:rPr>
          <w:rFonts w:cs="Arial"/>
          <w:color w:val="002639"/>
          <w:lang w:val="en"/>
        </w:rPr>
        <w:t>Health targets are a set of national performance measures published on</w:t>
      </w:r>
      <w:r>
        <w:rPr>
          <w:rFonts w:cs="Arial"/>
          <w:color w:val="002639"/>
          <w:sz w:val="28"/>
          <w:szCs w:val="28"/>
          <w:lang w:val="en"/>
        </w:rPr>
        <w:t xml:space="preserve"> </w:t>
      </w:r>
      <w:r w:rsidRPr="00815440">
        <w:t>http://www.health.govt.nz/new-zealand-health-system/health-targets?mega=NZ%20health%20system&amp;title=Health%20targets</w:t>
      </w:r>
    </w:p>
  </w:footnote>
  <w:footnote w:id="4">
    <w:p w14:paraId="315763A5" w14:textId="5BF08CE3" w:rsidR="00AB743E" w:rsidRPr="00AB743E" w:rsidRDefault="00AB743E">
      <w:pPr>
        <w:pStyle w:val="FootnoteText"/>
        <w:rPr>
          <w:lang w:val="en-NZ"/>
        </w:rPr>
      </w:pPr>
      <w:r>
        <w:rPr>
          <w:rStyle w:val="FootnoteReference"/>
        </w:rPr>
        <w:footnoteRef/>
      </w:r>
      <w:r>
        <w:t xml:space="preserve"> </w:t>
      </w:r>
      <w:hyperlink r:id="rId1" w:history="1">
        <w:r w:rsidRPr="003E3828">
          <w:rPr>
            <w:rStyle w:val="Hyperlink"/>
            <w:rFonts w:cs="Arial"/>
            <w:snapToGrid w:val="0"/>
            <w:szCs w:val="24"/>
          </w:rPr>
          <w:t>Purchase Unit Data Dictionary</w:t>
        </w:r>
      </w:hyperlink>
      <w:r w:rsidRPr="00AB743E">
        <w:t xml:space="preserve"> </w:t>
      </w:r>
      <w:bookmarkStart w:id="24" w:name="_GoBack"/>
      <w:bookmarkEnd w:id="24"/>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C71"/>
    <w:multiLevelType w:val="hybridMultilevel"/>
    <w:tmpl w:val="0728EF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53F79CC"/>
    <w:multiLevelType w:val="hybridMultilevel"/>
    <w:tmpl w:val="C86ECC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70A390E"/>
    <w:multiLevelType w:val="hybridMultilevel"/>
    <w:tmpl w:val="FB0824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7516415"/>
    <w:multiLevelType w:val="hybridMultilevel"/>
    <w:tmpl w:val="A59E4C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84B687A"/>
    <w:multiLevelType w:val="hybridMultilevel"/>
    <w:tmpl w:val="C5A28C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8886FA4"/>
    <w:multiLevelType w:val="hybridMultilevel"/>
    <w:tmpl w:val="467C788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6">
    <w:nsid w:val="09F10815"/>
    <w:multiLevelType w:val="hybridMultilevel"/>
    <w:tmpl w:val="587875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0C5A1CC9"/>
    <w:multiLevelType w:val="hybridMultilevel"/>
    <w:tmpl w:val="0308A2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0FC3E8E"/>
    <w:multiLevelType w:val="hybridMultilevel"/>
    <w:tmpl w:val="238E73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1AC18EF"/>
    <w:multiLevelType w:val="hybridMultilevel"/>
    <w:tmpl w:val="84088F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C9D7A29"/>
    <w:multiLevelType w:val="hybridMultilevel"/>
    <w:tmpl w:val="777E7F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E000E2E"/>
    <w:multiLevelType w:val="hybridMultilevel"/>
    <w:tmpl w:val="3FC00B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1E3351D6"/>
    <w:multiLevelType w:val="hybridMultilevel"/>
    <w:tmpl w:val="AE407C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0576FD6"/>
    <w:multiLevelType w:val="hybridMultilevel"/>
    <w:tmpl w:val="7AF8E6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21B14282"/>
    <w:multiLevelType w:val="hybridMultilevel"/>
    <w:tmpl w:val="8D7C3B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22375EBF"/>
    <w:multiLevelType w:val="hybridMultilevel"/>
    <w:tmpl w:val="258607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22E84C11"/>
    <w:multiLevelType w:val="hybridMultilevel"/>
    <w:tmpl w:val="CC8A6C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24FE4DDC"/>
    <w:multiLevelType w:val="hybridMultilevel"/>
    <w:tmpl w:val="67E2A66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8">
    <w:nsid w:val="257C3688"/>
    <w:multiLevelType w:val="hybridMultilevel"/>
    <w:tmpl w:val="86828E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26A3636F"/>
    <w:multiLevelType w:val="hybridMultilevel"/>
    <w:tmpl w:val="AD96C6AC"/>
    <w:lvl w:ilvl="0" w:tplc="1409000F">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29DD2B24"/>
    <w:multiLevelType w:val="hybridMultilevel"/>
    <w:tmpl w:val="5A5624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2BF8055B"/>
    <w:multiLevelType w:val="multilevel"/>
    <w:tmpl w:val="51F206A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FF576C1"/>
    <w:multiLevelType w:val="hybridMultilevel"/>
    <w:tmpl w:val="52D2C4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64C3ABA"/>
    <w:multiLevelType w:val="hybridMultilevel"/>
    <w:tmpl w:val="7DD606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381240CD"/>
    <w:multiLevelType w:val="hybridMultilevel"/>
    <w:tmpl w:val="605E55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390C4926"/>
    <w:multiLevelType w:val="hybridMultilevel"/>
    <w:tmpl w:val="ED160F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3A3C620C"/>
    <w:multiLevelType w:val="hybridMultilevel"/>
    <w:tmpl w:val="544A26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3D367AA9"/>
    <w:multiLevelType w:val="hybridMultilevel"/>
    <w:tmpl w:val="DEBE9E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3DC1456B"/>
    <w:multiLevelType w:val="hybridMultilevel"/>
    <w:tmpl w:val="BF3284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3E521BB8"/>
    <w:multiLevelType w:val="hybridMultilevel"/>
    <w:tmpl w:val="21A896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400E130A"/>
    <w:multiLevelType w:val="hybridMultilevel"/>
    <w:tmpl w:val="3B42B3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nsid w:val="45E236A9"/>
    <w:multiLevelType w:val="hybridMultilevel"/>
    <w:tmpl w:val="3D068CF4"/>
    <w:lvl w:ilvl="0" w:tplc="0536598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2">
    <w:nsid w:val="4756652F"/>
    <w:multiLevelType w:val="hybridMultilevel"/>
    <w:tmpl w:val="0CD00A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4E5F554A"/>
    <w:multiLevelType w:val="hybridMultilevel"/>
    <w:tmpl w:val="4342944E"/>
    <w:lvl w:ilvl="0" w:tplc="FFFFFFFF">
      <w:start w:val="1"/>
      <w:numFmt w:val="bullet"/>
      <w:lvlText w:val=""/>
      <w:lvlJc w:val="left"/>
      <w:pPr>
        <w:tabs>
          <w:tab w:val="num" w:pos="360"/>
        </w:tabs>
        <w:ind w:left="360" w:hanging="360"/>
      </w:pPr>
      <w:rPr>
        <w:rFonts w:ascii="Symbol" w:hAnsi="Symbol" w:hint="default"/>
        <w:color w:val="auto"/>
      </w:rPr>
    </w:lvl>
    <w:lvl w:ilvl="1" w:tplc="C316ACF6">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4E815FF6"/>
    <w:multiLevelType w:val="hybridMultilevel"/>
    <w:tmpl w:val="F63AB9D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51B5559A"/>
    <w:multiLevelType w:val="hybridMultilevel"/>
    <w:tmpl w:val="554EF5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53007E63"/>
    <w:multiLevelType w:val="hybridMultilevel"/>
    <w:tmpl w:val="F9967B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547264EC"/>
    <w:multiLevelType w:val="hybridMultilevel"/>
    <w:tmpl w:val="DB4CA8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548B2337"/>
    <w:multiLevelType w:val="hybridMultilevel"/>
    <w:tmpl w:val="62D038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5BE65A2E"/>
    <w:multiLevelType w:val="hybridMultilevel"/>
    <w:tmpl w:val="ADEE34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5E6C23BE"/>
    <w:multiLevelType w:val="hybridMultilevel"/>
    <w:tmpl w:val="DDE05A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nsid w:val="612B66E8"/>
    <w:multiLevelType w:val="hybridMultilevel"/>
    <w:tmpl w:val="53A083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2">
    <w:nsid w:val="68AA04F3"/>
    <w:multiLevelType w:val="hybridMultilevel"/>
    <w:tmpl w:val="2CDE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69FA7394"/>
    <w:multiLevelType w:val="hybridMultilevel"/>
    <w:tmpl w:val="7FD817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nsid w:val="6A3E0A82"/>
    <w:multiLevelType w:val="hybridMultilevel"/>
    <w:tmpl w:val="A364DB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5">
    <w:nsid w:val="6B9330C1"/>
    <w:multiLevelType w:val="hybridMultilevel"/>
    <w:tmpl w:val="318AD9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nsid w:val="6BA90C9B"/>
    <w:multiLevelType w:val="hybridMultilevel"/>
    <w:tmpl w:val="A0D20F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nsid w:val="726B3525"/>
    <w:multiLevelType w:val="hybridMultilevel"/>
    <w:tmpl w:val="30AEEE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nsid w:val="77583950"/>
    <w:multiLevelType w:val="hybridMultilevel"/>
    <w:tmpl w:val="F83C9E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nsid w:val="778B55FB"/>
    <w:multiLevelType w:val="hybridMultilevel"/>
    <w:tmpl w:val="A59002EC"/>
    <w:lvl w:ilvl="0" w:tplc="9D1CE2CE">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7AC93AD9"/>
    <w:multiLevelType w:val="hybridMultilevel"/>
    <w:tmpl w:val="9FFAE18C"/>
    <w:lvl w:ilvl="0" w:tplc="4F0A8FD6">
      <w:start w:val="4"/>
      <w:numFmt w:val="decimal"/>
      <w:lvlText w:val="%1."/>
      <w:lvlJc w:val="left"/>
      <w:pPr>
        <w:ind w:left="360" w:hanging="360"/>
      </w:pPr>
      <w:rPr>
        <w:rFonts w:hint="default"/>
        <w:i w:val="0"/>
        <w:color w:val="auto"/>
        <w:u w:val="non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1">
    <w:nsid w:val="7E2351F3"/>
    <w:multiLevelType w:val="hybridMultilevel"/>
    <w:tmpl w:val="51A230EC"/>
    <w:lvl w:ilvl="0" w:tplc="6240C782">
      <w:start w:val="1"/>
      <w:numFmt w:val="bullet"/>
      <w:lvlText w:val=""/>
      <w:lvlJc w:val="left"/>
      <w:pPr>
        <w:tabs>
          <w:tab w:val="num" w:pos="284"/>
        </w:tabs>
        <w:ind w:left="284" w:hanging="284"/>
      </w:pPr>
      <w:rPr>
        <w:rFonts w:ascii="Symbol" w:hAnsi="Symbol" w:hint="default"/>
        <w:color w:val="auto"/>
      </w:rPr>
    </w:lvl>
    <w:lvl w:ilvl="1" w:tplc="3E52463A">
      <w:start w:val="1"/>
      <w:numFmt w:val="bullet"/>
      <w:lvlText w:val="o"/>
      <w:lvlJc w:val="left"/>
      <w:pPr>
        <w:tabs>
          <w:tab w:val="num" w:pos="1440"/>
        </w:tabs>
        <w:ind w:left="1440" w:hanging="360"/>
      </w:pPr>
      <w:rPr>
        <w:rFonts w:ascii="Courier New" w:hAnsi="Courier New" w:cs="Courier New" w:hint="default"/>
      </w:rPr>
    </w:lvl>
    <w:lvl w:ilvl="2" w:tplc="0866724E">
      <w:start w:val="1"/>
      <w:numFmt w:val="bullet"/>
      <w:lvlText w:val=""/>
      <w:lvlJc w:val="left"/>
      <w:pPr>
        <w:tabs>
          <w:tab w:val="num" w:pos="2160"/>
        </w:tabs>
        <w:ind w:left="2160" w:hanging="360"/>
      </w:pPr>
      <w:rPr>
        <w:rFonts w:ascii="Wingdings" w:hAnsi="Wingdings" w:hint="default"/>
      </w:rPr>
    </w:lvl>
    <w:lvl w:ilvl="3" w:tplc="44249A2C">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30"/>
  </w:num>
  <w:num w:numId="3">
    <w:abstractNumId w:val="17"/>
  </w:num>
  <w:num w:numId="4">
    <w:abstractNumId w:val="3"/>
  </w:num>
  <w:num w:numId="5">
    <w:abstractNumId w:val="5"/>
  </w:num>
  <w:num w:numId="6">
    <w:abstractNumId w:val="41"/>
  </w:num>
  <w:num w:numId="7">
    <w:abstractNumId w:val="44"/>
  </w:num>
  <w:num w:numId="8">
    <w:abstractNumId w:val="31"/>
  </w:num>
  <w:num w:numId="9">
    <w:abstractNumId w:val="22"/>
  </w:num>
  <w:num w:numId="10">
    <w:abstractNumId w:val="33"/>
  </w:num>
  <w:num w:numId="11">
    <w:abstractNumId w:val="8"/>
  </w:num>
  <w:num w:numId="12">
    <w:abstractNumId w:val="26"/>
  </w:num>
  <w:num w:numId="13">
    <w:abstractNumId w:val="9"/>
  </w:num>
  <w:num w:numId="14">
    <w:abstractNumId w:val="32"/>
  </w:num>
  <w:num w:numId="15">
    <w:abstractNumId w:val="46"/>
  </w:num>
  <w:num w:numId="16">
    <w:abstractNumId w:val="38"/>
  </w:num>
  <w:num w:numId="17">
    <w:abstractNumId w:val="45"/>
  </w:num>
  <w:num w:numId="18">
    <w:abstractNumId w:val="24"/>
  </w:num>
  <w:num w:numId="19">
    <w:abstractNumId w:val="25"/>
  </w:num>
  <w:num w:numId="20">
    <w:abstractNumId w:val="48"/>
  </w:num>
  <w:num w:numId="21">
    <w:abstractNumId w:val="14"/>
  </w:num>
  <w:num w:numId="22">
    <w:abstractNumId w:val="37"/>
  </w:num>
  <w:num w:numId="23">
    <w:abstractNumId w:val="20"/>
  </w:num>
  <w:num w:numId="24">
    <w:abstractNumId w:val="10"/>
  </w:num>
  <w:num w:numId="25">
    <w:abstractNumId w:val="16"/>
  </w:num>
  <w:num w:numId="26">
    <w:abstractNumId w:val="18"/>
  </w:num>
  <w:num w:numId="27">
    <w:abstractNumId w:val="28"/>
  </w:num>
  <w:num w:numId="28">
    <w:abstractNumId w:val="43"/>
  </w:num>
  <w:num w:numId="29">
    <w:abstractNumId w:val="36"/>
  </w:num>
  <w:num w:numId="30">
    <w:abstractNumId w:val="13"/>
  </w:num>
  <w:num w:numId="31">
    <w:abstractNumId w:val="11"/>
  </w:num>
  <w:num w:numId="32">
    <w:abstractNumId w:val="29"/>
  </w:num>
  <w:num w:numId="33">
    <w:abstractNumId w:val="0"/>
  </w:num>
  <w:num w:numId="34">
    <w:abstractNumId w:val="2"/>
  </w:num>
  <w:num w:numId="35">
    <w:abstractNumId w:val="27"/>
  </w:num>
  <w:num w:numId="36">
    <w:abstractNumId w:val="1"/>
  </w:num>
  <w:num w:numId="37">
    <w:abstractNumId w:val="50"/>
  </w:num>
  <w:num w:numId="38">
    <w:abstractNumId w:val="47"/>
  </w:num>
  <w:num w:numId="39">
    <w:abstractNumId w:val="40"/>
  </w:num>
  <w:num w:numId="40">
    <w:abstractNumId w:val="15"/>
  </w:num>
  <w:num w:numId="41">
    <w:abstractNumId w:val="35"/>
  </w:num>
  <w:num w:numId="42">
    <w:abstractNumId w:val="7"/>
  </w:num>
  <w:num w:numId="43">
    <w:abstractNumId w:val="4"/>
  </w:num>
  <w:num w:numId="44">
    <w:abstractNumId w:val="39"/>
  </w:num>
  <w:num w:numId="45">
    <w:abstractNumId w:val="6"/>
  </w:num>
  <w:num w:numId="46">
    <w:abstractNumId w:val="23"/>
  </w:num>
  <w:num w:numId="47">
    <w:abstractNumId w:val="42"/>
  </w:num>
  <w:num w:numId="48">
    <w:abstractNumId w:val="34"/>
  </w:num>
  <w:num w:numId="49">
    <w:abstractNumId w:val="49"/>
  </w:num>
  <w:num w:numId="50">
    <w:abstractNumId w:val="12"/>
  </w:num>
  <w:num w:numId="51">
    <w:abstractNumId w:val="19"/>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66"/>
    <w:rsid w:val="00010836"/>
    <w:rsid w:val="00010F62"/>
    <w:rsid w:val="000125E6"/>
    <w:rsid w:val="000305A9"/>
    <w:rsid w:val="000512D6"/>
    <w:rsid w:val="00053B1B"/>
    <w:rsid w:val="0006040E"/>
    <w:rsid w:val="00063697"/>
    <w:rsid w:val="00077B34"/>
    <w:rsid w:val="00096865"/>
    <w:rsid w:val="000A6AFC"/>
    <w:rsid w:val="000C09AD"/>
    <w:rsid w:val="000C252C"/>
    <w:rsid w:val="000C313E"/>
    <w:rsid w:val="000D5376"/>
    <w:rsid w:val="000D5CE2"/>
    <w:rsid w:val="001177F3"/>
    <w:rsid w:val="00127197"/>
    <w:rsid w:val="0013565A"/>
    <w:rsid w:val="00142BF7"/>
    <w:rsid w:val="0015281C"/>
    <w:rsid w:val="0015799F"/>
    <w:rsid w:val="00165B44"/>
    <w:rsid w:val="00183FC2"/>
    <w:rsid w:val="00187E7A"/>
    <w:rsid w:val="00191F7B"/>
    <w:rsid w:val="001969E0"/>
    <w:rsid w:val="001B24DE"/>
    <w:rsid w:val="001B68A5"/>
    <w:rsid w:val="001C0564"/>
    <w:rsid w:val="001C2DAC"/>
    <w:rsid w:val="001F28E2"/>
    <w:rsid w:val="001F693F"/>
    <w:rsid w:val="0020741B"/>
    <w:rsid w:val="00220074"/>
    <w:rsid w:val="00220ED9"/>
    <w:rsid w:val="00224D19"/>
    <w:rsid w:val="00240ED7"/>
    <w:rsid w:val="0025036B"/>
    <w:rsid w:val="002557A1"/>
    <w:rsid w:val="00261489"/>
    <w:rsid w:val="002623B6"/>
    <w:rsid w:val="00265B89"/>
    <w:rsid w:val="002800C7"/>
    <w:rsid w:val="00284AE0"/>
    <w:rsid w:val="00293D45"/>
    <w:rsid w:val="002B6EEF"/>
    <w:rsid w:val="002C1D9D"/>
    <w:rsid w:val="002C29E5"/>
    <w:rsid w:val="002C33D8"/>
    <w:rsid w:val="002C4912"/>
    <w:rsid w:val="002C7B59"/>
    <w:rsid w:val="002E2375"/>
    <w:rsid w:val="003054BC"/>
    <w:rsid w:val="00307837"/>
    <w:rsid w:val="00332440"/>
    <w:rsid w:val="003508E9"/>
    <w:rsid w:val="00353C36"/>
    <w:rsid w:val="00357911"/>
    <w:rsid w:val="0036548F"/>
    <w:rsid w:val="00371B14"/>
    <w:rsid w:val="003725A7"/>
    <w:rsid w:val="00375F70"/>
    <w:rsid w:val="00376423"/>
    <w:rsid w:val="003945F9"/>
    <w:rsid w:val="003966CF"/>
    <w:rsid w:val="003B37B6"/>
    <w:rsid w:val="003B78D9"/>
    <w:rsid w:val="003C2DDB"/>
    <w:rsid w:val="003D6F01"/>
    <w:rsid w:val="003E1864"/>
    <w:rsid w:val="003E3828"/>
    <w:rsid w:val="003E5220"/>
    <w:rsid w:val="003F1A93"/>
    <w:rsid w:val="004015C6"/>
    <w:rsid w:val="00401635"/>
    <w:rsid w:val="004023D2"/>
    <w:rsid w:val="00405148"/>
    <w:rsid w:val="00405166"/>
    <w:rsid w:val="00416323"/>
    <w:rsid w:val="004267D8"/>
    <w:rsid w:val="00430A3A"/>
    <w:rsid w:val="00432030"/>
    <w:rsid w:val="00432639"/>
    <w:rsid w:val="004367F7"/>
    <w:rsid w:val="0043746B"/>
    <w:rsid w:val="00441C4B"/>
    <w:rsid w:val="00443A64"/>
    <w:rsid w:val="00450AA2"/>
    <w:rsid w:val="00452DFE"/>
    <w:rsid w:val="004573A9"/>
    <w:rsid w:val="00460FDC"/>
    <w:rsid w:val="00461B95"/>
    <w:rsid w:val="00467A71"/>
    <w:rsid w:val="00475287"/>
    <w:rsid w:val="004822CB"/>
    <w:rsid w:val="004866C1"/>
    <w:rsid w:val="004903DF"/>
    <w:rsid w:val="004970A9"/>
    <w:rsid w:val="004F1F25"/>
    <w:rsid w:val="004F2B56"/>
    <w:rsid w:val="0051143F"/>
    <w:rsid w:val="00511C6D"/>
    <w:rsid w:val="00516B40"/>
    <w:rsid w:val="0052460D"/>
    <w:rsid w:val="005407A0"/>
    <w:rsid w:val="00544587"/>
    <w:rsid w:val="0055521D"/>
    <w:rsid w:val="00570F1C"/>
    <w:rsid w:val="00580A9C"/>
    <w:rsid w:val="00587263"/>
    <w:rsid w:val="005922EF"/>
    <w:rsid w:val="0059706C"/>
    <w:rsid w:val="005A0E64"/>
    <w:rsid w:val="005A65E8"/>
    <w:rsid w:val="005B6E68"/>
    <w:rsid w:val="005D002C"/>
    <w:rsid w:val="005D102D"/>
    <w:rsid w:val="005D71C1"/>
    <w:rsid w:val="005D7EF2"/>
    <w:rsid w:val="005E0152"/>
    <w:rsid w:val="005E3291"/>
    <w:rsid w:val="005E7D24"/>
    <w:rsid w:val="00604380"/>
    <w:rsid w:val="00607417"/>
    <w:rsid w:val="00617B3B"/>
    <w:rsid w:val="00617ECA"/>
    <w:rsid w:val="006264BD"/>
    <w:rsid w:val="00631AB9"/>
    <w:rsid w:val="00633C00"/>
    <w:rsid w:val="006536DE"/>
    <w:rsid w:val="006667E4"/>
    <w:rsid w:val="00680D98"/>
    <w:rsid w:val="006A71CD"/>
    <w:rsid w:val="006B3795"/>
    <w:rsid w:val="006C25D0"/>
    <w:rsid w:val="006E7077"/>
    <w:rsid w:val="006F3D8D"/>
    <w:rsid w:val="007058FE"/>
    <w:rsid w:val="007164BB"/>
    <w:rsid w:val="00732E0D"/>
    <w:rsid w:val="007458A9"/>
    <w:rsid w:val="00750B9C"/>
    <w:rsid w:val="00751B89"/>
    <w:rsid w:val="00772367"/>
    <w:rsid w:val="00775002"/>
    <w:rsid w:val="00781615"/>
    <w:rsid w:val="00793D1B"/>
    <w:rsid w:val="007A077F"/>
    <w:rsid w:val="007A64C2"/>
    <w:rsid w:val="007B3125"/>
    <w:rsid w:val="007B65B3"/>
    <w:rsid w:val="007C1CEC"/>
    <w:rsid w:val="007C2FB2"/>
    <w:rsid w:val="007E1981"/>
    <w:rsid w:val="007E6796"/>
    <w:rsid w:val="007E7084"/>
    <w:rsid w:val="00800783"/>
    <w:rsid w:val="0080152E"/>
    <w:rsid w:val="00815440"/>
    <w:rsid w:val="0083781C"/>
    <w:rsid w:val="008526E1"/>
    <w:rsid w:val="0086086D"/>
    <w:rsid w:val="008709BB"/>
    <w:rsid w:val="00872821"/>
    <w:rsid w:val="00873AC2"/>
    <w:rsid w:val="00875525"/>
    <w:rsid w:val="00880E90"/>
    <w:rsid w:val="00884F97"/>
    <w:rsid w:val="008B488F"/>
    <w:rsid w:val="008D06C1"/>
    <w:rsid w:val="008E7FB3"/>
    <w:rsid w:val="008F15F2"/>
    <w:rsid w:val="009101FC"/>
    <w:rsid w:val="009138C8"/>
    <w:rsid w:val="00921AEC"/>
    <w:rsid w:val="0092413A"/>
    <w:rsid w:val="0093045E"/>
    <w:rsid w:val="00932E5A"/>
    <w:rsid w:val="00934568"/>
    <w:rsid w:val="009350C4"/>
    <w:rsid w:val="0094087A"/>
    <w:rsid w:val="00940B83"/>
    <w:rsid w:val="00945829"/>
    <w:rsid w:val="00946EE2"/>
    <w:rsid w:val="00954B9B"/>
    <w:rsid w:val="009748A3"/>
    <w:rsid w:val="00976F33"/>
    <w:rsid w:val="00983679"/>
    <w:rsid w:val="009848AF"/>
    <w:rsid w:val="009866FE"/>
    <w:rsid w:val="009A2C92"/>
    <w:rsid w:val="009A5FD4"/>
    <w:rsid w:val="009B5A29"/>
    <w:rsid w:val="009C1438"/>
    <w:rsid w:val="009D06E1"/>
    <w:rsid w:val="00A00F7B"/>
    <w:rsid w:val="00A021C2"/>
    <w:rsid w:val="00A2167E"/>
    <w:rsid w:val="00A43983"/>
    <w:rsid w:val="00A47351"/>
    <w:rsid w:val="00A52D77"/>
    <w:rsid w:val="00A558F6"/>
    <w:rsid w:val="00A55E61"/>
    <w:rsid w:val="00A62DF5"/>
    <w:rsid w:val="00A823F7"/>
    <w:rsid w:val="00A86413"/>
    <w:rsid w:val="00A9038F"/>
    <w:rsid w:val="00AA3BBE"/>
    <w:rsid w:val="00AA7E28"/>
    <w:rsid w:val="00AB6D8F"/>
    <w:rsid w:val="00AB743E"/>
    <w:rsid w:val="00AC1747"/>
    <w:rsid w:val="00AD6BB2"/>
    <w:rsid w:val="00AE2A17"/>
    <w:rsid w:val="00AE4BCF"/>
    <w:rsid w:val="00AE556B"/>
    <w:rsid w:val="00AE6E33"/>
    <w:rsid w:val="00AE7D6D"/>
    <w:rsid w:val="00AF2EF3"/>
    <w:rsid w:val="00AF3065"/>
    <w:rsid w:val="00B270CB"/>
    <w:rsid w:val="00B306C2"/>
    <w:rsid w:val="00B32672"/>
    <w:rsid w:val="00B521A3"/>
    <w:rsid w:val="00B6229C"/>
    <w:rsid w:val="00B65C62"/>
    <w:rsid w:val="00B67666"/>
    <w:rsid w:val="00B728B2"/>
    <w:rsid w:val="00B86FB4"/>
    <w:rsid w:val="00B95D38"/>
    <w:rsid w:val="00BB5F34"/>
    <w:rsid w:val="00BB73F6"/>
    <w:rsid w:val="00BC2DB4"/>
    <w:rsid w:val="00BE2159"/>
    <w:rsid w:val="00C00BD2"/>
    <w:rsid w:val="00C065D4"/>
    <w:rsid w:val="00C23C2E"/>
    <w:rsid w:val="00C265FC"/>
    <w:rsid w:val="00C26EAB"/>
    <w:rsid w:val="00C3701D"/>
    <w:rsid w:val="00C3751E"/>
    <w:rsid w:val="00C42C55"/>
    <w:rsid w:val="00C46F1C"/>
    <w:rsid w:val="00C6086D"/>
    <w:rsid w:val="00C75DC5"/>
    <w:rsid w:val="00C80FE3"/>
    <w:rsid w:val="00C9717F"/>
    <w:rsid w:val="00CA4FD0"/>
    <w:rsid w:val="00CA5DC1"/>
    <w:rsid w:val="00CB3E36"/>
    <w:rsid w:val="00CC2E09"/>
    <w:rsid w:val="00CD2F6A"/>
    <w:rsid w:val="00CD7BF4"/>
    <w:rsid w:val="00CF69FF"/>
    <w:rsid w:val="00D00593"/>
    <w:rsid w:val="00D00CB9"/>
    <w:rsid w:val="00D04E1C"/>
    <w:rsid w:val="00D06142"/>
    <w:rsid w:val="00D100D4"/>
    <w:rsid w:val="00D11A3A"/>
    <w:rsid w:val="00D168FF"/>
    <w:rsid w:val="00D26F96"/>
    <w:rsid w:val="00D3035A"/>
    <w:rsid w:val="00D3588D"/>
    <w:rsid w:val="00D41E87"/>
    <w:rsid w:val="00D5773A"/>
    <w:rsid w:val="00D81EFE"/>
    <w:rsid w:val="00D94451"/>
    <w:rsid w:val="00D97AFE"/>
    <w:rsid w:val="00DB1581"/>
    <w:rsid w:val="00DB3673"/>
    <w:rsid w:val="00DC1414"/>
    <w:rsid w:val="00DD3C67"/>
    <w:rsid w:val="00DD69A8"/>
    <w:rsid w:val="00DF4436"/>
    <w:rsid w:val="00E12F19"/>
    <w:rsid w:val="00E16839"/>
    <w:rsid w:val="00E16F51"/>
    <w:rsid w:val="00E26598"/>
    <w:rsid w:val="00E35068"/>
    <w:rsid w:val="00E37557"/>
    <w:rsid w:val="00E419C7"/>
    <w:rsid w:val="00E45C86"/>
    <w:rsid w:val="00E505CA"/>
    <w:rsid w:val="00E52ED1"/>
    <w:rsid w:val="00E535D6"/>
    <w:rsid w:val="00E54B1F"/>
    <w:rsid w:val="00E630A4"/>
    <w:rsid w:val="00E63620"/>
    <w:rsid w:val="00E63D15"/>
    <w:rsid w:val="00EA2FE9"/>
    <w:rsid w:val="00EA39D9"/>
    <w:rsid w:val="00EB2337"/>
    <w:rsid w:val="00EB57A4"/>
    <w:rsid w:val="00EC181D"/>
    <w:rsid w:val="00EE2291"/>
    <w:rsid w:val="00EE3763"/>
    <w:rsid w:val="00EE4E4D"/>
    <w:rsid w:val="00EF41BA"/>
    <w:rsid w:val="00F03F68"/>
    <w:rsid w:val="00F0648F"/>
    <w:rsid w:val="00F433CE"/>
    <w:rsid w:val="00F4421C"/>
    <w:rsid w:val="00F55D17"/>
    <w:rsid w:val="00F55FFA"/>
    <w:rsid w:val="00F639B5"/>
    <w:rsid w:val="00FB0156"/>
    <w:rsid w:val="00FB2603"/>
    <w:rsid w:val="00FC14A0"/>
    <w:rsid w:val="00FD2E46"/>
    <w:rsid w:val="00FD38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0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1D"/>
    <w:rPr>
      <w:rFonts w:eastAsia="Calibri" w:cs="Times New Roman"/>
    </w:rPr>
  </w:style>
  <w:style w:type="paragraph" w:styleId="Heading4">
    <w:name w:val="heading 4"/>
    <w:basedOn w:val="Normal"/>
    <w:next w:val="Normal"/>
    <w:link w:val="Heading4Char"/>
    <w:semiHidden/>
    <w:unhideWhenUsed/>
    <w:qFormat/>
    <w:rsid w:val="00C3701D"/>
    <w:pPr>
      <w:keepNext/>
      <w:spacing w:before="240" w:after="60" w:line="240" w:lineRule="auto"/>
      <w:outlineLvl w:val="3"/>
    </w:pPr>
    <w:rPr>
      <w:rFonts w:ascii="Times New Roman" w:eastAsia="Times New Roman" w:hAnsi="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5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166"/>
  </w:style>
  <w:style w:type="character" w:styleId="PageNumber">
    <w:name w:val="page number"/>
    <w:basedOn w:val="DefaultParagraphFont"/>
    <w:rsid w:val="00405166"/>
  </w:style>
  <w:style w:type="paragraph" w:styleId="BalloonText">
    <w:name w:val="Balloon Text"/>
    <w:basedOn w:val="Normal"/>
    <w:link w:val="BalloonTextChar"/>
    <w:uiPriority w:val="99"/>
    <w:semiHidden/>
    <w:unhideWhenUsed/>
    <w:rsid w:val="0040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66"/>
    <w:rPr>
      <w:rFonts w:ascii="Tahoma" w:hAnsi="Tahoma" w:cs="Tahoma"/>
      <w:sz w:val="16"/>
      <w:szCs w:val="16"/>
    </w:rPr>
  </w:style>
  <w:style w:type="table" w:styleId="TableGrid">
    <w:name w:val="Table Grid"/>
    <w:basedOn w:val="TableNormal"/>
    <w:uiPriority w:val="59"/>
    <w:rsid w:val="001C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C3701D"/>
    <w:rPr>
      <w:rFonts w:ascii="Times New Roman" w:eastAsia="Times New Roman" w:hAnsi="Times New Roman" w:cs="Times New Roman"/>
      <w:b/>
      <w:bCs/>
      <w:sz w:val="28"/>
      <w:szCs w:val="28"/>
      <w:lang w:val="x-none"/>
    </w:rPr>
  </w:style>
  <w:style w:type="paragraph" w:styleId="NormalWeb">
    <w:name w:val="Normal (Web)"/>
    <w:basedOn w:val="Normal"/>
    <w:semiHidden/>
    <w:unhideWhenUsed/>
    <w:rsid w:val="00C3701D"/>
    <w:pPr>
      <w:spacing w:after="240" w:line="240" w:lineRule="auto"/>
      <w:ind w:left="240" w:right="240"/>
    </w:pPr>
    <w:rPr>
      <w:rFonts w:ascii="Times New Roman" w:eastAsia="Times New Roman" w:hAnsi="Times New Roman"/>
      <w:szCs w:val="24"/>
      <w:lang w:val="en-US"/>
    </w:rPr>
  </w:style>
  <w:style w:type="paragraph" w:styleId="FootnoteText">
    <w:name w:val="footnote text"/>
    <w:basedOn w:val="Normal"/>
    <w:link w:val="FootnoteTextChar"/>
    <w:uiPriority w:val="99"/>
    <w:unhideWhenUsed/>
    <w:rsid w:val="00C3701D"/>
    <w:pPr>
      <w:spacing w:after="0" w:line="240" w:lineRule="auto"/>
    </w:pPr>
    <w:rPr>
      <w:rFonts w:eastAsia="Times New Roman"/>
      <w:sz w:val="20"/>
      <w:szCs w:val="20"/>
      <w:lang w:val="x-none"/>
    </w:rPr>
  </w:style>
  <w:style w:type="character" w:customStyle="1" w:styleId="FootnoteTextChar">
    <w:name w:val="Footnote Text Char"/>
    <w:basedOn w:val="DefaultParagraphFont"/>
    <w:link w:val="FootnoteText"/>
    <w:uiPriority w:val="99"/>
    <w:rsid w:val="00C3701D"/>
    <w:rPr>
      <w:rFonts w:eastAsia="Times New Roman" w:cs="Times New Roman"/>
      <w:sz w:val="20"/>
      <w:szCs w:val="20"/>
      <w:lang w:val="x-none"/>
    </w:rPr>
  </w:style>
  <w:style w:type="paragraph" w:styleId="BodyText">
    <w:name w:val="Body Text"/>
    <w:basedOn w:val="Normal"/>
    <w:link w:val="BodyTextChar"/>
    <w:semiHidden/>
    <w:unhideWhenUsed/>
    <w:rsid w:val="00C3701D"/>
    <w:pPr>
      <w:spacing w:after="120" w:line="240" w:lineRule="auto"/>
    </w:pPr>
    <w:rPr>
      <w:rFonts w:ascii="Times New Roman" w:eastAsia="Times New Roman" w:hAnsi="Times New Roman"/>
      <w:szCs w:val="24"/>
      <w:lang w:val="x-none"/>
    </w:rPr>
  </w:style>
  <w:style w:type="character" w:customStyle="1" w:styleId="BodyTextChar">
    <w:name w:val="Body Text Char"/>
    <w:basedOn w:val="DefaultParagraphFont"/>
    <w:link w:val="BodyText"/>
    <w:semiHidden/>
    <w:rsid w:val="00C3701D"/>
    <w:rPr>
      <w:rFonts w:ascii="Times New Roman" w:eastAsia="Times New Roman" w:hAnsi="Times New Roman" w:cs="Times New Roman"/>
      <w:szCs w:val="24"/>
      <w:lang w:val="x-none"/>
    </w:rPr>
  </w:style>
  <w:style w:type="paragraph" w:styleId="BodyTextIndent">
    <w:name w:val="Body Text Indent"/>
    <w:basedOn w:val="Normal"/>
    <w:link w:val="BodyTextIndentChar"/>
    <w:unhideWhenUsed/>
    <w:rsid w:val="00C3701D"/>
    <w:pPr>
      <w:spacing w:after="120" w:line="240" w:lineRule="auto"/>
      <w:ind w:left="283"/>
    </w:pPr>
    <w:rPr>
      <w:rFonts w:ascii="Times New Roman" w:eastAsia="Times New Roman" w:hAnsi="Times New Roman"/>
      <w:szCs w:val="24"/>
      <w:lang w:val="x-none"/>
    </w:rPr>
  </w:style>
  <w:style w:type="character" w:customStyle="1" w:styleId="BodyTextIndentChar">
    <w:name w:val="Body Text Indent Char"/>
    <w:basedOn w:val="DefaultParagraphFont"/>
    <w:link w:val="BodyTextIndent"/>
    <w:rsid w:val="00C3701D"/>
    <w:rPr>
      <w:rFonts w:ascii="Times New Roman" w:eastAsia="Times New Roman" w:hAnsi="Times New Roman" w:cs="Times New Roman"/>
      <w:szCs w:val="24"/>
      <w:lang w:val="x-none"/>
    </w:rPr>
  </w:style>
  <w:style w:type="paragraph" w:styleId="ListParagraph">
    <w:name w:val="List Paragraph"/>
    <w:basedOn w:val="Normal"/>
    <w:uiPriority w:val="34"/>
    <w:qFormat/>
    <w:rsid w:val="00C3701D"/>
    <w:pPr>
      <w:ind w:left="720"/>
      <w:contextualSpacing/>
    </w:pPr>
  </w:style>
  <w:style w:type="paragraph" w:customStyle="1" w:styleId="Indent1">
    <w:name w:val="Indent 1"/>
    <w:basedOn w:val="Normal"/>
    <w:rsid w:val="00C3701D"/>
    <w:pPr>
      <w:spacing w:after="320" w:line="240" w:lineRule="auto"/>
      <w:ind w:left="850"/>
    </w:pPr>
    <w:rPr>
      <w:rFonts w:eastAsia="Times New Roman"/>
      <w:sz w:val="20"/>
      <w:szCs w:val="20"/>
    </w:rPr>
  </w:style>
  <w:style w:type="character" w:styleId="FootnoteReference">
    <w:name w:val="footnote reference"/>
    <w:semiHidden/>
    <w:unhideWhenUsed/>
    <w:rsid w:val="00C3701D"/>
    <w:rPr>
      <w:vertAlign w:val="superscript"/>
    </w:rPr>
  </w:style>
  <w:style w:type="character" w:styleId="Hyperlink">
    <w:name w:val="Hyperlink"/>
    <w:basedOn w:val="DefaultParagraphFont"/>
    <w:uiPriority w:val="99"/>
    <w:unhideWhenUsed/>
    <w:rsid w:val="00C3701D"/>
    <w:rPr>
      <w:color w:val="0000FF"/>
      <w:u w:val="single"/>
    </w:rPr>
  </w:style>
  <w:style w:type="paragraph" w:styleId="Header">
    <w:name w:val="header"/>
    <w:basedOn w:val="Normal"/>
    <w:link w:val="HeaderChar"/>
    <w:uiPriority w:val="99"/>
    <w:unhideWhenUsed/>
    <w:rsid w:val="00C37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01D"/>
    <w:rPr>
      <w:rFonts w:eastAsia="Calibri" w:cs="Times New Roman"/>
    </w:rPr>
  </w:style>
  <w:style w:type="character" w:styleId="CommentReference">
    <w:name w:val="annotation reference"/>
    <w:basedOn w:val="DefaultParagraphFont"/>
    <w:uiPriority w:val="99"/>
    <w:semiHidden/>
    <w:unhideWhenUsed/>
    <w:rsid w:val="007A077F"/>
    <w:rPr>
      <w:sz w:val="16"/>
      <w:szCs w:val="16"/>
    </w:rPr>
  </w:style>
  <w:style w:type="paragraph" w:styleId="CommentText">
    <w:name w:val="annotation text"/>
    <w:basedOn w:val="Normal"/>
    <w:link w:val="CommentTextChar"/>
    <w:uiPriority w:val="99"/>
    <w:semiHidden/>
    <w:unhideWhenUsed/>
    <w:rsid w:val="007A077F"/>
    <w:pPr>
      <w:spacing w:line="240" w:lineRule="auto"/>
    </w:pPr>
    <w:rPr>
      <w:sz w:val="20"/>
      <w:szCs w:val="20"/>
    </w:rPr>
  </w:style>
  <w:style w:type="character" w:customStyle="1" w:styleId="CommentTextChar">
    <w:name w:val="Comment Text Char"/>
    <w:basedOn w:val="DefaultParagraphFont"/>
    <w:link w:val="CommentText"/>
    <w:uiPriority w:val="99"/>
    <w:semiHidden/>
    <w:rsid w:val="007A077F"/>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7A077F"/>
    <w:rPr>
      <w:b/>
      <w:bCs/>
    </w:rPr>
  </w:style>
  <w:style w:type="character" w:customStyle="1" w:styleId="CommentSubjectChar">
    <w:name w:val="Comment Subject Char"/>
    <w:basedOn w:val="CommentTextChar"/>
    <w:link w:val="CommentSubject"/>
    <w:uiPriority w:val="99"/>
    <w:semiHidden/>
    <w:rsid w:val="007A077F"/>
    <w:rPr>
      <w:rFonts w:eastAsia="Calibri" w:cs="Times New Roman"/>
      <w:b/>
      <w:bCs/>
      <w:sz w:val="20"/>
      <w:szCs w:val="20"/>
    </w:rPr>
  </w:style>
  <w:style w:type="character" w:styleId="FollowedHyperlink">
    <w:name w:val="FollowedHyperlink"/>
    <w:basedOn w:val="DefaultParagraphFont"/>
    <w:uiPriority w:val="99"/>
    <w:semiHidden/>
    <w:unhideWhenUsed/>
    <w:rsid w:val="005E0152"/>
    <w:rPr>
      <w:color w:val="800080" w:themeColor="followedHyperlink"/>
      <w:u w:val="single"/>
    </w:rPr>
  </w:style>
  <w:style w:type="character" w:styleId="Emphasis">
    <w:name w:val="Emphasis"/>
    <w:basedOn w:val="DefaultParagraphFont"/>
    <w:uiPriority w:val="20"/>
    <w:qFormat/>
    <w:rsid w:val="00FD2E46"/>
    <w:rPr>
      <w:b/>
      <w:bCs/>
      <w:i w:val="0"/>
      <w:iCs w:val="0"/>
    </w:rPr>
  </w:style>
  <w:style w:type="character" w:customStyle="1" w:styleId="st">
    <w:name w:val="st"/>
    <w:basedOn w:val="DefaultParagraphFont"/>
    <w:rsid w:val="00FD2E46"/>
  </w:style>
  <w:style w:type="table" w:customStyle="1" w:styleId="TableGrid1">
    <w:name w:val="Table Grid1"/>
    <w:basedOn w:val="TableNormal"/>
    <w:next w:val="TableGrid"/>
    <w:uiPriority w:val="59"/>
    <w:rsid w:val="00626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
    <w:name w:val="Char1 Char Char"/>
    <w:basedOn w:val="Normal"/>
    <w:rsid w:val="00C46F1C"/>
    <w:pPr>
      <w:spacing w:after="160" w:line="240" w:lineRule="exact"/>
    </w:pPr>
    <w:rPr>
      <w:rFonts w:eastAsia="Times New Roman"/>
      <w:sz w:val="20"/>
      <w:szCs w:val="20"/>
      <w:lang w:val="en-US"/>
    </w:rPr>
  </w:style>
  <w:style w:type="paragraph" w:styleId="Revision">
    <w:name w:val="Revision"/>
    <w:hidden/>
    <w:uiPriority w:val="99"/>
    <w:semiHidden/>
    <w:rsid w:val="00C46F1C"/>
    <w:pPr>
      <w:spacing w:after="0" w:line="240" w:lineRule="auto"/>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1D"/>
    <w:rPr>
      <w:rFonts w:eastAsia="Calibri" w:cs="Times New Roman"/>
    </w:rPr>
  </w:style>
  <w:style w:type="paragraph" w:styleId="Heading4">
    <w:name w:val="heading 4"/>
    <w:basedOn w:val="Normal"/>
    <w:next w:val="Normal"/>
    <w:link w:val="Heading4Char"/>
    <w:semiHidden/>
    <w:unhideWhenUsed/>
    <w:qFormat/>
    <w:rsid w:val="00C3701D"/>
    <w:pPr>
      <w:keepNext/>
      <w:spacing w:before="240" w:after="60" w:line="240" w:lineRule="auto"/>
      <w:outlineLvl w:val="3"/>
    </w:pPr>
    <w:rPr>
      <w:rFonts w:ascii="Times New Roman" w:eastAsia="Times New Roman" w:hAnsi="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5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166"/>
  </w:style>
  <w:style w:type="character" w:styleId="PageNumber">
    <w:name w:val="page number"/>
    <w:basedOn w:val="DefaultParagraphFont"/>
    <w:rsid w:val="00405166"/>
  </w:style>
  <w:style w:type="paragraph" w:styleId="BalloonText">
    <w:name w:val="Balloon Text"/>
    <w:basedOn w:val="Normal"/>
    <w:link w:val="BalloonTextChar"/>
    <w:uiPriority w:val="99"/>
    <w:semiHidden/>
    <w:unhideWhenUsed/>
    <w:rsid w:val="0040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66"/>
    <w:rPr>
      <w:rFonts w:ascii="Tahoma" w:hAnsi="Tahoma" w:cs="Tahoma"/>
      <w:sz w:val="16"/>
      <w:szCs w:val="16"/>
    </w:rPr>
  </w:style>
  <w:style w:type="table" w:styleId="TableGrid">
    <w:name w:val="Table Grid"/>
    <w:basedOn w:val="TableNormal"/>
    <w:uiPriority w:val="59"/>
    <w:rsid w:val="001C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C3701D"/>
    <w:rPr>
      <w:rFonts w:ascii="Times New Roman" w:eastAsia="Times New Roman" w:hAnsi="Times New Roman" w:cs="Times New Roman"/>
      <w:b/>
      <w:bCs/>
      <w:sz w:val="28"/>
      <w:szCs w:val="28"/>
      <w:lang w:val="x-none"/>
    </w:rPr>
  </w:style>
  <w:style w:type="paragraph" w:styleId="NormalWeb">
    <w:name w:val="Normal (Web)"/>
    <w:basedOn w:val="Normal"/>
    <w:semiHidden/>
    <w:unhideWhenUsed/>
    <w:rsid w:val="00C3701D"/>
    <w:pPr>
      <w:spacing w:after="240" w:line="240" w:lineRule="auto"/>
      <w:ind w:left="240" w:right="240"/>
    </w:pPr>
    <w:rPr>
      <w:rFonts w:ascii="Times New Roman" w:eastAsia="Times New Roman" w:hAnsi="Times New Roman"/>
      <w:szCs w:val="24"/>
      <w:lang w:val="en-US"/>
    </w:rPr>
  </w:style>
  <w:style w:type="paragraph" w:styleId="FootnoteText">
    <w:name w:val="footnote text"/>
    <w:basedOn w:val="Normal"/>
    <w:link w:val="FootnoteTextChar"/>
    <w:uiPriority w:val="99"/>
    <w:unhideWhenUsed/>
    <w:rsid w:val="00C3701D"/>
    <w:pPr>
      <w:spacing w:after="0" w:line="240" w:lineRule="auto"/>
    </w:pPr>
    <w:rPr>
      <w:rFonts w:eastAsia="Times New Roman"/>
      <w:sz w:val="20"/>
      <w:szCs w:val="20"/>
      <w:lang w:val="x-none"/>
    </w:rPr>
  </w:style>
  <w:style w:type="character" w:customStyle="1" w:styleId="FootnoteTextChar">
    <w:name w:val="Footnote Text Char"/>
    <w:basedOn w:val="DefaultParagraphFont"/>
    <w:link w:val="FootnoteText"/>
    <w:uiPriority w:val="99"/>
    <w:rsid w:val="00C3701D"/>
    <w:rPr>
      <w:rFonts w:eastAsia="Times New Roman" w:cs="Times New Roman"/>
      <w:sz w:val="20"/>
      <w:szCs w:val="20"/>
      <w:lang w:val="x-none"/>
    </w:rPr>
  </w:style>
  <w:style w:type="paragraph" w:styleId="BodyText">
    <w:name w:val="Body Text"/>
    <w:basedOn w:val="Normal"/>
    <w:link w:val="BodyTextChar"/>
    <w:semiHidden/>
    <w:unhideWhenUsed/>
    <w:rsid w:val="00C3701D"/>
    <w:pPr>
      <w:spacing w:after="120" w:line="240" w:lineRule="auto"/>
    </w:pPr>
    <w:rPr>
      <w:rFonts w:ascii="Times New Roman" w:eastAsia="Times New Roman" w:hAnsi="Times New Roman"/>
      <w:szCs w:val="24"/>
      <w:lang w:val="x-none"/>
    </w:rPr>
  </w:style>
  <w:style w:type="character" w:customStyle="1" w:styleId="BodyTextChar">
    <w:name w:val="Body Text Char"/>
    <w:basedOn w:val="DefaultParagraphFont"/>
    <w:link w:val="BodyText"/>
    <w:semiHidden/>
    <w:rsid w:val="00C3701D"/>
    <w:rPr>
      <w:rFonts w:ascii="Times New Roman" w:eastAsia="Times New Roman" w:hAnsi="Times New Roman" w:cs="Times New Roman"/>
      <w:szCs w:val="24"/>
      <w:lang w:val="x-none"/>
    </w:rPr>
  </w:style>
  <w:style w:type="paragraph" w:styleId="BodyTextIndent">
    <w:name w:val="Body Text Indent"/>
    <w:basedOn w:val="Normal"/>
    <w:link w:val="BodyTextIndentChar"/>
    <w:unhideWhenUsed/>
    <w:rsid w:val="00C3701D"/>
    <w:pPr>
      <w:spacing w:after="120" w:line="240" w:lineRule="auto"/>
      <w:ind w:left="283"/>
    </w:pPr>
    <w:rPr>
      <w:rFonts w:ascii="Times New Roman" w:eastAsia="Times New Roman" w:hAnsi="Times New Roman"/>
      <w:szCs w:val="24"/>
      <w:lang w:val="x-none"/>
    </w:rPr>
  </w:style>
  <w:style w:type="character" w:customStyle="1" w:styleId="BodyTextIndentChar">
    <w:name w:val="Body Text Indent Char"/>
    <w:basedOn w:val="DefaultParagraphFont"/>
    <w:link w:val="BodyTextIndent"/>
    <w:rsid w:val="00C3701D"/>
    <w:rPr>
      <w:rFonts w:ascii="Times New Roman" w:eastAsia="Times New Roman" w:hAnsi="Times New Roman" w:cs="Times New Roman"/>
      <w:szCs w:val="24"/>
      <w:lang w:val="x-none"/>
    </w:rPr>
  </w:style>
  <w:style w:type="paragraph" w:styleId="ListParagraph">
    <w:name w:val="List Paragraph"/>
    <w:basedOn w:val="Normal"/>
    <w:uiPriority w:val="34"/>
    <w:qFormat/>
    <w:rsid w:val="00C3701D"/>
    <w:pPr>
      <w:ind w:left="720"/>
      <w:contextualSpacing/>
    </w:pPr>
  </w:style>
  <w:style w:type="paragraph" w:customStyle="1" w:styleId="Indent1">
    <w:name w:val="Indent 1"/>
    <w:basedOn w:val="Normal"/>
    <w:rsid w:val="00C3701D"/>
    <w:pPr>
      <w:spacing w:after="320" w:line="240" w:lineRule="auto"/>
      <w:ind w:left="850"/>
    </w:pPr>
    <w:rPr>
      <w:rFonts w:eastAsia="Times New Roman"/>
      <w:sz w:val="20"/>
      <w:szCs w:val="20"/>
    </w:rPr>
  </w:style>
  <w:style w:type="character" w:styleId="FootnoteReference">
    <w:name w:val="footnote reference"/>
    <w:semiHidden/>
    <w:unhideWhenUsed/>
    <w:rsid w:val="00C3701D"/>
    <w:rPr>
      <w:vertAlign w:val="superscript"/>
    </w:rPr>
  </w:style>
  <w:style w:type="character" w:styleId="Hyperlink">
    <w:name w:val="Hyperlink"/>
    <w:basedOn w:val="DefaultParagraphFont"/>
    <w:uiPriority w:val="99"/>
    <w:unhideWhenUsed/>
    <w:rsid w:val="00C3701D"/>
    <w:rPr>
      <w:color w:val="0000FF"/>
      <w:u w:val="single"/>
    </w:rPr>
  </w:style>
  <w:style w:type="paragraph" w:styleId="Header">
    <w:name w:val="header"/>
    <w:basedOn w:val="Normal"/>
    <w:link w:val="HeaderChar"/>
    <w:uiPriority w:val="99"/>
    <w:unhideWhenUsed/>
    <w:rsid w:val="00C37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01D"/>
    <w:rPr>
      <w:rFonts w:eastAsia="Calibri" w:cs="Times New Roman"/>
    </w:rPr>
  </w:style>
  <w:style w:type="character" w:styleId="CommentReference">
    <w:name w:val="annotation reference"/>
    <w:basedOn w:val="DefaultParagraphFont"/>
    <w:uiPriority w:val="99"/>
    <w:semiHidden/>
    <w:unhideWhenUsed/>
    <w:rsid w:val="007A077F"/>
    <w:rPr>
      <w:sz w:val="16"/>
      <w:szCs w:val="16"/>
    </w:rPr>
  </w:style>
  <w:style w:type="paragraph" w:styleId="CommentText">
    <w:name w:val="annotation text"/>
    <w:basedOn w:val="Normal"/>
    <w:link w:val="CommentTextChar"/>
    <w:uiPriority w:val="99"/>
    <w:semiHidden/>
    <w:unhideWhenUsed/>
    <w:rsid w:val="007A077F"/>
    <w:pPr>
      <w:spacing w:line="240" w:lineRule="auto"/>
    </w:pPr>
    <w:rPr>
      <w:sz w:val="20"/>
      <w:szCs w:val="20"/>
    </w:rPr>
  </w:style>
  <w:style w:type="character" w:customStyle="1" w:styleId="CommentTextChar">
    <w:name w:val="Comment Text Char"/>
    <w:basedOn w:val="DefaultParagraphFont"/>
    <w:link w:val="CommentText"/>
    <w:uiPriority w:val="99"/>
    <w:semiHidden/>
    <w:rsid w:val="007A077F"/>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7A077F"/>
    <w:rPr>
      <w:b/>
      <w:bCs/>
    </w:rPr>
  </w:style>
  <w:style w:type="character" w:customStyle="1" w:styleId="CommentSubjectChar">
    <w:name w:val="Comment Subject Char"/>
    <w:basedOn w:val="CommentTextChar"/>
    <w:link w:val="CommentSubject"/>
    <w:uiPriority w:val="99"/>
    <w:semiHidden/>
    <w:rsid w:val="007A077F"/>
    <w:rPr>
      <w:rFonts w:eastAsia="Calibri" w:cs="Times New Roman"/>
      <w:b/>
      <w:bCs/>
      <w:sz w:val="20"/>
      <w:szCs w:val="20"/>
    </w:rPr>
  </w:style>
  <w:style w:type="character" w:styleId="FollowedHyperlink">
    <w:name w:val="FollowedHyperlink"/>
    <w:basedOn w:val="DefaultParagraphFont"/>
    <w:uiPriority w:val="99"/>
    <w:semiHidden/>
    <w:unhideWhenUsed/>
    <w:rsid w:val="005E0152"/>
    <w:rPr>
      <w:color w:val="800080" w:themeColor="followedHyperlink"/>
      <w:u w:val="single"/>
    </w:rPr>
  </w:style>
  <w:style w:type="character" w:styleId="Emphasis">
    <w:name w:val="Emphasis"/>
    <w:basedOn w:val="DefaultParagraphFont"/>
    <w:uiPriority w:val="20"/>
    <w:qFormat/>
    <w:rsid w:val="00FD2E46"/>
    <w:rPr>
      <w:b/>
      <w:bCs/>
      <w:i w:val="0"/>
      <w:iCs w:val="0"/>
    </w:rPr>
  </w:style>
  <w:style w:type="character" w:customStyle="1" w:styleId="st">
    <w:name w:val="st"/>
    <w:basedOn w:val="DefaultParagraphFont"/>
    <w:rsid w:val="00FD2E46"/>
  </w:style>
  <w:style w:type="table" w:customStyle="1" w:styleId="TableGrid1">
    <w:name w:val="Table Grid1"/>
    <w:basedOn w:val="TableNormal"/>
    <w:next w:val="TableGrid"/>
    <w:uiPriority w:val="59"/>
    <w:rsid w:val="00626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
    <w:name w:val="Char1 Char Char"/>
    <w:basedOn w:val="Normal"/>
    <w:rsid w:val="00C46F1C"/>
    <w:pPr>
      <w:spacing w:after="160" w:line="240" w:lineRule="exact"/>
    </w:pPr>
    <w:rPr>
      <w:rFonts w:eastAsia="Times New Roman"/>
      <w:sz w:val="20"/>
      <w:szCs w:val="20"/>
      <w:lang w:val="en-US"/>
    </w:rPr>
  </w:style>
  <w:style w:type="paragraph" w:styleId="Revision">
    <w:name w:val="Revision"/>
    <w:hidden/>
    <w:uiPriority w:val="99"/>
    <w:semiHidden/>
    <w:rsid w:val="00C46F1C"/>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10073">
      <w:bodyDiv w:val="1"/>
      <w:marLeft w:val="0"/>
      <w:marRight w:val="0"/>
      <w:marTop w:val="0"/>
      <w:marBottom w:val="0"/>
      <w:divBdr>
        <w:top w:val="none" w:sz="0" w:space="0" w:color="auto"/>
        <w:left w:val="none" w:sz="0" w:space="0" w:color="auto"/>
        <w:bottom w:val="none" w:sz="0" w:space="0" w:color="auto"/>
        <w:right w:val="none" w:sz="0" w:space="0" w:color="auto"/>
      </w:divBdr>
    </w:div>
    <w:div w:id="1015039016">
      <w:bodyDiv w:val="1"/>
      <w:marLeft w:val="0"/>
      <w:marRight w:val="0"/>
      <w:marTop w:val="0"/>
      <w:marBottom w:val="0"/>
      <w:divBdr>
        <w:top w:val="none" w:sz="0" w:space="0" w:color="auto"/>
        <w:left w:val="none" w:sz="0" w:space="0" w:color="auto"/>
        <w:bottom w:val="none" w:sz="0" w:space="0" w:color="auto"/>
        <w:right w:val="none" w:sz="0" w:space="0" w:color="auto"/>
      </w:divBdr>
    </w:div>
    <w:div w:id="1246648291">
      <w:bodyDiv w:val="1"/>
      <w:marLeft w:val="0"/>
      <w:marRight w:val="0"/>
      <w:marTop w:val="0"/>
      <w:marBottom w:val="0"/>
      <w:divBdr>
        <w:top w:val="none" w:sz="0" w:space="0" w:color="auto"/>
        <w:left w:val="none" w:sz="0" w:space="0" w:color="auto"/>
        <w:bottom w:val="none" w:sz="0" w:space="0" w:color="auto"/>
        <w:right w:val="none" w:sz="0" w:space="0" w:color="auto"/>
      </w:divBdr>
    </w:div>
    <w:div w:id="133368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nsu.govt.nz/Current-NSU-Programmes/568.a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su.govt.nz/Current-NSU-Programmes/566.asp" TargetMode="External"/><Relationship Id="rId2" Type="http://schemas.openxmlformats.org/officeDocument/2006/relationships/numbering" Target="numbering.xml"/><Relationship Id="rId16" Type="http://schemas.openxmlformats.org/officeDocument/2006/relationships/hyperlink" Target="http://www.nsu.govt.nz/Current-NSU-Programmes/559.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su.govt.nz/Current-NSU-Programmes/564.asp" TargetMode="External"/><Relationship Id="rId10" Type="http://schemas.openxmlformats.org/officeDocument/2006/relationships/hyperlink" Target="http://www.nsfl.health.govt.n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nsfl.health.govt.nz/purchase-un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7A006-3E69-4FA0-BEEF-95DB6A63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3860</Words>
  <Characters>22006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Davidson</dc:creator>
  <cp:lastModifiedBy>vailtiff</cp:lastModifiedBy>
  <cp:revision>2</cp:revision>
  <cp:lastPrinted>2016-03-15T23:34:00Z</cp:lastPrinted>
  <dcterms:created xsi:type="dcterms:W3CDTF">2016-08-11T21:38:00Z</dcterms:created>
  <dcterms:modified xsi:type="dcterms:W3CDTF">2016-08-11T21:38:00Z</dcterms:modified>
</cp:coreProperties>
</file>