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6"/>
        <w:gridCol w:w="4554"/>
        <w:gridCol w:w="3053"/>
        <w:gridCol w:w="2722"/>
      </w:tblGrid>
      <w:tr w:rsidR="00B1013B" w:rsidRPr="0019546F" w14:paraId="3A3ABC2C" w14:textId="77777777" w:rsidTr="002649ED">
        <w:trPr>
          <w:cantSplit/>
        </w:trPr>
        <w:tc>
          <w:tcPr>
            <w:tcW w:w="2206" w:type="pct"/>
            <w:gridSpan w:val="2"/>
            <w:vAlign w:val="center"/>
          </w:tcPr>
          <w:p w14:paraId="2C91FF15" w14:textId="77777777" w:rsidR="00B1013B" w:rsidRPr="0019546F" w:rsidRDefault="007E6AA3" w:rsidP="00072D12">
            <w:pPr>
              <w:jc w:val="left"/>
              <w:rPr>
                <w:rFonts w:cs="Arial"/>
                <w:bCs/>
                <w:sz w:val="36"/>
              </w:rPr>
            </w:pPr>
            <w:r w:rsidRPr="0019546F">
              <w:rPr>
                <w:rFonts w:cs="Arial"/>
                <w:noProof/>
                <w:lang w:eastAsia="en-NZ"/>
              </w:rPr>
              <w:drawing>
                <wp:inline distT="0" distB="0" distL="0" distR="0" wp14:anchorId="220AAE11" wp14:editId="0EC48BD5">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2794" w:type="pct"/>
            <w:gridSpan w:val="2"/>
            <w:vAlign w:val="center"/>
          </w:tcPr>
          <w:p w14:paraId="77F384F1" w14:textId="77777777" w:rsidR="00B1013B" w:rsidRPr="0019546F" w:rsidRDefault="00B1013B" w:rsidP="00072D12">
            <w:pPr>
              <w:jc w:val="right"/>
              <w:rPr>
                <w:rFonts w:cs="Arial"/>
                <w:b/>
                <w:sz w:val="32"/>
                <w:szCs w:val="32"/>
              </w:rPr>
            </w:pPr>
            <w:r w:rsidRPr="0019546F">
              <w:rPr>
                <w:rFonts w:cs="Arial"/>
                <w:b/>
                <w:sz w:val="32"/>
                <w:szCs w:val="32"/>
              </w:rPr>
              <w:t>All District Health Boards</w:t>
            </w:r>
          </w:p>
          <w:p w14:paraId="54401A38" w14:textId="77777777" w:rsidR="00B1013B" w:rsidRPr="0019546F" w:rsidRDefault="00B1013B" w:rsidP="00072D12">
            <w:pPr>
              <w:jc w:val="left"/>
              <w:rPr>
                <w:rFonts w:cs="Arial"/>
                <w:bCs/>
                <w:sz w:val="36"/>
              </w:rPr>
            </w:pPr>
          </w:p>
        </w:tc>
      </w:tr>
      <w:tr w:rsidR="00B1013B" w:rsidRPr="0019546F" w14:paraId="3C35CF70" w14:textId="77777777" w:rsidTr="002649ED">
        <w:tc>
          <w:tcPr>
            <w:tcW w:w="5000" w:type="pct"/>
            <w:gridSpan w:val="4"/>
            <w:tcBorders>
              <w:bottom w:val="single" w:sz="4" w:space="0" w:color="auto"/>
            </w:tcBorders>
          </w:tcPr>
          <w:p w14:paraId="7A51B80D" w14:textId="77777777" w:rsidR="00B1013B" w:rsidRPr="0019546F" w:rsidRDefault="00B1013B" w:rsidP="005F2EC4">
            <w:pPr>
              <w:spacing w:before="1680"/>
              <w:jc w:val="center"/>
              <w:rPr>
                <w:rFonts w:cs="Arial"/>
                <w:b/>
                <w:sz w:val="36"/>
                <w:szCs w:val="36"/>
              </w:rPr>
            </w:pPr>
            <w:r w:rsidRPr="0019546F">
              <w:rPr>
                <w:rFonts w:cs="Arial"/>
                <w:b/>
                <w:sz w:val="36"/>
                <w:szCs w:val="36"/>
              </w:rPr>
              <w:t>ORAL HEALTH SERVICES</w:t>
            </w:r>
            <w:r w:rsidR="00B23F26" w:rsidRPr="0019546F">
              <w:rPr>
                <w:rFonts w:cs="Arial"/>
                <w:b/>
                <w:sz w:val="36"/>
                <w:szCs w:val="36"/>
              </w:rPr>
              <w:t xml:space="preserve"> - </w:t>
            </w:r>
          </w:p>
          <w:p w14:paraId="2C0EC349" w14:textId="77777777" w:rsidR="00B1013B" w:rsidRPr="0019546F" w:rsidRDefault="00B1013B" w:rsidP="00072D12">
            <w:pPr>
              <w:spacing w:before="120"/>
              <w:jc w:val="center"/>
              <w:rPr>
                <w:rFonts w:cs="Arial"/>
                <w:b/>
                <w:sz w:val="36"/>
                <w:szCs w:val="36"/>
              </w:rPr>
            </w:pPr>
            <w:r w:rsidRPr="0019546F">
              <w:rPr>
                <w:rFonts w:cs="Arial"/>
                <w:b/>
                <w:sz w:val="36"/>
                <w:szCs w:val="36"/>
              </w:rPr>
              <w:t>TIER ONE</w:t>
            </w:r>
          </w:p>
          <w:p w14:paraId="710A88FA" w14:textId="4999F909" w:rsidR="00B1013B" w:rsidRPr="0019546F" w:rsidRDefault="00B1013B" w:rsidP="009F27FD">
            <w:pPr>
              <w:spacing w:before="120" w:after="1680"/>
              <w:jc w:val="center"/>
              <w:rPr>
                <w:rFonts w:cs="Arial"/>
                <w:b/>
                <w:lang w:val="en-US"/>
              </w:rPr>
            </w:pPr>
            <w:r w:rsidRPr="0019546F">
              <w:rPr>
                <w:rFonts w:cs="Arial"/>
                <w:b/>
                <w:sz w:val="36"/>
                <w:szCs w:val="36"/>
              </w:rPr>
              <w:t>SERVICE SPECIFICATION</w:t>
            </w:r>
          </w:p>
        </w:tc>
      </w:tr>
      <w:tr w:rsidR="00B1013B" w:rsidRPr="0019546F" w14:paraId="572F2452" w14:textId="77777777" w:rsidTr="002649ED">
        <w:tc>
          <w:tcPr>
            <w:tcW w:w="3683" w:type="pct"/>
            <w:gridSpan w:val="3"/>
            <w:tcBorders>
              <w:top w:val="single" w:sz="4" w:space="0" w:color="auto"/>
              <w:left w:val="single" w:sz="4" w:space="0" w:color="auto"/>
              <w:bottom w:val="single" w:sz="4" w:space="0" w:color="auto"/>
              <w:right w:val="single" w:sz="4" w:space="0" w:color="auto"/>
            </w:tcBorders>
          </w:tcPr>
          <w:p w14:paraId="43160C2A" w14:textId="77777777" w:rsidR="00B23415" w:rsidRDefault="00193855" w:rsidP="00851F47">
            <w:pPr>
              <w:spacing w:before="120" w:after="120"/>
              <w:rPr>
                <w:rFonts w:cs="Arial"/>
                <w:b/>
                <w:sz w:val="32"/>
              </w:rPr>
            </w:pPr>
            <w:r w:rsidRPr="0019546F">
              <w:rPr>
                <w:rFonts w:cs="Arial"/>
                <w:b/>
                <w:sz w:val="32"/>
              </w:rPr>
              <w:t>STATUS</w:t>
            </w:r>
            <w:r w:rsidR="00B1013B" w:rsidRPr="0019546F">
              <w:rPr>
                <w:rFonts w:cs="Arial"/>
                <w:b/>
                <w:sz w:val="32"/>
              </w:rPr>
              <w:t>:</w:t>
            </w:r>
            <w:r w:rsidR="002A5E4D" w:rsidRPr="0019546F">
              <w:rPr>
                <w:rFonts w:cs="Arial"/>
                <w:b/>
                <w:sz w:val="32"/>
              </w:rPr>
              <w:t xml:space="preserve"> </w:t>
            </w:r>
          </w:p>
          <w:p w14:paraId="4C0EED32" w14:textId="464923C4" w:rsidR="00B1013B" w:rsidRPr="00B23415" w:rsidRDefault="00851F47" w:rsidP="00851F47">
            <w:pPr>
              <w:spacing w:before="120" w:after="120"/>
              <w:jc w:val="left"/>
              <w:rPr>
                <w:rFonts w:cs="Arial"/>
                <w:b/>
                <w:sz w:val="32"/>
              </w:rPr>
            </w:pPr>
            <w:r w:rsidRPr="00240F36">
              <w:rPr>
                <w:rFonts w:cs="Arial"/>
                <w:sz w:val="32"/>
                <w:szCs w:val="32"/>
              </w:rPr>
              <w:t>Approved to be used for mandatory nationwide description of services to be provided.</w:t>
            </w:r>
          </w:p>
        </w:tc>
        <w:tc>
          <w:tcPr>
            <w:tcW w:w="1317" w:type="pct"/>
            <w:tcBorders>
              <w:top w:val="single" w:sz="4" w:space="0" w:color="auto"/>
              <w:left w:val="single" w:sz="4" w:space="0" w:color="auto"/>
              <w:bottom w:val="single" w:sz="4" w:space="0" w:color="auto"/>
              <w:right w:val="single" w:sz="4" w:space="0" w:color="auto"/>
            </w:tcBorders>
          </w:tcPr>
          <w:p w14:paraId="02823699" w14:textId="77777777" w:rsidR="00BE7DE6" w:rsidRDefault="00BE7DE6" w:rsidP="00BE7DE6">
            <w:pPr>
              <w:spacing w:before="120" w:after="120"/>
              <w:jc w:val="left"/>
              <w:rPr>
                <w:rFonts w:cs="Arial"/>
                <w:b/>
                <w:sz w:val="32"/>
                <w:szCs w:val="32"/>
              </w:rPr>
            </w:pPr>
            <w:r>
              <w:rPr>
                <w:rFonts w:cs="Arial"/>
                <w:b/>
                <w:sz w:val="32"/>
                <w:szCs w:val="32"/>
              </w:rPr>
              <w:t>MANDATORY</w:t>
            </w:r>
          </w:p>
          <w:p w14:paraId="096DDFCB" w14:textId="77777777" w:rsidR="00B1013B" w:rsidRPr="0019546F" w:rsidRDefault="00B1013B" w:rsidP="00851F47">
            <w:pPr>
              <w:spacing w:before="120" w:after="120"/>
              <w:jc w:val="left"/>
              <w:rPr>
                <w:rFonts w:cs="Arial"/>
                <w:sz w:val="28"/>
                <w:szCs w:val="28"/>
                <w:lang w:val="en-US"/>
              </w:rPr>
            </w:pPr>
          </w:p>
        </w:tc>
      </w:tr>
      <w:tr w:rsidR="00B1013B" w:rsidRPr="0019546F" w14:paraId="1A293465" w14:textId="77777777" w:rsidTr="002649ED">
        <w:trPr>
          <w:trHeight w:val="297"/>
        </w:trPr>
        <w:tc>
          <w:tcPr>
            <w:tcW w:w="3683" w:type="pct"/>
            <w:gridSpan w:val="3"/>
            <w:tcBorders>
              <w:top w:val="single" w:sz="4" w:space="0" w:color="auto"/>
              <w:left w:val="single" w:sz="4" w:space="0" w:color="auto"/>
              <w:bottom w:val="single" w:sz="4" w:space="0" w:color="auto"/>
              <w:right w:val="single" w:sz="4" w:space="0" w:color="auto"/>
            </w:tcBorders>
            <w:shd w:val="clear" w:color="auto" w:fill="CCCCCC"/>
          </w:tcPr>
          <w:p w14:paraId="469132C2" w14:textId="77777777" w:rsidR="00B1013B" w:rsidRPr="0019546F" w:rsidRDefault="00B1013B" w:rsidP="00851F47">
            <w:pPr>
              <w:spacing w:before="120" w:after="120"/>
              <w:rPr>
                <w:rFonts w:cs="Arial"/>
                <w:b/>
                <w:sz w:val="28"/>
                <w:szCs w:val="28"/>
              </w:rPr>
            </w:pPr>
            <w:r w:rsidRPr="0019546F">
              <w:rPr>
                <w:rFonts w:cs="Arial"/>
                <w:b/>
                <w:sz w:val="28"/>
                <w:szCs w:val="28"/>
              </w:rPr>
              <w:t>Review History</w:t>
            </w:r>
          </w:p>
        </w:tc>
        <w:tc>
          <w:tcPr>
            <w:tcW w:w="1317" w:type="pct"/>
            <w:tcBorders>
              <w:top w:val="single" w:sz="4" w:space="0" w:color="auto"/>
              <w:left w:val="single" w:sz="4" w:space="0" w:color="auto"/>
              <w:bottom w:val="single" w:sz="4" w:space="0" w:color="auto"/>
              <w:right w:val="single" w:sz="4" w:space="0" w:color="auto"/>
            </w:tcBorders>
            <w:shd w:val="clear" w:color="auto" w:fill="CCCCCC"/>
          </w:tcPr>
          <w:p w14:paraId="4B551591" w14:textId="77777777" w:rsidR="00B1013B" w:rsidRPr="0019546F" w:rsidRDefault="00B1013B" w:rsidP="00851F47">
            <w:pPr>
              <w:spacing w:before="120" w:after="120"/>
              <w:rPr>
                <w:rFonts w:cs="Arial"/>
                <w:b/>
                <w:sz w:val="28"/>
                <w:szCs w:val="28"/>
              </w:rPr>
            </w:pPr>
            <w:r w:rsidRPr="0019546F">
              <w:rPr>
                <w:rFonts w:cs="Arial"/>
                <w:b/>
                <w:sz w:val="28"/>
                <w:szCs w:val="28"/>
              </w:rPr>
              <w:t>Date</w:t>
            </w:r>
          </w:p>
        </w:tc>
      </w:tr>
      <w:tr w:rsidR="00B1013B" w:rsidRPr="0019546F" w14:paraId="251DB424" w14:textId="77777777" w:rsidTr="002649ED">
        <w:tc>
          <w:tcPr>
            <w:tcW w:w="3683" w:type="pct"/>
            <w:gridSpan w:val="3"/>
            <w:tcBorders>
              <w:top w:val="single" w:sz="4" w:space="0" w:color="auto"/>
              <w:left w:val="single" w:sz="4" w:space="0" w:color="auto"/>
              <w:bottom w:val="single" w:sz="6" w:space="0" w:color="auto"/>
              <w:right w:val="single" w:sz="6" w:space="0" w:color="auto"/>
            </w:tcBorders>
            <w:vAlign w:val="center"/>
          </w:tcPr>
          <w:p w14:paraId="39CBBC91" w14:textId="7F64D5EF" w:rsidR="00B1013B" w:rsidRPr="00851F47" w:rsidRDefault="00B1013B" w:rsidP="00851F47">
            <w:pPr>
              <w:pStyle w:val="BodyText"/>
              <w:spacing w:before="120"/>
              <w:jc w:val="left"/>
              <w:rPr>
                <w:rFonts w:ascii="Arial" w:hAnsi="Arial" w:cs="Arial"/>
                <w:sz w:val="22"/>
                <w:szCs w:val="22"/>
              </w:rPr>
            </w:pPr>
            <w:r w:rsidRPr="00851F47">
              <w:rPr>
                <w:rFonts w:ascii="Arial" w:hAnsi="Arial" w:cs="Arial"/>
                <w:sz w:val="22"/>
                <w:szCs w:val="22"/>
              </w:rPr>
              <w:t xml:space="preserve">First </w:t>
            </w:r>
            <w:r w:rsidR="0004242E" w:rsidRPr="00851F47">
              <w:rPr>
                <w:rFonts w:ascii="Arial" w:hAnsi="Arial" w:cs="Arial"/>
                <w:sz w:val="22"/>
                <w:szCs w:val="22"/>
              </w:rPr>
              <w:t>p</w:t>
            </w:r>
            <w:r w:rsidRPr="00851F47">
              <w:rPr>
                <w:rFonts w:ascii="Arial" w:hAnsi="Arial" w:cs="Arial"/>
                <w:sz w:val="22"/>
                <w:szCs w:val="22"/>
              </w:rPr>
              <w:t xml:space="preserve">ublished on </w:t>
            </w:r>
            <w:r w:rsidR="00851F47" w:rsidRPr="00455EB2">
              <w:rPr>
                <w:rFonts w:ascii="Arial" w:hAnsi="Arial" w:cs="Arial"/>
                <w:sz w:val="22"/>
                <w:szCs w:val="22"/>
              </w:rPr>
              <w:t>Nationwide Service Framework Library</w:t>
            </w:r>
          </w:p>
        </w:tc>
        <w:tc>
          <w:tcPr>
            <w:tcW w:w="1317" w:type="pct"/>
            <w:tcBorders>
              <w:top w:val="single" w:sz="4" w:space="0" w:color="auto"/>
              <w:left w:val="single" w:sz="6" w:space="0" w:color="auto"/>
              <w:bottom w:val="single" w:sz="6" w:space="0" w:color="auto"/>
              <w:right w:val="single" w:sz="4" w:space="0" w:color="auto"/>
            </w:tcBorders>
            <w:vAlign w:val="center"/>
          </w:tcPr>
          <w:p w14:paraId="580DD127" w14:textId="77777777" w:rsidR="00B1013B" w:rsidRPr="00851F47" w:rsidRDefault="00B1013B" w:rsidP="00851F47">
            <w:pPr>
              <w:spacing w:before="120" w:after="120"/>
              <w:jc w:val="left"/>
              <w:rPr>
                <w:rFonts w:cs="Arial"/>
                <w:sz w:val="22"/>
                <w:szCs w:val="22"/>
              </w:rPr>
            </w:pPr>
            <w:r w:rsidRPr="00851F47">
              <w:rPr>
                <w:rFonts w:cs="Arial"/>
                <w:sz w:val="22"/>
                <w:szCs w:val="22"/>
              </w:rPr>
              <w:t>June 2006</w:t>
            </w:r>
          </w:p>
        </w:tc>
      </w:tr>
      <w:tr w:rsidR="00B1013B" w:rsidRPr="0019546F" w14:paraId="7CB13FE4" w14:textId="77777777" w:rsidTr="002649ED">
        <w:tc>
          <w:tcPr>
            <w:tcW w:w="3683" w:type="pct"/>
            <w:gridSpan w:val="3"/>
            <w:tcBorders>
              <w:top w:val="single" w:sz="6" w:space="0" w:color="auto"/>
              <w:left w:val="single" w:sz="4" w:space="0" w:color="auto"/>
              <w:bottom w:val="single" w:sz="6" w:space="0" w:color="auto"/>
              <w:right w:val="single" w:sz="6" w:space="0" w:color="auto"/>
            </w:tcBorders>
            <w:vAlign w:val="center"/>
          </w:tcPr>
          <w:p w14:paraId="7F947CED" w14:textId="0AFF502B" w:rsidR="00B1013B" w:rsidRPr="00851F47" w:rsidRDefault="0004242E" w:rsidP="00851F47">
            <w:pPr>
              <w:pStyle w:val="BodyText"/>
              <w:spacing w:before="120"/>
              <w:jc w:val="left"/>
              <w:rPr>
                <w:rFonts w:ascii="Arial" w:hAnsi="Arial" w:cs="Arial"/>
                <w:sz w:val="22"/>
                <w:szCs w:val="22"/>
              </w:rPr>
            </w:pPr>
            <w:r w:rsidRPr="00851F47">
              <w:rPr>
                <w:rFonts w:ascii="Arial" w:hAnsi="Arial" w:cs="Arial"/>
                <w:sz w:val="22"/>
                <w:szCs w:val="22"/>
              </w:rPr>
              <w:t>Amendments</w:t>
            </w:r>
            <w:r w:rsidR="00B1013B" w:rsidRPr="00851F47">
              <w:rPr>
                <w:rFonts w:ascii="Arial" w:hAnsi="Arial" w:cs="Arial"/>
                <w:sz w:val="22"/>
                <w:szCs w:val="22"/>
              </w:rPr>
              <w:t xml:space="preserve">: Standard Māori health clause, entry and exit criteria, support services, service linkages table, quality requirements updated, purchase units table updated.  </w:t>
            </w:r>
          </w:p>
        </w:tc>
        <w:tc>
          <w:tcPr>
            <w:tcW w:w="1317" w:type="pct"/>
            <w:tcBorders>
              <w:top w:val="single" w:sz="6" w:space="0" w:color="auto"/>
              <w:left w:val="single" w:sz="6" w:space="0" w:color="auto"/>
              <w:bottom w:val="single" w:sz="6" w:space="0" w:color="auto"/>
              <w:right w:val="single" w:sz="4" w:space="0" w:color="auto"/>
            </w:tcBorders>
            <w:vAlign w:val="center"/>
          </w:tcPr>
          <w:p w14:paraId="7E89849C" w14:textId="77777777" w:rsidR="00B1013B" w:rsidRPr="00851F47" w:rsidRDefault="00B1013B" w:rsidP="00851F47">
            <w:pPr>
              <w:spacing w:before="120" w:after="120"/>
              <w:jc w:val="left"/>
              <w:rPr>
                <w:rFonts w:cs="Arial"/>
                <w:sz w:val="22"/>
                <w:szCs w:val="22"/>
              </w:rPr>
            </w:pPr>
            <w:r w:rsidRPr="00851F47">
              <w:rPr>
                <w:rFonts w:cs="Arial"/>
                <w:sz w:val="22"/>
                <w:szCs w:val="22"/>
              </w:rPr>
              <w:t>December 2009</w:t>
            </w:r>
          </w:p>
        </w:tc>
      </w:tr>
      <w:tr w:rsidR="00B1013B" w:rsidRPr="0019546F" w14:paraId="176474F7" w14:textId="77777777" w:rsidTr="002649ED">
        <w:trPr>
          <w:gridBefore w:val="1"/>
          <w:wBefore w:w="3" w:type="pct"/>
        </w:trPr>
        <w:tc>
          <w:tcPr>
            <w:tcW w:w="3680" w:type="pct"/>
            <w:gridSpan w:val="2"/>
            <w:tcBorders>
              <w:top w:val="single" w:sz="6" w:space="0" w:color="auto"/>
              <w:left w:val="single" w:sz="4" w:space="0" w:color="auto"/>
              <w:bottom w:val="single" w:sz="6" w:space="0" w:color="auto"/>
              <w:right w:val="single" w:sz="6" w:space="0" w:color="auto"/>
            </w:tcBorders>
            <w:vAlign w:val="center"/>
          </w:tcPr>
          <w:p w14:paraId="36ED0B55" w14:textId="2C36998E" w:rsidR="00B1013B" w:rsidRPr="00851F47" w:rsidRDefault="00851F47" w:rsidP="00851F47">
            <w:pPr>
              <w:pStyle w:val="BodyText"/>
              <w:spacing w:before="120"/>
              <w:jc w:val="left"/>
              <w:rPr>
                <w:rFonts w:ascii="Arial" w:hAnsi="Arial" w:cs="Arial"/>
                <w:sz w:val="22"/>
                <w:szCs w:val="22"/>
              </w:rPr>
            </w:pPr>
            <w:r>
              <w:rPr>
                <w:rFonts w:ascii="Arial" w:hAnsi="Arial" w:cs="Arial"/>
                <w:sz w:val="22"/>
                <w:szCs w:val="22"/>
              </w:rPr>
              <w:t xml:space="preserve">Amendments: </w:t>
            </w:r>
            <w:r w:rsidR="00B1013B" w:rsidRPr="00851F47">
              <w:rPr>
                <w:rFonts w:ascii="Arial" w:hAnsi="Arial" w:cs="Arial"/>
                <w:sz w:val="22"/>
                <w:szCs w:val="22"/>
              </w:rPr>
              <w:t>Administration review</w:t>
            </w:r>
            <w:r>
              <w:rPr>
                <w:rFonts w:ascii="Arial" w:hAnsi="Arial" w:cs="Arial"/>
                <w:sz w:val="22"/>
                <w:szCs w:val="22"/>
              </w:rPr>
              <w:t xml:space="preserve">, </w:t>
            </w:r>
            <w:r w:rsidR="00B1013B" w:rsidRPr="00851F47">
              <w:rPr>
                <w:rFonts w:ascii="Arial" w:hAnsi="Arial" w:cs="Arial"/>
                <w:sz w:val="22"/>
                <w:szCs w:val="22"/>
              </w:rPr>
              <w:t>updated formatting, names of linked tier two service specifications, purchase unit table national collections column.</w:t>
            </w:r>
          </w:p>
        </w:tc>
        <w:tc>
          <w:tcPr>
            <w:tcW w:w="1317" w:type="pct"/>
            <w:tcBorders>
              <w:top w:val="single" w:sz="6" w:space="0" w:color="auto"/>
              <w:left w:val="single" w:sz="6" w:space="0" w:color="auto"/>
              <w:bottom w:val="single" w:sz="6" w:space="0" w:color="auto"/>
              <w:right w:val="single" w:sz="4" w:space="0" w:color="auto"/>
            </w:tcBorders>
            <w:vAlign w:val="center"/>
          </w:tcPr>
          <w:p w14:paraId="3ED89F4F" w14:textId="77777777" w:rsidR="00B1013B" w:rsidRPr="00851F47" w:rsidRDefault="005634BD" w:rsidP="00851F47">
            <w:pPr>
              <w:spacing w:before="120" w:after="120"/>
              <w:jc w:val="left"/>
              <w:rPr>
                <w:rFonts w:cs="Arial"/>
                <w:sz w:val="22"/>
                <w:szCs w:val="22"/>
              </w:rPr>
            </w:pPr>
            <w:r w:rsidRPr="00851F47">
              <w:rPr>
                <w:rFonts w:cs="Arial"/>
                <w:sz w:val="22"/>
                <w:szCs w:val="22"/>
              </w:rPr>
              <w:t xml:space="preserve">June </w:t>
            </w:r>
            <w:r w:rsidR="00193855" w:rsidRPr="00851F47">
              <w:rPr>
                <w:rFonts w:cs="Arial"/>
                <w:sz w:val="22"/>
                <w:szCs w:val="22"/>
              </w:rPr>
              <w:t>2015</w:t>
            </w:r>
          </w:p>
        </w:tc>
      </w:tr>
      <w:tr w:rsidR="0004242E" w:rsidRPr="0019546F" w14:paraId="506B69C6" w14:textId="77777777" w:rsidTr="002649ED">
        <w:trPr>
          <w:gridBefore w:val="1"/>
          <w:wBefore w:w="3" w:type="pct"/>
        </w:trPr>
        <w:tc>
          <w:tcPr>
            <w:tcW w:w="3680" w:type="pct"/>
            <w:gridSpan w:val="2"/>
            <w:tcBorders>
              <w:top w:val="single" w:sz="6" w:space="0" w:color="auto"/>
              <w:left w:val="single" w:sz="4" w:space="0" w:color="auto"/>
              <w:bottom w:val="single" w:sz="6" w:space="0" w:color="auto"/>
              <w:right w:val="single" w:sz="6" w:space="0" w:color="auto"/>
            </w:tcBorders>
            <w:vAlign w:val="center"/>
          </w:tcPr>
          <w:p w14:paraId="3F78AB9B" w14:textId="53EA2D68" w:rsidR="0004242E" w:rsidRPr="00851F47" w:rsidRDefault="0004242E" w:rsidP="00851F47">
            <w:pPr>
              <w:pStyle w:val="BodyText"/>
              <w:spacing w:before="120"/>
              <w:jc w:val="left"/>
              <w:rPr>
                <w:rFonts w:ascii="Arial" w:hAnsi="Arial" w:cs="Arial"/>
                <w:sz w:val="22"/>
                <w:szCs w:val="22"/>
              </w:rPr>
            </w:pPr>
            <w:r w:rsidRPr="00851F47">
              <w:rPr>
                <w:rFonts w:ascii="Arial" w:hAnsi="Arial" w:cs="Arial"/>
                <w:sz w:val="22"/>
                <w:szCs w:val="22"/>
              </w:rPr>
              <w:t>Amendments:</w:t>
            </w:r>
            <w:r w:rsidR="00851F47" w:rsidRPr="00851F47">
              <w:rPr>
                <w:rFonts w:ascii="Arial" w:hAnsi="Arial" w:cs="Arial"/>
                <w:sz w:val="22"/>
                <w:szCs w:val="22"/>
              </w:rPr>
              <w:t xml:space="preserve"> </w:t>
            </w:r>
            <w:r w:rsidR="00851F47" w:rsidRPr="00851F47">
              <w:rPr>
                <w:rFonts w:ascii="Arial" w:hAnsi="Arial" w:cs="Arial"/>
                <w:sz w:val="22"/>
                <w:szCs w:val="22"/>
                <w:lang w:val="en-NZ"/>
              </w:rPr>
              <w:t>Administration review, minor editing and formatting changes, updated links, references and language etc.</w:t>
            </w:r>
          </w:p>
        </w:tc>
        <w:tc>
          <w:tcPr>
            <w:tcW w:w="1317" w:type="pct"/>
            <w:tcBorders>
              <w:top w:val="single" w:sz="6" w:space="0" w:color="auto"/>
              <w:left w:val="single" w:sz="6" w:space="0" w:color="auto"/>
              <w:bottom w:val="single" w:sz="6" w:space="0" w:color="auto"/>
              <w:right w:val="single" w:sz="4" w:space="0" w:color="auto"/>
            </w:tcBorders>
            <w:vAlign w:val="center"/>
          </w:tcPr>
          <w:p w14:paraId="135C2105" w14:textId="52D1BFA5" w:rsidR="0004242E" w:rsidRPr="00851F47" w:rsidRDefault="00F51770" w:rsidP="00851F47">
            <w:pPr>
              <w:spacing w:before="120" w:after="120"/>
              <w:jc w:val="left"/>
              <w:rPr>
                <w:rFonts w:cs="Arial"/>
                <w:sz w:val="22"/>
                <w:szCs w:val="22"/>
              </w:rPr>
            </w:pPr>
            <w:r>
              <w:rPr>
                <w:rFonts w:cs="Arial"/>
                <w:sz w:val="22"/>
                <w:szCs w:val="22"/>
              </w:rPr>
              <w:t>May 2021</w:t>
            </w:r>
          </w:p>
        </w:tc>
      </w:tr>
      <w:tr w:rsidR="00B1013B" w:rsidRPr="0019546F" w14:paraId="36CF4126" w14:textId="77777777" w:rsidTr="002649ED">
        <w:trPr>
          <w:gridBefore w:val="1"/>
          <w:wBefore w:w="3" w:type="pct"/>
        </w:trPr>
        <w:tc>
          <w:tcPr>
            <w:tcW w:w="3680" w:type="pct"/>
            <w:gridSpan w:val="2"/>
            <w:tcBorders>
              <w:top w:val="single" w:sz="6" w:space="0" w:color="auto"/>
              <w:left w:val="single" w:sz="4" w:space="0" w:color="auto"/>
              <w:bottom w:val="single" w:sz="6" w:space="0" w:color="auto"/>
              <w:right w:val="single" w:sz="6" w:space="0" w:color="auto"/>
            </w:tcBorders>
            <w:vAlign w:val="center"/>
          </w:tcPr>
          <w:p w14:paraId="03E7E45A" w14:textId="77777777" w:rsidR="00B1013B" w:rsidRPr="00851F47" w:rsidRDefault="00B1013B" w:rsidP="00851F47">
            <w:pPr>
              <w:spacing w:before="120" w:after="120"/>
              <w:rPr>
                <w:rFonts w:cs="Arial"/>
                <w:sz w:val="22"/>
                <w:szCs w:val="22"/>
              </w:rPr>
            </w:pPr>
            <w:r w:rsidRPr="00851F47">
              <w:rPr>
                <w:rFonts w:cs="Arial"/>
                <w:sz w:val="22"/>
                <w:szCs w:val="22"/>
              </w:rPr>
              <w:t>Consideration for next Service Specification Review</w:t>
            </w:r>
          </w:p>
        </w:tc>
        <w:tc>
          <w:tcPr>
            <w:tcW w:w="1317" w:type="pct"/>
            <w:tcBorders>
              <w:top w:val="single" w:sz="6" w:space="0" w:color="auto"/>
              <w:left w:val="single" w:sz="6" w:space="0" w:color="auto"/>
              <w:bottom w:val="single" w:sz="6" w:space="0" w:color="auto"/>
              <w:right w:val="single" w:sz="4" w:space="0" w:color="auto"/>
            </w:tcBorders>
            <w:vAlign w:val="center"/>
          </w:tcPr>
          <w:p w14:paraId="72300225" w14:textId="504DE82E" w:rsidR="00B1013B" w:rsidRPr="00851F47" w:rsidRDefault="004A0D02" w:rsidP="00851F47">
            <w:pPr>
              <w:spacing w:before="120" w:after="120"/>
              <w:jc w:val="left"/>
              <w:rPr>
                <w:rFonts w:cs="Arial"/>
                <w:sz w:val="22"/>
                <w:szCs w:val="22"/>
              </w:rPr>
            </w:pPr>
            <w:r>
              <w:rPr>
                <w:rFonts w:cs="Arial"/>
                <w:sz w:val="22"/>
                <w:szCs w:val="22"/>
              </w:rPr>
              <w:t>W</w:t>
            </w:r>
            <w:r w:rsidR="00B1013B" w:rsidRPr="00851F47">
              <w:rPr>
                <w:rFonts w:cs="Arial"/>
                <w:sz w:val="22"/>
                <w:szCs w:val="22"/>
              </w:rPr>
              <w:t>ithin five years</w:t>
            </w:r>
          </w:p>
        </w:tc>
      </w:tr>
    </w:tbl>
    <w:p w14:paraId="088503EB" w14:textId="18144D13" w:rsidR="0004242E" w:rsidRPr="00851F47" w:rsidRDefault="0004242E" w:rsidP="00C24D2C">
      <w:pPr>
        <w:spacing w:before="120"/>
        <w:jc w:val="left"/>
        <w:rPr>
          <w:rFonts w:cs="Arial"/>
          <w:sz w:val="22"/>
          <w:szCs w:val="22"/>
          <w:lang w:val="en-US" w:eastAsia="en-NZ"/>
        </w:rPr>
      </w:pPr>
      <w:bookmarkStart w:id="0" w:name="_Hlk55894266"/>
      <w:r w:rsidRPr="00851F47">
        <w:rPr>
          <w:rFonts w:cs="Arial"/>
          <w:sz w:val="22"/>
          <w:szCs w:val="22"/>
          <w:lang w:val="en-US" w:eastAsia="en-NZ"/>
        </w:rPr>
        <w:t xml:space="preserve">Note: Contact the Service Specification Programme Manager, Planning and Accountability, Ministry of Health, for queries about these service specifications at </w:t>
      </w:r>
      <w:hyperlink r:id="rId12" w:history="1">
        <w:r w:rsidRPr="00851F47">
          <w:rPr>
            <w:rStyle w:val="Hyperlink"/>
            <w:rFonts w:cs="Arial"/>
            <w:sz w:val="22"/>
            <w:szCs w:val="22"/>
            <w:lang w:val="en-US" w:eastAsia="en-NZ"/>
          </w:rPr>
          <w:t>nsfl@health.govt.nz</w:t>
        </w:r>
      </w:hyperlink>
      <w:r w:rsidRPr="00851F47">
        <w:rPr>
          <w:rFonts w:cs="Arial"/>
          <w:sz w:val="22"/>
          <w:szCs w:val="22"/>
          <w:lang w:val="en-US" w:eastAsia="en-NZ"/>
        </w:rPr>
        <w:t>.</w:t>
      </w:r>
    </w:p>
    <w:bookmarkEnd w:id="0"/>
    <w:p w14:paraId="3B9A1ADB" w14:textId="7748B57F" w:rsidR="00B1013B" w:rsidRPr="00851F47" w:rsidRDefault="00B1013B" w:rsidP="00C24D2C">
      <w:pPr>
        <w:spacing w:before="120"/>
        <w:jc w:val="left"/>
        <w:rPr>
          <w:rFonts w:cs="Arial"/>
          <w:sz w:val="22"/>
          <w:szCs w:val="22"/>
          <w:lang w:val="en-US" w:eastAsia="en-NZ"/>
        </w:rPr>
      </w:pPr>
      <w:r w:rsidRPr="00851F47">
        <w:rPr>
          <w:rFonts w:cs="Arial"/>
          <w:sz w:val="22"/>
          <w:szCs w:val="22"/>
          <w:lang w:val="en-US" w:eastAsia="en-NZ"/>
        </w:rPr>
        <w:t>Nationwide Service Framework Library</w:t>
      </w:r>
      <w:r w:rsidR="00B23F26" w:rsidRPr="00851F47">
        <w:rPr>
          <w:rFonts w:cs="Arial"/>
          <w:sz w:val="22"/>
          <w:szCs w:val="22"/>
          <w:lang w:val="en-US" w:eastAsia="en-NZ"/>
        </w:rPr>
        <w:t xml:space="preserve"> </w:t>
      </w:r>
      <w:r w:rsidR="00F73D51" w:rsidRPr="00851F47">
        <w:rPr>
          <w:rFonts w:cs="Arial"/>
          <w:sz w:val="22"/>
          <w:szCs w:val="22"/>
          <w:lang w:val="en-US" w:eastAsia="en-NZ"/>
        </w:rPr>
        <w:t xml:space="preserve">(NSFL) </w:t>
      </w:r>
      <w:r w:rsidR="00B23F26" w:rsidRPr="00851F47">
        <w:rPr>
          <w:rFonts w:cs="Arial"/>
          <w:sz w:val="22"/>
          <w:szCs w:val="22"/>
          <w:lang w:val="en-US" w:eastAsia="en-NZ"/>
        </w:rPr>
        <w:t>website</w:t>
      </w:r>
      <w:r w:rsidRPr="00851F47">
        <w:rPr>
          <w:rFonts w:cs="Arial"/>
          <w:sz w:val="22"/>
          <w:szCs w:val="22"/>
          <w:lang w:val="en-US" w:eastAsia="en-NZ"/>
        </w:rPr>
        <w:t xml:space="preserve">: </w:t>
      </w:r>
      <w:hyperlink r:id="rId13" w:history="1">
        <w:r w:rsidR="009F27FD" w:rsidRPr="00851F47">
          <w:rPr>
            <w:rStyle w:val="Hyperlink"/>
            <w:rFonts w:cs="Arial"/>
            <w:sz w:val="22"/>
            <w:szCs w:val="22"/>
            <w:lang w:val="en-US" w:eastAsia="en-NZ"/>
          </w:rPr>
          <w:t>www.nsfl.health.govt.nz</w:t>
        </w:r>
      </w:hyperlink>
    </w:p>
    <w:p w14:paraId="1BFEBC51" w14:textId="77777777" w:rsidR="00364D21" w:rsidRDefault="00364D21" w:rsidP="00072D12">
      <w:pPr>
        <w:pStyle w:val="Title"/>
        <w:jc w:val="left"/>
        <w:rPr>
          <w:rFonts w:cs="Arial"/>
          <w:sz w:val="20"/>
        </w:rPr>
        <w:sectPr w:rsidR="00364D21" w:rsidSect="009B454D">
          <w:footerReference w:type="even" r:id="rId14"/>
          <w:footerReference w:type="default" r:id="rId15"/>
          <w:footerReference w:type="first" r:id="rId16"/>
          <w:pgSz w:w="11906" w:h="16838" w:code="9"/>
          <w:pgMar w:top="720" w:right="720" w:bottom="720" w:left="851" w:header="720" w:footer="720" w:gutter="0"/>
          <w:pgNumType w:start="1"/>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5"/>
      </w:tblGrid>
      <w:tr w:rsidR="00B1013B" w:rsidRPr="0019546F" w14:paraId="725707B5" w14:textId="77777777" w:rsidTr="00BE7DE6">
        <w:tc>
          <w:tcPr>
            <w:tcW w:w="5000" w:type="pct"/>
          </w:tcPr>
          <w:p w14:paraId="394B6378" w14:textId="77777777" w:rsidR="00B1013B" w:rsidRPr="0019546F" w:rsidRDefault="00B1013B" w:rsidP="00072D12">
            <w:pPr>
              <w:jc w:val="center"/>
              <w:rPr>
                <w:rFonts w:cs="Arial"/>
                <w:b/>
              </w:rPr>
            </w:pPr>
            <w:r w:rsidRPr="0019546F">
              <w:rPr>
                <w:rFonts w:cs="Arial"/>
                <w:b/>
              </w:rPr>
              <w:t>ORAL HEALTH SERVICES</w:t>
            </w:r>
          </w:p>
          <w:p w14:paraId="59F5EDC5" w14:textId="514279FD" w:rsidR="00B1013B" w:rsidRDefault="00B1013B" w:rsidP="00072D12">
            <w:pPr>
              <w:jc w:val="center"/>
              <w:rPr>
                <w:rFonts w:cs="Arial"/>
                <w:b/>
              </w:rPr>
            </w:pPr>
            <w:r w:rsidRPr="0019546F">
              <w:rPr>
                <w:rFonts w:cs="Arial"/>
                <w:b/>
              </w:rPr>
              <w:t>TIER ONE</w:t>
            </w:r>
            <w:r w:rsidR="00510B13">
              <w:rPr>
                <w:rFonts w:cs="Arial"/>
                <w:b/>
              </w:rPr>
              <w:t xml:space="preserve"> </w:t>
            </w:r>
            <w:r w:rsidRPr="0019546F">
              <w:rPr>
                <w:rFonts w:cs="Arial"/>
                <w:b/>
              </w:rPr>
              <w:t>SERVICE SPECIFICATION</w:t>
            </w:r>
          </w:p>
          <w:p w14:paraId="08E91F00" w14:textId="2B7D21A9" w:rsidR="00510B13" w:rsidRPr="0019546F" w:rsidRDefault="00510B13" w:rsidP="00072D12">
            <w:pPr>
              <w:jc w:val="center"/>
              <w:rPr>
                <w:rFonts w:cs="Arial"/>
                <w:b/>
                <w:sz w:val="20"/>
              </w:rPr>
            </w:pPr>
            <w:r>
              <w:rPr>
                <w:rFonts w:cs="Arial"/>
                <w:b/>
              </w:rPr>
              <w:t>(May 2021)</w:t>
            </w:r>
          </w:p>
        </w:tc>
      </w:tr>
    </w:tbl>
    <w:p w14:paraId="0FCF9A40" w14:textId="377B398D" w:rsidR="00B1013B" w:rsidRPr="0019546F" w:rsidRDefault="00B1013B" w:rsidP="00900EFB">
      <w:pPr>
        <w:spacing w:before="240"/>
        <w:ind w:right="-57"/>
        <w:jc w:val="left"/>
        <w:rPr>
          <w:rFonts w:cs="Arial"/>
        </w:rPr>
      </w:pPr>
      <w:r w:rsidRPr="0019546F">
        <w:rPr>
          <w:rFonts w:cs="Arial"/>
        </w:rPr>
        <w:t xml:space="preserve">This tier one Oral Health Services service specification is the overarching service specification for all publicly funded oral health services in </w:t>
      </w:r>
      <w:smartTag w:uri="urn:schemas-microsoft-com:office:smarttags" w:element="place">
        <w:smartTag w:uri="urn:schemas-microsoft-com:office:smarttags" w:element="country-region">
          <w:r w:rsidRPr="0019546F">
            <w:rPr>
              <w:rFonts w:cs="Arial"/>
            </w:rPr>
            <w:t>New Zealand</w:t>
          </w:r>
        </w:smartTag>
      </w:smartTag>
      <w:r w:rsidRPr="0019546F">
        <w:rPr>
          <w:rFonts w:cs="Arial"/>
        </w:rPr>
        <w:t xml:space="preserve">. </w:t>
      </w:r>
      <w:r w:rsidR="0069548E" w:rsidRPr="0019546F">
        <w:rPr>
          <w:rFonts w:cs="Arial"/>
        </w:rPr>
        <w:t xml:space="preserve">It covers hospital and primary oral health care services for </w:t>
      </w:r>
      <w:r w:rsidR="00093700">
        <w:rPr>
          <w:rFonts w:cs="Arial"/>
        </w:rPr>
        <w:t xml:space="preserve">eligible </w:t>
      </w:r>
      <w:r w:rsidR="0069548E" w:rsidRPr="0019546F">
        <w:rPr>
          <w:rFonts w:cs="Arial"/>
        </w:rPr>
        <w:t xml:space="preserve">children, adolescents and adults irrespective of the setting of </w:t>
      </w:r>
      <w:r w:rsidR="005C1BC2" w:rsidRPr="0019546F">
        <w:rPr>
          <w:rFonts w:cs="Arial"/>
        </w:rPr>
        <w:t xml:space="preserve">service </w:t>
      </w:r>
      <w:r w:rsidR="0069548E" w:rsidRPr="0019546F">
        <w:rPr>
          <w:rFonts w:cs="Arial"/>
        </w:rPr>
        <w:t>delivery.</w:t>
      </w:r>
    </w:p>
    <w:p w14:paraId="2A5D4784" w14:textId="77777777" w:rsidR="00062A79" w:rsidRPr="0019546F" w:rsidRDefault="00062A79" w:rsidP="00072D12">
      <w:pPr>
        <w:spacing w:before="120"/>
        <w:ind w:right="-57"/>
        <w:jc w:val="left"/>
        <w:rPr>
          <w:rFonts w:cs="Arial"/>
        </w:rPr>
      </w:pPr>
      <w:r w:rsidRPr="0019546F">
        <w:rPr>
          <w:rFonts w:cs="Arial"/>
        </w:rPr>
        <w:t>The following service specifications must be used in conjunction with this tier one service specification:</w:t>
      </w:r>
    </w:p>
    <w:p w14:paraId="578D6A9E" w14:textId="30562CDA" w:rsidR="0069548E" w:rsidRPr="0019546F" w:rsidRDefault="00062A79" w:rsidP="00510B13">
      <w:pPr>
        <w:pStyle w:val="ListParagraph"/>
        <w:numPr>
          <w:ilvl w:val="0"/>
          <w:numId w:val="10"/>
        </w:numPr>
        <w:spacing w:before="120"/>
        <w:ind w:left="567" w:right="-57" w:hanging="567"/>
        <w:jc w:val="left"/>
        <w:rPr>
          <w:rFonts w:cs="Arial"/>
        </w:rPr>
      </w:pPr>
      <w:r w:rsidRPr="0019546F">
        <w:rPr>
          <w:rFonts w:cs="Arial"/>
        </w:rPr>
        <w:t xml:space="preserve">tier two </w:t>
      </w:r>
      <w:r w:rsidR="0069548E" w:rsidRPr="0019546F">
        <w:rPr>
          <w:rFonts w:cs="Arial"/>
        </w:rPr>
        <w:t>Community Oral Health Service for Children and Some Adolescents</w:t>
      </w:r>
    </w:p>
    <w:p w14:paraId="67401D2B" w14:textId="77777777" w:rsidR="004C1ED2" w:rsidRPr="0019546F" w:rsidRDefault="004C1ED2" w:rsidP="00510B13">
      <w:pPr>
        <w:pStyle w:val="ListParagraph"/>
        <w:numPr>
          <w:ilvl w:val="0"/>
          <w:numId w:val="10"/>
        </w:numPr>
        <w:spacing w:before="120"/>
        <w:ind w:left="567" w:right="-57" w:hanging="567"/>
        <w:jc w:val="left"/>
        <w:rPr>
          <w:rFonts w:cs="Arial"/>
        </w:rPr>
      </w:pPr>
      <w:r w:rsidRPr="0019546F">
        <w:rPr>
          <w:rFonts w:cs="Arial"/>
        </w:rPr>
        <w:t>tier two Adolescent Oral Health Coordination Service</w:t>
      </w:r>
    </w:p>
    <w:p w14:paraId="71ED4B89" w14:textId="57603184" w:rsidR="00495926" w:rsidRPr="0019546F" w:rsidRDefault="0069548E" w:rsidP="00510B13">
      <w:pPr>
        <w:pStyle w:val="ListParagraph"/>
        <w:numPr>
          <w:ilvl w:val="0"/>
          <w:numId w:val="10"/>
        </w:numPr>
        <w:spacing w:before="120"/>
        <w:ind w:left="567" w:right="-57" w:hanging="567"/>
        <w:jc w:val="left"/>
        <w:rPr>
          <w:rFonts w:cs="Arial"/>
        </w:rPr>
      </w:pPr>
      <w:r w:rsidRPr="0019546F">
        <w:rPr>
          <w:rFonts w:cs="Arial"/>
        </w:rPr>
        <w:t xml:space="preserve">the </w:t>
      </w:r>
      <w:r w:rsidR="00A9694C" w:rsidRPr="0019546F">
        <w:rPr>
          <w:rFonts w:eastAsia="Calibri" w:cs="Arial"/>
        </w:rPr>
        <w:t xml:space="preserve">Service Agreement for the Provision of Oral Health Services for Adolescents and Special Dental Services for Children and Adolescents (commonly known as the </w:t>
      </w:r>
      <w:r w:rsidR="00921084" w:rsidRPr="0019546F">
        <w:rPr>
          <w:rFonts w:eastAsia="Calibri" w:cs="Arial"/>
        </w:rPr>
        <w:t>‘</w:t>
      </w:r>
      <w:r w:rsidR="00A9694C" w:rsidRPr="0019546F">
        <w:rPr>
          <w:rFonts w:eastAsia="Calibri" w:cs="Arial"/>
        </w:rPr>
        <w:t>Combined Dental Agreement</w:t>
      </w:r>
      <w:r w:rsidR="00921084" w:rsidRPr="0019546F">
        <w:rPr>
          <w:rFonts w:eastAsia="Calibri" w:cs="Arial"/>
        </w:rPr>
        <w:t>’</w:t>
      </w:r>
      <w:r w:rsidR="00A9694C" w:rsidRPr="0019546F">
        <w:rPr>
          <w:rFonts w:eastAsia="Calibri" w:cs="Arial"/>
        </w:rPr>
        <w:t xml:space="preserve"> or CDA)</w:t>
      </w:r>
    </w:p>
    <w:p w14:paraId="21ABD86F" w14:textId="4EA38334" w:rsidR="0069548E" w:rsidRPr="0019546F" w:rsidRDefault="00062A79" w:rsidP="00510B13">
      <w:pPr>
        <w:pStyle w:val="ListParagraph"/>
        <w:numPr>
          <w:ilvl w:val="0"/>
          <w:numId w:val="10"/>
        </w:numPr>
        <w:spacing w:before="120"/>
        <w:ind w:left="567" w:right="-57" w:hanging="567"/>
        <w:jc w:val="left"/>
        <w:rPr>
          <w:rFonts w:cs="Arial"/>
        </w:rPr>
      </w:pPr>
      <w:r w:rsidRPr="0019546F">
        <w:rPr>
          <w:rFonts w:cs="Arial"/>
        </w:rPr>
        <w:t xml:space="preserve">tier two </w:t>
      </w:r>
      <w:r w:rsidR="0069548E" w:rsidRPr="0019546F">
        <w:rPr>
          <w:rFonts w:cs="Arial"/>
        </w:rPr>
        <w:t>Hospital Dental Services</w:t>
      </w:r>
    </w:p>
    <w:p w14:paraId="589ADDAF" w14:textId="77777777" w:rsidR="004C78AC" w:rsidRPr="0019546F" w:rsidRDefault="00062A79" w:rsidP="00510B13">
      <w:pPr>
        <w:pStyle w:val="ListParagraph"/>
        <w:numPr>
          <w:ilvl w:val="0"/>
          <w:numId w:val="10"/>
        </w:numPr>
        <w:spacing w:before="120"/>
        <w:ind w:left="567" w:right="-57" w:hanging="567"/>
        <w:jc w:val="left"/>
        <w:rPr>
          <w:rFonts w:cs="Arial"/>
        </w:rPr>
      </w:pPr>
      <w:r w:rsidRPr="0019546F">
        <w:rPr>
          <w:rFonts w:cs="Arial"/>
        </w:rPr>
        <w:t xml:space="preserve">tier two </w:t>
      </w:r>
      <w:r w:rsidR="0069548E" w:rsidRPr="0019546F">
        <w:rPr>
          <w:rFonts w:cs="Arial"/>
        </w:rPr>
        <w:t>Emergency Dental Services for Low Income Adults.</w:t>
      </w:r>
    </w:p>
    <w:p w14:paraId="483767BA" w14:textId="77777777" w:rsidR="0069548E" w:rsidRPr="0019546F" w:rsidRDefault="00062A79" w:rsidP="00900EFB">
      <w:pPr>
        <w:spacing w:before="240"/>
        <w:ind w:right="-57"/>
        <w:jc w:val="left"/>
        <w:rPr>
          <w:rFonts w:cs="Arial"/>
          <w:b/>
        </w:rPr>
      </w:pPr>
      <w:r w:rsidRPr="0019546F">
        <w:rPr>
          <w:rFonts w:cs="Arial"/>
          <w:b/>
        </w:rPr>
        <w:t>Background</w:t>
      </w:r>
    </w:p>
    <w:p w14:paraId="10932CA8" w14:textId="77777777" w:rsidR="00B1013B" w:rsidRPr="0019546F" w:rsidRDefault="00DB7686" w:rsidP="00072D12">
      <w:pPr>
        <w:spacing w:before="120" w:line="264" w:lineRule="atLeast"/>
        <w:jc w:val="left"/>
        <w:rPr>
          <w:rFonts w:cs="Arial"/>
        </w:rPr>
      </w:pPr>
      <w:r w:rsidRPr="0019546F">
        <w:rPr>
          <w:rFonts w:cs="Arial"/>
        </w:rPr>
        <w:t>The focus for oral health services is to i</w:t>
      </w:r>
      <w:r w:rsidR="0069548E" w:rsidRPr="0019546F">
        <w:rPr>
          <w:rFonts w:cs="Arial"/>
        </w:rPr>
        <w:t xml:space="preserve">mplement </w:t>
      </w:r>
      <w:r w:rsidR="0068208C" w:rsidRPr="0019546F">
        <w:rPr>
          <w:rFonts w:cs="Arial"/>
        </w:rPr>
        <w:t xml:space="preserve">the </w:t>
      </w:r>
      <w:r w:rsidR="00B1013B" w:rsidRPr="0019546F">
        <w:rPr>
          <w:rFonts w:cs="Arial"/>
        </w:rPr>
        <w:t>key action</w:t>
      </w:r>
      <w:r w:rsidR="0068208C" w:rsidRPr="0019546F">
        <w:rPr>
          <w:rFonts w:cs="Arial"/>
        </w:rPr>
        <w:t>s</w:t>
      </w:r>
      <w:r w:rsidR="00B1013B" w:rsidRPr="0019546F">
        <w:rPr>
          <w:rFonts w:cs="Arial"/>
        </w:rPr>
        <w:t xml:space="preserve"> in </w:t>
      </w:r>
      <w:r w:rsidR="00B1013B" w:rsidRPr="0019546F">
        <w:rPr>
          <w:rFonts w:cs="Arial"/>
          <w:i/>
          <w:iCs/>
        </w:rPr>
        <w:t>Good Oral Health for All, for Life</w:t>
      </w:r>
      <w:r w:rsidR="00D2772D" w:rsidRPr="0019546F">
        <w:rPr>
          <w:rStyle w:val="FootnoteReference"/>
          <w:rFonts w:cs="Arial"/>
          <w:i/>
          <w:iCs/>
        </w:rPr>
        <w:footnoteReference w:id="1"/>
      </w:r>
      <w:r w:rsidR="0069548E" w:rsidRPr="0019546F">
        <w:rPr>
          <w:rFonts w:cs="Arial"/>
          <w:i/>
          <w:iCs/>
        </w:rPr>
        <w:t>: the Strategic Vision for Oral Health in New Zealand (Ministry of Health, 2006)</w:t>
      </w:r>
      <w:r w:rsidRPr="0019546F">
        <w:rPr>
          <w:rFonts w:cs="Arial"/>
          <w:i/>
          <w:iCs/>
        </w:rPr>
        <w:t>.</w:t>
      </w:r>
    </w:p>
    <w:p w14:paraId="7924D396" w14:textId="7F69B4E9" w:rsidR="00B1013B" w:rsidRPr="0019546F" w:rsidRDefault="00B1013B" w:rsidP="00072D12">
      <w:pPr>
        <w:spacing w:before="120"/>
        <w:ind w:right="-57"/>
        <w:jc w:val="left"/>
        <w:rPr>
          <w:rFonts w:cs="Arial"/>
        </w:rPr>
      </w:pPr>
      <w:r w:rsidRPr="0019546F">
        <w:rPr>
          <w:rFonts w:cs="Arial"/>
        </w:rPr>
        <w:t>The provision and ongoing development of oral health services will also be aligned with</w:t>
      </w:r>
      <w:r w:rsidR="00D2772D" w:rsidRPr="0019546F">
        <w:rPr>
          <w:rFonts w:cs="Arial"/>
        </w:rPr>
        <w:t xml:space="preserve"> the following </w:t>
      </w:r>
      <w:r w:rsidR="00FF71ED">
        <w:rPr>
          <w:rFonts w:cs="Arial"/>
        </w:rPr>
        <w:t xml:space="preserve">strategic </w:t>
      </w:r>
      <w:r w:rsidR="00D2772D" w:rsidRPr="0019546F">
        <w:rPr>
          <w:rFonts w:cs="Arial"/>
        </w:rPr>
        <w:t>documents</w:t>
      </w:r>
      <w:r w:rsidR="00D2772D" w:rsidRPr="0019546F">
        <w:rPr>
          <w:rStyle w:val="FootnoteReference"/>
          <w:rFonts w:cs="Arial"/>
        </w:rPr>
        <w:footnoteReference w:id="2"/>
      </w:r>
      <w:r w:rsidRPr="0019546F">
        <w:rPr>
          <w:rFonts w:cs="Arial"/>
        </w:rPr>
        <w:t>:</w:t>
      </w:r>
    </w:p>
    <w:p w14:paraId="6BC0EBD5" w14:textId="77777777" w:rsidR="0087512F" w:rsidRPr="0087512F" w:rsidRDefault="00B1013B" w:rsidP="002E3B63">
      <w:pPr>
        <w:numPr>
          <w:ilvl w:val="0"/>
          <w:numId w:val="5"/>
        </w:numPr>
        <w:spacing w:before="120"/>
        <w:ind w:right="-57"/>
        <w:jc w:val="left"/>
        <w:rPr>
          <w:rFonts w:cs="Arial"/>
          <w:i/>
        </w:rPr>
      </w:pPr>
      <w:r w:rsidRPr="0019546F">
        <w:rPr>
          <w:rFonts w:cs="Arial"/>
          <w:iCs/>
        </w:rPr>
        <w:t xml:space="preserve">He Korowai </w:t>
      </w:r>
      <w:proofErr w:type="spellStart"/>
      <w:r w:rsidRPr="0019546F">
        <w:rPr>
          <w:rFonts w:cs="Arial"/>
          <w:iCs/>
        </w:rPr>
        <w:t>Oranga</w:t>
      </w:r>
      <w:proofErr w:type="spellEnd"/>
      <w:r w:rsidRPr="0019546F">
        <w:rPr>
          <w:rFonts w:cs="Arial"/>
          <w:iCs/>
        </w:rPr>
        <w:t>: Māori Health Strategy</w:t>
      </w:r>
    </w:p>
    <w:p w14:paraId="14D6284B" w14:textId="350A89E9" w:rsidR="00B1013B" w:rsidRPr="002E3B63" w:rsidRDefault="00292C4E" w:rsidP="002E3B63">
      <w:pPr>
        <w:numPr>
          <w:ilvl w:val="0"/>
          <w:numId w:val="5"/>
        </w:numPr>
        <w:ind w:right="-57"/>
        <w:jc w:val="left"/>
        <w:rPr>
          <w:rFonts w:cs="Arial"/>
          <w:i/>
        </w:rPr>
      </w:pPr>
      <w:r>
        <w:rPr>
          <w:rFonts w:cs="Arial"/>
          <w:iCs/>
        </w:rPr>
        <w:t>Whakamaua Māori Health Action Plan 2020-2025</w:t>
      </w:r>
    </w:p>
    <w:p w14:paraId="347DDCEC" w14:textId="368B382F" w:rsidR="002E3B63" w:rsidRPr="002E3B63" w:rsidRDefault="002E3B63" w:rsidP="002E3B63">
      <w:pPr>
        <w:numPr>
          <w:ilvl w:val="0"/>
          <w:numId w:val="5"/>
        </w:numPr>
        <w:ind w:right="-57"/>
        <w:jc w:val="left"/>
        <w:rPr>
          <w:rFonts w:cs="Arial"/>
          <w:i/>
        </w:rPr>
      </w:pPr>
      <w:r w:rsidRPr="0087512F">
        <w:rPr>
          <w:rFonts w:cs="Arial"/>
          <w:shd w:val="clear" w:color="auto" w:fill="FFFFFF"/>
        </w:rPr>
        <w:t xml:space="preserve">Ola </w:t>
      </w:r>
      <w:proofErr w:type="spellStart"/>
      <w:r w:rsidRPr="0087512F">
        <w:rPr>
          <w:rFonts w:cs="Arial"/>
          <w:shd w:val="clear" w:color="auto" w:fill="FFFFFF"/>
        </w:rPr>
        <w:t>Manuia</w:t>
      </w:r>
      <w:proofErr w:type="spellEnd"/>
      <w:r w:rsidRPr="0087512F">
        <w:rPr>
          <w:rFonts w:cs="Arial"/>
          <w:shd w:val="clear" w:color="auto" w:fill="FFFFFF"/>
        </w:rPr>
        <w:t>: Pacific Health and Wellbeing Action Plan 2020–2025</w:t>
      </w:r>
    </w:p>
    <w:p w14:paraId="6B24B102" w14:textId="217D31B7" w:rsidR="002E3B63" w:rsidRPr="002E3B63" w:rsidRDefault="002E3B63" w:rsidP="002E3B63">
      <w:pPr>
        <w:pStyle w:val="ListParagraph"/>
        <w:numPr>
          <w:ilvl w:val="0"/>
          <w:numId w:val="5"/>
        </w:numPr>
        <w:rPr>
          <w:rFonts w:cs="Arial"/>
          <w:i/>
        </w:rPr>
      </w:pPr>
      <w:r w:rsidRPr="002E3B63">
        <w:rPr>
          <w:rFonts w:cs="Arial"/>
          <w:iCs/>
        </w:rPr>
        <w:t>Child and Youth Wellbeing Strategy 2019</w:t>
      </w:r>
    </w:p>
    <w:p w14:paraId="09A6773C" w14:textId="4252B17A" w:rsidR="00F12AAE" w:rsidRPr="0019546F" w:rsidRDefault="00F12AAE" w:rsidP="002E3B63">
      <w:pPr>
        <w:numPr>
          <w:ilvl w:val="0"/>
          <w:numId w:val="5"/>
        </w:numPr>
        <w:ind w:right="-57"/>
        <w:jc w:val="left"/>
        <w:rPr>
          <w:rFonts w:cs="Arial"/>
          <w:i/>
        </w:rPr>
      </w:pPr>
      <w:r>
        <w:rPr>
          <w:rFonts w:cs="Arial"/>
          <w:iCs/>
        </w:rPr>
        <w:t>New Zealand Health Strategy 2016</w:t>
      </w:r>
    </w:p>
    <w:p w14:paraId="4EDAB1E1" w14:textId="51D376A8" w:rsidR="00B1013B" w:rsidRPr="0019546F" w:rsidRDefault="00B1013B" w:rsidP="002E3B63">
      <w:pPr>
        <w:numPr>
          <w:ilvl w:val="0"/>
          <w:numId w:val="4"/>
        </w:numPr>
        <w:ind w:right="-57"/>
        <w:jc w:val="left"/>
        <w:rPr>
          <w:rFonts w:cs="Arial"/>
          <w:i/>
        </w:rPr>
      </w:pPr>
      <w:r w:rsidRPr="0019546F">
        <w:rPr>
          <w:rFonts w:cs="Arial"/>
          <w:iCs/>
        </w:rPr>
        <w:t>New Zealand Disability Strategy</w:t>
      </w:r>
      <w:r w:rsidR="00900EFB" w:rsidRPr="0019546F">
        <w:rPr>
          <w:rFonts w:cs="Arial"/>
          <w:iCs/>
        </w:rPr>
        <w:t xml:space="preserve"> 2016-2026</w:t>
      </w:r>
    </w:p>
    <w:p w14:paraId="36E6EFF6" w14:textId="5AE9012F" w:rsidR="00B1013B" w:rsidRPr="00BA557E" w:rsidRDefault="00900EFB" w:rsidP="002E3B63">
      <w:pPr>
        <w:numPr>
          <w:ilvl w:val="0"/>
          <w:numId w:val="6"/>
        </w:numPr>
        <w:ind w:right="-57"/>
        <w:jc w:val="left"/>
        <w:rPr>
          <w:rFonts w:cs="Arial"/>
          <w:i/>
        </w:rPr>
      </w:pPr>
      <w:r w:rsidRPr="0019546F">
        <w:rPr>
          <w:rFonts w:cs="Arial"/>
          <w:iCs/>
        </w:rPr>
        <w:t>Healthy Ageing</w:t>
      </w:r>
      <w:r w:rsidR="00B1013B" w:rsidRPr="0019546F">
        <w:rPr>
          <w:rFonts w:cs="Arial"/>
          <w:iCs/>
        </w:rPr>
        <w:t xml:space="preserve"> Strategy</w:t>
      </w:r>
      <w:r w:rsidR="00292C4E">
        <w:rPr>
          <w:rFonts w:cs="Arial"/>
          <w:iCs/>
        </w:rPr>
        <w:t xml:space="preserve"> 2016</w:t>
      </w:r>
      <w:r w:rsidR="002E3B63">
        <w:rPr>
          <w:rFonts w:cs="Arial"/>
          <w:iCs/>
        </w:rPr>
        <w:t>.</w:t>
      </w:r>
    </w:p>
    <w:p w14:paraId="27B7E389" w14:textId="77777777" w:rsidR="00B1013B" w:rsidRPr="0019546F" w:rsidRDefault="00B1013B" w:rsidP="000F25C9">
      <w:pPr>
        <w:pStyle w:val="Heading1"/>
      </w:pPr>
      <w:r w:rsidRPr="0019546F">
        <w:t>Service Definition</w:t>
      </w:r>
    </w:p>
    <w:p w14:paraId="54A0BF22" w14:textId="3463D090" w:rsidR="00062A79" w:rsidRPr="00AB0C85" w:rsidRDefault="0037763E" w:rsidP="00072D12">
      <w:pPr>
        <w:pStyle w:val="1"/>
        <w:spacing w:after="120"/>
        <w:ind w:left="0" w:firstLine="0"/>
        <w:rPr>
          <w:rFonts w:ascii="Arial" w:hAnsi="Arial" w:cs="Arial"/>
          <w:b w:val="0"/>
          <w:bCs w:val="0"/>
          <w:sz w:val="24"/>
          <w:szCs w:val="24"/>
        </w:rPr>
      </w:pPr>
      <w:r w:rsidRPr="00AB0C85">
        <w:rPr>
          <w:rFonts w:ascii="Arial" w:hAnsi="Arial" w:cs="Arial"/>
          <w:b w:val="0"/>
          <w:bCs w:val="0"/>
          <w:sz w:val="24"/>
          <w:szCs w:val="24"/>
        </w:rPr>
        <w:t xml:space="preserve">District </w:t>
      </w:r>
      <w:r w:rsidR="007B0AAC" w:rsidRPr="00AB0C85">
        <w:rPr>
          <w:rFonts w:ascii="Arial" w:hAnsi="Arial" w:cs="Arial"/>
          <w:b w:val="0"/>
          <w:bCs w:val="0"/>
          <w:sz w:val="24"/>
          <w:szCs w:val="24"/>
        </w:rPr>
        <w:t>health board</w:t>
      </w:r>
      <w:r w:rsidR="0058188B" w:rsidRPr="00AB0C85">
        <w:rPr>
          <w:rFonts w:ascii="Arial" w:hAnsi="Arial" w:cs="Arial"/>
          <w:b w:val="0"/>
          <w:bCs w:val="0"/>
          <w:sz w:val="24"/>
          <w:szCs w:val="24"/>
        </w:rPr>
        <w:t>s</w:t>
      </w:r>
      <w:r w:rsidR="007B0AAC" w:rsidRPr="00AB0C85">
        <w:rPr>
          <w:rFonts w:ascii="Arial" w:hAnsi="Arial" w:cs="Arial"/>
          <w:b w:val="0"/>
          <w:bCs w:val="0"/>
          <w:sz w:val="24"/>
          <w:szCs w:val="24"/>
        </w:rPr>
        <w:t xml:space="preserve"> </w:t>
      </w:r>
      <w:r w:rsidRPr="00AB0C85">
        <w:rPr>
          <w:rFonts w:ascii="Arial" w:hAnsi="Arial" w:cs="Arial"/>
          <w:b w:val="0"/>
          <w:bCs w:val="0"/>
          <w:sz w:val="24"/>
          <w:szCs w:val="24"/>
        </w:rPr>
        <w:t>(</w:t>
      </w:r>
      <w:r w:rsidR="00072D12" w:rsidRPr="00AB0C85">
        <w:rPr>
          <w:rFonts w:ascii="Arial" w:hAnsi="Arial" w:cs="Arial"/>
          <w:b w:val="0"/>
          <w:bCs w:val="0"/>
          <w:sz w:val="24"/>
          <w:szCs w:val="24"/>
        </w:rPr>
        <w:t>DHB</w:t>
      </w:r>
      <w:r w:rsidR="0058188B" w:rsidRPr="00AB0C85">
        <w:rPr>
          <w:rFonts w:ascii="Arial" w:hAnsi="Arial" w:cs="Arial"/>
          <w:b w:val="0"/>
          <w:bCs w:val="0"/>
          <w:sz w:val="24"/>
          <w:szCs w:val="24"/>
        </w:rPr>
        <w:t>s</w:t>
      </w:r>
      <w:r w:rsidRPr="00AB0C85">
        <w:rPr>
          <w:rFonts w:ascii="Arial" w:hAnsi="Arial" w:cs="Arial"/>
          <w:b w:val="0"/>
          <w:bCs w:val="0"/>
          <w:sz w:val="24"/>
          <w:szCs w:val="24"/>
        </w:rPr>
        <w:t>)</w:t>
      </w:r>
      <w:r w:rsidR="0058188B" w:rsidRPr="00AB0C85">
        <w:rPr>
          <w:rFonts w:ascii="Arial" w:hAnsi="Arial" w:cs="Arial"/>
          <w:b w:val="0"/>
          <w:bCs w:val="0"/>
          <w:sz w:val="24"/>
          <w:szCs w:val="24"/>
        </w:rPr>
        <w:t xml:space="preserve"> </w:t>
      </w:r>
      <w:r w:rsidR="00072D12" w:rsidRPr="00AB0C85">
        <w:rPr>
          <w:rFonts w:ascii="Arial" w:hAnsi="Arial" w:cs="Arial"/>
          <w:b w:val="0"/>
          <w:bCs w:val="0"/>
          <w:sz w:val="24"/>
          <w:szCs w:val="24"/>
        </w:rPr>
        <w:t>fund</w:t>
      </w:r>
      <w:r w:rsidR="00623050" w:rsidRPr="00AB0C85">
        <w:rPr>
          <w:rFonts w:ascii="Arial" w:hAnsi="Arial" w:cs="Arial"/>
          <w:b w:val="0"/>
          <w:bCs w:val="0"/>
          <w:sz w:val="24"/>
          <w:szCs w:val="24"/>
        </w:rPr>
        <w:t xml:space="preserve"> </w:t>
      </w:r>
      <w:r w:rsidR="00890CC8" w:rsidRPr="00AB0C85">
        <w:rPr>
          <w:rFonts w:ascii="Arial" w:hAnsi="Arial" w:cs="Arial"/>
          <w:b w:val="0"/>
          <w:bCs w:val="0"/>
          <w:sz w:val="24"/>
          <w:szCs w:val="24"/>
        </w:rPr>
        <w:t xml:space="preserve">or </w:t>
      </w:r>
      <w:r w:rsidR="00B1013B" w:rsidRPr="00AB0C85">
        <w:rPr>
          <w:rFonts w:ascii="Arial" w:hAnsi="Arial" w:cs="Arial"/>
          <w:b w:val="0"/>
          <w:bCs w:val="0"/>
          <w:sz w:val="24"/>
          <w:szCs w:val="24"/>
        </w:rPr>
        <w:t xml:space="preserve">provide primary </w:t>
      </w:r>
      <w:r w:rsidR="00062A79" w:rsidRPr="00AB0C85">
        <w:rPr>
          <w:rFonts w:ascii="Arial" w:hAnsi="Arial" w:cs="Arial"/>
          <w:b w:val="0"/>
          <w:bCs w:val="0"/>
          <w:sz w:val="24"/>
          <w:szCs w:val="24"/>
        </w:rPr>
        <w:t xml:space="preserve">and </w:t>
      </w:r>
      <w:r w:rsidR="0068208C" w:rsidRPr="00AB0C85">
        <w:rPr>
          <w:rFonts w:ascii="Arial" w:hAnsi="Arial" w:cs="Arial"/>
          <w:b w:val="0"/>
          <w:bCs w:val="0"/>
          <w:sz w:val="24"/>
          <w:szCs w:val="24"/>
        </w:rPr>
        <w:t>specialist</w:t>
      </w:r>
      <w:r w:rsidR="00062A79" w:rsidRPr="00AB0C85">
        <w:rPr>
          <w:rFonts w:ascii="Arial" w:hAnsi="Arial" w:cs="Arial"/>
          <w:b w:val="0"/>
          <w:bCs w:val="0"/>
          <w:sz w:val="24"/>
          <w:szCs w:val="24"/>
        </w:rPr>
        <w:t xml:space="preserve"> </w:t>
      </w:r>
      <w:r w:rsidR="00B1013B" w:rsidRPr="00AB0C85">
        <w:rPr>
          <w:rFonts w:ascii="Arial" w:hAnsi="Arial" w:cs="Arial"/>
          <w:b w:val="0"/>
          <w:bCs w:val="0"/>
          <w:sz w:val="24"/>
          <w:szCs w:val="24"/>
        </w:rPr>
        <w:t xml:space="preserve">oral health </w:t>
      </w:r>
      <w:r w:rsidR="00062A79" w:rsidRPr="00AB0C85">
        <w:rPr>
          <w:rFonts w:ascii="Arial" w:hAnsi="Arial" w:cs="Arial"/>
          <w:b w:val="0"/>
          <w:bCs w:val="0"/>
          <w:sz w:val="24"/>
          <w:szCs w:val="24"/>
        </w:rPr>
        <w:t xml:space="preserve">services </w:t>
      </w:r>
      <w:r w:rsidR="00B1013B" w:rsidRPr="00AB0C85">
        <w:rPr>
          <w:rFonts w:ascii="Arial" w:hAnsi="Arial" w:cs="Arial"/>
          <w:b w:val="0"/>
          <w:bCs w:val="0"/>
          <w:sz w:val="24"/>
          <w:szCs w:val="24"/>
        </w:rPr>
        <w:t xml:space="preserve">for </w:t>
      </w:r>
      <w:r w:rsidR="00062A79" w:rsidRPr="00AB0C85">
        <w:rPr>
          <w:rFonts w:ascii="Arial" w:hAnsi="Arial" w:cs="Arial"/>
          <w:b w:val="0"/>
          <w:bCs w:val="0"/>
          <w:sz w:val="24"/>
          <w:szCs w:val="24"/>
        </w:rPr>
        <w:t xml:space="preserve">eligible </w:t>
      </w:r>
      <w:r w:rsidR="00B1013B" w:rsidRPr="00AB0C85">
        <w:rPr>
          <w:rFonts w:ascii="Arial" w:hAnsi="Arial" w:cs="Arial"/>
          <w:b w:val="0"/>
          <w:bCs w:val="0"/>
          <w:sz w:val="24"/>
          <w:szCs w:val="24"/>
        </w:rPr>
        <w:t>children</w:t>
      </w:r>
      <w:r w:rsidR="00062A79" w:rsidRPr="00AB0C85">
        <w:rPr>
          <w:rFonts w:ascii="Arial" w:hAnsi="Arial" w:cs="Arial"/>
          <w:b w:val="0"/>
          <w:bCs w:val="0"/>
          <w:sz w:val="24"/>
          <w:szCs w:val="24"/>
        </w:rPr>
        <w:t>,</w:t>
      </w:r>
      <w:r w:rsidR="00B1013B" w:rsidRPr="00AB0C85">
        <w:rPr>
          <w:rFonts w:ascii="Arial" w:hAnsi="Arial" w:cs="Arial"/>
          <w:b w:val="0"/>
          <w:bCs w:val="0"/>
          <w:sz w:val="24"/>
          <w:szCs w:val="24"/>
        </w:rPr>
        <w:t xml:space="preserve"> adolescents and adults. </w:t>
      </w:r>
      <w:r w:rsidR="0068208C" w:rsidRPr="00AB0C85">
        <w:rPr>
          <w:rFonts w:ascii="Arial" w:hAnsi="Arial" w:cs="Arial"/>
          <w:b w:val="0"/>
          <w:bCs w:val="0"/>
          <w:sz w:val="24"/>
          <w:szCs w:val="24"/>
        </w:rPr>
        <w:t>Not all people are eligible for publicly funded health services</w:t>
      </w:r>
      <w:r w:rsidR="00125F4B" w:rsidRPr="00AB0C85">
        <w:rPr>
          <w:rFonts w:ascii="Arial" w:hAnsi="Arial" w:cs="Arial"/>
          <w:b w:val="0"/>
          <w:bCs w:val="0"/>
          <w:sz w:val="24"/>
          <w:szCs w:val="24"/>
        </w:rPr>
        <w:t>, r</w:t>
      </w:r>
      <w:r w:rsidR="0068208C" w:rsidRPr="00AB0C85">
        <w:rPr>
          <w:rFonts w:ascii="Arial" w:hAnsi="Arial" w:cs="Arial"/>
          <w:b w:val="0"/>
          <w:bCs w:val="0"/>
          <w:sz w:val="24"/>
          <w:szCs w:val="24"/>
        </w:rPr>
        <w:t xml:space="preserve">efer to </w:t>
      </w:r>
      <w:r w:rsidR="00213951" w:rsidRPr="00AB0C85">
        <w:rPr>
          <w:rFonts w:ascii="Arial" w:hAnsi="Arial" w:cs="Arial"/>
          <w:b w:val="0"/>
          <w:bCs w:val="0"/>
          <w:sz w:val="24"/>
          <w:szCs w:val="24"/>
        </w:rPr>
        <w:t>the New</w:t>
      </w:r>
      <w:r w:rsidR="005C1BC2" w:rsidRPr="00AB0C85">
        <w:rPr>
          <w:rFonts w:ascii="Arial" w:hAnsi="Arial" w:cs="Arial"/>
          <w:b w:val="0"/>
          <w:bCs w:val="0"/>
          <w:sz w:val="24"/>
          <w:szCs w:val="24"/>
        </w:rPr>
        <w:t xml:space="preserve"> Zealand Health and Disability Services Eligibility Direction 2011</w:t>
      </w:r>
      <w:r w:rsidR="0068208C" w:rsidRPr="00AB0C85">
        <w:rPr>
          <w:rStyle w:val="FootnoteReference"/>
          <w:rFonts w:ascii="Arial" w:hAnsi="Arial" w:cs="Arial"/>
          <w:b w:val="0"/>
          <w:bCs w:val="0"/>
          <w:sz w:val="24"/>
          <w:szCs w:val="24"/>
        </w:rPr>
        <w:footnoteReference w:id="3"/>
      </w:r>
      <w:r w:rsidR="0068208C" w:rsidRPr="00AB0C85">
        <w:rPr>
          <w:rFonts w:ascii="Arial" w:hAnsi="Arial" w:cs="Arial"/>
          <w:b w:val="0"/>
          <w:bCs w:val="0"/>
          <w:sz w:val="24"/>
          <w:szCs w:val="24"/>
        </w:rPr>
        <w:t xml:space="preserve"> for </w:t>
      </w:r>
      <w:r w:rsidR="004D7F4D" w:rsidRPr="00AB0C85">
        <w:rPr>
          <w:rFonts w:ascii="Arial" w:hAnsi="Arial" w:cs="Arial"/>
          <w:b w:val="0"/>
          <w:bCs w:val="0"/>
          <w:sz w:val="24"/>
          <w:szCs w:val="24"/>
        </w:rPr>
        <w:t xml:space="preserve">specific </w:t>
      </w:r>
      <w:r w:rsidR="0068208C" w:rsidRPr="00AB0C85">
        <w:rPr>
          <w:rFonts w:ascii="Arial" w:hAnsi="Arial" w:cs="Arial"/>
          <w:b w:val="0"/>
          <w:bCs w:val="0"/>
          <w:sz w:val="24"/>
          <w:szCs w:val="24"/>
        </w:rPr>
        <w:t>eligibility information.</w:t>
      </w:r>
    </w:p>
    <w:p w14:paraId="35D15651" w14:textId="367907DB" w:rsidR="00062A79" w:rsidRPr="0019546F" w:rsidRDefault="009104E9" w:rsidP="00072D12">
      <w:pPr>
        <w:pStyle w:val="1"/>
        <w:spacing w:after="120"/>
        <w:ind w:left="0" w:firstLine="0"/>
        <w:rPr>
          <w:rFonts w:ascii="Arial" w:hAnsi="Arial" w:cs="Arial"/>
          <w:b w:val="0"/>
          <w:bCs w:val="0"/>
          <w:sz w:val="24"/>
          <w:szCs w:val="24"/>
        </w:rPr>
      </w:pPr>
      <w:r w:rsidRPr="00AB0C85">
        <w:rPr>
          <w:rFonts w:ascii="Arial" w:hAnsi="Arial" w:cs="Arial"/>
          <w:b w:val="0"/>
          <w:bCs w:val="0"/>
          <w:sz w:val="24"/>
          <w:szCs w:val="24"/>
        </w:rPr>
        <w:t>Publicly f</w:t>
      </w:r>
      <w:r w:rsidR="007C6D1B" w:rsidRPr="00AB0C85">
        <w:rPr>
          <w:rFonts w:ascii="Arial" w:hAnsi="Arial" w:cs="Arial"/>
          <w:b w:val="0"/>
          <w:bCs w:val="0"/>
          <w:sz w:val="24"/>
          <w:szCs w:val="24"/>
        </w:rPr>
        <w:t>unded s</w:t>
      </w:r>
      <w:r w:rsidR="00062A79" w:rsidRPr="00AB0C85">
        <w:rPr>
          <w:rFonts w:ascii="Arial" w:hAnsi="Arial" w:cs="Arial"/>
          <w:b w:val="0"/>
          <w:bCs w:val="0"/>
          <w:sz w:val="24"/>
          <w:szCs w:val="24"/>
        </w:rPr>
        <w:t>ervice</w:t>
      </w:r>
      <w:r w:rsidR="00921084" w:rsidRPr="00AB0C85">
        <w:rPr>
          <w:rFonts w:ascii="Arial" w:hAnsi="Arial" w:cs="Arial"/>
          <w:b w:val="0"/>
          <w:bCs w:val="0"/>
          <w:sz w:val="24"/>
          <w:szCs w:val="24"/>
        </w:rPr>
        <w:t>s</w:t>
      </w:r>
      <w:r w:rsidR="00062A79" w:rsidRPr="00AB0C85">
        <w:rPr>
          <w:rFonts w:ascii="Arial" w:hAnsi="Arial" w:cs="Arial"/>
          <w:b w:val="0"/>
          <w:bCs w:val="0"/>
          <w:sz w:val="24"/>
          <w:szCs w:val="24"/>
        </w:rPr>
        <w:t xml:space="preserve"> includ</w:t>
      </w:r>
      <w:r w:rsidR="00072D12" w:rsidRPr="00AB0C85">
        <w:rPr>
          <w:rFonts w:ascii="Arial" w:hAnsi="Arial" w:cs="Arial"/>
          <w:b w:val="0"/>
          <w:bCs w:val="0"/>
          <w:sz w:val="24"/>
          <w:szCs w:val="24"/>
        </w:rPr>
        <w:t>e</w:t>
      </w:r>
      <w:r w:rsidR="00062A79" w:rsidRPr="00AB0C85">
        <w:rPr>
          <w:rFonts w:ascii="Arial" w:hAnsi="Arial" w:cs="Arial"/>
          <w:b w:val="0"/>
          <w:bCs w:val="0"/>
          <w:sz w:val="24"/>
          <w:szCs w:val="24"/>
        </w:rPr>
        <w:t>: assessment, diagnosis, treatment, planning, procedures</w:t>
      </w:r>
      <w:r w:rsidR="00C41D2E" w:rsidRPr="00AB0C85">
        <w:rPr>
          <w:rFonts w:ascii="Arial" w:hAnsi="Arial" w:cs="Arial"/>
          <w:b w:val="0"/>
          <w:bCs w:val="0"/>
          <w:sz w:val="24"/>
          <w:szCs w:val="24"/>
        </w:rPr>
        <w:t xml:space="preserve">, onward referral if required, </w:t>
      </w:r>
      <w:r w:rsidR="00062A79" w:rsidRPr="00AB0C85">
        <w:rPr>
          <w:rFonts w:ascii="Arial" w:hAnsi="Arial" w:cs="Arial"/>
          <w:b w:val="0"/>
          <w:bCs w:val="0"/>
          <w:sz w:val="24"/>
          <w:szCs w:val="24"/>
        </w:rPr>
        <w:t>and oral health promotion and disease prevention.</w:t>
      </w:r>
    </w:p>
    <w:p w14:paraId="3AE92889" w14:textId="5C2F1D38" w:rsidR="00B1013B" w:rsidRPr="0019546F" w:rsidRDefault="00B1013B" w:rsidP="00072D12">
      <w:pPr>
        <w:pStyle w:val="1"/>
        <w:spacing w:after="120"/>
        <w:ind w:left="0" w:firstLine="0"/>
        <w:rPr>
          <w:rFonts w:ascii="Arial" w:hAnsi="Arial" w:cs="Arial"/>
        </w:rPr>
      </w:pPr>
      <w:r w:rsidRPr="0019546F">
        <w:rPr>
          <w:rFonts w:ascii="Arial" w:hAnsi="Arial" w:cs="Arial"/>
          <w:b w:val="0"/>
          <w:bCs w:val="0"/>
          <w:sz w:val="24"/>
          <w:szCs w:val="24"/>
        </w:rPr>
        <w:t>An integrated continuum of care should be provided between oral health services and wider general health services</w:t>
      </w:r>
      <w:r w:rsidR="00062A79" w:rsidRPr="0019546F">
        <w:rPr>
          <w:rFonts w:ascii="Arial" w:hAnsi="Arial" w:cs="Arial"/>
          <w:b w:val="0"/>
          <w:bCs w:val="0"/>
          <w:sz w:val="24"/>
          <w:szCs w:val="24"/>
        </w:rPr>
        <w:t>, as appropriate</w:t>
      </w:r>
      <w:r w:rsidRPr="0019546F">
        <w:rPr>
          <w:rFonts w:ascii="Arial" w:hAnsi="Arial" w:cs="Arial"/>
          <w:b w:val="0"/>
          <w:bCs w:val="0"/>
          <w:sz w:val="24"/>
          <w:szCs w:val="24"/>
        </w:rPr>
        <w:t>.</w:t>
      </w:r>
    </w:p>
    <w:p w14:paraId="1DC4D1B5" w14:textId="77777777" w:rsidR="00B1013B" w:rsidRPr="0019546F" w:rsidRDefault="00B1013B" w:rsidP="000F25C9">
      <w:pPr>
        <w:pStyle w:val="Heading1"/>
      </w:pPr>
      <w:r w:rsidRPr="0019546F">
        <w:t>Service Users</w:t>
      </w:r>
    </w:p>
    <w:p w14:paraId="22ADE09A" w14:textId="4F81B776" w:rsidR="00B1013B" w:rsidRPr="0019546F" w:rsidRDefault="0090599A" w:rsidP="00072D12">
      <w:pPr>
        <w:spacing w:before="120"/>
        <w:jc w:val="left"/>
        <w:rPr>
          <w:rFonts w:cs="Arial"/>
        </w:rPr>
      </w:pPr>
      <w:r>
        <w:rPr>
          <w:rFonts w:cs="Arial"/>
        </w:rPr>
        <w:t>Publicly fu</w:t>
      </w:r>
      <w:r w:rsidR="00A41B11">
        <w:rPr>
          <w:rFonts w:cs="Arial"/>
        </w:rPr>
        <w:t>nded oral health s</w:t>
      </w:r>
      <w:r w:rsidR="00B1013B" w:rsidRPr="0019546F">
        <w:rPr>
          <w:rFonts w:cs="Arial"/>
        </w:rPr>
        <w:t>ervices are provided for</w:t>
      </w:r>
      <w:r w:rsidR="00DB7686" w:rsidRPr="0019546F">
        <w:rPr>
          <w:rFonts w:cs="Arial"/>
        </w:rPr>
        <w:t xml:space="preserve"> eligible</w:t>
      </w:r>
      <w:r w:rsidR="00B1013B" w:rsidRPr="0019546F">
        <w:rPr>
          <w:rFonts w:cs="Arial"/>
        </w:rPr>
        <w:t>:</w:t>
      </w:r>
    </w:p>
    <w:p w14:paraId="038E313E" w14:textId="40D255CB" w:rsidR="00B1013B" w:rsidRPr="00094597" w:rsidRDefault="00B1013B" w:rsidP="00407ED5">
      <w:pPr>
        <w:pStyle w:val="ListParagraph"/>
        <w:numPr>
          <w:ilvl w:val="0"/>
          <w:numId w:val="11"/>
        </w:numPr>
        <w:tabs>
          <w:tab w:val="left" w:pos="7513"/>
        </w:tabs>
        <w:spacing w:before="120"/>
        <w:ind w:left="567" w:right="-57" w:hanging="567"/>
        <w:jc w:val="left"/>
        <w:rPr>
          <w:rFonts w:cs="Arial"/>
        </w:rPr>
      </w:pPr>
      <w:r w:rsidRPr="00094597">
        <w:rPr>
          <w:rFonts w:cs="Arial"/>
        </w:rPr>
        <w:t xml:space="preserve">children and adolescents up to </w:t>
      </w:r>
      <w:r w:rsidR="00AD59CA" w:rsidRPr="00094597">
        <w:rPr>
          <w:rFonts w:cs="Arial"/>
        </w:rPr>
        <w:t xml:space="preserve">their </w:t>
      </w:r>
      <w:r w:rsidR="00433E77" w:rsidRPr="00094597">
        <w:rPr>
          <w:rFonts w:cs="Arial"/>
        </w:rPr>
        <w:t>18</w:t>
      </w:r>
      <w:r w:rsidR="00AD59CA" w:rsidRPr="00094597">
        <w:rPr>
          <w:rFonts w:cs="Arial"/>
          <w:vertAlign w:val="superscript"/>
        </w:rPr>
        <w:t>th</w:t>
      </w:r>
      <w:r w:rsidR="00AD59CA" w:rsidRPr="00094597">
        <w:rPr>
          <w:rFonts w:cs="Arial"/>
        </w:rPr>
        <w:t xml:space="preserve"> birthday</w:t>
      </w:r>
      <w:r w:rsidR="00E30C49" w:rsidRPr="00094597">
        <w:rPr>
          <w:rFonts w:cs="Arial"/>
        </w:rPr>
        <w:t>, r</w:t>
      </w:r>
      <w:r w:rsidRPr="00094597">
        <w:rPr>
          <w:rFonts w:cs="Arial"/>
        </w:rPr>
        <w:t xml:space="preserve">efer to Community Oral Health </w:t>
      </w:r>
      <w:r w:rsidR="00213951" w:rsidRPr="00094597">
        <w:rPr>
          <w:rFonts w:cs="Arial"/>
        </w:rPr>
        <w:t>Service for</w:t>
      </w:r>
      <w:r w:rsidR="00410F40" w:rsidRPr="00094597">
        <w:rPr>
          <w:rFonts w:cs="Arial"/>
        </w:rPr>
        <w:t xml:space="preserve"> Children and Some Adolescents s</w:t>
      </w:r>
      <w:r w:rsidRPr="00094597">
        <w:rPr>
          <w:rFonts w:cs="Arial"/>
        </w:rPr>
        <w:t xml:space="preserve">ervice </w:t>
      </w:r>
      <w:r w:rsidR="00410F40" w:rsidRPr="00094597">
        <w:rPr>
          <w:rFonts w:cs="Arial"/>
        </w:rPr>
        <w:t>s</w:t>
      </w:r>
      <w:r w:rsidRPr="00094597">
        <w:rPr>
          <w:rFonts w:cs="Arial"/>
        </w:rPr>
        <w:t>pecification and the CDA for further details</w:t>
      </w:r>
    </w:p>
    <w:p w14:paraId="0103BAF8" w14:textId="77777777" w:rsidR="00442836" w:rsidRPr="00094597" w:rsidRDefault="00B1013B" w:rsidP="006A5879">
      <w:pPr>
        <w:pStyle w:val="ListParagraph"/>
        <w:numPr>
          <w:ilvl w:val="0"/>
          <w:numId w:val="11"/>
        </w:numPr>
        <w:ind w:right="-57"/>
        <w:jc w:val="left"/>
        <w:rPr>
          <w:rFonts w:cs="Arial"/>
          <w:b/>
        </w:rPr>
      </w:pPr>
      <w:r w:rsidRPr="00094597">
        <w:rPr>
          <w:rFonts w:cs="Arial"/>
        </w:rPr>
        <w:t>adults aged 18 years and older</w:t>
      </w:r>
      <w:r w:rsidR="00E30C49" w:rsidRPr="00094597">
        <w:rPr>
          <w:rFonts w:cs="Arial"/>
        </w:rPr>
        <w:t>, r</w:t>
      </w:r>
      <w:r w:rsidRPr="00094597">
        <w:rPr>
          <w:rFonts w:cs="Arial"/>
        </w:rPr>
        <w:t>efer to the Hospital Dental Services and Emergency Dental Services for Low</w:t>
      </w:r>
      <w:r w:rsidR="00921084" w:rsidRPr="00094597">
        <w:rPr>
          <w:rFonts w:cs="Arial"/>
        </w:rPr>
        <w:t xml:space="preserve"> I</w:t>
      </w:r>
      <w:r w:rsidRPr="00094597">
        <w:rPr>
          <w:rFonts w:cs="Arial"/>
        </w:rPr>
        <w:t xml:space="preserve">ncome Adults </w:t>
      </w:r>
      <w:r w:rsidR="00410F40" w:rsidRPr="00094597">
        <w:rPr>
          <w:rFonts w:cs="Arial"/>
        </w:rPr>
        <w:t xml:space="preserve">service specifications </w:t>
      </w:r>
      <w:r w:rsidRPr="00094597">
        <w:rPr>
          <w:rFonts w:cs="Arial"/>
        </w:rPr>
        <w:t>for further details.</w:t>
      </w:r>
    </w:p>
    <w:p w14:paraId="07286C5A" w14:textId="77777777" w:rsidR="00B1013B" w:rsidRPr="0019546F" w:rsidRDefault="00B1013B" w:rsidP="000F25C9">
      <w:pPr>
        <w:pStyle w:val="Heading1"/>
      </w:pPr>
      <w:r w:rsidRPr="0019546F">
        <w:t>Exclusions</w:t>
      </w:r>
    </w:p>
    <w:p w14:paraId="1F1CC54E" w14:textId="20E21225" w:rsidR="00B24434" w:rsidRDefault="00B24434" w:rsidP="00B24434">
      <w:pPr>
        <w:spacing w:before="120"/>
        <w:ind w:right="-57"/>
        <w:jc w:val="left"/>
        <w:rPr>
          <w:rFonts w:cs="Arial"/>
        </w:rPr>
      </w:pPr>
      <w:r w:rsidRPr="00B24434">
        <w:rPr>
          <w:rFonts w:cs="Arial"/>
        </w:rPr>
        <w:t>The Services</w:t>
      </w:r>
      <w:r w:rsidR="00AE36E3">
        <w:rPr>
          <w:rFonts w:cs="Arial"/>
        </w:rPr>
        <w:t xml:space="preserve"> described in the oral health service specifications</w:t>
      </w:r>
      <w:r w:rsidRPr="00B24434">
        <w:rPr>
          <w:rFonts w:cs="Arial"/>
        </w:rPr>
        <w:t xml:space="preserve"> will not duplicate other services already funded by</w:t>
      </w:r>
      <w:r w:rsidR="00D67FEB">
        <w:rPr>
          <w:rFonts w:cs="Arial"/>
        </w:rPr>
        <w:t>:</w:t>
      </w:r>
    </w:p>
    <w:p w14:paraId="5D953D61" w14:textId="74F1023C" w:rsidR="00B24434" w:rsidRPr="00B24434" w:rsidRDefault="00B24434" w:rsidP="00407ED5">
      <w:pPr>
        <w:pStyle w:val="ListParagraph"/>
        <w:numPr>
          <w:ilvl w:val="0"/>
          <w:numId w:val="11"/>
        </w:numPr>
        <w:spacing w:before="120"/>
        <w:ind w:left="567" w:right="-57" w:hanging="567"/>
        <w:jc w:val="left"/>
        <w:rPr>
          <w:rFonts w:cs="Arial"/>
        </w:rPr>
      </w:pPr>
      <w:r w:rsidRPr="00B24434">
        <w:rPr>
          <w:rFonts w:cs="Arial"/>
        </w:rPr>
        <w:t>DHBs</w:t>
      </w:r>
      <w:r w:rsidR="002E389D">
        <w:rPr>
          <w:rFonts w:cs="Arial"/>
        </w:rPr>
        <w:t xml:space="preserve"> </w:t>
      </w:r>
      <w:r w:rsidRPr="00B24434">
        <w:rPr>
          <w:rFonts w:cs="Arial"/>
        </w:rPr>
        <w:t>under other service specifications</w:t>
      </w:r>
    </w:p>
    <w:p w14:paraId="32910E6B" w14:textId="37E07F85" w:rsidR="00B24434" w:rsidRPr="00B24434" w:rsidRDefault="00B24434" w:rsidP="002E3B63">
      <w:pPr>
        <w:pStyle w:val="ListParagraph"/>
        <w:numPr>
          <w:ilvl w:val="0"/>
          <w:numId w:val="11"/>
        </w:numPr>
        <w:spacing w:before="120"/>
        <w:ind w:left="567" w:right="-57" w:hanging="567"/>
        <w:jc w:val="left"/>
        <w:rPr>
          <w:rFonts w:cs="Arial"/>
        </w:rPr>
      </w:pPr>
      <w:r w:rsidRPr="00B24434">
        <w:rPr>
          <w:rFonts w:cs="Arial"/>
        </w:rPr>
        <w:t>the Ministry of Health</w:t>
      </w:r>
    </w:p>
    <w:p w14:paraId="2174958B" w14:textId="3FCEA844" w:rsidR="00B24434" w:rsidRPr="00B24434" w:rsidRDefault="00B24434" w:rsidP="002E3B63">
      <w:pPr>
        <w:pStyle w:val="ListParagraph"/>
        <w:numPr>
          <w:ilvl w:val="0"/>
          <w:numId w:val="11"/>
        </w:numPr>
        <w:spacing w:before="120"/>
        <w:ind w:left="567" w:right="-57" w:hanging="567"/>
        <w:jc w:val="left"/>
        <w:rPr>
          <w:rFonts w:cs="Arial"/>
        </w:rPr>
      </w:pPr>
      <w:r w:rsidRPr="00B24434">
        <w:rPr>
          <w:rFonts w:cs="Arial"/>
        </w:rPr>
        <w:t>other government agencies</w:t>
      </w:r>
      <w:r w:rsidR="00D67FEB">
        <w:rPr>
          <w:rFonts w:cs="Arial"/>
        </w:rPr>
        <w:t>, s</w:t>
      </w:r>
      <w:r w:rsidRPr="00B24434">
        <w:rPr>
          <w:rFonts w:cs="Arial"/>
        </w:rPr>
        <w:t>pecifically excluding treatment funded by Accident Compensation Corporation (ACC) or where funding for services is provided by other government agencies (ie, Work and Income, Department of Corrections).</w:t>
      </w:r>
    </w:p>
    <w:p w14:paraId="13019721" w14:textId="76694E65" w:rsidR="00B24434" w:rsidRPr="0019546F" w:rsidRDefault="00B24434" w:rsidP="002E3B63">
      <w:pPr>
        <w:spacing w:before="120"/>
        <w:ind w:left="709" w:right="-57" w:hanging="709"/>
        <w:jc w:val="left"/>
        <w:rPr>
          <w:rFonts w:cs="Arial"/>
        </w:rPr>
      </w:pPr>
      <w:r>
        <w:rPr>
          <w:rFonts w:cs="Arial"/>
        </w:rPr>
        <w:t xml:space="preserve">This service specification excludes the provision of the following: </w:t>
      </w:r>
    </w:p>
    <w:p w14:paraId="610D32B5" w14:textId="77777777" w:rsidR="00442836" w:rsidRPr="00094597" w:rsidRDefault="00442836" w:rsidP="00510B13">
      <w:pPr>
        <w:pStyle w:val="ListParagraph"/>
        <w:numPr>
          <w:ilvl w:val="0"/>
          <w:numId w:val="11"/>
        </w:numPr>
        <w:spacing w:before="120"/>
        <w:ind w:left="567" w:right="-57" w:hanging="567"/>
        <w:jc w:val="left"/>
        <w:rPr>
          <w:rFonts w:cs="Arial"/>
        </w:rPr>
      </w:pPr>
      <w:r w:rsidRPr="00094597">
        <w:rPr>
          <w:rFonts w:cs="Arial"/>
        </w:rPr>
        <w:t>oral health treatments, and/or diagnostic services that are outside evidence-based best practice</w:t>
      </w:r>
    </w:p>
    <w:p w14:paraId="525F3CE1" w14:textId="77777777" w:rsidR="00330D8E" w:rsidRPr="00094597" w:rsidRDefault="00330D8E" w:rsidP="002E3B63">
      <w:pPr>
        <w:pStyle w:val="ListParagraph"/>
        <w:numPr>
          <w:ilvl w:val="0"/>
          <w:numId w:val="11"/>
        </w:numPr>
        <w:ind w:left="567" w:right="-57" w:hanging="567"/>
        <w:jc w:val="left"/>
        <w:rPr>
          <w:rFonts w:cs="Arial"/>
        </w:rPr>
      </w:pPr>
      <w:r w:rsidRPr="00094597">
        <w:rPr>
          <w:rFonts w:cs="Arial"/>
        </w:rPr>
        <w:t xml:space="preserve">orthodontic treatment (other than that specified in the </w:t>
      </w:r>
      <w:r w:rsidR="002079CF" w:rsidRPr="00094597">
        <w:rPr>
          <w:rFonts w:cs="Arial"/>
        </w:rPr>
        <w:t xml:space="preserve">tier two </w:t>
      </w:r>
      <w:r w:rsidRPr="00094597">
        <w:rPr>
          <w:rFonts w:cs="Arial"/>
        </w:rPr>
        <w:t xml:space="preserve">Hospital Dental Services </w:t>
      </w:r>
      <w:r w:rsidR="002079CF" w:rsidRPr="00094597">
        <w:rPr>
          <w:rFonts w:cs="Arial"/>
        </w:rPr>
        <w:t>s</w:t>
      </w:r>
      <w:r w:rsidRPr="00094597">
        <w:rPr>
          <w:rFonts w:cs="Arial"/>
        </w:rPr>
        <w:t xml:space="preserve">ervice </w:t>
      </w:r>
      <w:r w:rsidR="002079CF" w:rsidRPr="00094597">
        <w:rPr>
          <w:rFonts w:cs="Arial"/>
        </w:rPr>
        <w:t>s</w:t>
      </w:r>
      <w:r w:rsidRPr="00094597">
        <w:rPr>
          <w:rFonts w:cs="Arial"/>
        </w:rPr>
        <w:t>pecification)</w:t>
      </w:r>
    </w:p>
    <w:p w14:paraId="2AAF7448" w14:textId="77777777" w:rsidR="00442836" w:rsidRPr="00094597" w:rsidRDefault="00442836" w:rsidP="002E3B63">
      <w:pPr>
        <w:pStyle w:val="ListParagraph"/>
        <w:numPr>
          <w:ilvl w:val="0"/>
          <w:numId w:val="11"/>
        </w:numPr>
        <w:ind w:left="567" w:right="-57" w:hanging="567"/>
        <w:jc w:val="left"/>
        <w:rPr>
          <w:rFonts w:cs="Arial"/>
        </w:rPr>
      </w:pPr>
      <w:r w:rsidRPr="00094597">
        <w:rPr>
          <w:rFonts w:cs="Arial"/>
        </w:rPr>
        <w:t>elective dental treatment provided for cosmetic purposes only</w:t>
      </w:r>
    </w:p>
    <w:p w14:paraId="0C5E9EF4" w14:textId="4B56AD58" w:rsidR="00330D8E" w:rsidRPr="00094597" w:rsidRDefault="00330D8E" w:rsidP="002E3B63">
      <w:pPr>
        <w:pStyle w:val="ListParagraph"/>
        <w:numPr>
          <w:ilvl w:val="0"/>
          <w:numId w:val="12"/>
        </w:numPr>
        <w:ind w:left="567" w:right="-57" w:hanging="567"/>
        <w:jc w:val="left"/>
        <w:rPr>
          <w:rFonts w:cs="Arial"/>
        </w:rPr>
      </w:pPr>
      <w:r w:rsidRPr="00094597">
        <w:rPr>
          <w:rFonts w:cs="Arial"/>
        </w:rPr>
        <w:t>oral and maxillofacial surgery (refer to the tier one Specialist Medical and Surgical Services Service Specification)</w:t>
      </w:r>
      <w:r w:rsidR="00093700" w:rsidRPr="00094597">
        <w:rPr>
          <w:rFonts w:cs="Arial"/>
        </w:rPr>
        <w:t>.</w:t>
      </w:r>
    </w:p>
    <w:p w14:paraId="25049CEE" w14:textId="77777777" w:rsidR="00B1013B" w:rsidRPr="0019546F" w:rsidRDefault="00B1013B" w:rsidP="000F25C9">
      <w:pPr>
        <w:pStyle w:val="Heading1"/>
      </w:pPr>
      <w:r w:rsidRPr="0019546F">
        <w:t>Service Objectives</w:t>
      </w:r>
    </w:p>
    <w:p w14:paraId="3D052955" w14:textId="7A485D26" w:rsidR="00B1013B" w:rsidRPr="0019546F" w:rsidRDefault="00B1013B" w:rsidP="002E3B63">
      <w:pPr>
        <w:pStyle w:val="Heading2"/>
        <w:rPr>
          <w:i/>
        </w:rPr>
      </w:pPr>
      <w:r w:rsidRPr="000F25C9">
        <w:t>General</w:t>
      </w:r>
    </w:p>
    <w:p w14:paraId="0A0F77AD" w14:textId="07902691" w:rsidR="00B1013B" w:rsidRPr="00555541" w:rsidRDefault="00B1013B" w:rsidP="00072D12">
      <w:pPr>
        <w:pStyle w:val="BodyText2"/>
        <w:numPr>
          <w:ilvl w:val="0"/>
          <w:numId w:val="0"/>
        </w:numPr>
        <w:jc w:val="left"/>
        <w:rPr>
          <w:rFonts w:ascii="Arial" w:hAnsi="Arial" w:cs="Arial"/>
          <w:sz w:val="24"/>
        </w:rPr>
      </w:pPr>
      <w:r w:rsidRPr="00555541">
        <w:rPr>
          <w:rFonts w:ascii="Arial" w:hAnsi="Arial" w:cs="Arial"/>
          <w:sz w:val="24"/>
        </w:rPr>
        <w:t>The key objectives</w:t>
      </w:r>
      <w:r w:rsidR="00864F73">
        <w:rPr>
          <w:rFonts w:ascii="Arial" w:hAnsi="Arial" w:cs="Arial"/>
          <w:sz w:val="24"/>
        </w:rPr>
        <w:t xml:space="preserve"> of oral health services</w:t>
      </w:r>
      <w:r w:rsidRPr="00555541">
        <w:rPr>
          <w:rFonts w:ascii="Arial" w:hAnsi="Arial" w:cs="Arial"/>
          <w:sz w:val="24"/>
        </w:rPr>
        <w:t xml:space="preserve"> are to:</w:t>
      </w:r>
    </w:p>
    <w:p w14:paraId="0E6EDA81" w14:textId="40243C87" w:rsidR="00B1013B" w:rsidRPr="0087496B" w:rsidRDefault="00A3506A" w:rsidP="00510B13">
      <w:pPr>
        <w:pStyle w:val="ListParagraph"/>
        <w:numPr>
          <w:ilvl w:val="0"/>
          <w:numId w:val="13"/>
        </w:numPr>
        <w:tabs>
          <w:tab w:val="left" w:pos="6663"/>
        </w:tabs>
        <w:spacing w:before="120"/>
        <w:ind w:left="567" w:right="-57" w:hanging="567"/>
        <w:jc w:val="left"/>
        <w:rPr>
          <w:rFonts w:cs="Arial"/>
        </w:rPr>
      </w:pPr>
      <w:r w:rsidRPr="0087496B">
        <w:rPr>
          <w:rFonts w:cs="Arial"/>
        </w:rPr>
        <w:t xml:space="preserve">contribute to </w:t>
      </w:r>
      <w:r w:rsidR="00B1013B" w:rsidRPr="0087496B">
        <w:rPr>
          <w:rFonts w:cs="Arial"/>
        </w:rPr>
        <w:t>improv</w:t>
      </w:r>
      <w:r w:rsidRPr="0087496B">
        <w:rPr>
          <w:rFonts w:cs="Arial"/>
        </w:rPr>
        <w:t>ing</w:t>
      </w:r>
      <w:r w:rsidR="00B1013B" w:rsidRPr="0087496B">
        <w:rPr>
          <w:rFonts w:cs="Arial"/>
        </w:rPr>
        <w:t xml:space="preserve"> the oral health status of the population by promoting, maintaining and restoring good oral health</w:t>
      </w:r>
    </w:p>
    <w:p w14:paraId="4DC1323F" w14:textId="1BE758E7" w:rsidR="00B1013B" w:rsidRPr="0087496B" w:rsidRDefault="00A53318" w:rsidP="002E3B63">
      <w:pPr>
        <w:pStyle w:val="ListParagraph"/>
        <w:numPr>
          <w:ilvl w:val="0"/>
          <w:numId w:val="13"/>
        </w:numPr>
        <w:ind w:left="567" w:right="-57" w:hanging="567"/>
        <w:jc w:val="left"/>
        <w:rPr>
          <w:rFonts w:cs="Arial"/>
        </w:rPr>
      </w:pPr>
      <w:r w:rsidRPr="0087496B">
        <w:rPr>
          <w:rFonts w:cs="Arial"/>
        </w:rPr>
        <w:t>improve</w:t>
      </w:r>
      <w:r w:rsidR="00877B1B" w:rsidRPr="0087496B">
        <w:rPr>
          <w:rFonts w:cs="Arial"/>
        </w:rPr>
        <w:t xml:space="preserve"> </w:t>
      </w:r>
      <w:r w:rsidR="00FB58B5" w:rsidRPr="0087496B">
        <w:rPr>
          <w:rFonts w:cs="Arial"/>
        </w:rPr>
        <w:t xml:space="preserve">equity of </w:t>
      </w:r>
      <w:r w:rsidR="00B1013B" w:rsidRPr="0087496B">
        <w:rPr>
          <w:rFonts w:cs="Arial"/>
        </w:rPr>
        <w:t xml:space="preserve">access </w:t>
      </w:r>
      <w:r w:rsidR="00D97A80" w:rsidRPr="0087496B">
        <w:rPr>
          <w:rFonts w:cs="Arial"/>
        </w:rPr>
        <w:t>and</w:t>
      </w:r>
      <w:r w:rsidR="00F41DE3" w:rsidRPr="0087496B">
        <w:rPr>
          <w:rFonts w:cs="Arial"/>
        </w:rPr>
        <w:t xml:space="preserve"> </w:t>
      </w:r>
      <w:r w:rsidR="00FB58B5" w:rsidRPr="0087496B">
        <w:rPr>
          <w:rFonts w:cs="Arial"/>
        </w:rPr>
        <w:t xml:space="preserve">outcomes </w:t>
      </w:r>
      <w:r w:rsidR="00B1013B" w:rsidRPr="0087496B">
        <w:rPr>
          <w:rFonts w:cs="Arial"/>
        </w:rPr>
        <w:t xml:space="preserve">for those </w:t>
      </w:r>
      <w:r w:rsidR="00FB58B5" w:rsidRPr="0087496B">
        <w:rPr>
          <w:rFonts w:cs="Arial"/>
        </w:rPr>
        <w:t>most at risk of poor oral health</w:t>
      </w:r>
    </w:p>
    <w:p w14:paraId="07B17B40" w14:textId="77777777" w:rsidR="00B1013B" w:rsidRPr="00555541" w:rsidRDefault="00B1013B" w:rsidP="002E3B63">
      <w:pPr>
        <w:pStyle w:val="ListParagraph"/>
        <w:numPr>
          <w:ilvl w:val="0"/>
          <w:numId w:val="13"/>
        </w:numPr>
        <w:ind w:left="567" w:right="-57" w:hanging="567"/>
        <w:jc w:val="left"/>
        <w:rPr>
          <w:rFonts w:cs="Arial"/>
        </w:rPr>
      </w:pPr>
      <w:r w:rsidRPr="00555541">
        <w:rPr>
          <w:rFonts w:cs="Arial"/>
        </w:rPr>
        <w:t>provide an evidence</w:t>
      </w:r>
      <w:r w:rsidR="00441768" w:rsidRPr="00555541">
        <w:rPr>
          <w:rFonts w:cs="Arial"/>
        </w:rPr>
        <w:t>-</w:t>
      </w:r>
      <w:r w:rsidRPr="00555541">
        <w:rPr>
          <w:rFonts w:cs="Arial"/>
        </w:rPr>
        <w:t>based approach to service delivery and evaluation when this exists</w:t>
      </w:r>
    </w:p>
    <w:p w14:paraId="3ED1E9FE" w14:textId="77777777" w:rsidR="00B1013B" w:rsidRPr="00555541" w:rsidRDefault="00B1013B" w:rsidP="002E3B63">
      <w:pPr>
        <w:pStyle w:val="ListParagraph"/>
        <w:numPr>
          <w:ilvl w:val="0"/>
          <w:numId w:val="13"/>
        </w:numPr>
        <w:ind w:left="567" w:right="-57" w:hanging="567"/>
        <w:jc w:val="left"/>
        <w:rPr>
          <w:rFonts w:cs="Arial"/>
        </w:rPr>
      </w:pPr>
      <w:r w:rsidRPr="00555541">
        <w:rPr>
          <w:rFonts w:cs="Arial"/>
          <w:bCs/>
        </w:rPr>
        <w:t xml:space="preserve">ensure that professional and fiscal resources are used efficiently and effectively. </w:t>
      </w:r>
    </w:p>
    <w:p w14:paraId="66A6FAAE" w14:textId="32845616" w:rsidR="00C53E29" w:rsidRPr="00C53E29" w:rsidRDefault="00C53E29" w:rsidP="002E3B63">
      <w:pPr>
        <w:pStyle w:val="Heading2"/>
        <w:rPr>
          <w:lang w:eastAsia="en-NZ"/>
        </w:rPr>
      </w:pPr>
      <w:r w:rsidRPr="00C53E29">
        <w:rPr>
          <w:lang w:eastAsia="en-NZ"/>
        </w:rPr>
        <w:t>Achieving equity in health outcomes</w:t>
      </w:r>
    </w:p>
    <w:p w14:paraId="2EEBC3D9" w14:textId="77777777" w:rsidR="00C53E29" w:rsidRPr="00B969DA" w:rsidRDefault="00C53E29" w:rsidP="00C53E29">
      <w:pPr>
        <w:autoSpaceDE w:val="0"/>
        <w:autoSpaceDN w:val="0"/>
        <w:adjustRightInd w:val="0"/>
        <w:spacing w:before="120"/>
        <w:jc w:val="left"/>
        <w:rPr>
          <w:rFonts w:cs="Arial"/>
          <w:lang w:eastAsia="en-NZ"/>
        </w:rPr>
      </w:pPr>
      <w:r w:rsidRPr="00B969DA">
        <w:rPr>
          <w:rFonts w:cs="Arial"/>
          <w:lang w:eastAsia="en-NZ"/>
        </w:rPr>
        <w:t>The Ministry’s definition of equity is:</w:t>
      </w:r>
    </w:p>
    <w:p w14:paraId="25C51F1F" w14:textId="5CBB5513" w:rsidR="00C53E29" w:rsidRPr="00B969DA" w:rsidRDefault="00C53E29" w:rsidP="002E3B63">
      <w:pPr>
        <w:autoSpaceDE w:val="0"/>
        <w:autoSpaceDN w:val="0"/>
        <w:adjustRightInd w:val="0"/>
        <w:ind w:left="567"/>
        <w:jc w:val="left"/>
        <w:rPr>
          <w:rFonts w:cs="Arial"/>
          <w:i/>
          <w:iCs/>
          <w:lang w:eastAsia="en-NZ"/>
        </w:rPr>
      </w:pPr>
      <w:r w:rsidRPr="00B969DA">
        <w:rPr>
          <w:rFonts w:cs="Arial"/>
          <w:i/>
          <w:iCs/>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p w14:paraId="1647A016" w14:textId="77777777" w:rsidR="00C53E29" w:rsidRDefault="00C53E29" w:rsidP="00C53E29">
      <w:pPr>
        <w:autoSpaceDE w:val="0"/>
        <w:autoSpaceDN w:val="0"/>
        <w:adjustRightInd w:val="0"/>
        <w:spacing w:before="120"/>
        <w:jc w:val="left"/>
        <w:rPr>
          <w:rFonts w:cs="Arial"/>
          <w:color w:val="000000"/>
          <w:lang w:eastAsia="en-NZ"/>
        </w:rPr>
      </w:pPr>
      <w:r>
        <w:rPr>
          <w:rFonts w:cs="Arial"/>
          <w:color w:val="000000"/>
          <w:lang w:eastAsia="en-NZ"/>
        </w:rPr>
        <w:t>The Ministry’s definition of equity is designed to:</w:t>
      </w:r>
    </w:p>
    <w:p w14:paraId="54D52BD5" w14:textId="641FF5DD" w:rsidR="00C53E29" w:rsidRPr="00C53E29" w:rsidRDefault="00C53E29" w:rsidP="00510B13">
      <w:pPr>
        <w:pStyle w:val="ListParagraph"/>
        <w:numPr>
          <w:ilvl w:val="0"/>
          <w:numId w:val="13"/>
        </w:numPr>
        <w:autoSpaceDE w:val="0"/>
        <w:autoSpaceDN w:val="0"/>
        <w:adjustRightInd w:val="0"/>
        <w:spacing w:before="120"/>
        <w:ind w:left="567" w:hanging="567"/>
        <w:jc w:val="left"/>
        <w:rPr>
          <w:rFonts w:cs="Arial"/>
          <w:color w:val="000000"/>
          <w:lang w:eastAsia="en-NZ"/>
        </w:rPr>
      </w:pPr>
      <w:r w:rsidRPr="00C53E29">
        <w:rPr>
          <w:rFonts w:cs="Arial"/>
          <w:color w:val="000000"/>
          <w:lang w:eastAsia="en-NZ"/>
        </w:rPr>
        <w:t>fit the New Zealand context</w:t>
      </w:r>
    </w:p>
    <w:p w14:paraId="10FF5AEE" w14:textId="245E693C" w:rsidR="00C53E29" w:rsidRPr="00C53E29" w:rsidRDefault="00C53E29" w:rsidP="002E3B63">
      <w:pPr>
        <w:pStyle w:val="ListParagraph"/>
        <w:numPr>
          <w:ilvl w:val="0"/>
          <w:numId w:val="13"/>
        </w:numPr>
        <w:autoSpaceDE w:val="0"/>
        <w:autoSpaceDN w:val="0"/>
        <w:adjustRightInd w:val="0"/>
        <w:spacing w:before="120"/>
        <w:ind w:left="567" w:hanging="567"/>
        <w:jc w:val="left"/>
        <w:rPr>
          <w:rFonts w:cs="Arial"/>
          <w:color w:val="000000"/>
          <w:lang w:eastAsia="en-NZ"/>
        </w:rPr>
      </w:pPr>
      <w:r w:rsidRPr="00C53E29">
        <w:rPr>
          <w:rFonts w:cs="Arial"/>
          <w:color w:val="000000"/>
          <w:lang w:eastAsia="en-NZ"/>
        </w:rPr>
        <w:t xml:space="preserve">align with Te </w:t>
      </w:r>
      <w:proofErr w:type="spellStart"/>
      <w:r w:rsidRPr="00C53E29">
        <w:rPr>
          <w:rFonts w:cs="Arial"/>
          <w:color w:val="000000"/>
          <w:lang w:eastAsia="en-NZ"/>
        </w:rPr>
        <w:t>Tiriti</w:t>
      </w:r>
      <w:proofErr w:type="spellEnd"/>
      <w:r w:rsidRPr="00C53E29">
        <w:rPr>
          <w:rFonts w:cs="Arial"/>
          <w:color w:val="000000"/>
          <w:lang w:eastAsia="en-NZ"/>
        </w:rPr>
        <w:t xml:space="preserve"> </w:t>
      </w:r>
      <w:r>
        <w:rPr>
          <w:rFonts w:cs="Arial"/>
          <w:color w:val="000000"/>
          <w:lang w:eastAsia="en-NZ"/>
        </w:rPr>
        <w:t xml:space="preserve">o Waitangi </w:t>
      </w:r>
      <w:r w:rsidRPr="00C53E29">
        <w:rPr>
          <w:rFonts w:cs="Arial"/>
          <w:color w:val="000000"/>
          <w:lang w:eastAsia="en-NZ"/>
        </w:rPr>
        <w:t xml:space="preserve">obligations </w:t>
      </w:r>
    </w:p>
    <w:p w14:paraId="2F501A0E" w14:textId="5CE43AEE" w:rsidR="00C53E29" w:rsidRPr="00C53E29" w:rsidRDefault="00C53E29" w:rsidP="002E3B63">
      <w:pPr>
        <w:pStyle w:val="ListParagraph"/>
        <w:numPr>
          <w:ilvl w:val="0"/>
          <w:numId w:val="13"/>
        </w:numPr>
        <w:autoSpaceDE w:val="0"/>
        <w:autoSpaceDN w:val="0"/>
        <w:adjustRightInd w:val="0"/>
        <w:spacing w:before="120"/>
        <w:ind w:left="567" w:hanging="567"/>
        <w:jc w:val="left"/>
        <w:rPr>
          <w:rFonts w:cs="Arial"/>
          <w:color w:val="000000"/>
          <w:lang w:eastAsia="en-NZ"/>
        </w:rPr>
      </w:pPr>
      <w:r w:rsidRPr="00C53E29">
        <w:rPr>
          <w:rFonts w:cs="Arial"/>
          <w:color w:val="000000"/>
          <w:lang w:eastAsia="en-NZ"/>
        </w:rPr>
        <w:t>be principle based</w:t>
      </w:r>
    </w:p>
    <w:p w14:paraId="2F044A67" w14:textId="51705F67" w:rsidR="00C53E29" w:rsidRPr="00C53E29" w:rsidRDefault="00C53E29" w:rsidP="002E3B63">
      <w:pPr>
        <w:pStyle w:val="ListParagraph"/>
        <w:numPr>
          <w:ilvl w:val="0"/>
          <w:numId w:val="13"/>
        </w:numPr>
        <w:autoSpaceDE w:val="0"/>
        <w:autoSpaceDN w:val="0"/>
        <w:adjustRightInd w:val="0"/>
        <w:spacing w:before="120"/>
        <w:ind w:left="567" w:hanging="567"/>
        <w:jc w:val="left"/>
        <w:rPr>
          <w:rFonts w:cs="Arial"/>
          <w:color w:val="000000"/>
          <w:lang w:eastAsia="en-NZ"/>
        </w:rPr>
      </w:pPr>
      <w:r w:rsidRPr="00C53E29">
        <w:rPr>
          <w:rFonts w:cs="Arial"/>
          <w:color w:val="000000"/>
          <w:lang w:eastAsia="en-NZ"/>
        </w:rPr>
        <w:t>be inclusive enough to incorporate all possible dimensions of equity (indigenous, socio-economic, geographically, disability, etc.)</w:t>
      </w:r>
    </w:p>
    <w:p w14:paraId="52A7178D" w14:textId="5143EA73" w:rsidR="00C53E29" w:rsidRPr="00C53E29" w:rsidRDefault="00C53E29" w:rsidP="002E3B63">
      <w:pPr>
        <w:pStyle w:val="ListParagraph"/>
        <w:numPr>
          <w:ilvl w:val="0"/>
          <w:numId w:val="13"/>
        </w:numPr>
        <w:autoSpaceDE w:val="0"/>
        <w:autoSpaceDN w:val="0"/>
        <w:adjustRightInd w:val="0"/>
        <w:spacing w:before="120"/>
        <w:ind w:left="567" w:hanging="567"/>
        <w:jc w:val="left"/>
        <w:rPr>
          <w:rFonts w:cs="Arial"/>
          <w:color w:val="000000"/>
          <w:lang w:eastAsia="en-NZ"/>
        </w:rPr>
      </w:pPr>
      <w:r w:rsidRPr="00C53E29">
        <w:rPr>
          <w:rFonts w:cs="Arial"/>
          <w:color w:val="000000"/>
          <w:lang w:eastAsia="en-NZ"/>
        </w:rPr>
        <w:t xml:space="preserve">reflect the international literature on equity </w:t>
      </w:r>
    </w:p>
    <w:p w14:paraId="6F3F56A9" w14:textId="0D295C7A" w:rsidR="00C53E29" w:rsidRPr="00C53E29" w:rsidRDefault="00C53E29" w:rsidP="002E3B63">
      <w:pPr>
        <w:pStyle w:val="ListParagraph"/>
        <w:numPr>
          <w:ilvl w:val="0"/>
          <w:numId w:val="13"/>
        </w:numPr>
        <w:autoSpaceDE w:val="0"/>
        <w:autoSpaceDN w:val="0"/>
        <w:adjustRightInd w:val="0"/>
        <w:spacing w:before="120"/>
        <w:ind w:left="567" w:hanging="567"/>
        <w:jc w:val="left"/>
        <w:rPr>
          <w:rFonts w:cs="Arial"/>
          <w:color w:val="000000"/>
          <w:lang w:eastAsia="en-NZ"/>
        </w:rPr>
      </w:pPr>
      <w:r w:rsidRPr="00C53E29">
        <w:rPr>
          <w:rFonts w:cs="Arial"/>
          <w:color w:val="000000"/>
          <w:lang w:eastAsia="en-NZ"/>
        </w:rPr>
        <w:t>reflect the definition put forward by the World Health Organi</w:t>
      </w:r>
      <w:r>
        <w:rPr>
          <w:rFonts w:cs="Arial"/>
          <w:color w:val="000000"/>
          <w:lang w:eastAsia="en-NZ"/>
        </w:rPr>
        <w:t>z</w:t>
      </w:r>
      <w:r w:rsidRPr="00C53E29">
        <w:rPr>
          <w:rFonts w:cs="Arial"/>
          <w:color w:val="000000"/>
          <w:lang w:eastAsia="en-NZ"/>
        </w:rPr>
        <w:t>ation.</w:t>
      </w:r>
    </w:p>
    <w:p w14:paraId="6BEC7473" w14:textId="2297941C" w:rsidR="00C53E29" w:rsidRDefault="00C53E29" w:rsidP="00C53E29">
      <w:pPr>
        <w:autoSpaceDE w:val="0"/>
        <w:autoSpaceDN w:val="0"/>
        <w:adjustRightInd w:val="0"/>
        <w:spacing w:before="120"/>
        <w:jc w:val="left"/>
        <w:rPr>
          <w:rFonts w:cs="Arial"/>
          <w:color w:val="000000"/>
          <w:lang w:eastAsia="en-NZ"/>
        </w:rPr>
      </w:pPr>
      <w:r>
        <w:rPr>
          <w:rFonts w:cs="Arial"/>
          <w:color w:val="000000"/>
          <w:lang w:eastAsia="en-NZ"/>
        </w:rPr>
        <w:t>Inequitable health outcomes are evident amongst populations with different levels of underlying social advantage/disadvantage. This may be on the basis of socioeconomic status, ethnicity, gender, stage of the life course, locality, or due to racism and discrimination. These disparities result in cumulative effects throughout life and across generations. The causes of disparities in health outcomes largely arise from the inequitable distribution of and access to the wider determinants of health such as income, education, employment, housing and quality health care amongst populations.</w:t>
      </w:r>
    </w:p>
    <w:p w14:paraId="1EA80B54" w14:textId="47EE9F2F" w:rsidR="002B138C" w:rsidRPr="00FB0147" w:rsidRDefault="00563C88" w:rsidP="00563C88">
      <w:pPr>
        <w:pStyle w:val="1"/>
        <w:tabs>
          <w:tab w:val="clear" w:pos="567"/>
          <w:tab w:val="left" w:pos="0"/>
        </w:tabs>
        <w:spacing w:before="120"/>
        <w:ind w:left="0" w:firstLine="0"/>
        <w:rPr>
          <w:rFonts w:ascii="Arial" w:hAnsi="Arial" w:cs="Arial"/>
          <w:b w:val="0"/>
          <w:bCs w:val="0"/>
          <w:iCs/>
          <w:sz w:val="24"/>
          <w:szCs w:val="24"/>
          <w:highlight w:val="yellow"/>
          <w:lang w:val="en-US"/>
        </w:rPr>
      </w:pPr>
      <w:r>
        <w:rPr>
          <w:rFonts w:ascii="Arial" w:hAnsi="Arial" w:cs="Arial"/>
          <w:b w:val="0"/>
          <w:color w:val="000000"/>
          <w:sz w:val="24"/>
          <w:szCs w:val="24"/>
          <w:lang w:eastAsia="en-NZ"/>
        </w:rPr>
        <w:t>T</w:t>
      </w:r>
      <w:r w:rsidR="00C53E29" w:rsidRPr="00FB0147">
        <w:rPr>
          <w:rFonts w:ascii="Arial" w:hAnsi="Arial" w:cs="Arial"/>
          <w:b w:val="0"/>
          <w:color w:val="000000"/>
          <w:sz w:val="24"/>
          <w:szCs w:val="24"/>
          <w:lang w:eastAsia="en-NZ"/>
        </w:rPr>
        <w:t>he Ministry</w:t>
      </w:r>
      <w:r>
        <w:rPr>
          <w:rFonts w:ascii="Arial" w:hAnsi="Arial" w:cs="Arial"/>
          <w:b w:val="0"/>
          <w:color w:val="000000"/>
          <w:sz w:val="24"/>
          <w:szCs w:val="24"/>
          <w:lang w:eastAsia="en-NZ"/>
        </w:rPr>
        <w:t>, DHBs</w:t>
      </w:r>
      <w:r w:rsidR="00C53E29" w:rsidRPr="00FB0147">
        <w:rPr>
          <w:rFonts w:ascii="Arial" w:hAnsi="Arial" w:cs="Arial"/>
          <w:b w:val="0"/>
          <w:color w:val="000000"/>
          <w:sz w:val="24"/>
          <w:szCs w:val="24"/>
          <w:lang w:eastAsia="en-NZ"/>
        </w:rPr>
        <w:t xml:space="preserve"> and providers have an important role in supporting intersectoral approaches to address the social determinants of health and in ensuring health services themselves achieve equity and eliminate disparities in health outcomes between population groups.  </w:t>
      </w:r>
    </w:p>
    <w:p w14:paraId="4DC67960" w14:textId="154A6618" w:rsidR="00FB0147" w:rsidRPr="00F73D51" w:rsidRDefault="00FB0147" w:rsidP="002E3B63">
      <w:pPr>
        <w:pStyle w:val="Heading2"/>
        <w:rPr>
          <w:i/>
        </w:rPr>
      </w:pPr>
      <w:r w:rsidRPr="00F73D51">
        <w:t>Māori Health</w:t>
      </w:r>
    </w:p>
    <w:p w14:paraId="61081B65" w14:textId="18688102" w:rsidR="00877B1B" w:rsidRPr="00877B1B" w:rsidRDefault="00877B1B" w:rsidP="00877B1B">
      <w:pPr>
        <w:spacing w:before="120"/>
        <w:ind w:right="284"/>
        <w:jc w:val="left"/>
        <w:rPr>
          <w:rFonts w:cs="Arial"/>
          <w:lang w:eastAsia="en-GB"/>
        </w:rPr>
      </w:pPr>
      <w:bookmarkStart w:id="1" w:name="_Hlk40533476"/>
      <w:r w:rsidRPr="00877B1B">
        <w:rPr>
          <w:rFonts w:cs="Arial"/>
          <w:lang w:eastAsia="en-GB"/>
        </w:rPr>
        <w:t xml:space="preserve">Achieving </w:t>
      </w:r>
      <w:proofErr w:type="spellStart"/>
      <w:r w:rsidRPr="00877B1B">
        <w:rPr>
          <w:rFonts w:cs="Arial"/>
          <w:lang w:eastAsia="en-GB"/>
        </w:rPr>
        <w:t>Pae</w:t>
      </w:r>
      <w:proofErr w:type="spellEnd"/>
      <w:r w:rsidRPr="00877B1B">
        <w:rPr>
          <w:rFonts w:cs="Arial"/>
          <w:lang w:eastAsia="en-GB"/>
        </w:rPr>
        <w:t xml:space="preserve"> Ora (healthy futures for Māori), including Mauri Ora (healthy individuals), Whānau Ora (healthy families) and Wai Ora (healthy environments), is an overarching aim of the health and disability system. Meeting our obligations under Te </w:t>
      </w:r>
      <w:proofErr w:type="spellStart"/>
      <w:r w:rsidRPr="00877B1B">
        <w:rPr>
          <w:rFonts w:cs="Arial"/>
          <w:lang w:eastAsia="en-GB"/>
        </w:rPr>
        <w:t>Tiriti</w:t>
      </w:r>
      <w:proofErr w:type="spellEnd"/>
      <w:r w:rsidRPr="00877B1B">
        <w:rPr>
          <w:rFonts w:cs="Arial"/>
          <w:lang w:eastAsia="en-GB"/>
        </w:rPr>
        <w:t xml:space="preserve"> o Waitangi is a necessary part of achieving these goals. </w:t>
      </w:r>
      <w:r w:rsidR="00620986">
        <w:rPr>
          <w:rFonts w:cs="Arial"/>
          <w:lang w:eastAsia="en-GB"/>
        </w:rPr>
        <w:t xml:space="preserve">Te </w:t>
      </w:r>
      <w:proofErr w:type="spellStart"/>
      <w:r w:rsidR="00620986">
        <w:rPr>
          <w:rFonts w:cs="Arial"/>
          <w:lang w:eastAsia="en-GB"/>
        </w:rPr>
        <w:t>Tiriti</w:t>
      </w:r>
      <w:proofErr w:type="spellEnd"/>
      <w:r w:rsidRPr="00877B1B">
        <w:rPr>
          <w:rFonts w:cs="Arial"/>
          <w:lang w:eastAsia="en-GB"/>
        </w:rPr>
        <w:t xml:space="preserve"> principles provide guidance on how we can approach these obligations and achieve these aims. For the purpose of commissioning and delivering the services, the following principles will apply:  </w:t>
      </w:r>
    </w:p>
    <w:bookmarkEnd w:id="1"/>
    <w:p w14:paraId="0F0FE862" w14:textId="6750D916" w:rsidR="00877B1B" w:rsidRPr="00877B1B" w:rsidRDefault="00877B1B" w:rsidP="00877B1B">
      <w:pPr>
        <w:spacing w:before="120"/>
        <w:ind w:right="284"/>
        <w:jc w:val="left"/>
        <w:rPr>
          <w:rFonts w:cs="Arial"/>
          <w:lang w:eastAsia="en-GB"/>
        </w:rPr>
      </w:pPr>
      <w:r w:rsidRPr="00877B1B">
        <w:rPr>
          <w:rFonts w:cs="Arial"/>
          <w:b/>
          <w:lang w:eastAsia="en-GB"/>
        </w:rPr>
        <w:t>Options:</w:t>
      </w:r>
      <w:r w:rsidRPr="00877B1B">
        <w:rPr>
          <w:rFonts w:cs="Arial"/>
          <w:lang w:eastAsia="en-GB"/>
        </w:rPr>
        <w:t xml:space="preserve"> One of the key principles which flows from Te </w:t>
      </w:r>
      <w:proofErr w:type="spellStart"/>
      <w:r w:rsidRPr="00877B1B">
        <w:rPr>
          <w:rFonts w:cs="Arial"/>
          <w:lang w:eastAsia="en-GB"/>
        </w:rPr>
        <w:t>Tiriti</w:t>
      </w:r>
      <w:proofErr w:type="spellEnd"/>
      <w:r w:rsidRPr="00877B1B">
        <w:rPr>
          <w:rFonts w:cs="Arial"/>
          <w:lang w:eastAsia="en-GB"/>
        </w:rPr>
        <w:t xml:space="preserve"> is the principle of options, requiring us to recognise the need to provide, resource and grow:</w:t>
      </w:r>
    </w:p>
    <w:p w14:paraId="7052A049" w14:textId="77777777" w:rsidR="00877B1B" w:rsidRPr="00171FB9" w:rsidRDefault="00877B1B" w:rsidP="002E3B63">
      <w:pPr>
        <w:pStyle w:val="ListParagraph"/>
        <w:numPr>
          <w:ilvl w:val="0"/>
          <w:numId w:val="28"/>
        </w:numPr>
        <w:spacing w:before="90"/>
        <w:ind w:left="567" w:hanging="567"/>
        <w:jc w:val="left"/>
        <w:rPr>
          <w:rFonts w:cs="Arial"/>
          <w:lang w:eastAsia="en-GB"/>
        </w:rPr>
      </w:pPr>
      <w:proofErr w:type="spellStart"/>
      <w:r w:rsidRPr="00171FB9">
        <w:rPr>
          <w:rFonts w:cs="Arial"/>
          <w:lang w:eastAsia="en-GB"/>
        </w:rPr>
        <w:t>kaupapa</w:t>
      </w:r>
      <w:proofErr w:type="spellEnd"/>
      <w:r w:rsidRPr="00171FB9">
        <w:rPr>
          <w:rFonts w:cs="Arial"/>
          <w:lang w:eastAsia="en-GB"/>
        </w:rPr>
        <w:t xml:space="preserve"> Māori health and disability services as an option for Māori which are uniquely Māori</w:t>
      </w:r>
    </w:p>
    <w:p w14:paraId="2CDC0290" w14:textId="77777777" w:rsidR="00877B1B" w:rsidRPr="00171FB9" w:rsidRDefault="00877B1B" w:rsidP="002E3B63">
      <w:pPr>
        <w:pStyle w:val="ListParagraph"/>
        <w:numPr>
          <w:ilvl w:val="0"/>
          <w:numId w:val="28"/>
        </w:numPr>
        <w:spacing w:before="90"/>
        <w:ind w:left="567" w:hanging="567"/>
        <w:jc w:val="left"/>
        <w:rPr>
          <w:rFonts w:cs="Arial"/>
          <w:lang w:eastAsia="en-GB"/>
        </w:rPr>
      </w:pPr>
      <w:r w:rsidRPr="00171FB9">
        <w:rPr>
          <w:rFonts w:cs="Arial"/>
          <w:lang w:eastAsia="en-GB"/>
        </w:rPr>
        <w:t>whānau centred services that directly drive towards Māori health equity</w:t>
      </w:r>
    </w:p>
    <w:p w14:paraId="0F5B137A" w14:textId="77777777" w:rsidR="00877B1B" w:rsidRPr="00171FB9" w:rsidRDefault="00877B1B" w:rsidP="002E3B63">
      <w:pPr>
        <w:pStyle w:val="ListParagraph"/>
        <w:numPr>
          <w:ilvl w:val="0"/>
          <w:numId w:val="28"/>
        </w:numPr>
        <w:spacing w:before="90"/>
        <w:ind w:left="567" w:hanging="567"/>
        <w:jc w:val="left"/>
        <w:rPr>
          <w:rFonts w:cs="Arial"/>
          <w:lang w:eastAsia="en-GB"/>
        </w:rPr>
      </w:pPr>
      <w:r w:rsidRPr="00171FB9">
        <w:rPr>
          <w:rFonts w:cs="Arial"/>
          <w:lang w:eastAsia="en-GB"/>
        </w:rPr>
        <w:t xml:space="preserve">mainstream health and disability services that are culturally safe and support the expression of </w:t>
      </w:r>
      <w:proofErr w:type="spellStart"/>
      <w:r w:rsidRPr="00171FB9">
        <w:rPr>
          <w:rFonts w:cs="Arial"/>
          <w:lang w:eastAsia="en-GB"/>
        </w:rPr>
        <w:t>hauora</w:t>
      </w:r>
      <w:proofErr w:type="spellEnd"/>
      <w:r w:rsidRPr="00171FB9">
        <w:rPr>
          <w:rFonts w:cs="Arial"/>
          <w:lang w:eastAsia="en-GB"/>
        </w:rPr>
        <w:t xml:space="preserve"> Māori models of care.</w:t>
      </w:r>
    </w:p>
    <w:p w14:paraId="3406D589" w14:textId="77777777" w:rsidR="00877B1B" w:rsidRPr="00877B1B" w:rsidRDefault="00877B1B" w:rsidP="00877B1B">
      <w:pPr>
        <w:keepNext/>
        <w:spacing w:before="120"/>
        <w:ind w:right="284"/>
        <w:jc w:val="left"/>
        <w:rPr>
          <w:rFonts w:cs="Arial"/>
          <w:lang w:eastAsia="en-GB"/>
        </w:rPr>
      </w:pPr>
      <w:r w:rsidRPr="00877B1B">
        <w:rPr>
          <w:rFonts w:cs="Arial"/>
          <w:b/>
          <w:lang w:eastAsia="en-GB"/>
        </w:rPr>
        <w:t>Equity:</w:t>
      </w:r>
      <w:r w:rsidRPr="00877B1B">
        <w:rPr>
          <w:rFonts w:cs="Arial"/>
          <w:lang w:eastAsia="en-GB"/>
        </w:rPr>
        <w:t xml:space="preserve"> The principle of equity requires us to commit to achieving equitable health and disability outcomes for Māori through the allocation of time, effort, resources, and funding to where the greatest need exists. We will focus on addressing unfair and unjust differences by:</w:t>
      </w:r>
    </w:p>
    <w:p w14:paraId="053AB4AD" w14:textId="77777777" w:rsidR="00877B1B" w:rsidRPr="00120C0A" w:rsidRDefault="00877B1B" w:rsidP="002E3B63">
      <w:pPr>
        <w:pStyle w:val="ListParagraph"/>
        <w:numPr>
          <w:ilvl w:val="0"/>
          <w:numId w:val="29"/>
        </w:numPr>
        <w:spacing w:before="90"/>
        <w:ind w:left="567" w:hanging="567"/>
        <w:jc w:val="left"/>
        <w:rPr>
          <w:rFonts w:cs="Arial"/>
          <w:lang w:eastAsia="en-GB"/>
        </w:rPr>
      </w:pPr>
      <w:r w:rsidRPr="00120C0A">
        <w:rPr>
          <w:rFonts w:cs="Arial"/>
          <w:lang w:eastAsia="en-GB"/>
        </w:rPr>
        <w:t>building the capacity and capability of the Māori health workforce</w:t>
      </w:r>
    </w:p>
    <w:p w14:paraId="38320466" w14:textId="77777777" w:rsidR="00877B1B" w:rsidRPr="00120C0A" w:rsidRDefault="00877B1B" w:rsidP="002E3B63">
      <w:pPr>
        <w:pStyle w:val="ListParagraph"/>
        <w:numPr>
          <w:ilvl w:val="0"/>
          <w:numId w:val="29"/>
        </w:numPr>
        <w:spacing w:before="90"/>
        <w:ind w:left="567" w:hanging="567"/>
        <w:jc w:val="left"/>
        <w:rPr>
          <w:rFonts w:cs="Arial"/>
          <w:lang w:eastAsia="en-GB"/>
        </w:rPr>
      </w:pPr>
      <w:r w:rsidRPr="00120C0A">
        <w:rPr>
          <w:rFonts w:cs="Arial"/>
          <w:lang w:eastAsia="en-GB"/>
        </w:rPr>
        <w:t>working to eliminate racism and discrimination in all its forms.</w:t>
      </w:r>
    </w:p>
    <w:p w14:paraId="71DF95B1" w14:textId="77777777" w:rsidR="00877B1B" w:rsidRPr="00877B1B" w:rsidRDefault="00877B1B" w:rsidP="00877B1B">
      <w:pPr>
        <w:spacing w:before="120"/>
        <w:ind w:right="284"/>
        <w:jc w:val="left"/>
        <w:rPr>
          <w:rFonts w:cs="Arial"/>
          <w:lang w:eastAsia="en-GB"/>
        </w:rPr>
      </w:pPr>
      <w:r w:rsidRPr="00877B1B">
        <w:rPr>
          <w:rFonts w:cs="Arial"/>
          <w:b/>
          <w:lang w:eastAsia="en-GB"/>
        </w:rPr>
        <w:t>Active protection:</w:t>
      </w:r>
      <w:r w:rsidRPr="00877B1B">
        <w:rPr>
          <w:rFonts w:cs="Arial"/>
          <w:lang w:eastAsia="en-GB"/>
        </w:rPr>
        <w:t xml:space="preserve"> The principle of active protection </w:t>
      </w:r>
      <w:proofErr w:type="gramStart"/>
      <w:r w:rsidRPr="00877B1B">
        <w:rPr>
          <w:rFonts w:cs="Arial"/>
          <w:lang w:eastAsia="en-GB"/>
        </w:rPr>
        <w:t>requires us to act to the fullest extent</w:t>
      </w:r>
      <w:proofErr w:type="gramEnd"/>
      <w:r w:rsidRPr="00877B1B">
        <w:rPr>
          <w:rFonts w:cs="Arial"/>
          <w:lang w:eastAsia="en-GB"/>
        </w:rPr>
        <w:t xml:space="preserve"> possible in providing options and achieving equity. This includes ensuring all services are designed in ways that make them accessible, timely and effective for Māori whānau and communities.</w:t>
      </w:r>
    </w:p>
    <w:p w14:paraId="297EA2EF" w14:textId="77777777" w:rsidR="00877B1B" w:rsidRPr="00877B1B" w:rsidRDefault="00877B1B" w:rsidP="00877B1B">
      <w:pPr>
        <w:spacing w:before="120"/>
        <w:ind w:right="284"/>
        <w:jc w:val="left"/>
        <w:rPr>
          <w:rFonts w:cs="Arial"/>
          <w:lang w:eastAsia="en-GB"/>
        </w:rPr>
      </w:pPr>
      <w:r w:rsidRPr="00877B1B">
        <w:rPr>
          <w:rFonts w:cs="Arial"/>
          <w:lang w:eastAsia="en-GB"/>
        </w:rPr>
        <w:t>Ensuring that robust information that can be disaggregated is collected and necessary to ensure that Māori are well informed on the extent of Māori health and disability outcomes and efforts to achieve equity for Māori.</w:t>
      </w:r>
    </w:p>
    <w:p w14:paraId="225C8530" w14:textId="4B5EDE14" w:rsidR="004D1B6B" w:rsidRDefault="00877B1B" w:rsidP="00B24434">
      <w:pPr>
        <w:spacing w:before="120"/>
        <w:ind w:right="284"/>
        <w:jc w:val="left"/>
        <w:rPr>
          <w:rFonts w:cs="Arial"/>
          <w:iCs/>
          <w:highlight w:val="yellow"/>
          <w:lang w:val="en-US"/>
        </w:rPr>
      </w:pPr>
      <w:r w:rsidRPr="00877B1B">
        <w:rPr>
          <w:rFonts w:cs="Arial"/>
          <w:lang w:eastAsia="en-GB"/>
        </w:rPr>
        <w:t xml:space="preserve">We will work in accordance with the principle of partnership in the governance, design, delivery, and monitoring of health and disability services, with a strong focus on upholding the Treaty at all levels of decision-making. Through this we will enable </w:t>
      </w:r>
      <w:proofErr w:type="spellStart"/>
      <w:r w:rsidR="00B22A04">
        <w:rPr>
          <w:rFonts w:cs="Arial"/>
          <w:lang w:eastAsia="en-GB"/>
        </w:rPr>
        <w:t>t</w:t>
      </w:r>
      <w:r w:rsidRPr="00877B1B">
        <w:rPr>
          <w:rFonts w:cs="Arial"/>
          <w:lang w:eastAsia="en-GB"/>
        </w:rPr>
        <w:t>ino</w:t>
      </w:r>
      <w:proofErr w:type="spellEnd"/>
      <w:r w:rsidRPr="00877B1B">
        <w:rPr>
          <w:rFonts w:cs="Arial"/>
          <w:lang w:eastAsia="en-GB"/>
        </w:rPr>
        <w:t xml:space="preserve"> rangatiratanga, providing for Māori self-determination and mana </w:t>
      </w:r>
      <w:proofErr w:type="spellStart"/>
      <w:r w:rsidRPr="00877B1B">
        <w:rPr>
          <w:rFonts w:cs="Arial"/>
          <w:lang w:eastAsia="en-GB"/>
        </w:rPr>
        <w:t>motuhake</w:t>
      </w:r>
      <w:proofErr w:type="spellEnd"/>
      <w:r w:rsidRPr="00877B1B">
        <w:rPr>
          <w:rFonts w:cs="Arial"/>
          <w:lang w:eastAsia="en-GB"/>
        </w:rPr>
        <w:t xml:space="preserve"> in the design, delivery and monitoring of the services.</w:t>
      </w:r>
    </w:p>
    <w:p w14:paraId="219F1755" w14:textId="6F8500F2" w:rsidR="008C666A" w:rsidRPr="00120C0A" w:rsidRDefault="008C666A" w:rsidP="002E3B63">
      <w:pPr>
        <w:pStyle w:val="Heading2"/>
      </w:pPr>
      <w:r w:rsidRPr="00120C0A">
        <w:t>Pacific Health</w:t>
      </w:r>
    </w:p>
    <w:p w14:paraId="58DA31FA" w14:textId="5262C257" w:rsidR="00120C0A" w:rsidRPr="00120C0A" w:rsidRDefault="00120C0A" w:rsidP="00120C0A">
      <w:pPr>
        <w:pStyle w:val="1"/>
        <w:tabs>
          <w:tab w:val="clear" w:pos="567"/>
          <w:tab w:val="left" w:pos="720"/>
        </w:tabs>
        <w:spacing w:before="120"/>
        <w:ind w:left="0" w:firstLine="0"/>
        <w:rPr>
          <w:rFonts w:ascii="Arial" w:hAnsi="Arial" w:cs="Arial"/>
          <w:b w:val="0"/>
          <w:sz w:val="24"/>
          <w:szCs w:val="24"/>
          <w:lang w:eastAsia="en-GB"/>
        </w:rPr>
      </w:pPr>
      <w:r w:rsidRPr="00120C0A">
        <w:rPr>
          <w:rFonts w:ascii="Arial" w:hAnsi="Arial" w:cs="Arial"/>
          <w:b w:val="0"/>
          <w:sz w:val="24"/>
          <w:szCs w:val="24"/>
        </w:rPr>
        <w:t>Compared to the total New Zealand population, Pacific people have poorer health status across a wide variety of measures, including child and youth health, and risk factors leading to poor health and long-term conditions such as obesity, diabetes, cardiovascular and respiratory disease.</w:t>
      </w:r>
    </w:p>
    <w:p w14:paraId="45BC3796" w14:textId="58CC0BE9" w:rsidR="00120C0A" w:rsidRPr="00120C0A" w:rsidRDefault="00120C0A" w:rsidP="00120C0A">
      <w:pPr>
        <w:pStyle w:val="BodyText"/>
        <w:spacing w:before="120"/>
        <w:jc w:val="left"/>
        <w:rPr>
          <w:rFonts w:ascii="Arial" w:hAnsi="Arial" w:cs="Arial"/>
          <w:szCs w:val="24"/>
          <w:lang w:val="en-NZ"/>
        </w:rPr>
      </w:pPr>
      <w:r w:rsidRPr="00120C0A">
        <w:rPr>
          <w:rFonts w:ascii="Arial" w:hAnsi="Arial" w:cs="Arial"/>
          <w:szCs w:val="24"/>
          <w:lang w:val="en-NZ"/>
        </w:rPr>
        <w:t xml:space="preserve">Pacific people are more exposed to risk factors leading to poor </w:t>
      </w:r>
      <w:r w:rsidR="00FB749C" w:rsidRPr="00120C0A">
        <w:rPr>
          <w:rFonts w:ascii="Arial" w:hAnsi="Arial" w:cs="Arial"/>
          <w:szCs w:val="24"/>
          <w:lang w:val="en-NZ"/>
        </w:rPr>
        <w:t>health and</w:t>
      </w:r>
      <w:r w:rsidRPr="00120C0A">
        <w:rPr>
          <w:rFonts w:ascii="Arial" w:hAnsi="Arial" w:cs="Arial"/>
          <w:szCs w:val="24"/>
          <w:lang w:val="en-NZ"/>
        </w:rPr>
        <w:t xml:space="preserve"> experience more barriers to accessing health and disability support services than other groups. In addition, Pacific people with English as a second language may have difficulty understanding health information and engaging effectively with health professionals. Beliefs about individual health and family and community needs and realities can also influence health choices and behaviours.  </w:t>
      </w:r>
    </w:p>
    <w:p w14:paraId="60AD4151" w14:textId="7CD49CE1" w:rsidR="00120C0A" w:rsidRPr="00120C0A" w:rsidRDefault="00120C0A" w:rsidP="00120C0A">
      <w:pPr>
        <w:tabs>
          <w:tab w:val="left" w:pos="567"/>
        </w:tabs>
        <w:spacing w:before="120"/>
        <w:jc w:val="left"/>
        <w:rPr>
          <w:rFonts w:cs="Arial"/>
        </w:rPr>
      </w:pPr>
      <w:r w:rsidRPr="00120C0A">
        <w:rPr>
          <w:rFonts w:cs="Arial"/>
        </w:rPr>
        <w:t xml:space="preserve">The Service must be responsive to Pacific health needs and identified concerns, and should be aligned with </w:t>
      </w:r>
      <w:r w:rsidRPr="00120C0A">
        <w:rPr>
          <w:rFonts w:cs="Arial"/>
          <w:i/>
        </w:rPr>
        <w:t xml:space="preserve">Ola </w:t>
      </w:r>
      <w:proofErr w:type="spellStart"/>
      <w:r w:rsidRPr="00120C0A">
        <w:rPr>
          <w:rFonts w:cs="Arial"/>
          <w:i/>
        </w:rPr>
        <w:t>Manuia</w:t>
      </w:r>
      <w:proofErr w:type="spellEnd"/>
      <w:r w:rsidRPr="00120C0A">
        <w:rPr>
          <w:rFonts w:cs="Arial"/>
          <w:i/>
        </w:rPr>
        <w:t xml:space="preserve"> 2020-2025</w:t>
      </w:r>
      <w:r w:rsidRPr="00120C0A">
        <w:rPr>
          <w:rFonts w:cs="Arial"/>
        </w:rPr>
        <w:t xml:space="preserve"> </w:t>
      </w:r>
      <w:r w:rsidR="00C053F7">
        <w:rPr>
          <w:rFonts w:cs="Arial"/>
        </w:rPr>
        <w:t xml:space="preserve">which sets </w:t>
      </w:r>
      <w:r w:rsidRPr="00120C0A">
        <w:rPr>
          <w:rFonts w:cs="Arial"/>
        </w:rPr>
        <w:t xml:space="preserve">out priority outcomes and actions that will contribute to the Government’s overarching goal that all New Zealanders, including Pacific peoples, achieve better health outcomes. Service delivery should aim to improve Pacific health outcomes and reduce inequalities. </w:t>
      </w:r>
    </w:p>
    <w:p w14:paraId="71AFB9BB" w14:textId="32DF4FA4" w:rsidR="00120C0A" w:rsidRPr="00120C0A" w:rsidRDefault="00120C0A" w:rsidP="00120C0A">
      <w:pPr>
        <w:spacing w:before="120"/>
        <w:jc w:val="left"/>
        <w:rPr>
          <w:rFonts w:cs="Arial"/>
          <w:lang w:val="en-GB"/>
        </w:rPr>
      </w:pPr>
      <w:r w:rsidRPr="00120C0A">
        <w:rPr>
          <w:rFonts w:cs="Arial"/>
        </w:rPr>
        <w:lastRenderedPageBreak/>
        <w:t xml:space="preserve">The Service will respond to the needs of Pacific people by recognising differences, especially as they relate to linguistic, cultural, social and religious practises. The Provider must develop and maintain linkages with key local cultural groups in order to facilitate consultation and involvement of these groups in planning, implementing, monitoring and reviewing the Service. The Provider will consider the appropriateness and quality of the Service and address inequalities in access to and provision of the Services to Pacific people communities. </w:t>
      </w:r>
    </w:p>
    <w:p w14:paraId="7D753E0E" w14:textId="5EDB458B" w:rsidR="00120C0A" w:rsidRPr="00120C0A" w:rsidRDefault="00120C0A" w:rsidP="00120C0A">
      <w:pPr>
        <w:pStyle w:val="BodyText"/>
        <w:spacing w:before="120"/>
        <w:jc w:val="left"/>
        <w:rPr>
          <w:rFonts w:ascii="Arial" w:hAnsi="Arial" w:cs="Arial"/>
          <w:szCs w:val="24"/>
          <w:lang w:val="en-NZ"/>
        </w:rPr>
      </w:pPr>
      <w:r w:rsidRPr="00120C0A">
        <w:rPr>
          <w:rFonts w:ascii="Arial" w:hAnsi="Arial" w:cs="Arial"/>
          <w:szCs w:val="24"/>
          <w:lang w:val="en-NZ"/>
        </w:rPr>
        <w:t xml:space="preserve">The Provider will be culturally competent and have the ability to respond to the needs and expectations of Pacific Service Users. The Service will enable Pacific Service Users to make healthy choices and facilitate access to other health and disability and social services.  </w:t>
      </w:r>
    </w:p>
    <w:p w14:paraId="7A64CA11" w14:textId="0A57EFA9" w:rsidR="00F37D0B" w:rsidRPr="00120C0A" w:rsidRDefault="00120C0A" w:rsidP="002E3B63">
      <w:pPr>
        <w:pStyle w:val="Heading2"/>
      </w:pPr>
      <w:r w:rsidRPr="00120C0A">
        <w:t>Other Ethnic Groups</w:t>
      </w:r>
    </w:p>
    <w:p w14:paraId="38605164" w14:textId="3BFF1C39" w:rsidR="00120C0A" w:rsidRPr="00120C0A" w:rsidRDefault="00120C0A" w:rsidP="00120C0A">
      <w:pPr>
        <w:spacing w:before="120"/>
        <w:jc w:val="left"/>
        <w:rPr>
          <w:rFonts w:cs="Arial"/>
          <w:lang w:eastAsia="en-GB"/>
        </w:rPr>
      </w:pPr>
      <w:r w:rsidRPr="00120C0A">
        <w:rPr>
          <w:rFonts w:cs="Arial"/>
        </w:rPr>
        <w:t xml:space="preserve">As New Zealand is made up of culturally diverse communities, the Provider will take into account the particular cultural and linguistic needs of the groups within the community it serves. The Provider will strive to minimise barriers to access and communication and will ensure the Service is safe for, and respectful of all people. </w:t>
      </w:r>
    </w:p>
    <w:p w14:paraId="1709203C" w14:textId="77777777" w:rsidR="00B1013B" w:rsidRPr="0019546F" w:rsidRDefault="00B1013B" w:rsidP="000F25C9">
      <w:pPr>
        <w:pStyle w:val="Heading1"/>
      </w:pPr>
      <w:r w:rsidRPr="0019546F">
        <w:t>Access</w:t>
      </w:r>
    </w:p>
    <w:p w14:paraId="54265D1C" w14:textId="77777777" w:rsidR="00B1013B" w:rsidRPr="0019546F" w:rsidRDefault="00B1013B" w:rsidP="002E3B63">
      <w:pPr>
        <w:pStyle w:val="Heading2"/>
      </w:pPr>
      <w:r w:rsidRPr="0019546F">
        <w:t>Entry and Exit Criteria</w:t>
      </w:r>
    </w:p>
    <w:p w14:paraId="5ECEE7AB" w14:textId="2F4C09A7" w:rsidR="000F7394" w:rsidRPr="0019546F" w:rsidRDefault="000F7394" w:rsidP="00AC130F">
      <w:pPr>
        <w:pStyle w:val="11"/>
        <w:numPr>
          <w:ilvl w:val="0"/>
          <w:numId w:val="0"/>
        </w:numPr>
        <w:spacing w:after="120"/>
        <w:rPr>
          <w:rFonts w:ascii="Arial" w:hAnsi="Arial" w:cs="Arial"/>
          <w:b w:val="0"/>
          <w:i w:val="0"/>
          <w:iCs w:val="0"/>
          <w:sz w:val="24"/>
          <w:szCs w:val="24"/>
        </w:rPr>
      </w:pPr>
      <w:r w:rsidRPr="0019546F">
        <w:rPr>
          <w:rFonts w:ascii="Arial" w:hAnsi="Arial" w:cs="Arial"/>
          <w:b w:val="0"/>
          <w:i w:val="0"/>
          <w:iCs w:val="0"/>
          <w:sz w:val="24"/>
          <w:szCs w:val="24"/>
        </w:rPr>
        <w:t xml:space="preserve">Refer to the relevant </w:t>
      </w:r>
      <w:r w:rsidR="0037763E" w:rsidRPr="0019546F">
        <w:rPr>
          <w:rFonts w:ascii="Arial" w:hAnsi="Arial" w:cs="Arial"/>
          <w:b w:val="0"/>
          <w:i w:val="0"/>
          <w:iCs w:val="0"/>
          <w:sz w:val="24"/>
          <w:szCs w:val="24"/>
        </w:rPr>
        <w:t xml:space="preserve">tier two </w:t>
      </w:r>
      <w:r w:rsidRPr="0019546F">
        <w:rPr>
          <w:rFonts w:ascii="Arial" w:hAnsi="Arial" w:cs="Arial"/>
          <w:b w:val="0"/>
          <w:i w:val="0"/>
          <w:iCs w:val="0"/>
          <w:sz w:val="24"/>
          <w:szCs w:val="24"/>
        </w:rPr>
        <w:t>oral health service specification</w:t>
      </w:r>
      <w:r w:rsidR="0068208C" w:rsidRPr="0019546F">
        <w:rPr>
          <w:rFonts w:ascii="Arial" w:hAnsi="Arial" w:cs="Arial"/>
          <w:b w:val="0"/>
          <w:i w:val="0"/>
          <w:iCs w:val="0"/>
          <w:sz w:val="24"/>
          <w:szCs w:val="24"/>
        </w:rPr>
        <w:t xml:space="preserve">s listed </w:t>
      </w:r>
      <w:r w:rsidR="00087A8C">
        <w:rPr>
          <w:rFonts w:ascii="Arial" w:hAnsi="Arial" w:cs="Arial"/>
          <w:b w:val="0"/>
          <w:i w:val="0"/>
          <w:iCs w:val="0"/>
          <w:sz w:val="24"/>
          <w:szCs w:val="24"/>
        </w:rPr>
        <w:t>on page one</w:t>
      </w:r>
      <w:r w:rsidR="00DB7686" w:rsidRPr="0019546F">
        <w:rPr>
          <w:rFonts w:ascii="Arial" w:hAnsi="Arial" w:cs="Arial"/>
          <w:b w:val="0"/>
          <w:i w:val="0"/>
          <w:iCs w:val="0"/>
          <w:sz w:val="24"/>
          <w:szCs w:val="24"/>
        </w:rPr>
        <w:t xml:space="preserve"> </w:t>
      </w:r>
      <w:r w:rsidRPr="0019546F">
        <w:rPr>
          <w:rFonts w:ascii="Arial" w:hAnsi="Arial" w:cs="Arial"/>
          <w:b w:val="0"/>
          <w:i w:val="0"/>
          <w:iCs w:val="0"/>
          <w:sz w:val="24"/>
          <w:szCs w:val="24"/>
        </w:rPr>
        <w:t xml:space="preserve">for </w:t>
      </w:r>
      <w:r w:rsidR="0030312C" w:rsidRPr="0019546F">
        <w:rPr>
          <w:rFonts w:ascii="Arial" w:hAnsi="Arial" w:cs="Arial"/>
          <w:b w:val="0"/>
          <w:i w:val="0"/>
          <w:iCs w:val="0"/>
          <w:sz w:val="24"/>
          <w:szCs w:val="24"/>
        </w:rPr>
        <w:t xml:space="preserve">information on access, </w:t>
      </w:r>
      <w:r w:rsidRPr="0019546F">
        <w:rPr>
          <w:rFonts w:ascii="Arial" w:hAnsi="Arial" w:cs="Arial"/>
          <w:b w:val="0"/>
          <w:i w:val="0"/>
          <w:iCs w:val="0"/>
          <w:sz w:val="24"/>
          <w:szCs w:val="24"/>
        </w:rPr>
        <w:t>exit and entry criteria</w:t>
      </w:r>
      <w:r w:rsidR="007A7E28">
        <w:rPr>
          <w:rFonts w:ascii="Arial" w:hAnsi="Arial" w:cs="Arial"/>
          <w:b w:val="0"/>
          <w:i w:val="0"/>
          <w:iCs w:val="0"/>
          <w:sz w:val="24"/>
          <w:szCs w:val="24"/>
        </w:rPr>
        <w:t xml:space="preserve"> to those services</w:t>
      </w:r>
      <w:r w:rsidRPr="0019546F">
        <w:rPr>
          <w:rFonts w:ascii="Arial" w:hAnsi="Arial" w:cs="Arial"/>
          <w:b w:val="0"/>
          <w:i w:val="0"/>
          <w:iCs w:val="0"/>
          <w:sz w:val="24"/>
          <w:szCs w:val="24"/>
        </w:rPr>
        <w:t>.</w:t>
      </w:r>
    </w:p>
    <w:p w14:paraId="3154BF26" w14:textId="5164142D" w:rsidR="00B1013B" w:rsidRPr="0019546F" w:rsidRDefault="00B1013B" w:rsidP="002E3B63">
      <w:pPr>
        <w:pStyle w:val="Heading2"/>
      </w:pPr>
      <w:r w:rsidRPr="0019546F">
        <w:t>Time</w:t>
      </w:r>
      <w:r w:rsidR="001B679F" w:rsidRPr="0019546F">
        <w:t>liness</w:t>
      </w:r>
    </w:p>
    <w:p w14:paraId="1B35E608" w14:textId="470D0AE5" w:rsidR="00F81993" w:rsidRPr="0019546F" w:rsidRDefault="00FE2977" w:rsidP="00AC130F">
      <w:pPr>
        <w:pStyle w:val="BodyText2"/>
        <w:spacing w:before="120"/>
        <w:jc w:val="left"/>
        <w:rPr>
          <w:rFonts w:ascii="Arial" w:hAnsi="Arial" w:cs="Arial"/>
          <w:sz w:val="24"/>
        </w:rPr>
      </w:pPr>
      <w:r w:rsidRPr="0019546F">
        <w:rPr>
          <w:rFonts w:ascii="Arial" w:hAnsi="Arial" w:cs="Arial"/>
          <w:sz w:val="24"/>
        </w:rPr>
        <w:t>Service</w:t>
      </w:r>
      <w:r w:rsidR="00FD17FB">
        <w:rPr>
          <w:rFonts w:ascii="Arial" w:hAnsi="Arial" w:cs="Arial"/>
          <w:sz w:val="24"/>
        </w:rPr>
        <w:t>s</w:t>
      </w:r>
      <w:r w:rsidRPr="0019546F">
        <w:rPr>
          <w:rFonts w:ascii="Arial" w:hAnsi="Arial" w:cs="Arial"/>
          <w:sz w:val="24"/>
        </w:rPr>
        <w:t xml:space="preserve"> </w:t>
      </w:r>
      <w:r w:rsidR="00724ABC" w:rsidRPr="0019546F">
        <w:rPr>
          <w:rFonts w:ascii="Arial" w:hAnsi="Arial" w:cs="Arial"/>
          <w:sz w:val="24"/>
        </w:rPr>
        <w:t>will be</w:t>
      </w:r>
      <w:r w:rsidR="00B1013B" w:rsidRPr="0019546F">
        <w:rPr>
          <w:rFonts w:ascii="Arial" w:hAnsi="Arial" w:cs="Arial"/>
          <w:sz w:val="24"/>
        </w:rPr>
        <w:t xml:space="preserve"> provided in a timely manner and in line with the requirements of the relevant </w:t>
      </w:r>
      <w:r w:rsidR="0037763E" w:rsidRPr="0019546F">
        <w:rPr>
          <w:rFonts w:ascii="Arial" w:hAnsi="Arial" w:cs="Arial"/>
          <w:sz w:val="24"/>
        </w:rPr>
        <w:t xml:space="preserve">tier two </w:t>
      </w:r>
      <w:r w:rsidR="00DB7686" w:rsidRPr="0019546F">
        <w:rPr>
          <w:rFonts w:ascii="Arial" w:hAnsi="Arial" w:cs="Arial"/>
          <w:sz w:val="24"/>
        </w:rPr>
        <w:t xml:space="preserve">oral health </w:t>
      </w:r>
      <w:r w:rsidR="00B1013B" w:rsidRPr="0019546F">
        <w:rPr>
          <w:rFonts w:ascii="Arial" w:hAnsi="Arial" w:cs="Arial"/>
          <w:sz w:val="24"/>
        </w:rPr>
        <w:t>service specifications.</w:t>
      </w:r>
    </w:p>
    <w:p w14:paraId="40D62C00" w14:textId="12FF1735" w:rsidR="00F45D07" w:rsidRPr="0019546F" w:rsidRDefault="00DE6DB4" w:rsidP="002E3B63">
      <w:pPr>
        <w:pStyle w:val="Heading2"/>
      </w:pPr>
      <w:r w:rsidRPr="0019546F">
        <w:t xml:space="preserve">Charges to </w:t>
      </w:r>
      <w:r w:rsidR="00307600" w:rsidRPr="0019546F">
        <w:t xml:space="preserve">Service </w:t>
      </w:r>
      <w:r w:rsidR="00F81993" w:rsidRPr="0019546F">
        <w:t>User</w:t>
      </w:r>
      <w:r w:rsidRPr="0019546F">
        <w:t>s a</w:t>
      </w:r>
      <w:r w:rsidR="00F81993" w:rsidRPr="0019546F">
        <w:t>nd Co-payments</w:t>
      </w:r>
    </w:p>
    <w:p w14:paraId="194DD574" w14:textId="47DA72BF" w:rsidR="00F81993" w:rsidRPr="0019546F" w:rsidRDefault="003964E5" w:rsidP="00D96414">
      <w:pPr>
        <w:pStyle w:val="BodyText2"/>
        <w:spacing w:before="120"/>
        <w:jc w:val="left"/>
        <w:rPr>
          <w:rFonts w:ascii="Arial" w:hAnsi="Arial" w:cs="Arial"/>
          <w:sz w:val="24"/>
        </w:rPr>
      </w:pPr>
      <w:r w:rsidRPr="00D12A48">
        <w:rPr>
          <w:rFonts w:ascii="Arial" w:hAnsi="Arial" w:cs="Arial"/>
          <w:sz w:val="24"/>
        </w:rPr>
        <w:t>E</w:t>
      </w:r>
      <w:r w:rsidR="008F707B" w:rsidRPr="00D12A48">
        <w:rPr>
          <w:rFonts w:ascii="Arial" w:hAnsi="Arial" w:cs="Arial"/>
          <w:sz w:val="24"/>
        </w:rPr>
        <w:t>ligible children and adolescents up to their 18</w:t>
      </w:r>
      <w:r w:rsidR="008F707B" w:rsidRPr="00D12A48">
        <w:rPr>
          <w:rFonts w:ascii="Arial" w:hAnsi="Arial" w:cs="Arial"/>
          <w:sz w:val="24"/>
          <w:vertAlign w:val="superscript"/>
        </w:rPr>
        <w:t>th</w:t>
      </w:r>
      <w:r w:rsidR="008F707B" w:rsidRPr="00D12A48">
        <w:rPr>
          <w:rFonts w:ascii="Arial" w:hAnsi="Arial" w:cs="Arial"/>
          <w:sz w:val="24"/>
        </w:rPr>
        <w:t xml:space="preserve"> birthday can access </w:t>
      </w:r>
      <w:r w:rsidR="00CC331F" w:rsidRPr="00D12A48">
        <w:rPr>
          <w:rFonts w:ascii="Arial" w:hAnsi="Arial" w:cs="Arial"/>
          <w:sz w:val="24"/>
        </w:rPr>
        <w:t>publicly funded</w:t>
      </w:r>
      <w:r w:rsidR="008F707B" w:rsidRPr="00D12A48">
        <w:rPr>
          <w:rFonts w:ascii="Arial" w:hAnsi="Arial" w:cs="Arial"/>
          <w:sz w:val="24"/>
        </w:rPr>
        <w:t xml:space="preserve"> </w:t>
      </w:r>
      <w:r w:rsidR="00D96414" w:rsidRPr="00D12A48">
        <w:rPr>
          <w:rFonts w:ascii="Arial" w:hAnsi="Arial" w:cs="Arial"/>
          <w:sz w:val="24"/>
        </w:rPr>
        <w:t xml:space="preserve">oral health services </w:t>
      </w:r>
      <w:r w:rsidR="00CC331F" w:rsidRPr="00D12A48">
        <w:rPr>
          <w:rFonts w:ascii="Arial" w:hAnsi="Arial" w:cs="Arial"/>
          <w:sz w:val="24"/>
        </w:rPr>
        <w:t xml:space="preserve">as </w:t>
      </w:r>
      <w:r w:rsidR="00D96414" w:rsidRPr="00D12A48">
        <w:rPr>
          <w:rFonts w:ascii="Arial" w:hAnsi="Arial" w:cs="Arial"/>
          <w:sz w:val="24"/>
        </w:rPr>
        <w:t xml:space="preserve">described in the </w:t>
      </w:r>
      <w:r w:rsidR="00DE6DB4" w:rsidRPr="00D12A48">
        <w:rPr>
          <w:rFonts w:ascii="Arial" w:hAnsi="Arial" w:cs="Arial"/>
          <w:sz w:val="24"/>
        </w:rPr>
        <w:t xml:space="preserve">tier two </w:t>
      </w:r>
      <w:r w:rsidR="00F81993" w:rsidRPr="00D12A48">
        <w:rPr>
          <w:rFonts w:ascii="Arial" w:hAnsi="Arial" w:cs="Arial"/>
          <w:sz w:val="24"/>
        </w:rPr>
        <w:t>Community Oral Health Service for Children and Some Adolescents service</w:t>
      </w:r>
      <w:r w:rsidR="00DE6DB4" w:rsidRPr="00D12A48">
        <w:rPr>
          <w:rFonts w:ascii="Arial" w:hAnsi="Arial" w:cs="Arial"/>
          <w:sz w:val="24"/>
        </w:rPr>
        <w:t xml:space="preserve"> specification</w:t>
      </w:r>
      <w:r w:rsidR="00D96414" w:rsidRPr="00D12A48">
        <w:rPr>
          <w:rFonts w:ascii="Arial" w:hAnsi="Arial" w:cs="Arial"/>
          <w:sz w:val="24"/>
        </w:rPr>
        <w:t xml:space="preserve"> and</w:t>
      </w:r>
      <w:r w:rsidR="00CC331F" w:rsidRPr="00D12A48">
        <w:rPr>
          <w:rFonts w:ascii="Arial" w:hAnsi="Arial" w:cs="Arial"/>
          <w:sz w:val="24"/>
        </w:rPr>
        <w:t xml:space="preserve"> the </w:t>
      </w:r>
      <w:r w:rsidR="00724ABC" w:rsidRPr="00D12A48">
        <w:rPr>
          <w:rFonts w:ascii="Arial" w:hAnsi="Arial" w:cs="Arial"/>
          <w:sz w:val="24"/>
        </w:rPr>
        <w:t>CDA</w:t>
      </w:r>
      <w:r w:rsidR="00072D12" w:rsidRPr="00D12A48">
        <w:rPr>
          <w:rFonts w:ascii="Arial" w:hAnsi="Arial" w:cs="Arial"/>
          <w:sz w:val="24"/>
        </w:rPr>
        <w:t>.</w:t>
      </w:r>
    </w:p>
    <w:p w14:paraId="2B45804E" w14:textId="51CAB355" w:rsidR="00115715" w:rsidRPr="0019546F" w:rsidRDefault="00115715" w:rsidP="00072D12">
      <w:pPr>
        <w:pStyle w:val="BodyText2"/>
        <w:spacing w:before="120"/>
        <w:jc w:val="left"/>
        <w:rPr>
          <w:rFonts w:ascii="Arial" w:hAnsi="Arial" w:cs="Arial"/>
          <w:sz w:val="24"/>
        </w:rPr>
      </w:pPr>
      <w:r w:rsidRPr="0019546F">
        <w:rPr>
          <w:rFonts w:ascii="Arial" w:hAnsi="Arial" w:cs="Arial"/>
          <w:sz w:val="24"/>
        </w:rPr>
        <w:t>DHBs</w:t>
      </w:r>
      <w:r w:rsidR="00081301">
        <w:rPr>
          <w:rFonts w:ascii="Arial" w:hAnsi="Arial" w:cs="Arial"/>
          <w:sz w:val="24"/>
        </w:rPr>
        <w:t>/providers</w:t>
      </w:r>
      <w:r w:rsidRPr="0019546F">
        <w:rPr>
          <w:rFonts w:ascii="Arial" w:hAnsi="Arial" w:cs="Arial"/>
          <w:sz w:val="24"/>
        </w:rPr>
        <w:t xml:space="preserve"> may charge co-payments for outpatient </w:t>
      </w:r>
      <w:r w:rsidR="00081301">
        <w:rPr>
          <w:rFonts w:ascii="Arial" w:hAnsi="Arial" w:cs="Arial"/>
          <w:sz w:val="24"/>
        </w:rPr>
        <w:t xml:space="preserve">hospital </w:t>
      </w:r>
      <w:r w:rsidRPr="0019546F">
        <w:rPr>
          <w:rFonts w:ascii="Arial" w:hAnsi="Arial" w:cs="Arial"/>
          <w:sz w:val="24"/>
        </w:rPr>
        <w:t xml:space="preserve">dental services </w:t>
      </w:r>
      <w:r w:rsidR="00081301">
        <w:rPr>
          <w:rFonts w:ascii="Arial" w:hAnsi="Arial" w:cs="Arial"/>
          <w:sz w:val="24"/>
        </w:rPr>
        <w:t xml:space="preserve">and emergency dental services for low income adults. </w:t>
      </w:r>
      <w:r w:rsidR="0037763E" w:rsidRPr="0019546F">
        <w:rPr>
          <w:rFonts w:ascii="Arial" w:hAnsi="Arial" w:cs="Arial"/>
          <w:sz w:val="24"/>
        </w:rPr>
        <w:t>T</w:t>
      </w:r>
      <w:r w:rsidRPr="0019546F">
        <w:rPr>
          <w:rFonts w:ascii="Arial" w:hAnsi="Arial" w:cs="Arial"/>
          <w:sz w:val="24"/>
        </w:rPr>
        <w:t xml:space="preserve">he current Service Coverage Schedule </w:t>
      </w:r>
      <w:r w:rsidR="00166A54" w:rsidRPr="0019546F">
        <w:rPr>
          <w:rStyle w:val="FootnoteReference"/>
          <w:rFonts w:ascii="Arial" w:hAnsi="Arial" w:cs="Arial"/>
          <w:sz w:val="24"/>
        </w:rPr>
        <w:footnoteReference w:id="4"/>
      </w:r>
      <w:r w:rsidR="00072D12" w:rsidRPr="0019546F">
        <w:rPr>
          <w:rFonts w:ascii="Arial" w:hAnsi="Arial" w:cs="Arial"/>
          <w:sz w:val="24"/>
        </w:rPr>
        <w:t xml:space="preserve"> </w:t>
      </w:r>
      <w:r w:rsidR="00620360" w:rsidRPr="0019546F">
        <w:rPr>
          <w:rFonts w:ascii="Arial" w:hAnsi="Arial" w:cs="Arial"/>
          <w:sz w:val="24"/>
        </w:rPr>
        <w:t xml:space="preserve">provides </w:t>
      </w:r>
      <w:r w:rsidRPr="0019546F">
        <w:rPr>
          <w:rFonts w:ascii="Arial" w:hAnsi="Arial" w:cs="Arial"/>
          <w:sz w:val="24"/>
        </w:rPr>
        <w:t>guidance on maximum charges and co-payments.</w:t>
      </w:r>
    </w:p>
    <w:p w14:paraId="2457FDAA" w14:textId="745EF084" w:rsidR="00115715" w:rsidRPr="0019546F" w:rsidRDefault="003C793C" w:rsidP="00072D12">
      <w:pPr>
        <w:pStyle w:val="BodyText2"/>
        <w:spacing w:before="120"/>
        <w:jc w:val="left"/>
        <w:rPr>
          <w:rFonts w:ascii="Arial" w:hAnsi="Arial" w:cs="Arial"/>
          <w:sz w:val="24"/>
        </w:rPr>
      </w:pPr>
      <w:r w:rsidRPr="0019546F">
        <w:rPr>
          <w:rFonts w:ascii="Arial" w:hAnsi="Arial" w:cs="Arial"/>
          <w:sz w:val="24"/>
        </w:rPr>
        <w:t xml:space="preserve">Before oral health treatment is undertaken, </w:t>
      </w:r>
      <w:r w:rsidR="00115715" w:rsidRPr="0019546F">
        <w:rPr>
          <w:rFonts w:ascii="Arial" w:hAnsi="Arial" w:cs="Arial"/>
          <w:sz w:val="24"/>
        </w:rPr>
        <w:t>Service Users must be explicitly advised of the</w:t>
      </w:r>
      <w:r w:rsidR="00620360" w:rsidRPr="0019546F">
        <w:rPr>
          <w:rFonts w:ascii="Arial" w:hAnsi="Arial" w:cs="Arial"/>
          <w:sz w:val="24"/>
        </w:rPr>
        <w:t xml:space="preserve"> treatment they</w:t>
      </w:r>
      <w:r w:rsidR="00115715" w:rsidRPr="0019546F">
        <w:rPr>
          <w:rFonts w:ascii="Arial" w:hAnsi="Arial" w:cs="Arial"/>
          <w:sz w:val="24"/>
        </w:rPr>
        <w:t xml:space="preserve"> require and </w:t>
      </w:r>
      <w:r w:rsidR="00620360" w:rsidRPr="0019546F">
        <w:rPr>
          <w:rFonts w:ascii="Arial" w:hAnsi="Arial" w:cs="Arial"/>
          <w:sz w:val="24"/>
        </w:rPr>
        <w:t xml:space="preserve">the </w:t>
      </w:r>
      <w:r w:rsidR="00115715" w:rsidRPr="0019546F">
        <w:rPr>
          <w:rFonts w:ascii="Arial" w:hAnsi="Arial" w:cs="Arial"/>
          <w:sz w:val="24"/>
        </w:rPr>
        <w:t xml:space="preserve">costs of </w:t>
      </w:r>
      <w:r w:rsidRPr="0019546F">
        <w:rPr>
          <w:rFonts w:ascii="Arial" w:hAnsi="Arial" w:cs="Arial"/>
          <w:sz w:val="24"/>
        </w:rPr>
        <w:t xml:space="preserve">any </w:t>
      </w:r>
      <w:r w:rsidR="00115715" w:rsidRPr="0019546F">
        <w:rPr>
          <w:rFonts w:ascii="Arial" w:hAnsi="Arial" w:cs="Arial"/>
          <w:sz w:val="24"/>
        </w:rPr>
        <w:t xml:space="preserve">treatment that </w:t>
      </w:r>
      <w:r w:rsidRPr="0019546F">
        <w:rPr>
          <w:rFonts w:ascii="Arial" w:hAnsi="Arial" w:cs="Arial"/>
          <w:sz w:val="24"/>
        </w:rPr>
        <w:t xml:space="preserve">is </w:t>
      </w:r>
      <w:r w:rsidR="00115715" w:rsidRPr="0019546F">
        <w:rPr>
          <w:rFonts w:ascii="Arial" w:hAnsi="Arial" w:cs="Arial"/>
          <w:sz w:val="24"/>
        </w:rPr>
        <w:t xml:space="preserve">outside of the scope of the </w:t>
      </w:r>
      <w:r w:rsidRPr="0019546F">
        <w:rPr>
          <w:rFonts w:ascii="Arial" w:hAnsi="Arial" w:cs="Arial"/>
          <w:sz w:val="24"/>
        </w:rPr>
        <w:t>Service</w:t>
      </w:r>
      <w:r w:rsidR="00115715" w:rsidRPr="0019546F">
        <w:rPr>
          <w:rFonts w:ascii="Arial" w:hAnsi="Arial" w:cs="Arial"/>
          <w:sz w:val="24"/>
        </w:rPr>
        <w:t>.</w:t>
      </w:r>
      <w:r w:rsidR="00D55BB0">
        <w:rPr>
          <w:rFonts w:ascii="Arial" w:hAnsi="Arial" w:cs="Arial"/>
          <w:sz w:val="24"/>
        </w:rPr>
        <w:t xml:space="preserve"> </w:t>
      </w:r>
      <w:r w:rsidR="00175F54">
        <w:rPr>
          <w:rFonts w:ascii="Arial" w:hAnsi="Arial" w:cs="Arial"/>
          <w:sz w:val="24"/>
        </w:rPr>
        <w:t>If appropriat</w:t>
      </w:r>
      <w:r w:rsidR="00175F54" w:rsidRPr="00D1281C">
        <w:rPr>
          <w:rFonts w:ascii="Arial" w:hAnsi="Arial" w:cs="Arial"/>
          <w:sz w:val="24"/>
        </w:rPr>
        <w:t xml:space="preserve">e, </w:t>
      </w:r>
      <w:r w:rsidR="007D4F2A" w:rsidRPr="00D1281C">
        <w:rPr>
          <w:rFonts w:ascii="Arial" w:hAnsi="Arial" w:cs="Arial"/>
          <w:sz w:val="24"/>
        </w:rPr>
        <w:t>S</w:t>
      </w:r>
      <w:r w:rsidR="00175F54" w:rsidRPr="00D1281C">
        <w:rPr>
          <w:rFonts w:ascii="Arial" w:hAnsi="Arial" w:cs="Arial"/>
          <w:sz w:val="24"/>
        </w:rPr>
        <w:t>e</w:t>
      </w:r>
      <w:r w:rsidR="00D55BB0" w:rsidRPr="00D1281C">
        <w:rPr>
          <w:rFonts w:ascii="Arial" w:hAnsi="Arial" w:cs="Arial"/>
          <w:sz w:val="24"/>
        </w:rPr>
        <w:t xml:space="preserve">rvice </w:t>
      </w:r>
      <w:r w:rsidR="007D4F2A" w:rsidRPr="00D1281C">
        <w:rPr>
          <w:rFonts w:ascii="Arial" w:hAnsi="Arial" w:cs="Arial"/>
          <w:sz w:val="24"/>
        </w:rPr>
        <w:t>U</w:t>
      </w:r>
      <w:r w:rsidR="00D55BB0" w:rsidRPr="00D1281C">
        <w:rPr>
          <w:rFonts w:ascii="Arial" w:hAnsi="Arial" w:cs="Arial"/>
          <w:sz w:val="24"/>
        </w:rPr>
        <w:t>sers should</w:t>
      </w:r>
      <w:r w:rsidR="005A18C5" w:rsidRPr="00D1281C">
        <w:rPr>
          <w:rFonts w:ascii="Arial" w:hAnsi="Arial" w:cs="Arial"/>
          <w:sz w:val="24"/>
        </w:rPr>
        <w:t xml:space="preserve"> be provided with advice about accessing</w:t>
      </w:r>
      <w:r w:rsidR="00DC3B5F" w:rsidRPr="00D1281C">
        <w:rPr>
          <w:rFonts w:ascii="Arial" w:hAnsi="Arial" w:cs="Arial"/>
          <w:sz w:val="24"/>
        </w:rPr>
        <w:t xml:space="preserve"> any</w:t>
      </w:r>
      <w:r w:rsidR="005A18C5" w:rsidRPr="00D1281C">
        <w:rPr>
          <w:rFonts w:ascii="Arial" w:hAnsi="Arial" w:cs="Arial"/>
          <w:sz w:val="24"/>
        </w:rPr>
        <w:t xml:space="preserve"> </w:t>
      </w:r>
      <w:r w:rsidR="00D63388" w:rsidRPr="00D1281C">
        <w:rPr>
          <w:rFonts w:ascii="Arial" w:hAnsi="Arial" w:cs="Arial"/>
          <w:sz w:val="24"/>
        </w:rPr>
        <w:t>privately funded</w:t>
      </w:r>
      <w:r w:rsidR="005A18C5" w:rsidRPr="00D1281C">
        <w:rPr>
          <w:rFonts w:ascii="Arial" w:hAnsi="Arial" w:cs="Arial"/>
          <w:sz w:val="24"/>
        </w:rPr>
        <w:t xml:space="preserve"> </w:t>
      </w:r>
      <w:r w:rsidR="00CB7AB4" w:rsidRPr="00D1281C">
        <w:rPr>
          <w:rFonts w:ascii="Arial" w:hAnsi="Arial" w:cs="Arial"/>
          <w:sz w:val="24"/>
        </w:rPr>
        <w:t>care</w:t>
      </w:r>
      <w:r w:rsidR="007B787D" w:rsidRPr="00D1281C">
        <w:rPr>
          <w:rFonts w:ascii="Arial" w:hAnsi="Arial" w:cs="Arial"/>
          <w:sz w:val="24"/>
        </w:rPr>
        <w:t xml:space="preserve"> required</w:t>
      </w:r>
      <w:r w:rsidR="00CB7AB4" w:rsidRPr="00D1281C">
        <w:rPr>
          <w:rFonts w:ascii="Arial" w:hAnsi="Arial" w:cs="Arial"/>
          <w:sz w:val="24"/>
        </w:rPr>
        <w:t>, including any financial support options</w:t>
      </w:r>
      <w:r w:rsidR="007B787D" w:rsidRPr="00D1281C">
        <w:rPr>
          <w:rFonts w:ascii="Arial" w:hAnsi="Arial" w:cs="Arial"/>
          <w:sz w:val="24"/>
        </w:rPr>
        <w:t xml:space="preserve"> that may be</w:t>
      </w:r>
      <w:r w:rsidR="00C53B3F" w:rsidRPr="00D1281C">
        <w:rPr>
          <w:rFonts w:ascii="Arial" w:hAnsi="Arial" w:cs="Arial"/>
          <w:sz w:val="24"/>
        </w:rPr>
        <w:t xml:space="preserve"> available</w:t>
      </w:r>
      <w:r w:rsidR="007B787D" w:rsidRPr="00D1281C">
        <w:rPr>
          <w:rFonts w:ascii="Arial" w:hAnsi="Arial" w:cs="Arial"/>
          <w:sz w:val="24"/>
        </w:rPr>
        <w:t xml:space="preserve"> to them</w:t>
      </w:r>
      <w:r w:rsidR="00C53B3F" w:rsidRPr="00D1281C">
        <w:rPr>
          <w:rFonts w:ascii="Arial" w:hAnsi="Arial" w:cs="Arial"/>
          <w:sz w:val="24"/>
        </w:rPr>
        <w:t>.</w:t>
      </w:r>
      <w:r w:rsidR="00115715" w:rsidRPr="0019546F">
        <w:rPr>
          <w:rFonts w:ascii="Arial" w:hAnsi="Arial" w:cs="Arial"/>
          <w:sz w:val="24"/>
        </w:rPr>
        <w:t xml:space="preserve"> When requested to do so, the Service will provide an estimate of costs for Work and Income clients.</w:t>
      </w:r>
    </w:p>
    <w:p w14:paraId="5EAB279E" w14:textId="77777777" w:rsidR="00B1013B" w:rsidRPr="0019546F" w:rsidRDefault="00B1013B" w:rsidP="000F25C9">
      <w:pPr>
        <w:pStyle w:val="Heading1"/>
      </w:pPr>
      <w:r w:rsidRPr="0019546F">
        <w:t>Service Components</w:t>
      </w:r>
    </w:p>
    <w:p w14:paraId="671BAF77" w14:textId="77777777" w:rsidR="00B1013B" w:rsidRPr="0019546F" w:rsidRDefault="00B1013B" w:rsidP="002E3B63">
      <w:pPr>
        <w:pStyle w:val="Heading2"/>
      </w:pPr>
      <w:r w:rsidRPr="0019546F">
        <w:t>Processes</w:t>
      </w:r>
    </w:p>
    <w:p w14:paraId="435126F7" w14:textId="2A517F5A" w:rsidR="006B413E" w:rsidRDefault="006B413E" w:rsidP="006B413E">
      <w:r w:rsidRPr="00FB20C2">
        <w:t xml:space="preserve">The range of publicly funded oral health services includes the following. Further information about relevant access criteria is contained in the </w:t>
      </w:r>
      <w:r w:rsidR="003A2EB3" w:rsidRPr="00FB20C2">
        <w:t>t</w:t>
      </w:r>
      <w:r w:rsidRPr="00FB20C2">
        <w:t>ier two service specifications.</w:t>
      </w:r>
    </w:p>
    <w:p w14:paraId="798039D0" w14:textId="6B78C3DE" w:rsidR="00B1013B" w:rsidRPr="00E912F4" w:rsidRDefault="00B1013B" w:rsidP="002E3B63">
      <w:pPr>
        <w:pStyle w:val="Heading2"/>
      </w:pPr>
      <w:r w:rsidRPr="00E912F4">
        <w:t>Oral Health Assessment, Diagnosis, Treatment Planning and Procedures</w:t>
      </w:r>
    </w:p>
    <w:p w14:paraId="4736C74A" w14:textId="77777777" w:rsidR="00B1013B" w:rsidRPr="006B413E" w:rsidRDefault="00B1013B" w:rsidP="002E3B63">
      <w:pPr>
        <w:pStyle w:val="bullet"/>
        <w:numPr>
          <w:ilvl w:val="0"/>
          <w:numId w:val="19"/>
        </w:numPr>
        <w:spacing w:before="120"/>
        <w:ind w:left="567" w:hanging="567"/>
        <w:jc w:val="left"/>
        <w:rPr>
          <w:rFonts w:ascii="Arial" w:hAnsi="Arial" w:cs="Arial"/>
          <w:sz w:val="24"/>
          <w:szCs w:val="24"/>
        </w:rPr>
      </w:pPr>
      <w:r w:rsidRPr="006B413E">
        <w:rPr>
          <w:rFonts w:ascii="Arial" w:hAnsi="Arial" w:cs="Arial"/>
          <w:sz w:val="24"/>
          <w:szCs w:val="24"/>
        </w:rPr>
        <w:t>clinical oral examination in order to detect and diagnose disease</w:t>
      </w:r>
    </w:p>
    <w:p w14:paraId="1B883CEC" w14:textId="77777777" w:rsidR="00B1013B" w:rsidRPr="006B413E" w:rsidRDefault="00B1013B" w:rsidP="002E3B63">
      <w:pPr>
        <w:pStyle w:val="bullet"/>
        <w:numPr>
          <w:ilvl w:val="0"/>
          <w:numId w:val="19"/>
        </w:numPr>
        <w:ind w:left="567" w:hanging="567"/>
        <w:jc w:val="left"/>
        <w:rPr>
          <w:rFonts w:ascii="Arial" w:hAnsi="Arial" w:cs="Arial"/>
          <w:sz w:val="24"/>
          <w:szCs w:val="24"/>
        </w:rPr>
      </w:pPr>
      <w:r w:rsidRPr="006B413E">
        <w:rPr>
          <w:rFonts w:ascii="Arial" w:hAnsi="Arial" w:cs="Arial"/>
          <w:sz w:val="24"/>
          <w:szCs w:val="24"/>
        </w:rPr>
        <w:t>general maintenance of the teeth and mouth including appropriate preventive, restorative and extraction services</w:t>
      </w:r>
    </w:p>
    <w:p w14:paraId="5495F7CF" w14:textId="77777777" w:rsidR="00B1013B" w:rsidRPr="006B413E" w:rsidRDefault="00B1013B" w:rsidP="002E3B63">
      <w:pPr>
        <w:pStyle w:val="bullet"/>
        <w:numPr>
          <w:ilvl w:val="0"/>
          <w:numId w:val="19"/>
        </w:numPr>
        <w:ind w:left="567" w:hanging="567"/>
        <w:jc w:val="left"/>
        <w:rPr>
          <w:rFonts w:ascii="Arial" w:hAnsi="Arial" w:cs="Arial"/>
          <w:sz w:val="24"/>
          <w:szCs w:val="24"/>
        </w:rPr>
      </w:pPr>
      <w:r w:rsidRPr="006B413E">
        <w:rPr>
          <w:rFonts w:ascii="Arial" w:hAnsi="Arial" w:cs="Arial"/>
          <w:sz w:val="24"/>
          <w:szCs w:val="24"/>
        </w:rPr>
        <w:t>discussion of treatment options (including possible risks) and management plans with Service Users and/or their family and whānau or caregivers as appropriate.</w:t>
      </w:r>
    </w:p>
    <w:p w14:paraId="1850A462" w14:textId="5E0B1D88" w:rsidR="00B1013B" w:rsidRPr="00E912F4" w:rsidRDefault="00B1013B" w:rsidP="006A5879">
      <w:pPr>
        <w:pStyle w:val="Heading3"/>
        <w:numPr>
          <w:ilvl w:val="2"/>
          <w:numId w:val="9"/>
        </w:numPr>
        <w:spacing w:before="120"/>
        <w:ind w:left="709" w:hanging="709"/>
        <w:jc w:val="left"/>
        <w:rPr>
          <w:i/>
          <w:sz w:val="24"/>
          <w:szCs w:val="24"/>
        </w:rPr>
      </w:pPr>
      <w:r w:rsidRPr="00E912F4">
        <w:rPr>
          <w:bCs w:val="0"/>
          <w:i/>
          <w:sz w:val="24"/>
          <w:szCs w:val="24"/>
        </w:rPr>
        <w:t>Oral Health Promotion and Disease Prevention</w:t>
      </w:r>
    </w:p>
    <w:p w14:paraId="68BEF175" w14:textId="3EE44C8D" w:rsidR="00B1013B" w:rsidRPr="00E912F4" w:rsidRDefault="00B1013B" w:rsidP="002E3B63">
      <w:pPr>
        <w:pStyle w:val="bullet"/>
        <w:numPr>
          <w:ilvl w:val="0"/>
          <w:numId w:val="19"/>
        </w:numPr>
        <w:ind w:left="567" w:hanging="567"/>
        <w:jc w:val="left"/>
        <w:rPr>
          <w:rFonts w:ascii="Arial" w:hAnsi="Arial" w:cs="Arial"/>
          <w:sz w:val="24"/>
          <w:szCs w:val="24"/>
        </w:rPr>
      </w:pPr>
      <w:r w:rsidRPr="00E912F4">
        <w:rPr>
          <w:rFonts w:ascii="Arial" w:hAnsi="Arial" w:cs="Arial"/>
          <w:sz w:val="24"/>
          <w:szCs w:val="24"/>
        </w:rPr>
        <w:t xml:space="preserve">appropriate education and counselling </w:t>
      </w:r>
      <w:r w:rsidR="007253C3">
        <w:rPr>
          <w:rFonts w:ascii="Arial" w:hAnsi="Arial" w:cs="Arial"/>
          <w:sz w:val="24"/>
          <w:szCs w:val="24"/>
        </w:rPr>
        <w:t>for</w:t>
      </w:r>
      <w:r w:rsidRPr="00E912F4">
        <w:rPr>
          <w:rFonts w:ascii="Arial" w:hAnsi="Arial" w:cs="Arial"/>
          <w:sz w:val="24"/>
          <w:szCs w:val="24"/>
        </w:rPr>
        <w:t xml:space="preserve"> </w:t>
      </w:r>
      <w:r w:rsidR="00745860" w:rsidRPr="00E912F4">
        <w:rPr>
          <w:rFonts w:ascii="Arial" w:hAnsi="Arial" w:cs="Arial"/>
          <w:sz w:val="24"/>
          <w:szCs w:val="24"/>
        </w:rPr>
        <w:t>Service Users and</w:t>
      </w:r>
      <w:r w:rsidR="007253C3">
        <w:rPr>
          <w:rFonts w:ascii="Arial" w:hAnsi="Arial" w:cs="Arial"/>
          <w:sz w:val="24"/>
          <w:szCs w:val="24"/>
        </w:rPr>
        <w:t>/</w:t>
      </w:r>
      <w:r w:rsidR="00745860" w:rsidRPr="00E912F4">
        <w:rPr>
          <w:rFonts w:ascii="Arial" w:hAnsi="Arial" w:cs="Arial"/>
          <w:sz w:val="24"/>
          <w:szCs w:val="24"/>
        </w:rPr>
        <w:t xml:space="preserve">or their caregivers </w:t>
      </w:r>
      <w:r w:rsidRPr="00E912F4">
        <w:rPr>
          <w:rFonts w:ascii="Arial" w:hAnsi="Arial" w:cs="Arial"/>
          <w:sz w:val="24"/>
          <w:szCs w:val="24"/>
        </w:rPr>
        <w:t>and groups concerning:</w:t>
      </w:r>
    </w:p>
    <w:p w14:paraId="0041F5A4" w14:textId="77777777" w:rsidR="00B1013B" w:rsidRPr="00E912F4" w:rsidRDefault="00B1013B" w:rsidP="002E3B63">
      <w:pPr>
        <w:numPr>
          <w:ilvl w:val="0"/>
          <w:numId w:val="2"/>
        </w:numPr>
        <w:tabs>
          <w:tab w:val="clear" w:pos="2451"/>
          <w:tab w:val="num" w:pos="1134"/>
        </w:tabs>
        <w:ind w:left="567" w:right="-57" w:firstLine="0"/>
        <w:jc w:val="left"/>
        <w:rPr>
          <w:rFonts w:cs="Arial"/>
        </w:rPr>
      </w:pPr>
      <w:r w:rsidRPr="00E912F4">
        <w:rPr>
          <w:rFonts w:cs="Arial"/>
        </w:rPr>
        <w:t>oral health care and dietary advice in line with preventing dental disease</w:t>
      </w:r>
    </w:p>
    <w:p w14:paraId="7D7949C6" w14:textId="77777777" w:rsidR="00B1013B" w:rsidRPr="00E912F4" w:rsidRDefault="00B1013B" w:rsidP="002E3B63">
      <w:pPr>
        <w:numPr>
          <w:ilvl w:val="0"/>
          <w:numId w:val="2"/>
        </w:numPr>
        <w:tabs>
          <w:tab w:val="clear" w:pos="2451"/>
          <w:tab w:val="num" w:pos="1134"/>
        </w:tabs>
        <w:ind w:left="567" w:right="-57" w:firstLine="0"/>
        <w:jc w:val="left"/>
        <w:rPr>
          <w:rFonts w:cs="Arial"/>
        </w:rPr>
      </w:pPr>
      <w:r w:rsidRPr="00E912F4">
        <w:rPr>
          <w:rFonts w:cs="Arial"/>
        </w:rPr>
        <w:t>smoking cessation</w:t>
      </w:r>
    </w:p>
    <w:p w14:paraId="31102FC9" w14:textId="5759963D" w:rsidR="00B1013B" w:rsidRPr="00E912F4" w:rsidRDefault="00B1013B" w:rsidP="002E3B63">
      <w:pPr>
        <w:pStyle w:val="bullet"/>
        <w:numPr>
          <w:ilvl w:val="0"/>
          <w:numId w:val="19"/>
        </w:numPr>
        <w:ind w:left="567" w:hanging="567"/>
        <w:jc w:val="left"/>
        <w:rPr>
          <w:rFonts w:ascii="Arial" w:hAnsi="Arial" w:cs="Arial"/>
          <w:sz w:val="24"/>
          <w:szCs w:val="24"/>
          <w:lang w:val="en-US"/>
        </w:rPr>
      </w:pPr>
      <w:r w:rsidRPr="00E912F4">
        <w:rPr>
          <w:rFonts w:ascii="Arial" w:hAnsi="Arial" w:cs="Arial"/>
          <w:sz w:val="24"/>
          <w:szCs w:val="24"/>
        </w:rPr>
        <w:t xml:space="preserve">advocacy for dental public health issues </w:t>
      </w:r>
      <w:r w:rsidR="00A1771B" w:rsidRPr="00E912F4">
        <w:rPr>
          <w:rFonts w:ascii="Arial" w:hAnsi="Arial" w:cs="Arial"/>
          <w:sz w:val="24"/>
          <w:szCs w:val="24"/>
        </w:rPr>
        <w:t>in line with current government</w:t>
      </w:r>
      <w:r w:rsidR="00D904CE" w:rsidRPr="00E912F4">
        <w:rPr>
          <w:rFonts w:ascii="Arial" w:hAnsi="Arial" w:cs="Arial"/>
          <w:sz w:val="24"/>
          <w:szCs w:val="24"/>
        </w:rPr>
        <w:t xml:space="preserve"> agency</w:t>
      </w:r>
      <w:r w:rsidR="00A1771B" w:rsidRPr="00E912F4">
        <w:rPr>
          <w:rFonts w:ascii="Arial" w:hAnsi="Arial" w:cs="Arial"/>
          <w:sz w:val="24"/>
          <w:szCs w:val="24"/>
        </w:rPr>
        <w:t xml:space="preserve"> policies and procedures</w:t>
      </w:r>
      <w:r w:rsidR="007253C3">
        <w:rPr>
          <w:rFonts w:ascii="Arial" w:hAnsi="Arial" w:cs="Arial"/>
          <w:sz w:val="24"/>
          <w:szCs w:val="24"/>
        </w:rPr>
        <w:t>:</w:t>
      </w:r>
    </w:p>
    <w:p w14:paraId="550607D0" w14:textId="77777777" w:rsidR="00B1013B" w:rsidRPr="00E912F4" w:rsidRDefault="00B1013B" w:rsidP="002E3B63">
      <w:pPr>
        <w:numPr>
          <w:ilvl w:val="0"/>
          <w:numId w:val="8"/>
        </w:numPr>
        <w:tabs>
          <w:tab w:val="clear" w:pos="643"/>
        </w:tabs>
        <w:ind w:left="1134" w:hanging="567"/>
        <w:jc w:val="left"/>
        <w:rPr>
          <w:rFonts w:cs="Arial"/>
          <w:lang w:val="en-US"/>
        </w:rPr>
      </w:pPr>
      <w:r w:rsidRPr="00E912F4">
        <w:rPr>
          <w:rFonts w:cs="Arial"/>
        </w:rPr>
        <w:t>promotion of fluoridation of water supplies.</w:t>
      </w:r>
    </w:p>
    <w:p w14:paraId="0C623104" w14:textId="77777777" w:rsidR="00B1013B" w:rsidRPr="0019546F" w:rsidRDefault="00B1013B" w:rsidP="002E3B63">
      <w:pPr>
        <w:pStyle w:val="Heading2"/>
      </w:pPr>
      <w:r w:rsidRPr="0019546F">
        <w:t>Settings</w:t>
      </w:r>
    </w:p>
    <w:p w14:paraId="2DFF0F71" w14:textId="45442032" w:rsidR="00FE2977" w:rsidRPr="0019546F" w:rsidRDefault="007A7E28" w:rsidP="00C24D2C">
      <w:pPr>
        <w:pStyle w:val="BodyText"/>
        <w:spacing w:after="0"/>
        <w:ind w:right="-57"/>
        <w:jc w:val="left"/>
        <w:rPr>
          <w:rFonts w:ascii="Arial" w:hAnsi="Arial" w:cs="Arial"/>
          <w:szCs w:val="24"/>
        </w:rPr>
      </w:pPr>
      <w:r w:rsidRPr="007A7E28">
        <w:rPr>
          <w:rFonts w:ascii="Arial" w:hAnsi="Arial" w:cs="Arial"/>
          <w:szCs w:val="24"/>
        </w:rPr>
        <w:t>Service</w:t>
      </w:r>
      <w:r w:rsidR="004146F9">
        <w:rPr>
          <w:rFonts w:ascii="Arial" w:hAnsi="Arial" w:cs="Arial"/>
          <w:szCs w:val="24"/>
        </w:rPr>
        <w:t>s</w:t>
      </w:r>
      <w:r w:rsidRPr="007A7E28">
        <w:rPr>
          <w:rFonts w:ascii="Arial" w:hAnsi="Arial" w:cs="Arial"/>
          <w:szCs w:val="24"/>
        </w:rPr>
        <w:t xml:space="preserve"> should be provided as close to the Service User’s home as is possible </w:t>
      </w:r>
      <w:r>
        <w:rPr>
          <w:rFonts w:ascii="Arial" w:hAnsi="Arial" w:cs="Arial"/>
          <w:szCs w:val="24"/>
        </w:rPr>
        <w:t>and</w:t>
      </w:r>
      <w:r w:rsidR="00B1013B" w:rsidRPr="0019546F">
        <w:rPr>
          <w:rFonts w:ascii="Arial" w:hAnsi="Arial" w:cs="Arial"/>
          <w:szCs w:val="24"/>
        </w:rPr>
        <w:t xml:space="preserve"> located within the most appropriate setting for their purpose </w:t>
      </w:r>
      <w:r w:rsidRPr="007A7E28">
        <w:rPr>
          <w:rFonts w:ascii="Arial" w:hAnsi="Arial" w:cs="Arial"/>
          <w:szCs w:val="24"/>
        </w:rPr>
        <w:t>within the bounds of clinical safety and quality</w:t>
      </w:r>
      <w:r>
        <w:rPr>
          <w:rFonts w:ascii="Arial" w:hAnsi="Arial" w:cs="Arial"/>
          <w:szCs w:val="24"/>
        </w:rPr>
        <w:t xml:space="preserve"> </w:t>
      </w:r>
      <w:r w:rsidR="00B1013B" w:rsidRPr="0019546F">
        <w:rPr>
          <w:rFonts w:ascii="Arial" w:hAnsi="Arial" w:cs="Arial"/>
          <w:szCs w:val="24"/>
        </w:rPr>
        <w:t xml:space="preserve">and population needs. Considerations in determining these settings should include (but are not limited to) accessibility, cultural appropriateness, workplace and physical safety of the practitioner and Service User, and the effective and efficient use of resources. </w:t>
      </w:r>
      <w:r w:rsidR="00DB7686" w:rsidRPr="0019546F">
        <w:rPr>
          <w:rFonts w:ascii="Arial" w:hAnsi="Arial" w:cs="Arial"/>
          <w:szCs w:val="24"/>
        </w:rPr>
        <w:t xml:space="preserve">Settings </w:t>
      </w:r>
      <w:r w:rsidR="00B1013B" w:rsidRPr="0019546F">
        <w:rPr>
          <w:rFonts w:ascii="Arial" w:hAnsi="Arial" w:cs="Arial"/>
          <w:szCs w:val="24"/>
        </w:rPr>
        <w:t xml:space="preserve">may include fixed </w:t>
      </w:r>
      <w:r w:rsidR="006C3688" w:rsidRPr="0019546F">
        <w:rPr>
          <w:rFonts w:ascii="Arial" w:hAnsi="Arial" w:cs="Arial"/>
          <w:szCs w:val="24"/>
        </w:rPr>
        <w:t>or</w:t>
      </w:r>
      <w:r w:rsidR="00B1013B" w:rsidRPr="0019546F">
        <w:rPr>
          <w:rFonts w:ascii="Arial" w:hAnsi="Arial" w:cs="Arial"/>
          <w:szCs w:val="24"/>
        </w:rPr>
        <w:t xml:space="preserve"> mobile </w:t>
      </w:r>
      <w:r w:rsidR="007253C3">
        <w:rPr>
          <w:rFonts w:ascii="Arial" w:hAnsi="Arial" w:cs="Arial"/>
          <w:szCs w:val="24"/>
        </w:rPr>
        <w:t>oral health</w:t>
      </w:r>
      <w:r w:rsidR="006C3688" w:rsidRPr="0019546F">
        <w:rPr>
          <w:rFonts w:ascii="Arial" w:hAnsi="Arial" w:cs="Arial"/>
          <w:szCs w:val="24"/>
        </w:rPr>
        <w:t xml:space="preserve"> </w:t>
      </w:r>
      <w:r w:rsidR="00B1013B" w:rsidRPr="0019546F">
        <w:rPr>
          <w:rFonts w:ascii="Arial" w:hAnsi="Arial" w:cs="Arial"/>
          <w:szCs w:val="24"/>
        </w:rPr>
        <w:t>clinics and local community settings</w:t>
      </w:r>
      <w:r w:rsidR="005C1BC2" w:rsidRPr="0019546F">
        <w:rPr>
          <w:rFonts w:ascii="Arial" w:hAnsi="Arial" w:cs="Arial"/>
          <w:szCs w:val="24"/>
        </w:rPr>
        <w:t xml:space="preserve"> that meet the Dental Council</w:t>
      </w:r>
      <w:r w:rsidR="00081301">
        <w:rPr>
          <w:rFonts w:ascii="Arial" w:hAnsi="Arial" w:cs="Arial"/>
          <w:szCs w:val="24"/>
        </w:rPr>
        <w:t xml:space="preserve">’s </w:t>
      </w:r>
      <w:r w:rsidR="005C1BC2" w:rsidRPr="0019546F">
        <w:rPr>
          <w:rFonts w:ascii="Arial" w:hAnsi="Arial" w:cs="Arial"/>
          <w:szCs w:val="24"/>
        </w:rPr>
        <w:t>standards for oral health practitioners to deliver safe and competent care to the public of New Zealand</w:t>
      </w:r>
      <w:r w:rsidR="00B1013B" w:rsidRPr="0019546F">
        <w:rPr>
          <w:rFonts w:ascii="Arial" w:hAnsi="Arial" w:cs="Arial"/>
          <w:szCs w:val="24"/>
        </w:rPr>
        <w:t xml:space="preserve">. </w:t>
      </w:r>
    </w:p>
    <w:p w14:paraId="2D00233D" w14:textId="6193E618" w:rsidR="00FE2977" w:rsidRPr="0019546F" w:rsidRDefault="00FE2977" w:rsidP="002E3B63">
      <w:pPr>
        <w:pStyle w:val="Heading2"/>
      </w:pPr>
      <w:r w:rsidRPr="0019546F">
        <w:t>Transport</w:t>
      </w:r>
    </w:p>
    <w:p w14:paraId="7954B60C" w14:textId="1B214B97" w:rsidR="00FE2977" w:rsidRPr="0019546F" w:rsidRDefault="00FE2977" w:rsidP="005A5F7C">
      <w:pPr>
        <w:pStyle w:val="BodyText"/>
        <w:spacing w:before="120" w:after="0"/>
        <w:ind w:right="-57"/>
        <w:jc w:val="left"/>
        <w:rPr>
          <w:rFonts w:ascii="Arial" w:hAnsi="Arial" w:cs="Arial"/>
          <w:szCs w:val="24"/>
        </w:rPr>
      </w:pPr>
      <w:r w:rsidRPr="00A3639F">
        <w:rPr>
          <w:rFonts w:ascii="Arial" w:hAnsi="Arial" w:cs="Arial"/>
          <w:szCs w:val="24"/>
        </w:rPr>
        <w:t xml:space="preserve">Transport to </w:t>
      </w:r>
      <w:r w:rsidR="002B26F7" w:rsidRPr="00A3639F">
        <w:rPr>
          <w:rFonts w:ascii="Arial" w:hAnsi="Arial" w:cs="Arial"/>
          <w:szCs w:val="24"/>
        </w:rPr>
        <w:t>oral health services</w:t>
      </w:r>
      <w:r w:rsidRPr="00A3639F">
        <w:rPr>
          <w:rFonts w:ascii="Arial" w:hAnsi="Arial" w:cs="Arial"/>
          <w:szCs w:val="24"/>
        </w:rPr>
        <w:t xml:space="preserve"> is the responsibility of the Service User or their caregivers. The Service</w:t>
      </w:r>
      <w:r w:rsidR="001E6A95" w:rsidRPr="00A3639F">
        <w:rPr>
          <w:rFonts w:ascii="Arial" w:hAnsi="Arial" w:cs="Arial"/>
          <w:szCs w:val="24"/>
        </w:rPr>
        <w:t xml:space="preserve"> provider</w:t>
      </w:r>
      <w:r w:rsidRPr="00A3639F">
        <w:rPr>
          <w:rFonts w:ascii="Arial" w:hAnsi="Arial" w:cs="Arial"/>
          <w:szCs w:val="24"/>
        </w:rPr>
        <w:t xml:space="preserve"> will assist in coordinating or arranging transport when it is appropriate to do so</w:t>
      </w:r>
      <w:r w:rsidR="00F420C7" w:rsidRPr="00A3639F">
        <w:rPr>
          <w:rFonts w:ascii="Arial" w:hAnsi="Arial" w:cs="Arial"/>
          <w:szCs w:val="24"/>
        </w:rPr>
        <w:t xml:space="preserve">, </w:t>
      </w:r>
      <w:r w:rsidR="003022AD" w:rsidRPr="00A3639F">
        <w:rPr>
          <w:rFonts w:ascii="Arial" w:hAnsi="Arial" w:cs="Arial"/>
          <w:szCs w:val="24"/>
        </w:rPr>
        <w:t>as well as providing information</w:t>
      </w:r>
      <w:r w:rsidR="00220E07" w:rsidRPr="00A3639F">
        <w:rPr>
          <w:rFonts w:ascii="Arial" w:hAnsi="Arial" w:cs="Arial"/>
          <w:szCs w:val="24"/>
        </w:rPr>
        <w:t xml:space="preserve"> </w:t>
      </w:r>
      <w:r w:rsidR="00D343C3" w:rsidRPr="00A3639F">
        <w:rPr>
          <w:rFonts w:ascii="Arial" w:hAnsi="Arial" w:cs="Arial"/>
          <w:szCs w:val="24"/>
        </w:rPr>
        <w:t>on accessing financial support for transportation</w:t>
      </w:r>
      <w:r w:rsidR="00F420C7" w:rsidRPr="00A3639F">
        <w:rPr>
          <w:rFonts w:ascii="Arial" w:hAnsi="Arial" w:cs="Arial"/>
          <w:szCs w:val="24"/>
        </w:rPr>
        <w:t xml:space="preserve"> costs</w:t>
      </w:r>
      <w:r w:rsidR="003022AD" w:rsidRPr="00A3639F">
        <w:rPr>
          <w:rFonts w:ascii="Arial" w:hAnsi="Arial" w:cs="Arial"/>
          <w:szCs w:val="24"/>
        </w:rPr>
        <w:t xml:space="preserve"> if required</w:t>
      </w:r>
      <w:r w:rsidR="00D343C3" w:rsidRPr="00A3639F">
        <w:rPr>
          <w:rFonts w:ascii="Arial" w:hAnsi="Arial" w:cs="Arial"/>
          <w:szCs w:val="24"/>
        </w:rPr>
        <w:t>.</w:t>
      </w:r>
    </w:p>
    <w:p w14:paraId="41D8D0DD" w14:textId="30DB51A8" w:rsidR="00D856E4" w:rsidRPr="0019546F" w:rsidRDefault="00D856E4" w:rsidP="002E3B63">
      <w:pPr>
        <w:pStyle w:val="Heading2"/>
      </w:pPr>
      <w:r w:rsidRPr="0019546F">
        <w:t>Facilities</w:t>
      </w:r>
    </w:p>
    <w:p w14:paraId="35D17458" w14:textId="0D31501A" w:rsidR="00D856E4" w:rsidRPr="0019546F" w:rsidRDefault="00D856E4" w:rsidP="00072D12">
      <w:pPr>
        <w:pStyle w:val="BodyText"/>
        <w:ind w:right="-57"/>
        <w:jc w:val="left"/>
        <w:rPr>
          <w:rFonts w:ascii="Arial" w:hAnsi="Arial" w:cs="Arial"/>
          <w:szCs w:val="24"/>
        </w:rPr>
      </w:pPr>
      <w:bookmarkStart w:id="3" w:name="_Hlk72315649"/>
      <w:r w:rsidRPr="00C24D2C">
        <w:rPr>
          <w:rFonts w:ascii="Arial" w:hAnsi="Arial" w:cs="Arial"/>
          <w:szCs w:val="24"/>
        </w:rPr>
        <w:t>Refer to the Funder</w:t>
      </w:r>
      <w:r w:rsidR="00FE2977" w:rsidRPr="00C24D2C">
        <w:rPr>
          <w:rFonts w:ascii="Arial" w:hAnsi="Arial" w:cs="Arial"/>
          <w:szCs w:val="24"/>
        </w:rPr>
        <w:t>’s</w:t>
      </w:r>
      <w:r w:rsidRPr="00C24D2C">
        <w:rPr>
          <w:rFonts w:ascii="Arial" w:hAnsi="Arial" w:cs="Arial"/>
          <w:szCs w:val="24"/>
        </w:rPr>
        <w:t xml:space="preserve"> Provider Quality Specifications</w:t>
      </w:r>
      <w:r w:rsidR="00FE2977" w:rsidRPr="00C24D2C">
        <w:rPr>
          <w:rFonts w:ascii="Arial" w:hAnsi="Arial" w:cs="Arial"/>
          <w:szCs w:val="24"/>
        </w:rPr>
        <w:t>,</w:t>
      </w:r>
      <w:r w:rsidRPr="00C24D2C">
        <w:rPr>
          <w:rFonts w:ascii="Arial" w:hAnsi="Arial" w:cs="Arial"/>
          <w:szCs w:val="24"/>
        </w:rPr>
        <w:t xml:space="preserve"> the </w:t>
      </w:r>
      <w:r w:rsidR="00C37B9A">
        <w:rPr>
          <w:rFonts w:ascii="Arial" w:hAnsi="Arial" w:cs="Arial"/>
          <w:szCs w:val="24"/>
        </w:rPr>
        <w:t xml:space="preserve">NZS </w:t>
      </w:r>
      <w:r w:rsidR="002E3B63">
        <w:rPr>
          <w:rFonts w:ascii="Arial" w:hAnsi="Arial" w:cs="Arial"/>
          <w:szCs w:val="24"/>
        </w:rPr>
        <w:t>8134</w:t>
      </w:r>
      <w:r w:rsidR="00737B60">
        <w:rPr>
          <w:rFonts w:ascii="Arial" w:hAnsi="Arial" w:cs="Arial"/>
          <w:szCs w:val="24"/>
        </w:rPr>
        <w:t>:2021</w:t>
      </w:r>
      <w:r w:rsidR="002E3B63">
        <w:rPr>
          <w:rFonts w:ascii="Arial" w:hAnsi="Arial" w:cs="Arial"/>
          <w:szCs w:val="24"/>
        </w:rPr>
        <w:t xml:space="preserve"> </w:t>
      </w:r>
      <w:r w:rsidRPr="00C24D2C">
        <w:rPr>
          <w:rFonts w:ascii="Arial" w:hAnsi="Arial" w:cs="Arial"/>
          <w:szCs w:val="24"/>
        </w:rPr>
        <w:t xml:space="preserve">Health and </w:t>
      </w:r>
      <w:r w:rsidR="00C37B9A">
        <w:rPr>
          <w:rFonts w:ascii="Arial" w:hAnsi="Arial" w:cs="Arial"/>
          <w:szCs w:val="24"/>
        </w:rPr>
        <w:t>D</w:t>
      </w:r>
      <w:r w:rsidRPr="00C24D2C">
        <w:rPr>
          <w:rFonts w:ascii="Arial" w:hAnsi="Arial" w:cs="Arial"/>
          <w:szCs w:val="24"/>
        </w:rPr>
        <w:t xml:space="preserve">isability </w:t>
      </w:r>
      <w:r w:rsidR="00C37B9A">
        <w:rPr>
          <w:rFonts w:ascii="Arial" w:hAnsi="Arial" w:cs="Arial"/>
          <w:szCs w:val="24"/>
        </w:rPr>
        <w:t>S</w:t>
      </w:r>
      <w:r w:rsidR="000B33FB" w:rsidRPr="00C24D2C">
        <w:rPr>
          <w:rFonts w:ascii="Arial" w:hAnsi="Arial" w:cs="Arial"/>
          <w:szCs w:val="24"/>
        </w:rPr>
        <w:t xml:space="preserve">ervices </w:t>
      </w:r>
      <w:r w:rsidR="00C37B9A">
        <w:rPr>
          <w:rFonts w:ascii="Arial" w:hAnsi="Arial" w:cs="Arial"/>
          <w:szCs w:val="24"/>
        </w:rPr>
        <w:t>S</w:t>
      </w:r>
      <w:r w:rsidRPr="00C24D2C">
        <w:rPr>
          <w:rFonts w:ascii="Arial" w:hAnsi="Arial" w:cs="Arial"/>
          <w:szCs w:val="24"/>
        </w:rPr>
        <w:t>tandard</w:t>
      </w:r>
      <w:r w:rsidR="00882D55" w:rsidRPr="00C24D2C">
        <w:rPr>
          <w:rFonts w:ascii="Arial" w:hAnsi="Arial" w:cs="Arial"/>
          <w:szCs w:val="24"/>
        </w:rPr>
        <w:t xml:space="preserve">, </w:t>
      </w:r>
      <w:bookmarkEnd w:id="3"/>
      <w:r w:rsidR="00882D55" w:rsidRPr="00C24D2C">
        <w:rPr>
          <w:rFonts w:ascii="Arial" w:hAnsi="Arial" w:cs="Arial"/>
          <w:szCs w:val="24"/>
        </w:rPr>
        <w:t>or the Dental Council’s Standards Framework</w:t>
      </w:r>
      <w:r w:rsidRPr="00C24D2C">
        <w:rPr>
          <w:rFonts w:ascii="Arial" w:hAnsi="Arial" w:cs="Arial"/>
          <w:szCs w:val="24"/>
        </w:rPr>
        <w:t xml:space="preserve"> for requirements on facilities that also apply to mobile oral health cl</w:t>
      </w:r>
      <w:r w:rsidR="00FE2977" w:rsidRPr="00C24D2C">
        <w:rPr>
          <w:rFonts w:ascii="Arial" w:hAnsi="Arial" w:cs="Arial"/>
          <w:szCs w:val="24"/>
        </w:rPr>
        <w:t>inics.</w:t>
      </w:r>
    </w:p>
    <w:p w14:paraId="3F692770" w14:textId="23837927" w:rsidR="00D856E4" w:rsidRPr="0019546F" w:rsidRDefault="00D856E4" w:rsidP="002E3B63">
      <w:pPr>
        <w:pStyle w:val="BodyText"/>
        <w:spacing w:after="0"/>
        <w:ind w:right="-57"/>
        <w:jc w:val="left"/>
        <w:rPr>
          <w:rFonts w:ascii="Arial" w:hAnsi="Arial" w:cs="Arial"/>
          <w:szCs w:val="24"/>
        </w:rPr>
      </w:pPr>
      <w:r w:rsidRPr="0019546F">
        <w:rPr>
          <w:rFonts w:ascii="Arial" w:hAnsi="Arial" w:cs="Arial"/>
          <w:szCs w:val="24"/>
        </w:rPr>
        <w:t>The Service</w:t>
      </w:r>
      <w:r w:rsidR="00882D55">
        <w:rPr>
          <w:rFonts w:ascii="Arial" w:hAnsi="Arial" w:cs="Arial"/>
          <w:szCs w:val="24"/>
        </w:rPr>
        <w:t xml:space="preserve"> Provider</w:t>
      </w:r>
      <w:r w:rsidRPr="0019546F">
        <w:rPr>
          <w:rFonts w:ascii="Arial" w:hAnsi="Arial" w:cs="Arial"/>
          <w:szCs w:val="24"/>
        </w:rPr>
        <w:t xml:space="preserve"> must consider:</w:t>
      </w:r>
    </w:p>
    <w:p w14:paraId="401ADADD" w14:textId="77777777" w:rsidR="00D856E4" w:rsidRPr="005C4819" w:rsidRDefault="00D856E4" w:rsidP="002E3B63">
      <w:pPr>
        <w:pStyle w:val="BodyText2"/>
        <w:numPr>
          <w:ilvl w:val="0"/>
          <w:numId w:val="14"/>
        </w:numPr>
        <w:ind w:left="567" w:hanging="567"/>
        <w:jc w:val="left"/>
        <w:rPr>
          <w:rFonts w:ascii="Arial" w:hAnsi="Arial" w:cs="Arial"/>
          <w:sz w:val="24"/>
        </w:rPr>
      </w:pPr>
      <w:r w:rsidRPr="005C4819">
        <w:rPr>
          <w:rFonts w:ascii="Arial" w:hAnsi="Arial" w:cs="Arial"/>
          <w:sz w:val="24"/>
        </w:rPr>
        <w:t xml:space="preserve">if clinically appropriate services can be effectively delivered from mobile clinics </w:t>
      </w:r>
    </w:p>
    <w:p w14:paraId="614B2EB1" w14:textId="4F0A25DE" w:rsidR="00D856E4" w:rsidRPr="005C4819" w:rsidRDefault="00D856E4" w:rsidP="002E3B63">
      <w:pPr>
        <w:pStyle w:val="BodyText2"/>
        <w:numPr>
          <w:ilvl w:val="0"/>
          <w:numId w:val="14"/>
        </w:numPr>
        <w:ind w:left="567" w:hanging="567"/>
        <w:jc w:val="left"/>
        <w:rPr>
          <w:rFonts w:ascii="Arial" w:hAnsi="Arial" w:cs="Arial"/>
          <w:sz w:val="24"/>
        </w:rPr>
      </w:pPr>
      <w:r w:rsidRPr="005C4819">
        <w:rPr>
          <w:rFonts w:ascii="Arial" w:hAnsi="Arial" w:cs="Arial"/>
          <w:sz w:val="24"/>
        </w:rPr>
        <w:t xml:space="preserve">the specific needs of their </w:t>
      </w:r>
      <w:r w:rsidR="0054563B" w:rsidRPr="005C4819">
        <w:rPr>
          <w:rFonts w:ascii="Arial" w:hAnsi="Arial" w:cs="Arial"/>
          <w:sz w:val="24"/>
        </w:rPr>
        <w:t xml:space="preserve">local </w:t>
      </w:r>
      <w:r w:rsidRPr="005C4819">
        <w:rPr>
          <w:rFonts w:ascii="Arial" w:hAnsi="Arial" w:cs="Arial"/>
          <w:sz w:val="24"/>
        </w:rPr>
        <w:t xml:space="preserve">communities </w:t>
      </w:r>
    </w:p>
    <w:p w14:paraId="1C4B3769" w14:textId="77777777" w:rsidR="00D856E4" w:rsidRPr="005C4819" w:rsidRDefault="00D856E4" w:rsidP="002E3B63">
      <w:pPr>
        <w:pStyle w:val="BodyText2"/>
        <w:numPr>
          <w:ilvl w:val="0"/>
          <w:numId w:val="14"/>
        </w:numPr>
        <w:ind w:left="567" w:hanging="567"/>
        <w:jc w:val="left"/>
        <w:rPr>
          <w:rFonts w:ascii="Arial" w:hAnsi="Arial" w:cs="Arial"/>
          <w:sz w:val="24"/>
        </w:rPr>
      </w:pPr>
      <w:r w:rsidRPr="005C4819">
        <w:rPr>
          <w:rFonts w:ascii="Arial" w:hAnsi="Arial" w:cs="Arial"/>
          <w:sz w:val="24"/>
        </w:rPr>
        <w:t>the need to ensure the health and safety for the Service Users and staff delivering such services.</w:t>
      </w:r>
    </w:p>
    <w:p w14:paraId="0C997B55" w14:textId="7B31F95B" w:rsidR="00D856E4" w:rsidRPr="0019546F" w:rsidRDefault="00D856E4" w:rsidP="002E3B63">
      <w:pPr>
        <w:pStyle w:val="Heading2"/>
      </w:pPr>
      <w:r w:rsidRPr="0019546F">
        <w:t>Equipment</w:t>
      </w:r>
    </w:p>
    <w:p w14:paraId="771D2A97" w14:textId="4A97FBA9" w:rsidR="00D856E4" w:rsidRPr="0019546F" w:rsidRDefault="00286AE4" w:rsidP="00072D12">
      <w:pPr>
        <w:pStyle w:val="BodyText"/>
        <w:spacing w:after="0"/>
        <w:ind w:right="-57"/>
        <w:jc w:val="left"/>
        <w:rPr>
          <w:rFonts w:ascii="Arial" w:hAnsi="Arial" w:cs="Arial"/>
          <w:szCs w:val="24"/>
        </w:rPr>
      </w:pPr>
      <w:r>
        <w:rPr>
          <w:rFonts w:ascii="Arial" w:hAnsi="Arial" w:cs="Arial"/>
          <w:szCs w:val="24"/>
        </w:rPr>
        <w:t>Service Providers</w:t>
      </w:r>
      <w:r w:rsidR="00D856E4" w:rsidRPr="0019546F">
        <w:rPr>
          <w:rFonts w:ascii="Arial" w:hAnsi="Arial" w:cs="Arial"/>
          <w:szCs w:val="24"/>
        </w:rPr>
        <w:t xml:space="preserve"> will have access to dental operative equipment, instruments and treatment facilities that enable the provision of appropriate contemporary </w:t>
      </w:r>
      <w:r w:rsidR="00D856E4" w:rsidRPr="007C7DB6">
        <w:rPr>
          <w:rFonts w:ascii="Arial" w:hAnsi="Arial" w:cs="Arial"/>
          <w:szCs w:val="24"/>
        </w:rPr>
        <w:t>dentistry</w:t>
      </w:r>
      <w:r w:rsidR="00D856E4" w:rsidRPr="0019546F">
        <w:rPr>
          <w:rFonts w:ascii="Arial" w:hAnsi="Arial" w:cs="Arial"/>
          <w:szCs w:val="24"/>
        </w:rPr>
        <w:t xml:space="preserve"> and comply with current standards and codes of practice.</w:t>
      </w:r>
    </w:p>
    <w:p w14:paraId="34F7E455" w14:textId="0CC1EC9E" w:rsidR="00B1013B" w:rsidRPr="0019546F" w:rsidRDefault="00B1013B" w:rsidP="002E3B63">
      <w:pPr>
        <w:pStyle w:val="Heading2"/>
      </w:pPr>
      <w:r w:rsidRPr="0019546F">
        <w:t>Service Levels</w:t>
      </w:r>
    </w:p>
    <w:p w14:paraId="24FF65ED" w14:textId="54529402" w:rsidR="00B1013B" w:rsidRPr="006A5879" w:rsidRDefault="00B1013B" w:rsidP="00B5322C">
      <w:pPr>
        <w:pStyle w:val="Heading3"/>
        <w:spacing w:before="120"/>
        <w:rPr>
          <w:i/>
          <w:sz w:val="24"/>
          <w:szCs w:val="24"/>
        </w:rPr>
      </w:pPr>
      <w:r w:rsidRPr="006A5879">
        <w:rPr>
          <w:i/>
          <w:sz w:val="24"/>
          <w:szCs w:val="24"/>
        </w:rPr>
        <w:t>6</w:t>
      </w:r>
      <w:r w:rsidR="00C37B9A">
        <w:rPr>
          <w:i/>
          <w:sz w:val="24"/>
          <w:szCs w:val="24"/>
        </w:rPr>
        <w:t>.7</w:t>
      </w:r>
      <w:r w:rsidRPr="006A5879">
        <w:rPr>
          <w:i/>
          <w:sz w:val="24"/>
          <w:szCs w:val="24"/>
        </w:rPr>
        <w:t>.1</w:t>
      </w:r>
      <w:r w:rsidRPr="006A5879">
        <w:rPr>
          <w:i/>
          <w:sz w:val="24"/>
          <w:szCs w:val="24"/>
        </w:rPr>
        <w:tab/>
        <w:t xml:space="preserve">Primary </w:t>
      </w:r>
      <w:r w:rsidR="002B4567" w:rsidRPr="006A5879">
        <w:rPr>
          <w:i/>
          <w:sz w:val="24"/>
          <w:szCs w:val="24"/>
        </w:rPr>
        <w:t xml:space="preserve">Oral Health </w:t>
      </w:r>
      <w:r w:rsidRPr="006A5879">
        <w:rPr>
          <w:i/>
          <w:sz w:val="24"/>
          <w:szCs w:val="24"/>
        </w:rPr>
        <w:t>Services</w:t>
      </w:r>
    </w:p>
    <w:p w14:paraId="74F5EECA" w14:textId="069F2F9C" w:rsidR="00B1013B" w:rsidRPr="0019546F" w:rsidRDefault="006C3688" w:rsidP="005F599D">
      <w:pPr>
        <w:pStyle w:val="11"/>
        <w:numPr>
          <w:ilvl w:val="0"/>
          <w:numId w:val="0"/>
        </w:numPr>
        <w:spacing w:after="0"/>
        <w:rPr>
          <w:rFonts w:ascii="Arial" w:hAnsi="Arial" w:cs="Arial"/>
          <w:b w:val="0"/>
          <w:bCs w:val="0"/>
          <w:i w:val="0"/>
          <w:iCs w:val="0"/>
          <w:sz w:val="24"/>
          <w:szCs w:val="24"/>
        </w:rPr>
      </w:pPr>
      <w:r w:rsidRPr="0019546F">
        <w:rPr>
          <w:rFonts w:ascii="Arial" w:hAnsi="Arial" w:cs="Arial"/>
          <w:b w:val="0"/>
          <w:bCs w:val="0"/>
          <w:i w:val="0"/>
          <w:iCs w:val="0"/>
          <w:sz w:val="24"/>
          <w:szCs w:val="24"/>
        </w:rPr>
        <w:t>P</w:t>
      </w:r>
      <w:r w:rsidR="00B1013B" w:rsidRPr="0019546F">
        <w:rPr>
          <w:rFonts w:ascii="Arial" w:hAnsi="Arial" w:cs="Arial"/>
          <w:b w:val="0"/>
          <w:bCs w:val="0"/>
          <w:i w:val="0"/>
          <w:iCs w:val="0"/>
          <w:sz w:val="24"/>
          <w:szCs w:val="24"/>
        </w:rPr>
        <w:t xml:space="preserve">rimary oral health care services </w:t>
      </w:r>
      <w:r w:rsidRPr="0019546F">
        <w:rPr>
          <w:rFonts w:ascii="Arial" w:hAnsi="Arial" w:cs="Arial"/>
          <w:b w:val="0"/>
          <w:bCs w:val="0"/>
          <w:i w:val="0"/>
          <w:iCs w:val="0"/>
          <w:sz w:val="24"/>
          <w:szCs w:val="24"/>
        </w:rPr>
        <w:t xml:space="preserve">will be provided </w:t>
      </w:r>
      <w:r w:rsidR="00B1013B" w:rsidRPr="0019546F">
        <w:rPr>
          <w:rFonts w:ascii="Arial" w:hAnsi="Arial" w:cs="Arial"/>
          <w:b w:val="0"/>
          <w:bCs w:val="0"/>
          <w:i w:val="0"/>
          <w:iCs w:val="0"/>
          <w:sz w:val="24"/>
          <w:szCs w:val="24"/>
        </w:rPr>
        <w:t xml:space="preserve">within the scope of practice of professional staff. </w:t>
      </w:r>
      <w:r w:rsidR="00DB7686" w:rsidRPr="0019546F">
        <w:rPr>
          <w:rFonts w:ascii="Arial" w:hAnsi="Arial" w:cs="Arial"/>
          <w:b w:val="0"/>
          <w:bCs w:val="0"/>
          <w:i w:val="0"/>
          <w:iCs w:val="0"/>
          <w:sz w:val="24"/>
          <w:szCs w:val="24"/>
        </w:rPr>
        <w:t>When treatment is out</w:t>
      </w:r>
      <w:r w:rsidRPr="0019546F">
        <w:rPr>
          <w:rFonts w:ascii="Arial" w:hAnsi="Arial" w:cs="Arial"/>
          <w:b w:val="0"/>
          <w:bCs w:val="0"/>
          <w:i w:val="0"/>
          <w:iCs w:val="0"/>
          <w:sz w:val="24"/>
          <w:szCs w:val="24"/>
        </w:rPr>
        <w:t xml:space="preserve"> </w:t>
      </w:r>
      <w:r w:rsidR="00DB7686" w:rsidRPr="0019546F">
        <w:rPr>
          <w:rFonts w:ascii="Arial" w:hAnsi="Arial" w:cs="Arial"/>
          <w:b w:val="0"/>
          <w:bCs w:val="0"/>
          <w:i w:val="0"/>
          <w:iCs w:val="0"/>
          <w:sz w:val="24"/>
          <w:szCs w:val="24"/>
        </w:rPr>
        <w:t>of scope, ti</w:t>
      </w:r>
      <w:r w:rsidR="00B1013B" w:rsidRPr="0019546F">
        <w:rPr>
          <w:rFonts w:ascii="Arial" w:hAnsi="Arial" w:cs="Arial"/>
          <w:b w:val="0"/>
          <w:bCs w:val="0"/>
          <w:i w:val="0"/>
          <w:iCs w:val="0"/>
          <w:sz w:val="24"/>
          <w:szCs w:val="24"/>
        </w:rPr>
        <w:t>mely and appropriate referral processes to a s</w:t>
      </w:r>
      <w:r w:rsidR="00DB7686" w:rsidRPr="0019546F">
        <w:rPr>
          <w:rFonts w:ascii="Arial" w:hAnsi="Arial" w:cs="Arial"/>
          <w:b w:val="0"/>
          <w:bCs w:val="0"/>
          <w:i w:val="0"/>
          <w:iCs w:val="0"/>
          <w:sz w:val="24"/>
          <w:szCs w:val="24"/>
        </w:rPr>
        <w:t>pecialist</w:t>
      </w:r>
      <w:r w:rsidR="00B1013B" w:rsidRPr="0019546F">
        <w:rPr>
          <w:rFonts w:ascii="Arial" w:hAnsi="Arial" w:cs="Arial"/>
          <w:b w:val="0"/>
          <w:bCs w:val="0"/>
          <w:i w:val="0"/>
          <w:iCs w:val="0"/>
          <w:sz w:val="24"/>
          <w:szCs w:val="24"/>
        </w:rPr>
        <w:t xml:space="preserve"> service must </w:t>
      </w:r>
      <w:r w:rsidR="004D7C02" w:rsidRPr="0019546F">
        <w:rPr>
          <w:rFonts w:ascii="Arial" w:hAnsi="Arial" w:cs="Arial"/>
          <w:b w:val="0"/>
          <w:bCs w:val="0"/>
          <w:i w:val="0"/>
          <w:iCs w:val="0"/>
          <w:sz w:val="24"/>
          <w:szCs w:val="24"/>
        </w:rPr>
        <w:t>occur</w:t>
      </w:r>
      <w:r w:rsidR="00B1013B" w:rsidRPr="0019546F">
        <w:rPr>
          <w:rFonts w:ascii="Arial" w:hAnsi="Arial" w:cs="Arial"/>
          <w:b w:val="0"/>
          <w:bCs w:val="0"/>
          <w:i w:val="0"/>
          <w:iCs w:val="0"/>
          <w:sz w:val="24"/>
          <w:szCs w:val="24"/>
        </w:rPr>
        <w:t>.</w:t>
      </w:r>
    </w:p>
    <w:p w14:paraId="19D6B658" w14:textId="79881B47" w:rsidR="00B1013B" w:rsidRPr="006A5879" w:rsidRDefault="00B1013B" w:rsidP="00B5322C">
      <w:pPr>
        <w:pStyle w:val="Heading3"/>
        <w:spacing w:before="120"/>
        <w:rPr>
          <w:i/>
          <w:sz w:val="24"/>
          <w:szCs w:val="24"/>
        </w:rPr>
      </w:pPr>
      <w:r w:rsidRPr="006A5879">
        <w:rPr>
          <w:i/>
          <w:sz w:val="24"/>
          <w:szCs w:val="24"/>
        </w:rPr>
        <w:t>6.</w:t>
      </w:r>
      <w:r w:rsidR="00C37B9A">
        <w:rPr>
          <w:i/>
          <w:sz w:val="24"/>
          <w:szCs w:val="24"/>
        </w:rPr>
        <w:t>7</w:t>
      </w:r>
      <w:r w:rsidRPr="006A5879">
        <w:rPr>
          <w:i/>
          <w:sz w:val="24"/>
          <w:szCs w:val="24"/>
        </w:rPr>
        <w:t>.2</w:t>
      </w:r>
      <w:r w:rsidRPr="006A5879">
        <w:rPr>
          <w:i/>
          <w:sz w:val="24"/>
          <w:szCs w:val="24"/>
        </w:rPr>
        <w:tab/>
      </w:r>
      <w:r w:rsidR="007C08B5" w:rsidRPr="006A5879">
        <w:rPr>
          <w:i/>
          <w:sz w:val="24"/>
          <w:szCs w:val="24"/>
        </w:rPr>
        <w:t xml:space="preserve">Specialist </w:t>
      </w:r>
      <w:r w:rsidR="002B4567" w:rsidRPr="006A5879">
        <w:rPr>
          <w:i/>
          <w:sz w:val="24"/>
          <w:szCs w:val="24"/>
        </w:rPr>
        <w:t>Oral Health</w:t>
      </w:r>
      <w:r w:rsidR="007C08B5" w:rsidRPr="006A5879">
        <w:rPr>
          <w:i/>
          <w:sz w:val="24"/>
          <w:szCs w:val="24"/>
        </w:rPr>
        <w:t xml:space="preserve"> </w:t>
      </w:r>
      <w:r w:rsidRPr="006A5879">
        <w:rPr>
          <w:i/>
          <w:sz w:val="24"/>
          <w:szCs w:val="24"/>
        </w:rPr>
        <w:t>Services</w:t>
      </w:r>
    </w:p>
    <w:p w14:paraId="5D1E044A" w14:textId="77777777" w:rsidR="00B1013B" w:rsidRPr="0019546F" w:rsidRDefault="007C08B5" w:rsidP="005F599D">
      <w:pPr>
        <w:pStyle w:val="11"/>
        <w:numPr>
          <w:ilvl w:val="0"/>
          <w:numId w:val="0"/>
        </w:numPr>
        <w:rPr>
          <w:rFonts w:ascii="Arial" w:hAnsi="Arial" w:cs="Arial"/>
          <w:b w:val="0"/>
          <w:bCs w:val="0"/>
          <w:i w:val="0"/>
          <w:iCs w:val="0"/>
          <w:sz w:val="24"/>
          <w:szCs w:val="24"/>
        </w:rPr>
      </w:pPr>
      <w:r w:rsidRPr="0019546F">
        <w:rPr>
          <w:rFonts w:ascii="Arial" w:hAnsi="Arial" w:cs="Arial"/>
          <w:b w:val="0"/>
          <w:bCs w:val="0"/>
          <w:i w:val="0"/>
          <w:iCs w:val="0"/>
          <w:sz w:val="24"/>
          <w:szCs w:val="24"/>
        </w:rPr>
        <w:t xml:space="preserve">Specialist </w:t>
      </w:r>
      <w:r w:rsidR="00B1013B" w:rsidRPr="0019546F">
        <w:rPr>
          <w:rFonts w:ascii="Arial" w:hAnsi="Arial" w:cs="Arial"/>
          <w:b w:val="0"/>
          <w:bCs w:val="0"/>
          <w:i w:val="0"/>
          <w:iCs w:val="0"/>
          <w:sz w:val="24"/>
          <w:szCs w:val="24"/>
        </w:rPr>
        <w:t xml:space="preserve">oral health services will be provided by general and specialist </w:t>
      </w:r>
      <w:r w:rsidR="00B1013B" w:rsidRPr="007C7DB6">
        <w:rPr>
          <w:rFonts w:ascii="Arial" w:hAnsi="Arial" w:cs="Arial"/>
          <w:b w:val="0"/>
          <w:bCs w:val="0"/>
          <w:i w:val="0"/>
          <w:iCs w:val="0"/>
          <w:sz w:val="24"/>
          <w:szCs w:val="24"/>
        </w:rPr>
        <w:t>dental practitioners</w:t>
      </w:r>
      <w:r w:rsidR="00B1013B" w:rsidRPr="0019546F">
        <w:rPr>
          <w:rFonts w:ascii="Arial" w:hAnsi="Arial" w:cs="Arial"/>
          <w:b w:val="0"/>
          <w:bCs w:val="0"/>
          <w:i w:val="0"/>
          <w:iCs w:val="0"/>
          <w:sz w:val="24"/>
          <w:szCs w:val="24"/>
        </w:rPr>
        <w:t xml:space="preserve"> contracted to provide these services</w:t>
      </w:r>
      <w:r w:rsidR="006C3688" w:rsidRPr="0019546F">
        <w:rPr>
          <w:rFonts w:ascii="Arial" w:hAnsi="Arial" w:cs="Arial"/>
          <w:b w:val="0"/>
          <w:bCs w:val="0"/>
          <w:i w:val="0"/>
          <w:iCs w:val="0"/>
          <w:sz w:val="24"/>
          <w:szCs w:val="24"/>
        </w:rPr>
        <w:t>,</w:t>
      </w:r>
      <w:r w:rsidR="00B1013B" w:rsidRPr="0019546F">
        <w:rPr>
          <w:rFonts w:ascii="Arial" w:hAnsi="Arial" w:cs="Arial"/>
          <w:b w:val="0"/>
          <w:bCs w:val="0"/>
          <w:i w:val="0"/>
          <w:iCs w:val="0"/>
          <w:sz w:val="24"/>
          <w:szCs w:val="24"/>
        </w:rPr>
        <w:t xml:space="preserve"> or hospital dental services when necessary.</w:t>
      </w:r>
    </w:p>
    <w:p w14:paraId="63977F2B" w14:textId="04254864" w:rsidR="00B1013B" w:rsidRPr="0019546F" w:rsidRDefault="00B1013B" w:rsidP="002E3B63">
      <w:pPr>
        <w:pStyle w:val="Heading2"/>
        <w:rPr>
          <w:i/>
        </w:rPr>
      </w:pPr>
      <w:r w:rsidRPr="0019546F">
        <w:t>Key Inputs</w:t>
      </w:r>
    </w:p>
    <w:p w14:paraId="45F6913A" w14:textId="77777777" w:rsidR="00B1013B" w:rsidRPr="0019546F" w:rsidRDefault="00B1013B" w:rsidP="00072D12">
      <w:pPr>
        <w:pStyle w:val="11"/>
        <w:numPr>
          <w:ilvl w:val="0"/>
          <w:numId w:val="0"/>
        </w:numPr>
        <w:spacing w:after="0"/>
        <w:rPr>
          <w:rFonts w:ascii="Arial" w:hAnsi="Arial" w:cs="Arial"/>
          <w:b w:val="0"/>
          <w:bCs w:val="0"/>
          <w:i w:val="0"/>
          <w:iCs w:val="0"/>
          <w:sz w:val="24"/>
          <w:szCs w:val="24"/>
        </w:rPr>
      </w:pPr>
      <w:r w:rsidRPr="0019546F">
        <w:rPr>
          <w:rFonts w:ascii="Arial" w:hAnsi="Arial" w:cs="Arial"/>
          <w:b w:val="0"/>
          <w:bCs w:val="0"/>
          <w:i w:val="0"/>
          <w:iCs w:val="0"/>
          <w:sz w:val="24"/>
          <w:szCs w:val="24"/>
        </w:rPr>
        <w:t>The key inputs required for the Service are:</w:t>
      </w:r>
    </w:p>
    <w:p w14:paraId="1F2E3A89" w14:textId="4613B8E7" w:rsidR="00572BD7" w:rsidRPr="00A84DB0" w:rsidRDefault="00F16D03" w:rsidP="00212492">
      <w:pPr>
        <w:pStyle w:val="Heading3"/>
        <w:spacing w:before="120" w:after="0"/>
        <w:rPr>
          <w:i/>
        </w:rPr>
      </w:pPr>
      <w:r w:rsidRPr="00A84DB0">
        <w:rPr>
          <w:i/>
        </w:rPr>
        <w:lastRenderedPageBreak/>
        <w:t>6.</w:t>
      </w:r>
      <w:r w:rsidR="00C37B9A">
        <w:rPr>
          <w:i/>
        </w:rPr>
        <w:t>8</w:t>
      </w:r>
      <w:r w:rsidRPr="00A84DB0">
        <w:rPr>
          <w:i/>
        </w:rPr>
        <w:t>.1</w:t>
      </w:r>
      <w:r w:rsidRPr="00A84DB0">
        <w:rPr>
          <w:i/>
        </w:rPr>
        <w:tab/>
      </w:r>
      <w:r w:rsidR="00572BD7" w:rsidRPr="006A5879">
        <w:rPr>
          <w:i/>
          <w:sz w:val="24"/>
          <w:szCs w:val="24"/>
        </w:rPr>
        <w:t>Staff</w:t>
      </w:r>
    </w:p>
    <w:p w14:paraId="4B8852CA" w14:textId="3740DC1A" w:rsidR="00B1013B" w:rsidRPr="00A84DB0" w:rsidRDefault="00433E77" w:rsidP="00212492">
      <w:pPr>
        <w:pStyle w:val="BodyText2"/>
        <w:numPr>
          <w:ilvl w:val="0"/>
          <w:numId w:val="14"/>
        </w:numPr>
        <w:spacing w:before="120"/>
        <w:ind w:left="567" w:hanging="567"/>
        <w:jc w:val="left"/>
        <w:rPr>
          <w:rFonts w:ascii="Arial" w:hAnsi="Arial" w:cs="Arial"/>
          <w:bCs/>
          <w:iCs/>
          <w:sz w:val="24"/>
        </w:rPr>
      </w:pPr>
      <w:bookmarkStart w:id="4" w:name="_Hlk41299010"/>
      <w:r w:rsidRPr="00A84DB0">
        <w:rPr>
          <w:rFonts w:ascii="Arial" w:hAnsi="Arial" w:cs="Arial"/>
          <w:bCs/>
          <w:iCs/>
          <w:sz w:val="24"/>
        </w:rPr>
        <w:t xml:space="preserve">appropriately trained </w:t>
      </w:r>
      <w:r w:rsidR="000B33FB" w:rsidRPr="00A84DB0">
        <w:rPr>
          <w:rFonts w:ascii="Arial" w:hAnsi="Arial" w:cs="Arial"/>
          <w:bCs/>
          <w:iCs/>
          <w:sz w:val="24"/>
        </w:rPr>
        <w:t xml:space="preserve">and registered </w:t>
      </w:r>
      <w:r w:rsidR="00B1013B" w:rsidRPr="00A84DB0">
        <w:rPr>
          <w:rFonts w:ascii="Arial" w:hAnsi="Arial" w:cs="Arial"/>
          <w:bCs/>
          <w:iCs/>
          <w:sz w:val="24"/>
        </w:rPr>
        <w:t xml:space="preserve">clinical staff to meet the service mix requirements </w:t>
      </w:r>
      <w:proofErr w:type="gramStart"/>
      <w:r w:rsidR="00B1013B" w:rsidRPr="00A84DB0">
        <w:rPr>
          <w:rFonts w:ascii="Arial" w:hAnsi="Arial" w:cs="Arial"/>
          <w:bCs/>
          <w:iCs/>
          <w:sz w:val="24"/>
        </w:rPr>
        <w:t>including:</w:t>
      </w:r>
      <w:proofErr w:type="gramEnd"/>
      <w:r w:rsidR="00B1013B" w:rsidRPr="00A84DB0">
        <w:rPr>
          <w:rFonts w:ascii="Arial" w:hAnsi="Arial" w:cs="Arial"/>
          <w:bCs/>
          <w:iCs/>
          <w:sz w:val="24"/>
        </w:rPr>
        <w:t xml:space="preserve"> general dentists, dental specialists, </w:t>
      </w:r>
      <w:r w:rsidR="001E64AF">
        <w:rPr>
          <w:rFonts w:ascii="Arial" w:hAnsi="Arial" w:cs="Arial"/>
          <w:bCs/>
          <w:iCs/>
          <w:sz w:val="24"/>
        </w:rPr>
        <w:t xml:space="preserve">nurses, </w:t>
      </w:r>
      <w:r w:rsidR="00B1013B" w:rsidRPr="00A84DB0">
        <w:rPr>
          <w:rFonts w:ascii="Arial" w:hAnsi="Arial" w:cs="Arial"/>
          <w:bCs/>
          <w:iCs/>
          <w:sz w:val="24"/>
        </w:rPr>
        <w:t>dental</w:t>
      </w:r>
      <w:r w:rsidR="000B33FB" w:rsidRPr="00A84DB0">
        <w:rPr>
          <w:rFonts w:ascii="Arial" w:hAnsi="Arial" w:cs="Arial"/>
          <w:bCs/>
          <w:iCs/>
          <w:sz w:val="24"/>
        </w:rPr>
        <w:t xml:space="preserve"> and oral health</w:t>
      </w:r>
      <w:r w:rsidR="00B1013B" w:rsidRPr="00A84DB0">
        <w:rPr>
          <w:rFonts w:ascii="Arial" w:hAnsi="Arial" w:cs="Arial"/>
          <w:bCs/>
          <w:iCs/>
          <w:sz w:val="24"/>
        </w:rPr>
        <w:t xml:space="preserve"> therapists, dental hygienists, clinical dental technicians and dental technicians</w:t>
      </w:r>
    </w:p>
    <w:bookmarkEnd w:id="4"/>
    <w:p w14:paraId="47DCF1FD" w14:textId="23C8E355" w:rsidR="00B1013B" w:rsidRPr="001633A3" w:rsidRDefault="00526CA6" w:rsidP="00C37B9A">
      <w:pPr>
        <w:pStyle w:val="BodyText2"/>
        <w:numPr>
          <w:ilvl w:val="0"/>
          <w:numId w:val="14"/>
        </w:numPr>
        <w:ind w:left="567" w:hanging="567"/>
        <w:jc w:val="left"/>
        <w:rPr>
          <w:rFonts w:ascii="Arial" w:hAnsi="Arial" w:cs="Arial"/>
          <w:bCs/>
          <w:iCs/>
          <w:sz w:val="24"/>
        </w:rPr>
      </w:pPr>
      <w:r w:rsidRPr="001633A3">
        <w:rPr>
          <w:rFonts w:ascii="Arial" w:hAnsi="Arial" w:cs="Arial"/>
          <w:bCs/>
          <w:iCs/>
          <w:sz w:val="24"/>
        </w:rPr>
        <w:t xml:space="preserve">support </w:t>
      </w:r>
      <w:r w:rsidR="00B1013B" w:rsidRPr="001633A3">
        <w:rPr>
          <w:rFonts w:ascii="Arial" w:hAnsi="Arial" w:cs="Arial"/>
          <w:bCs/>
          <w:iCs/>
          <w:sz w:val="24"/>
        </w:rPr>
        <w:t>staff including</w:t>
      </w:r>
      <w:r w:rsidR="00CE6FB7" w:rsidRPr="001633A3">
        <w:rPr>
          <w:rFonts w:ascii="Arial" w:hAnsi="Arial" w:cs="Arial"/>
          <w:bCs/>
          <w:iCs/>
          <w:sz w:val="24"/>
        </w:rPr>
        <w:t xml:space="preserve"> </w:t>
      </w:r>
      <w:proofErr w:type="spellStart"/>
      <w:r w:rsidR="00CE6FB7" w:rsidRPr="001633A3">
        <w:rPr>
          <w:rFonts w:ascii="Arial" w:hAnsi="Arial" w:cs="Arial"/>
          <w:bCs/>
          <w:iCs/>
          <w:sz w:val="24"/>
        </w:rPr>
        <w:t>kaiawhina</w:t>
      </w:r>
      <w:proofErr w:type="spellEnd"/>
      <w:r w:rsidR="00CE6FB7" w:rsidRPr="001633A3">
        <w:rPr>
          <w:rFonts w:ascii="Arial" w:hAnsi="Arial" w:cs="Arial"/>
          <w:bCs/>
          <w:iCs/>
          <w:sz w:val="24"/>
        </w:rPr>
        <w:t>, health navigators,</w:t>
      </w:r>
      <w:r w:rsidR="00B1013B" w:rsidRPr="001633A3">
        <w:rPr>
          <w:rFonts w:ascii="Arial" w:hAnsi="Arial" w:cs="Arial"/>
          <w:bCs/>
          <w:iCs/>
          <w:sz w:val="24"/>
        </w:rPr>
        <w:t xml:space="preserve"> dental assistants and administrative support personnel</w:t>
      </w:r>
      <w:r w:rsidR="0054698A" w:rsidRPr="001633A3">
        <w:rPr>
          <w:rFonts w:ascii="Arial" w:hAnsi="Arial" w:cs="Arial"/>
          <w:bCs/>
          <w:iCs/>
          <w:sz w:val="24"/>
        </w:rPr>
        <w:t>.</w:t>
      </w:r>
    </w:p>
    <w:p w14:paraId="023C5240" w14:textId="51A2EDF8" w:rsidR="00FE2977" w:rsidRPr="0019546F" w:rsidRDefault="00D97A80" w:rsidP="00A84DB0">
      <w:pPr>
        <w:pStyle w:val="11"/>
        <w:numPr>
          <w:ilvl w:val="0"/>
          <w:numId w:val="0"/>
        </w:numPr>
        <w:spacing w:after="120"/>
        <w:rPr>
          <w:rFonts w:ascii="Arial" w:hAnsi="Arial" w:cs="Arial"/>
          <w:b w:val="0"/>
          <w:bCs w:val="0"/>
          <w:i w:val="0"/>
          <w:iCs w:val="0"/>
          <w:sz w:val="24"/>
          <w:szCs w:val="24"/>
        </w:rPr>
      </w:pPr>
      <w:r w:rsidRPr="00D97A80">
        <w:rPr>
          <w:rFonts w:ascii="Arial" w:hAnsi="Arial" w:cs="Arial"/>
          <w:b w:val="0"/>
          <w:bCs w:val="0"/>
          <w:i w:val="0"/>
          <w:iCs w:val="0"/>
          <w:sz w:val="24"/>
          <w:szCs w:val="24"/>
        </w:rPr>
        <w:t>See section 8</w:t>
      </w:r>
      <w:r>
        <w:rPr>
          <w:rFonts w:ascii="Arial" w:hAnsi="Arial" w:cs="Arial"/>
          <w:b w:val="0"/>
          <w:bCs w:val="0"/>
          <w:i w:val="0"/>
          <w:iCs w:val="0"/>
          <w:sz w:val="24"/>
          <w:szCs w:val="24"/>
        </w:rPr>
        <w:t>.1</w:t>
      </w:r>
      <w:r w:rsidRPr="00D97A80">
        <w:rPr>
          <w:rFonts w:ascii="Arial" w:hAnsi="Arial" w:cs="Arial"/>
          <w:b w:val="0"/>
          <w:bCs w:val="0"/>
          <w:i w:val="0"/>
          <w:iCs w:val="0"/>
          <w:sz w:val="24"/>
          <w:szCs w:val="24"/>
        </w:rPr>
        <w:t xml:space="preserve"> for further </w:t>
      </w:r>
      <w:r>
        <w:rPr>
          <w:rFonts w:ascii="Arial" w:hAnsi="Arial" w:cs="Arial"/>
          <w:b w:val="0"/>
          <w:bCs w:val="0"/>
          <w:i w:val="0"/>
          <w:iCs w:val="0"/>
          <w:sz w:val="24"/>
          <w:szCs w:val="24"/>
        </w:rPr>
        <w:t xml:space="preserve">information on staff </w:t>
      </w:r>
      <w:r w:rsidRPr="00D97A80">
        <w:rPr>
          <w:rFonts w:ascii="Arial" w:hAnsi="Arial" w:cs="Arial"/>
          <w:b w:val="0"/>
          <w:bCs w:val="0"/>
          <w:i w:val="0"/>
          <w:iCs w:val="0"/>
          <w:sz w:val="24"/>
          <w:szCs w:val="24"/>
        </w:rPr>
        <w:t xml:space="preserve">requirements. </w:t>
      </w:r>
    </w:p>
    <w:p w14:paraId="3B8DF971" w14:textId="4459F6A9" w:rsidR="00572BD7" w:rsidRPr="006A5879" w:rsidRDefault="00F16D03" w:rsidP="00212492">
      <w:pPr>
        <w:pStyle w:val="Heading3"/>
        <w:spacing w:after="0"/>
        <w:rPr>
          <w:i/>
          <w:sz w:val="24"/>
          <w:szCs w:val="24"/>
        </w:rPr>
      </w:pPr>
      <w:r w:rsidRPr="006A5879">
        <w:rPr>
          <w:i/>
          <w:sz w:val="24"/>
          <w:szCs w:val="24"/>
        </w:rPr>
        <w:t>6</w:t>
      </w:r>
      <w:r w:rsidR="00C37B9A">
        <w:rPr>
          <w:i/>
          <w:sz w:val="24"/>
          <w:szCs w:val="24"/>
        </w:rPr>
        <w:t>.8</w:t>
      </w:r>
      <w:r w:rsidRPr="006A5879">
        <w:rPr>
          <w:i/>
          <w:sz w:val="24"/>
          <w:szCs w:val="24"/>
        </w:rPr>
        <w:t>.2</w:t>
      </w:r>
      <w:r w:rsidRPr="006A5879">
        <w:rPr>
          <w:i/>
          <w:sz w:val="24"/>
          <w:szCs w:val="24"/>
        </w:rPr>
        <w:tab/>
      </w:r>
      <w:r w:rsidR="00572BD7" w:rsidRPr="006A5879">
        <w:rPr>
          <w:i/>
          <w:sz w:val="24"/>
          <w:szCs w:val="24"/>
        </w:rPr>
        <w:t>Supplies, Equipment and other Services</w:t>
      </w:r>
    </w:p>
    <w:p w14:paraId="57D35346" w14:textId="6F776EA2" w:rsidR="00C24D2C" w:rsidRPr="00C24D2C" w:rsidRDefault="00C24D2C" w:rsidP="00212492">
      <w:pPr>
        <w:spacing w:before="120"/>
        <w:jc w:val="left"/>
      </w:pPr>
      <w:r>
        <w:t xml:space="preserve">Supplies, equipment and other services required to deliver </w:t>
      </w:r>
      <w:r w:rsidR="00164FBB">
        <w:t>services</w:t>
      </w:r>
      <w:r w:rsidR="006A5879">
        <w:t xml:space="preserve"> may include, but are not limited to:</w:t>
      </w:r>
    </w:p>
    <w:p w14:paraId="50A72A68" w14:textId="77777777" w:rsidR="00B1013B" w:rsidRPr="00A84DB0" w:rsidRDefault="00B1013B" w:rsidP="00510B13">
      <w:pPr>
        <w:pStyle w:val="BodyText2"/>
        <w:numPr>
          <w:ilvl w:val="0"/>
          <w:numId w:val="14"/>
        </w:numPr>
        <w:spacing w:before="120"/>
        <w:ind w:left="567" w:hanging="567"/>
        <w:jc w:val="left"/>
        <w:rPr>
          <w:rFonts w:ascii="Arial" w:hAnsi="Arial" w:cs="Arial"/>
          <w:iCs/>
          <w:sz w:val="24"/>
        </w:rPr>
      </w:pPr>
      <w:r w:rsidRPr="00A84DB0">
        <w:rPr>
          <w:rFonts w:ascii="Arial" w:hAnsi="Arial" w:cs="Arial"/>
          <w:bCs/>
          <w:iCs/>
          <w:sz w:val="24"/>
        </w:rPr>
        <w:t xml:space="preserve">pharmaceuticals </w:t>
      </w:r>
      <w:r w:rsidR="00572BD7" w:rsidRPr="00A84DB0">
        <w:rPr>
          <w:rFonts w:ascii="Arial" w:hAnsi="Arial" w:cs="Arial"/>
          <w:bCs/>
          <w:iCs/>
          <w:sz w:val="24"/>
        </w:rPr>
        <w:t>-</w:t>
      </w:r>
      <w:r w:rsidRPr="00A84DB0">
        <w:rPr>
          <w:rFonts w:ascii="Arial" w:hAnsi="Arial" w:cs="Arial"/>
          <w:bCs/>
          <w:iCs/>
          <w:sz w:val="24"/>
        </w:rPr>
        <w:t xml:space="preserve"> local anaesthetics, haemostatic agents, </w:t>
      </w:r>
      <w:r w:rsidR="00D856E4" w:rsidRPr="00A84DB0">
        <w:rPr>
          <w:rFonts w:ascii="Arial" w:hAnsi="Arial" w:cs="Arial"/>
          <w:bCs/>
          <w:iCs/>
          <w:sz w:val="24"/>
        </w:rPr>
        <w:t xml:space="preserve">analgesics, </w:t>
      </w:r>
      <w:r w:rsidRPr="00A84DB0">
        <w:rPr>
          <w:rFonts w:ascii="Arial" w:hAnsi="Arial" w:cs="Arial"/>
          <w:bCs/>
          <w:iCs/>
          <w:sz w:val="24"/>
        </w:rPr>
        <w:t>topical fluorides</w:t>
      </w:r>
    </w:p>
    <w:p w14:paraId="3812C720" w14:textId="77777777" w:rsidR="00B1013B" w:rsidRPr="00A84DB0" w:rsidRDefault="007C08B5" w:rsidP="00C37B9A">
      <w:pPr>
        <w:pStyle w:val="BodyText2"/>
        <w:numPr>
          <w:ilvl w:val="0"/>
          <w:numId w:val="14"/>
        </w:numPr>
        <w:ind w:left="567" w:hanging="567"/>
        <w:jc w:val="left"/>
        <w:rPr>
          <w:rFonts w:ascii="Arial" w:hAnsi="Arial" w:cs="Arial"/>
          <w:bCs/>
          <w:iCs/>
          <w:sz w:val="24"/>
        </w:rPr>
      </w:pPr>
      <w:r w:rsidRPr="00A84DB0">
        <w:rPr>
          <w:rFonts w:ascii="Arial" w:hAnsi="Arial" w:cs="Arial"/>
          <w:bCs/>
          <w:iCs/>
          <w:sz w:val="24"/>
        </w:rPr>
        <w:t xml:space="preserve">oral health </w:t>
      </w:r>
      <w:r w:rsidR="00B1013B" w:rsidRPr="00A84DB0">
        <w:rPr>
          <w:rFonts w:ascii="Arial" w:hAnsi="Arial" w:cs="Arial"/>
          <w:bCs/>
          <w:iCs/>
          <w:sz w:val="24"/>
        </w:rPr>
        <w:t>supplies</w:t>
      </w:r>
    </w:p>
    <w:p w14:paraId="436DED51" w14:textId="77777777" w:rsidR="007C08B5" w:rsidRPr="00A84DB0" w:rsidRDefault="007C08B5" w:rsidP="00C37B9A">
      <w:pPr>
        <w:pStyle w:val="BodyText2"/>
        <w:numPr>
          <w:ilvl w:val="0"/>
          <w:numId w:val="14"/>
        </w:numPr>
        <w:ind w:left="567" w:hanging="567"/>
        <w:jc w:val="left"/>
        <w:rPr>
          <w:rFonts w:ascii="Arial" w:hAnsi="Arial" w:cs="Arial"/>
          <w:bCs/>
          <w:iCs/>
          <w:sz w:val="24"/>
        </w:rPr>
      </w:pPr>
      <w:r w:rsidRPr="00A84DB0">
        <w:rPr>
          <w:rFonts w:ascii="Arial" w:hAnsi="Arial" w:cs="Arial"/>
          <w:bCs/>
          <w:iCs/>
          <w:sz w:val="24"/>
        </w:rPr>
        <w:t>diagnostic imaging</w:t>
      </w:r>
    </w:p>
    <w:p w14:paraId="6B361C55" w14:textId="77777777" w:rsidR="007C08B5" w:rsidRPr="00A84DB0" w:rsidRDefault="007C08B5" w:rsidP="00C37B9A">
      <w:pPr>
        <w:pStyle w:val="BodyText2"/>
        <w:numPr>
          <w:ilvl w:val="0"/>
          <w:numId w:val="14"/>
        </w:numPr>
        <w:ind w:left="567" w:hanging="567"/>
        <w:jc w:val="left"/>
        <w:rPr>
          <w:rFonts w:ascii="Arial" w:hAnsi="Arial" w:cs="Arial"/>
          <w:bCs/>
          <w:iCs/>
          <w:sz w:val="24"/>
        </w:rPr>
      </w:pPr>
      <w:r w:rsidRPr="00A84DB0">
        <w:rPr>
          <w:rFonts w:ascii="Arial" w:hAnsi="Arial" w:cs="Arial"/>
          <w:bCs/>
          <w:iCs/>
          <w:sz w:val="24"/>
        </w:rPr>
        <w:t>sterile supply services</w:t>
      </w:r>
    </w:p>
    <w:p w14:paraId="15E9D5E7" w14:textId="77777777" w:rsidR="007C08B5" w:rsidRPr="00A84DB0" w:rsidRDefault="007C08B5" w:rsidP="00C37B9A">
      <w:pPr>
        <w:pStyle w:val="BodyText2"/>
        <w:numPr>
          <w:ilvl w:val="0"/>
          <w:numId w:val="14"/>
        </w:numPr>
        <w:ind w:left="567" w:hanging="567"/>
        <w:jc w:val="left"/>
        <w:rPr>
          <w:rFonts w:ascii="Arial" w:hAnsi="Arial" w:cs="Arial"/>
          <w:bCs/>
          <w:iCs/>
          <w:sz w:val="24"/>
        </w:rPr>
      </w:pPr>
      <w:r w:rsidRPr="00A84DB0">
        <w:rPr>
          <w:rFonts w:ascii="Arial" w:hAnsi="Arial" w:cs="Arial"/>
          <w:bCs/>
          <w:iCs/>
          <w:sz w:val="24"/>
        </w:rPr>
        <w:t>infection control</w:t>
      </w:r>
    </w:p>
    <w:p w14:paraId="46BFBD7C" w14:textId="77777777" w:rsidR="007C08B5" w:rsidRPr="00A84DB0" w:rsidRDefault="007C08B5" w:rsidP="00C37B9A">
      <w:pPr>
        <w:pStyle w:val="BodyText2"/>
        <w:numPr>
          <w:ilvl w:val="0"/>
          <w:numId w:val="14"/>
        </w:numPr>
        <w:ind w:left="567" w:hanging="567"/>
        <w:jc w:val="left"/>
        <w:rPr>
          <w:rFonts w:ascii="Arial" w:hAnsi="Arial" w:cs="Arial"/>
          <w:bCs/>
          <w:iCs/>
          <w:sz w:val="24"/>
        </w:rPr>
      </w:pPr>
      <w:r w:rsidRPr="00A84DB0">
        <w:rPr>
          <w:rFonts w:ascii="Arial" w:hAnsi="Arial" w:cs="Arial"/>
          <w:bCs/>
          <w:iCs/>
          <w:sz w:val="24"/>
        </w:rPr>
        <w:t>occupational health and safety services</w:t>
      </w:r>
    </w:p>
    <w:p w14:paraId="44D50B39" w14:textId="77777777" w:rsidR="007C08B5" w:rsidRPr="00A84DB0" w:rsidRDefault="007C08B5" w:rsidP="00C37B9A">
      <w:pPr>
        <w:pStyle w:val="BodyText2"/>
        <w:numPr>
          <w:ilvl w:val="0"/>
          <w:numId w:val="14"/>
        </w:numPr>
        <w:ind w:left="567" w:hanging="567"/>
        <w:jc w:val="left"/>
        <w:rPr>
          <w:rFonts w:ascii="Arial" w:hAnsi="Arial" w:cs="Arial"/>
          <w:bCs/>
          <w:iCs/>
          <w:sz w:val="24"/>
        </w:rPr>
      </w:pPr>
      <w:r w:rsidRPr="00A84DB0">
        <w:rPr>
          <w:rFonts w:ascii="Arial" w:hAnsi="Arial" w:cs="Arial"/>
          <w:bCs/>
          <w:iCs/>
          <w:sz w:val="24"/>
        </w:rPr>
        <w:t>biomedical engineering</w:t>
      </w:r>
    </w:p>
    <w:p w14:paraId="6C37B9C6" w14:textId="413464D2" w:rsidR="00A970E6" w:rsidRPr="00A84DB0" w:rsidRDefault="007C08B5" w:rsidP="00C37B9A">
      <w:pPr>
        <w:pStyle w:val="BodyText2"/>
        <w:numPr>
          <w:ilvl w:val="0"/>
          <w:numId w:val="14"/>
        </w:numPr>
        <w:ind w:left="567" w:hanging="567"/>
        <w:jc w:val="left"/>
        <w:rPr>
          <w:rFonts w:ascii="Arial" w:hAnsi="Arial" w:cs="Arial"/>
          <w:bCs/>
          <w:iCs/>
          <w:sz w:val="24"/>
        </w:rPr>
      </w:pPr>
      <w:r w:rsidRPr="00A84DB0">
        <w:rPr>
          <w:rFonts w:ascii="Arial" w:hAnsi="Arial" w:cs="Arial"/>
          <w:bCs/>
          <w:iCs/>
          <w:sz w:val="24"/>
        </w:rPr>
        <w:t>interpreter services</w:t>
      </w:r>
      <w:r w:rsidR="007A2D28" w:rsidRPr="00A84DB0">
        <w:rPr>
          <w:rFonts w:ascii="Arial" w:hAnsi="Arial" w:cs="Arial"/>
          <w:bCs/>
          <w:iCs/>
          <w:sz w:val="24"/>
        </w:rPr>
        <w:t xml:space="preserve">, </w:t>
      </w:r>
      <w:r w:rsidRPr="00A84DB0">
        <w:rPr>
          <w:rFonts w:ascii="Arial" w:hAnsi="Arial" w:cs="Arial"/>
          <w:bCs/>
          <w:iCs/>
          <w:sz w:val="24"/>
        </w:rPr>
        <w:t>including N</w:t>
      </w:r>
      <w:r w:rsidR="006F6C8C" w:rsidRPr="00A84DB0">
        <w:rPr>
          <w:rFonts w:ascii="Arial" w:hAnsi="Arial" w:cs="Arial"/>
          <w:bCs/>
          <w:iCs/>
          <w:sz w:val="24"/>
        </w:rPr>
        <w:t xml:space="preserve">ew Zealand </w:t>
      </w:r>
      <w:r w:rsidR="0047005B">
        <w:rPr>
          <w:rFonts w:ascii="Arial" w:hAnsi="Arial" w:cs="Arial"/>
          <w:bCs/>
          <w:iCs/>
          <w:sz w:val="24"/>
        </w:rPr>
        <w:t>S</w:t>
      </w:r>
      <w:r w:rsidRPr="00A84DB0">
        <w:rPr>
          <w:rFonts w:ascii="Arial" w:hAnsi="Arial" w:cs="Arial"/>
          <w:bCs/>
          <w:iCs/>
          <w:sz w:val="24"/>
        </w:rPr>
        <w:t xml:space="preserve">ign </w:t>
      </w:r>
      <w:r w:rsidR="0047005B">
        <w:rPr>
          <w:rFonts w:ascii="Arial" w:hAnsi="Arial" w:cs="Arial"/>
          <w:bCs/>
          <w:iCs/>
          <w:sz w:val="24"/>
        </w:rPr>
        <w:t>L</w:t>
      </w:r>
      <w:r w:rsidRPr="00A84DB0">
        <w:rPr>
          <w:rFonts w:ascii="Arial" w:hAnsi="Arial" w:cs="Arial"/>
          <w:bCs/>
          <w:iCs/>
          <w:sz w:val="24"/>
        </w:rPr>
        <w:t xml:space="preserve">anguage </w:t>
      </w:r>
    </w:p>
    <w:p w14:paraId="3C1C66FE" w14:textId="0150B5BE" w:rsidR="007C08B5" w:rsidRPr="00A84DB0" w:rsidRDefault="00D07DF9" w:rsidP="00C37B9A">
      <w:pPr>
        <w:pStyle w:val="BodyText2"/>
        <w:numPr>
          <w:ilvl w:val="0"/>
          <w:numId w:val="14"/>
        </w:numPr>
        <w:ind w:left="567" w:hanging="567"/>
        <w:jc w:val="left"/>
        <w:rPr>
          <w:rFonts w:ascii="Arial" w:hAnsi="Arial" w:cs="Arial"/>
          <w:bCs/>
          <w:iCs/>
          <w:sz w:val="24"/>
        </w:rPr>
      </w:pPr>
      <w:r>
        <w:rPr>
          <w:rFonts w:ascii="Arial" w:hAnsi="Arial" w:cs="Arial"/>
          <w:bCs/>
          <w:iCs/>
          <w:sz w:val="24"/>
        </w:rPr>
        <w:t>data and digital te</w:t>
      </w:r>
      <w:r w:rsidR="003F1D17">
        <w:rPr>
          <w:rFonts w:ascii="Arial" w:hAnsi="Arial" w:cs="Arial"/>
          <w:bCs/>
          <w:iCs/>
          <w:sz w:val="24"/>
        </w:rPr>
        <w:t>chnology</w:t>
      </w:r>
      <w:r w:rsidR="00212492">
        <w:rPr>
          <w:rFonts w:ascii="Arial" w:hAnsi="Arial" w:cs="Arial"/>
          <w:bCs/>
          <w:iCs/>
          <w:sz w:val="24"/>
        </w:rPr>
        <w:t>.</w:t>
      </w:r>
    </w:p>
    <w:p w14:paraId="28A7FD95" w14:textId="77777777" w:rsidR="00B1013B" w:rsidRPr="0019546F" w:rsidRDefault="00B1013B" w:rsidP="000F25C9">
      <w:pPr>
        <w:pStyle w:val="Heading1"/>
      </w:pPr>
      <w:r w:rsidRPr="0019546F">
        <w:t>Service Linkages</w:t>
      </w:r>
    </w:p>
    <w:p w14:paraId="4FB818C4" w14:textId="223CE0A7" w:rsidR="00E72116" w:rsidRDefault="00CC683C" w:rsidP="00072D12">
      <w:pPr>
        <w:spacing w:before="120" w:after="120"/>
        <w:jc w:val="left"/>
        <w:rPr>
          <w:rFonts w:cs="Arial"/>
          <w:bCs/>
          <w:snapToGrid w:val="0"/>
          <w:color w:val="000000"/>
        </w:rPr>
      </w:pPr>
      <w:r w:rsidRPr="0019546F">
        <w:rPr>
          <w:rFonts w:cs="Arial"/>
          <w:bCs/>
          <w:snapToGrid w:val="0"/>
          <w:color w:val="000000"/>
        </w:rPr>
        <w:t>To ensure optimum care for Service User</w:t>
      </w:r>
      <w:r w:rsidR="00C26036">
        <w:rPr>
          <w:rFonts w:cs="Arial"/>
          <w:bCs/>
          <w:snapToGrid w:val="0"/>
          <w:color w:val="000000"/>
        </w:rPr>
        <w:t>s</w:t>
      </w:r>
      <w:r w:rsidRPr="0019546F">
        <w:rPr>
          <w:rFonts w:cs="Arial"/>
          <w:bCs/>
          <w:snapToGrid w:val="0"/>
          <w:color w:val="000000"/>
        </w:rPr>
        <w:t xml:space="preserve">, </w:t>
      </w:r>
      <w:r w:rsidR="00C37B9A">
        <w:rPr>
          <w:rFonts w:cs="Arial"/>
          <w:bCs/>
          <w:snapToGrid w:val="0"/>
          <w:color w:val="000000"/>
        </w:rPr>
        <w:t xml:space="preserve">funders and </w:t>
      </w:r>
      <w:r w:rsidR="006F6C8C" w:rsidRPr="0019546F">
        <w:rPr>
          <w:rFonts w:cs="Arial"/>
          <w:bCs/>
          <w:snapToGrid w:val="0"/>
          <w:color w:val="000000"/>
        </w:rPr>
        <w:t xml:space="preserve">Service </w:t>
      </w:r>
      <w:r w:rsidRPr="0019546F">
        <w:rPr>
          <w:rFonts w:cs="Arial"/>
          <w:bCs/>
          <w:snapToGrid w:val="0"/>
          <w:color w:val="000000"/>
        </w:rPr>
        <w:t>Provider</w:t>
      </w:r>
      <w:r w:rsidR="007B18BC">
        <w:rPr>
          <w:rFonts w:cs="Arial"/>
          <w:bCs/>
          <w:snapToGrid w:val="0"/>
          <w:color w:val="000000"/>
        </w:rPr>
        <w:t>s</w:t>
      </w:r>
      <w:r w:rsidR="00B1013B" w:rsidRPr="0019546F">
        <w:rPr>
          <w:rFonts w:cs="Arial"/>
          <w:bCs/>
          <w:snapToGrid w:val="0"/>
          <w:color w:val="000000"/>
        </w:rPr>
        <w:t xml:space="preserve"> </w:t>
      </w:r>
      <w:r w:rsidR="004A1D35">
        <w:rPr>
          <w:rFonts w:cs="Arial"/>
          <w:bCs/>
          <w:snapToGrid w:val="0"/>
          <w:color w:val="000000"/>
        </w:rPr>
        <w:t>should</w:t>
      </w:r>
      <w:r w:rsidR="004A1D35" w:rsidRPr="0019546F">
        <w:rPr>
          <w:rFonts w:cs="Arial"/>
          <w:bCs/>
          <w:snapToGrid w:val="0"/>
          <w:color w:val="000000"/>
        </w:rPr>
        <w:t xml:space="preserve"> </w:t>
      </w:r>
      <w:r w:rsidRPr="0019546F">
        <w:rPr>
          <w:rFonts w:cs="Arial"/>
          <w:bCs/>
          <w:snapToGrid w:val="0"/>
          <w:color w:val="000000"/>
        </w:rPr>
        <w:t xml:space="preserve">maintain </w:t>
      </w:r>
      <w:r w:rsidR="00D1682E" w:rsidRPr="0019546F">
        <w:rPr>
          <w:rFonts w:cs="Arial"/>
          <w:bCs/>
          <w:snapToGrid w:val="0"/>
          <w:color w:val="000000"/>
        </w:rPr>
        <w:t xml:space="preserve">robust and </w:t>
      </w:r>
      <w:r w:rsidR="003878B4" w:rsidRPr="0019546F">
        <w:rPr>
          <w:rFonts w:cs="Arial"/>
          <w:bCs/>
          <w:snapToGrid w:val="0"/>
          <w:color w:val="000000"/>
        </w:rPr>
        <w:t xml:space="preserve">effective </w:t>
      </w:r>
      <w:r w:rsidRPr="0019546F">
        <w:rPr>
          <w:rFonts w:cs="Arial"/>
          <w:bCs/>
          <w:snapToGrid w:val="0"/>
          <w:color w:val="000000"/>
        </w:rPr>
        <w:t>relationships with appropriate services</w:t>
      </w:r>
      <w:r w:rsidR="003878B4" w:rsidRPr="0019546F">
        <w:rPr>
          <w:rFonts w:cs="Arial"/>
          <w:bCs/>
          <w:snapToGrid w:val="0"/>
          <w:color w:val="000000"/>
        </w:rPr>
        <w:t>/agencies</w:t>
      </w:r>
      <w:r w:rsidR="00330B69" w:rsidRPr="0019546F">
        <w:rPr>
          <w:rFonts w:cs="Arial"/>
          <w:bCs/>
          <w:snapToGrid w:val="0"/>
          <w:color w:val="000000"/>
        </w:rPr>
        <w:t xml:space="preserve">, </w:t>
      </w:r>
      <w:r w:rsidR="001015CB">
        <w:rPr>
          <w:rFonts w:cs="Arial"/>
          <w:bCs/>
          <w:snapToGrid w:val="0"/>
          <w:color w:val="000000"/>
        </w:rPr>
        <w:t>such as</w:t>
      </w:r>
      <w:r w:rsidR="00330B69" w:rsidRPr="0019546F">
        <w:rPr>
          <w:rFonts w:cs="Arial"/>
          <w:bCs/>
          <w:snapToGrid w:val="0"/>
          <w:color w:val="000000"/>
        </w:rPr>
        <w:t xml:space="preserve"> those</w:t>
      </w:r>
      <w:r w:rsidR="003878B4" w:rsidRPr="0019546F">
        <w:rPr>
          <w:rFonts w:cs="Arial"/>
          <w:bCs/>
          <w:snapToGrid w:val="0"/>
          <w:color w:val="000000"/>
        </w:rPr>
        <w:t xml:space="preserve"> </w:t>
      </w:r>
      <w:r w:rsidRPr="0019546F">
        <w:rPr>
          <w:rFonts w:cs="Arial"/>
          <w:bCs/>
          <w:snapToGrid w:val="0"/>
          <w:color w:val="000000"/>
        </w:rPr>
        <w:t>listed below</w:t>
      </w:r>
      <w:r w:rsidR="00330B69" w:rsidRPr="0019546F">
        <w:rPr>
          <w:rFonts w:cs="Arial"/>
          <w:bCs/>
          <w:snapToGrid w:val="0"/>
          <w:color w:val="000000"/>
        </w:rPr>
        <w:t>,</w:t>
      </w:r>
      <w:r w:rsidRPr="0019546F">
        <w:rPr>
          <w:rFonts w:cs="Arial"/>
          <w:bCs/>
          <w:snapToGrid w:val="0"/>
          <w:color w:val="000000"/>
        </w:rPr>
        <w:t xml:space="preserve"> </w:t>
      </w:r>
      <w:r w:rsidR="003878B4" w:rsidRPr="0019546F">
        <w:rPr>
          <w:rFonts w:cs="Arial"/>
          <w:bCs/>
          <w:snapToGrid w:val="0"/>
          <w:color w:val="000000"/>
        </w:rPr>
        <w:t>to facilitate</w:t>
      </w:r>
      <w:r w:rsidR="00E72116" w:rsidRPr="0019546F">
        <w:rPr>
          <w:rFonts w:cs="Arial"/>
          <w:bCs/>
          <w:snapToGrid w:val="0"/>
          <w:color w:val="000000"/>
        </w:rPr>
        <w:t xml:space="preserve"> referral and liaison </w:t>
      </w:r>
      <w:r w:rsidR="00B1013B" w:rsidRPr="0019546F">
        <w:rPr>
          <w:rFonts w:cs="Arial"/>
          <w:bCs/>
          <w:snapToGrid w:val="0"/>
          <w:color w:val="000000"/>
        </w:rPr>
        <w:t>with th</w:t>
      </w:r>
      <w:r w:rsidRPr="0019546F">
        <w:rPr>
          <w:rFonts w:cs="Arial"/>
          <w:bCs/>
          <w:snapToGrid w:val="0"/>
          <w:color w:val="000000"/>
        </w:rPr>
        <w:t>ose</w:t>
      </w:r>
      <w:r w:rsidR="00B1013B" w:rsidRPr="0019546F">
        <w:rPr>
          <w:rFonts w:cs="Arial"/>
          <w:bCs/>
          <w:snapToGrid w:val="0"/>
          <w:color w:val="000000"/>
        </w:rPr>
        <w:t xml:space="preserve"> services</w:t>
      </w:r>
      <w:r w:rsidRPr="0019546F">
        <w:rPr>
          <w:rFonts w:cs="Arial"/>
          <w:bCs/>
          <w:snapToGrid w:val="0"/>
          <w:color w:val="000000"/>
        </w:rPr>
        <w:t>.</w:t>
      </w:r>
    </w:p>
    <w:p w14:paraId="0EF05850" w14:textId="3EEBD2CD" w:rsidR="00C654B6" w:rsidRDefault="00212492" w:rsidP="00072D12">
      <w:pPr>
        <w:spacing w:before="120" w:after="120"/>
        <w:jc w:val="left"/>
        <w:rPr>
          <w:rFonts w:cs="Arial"/>
          <w:bCs/>
          <w:i/>
          <w:iCs/>
          <w:snapToGrid w:val="0"/>
          <w:color w:val="000000"/>
        </w:rPr>
      </w:pPr>
      <w:r>
        <w:rPr>
          <w:rFonts w:cs="Arial"/>
          <w:bCs/>
          <w:i/>
          <w:iCs/>
          <w:snapToGrid w:val="0"/>
          <w:color w:val="000000"/>
        </w:rPr>
        <w:t>Hospital</w:t>
      </w:r>
      <w:r w:rsidR="00C37B9A">
        <w:rPr>
          <w:rFonts w:cs="Arial"/>
          <w:bCs/>
          <w:i/>
          <w:iCs/>
          <w:snapToGrid w:val="0"/>
          <w:color w:val="000000"/>
        </w:rPr>
        <w:t xml:space="preserve"> </w:t>
      </w:r>
      <w:r w:rsidR="001701A9" w:rsidRPr="0031523A">
        <w:rPr>
          <w:rFonts w:cs="Arial"/>
          <w:bCs/>
          <w:i/>
          <w:iCs/>
          <w:snapToGrid w:val="0"/>
          <w:color w:val="000000"/>
        </w:rPr>
        <w:t xml:space="preserve">medical and surgical </w:t>
      </w:r>
      <w:r w:rsidR="008252A5" w:rsidRPr="0031523A">
        <w:rPr>
          <w:rFonts w:cs="Arial"/>
          <w:bCs/>
          <w:i/>
          <w:iCs/>
          <w:snapToGrid w:val="0"/>
          <w:color w:val="000000"/>
        </w:rPr>
        <w:t xml:space="preserve">specialist </w:t>
      </w:r>
      <w:r w:rsidR="000635EE" w:rsidRPr="0031523A">
        <w:rPr>
          <w:rFonts w:cs="Arial"/>
          <w:bCs/>
          <w:i/>
          <w:iCs/>
          <w:snapToGrid w:val="0"/>
          <w:color w:val="000000"/>
        </w:rPr>
        <w:t>services</w:t>
      </w:r>
    </w:p>
    <w:p w14:paraId="649AF6A9" w14:textId="1B86E593" w:rsidR="00E72116" w:rsidRPr="0019546F" w:rsidRDefault="00E72116" w:rsidP="00C37B9A">
      <w:pPr>
        <w:spacing w:before="120"/>
        <w:jc w:val="left"/>
        <w:rPr>
          <w:rFonts w:cs="Arial"/>
          <w:bCs/>
          <w:i/>
          <w:snapToGrid w:val="0"/>
          <w:color w:val="000000"/>
        </w:rPr>
      </w:pPr>
      <w:r w:rsidRPr="0019546F">
        <w:rPr>
          <w:rFonts w:cs="Arial"/>
          <w:bCs/>
          <w:i/>
          <w:snapToGrid w:val="0"/>
          <w:color w:val="000000"/>
        </w:rPr>
        <w:t>Other oral health providers</w:t>
      </w:r>
    </w:p>
    <w:p w14:paraId="27F59AF8" w14:textId="7080A471" w:rsidR="00E72116" w:rsidRPr="00D8275E" w:rsidRDefault="00510B13" w:rsidP="00510B13">
      <w:pPr>
        <w:pStyle w:val="ListParagraph"/>
        <w:numPr>
          <w:ilvl w:val="0"/>
          <w:numId w:val="15"/>
        </w:numPr>
        <w:spacing w:before="120" w:after="120"/>
        <w:ind w:left="567" w:hanging="567"/>
        <w:jc w:val="left"/>
        <w:rPr>
          <w:rFonts w:cs="Arial"/>
          <w:bCs/>
          <w:snapToGrid w:val="0"/>
          <w:color w:val="000000"/>
        </w:rPr>
      </w:pPr>
      <w:r>
        <w:rPr>
          <w:rFonts w:cs="Arial"/>
          <w:bCs/>
          <w:snapToGrid w:val="0"/>
          <w:color w:val="000000"/>
        </w:rPr>
        <w:t>DHB f</w:t>
      </w:r>
      <w:r w:rsidR="00E72116" w:rsidRPr="00D8275E">
        <w:rPr>
          <w:rFonts w:cs="Arial"/>
          <w:bCs/>
          <w:snapToGrid w:val="0"/>
          <w:color w:val="000000"/>
        </w:rPr>
        <w:t>unded oral health services</w:t>
      </w:r>
    </w:p>
    <w:p w14:paraId="1446F350" w14:textId="77777777" w:rsidR="00E72116" w:rsidRPr="00D8275E" w:rsidRDefault="00E72116" w:rsidP="00C37B9A">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community based general and specialist dental practitioners in private practice</w:t>
      </w:r>
      <w:r w:rsidR="00CC683C" w:rsidRPr="00D8275E">
        <w:rPr>
          <w:rFonts w:cs="Arial"/>
          <w:bCs/>
          <w:snapToGrid w:val="0"/>
          <w:color w:val="000000"/>
        </w:rPr>
        <w:t>.</w:t>
      </w:r>
    </w:p>
    <w:p w14:paraId="188567CC" w14:textId="112E3AE4" w:rsidR="00212492" w:rsidRDefault="00E72116" w:rsidP="00212492">
      <w:pPr>
        <w:spacing w:before="120"/>
        <w:jc w:val="left"/>
        <w:rPr>
          <w:rFonts w:cs="Arial"/>
          <w:bCs/>
          <w:i/>
          <w:snapToGrid w:val="0"/>
          <w:color w:val="000000"/>
        </w:rPr>
      </w:pPr>
      <w:r w:rsidRPr="0019546F">
        <w:rPr>
          <w:rFonts w:cs="Arial"/>
          <w:bCs/>
          <w:i/>
          <w:snapToGrid w:val="0"/>
          <w:color w:val="000000"/>
        </w:rPr>
        <w:t xml:space="preserve">Primary </w:t>
      </w:r>
      <w:r w:rsidR="00C37B9A">
        <w:rPr>
          <w:rFonts w:cs="Arial"/>
          <w:bCs/>
          <w:i/>
          <w:snapToGrid w:val="0"/>
          <w:color w:val="000000"/>
        </w:rPr>
        <w:t xml:space="preserve">health </w:t>
      </w:r>
      <w:r w:rsidRPr="0019546F">
        <w:rPr>
          <w:rFonts w:cs="Arial"/>
          <w:bCs/>
          <w:i/>
          <w:snapToGrid w:val="0"/>
          <w:color w:val="000000"/>
        </w:rPr>
        <w:t>care provider</w:t>
      </w:r>
      <w:r w:rsidR="00212492">
        <w:rPr>
          <w:rFonts w:cs="Arial"/>
          <w:bCs/>
          <w:i/>
          <w:snapToGrid w:val="0"/>
          <w:color w:val="000000"/>
        </w:rPr>
        <w:t>s</w:t>
      </w:r>
    </w:p>
    <w:p w14:paraId="2040CA2D" w14:textId="50EBC6D7" w:rsidR="00CC683C" w:rsidRPr="00212492" w:rsidRDefault="00C37B9A" w:rsidP="00510B13">
      <w:pPr>
        <w:pStyle w:val="ListParagraph"/>
        <w:numPr>
          <w:ilvl w:val="0"/>
          <w:numId w:val="15"/>
        </w:numPr>
        <w:spacing w:before="120" w:after="120"/>
        <w:ind w:left="567" w:hanging="567"/>
        <w:jc w:val="left"/>
        <w:rPr>
          <w:rFonts w:cs="Arial"/>
          <w:bCs/>
          <w:snapToGrid w:val="0"/>
          <w:color w:val="000000"/>
        </w:rPr>
      </w:pPr>
      <w:r w:rsidRPr="00212492">
        <w:rPr>
          <w:rFonts w:cs="Arial"/>
          <w:bCs/>
          <w:snapToGrid w:val="0"/>
          <w:color w:val="000000"/>
        </w:rPr>
        <w:t>g</w:t>
      </w:r>
      <w:r w:rsidR="00E72116" w:rsidRPr="00212492">
        <w:rPr>
          <w:rFonts w:cs="Arial"/>
          <w:bCs/>
          <w:snapToGrid w:val="0"/>
          <w:color w:val="000000"/>
        </w:rPr>
        <w:t xml:space="preserve">eneral </w:t>
      </w:r>
      <w:r w:rsidR="00330B69" w:rsidRPr="00212492">
        <w:rPr>
          <w:rFonts w:cs="Arial"/>
          <w:bCs/>
          <w:snapToGrid w:val="0"/>
          <w:color w:val="000000"/>
        </w:rPr>
        <w:t>p</w:t>
      </w:r>
      <w:r w:rsidR="00E72116" w:rsidRPr="00212492">
        <w:rPr>
          <w:rFonts w:cs="Arial"/>
          <w:bCs/>
          <w:snapToGrid w:val="0"/>
          <w:color w:val="000000"/>
        </w:rPr>
        <w:t xml:space="preserve">ractitioners </w:t>
      </w:r>
    </w:p>
    <w:p w14:paraId="7098D95E" w14:textId="2E6E00BA" w:rsidR="00E72116" w:rsidRPr="00D8275E" w:rsidRDefault="00C37B9A" w:rsidP="00212492">
      <w:pPr>
        <w:pStyle w:val="ListParagraph"/>
        <w:numPr>
          <w:ilvl w:val="0"/>
          <w:numId w:val="15"/>
        </w:numPr>
        <w:spacing w:after="120"/>
        <w:ind w:left="567" w:hanging="567"/>
        <w:jc w:val="left"/>
        <w:rPr>
          <w:rFonts w:cs="Arial"/>
          <w:bCs/>
          <w:snapToGrid w:val="0"/>
          <w:color w:val="000000"/>
        </w:rPr>
      </w:pPr>
      <w:r>
        <w:rPr>
          <w:rFonts w:cs="Arial"/>
          <w:bCs/>
          <w:snapToGrid w:val="0"/>
          <w:color w:val="000000"/>
        </w:rPr>
        <w:t>p</w:t>
      </w:r>
      <w:r w:rsidR="00E72116" w:rsidRPr="00D8275E">
        <w:rPr>
          <w:rFonts w:cs="Arial"/>
          <w:bCs/>
          <w:snapToGrid w:val="0"/>
          <w:color w:val="000000"/>
        </w:rPr>
        <w:t xml:space="preserve">rimary </w:t>
      </w:r>
      <w:r>
        <w:rPr>
          <w:rFonts w:cs="Arial"/>
          <w:bCs/>
          <w:snapToGrid w:val="0"/>
          <w:color w:val="000000"/>
        </w:rPr>
        <w:t>h</w:t>
      </w:r>
      <w:r w:rsidR="00E72116" w:rsidRPr="00D8275E">
        <w:rPr>
          <w:rFonts w:cs="Arial"/>
          <w:bCs/>
          <w:snapToGrid w:val="0"/>
          <w:color w:val="000000"/>
        </w:rPr>
        <w:t xml:space="preserve">ealth </w:t>
      </w:r>
      <w:r>
        <w:rPr>
          <w:rFonts w:cs="Arial"/>
          <w:bCs/>
          <w:snapToGrid w:val="0"/>
          <w:color w:val="000000"/>
        </w:rPr>
        <w:t>o</w:t>
      </w:r>
      <w:r w:rsidR="00E72116" w:rsidRPr="00D8275E">
        <w:rPr>
          <w:rFonts w:cs="Arial"/>
          <w:bCs/>
          <w:snapToGrid w:val="0"/>
          <w:color w:val="000000"/>
        </w:rPr>
        <w:t>rganisations</w:t>
      </w:r>
    </w:p>
    <w:p w14:paraId="32D7CDC1" w14:textId="6FE85D38" w:rsidR="005600FE" w:rsidRPr="00D8275E" w:rsidRDefault="00C37B9A" w:rsidP="00212492">
      <w:pPr>
        <w:pStyle w:val="ListParagraph"/>
        <w:numPr>
          <w:ilvl w:val="0"/>
          <w:numId w:val="15"/>
        </w:numPr>
        <w:spacing w:after="120"/>
        <w:ind w:left="567" w:hanging="567"/>
        <w:jc w:val="left"/>
        <w:rPr>
          <w:rFonts w:cs="Arial"/>
          <w:bCs/>
          <w:snapToGrid w:val="0"/>
          <w:color w:val="000000"/>
        </w:rPr>
      </w:pPr>
      <w:r>
        <w:rPr>
          <w:rFonts w:cs="Arial"/>
          <w:bCs/>
          <w:snapToGrid w:val="0"/>
          <w:color w:val="000000"/>
        </w:rPr>
        <w:t>c</w:t>
      </w:r>
      <w:r w:rsidR="005600FE" w:rsidRPr="00D8275E">
        <w:rPr>
          <w:rFonts w:cs="Arial"/>
          <w:bCs/>
          <w:snapToGrid w:val="0"/>
          <w:color w:val="000000"/>
        </w:rPr>
        <w:t>ommunity pharmacies</w:t>
      </w:r>
    </w:p>
    <w:p w14:paraId="1BFD4074" w14:textId="0ABE9287" w:rsidR="005D6603" w:rsidRPr="00D8275E" w:rsidRDefault="00E72116" w:rsidP="00212492">
      <w:pPr>
        <w:pStyle w:val="ListParagraph"/>
        <w:numPr>
          <w:ilvl w:val="0"/>
          <w:numId w:val="15"/>
        </w:numPr>
        <w:spacing w:after="120"/>
        <w:ind w:left="567" w:hanging="567"/>
        <w:jc w:val="left"/>
        <w:rPr>
          <w:rFonts w:cs="Arial"/>
          <w:bCs/>
          <w:snapToGrid w:val="0"/>
          <w:color w:val="000000"/>
        </w:rPr>
      </w:pPr>
      <w:r w:rsidRPr="00D8275E">
        <w:rPr>
          <w:rFonts w:cs="Arial"/>
          <w:bCs/>
          <w:snapToGrid w:val="0"/>
          <w:color w:val="000000"/>
        </w:rPr>
        <w:t>Well Child</w:t>
      </w:r>
      <w:r w:rsidR="0031523A">
        <w:rPr>
          <w:rFonts w:cs="Arial"/>
          <w:bCs/>
          <w:snapToGrid w:val="0"/>
          <w:color w:val="000000"/>
        </w:rPr>
        <w:t xml:space="preserve"> </w:t>
      </w:r>
      <w:r w:rsidRPr="00D8275E">
        <w:rPr>
          <w:rFonts w:cs="Arial"/>
          <w:bCs/>
          <w:snapToGrid w:val="0"/>
          <w:color w:val="000000"/>
        </w:rPr>
        <w:t>Tamariki Ora</w:t>
      </w:r>
      <w:r w:rsidR="00330B69" w:rsidRPr="00D8275E">
        <w:rPr>
          <w:rFonts w:cs="Arial"/>
          <w:bCs/>
          <w:snapToGrid w:val="0"/>
          <w:color w:val="000000"/>
        </w:rPr>
        <w:t xml:space="preserve"> providers</w:t>
      </w:r>
    </w:p>
    <w:p w14:paraId="5D9E65B9" w14:textId="603AD55E" w:rsidR="00E72116" w:rsidRPr="00D8275E" w:rsidRDefault="00E72116" w:rsidP="00212492">
      <w:pPr>
        <w:pStyle w:val="ListParagraph"/>
        <w:numPr>
          <w:ilvl w:val="0"/>
          <w:numId w:val="15"/>
        </w:numPr>
        <w:spacing w:after="120"/>
        <w:ind w:left="567" w:hanging="567"/>
        <w:jc w:val="left"/>
        <w:rPr>
          <w:rFonts w:cs="Arial"/>
          <w:bCs/>
          <w:snapToGrid w:val="0"/>
          <w:color w:val="000000"/>
        </w:rPr>
      </w:pPr>
      <w:r w:rsidRPr="00D8275E">
        <w:rPr>
          <w:rFonts w:cs="Arial"/>
          <w:bCs/>
          <w:snapToGrid w:val="0"/>
          <w:color w:val="000000"/>
        </w:rPr>
        <w:t xml:space="preserve">Lead </w:t>
      </w:r>
      <w:r w:rsidR="00510B13">
        <w:rPr>
          <w:rFonts w:cs="Arial"/>
          <w:bCs/>
          <w:snapToGrid w:val="0"/>
          <w:color w:val="000000"/>
        </w:rPr>
        <w:t>m</w:t>
      </w:r>
      <w:r w:rsidRPr="00D8275E">
        <w:rPr>
          <w:rFonts w:cs="Arial"/>
          <w:bCs/>
          <w:snapToGrid w:val="0"/>
          <w:color w:val="000000"/>
        </w:rPr>
        <w:t xml:space="preserve">aternity </w:t>
      </w:r>
      <w:r w:rsidR="00510B13">
        <w:rPr>
          <w:rFonts w:cs="Arial"/>
          <w:bCs/>
          <w:snapToGrid w:val="0"/>
          <w:color w:val="000000"/>
        </w:rPr>
        <w:t>c</w:t>
      </w:r>
      <w:r w:rsidRPr="00D8275E">
        <w:rPr>
          <w:rFonts w:cs="Arial"/>
          <w:bCs/>
          <w:snapToGrid w:val="0"/>
          <w:color w:val="000000"/>
        </w:rPr>
        <w:t xml:space="preserve">arers </w:t>
      </w:r>
      <w:r w:rsidR="00510B13">
        <w:rPr>
          <w:rFonts w:cs="Arial"/>
          <w:bCs/>
          <w:snapToGrid w:val="0"/>
          <w:color w:val="000000"/>
        </w:rPr>
        <w:t xml:space="preserve">(LMCs) </w:t>
      </w:r>
      <w:r w:rsidR="005D6603" w:rsidRPr="00D8275E">
        <w:rPr>
          <w:rFonts w:cs="Arial"/>
          <w:bCs/>
          <w:snapToGrid w:val="0"/>
          <w:color w:val="000000"/>
        </w:rPr>
        <w:t>and DHB Community Midwives</w:t>
      </w:r>
    </w:p>
    <w:p w14:paraId="20B16444" w14:textId="77777777" w:rsidR="005600FE" w:rsidRPr="00D8275E" w:rsidRDefault="005600FE" w:rsidP="00212492">
      <w:pPr>
        <w:pStyle w:val="ListParagraph"/>
        <w:numPr>
          <w:ilvl w:val="0"/>
          <w:numId w:val="15"/>
        </w:numPr>
        <w:spacing w:after="120"/>
        <w:ind w:left="567" w:hanging="567"/>
        <w:jc w:val="left"/>
        <w:rPr>
          <w:rFonts w:cs="Arial"/>
          <w:bCs/>
          <w:snapToGrid w:val="0"/>
          <w:color w:val="000000"/>
        </w:rPr>
      </w:pPr>
      <w:r w:rsidRPr="00D8275E">
        <w:rPr>
          <w:rFonts w:cs="Arial"/>
          <w:bCs/>
          <w:snapToGrid w:val="0"/>
          <w:color w:val="000000"/>
        </w:rPr>
        <w:t>Māori health providers</w:t>
      </w:r>
    </w:p>
    <w:p w14:paraId="50605A6C" w14:textId="3D012B2E" w:rsidR="00E72116" w:rsidRPr="00D8275E" w:rsidRDefault="00E72116" w:rsidP="00212492">
      <w:pPr>
        <w:pStyle w:val="ListParagraph"/>
        <w:numPr>
          <w:ilvl w:val="0"/>
          <w:numId w:val="15"/>
        </w:numPr>
        <w:spacing w:after="120"/>
        <w:ind w:left="567" w:hanging="567"/>
        <w:jc w:val="left"/>
        <w:rPr>
          <w:rFonts w:cs="Arial"/>
          <w:bCs/>
          <w:snapToGrid w:val="0"/>
          <w:color w:val="000000"/>
        </w:rPr>
      </w:pPr>
      <w:r w:rsidRPr="00D8275E">
        <w:rPr>
          <w:rFonts w:cs="Arial"/>
          <w:bCs/>
          <w:snapToGrid w:val="0"/>
          <w:color w:val="000000"/>
        </w:rPr>
        <w:t>Pacific health providers</w:t>
      </w:r>
    </w:p>
    <w:p w14:paraId="1B79B349" w14:textId="70E258AD" w:rsidR="00BA083F" w:rsidRPr="00D8275E" w:rsidRDefault="00E72116" w:rsidP="00212492">
      <w:pPr>
        <w:pStyle w:val="ListParagraph"/>
        <w:numPr>
          <w:ilvl w:val="0"/>
          <w:numId w:val="15"/>
        </w:numPr>
        <w:spacing w:after="120"/>
        <w:ind w:left="567" w:hanging="567"/>
        <w:jc w:val="left"/>
        <w:rPr>
          <w:rFonts w:cs="Arial"/>
          <w:bCs/>
          <w:snapToGrid w:val="0"/>
          <w:color w:val="000000"/>
        </w:rPr>
      </w:pPr>
      <w:r w:rsidRPr="00D8275E">
        <w:rPr>
          <w:rFonts w:cs="Arial"/>
          <w:bCs/>
          <w:snapToGrid w:val="0"/>
          <w:color w:val="000000"/>
        </w:rPr>
        <w:t>non-</w:t>
      </w:r>
      <w:r w:rsidR="00330B69" w:rsidRPr="00D8275E">
        <w:rPr>
          <w:rFonts w:cs="Arial"/>
          <w:bCs/>
          <w:snapToGrid w:val="0"/>
          <w:color w:val="000000"/>
        </w:rPr>
        <w:t>g</w:t>
      </w:r>
      <w:r w:rsidR="00844E72" w:rsidRPr="00D8275E">
        <w:rPr>
          <w:rFonts w:cs="Arial"/>
          <w:bCs/>
          <w:snapToGrid w:val="0"/>
          <w:color w:val="000000"/>
        </w:rPr>
        <w:t xml:space="preserve">overnmental </w:t>
      </w:r>
      <w:r w:rsidRPr="00D8275E">
        <w:rPr>
          <w:rFonts w:cs="Arial"/>
          <w:bCs/>
          <w:snapToGrid w:val="0"/>
          <w:color w:val="000000"/>
        </w:rPr>
        <w:t>organisations</w:t>
      </w:r>
    </w:p>
    <w:p w14:paraId="26DFA707" w14:textId="4F6F2691" w:rsidR="00E72116" w:rsidRPr="00D8275E" w:rsidRDefault="00C37B9A" w:rsidP="00212492">
      <w:pPr>
        <w:pStyle w:val="ListParagraph"/>
        <w:numPr>
          <w:ilvl w:val="0"/>
          <w:numId w:val="15"/>
        </w:numPr>
        <w:spacing w:after="120"/>
        <w:ind w:left="567" w:hanging="567"/>
        <w:jc w:val="left"/>
        <w:rPr>
          <w:rFonts w:cs="Arial"/>
          <w:bCs/>
          <w:snapToGrid w:val="0"/>
          <w:color w:val="000000"/>
        </w:rPr>
      </w:pPr>
      <w:r>
        <w:rPr>
          <w:rFonts w:cs="Arial"/>
          <w:bCs/>
          <w:snapToGrid w:val="0"/>
          <w:color w:val="000000"/>
        </w:rPr>
        <w:t>p</w:t>
      </w:r>
      <w:r w:rsidR="00E72116" w:rsidRPr="00D8275E">
        <w:rPr>
          <w:rFonts w:cs="Arial"/>
          <w:bCs/>
          <w:snapToGrid w:val="0"/>
          <w:color w:val="000000"/>
        </w:rPr>
        <w:t>ublic health programmes</w:t>
      </w:r>
      <w:r>
        <w:rPr>
          <w:rFonts w:cs="Arial"/>
          <w:bCs/>
          <w:snapToGrid w:val="0"/>
          <w:color w:val="000000"/>
        </w:rPr>
        <w:t>.</w:t>
      </w:r>
    </w:p>
    <w:p w14:paraId="6D177129" w14:textId="3670E44D" w:rsidR="007546B5" w:rsidRPr="0019546F" w:rsidRDefault="007546B5" w:rsidP="00C37B9A">
      <w:pPr>
        <w:spacing w:before="120"/>
        <w:jc w:val="left"/>
        <w:rPr>
          <w:rFonts w:cs="Arial"/>
          <w:bCs/>
          <w:i/>
          <w:snapToGrid w:val="0"/>
          <w:color w:val="000000"/>
        </w:rPr>
      </w:pPr>
      <w:r w:rsidRPr="0019546F">
        <w:rPr>
          <w:rFonts w:cs="Arial"/>
          <w:bCs/>
          <w:i/>
          <w:snapToGrid w:val="0"/>
          <w:color w:val="000000"/>
        </w:rPr>
        <w:t>Support services</w:t>
      </w:r>
    </w:p>
    <w:p w14:paraId="375D25E2" w14:textId="77777777" w:rsidR="00CC683C" w:rsidRPr="00D8275E" w:rsidRDefault="007546B5" w:rsidP="00510B13">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 xml:space="preserve">cultural </w:t>
      </w:r>
      <w:r w:rsidR="00E72116" w:rsidRPr="00D8275E">
        <w:rPr>
          <w:rFonts w:cs="Arial"/>
          <w:bCs/>
          <w:snapToGrid w:val="0"/>
          <w:color w:val="000000"/>
        </w:rPr>
        <w:t>support and advocacy services</w:t>
      </w:r>
      <w:r w:rsidRPr="00D8275E">
        <w:rPr>
          <w:rFonts w:cs="Arial"/>
          <w:bCs/>
          <w:snapToGrid w:val="0"/>
          <w:color w:val="000000"/>
        </w:rPr>
        <w:t>,</w:t>
      </w:r>
      <w:r w:rsidRPr="00D8275E">
        <w:rPr>
          <w:rFonts w:cs="Arial"/>
        </w:rPr>
        <w:t xml:space="preserve"> </w:t>
      </w:r>
      <w:r w:rsidRPr="00D8275E">
        <w:rPr>
          <w:rFonts w:cs="Arial"/>
          <w:bCs/>
          <w:snapToGrid w:val="0"/>
          <w:color w:val="000000"/>
        </w:rPr>
        <w:t>as appropriate</w:t>
      </w:r>
    </w:p>
    <w:p w14:paraId="0B832FD6" w14:textId="77777777" w:rsidR="005600FE" w:rsidRPr="00D8275E" w:rsidRDefault="005600FE" w:rsidP="00212492">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M</w:t>
      </w:r>
      <w:r w:rsidR="00147910" w:rsidRPr="00D8275E">
        <w:rPr>
          <w:rFonts w:cs="Arial"/>
          <w:bCs/>
          <w:snapToGrid w:val="0"/>
          <w:color w:val="000000"/>
        </w:rPr>
        <w:t>ā</w:t>
      </w:r>
      <w:r w:rsidRPr="00D8275E">
        <w:rPr>
          <w:rFonts w:cs="Arial"/>
          <w:bCs/>
          <w:snapToGrid w:val="0"/>
          <w:color w:val="000000"/>
        </w:rPr>
        <w:t xml:space="preserve">ori primary and community care services, community health worker services; whānau facilities including </w:t>
      </w:r>
      <w:r w:rsidR="00147910" w:rsidRPr="00D8275E">
        <w:rPr>
          <w:rFonts w:cs="Arial"/>
          <w:bCs/>
          <w:snapToGrid w:val="0"/>
          <w:color w:val="000000"/>
        </w:rPr>
        <w:t>whānau accommodation facilities</w:t>
      </w:r>
    </w:p>
    <w:p w14:paraId="42CEEB53" w14:textId="0D3D2BAF" w:rsidR="00E72116" w:rsidRDefault="00CC683C" w:rsidP="00212492">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other specialist support services, as appropriate.</w:t>
      </w:r>
    </w:p>
    <w:p w14:paraId="64B0432A" w14:textId="0A6BAE66" w:rsidR="00362021" w:rsidRPr="0056482C" w:rsidRDefault="00362021" w:rsidP="00C37B9A">
      <w:pPr>
        <w:spacing w:before="120"/>
        <w:jc w:val="left"/>
        <w:rPr>
          <w:rFonts w:cs="Arial"/>
          <w:bCs/>
          <w:i/>
          <w:iCs/>
          <w:snapToGrid w:val="0"/>
          <w:color w:val="000000"/>
        </w:rPr>
      </w:pPr>
      <w:r w:rsidRPr="0056482C">
        <w:rPr>
          <w:rFonts w:cs="Arial"/>
          <w:bCs/>
          <w:i/>
          <w:iCs/>
          <w:snapToGrid w:val="0"/>
          <w:color w:val="000000"/>
        </w:rPr>
        <w:t>Community residential care and support services, supported living facilities, care and protection residences and youth justice residences for:</w:t>
      </w:r>
    </w:p>
    <w:p w14:paraId="590D975F" w14:textId="77777777" w:rsidR="00362021" w:rsidRPr="0056482C" w:rsidRDefault="00362021" w:rsidP="00510B13">
      <w:pPr>
        <w:pStyle w:val="ListParagraph"/>
        <w:numPr>
          <w:ilvl w:val="0"/>
          <w:numId w:val="15"/>
        </w:numPr>
        <w:spacing w:before="120" w:after="120"/>
        <w:ind w:left="567" w:hanging="567"/>
        <w:jc w:val="left"/>
        <w:rPr>
          <w:rFonts w:cs="Arial"/>
          <w:bCs/>
          <w:snapToGrid w:val="0"/>
          <w:color w:val="000000"/>
        </w:rPr>
      </w:pPr>
      <w:r w:rsidRPr="0056482C">
        <w:rPr>
          <w:rFonts w:cs="Arial"/>
          <w:bCs/>
          <w:snapToGrid w:val="0"/>
          <w:color w:val="000000"/>
        </w:rPr>
        <w:t>older people</w:t>
      </w:r>
    </w:p>
    <w:p w14:paraId="7974EDAD" w14:textId="77777777" w:rsidR="00362021" w:rsidRPr="0056482C" w:rsidRDefault="00362021" w:rsidP="00C37B9A">
      <w:pPr>
        <w:pStyle w:val="ListParagraph"/>
        <w:numPr>
          <w:ilvl w:val="0"/>
          <w:numId w:val="15"/>
        </w:numPr>
        <w:spacing w:before="120" w:after="120"/>
        <w:ind w:left="567" w:hanging="567"/>
        <w:jc w:val="left"/>
        <w:rPr>
          <w:rFonts w:cs="Arial"/>
          <w:bCs/>
          <w:snapToGrid w:val="0"/>
          <w:color w:val="000000"/>
        </w:rPr>
      </w:pPr>
      <w:r w:rsidRPr="0056482C">
        <w:rPr>
          <w:rFonts w:cs="Arial"/>
          <w:bCs/>
          <w:snapToGrid w:val="0"/>
          <w:color w:val="000000"/>
        </w:rPr>
        <w:t>disabled people</w:t>
      </w:r>
    </w:p>
    <w:p w14:paraId="15CF01B5" w14:textId="77777777" w:rsidR="00362021" w:rsidRPr="0056482C" w:rsidRDefault="00362021" w:rsidP="00C37B9A">
      <w:pPr>
        <w:pStyle w:val="ListParagraph"/>
        <w:numPr>
          <w:ilvl w:val="0"/>
          <w:numId w:val="15"/>
        </w:numPr>
        <w:spacing w:before="120" w:after="120"/>
        <w:ind w:left="567" w:hanging="567"/>
        <w:jc w:val="left"/>
        <w:rPr>
          <w:rFonts w:cs="Arial"/>
          <w:bCs/>
          <w:snapToGrid w:val="0"/>
          <w:color w:val="000000"/>
        </w:rPr>
      </w:pPr>
      <w:r w:rsidRPr="0056482C">
        <w:rPr>
          <w:rFonts w:cs="Arial"/>
          <w:bCs/>
          <w:snapToGrid w:val="0"/>
          <w:color w:val="000000"/>
        </w:rPr>
        <w:t>mental health and addiction service users</w:t>
      </w:r>
    </w:p>
    <w:p w14:paraId="418139F8" w14:textId="77777777" w:rsidR="00362021" w:rsidRPr="0056482C" w:rsidRDefault="00362021" w:rsidP="00C37B9A">
      <w:pPr>
        <w:pStyle w:val="ListParagraph"/>
        <w:numPr>
          <w:ilvl w:val="0"/>
          <w:numId w:val="15"/>
        </w:numPr>
        <w:spacing w:before="120" w:after="120"/>
        <w:ind w:left="567" w:hanging="567"/>
        <w:jc w:val="left"/>
        <w:rPr>
          <w:rFonts w:cs="Arial"/>
          <w:bCs/>
          <w:snapToGrid w:val="0"/>
          <w:color w:val="000000"/>
        </w:rPr>
      </w:pPr>
      <w:r w:rsidRPr="0056482C">
        <w:rPr>
          <w:rFonts w:cs="Arial"/>
          <w:bCs/>
          <w:snapToGrid w:val="0"/>
          <w:color w:val="000000"/>
        </w:rPr>
        <w:t xml:space="preserve">young people under the care of the Ministry of Social Development, </w:t>
      </w:r>
      <w:proofErr w:type="spellStart"/>
      <w:r w:rsidRPr="0056482C">
        <w:rPr>
          <w:rFonts w:cs="Arial"/>
          <w:bCs/>
          <w:snapToGrid w:val="0"/>
          <w:color w:val="000000"/>
        </w:rPr>
        <w:t>Oranga</w:t>
      </w:r>
      <w:proofErr w:type="spellEnd"/>
      <w:r w:rsidRPr="0056482C">
        <w:rPr>
          <w:rFonts w:cs="Arial"/>
          <w:bCs/>
          <w:snapToGrid w:val="0"/>
          <w:color w:val="000000"/>
        </w:rPr>
        <w:t xml:space="preserve"> Tamariki, or the Department of Corrections.</w:t>
      </w:r>
    </w:p>
    <w:p w14:paraId="50770D1A" w14:textId="561DFD32" w:rsidR="00E72116" w:rsidRPr="0019546F" w:rsidRDefault="00E72116" w:rsidP="00C37B9A">
      <w:pPr>
        <w:spacing w:before="120"/>
        <w:jc w:val="left"/>
        <w:rPr>
          <w:rFonts w:cs="Arial"/>
          <w:bCs/>
          <w:i/>
          <w:snapToGrid w:val="0"/>
          <w:color w:val="000000"/>
        </w:rPr>
      </w:pPr>
      <w:r w:rsidRPr="0019546F">
        <w:rPr>
          <w:rFonts w:cs="Arial"/>
          <w:bCs/>
          <w:i/>
          <w:snapToGrid w:val="0"/>
          <w:color w:val="000000"/>
        </w:rPr>
        <w:t>Education services</w:t>
      </w:r>
    </w:p>
    <w:p w14:paraId="023E7165" w14:textId="31608EF4" w:rsidR="00E72116" w:rsidRPr="00D8275E" w:rsidRDefault="00E72116" w:rsidP="00C37B9A">
      <w:pPr>
        <w:pStyle w:val="ListParagraph"/>
        <w:numPr>
          <w:ilvl w:val="0"/>
          <w:numId w:val="15"/>
        </w:numPr>
        <w:spacing w:after="120"/>
        <w:ind w:left="567" w:hanging="567"/>
        <w:jc w:val="left"/>
        <w:rPr>
          <w:rFonts w:cs="Arial"/>
          <w:bCs/>
          <w:snapToGrid w:val="0"/>
          <w:color w:val="000000"/>
        </w:rPr>
      </w:pPr>
      <w:r w:rsidRPr="00D8275E">
        <w:rPr>
          <w:rFonts w:cs="Arial"/>
          <w:bCs/>
          <w:snapToGrid w:val="0"/>
          <w:color w:val="000000"/>
        </w:rPr>
        <w:t>Schools and pre-schools including kindergartens</w:t>
      </w:r>
      <w:r w:rsidR="00844E72" w:rsidRPr="00D8275E">
        <w:rPr>
          <w:rFonts w:cs="Arial"/>
          <w:bCs/>
          <w:snapToGrid w:val="0"/>
          <w:color w:val="000000"/>
        </w:rPr>
        <w:t>,</w:t>
      </w:r>
      <w:r w:rsidRPr="00D8275E">
        <w:rPr>
          <w:rFonts w:cs="Arial"/>
          <w:bCs/>
          <w:snapToGrid w:val="0"/>
          <w:color w:val="000000"/>
        </w:rPr>
        <w:t xml:space="preserve"> Ear</w:t>
      </w:r>
      <w:r w:rsidR="00FE2977" w:rsidRPr="00D8275E">
        <w:rPr>
          <w:rFonts w:cs="Arial"/>
          <w:bCs/>
          <w:snapToGrid w:val="0"/>
          <w:color w:val="000000"/>
        </w:rPr>
        <w:t>ly Childhood Education Centres</w:t>
      </w:r>
      <w:r w:rsidR="00844E72" w:rsidRPr="00D8275E">
        <w:rPr>
          <w:rFonts w:cs="Arial"/>
          <w:bCs/>
          <w:snapToGrid w:val="0"/>
          <w:color w:val="000000"/>
        </w:rPr>
        <w:t xml:space="preserve">, </w:t>
      </w:r>
      <w:proofErr w:type="spellStart"/>
      <w:r w:rsidR="00844E72" w:rsidRPr="00D8275E">
        <w:rPr>
          <w:rFonts w:cs="Arial"/>
          <w:bCs/>
          <w:snapToGrid w:val="0"/>
          <w:color w:val="000000"/>
        </w:rPr>
        <w:t>kohanga</w:t>
      </w:r>
      <w:proofErr w:type="spellEnd"/>
      <w:r w:rsidR="00844E72" w:rsidRPr="00D8275E">
        <w:rPr>
          <w:rFonts w:cs="Arial"/>
          <w:bCs/>
          <w:snapToGrid w:val="0"/>
          <w:color w:val="000000"/>
        </w:rPr>
        <w:t xml:space="preserve"> </w:t>
      </w:r>
      <w:proofErr w:type="spellStart"/>
      <w:r w:rsidR="00844E72" w:rsidRPr="00D8275E">
        <w:rPr>
          <w:rFonts w:cs="Arial"/>
          <w:bCs/>
          <w:snapToGrid w:val="0"/>
          <w:color w:val="000000"/>
        </w:rPr>
        <w:t>reo</w:t>
      </w:r>
      <w:proofErr w:type="spellEnd"/>
      <w:r w:rsidR="00844E72" w:rsidRPr="00D8275E">
        <w:rPr>
          <w:rFonts w:cs="Arial"/>
          <w:bCs/>
          <w:snapToGrid w:val="0"/>
          <w:color w:val="000000"/>
        </w:rPr>
        <w:t xml:space="preserve">, </w:t>
      </w:r>
      <w:proofErr w:type="spellStart"/>
      <w:r w:rsidR="00844E72" w:rsidRPr="00D8275E">
        <w:rPr>
          <w:rFonts w:cs="Arial"/>
          <w:bCs/>
          <w:snapToGrid w:val="0"/>
          <w:color w:val="000000"/>
        </w:rPr>
        <w:t>kura</w:t>
      </w:r>
      <w:proofErr w:type="spellEnd"/>
      <w:r w:rsidR="00844E72" w:rsidRPr="00D8275E">
        <w:rPr>
          <w:rFonts w:cs="Arial"/>
          <w:bCs/>
          <w:snapToGrid w:val="0"/>
          <w:color w:val="000000"/>
        </w:rPr>
        <w:t xml:space="preserve"> </w:t>
      </w:r>
      <w:proofErr w:type="spellStart"/>
      <w:r w:rsidR="00844E72" w:rsidRPr="00D8275E">
        <w:rPr>
          <w:rFonts w:cs="Arial"/>
          <w:bCs/>
          <w:snapToGrid w:val="0"/>
          <w:color w:val="000000"/>
        </w:rPr>
        <w:t>kaupapa</w:t>
      </w:r>
      <w:proofErr w:type="spellEnd"/>
      <w:r w:rsidR="000759E3">
        <w:rPr>
          <w:rFonts w:cs="Arial"/>
          <w:bCs/>
          <w:snapToGrid w:val="0"/>
          <w:color w:val="000000"/>
        </w:rPr>
        <w:t xml:space="preserve"> Māori</w:t>
      </w:r>
      <w:r w:rsidR="00844E72" w:rsidRPr="00D8275E">
        <w:rPr>
          <w:rFonts w:cs="Arial"/>
          <w:bCs/>
          <w:snapToGrid w:val="0"/>
          <w:color w:val="000000"/>
        </w:rPr>
        <w:t xml:space="preserve">, </w:t>
      </w:r>
      <w:proofErr w:type="spellStart"/>
      <w:r w:rsidR="00844E72" w:rsidRPr="00D8275E">
        <w:rPr>
          <w:rFonts w:cs="Arial"/>
          <w:bCs/>
          <w:snapToGrid w:val="0"/>
          <w:color w:val="000000"/>
        </w:rPr>
        <w:t>puna</w:t>
      </w:r>
      <w:proofErr w:type="spellEnd"/>
      <w:r w:rsidR="00844E72" w:rsidRPr="00D8275E">
        <w:rPr>
          <w:rFonts w:cs="Arial"/>
          <w:bCs/>
          <w:snapToGrid w:val="0"/>
          <w:color w:val="000000"/>
        </w:rPr>
        <w:t xml:space="preserve"> </w:t>
      </w:r>
      <w:proofErr w:type="spellStart"/>
      <w:r w:rsidR="00844E72" w:rsidRPr="00D8275E">
        <w:rPr>
          <w:rFonts w:cs="Arial"/>
          <w:bCs/>
          <w:snapToGrid w:val="0"/>
          <w:color w:val="000000"/>
        </w:rPr>
        <w:t>reo</w:t>
      </w:r>
      <w:proofErr w:type="spellEnd"/>
      <w:r w:rsidR="000759E3">
        <w:rPr>
          <w:rFonts w:cs="Arial"/>
          <w:bCs/>
          <w:snapToGrid w:val="0"/>
          <w:color w:val="000000"/>
        </w:rPr>
        <w:t xml:space="preserve">, </w:t>
      </w:r>
      <w:r w:rsidR="00844E72" w:rsidRPr="00D8275E">
        <w:rPr>
          <w:rFonts w:cs="Arial"/>
          <w:bCs/>
          <w:snapToGrid w:val="0"/>
          <w:color w:val="000000"/>
        </w:rPr>
        <w:t>Pacific language nests</w:t>
      </w:r>
      <w:r w:rsidR="000759E3">
        <w:rPr>
          <w:rFonts w:cs="Arial"/>
          <w:bCs/>
          <w:snapToGrid w:val="0"/>
          <w:color w:val="000000"/>
        </w:rPr>
        <w:t xml:space="preserve"> and other alternative education providers</w:t>
      </w:r>
      <w:r w:rsidR="00FE2977" w:rsidRPr="00D8275E">
        <w:rPr>
          <w:rFonts w:cs="Arial"/>
          <w:bCs/>
          <w:snapToGrid w:val="0"/>
          <w:color w:val="000000"/>
        </w:rPr>
        <w:t>.</w:t>
      </w:r>
    </w:p>
    <w:p w14:paraId="3090E617" w14:textId="6C326BB7" w:rsidR="007546B5" w:rsidRPr="0019546F" w:rsidRDefault="007546B5" w:rsidP="00C37B9A">
      <w:pPr>
        <w:spacing w:before="120"/>
        <w:jc w:val="left"/>
        <w:rPr>
          <w:rFonts w:cs="Arial"/>
          <w:bCs/>
          <w:i/>
          <w:snapToGrid w:val="0"/>
          <w:color w:val="000000"/>
        </w:rPr>
      </w:pPr>
      <w:r w:rsidRPr="0019546F">
        <w:rPr>
          <w:rFonts w:cs="Arial"/>
          <w:bCs/>
          <w:i/>
          <w:snapToGrid w:val="0"/>
          <w:color w:val="000000"/>
        </w:rPr>
        <w:t>Government</w:t>
      </w:r>
    </w:p>
    <w:p w14:paraId="41D7D540" w14:textId="77777777" w:rsidR="00E72116" w:rsidRPr="00D8275E" w:rsidRDefault="00E72116" w:rsidP="00C37B9A">
      <w:pPr>
        <w:pStyle w:val="ListParagraph"/>
        <w:numPr>
          <w:ilvl w:val="0"/>
          <w:numId w:val="15"/>
        </w:numPr>
        <w:spacing w:after="120"/>
        <w:ind w:left="567" w:hanging="567"/>
        <w:jc w:val="left"/>
        <w:rPr>
          <w:rFonts w:cs="Arial"/>
          <w:bCs/>
          <w:snapToGrid w:val="0"/>
          <w:color w:val="000000"/>
        </w:rPr>
      </w:pPr>
      <w:r w:rsidRPr="00D8275E">
        <w:rPr>
          <w:rFonts w:cs="Arial"/>
          <w:bCs/>
          <w:snapToGrid w:val="0"/>
          <w:color w:val="000000"/>
        </w:rPr>
        <w:t>Ministry of Education</w:t>
      </w:r>
    </w:p>
    <w:p w14:paraId="101CE161" w14:textId="77777777" w:rsidR="00E72116" w:rsidRPr="00D8275E" w:rsidRDefault="00E72116" w:rsidP="00C37B9A">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Work and Income</w:t>
      </w:r>
    </w:p>
    <w:p w14:paraId="55D5DDA0" w14:textId="7EE06679" w:rsidR="00844E72" w:rsidRPr="00D8275E" w:rsidRDefault="00BB0FAB" w:rsidP="00C37B9A">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 xml:space="preserve">Ministry </w:t>
      </w:r>
      <w:r w:rsidR="00844E72" w:rsidRPr="00D8275E">
        <w:rPr>
          <w:rFonts w:cs="Arial"/>
          <w:bCs/>
          <w:snapToGrid w:val="0"/>
          <w:color w:val="000000"/>
        </w:rPr>
        <w:t>of Justice</w:t>
      </w:r>
    </w:p>
    <w:p w14:paraId="6620C1D6" w14:textId="5DD60EB5" w:rsidR="00095743" w:rsidRPr="00D8275E" w:rsidRDefault="00095743" w:rsidP="00C37B9A">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Ministry of Social Development</w:t>
      </w:r>
    </w:p>
    <w:p w14:paraId="08A4376B" w14:textId="2234EA71" w:rsidR="00844E72" w:rsidRDefault="00844E72" w:rsidP="00C37B9A">
      <w:pPr>
        <w:pStyle w:val="ListParagraph"/>
        <w:numPr>
          <w:ilvl w:val="0"/>
          <w:numId w:val="15"/>
        </w:numPr>
        <w:spacing w:before="120" w:after="120"/>
        <w:ind w:left="567" w:hanging="567"/>
        <w:jc w:val="left"/>
        <w:rPr>
          <w:rFonts w:cs="Arial"/>
          <w:bCs/>
          <w:snapToGrid w:val="0"/>
          <w:color w:val="000000"/>
        </w:rPr>
      </w:pPr>
      <w:r w:rsidRPr="00D8275E">
        <w:rPr>
          <w:rFonts w:cs="Arial"/>
          <w:bCs/>
          <w:snapToGrid w:val="0"/>
          <w:color w:val="000000"/>
        </w:rPr>
        <w:t>Department of Corrections</w:t>
      </w:r>
      <w:bookmarkStart w:id="5" w:name="_GoBack"/>
      <w:bookmarkEnd w:id="5"/>
    </w:p>
    <w:p w14:paraId="6312B5E8" w14:textId="783A356B" w:rsidR="00212492" w:rsidRDefault="00212492" w:rsidP="00C37B9A">
      <w:pPr>
        <w:pStyle w:val="ListParagraph"/>
        <w:numPr>
          <w:ilvl w:val="0"/>
          <w:numId w:val="15"/>
        </w:numPr>
        <w:spacing w:before="120" w:after="120"/>
        <w:ind w:left="567" w:hanging="567"/>
        <w:jc w:val="left"/>
        <w:rPr>
          <w:rFonts w:cs="Arial"/>
          <w:bCs/>
          <w:snapToGrid w:val="0"/>
          <w:color w:val="000000"/>
        </w:rPr>
      </w:pPr>
      <w:proofErr w:type="spellStart"/>
      <w:r w:rsidRPr="00212492">
        <w:rPr>
          <w:rFonts w:cs="Arial"/>
          <w:bCs/>
          <w:snapToGrid w:val="0"/>
          <w:color w:val="000000"/>
        </w:rPr>
        <w:t>Oranga</w:t>
      </w:r>
      <w:proofErr w:type="spellEnd"/>
      <w:r w:rsidRPr="00212492">
        <w:rPr>
          <w:rFonts w:cs="Arial"/>
          <w:bCs/>
          <w:snapToGrid w:val="0"/>
          <w:color w:val="000000"/>
        </w:rPr>
        <w:t xml:space="preserve"> Tamariki</w:t>
      </w:r>
    </w:p>
    <w:p w14:paraId="6C202FFF" w14:textId="05450753" w:rsidR="00212492" w:rsidRPr="00D8275E" w:rsidRDefault="00212492" w:rsidP="00C37B9A">
      <w:pPr>
        <w:pStyle w:val="ListParagraph"/>
        <w:numPr>
          <w:ilvl w:val="0"/>
          <w:numId w:val="15"/>
        </w:numPr>
        <w:spacing w:before="120" w:after="120"/>
        <w:ind w:left="567" w:hanging="567"/>
        <w:jc w:val="left"/>
        <w:rPr>
          <w:rFonts w:cs="Arial"/>
          <w:bCs/>
          <w:snapToGrid w:val="0"/>
          <w:color w:val="000000"/>
        </w:rPr>
      </w:pPr>
      <w:r w:rsidRPr="00212492">
        <w:rPr>
          <w:rFonts w:cs="Arial"/>
          <w:bCs/>
          <w:snapToGrid w:val="0"/>
          <w:color w:val="000000"/>
        </w:rPr>
        <w:t>Ministry of Social Development</w:t>
      </w:r>
      <w:r>
        <w:rPr>
          <w:rFonts w:cs="Arial"/>
          <w:bCs/>
          <w:snapToGrid w:val="0"/>
          <w:color w:val="000000"/>
        </w:rPr>
        <w:t>.</w:t>
      </w:r>
    </w:p>
    <w:p w14:paraId="1EEEB3C1" w14:textId="77777777" w:rsidR="00B1013B" w:rsidRPr="0019546F" w:rsidRDefault="00B1013B" w:rsidP="000F25C9">
      <w:pPr>
        <w:pStyle w:val="Heading1"/>
      </w:pPr>
      <w:r w:rsidRPr="0019546F">
        <w:t>Quality Requirements</w:t>
      </w:r>
    </w:p>
    <w:p w14:paraId="4672A936" w14:textId="01C83C4D" w:rsidR="00B1013B" w:rsidRPr="0019546F" w:rsidRDefault="00B1013B" w:rsidP="002E3B63">
      <w:pPr>
        <w:pStyle w:val="Heading2"/>
      </w:pPr>
      <w:r w:rsidRPr="0019546F">
        <w:t>General</w:t>
      </w:r>
    </w:p>
    <w:p w14:paraId="37D25C00" w14:textId="0BB9843B" w:rsidR="00B1013B" w:rsidRPr="0019546F" w:rsidRDefault="00B1013B" w:rsidP="00072D12">
      <w:pPr>
        <w:spacing w:before="120"/>
        <w:ind w:right="-57"/>
        <w:jc w:val="left"/>
        <w:rPr>
          <w:rFonts w:cs="Arial"/>
        </w:rPr>
      </w:pPr>
      <w:r w:rsidRPr="0019546F">
        <w:rPr>
          <w:rFonts w:cs="Arial"/>
        </w:rPr>
        <w:t>Service</w:t>
      </w:r>
      <w:r w:rsidR="00AC1C98">
        <w:rPr>
          <w:rFonts w:cs="Arial"/>
        </w:rPr>
        <w:t xml:space="preserve"> providers</w:t>
      </w:r>
      <w:r w:rsidRPr="0019546F">
        <w:rPr>
          <w:rFonts w:cs="Arial"/>
        </w:rPr>
        <w:t xml:space="preserve"> must comply with the Provider Quality Specifications described in the Operational Policy Framework</w:t>
      </w:r>
      <w:r w:rsidR="00143460" w:rsidRPr="0019546F">
        <w:rPr>
          <w:rFonts w:cs="Arial"/>
        </w:rPr>
        <w:t xml:space="preserve"> (OPF)</w:t>
      </w:r>
      <w:r w:rsidRPr="0019546F">
        <w:rPr>
          <w:rStyle w:val="FootnoteReference"/>
          <w:rFonts w:cs="Arial"/>
        </w:rPr>
        <w:footnoteReference w:id="5"/>
      </w:r>
      <w:r w:rsidRPr="0019546F">
        <w:rPr>
          <w:rFonts w:cs="Arial"/>
        </w:rPr>
        <w:t xml:space="preserve"> or, as applicable, Crown Funding Agreement</w:t>
      </w:r>
      <w:r w:rsidR="0047005B">
        <w:rPr>
          <w:rFonts w:cs="Arial"/>
        </w:rPr>
        <w:t xml:space="preserve"> variations</w:t>
      </w:r>
      <w:r w:rsidRPr="0019546F">
        <w:rPr>
          <w:rFonts w:cs="Arial"/>
        </w:rPr>
        <w:t xml:space="preserve">, contracts or service level agreements. </w:t>
      </w:r>
    </w:p>
    <w:p w14:paraId="1C204E9C" w14:textId="77777777" w:rsidR="00B1013B" w:rsidRPr="0019546F" w:rsidRDefault="00E26736" w:rsidP="00072D12">
      <w:pPr>
        <w:spacing w:before="120"/>
        <w:ind w:right="-57"/>
        <w:jc w:val="left"/>
        <w:rPr>
          <w:rFonts w:cs="Arial"/>
        </w:rPr>
      </w:pPr>
      <w:r w:rsidRPr="0019546F">
        <w:rPr>
          <w:rFonts w:cs="Arial"/>
          <w:lang w:val="en-US"/>
        </w:rPr>
        <w:t xml:space="preserve">The </w:t>
      </w:r>
      <w:r w:rsidR="00B1013B" w:rsidRPr="0019546F">
        <w:rPr>
          <w:rFonts w:cs="Arial"/>
          <w:lang w:val="en-US"/>
        </w:rPr>
        <w:t>Service</w:t>
      </w:r>
      <w:r w:rsidR="00921084" w:rsidRPr="0019546F">
        <w:rPr>
          <w:rFonts w:cs="Arial"/>
          <w:lang w:val="en-US"/>
        </w:rPr>
        <w:t>s</w:t>
      </w:r>
      <w:r w:rsidR="00B1013B" w:rsidRPr="0019546F">
        <w:rPr>
          <w:rFonts w:cs="Arial"/>
          <w:lang w:val="en-US"/>
        </w:rPr>
        <w:t xml:space="preserve"> </w:t>
      </w:r>
      <w:r w:rsidR="00143460" w:rsidRPr="0019546F">
        <w:rPr>
          <w:rFonts w:cs="Arial"/>
          <w:lang w:val="en-US"/>
        </w:rPr>
        <w:t xml:space="preserve">will </w:t>
      </w:r>
      <w:r w:rsidR="00B1013B" w:rsidRPr="0019546F">
        <w:rPr>
          <w:rFonts w:cs="Arial"/>
          <w:lang w:val="en-US"/>
        </w:rPr>
        <w:t>be delivered in full compliance with relevant legislation including:</w:t>
      </w:r>
    </w:p>
    <w:p w14:paraId="42E1DD2F" w14:textId="064CCDDB" w:rsidR="00095743" w:rsidRPr="0019546F" w:rsidRDefault="00095743" w:rsidP="00510B13">
      <w:pPr>
        <w:numPr>
          <w:ilvl w:val="0"/>
          <w:numId w:val="16"/>
        </w:numPr>
        <w:spacing w:before="120"/>
        <w:ind w:left="567" w:right="-57" w:hanging="567"/>
        <w:jc w:val="left"/>
        <w:rPr>
          <w:rFonts w:cs="Arial"/>
        </w:rPr>
      </w:pPr>
      <w:r w:rsidRPr="0019546F">
        <w:rPr>
          <w:rFonts w:cs="Arial"/>
        </w:rPr>
        <w:t>Privacy Act 1993</w:t>
      </w:r>
    </w:p>
    <w:p w14:paraId="4B82077A" w14:textId="20C58D08" w:rsidR="00095743" w:rsidRPr="0019546F" w:rsidRDefault="00095743" w:rsidP="00212492">
      <w:pPr>
        <w:numPr>
          <w:ilvl w:val="0"/>
          <w:numId w:val="16"/>
        </w:numPr>
        <w:ind w:left="567" w:right="-57" w:hanging="567"/>
        <w:jc w:val="left"/>
        <w:rPr>
          <w:rFonts w:cs="Arial"/>
        </w:rPr>
      </w:pPr>
      <w:r w:rsidRPr="0019546F">
        <w:rPr>
          <w:rFonts w:cs="Arial"/>
        </w:rPr>
        <w:t>Health and Disability Commissioner Act 1994</w:t>
      </w:r>
    </w:p>
    <w:p w14:paraId="1E746BA6" w14:textId="595F94F2" w:rsidR="00B1013B" w:rsidRPr="0019546F" w:rsidRDefault="00B1013B" w:rsidP="00212492">
      <w:pPr>
        <w:numPr>
          <w:ilvl w:val="0"/>
          <w:numId w:val="16"/>
        </w:numPr>
        <w:ind w:left="567" w:right="-57" w:hanging="567"/>
        <w:jc w:val="left"/>
        <w:rPr>
          <w:rFonts w:cs="Arial"/>
        </w:rPr>
      </w:pPr>
      <w:r w:rsidRPr="0019546F">
        <w:rPr>
          <w:rFonts w:cs="Arial"/>
        </w:rPr>
        <w:t>New Zealand Public Health and Disability Act 2000</w:t>
      </w:r>
    </w:p>
    <w:p w14:paraId="735282E3" w14:textId="77777777" w:rsidR="00B1013B" w:rsidRPr="0019546F" w:rsidRDefault="00B1013B" w:rsidP="00212492">
      <w:pPr>
        <w:numPr>
          <w:ilvl w:val="0"/>
          <w:numId w:val="16"/>
        </w:numPr>
        <w:ind w:left="567" w:right="-57" w:hanging="567"/>
        <w:jc w:val="left"/>
        <w:rPr>
          <w:rFonts w:cs="Arial"/>
        </w:rPr>
      </w:pPr>
      <w:r w:rsidRPr="0019546F">
        <w:rPr>
          <w:rFonts w:cs="Arial"/>
        </w:rPr>
        <w:t>Health and Disability Services (Safety) Act 2001</w:t>
      </w:r>
    </w:p>
    <w:p w14:paraId="3F743886" w14:textId="77777777" w:rsidR="00145158" w:rsidRPr="0019546F" w:rsidRDefault="00B1013B" w:rsidP="00212492">
      <w:pPr>
        <w:numPr>
          <w:ilvl w:val="0"/>
          <w:numId w:val="16"/>
        </w:numPr>
        <w:ind w:left="567" w:right="-57" w:hanging="567"/>
        <w:jc w:val="left"/>
        <w:rPr>
          <w:rFonts w:cs="Arial"/>
        </w:rPr>
      </w:pPr>
      <w:r w:rsidRPr="0019546F">
        <w:rPr>
          <w:rFonts w:cs="Arial"/>
        </w:rPr>
        <w:t>Health Practitioners Competence Assurance Act 2003</w:t>
      </w:r>
    </w:p>
    <w:p w14:paraId="68A94278" w14:textId="4A4E1151" w:rsidR="00B1013B" w:rsidRPr="0019546F" w:rsidRDefault="003E40EF" w:rsidP="00212492">
      <w:pPr>
        <w:numPr>
          <w:ilvl w:val="0"/>
          <w:numId w:val="16"/>
        </w:numPr>
        <w:ind w:left="567" w:right="-57" w:hanging="567"/>
        <w:jc w:val="left"/>
        <w:rPr>
          <w:rFonts w:cs="Arial"/>
        </w:rPr>
      </w:pPr>
      <w:r w:rsidRPr="0019546F">
        <w:rPr>
          <w:rFonts w:cs="Arial"/>
        </w:rPr>
        <w:t>Children</w:t>
      </w:r>
      <w:r w:rsidR="00D904CE" w:rsidRPr="0019546F">
        <w:rPr>
          <w:rFonts w:cs="Arial"/>
        </w:rPr>
        <w:t>’s</w:t>
      </w:r>
      <w:r w:rsidRPr="0019546F">
        <w:rPr>
          <w:rFonts w:cs="Arial"/>
        </w:rPr>
        <w:t xml:space="preserve"> Act 2014</w:t>
      </w:r>
      <w:r w:rsidR="004D0753" w:rsidRPr="0019546F">
        <w:rPr>
          <w:rFonts w:cs="Arial"/>
        </w:rPr>
        <w:t>.</w:t>
      </w:r>
    </w:p>
    <w:p w14:paraId="4067F4F9" w14:textId="3C1633ED" w:rsidR="00B1013B" w:rsidRPr="0019546F" w:rsidRDefault="008B2B0B" w:rsidP="00072D12">
      <w:pPr>
        <w:spacing w:before="120"/>
        <w:ind w:right="-57"/>
        <w:jc w:val="left"/>
        <w:rPr>
          <w:rFonts w:cs="Arial"/>
        </w:rPr>
      </w:pPr>
      <w:r w:rsidRPr="00D97A80">
        <w:rPr>
          <w:rFonts w:cs="Arial"/>
        </w:rPr>
        <w:t>Service providers</w:t>
      </w:r>
      <w:r w:rsidR="00143460" w:rsidRPr="00D97A80">
        <w:rPr>
          <w:rFonts w:cs="Arial"/>
        </w:rPr>
        <w:t xml:space="preserve"> must</w:t>
      </w:r>
      <w:r w:rsidR="00B1013B" w:rsidRPr="00D97A80">
        <w:rPr>
          <w:rFonts w:cs="Arial"/>
        </w:rPr>
        <w:t xml:space="preserve"> comply with current professional standards of the Dental Council,</w:t>
      </w:r>
      <w:r w:rsidR="00B1013B" w:rsidRPr="00D97A80">
        <w:rPr>
          <w:rFonts w:cs="Arial"/>
          <w:lang w:val="en-US"/>
        </w:rPr>
        <w:t xml:space="preserve"> the </w:t>
      </w:r>
      <w:r w:rsidR="00B1013B" w:rsidRPr="00D97A80">
        <w:rPr>
          <w:rFonts w:cs="Arial"/>
        </w:rPr>
        <w:t>Code of Health and Disability Services Consumers</w:t>
      </w:r>
      <w:r w:rsidR="005D24C4">
        <w:rPr>
          <w:rFonts w:cs="Arial"/>
        </w:rPr>
        <w:t>’</w:t>
      </w:r>
      <w:r w:rsidR="00B1013B" w:rsidRPr="00D97A80">
        <w:rPr>
          <w:rFonts w:cs="Arial"/>
        </w:rPr>
        <w:t xml:space="preserve"> Rights, the Health Information Privacy Code</w:t>
      </w:r>
      <w:r w:rsidR="00457D4A" w:rsidRPr="00D97A80">
        <w:rPr>
          <w:rFonts w:cs="Arial"/>
        </w:rPr>
        <w:t xml:space="preserve">, </w:t>
      </w:r>
      <w:r w:rsidR="006D2ADD" w:rsidRPr="00D97A80">
        <w:rPr>
          <w:rFonts w:cs="Arial"/>
        </w:rPr>
        <w:t xml:space="preserve">any relevant </w:t>
      </w:r>
      <w:r w:rsidR="00457D4A" w:rsidRPr="00D97A80">
        <w:rPr>
          <w:rFonts w:cs="Arial"/>
        </w:rPr>
        <w:t xml:space="preserve">health and </w:t>
      </w:r>
      <w:r w:rsidR="00FA745E" w:rsidRPr="00D97A80">
        <w:rPr>
          <w:rFonts w:cs="Arial"/>
        </w:rPr>
        <w:t>safety standards and</w:t>
      </w:r>
      <w:r w:rsidR="006462A9" w:rsidRPr="00D97A80">
        <w:rPr>
          <w:rFonts w:cs="Arial"/>
        </w:rPr>
        <w:t>,</w:t>
      </w:r>
      <w:r w:rsidR="006D2ADD" w:rsidRPr="00D97A80">
        <w:rPr>
          <w:rFonts w:cs="Arial"/>
        </w:rPr>
        <w:t xml:space="preserve"> where appropriate</w:t>
      </w:r>
      <w:r w:rsidR="006462A9" w:rsidRPr="00D97A80">
        <w:rPr>
          <w:rFonts w:cs="Arial"/>
        </w:rPr>
        <w:t>,</w:t>
      </w:r>
      <w:r w:rsidR="00FA745E" w:rsidRPr="00D97A80">
        <w:rPr>
          <w:rFonts w:cs="Arial"/>
        </w:rPr>
        <w:t xml:space="preserve"> the Health and Disability Services Standard</w:t>
      </w:r>
      <w:r w:rsidR="00AF6B18" w:rsidRPr="00D97A80">
        <w:rPr>
          <w:rFonts w:cs="Arial"/>
        </w:rPr>
        <w:t xml:space="preserve"> or other relevant </w:t>
      </w:r>
      <w:r w:rsidR="006D4847" w:rsidRPr="00D97A80">
        <w:rPr>
          <w:rFonts w:cs="Arial"/>
        </w:rPr>
        <w:t>New Zealand</w:t>
      </w:r>
      <w:r w:rsidR="001335C4" w:rsidRPr="00D97A80">
        <w:rPr>
          <w:rFonts w:cs="Arial"/>
        </w:rPr>
        <w:t>/joint Australia/New Zealand or international standard</w:t>
      </w:r>
      <w:r w:rsidR="00B1013B" w:rsidRPr="00D97A80">
        <w:rPr>
          <w:rFonts w:cs="Arial"/>
        </w:rPr>
        <w:t>.</w:t>
      </w:r>
    </w:p>
    <w:p w14:paraId="6F2DC634" w14:textId="2FF16731" w:rsidR="00B1013B" w:rsidRPr="0019546F" w:rsidRDefault="008B2B0B" w:rsidP="00072D12">
      <w:pPr>
        <w:spacing w:before="120"/>
        <w:ind w:right="-57"/>
        <w:jc w:val="left"/>
        <w:rPr>
          <w:rFonts w:cs="Arial"/>
        </w:rPr>
      </w:pPr>
      <w:r>
        <w:rPr>
          <w:rFonts w:cs="Arial"/>
        </w:rPr>
        <w:t>Service providers</w:t>
      </w:r>
      <w:r w:rsidR="00B1013B" w:rsidRPr="00C24D2C">
        <w:rPr>
          <w:rFonts w:cs="Arial"/>
        </w:rPr>
        <w:t xml:space="preserve"> will implement and monitor quality improvement processes and clinical audit activities relevant to their service. Reporting on these activities will be provided to the DHB funding the Service</w:t>
      </w:r>
      <w:r w:rsidR="009B454D" w:rsidRPr="00C24D2C">
        <w:rPr>
          <w:rFonts w:cs="Arial"/>
        </w:rPr>
        <w:t>s</w:t>
      </w:r>
      <w:r w:rsidR="00B1013B" w:rsidRPr="00C24D2C">
        <w:rPr>
          <w:rFonts w:cs="Arial"/>
        </w:rPr>
        <w:t>, on request.</w:t>
      </w:r>
    </w:p>
    <w:p w14:paraId="4A199940" w14:textId="1AEEA8F3" w:rsidR="00B1013B" w:rsidRPr="0019546F" w:rsidRDefault="00B1013B" w:rsidP="002E3B63">
      <w:pPr>
        <w:pStyle w:val="Heading2"/>
      </w:pPr>
      <w:r w:rsidRPr="0019546F">
        <w:t>Access</w:t>
      </w:r>
    </w:p>
    <w:p w14:paraId="5318F681" w14:textId="3D0C5D2E" w:rsidR="00143460" w:rsidRPr="0019546F" w:rsidRDefault="00143460" w:rsidP="00143460">
      <w:pPr>
        <w:spacing w:before="120"/>
        <w:ind w:right="-57"/>
        <w:jc w:val="left"/>
        <w:rPr>
          <w:rFonts w:cs="Arial"/>
        </w:rPr>
      </w:pPr>
      <w:r w:rsidRPr="0019546F">
        <w:rPr>
          <w:rFonts w:cs="Arial"/>
        </w:rPr>
        <w:t xml:space="preserve">Service Users will have timely access to appropriate oral health information and advice. </w:t>
      </w:r>
      <w:r w:rsidR="00B1013B" w:rsidRPr="0019546F">
        <w:rPr>
          <w:rFonts w:cs="Arial"/>
        </w:rPr>
        <w:t>The Service</w:t>
      </w:r>
      <w:r w:rsidR="008B2B0B">
        <w:rPr>
          <w:rFonts w:cs="Arial"/>
        </w:rPr>
        <w:t xml:space="preserve"> Provider</w:t>
      </w:r>
      <w:r w:rsidR="00B1013B" w:rsidRPr="0019546F">
        <w:rPr>
          <w:rFonts w:cs="Arial"/>
        </w:rPr>
        <w:t xml:space="preserve"> will monitor access to </w:t>
      </w:r>
      <w:r w:rsidRPr="0019546F">
        <w:rPr>
          <w:rFonts w:cs="Arial"/>
        </w:rPr>
        <w:t xml:space="preserve">its </w:t>
      </w:r>
      <w:r w:rsidR="00B1013B" w:rsidRPr="0019546F">
        <w:rPr>
          <w:rFonts w:cs="Arial"/>
        </w:rPr>
        <w:t>services, and ensure entry is managed in a timely, equitable and efficient manner.</w:t>
      </w:r>
    </w:p>
    <w:p w14:paraId="7FB58CEC" w14:textId="77777777" w:rsidR="00B1013B" w:rsidRPr="0019546F" w:rsidRDefault="00B1013B" w:rsidP="002E3B63">
      <w:pPr>
        <w:pStyle w:val="Heading2"/>
      </w:pPr>
      <w:r w:rsidRPr="0019546F">
        <w:t>Acceptability</w:t>
      </w:r>
    </w:p>
    <w:p w14:paraId="72EC46AC" w14:textId="5B107EE4" w:rsidR="00B1013B" w:rsidRPr="0019546F" w:rsidRDefault="008B2B0B" w:rsidP="00072D12">
      <w:pPr>
        <w:pStyle w:val="BodyTextIndent3"/>
        <w:numPr>
          <w:ilvl w:val="12"/>
          <w:numId w:val="0"/>
        </w:numPr>
        <w:ind w:right="-57"/>
        <w:jc w:val="left"/>
        <w:rPr>
          <w:rFonts w:cs="Arial"/>
          <w:lang w:val="en-AU"/>
        </w:rPr>
      </w:pPr>
      <w:r>
        <w:rPr>
          <w:rFonts w:cs="Arial"/>
          <w:lang w:val="en-AU"/>
        </w:rPr>
        <w:t>The Service Provider</w:t>
      </w:r>
      <w:r w:rsidR="00B1013B" w:rsidRPr="0019546F">
        <w:rPr>
          <w:rFonts w:cs="Arial"/>
          <w:lang w:val="en-AU"/>
        </w:rPr>
        <w:t xml:space="preserve"> must ensure that the needs of Service Users and their families </w:t>
      </w:r>
      <w:r w:rsidR="000759E3">
        <w:rPr>
          <w:rFonts w:cs="Arial"/>
          <w:lang w:val="en-AU"/>
        </w:rPr>
        <w:t xml:space="preserve">or </w:t>
      </w:r>
      <w:r w:rsidR="00B1013B" w:rsidRPr="0019546F">
        <w:rPr>
          <w:rFonts w:cs="Arial"/>
          <w:lang w:val="en-AU"/>
        </w:rPr>
        <w:t>whānau are taken into account at all times.</w:t>
      </w:r>
    </w:p>
    <w:p w14:paraId="6D6027F2" w14:textId="40BBC1D2" w:rsidR="00B64FC4" w:rsidRPr="0019546F" w:rsidRDefault="00B64FC4" w:rsidP="00072D12">
      <w:pPr>
        <w:pStyle w:val="BodyTextIndent3"/>
        <w:numPr>
          <w:ilvl w:val="12"/>
          <w:numId w:val="0"/>
        </w:numPr>
        <w:spacing w:before="120"/>
        <w:ind w:right="-57"/>
        <w:jc w:val="left"/>
        <w:rPr>
          <w:rFonts w:cs="Arial"/>
          <w:lang w:val="en-AU"/>
        </w:rPr>
      </w:pPr>
      <w:r w:rsidRPr="0019546F">
        <w:rPr>
          <w:rFonts w:cs="Arial"/>
          <w:lang w:val="en-AU"/>
        </w:rPr>
        <w:t>Service Users and their families</w:t>
      </w:r>
      <w:r w:rsidR="000759E3">
        <w:rPr>
          <w:rFonts w:cs="Arial"/>
          <w:lang w:val="en-AU"/>
        </w:rPr>
        <w:t xml:space="preserve"> or whānau</w:t>
      </w:r>
      <w:r w:rsidRPr="0019546F">
        <w:rPr>
          <w:rFonts w:cs="Arial"/>
          <w:lang w:val="en-AU"/>
        </w:rPr>
        <w:t xml:space="preserve"> are to be treated with respect, dignity and in ways that are culturally sensitive.</w:t>
      </w:r>
    </w:p>
    <w:p w14:paraId="1CE96BAC" w14:textId="77777777" w:rsidR="00B1013B" w:rsidRPr="0019546F" w:rsidRDefault="00B1013B" w:rsidP="002E3B63">
      <w:pPr>
        <w:pStyle w:val="Heading2"/>
      </w:pPr>
      <w:r w:rsidRPr="0019546F">
        <w:lastRenderedPageBreak/>
        <w:t>Safety and Efficiency</w:t>
      </w:r>
    </w:p>
    <w:p w14:paraId="41D46998" w14:textId="77777777" w:rsidR="003E40EF" w:rsidRPr="006A5879" w:rsidRDefault="003E40EF" w:rsidP="006A5879">
      <w:pPr>
        <w:pStyle w:val="Heading3"/>
        <w:numPr>
          <w:ilvl w:val="2"/>
          <w:numId w:val="9"/>
        </w:numPr>
        <w:spacing w:before="120"/>
        <w:ind w:left="709" w:hanging="709"/>
        <w:rPr>
          <w:i/>
          <w:sz w:val="24"/>
          <w:szCs w:val="24"/>
        </w:rPr>
      </w:pPr>
      <w:r w:rsidRPr="006A5879">
        <w:rPr>
          <w:i/>
          <w:sz w:val="24"/>
          <w:szCs w:val="24"/>
        </w:rPr>
        <w:t>General</w:t>
      </w:r>
    </w:p>
    <w:p w14:paraId="0CE3CA55" w14:textId="28AE670C" w:rsidR="00B1013B" w:rsidRPr="0019546F" w:rsidRDefault="003E40EF" w:rsidP="00212492">
      <w:pPr>
        <w:spacing w:before="120"/>
        <w:ind w:left="567" w:right="-57" w:hanging="567"/>
        <w:jc w:val="left"/>
        <w:rPr>
          <w:rFonts w:cs="Arial"/>
        </w:rPr>
      </w:pPr>
      <w:r w:rsidRPr="0019546F">
        <w:rPr>
          <w:rFonts w:cs="Arial"/>
        </w:rPr>
        <w:t>T</w:t>
      </w:r>
      <w:r w:rsidR="00B1013B" w:rsidRPr="0019546F">
        <w:rPr>
          <w:rFonts w:cs="Arial"/>
        </w:rPr>
        <w:t xml:space="preserve">he </w:t>
      </w:r>
      <w:r w:rsidR="00143460" w:rsidRPr="0019546F">
        <w:rPr>
          <w:rFonts w:cs="Arial"/>
        </w:rPr>
        <w:t xml:space="preserve">Service </w:t>
      </w:r>
      <w:r w:rsidR="00173A57" w:rsidRPr="00A970E6">
        <w:rPr>
          <w:rFonts w:cs="Arial"/>
        </w:rPr>
        <w:t>Pr</w:t>
      </w:r>
      <w:r w:rsidR="00B1013B" w:rsidRPr="00A970E6">
        <w:rPr>
          <w:rFonts w:cs="Arial"/>
        </w:rPr>
        <w:t xml:space="preserve">ovider </w:t>
      </w:r>
      <w:r w:rsidR="00B1013B" w:rsidRPr="0019546F">
        <w:rPr>
          <w:rFonts w:cs="Arial"/>
        </w:rPr>
        <w:t>will have documented protocols for the following:</w:t>
      </w:r>
    </w:p>
    <w:p w14:paraId="19D5D7C1" w14:textId="77777777" w:rsidR="00B1013B" w:rsidRPr="006A5879" w:rsidRDefault="00B1013B" w:rsidP="00510B13">
      <w:pPr>
        <w:pStyle w:val="ListParagraph"/>
        <w:numPr>
          <w:ilvl w:val="0"/>
          <w:numId w:val="17"/>
        </w:numPr>
        <w:spacing w:before="120"/>
        <w:ind w:left="567" w:right="-57" w:hanging="567"/>
        <w:jc w:val="left"/>
        <w:rPr>
          <w:rFonts w:cs="Arial"/>
        </w:rPr>
      </w:pPr>
      <w:r w:rsidRPr="006A5879">
        <w:rPr>
          <w:rFonts w:cs="Arial"/>
        </w:rPr>
        <w:t>patient management including confidentiality and informed consent</w:t>
      </w:r>
    </w:p>
    <w:p w14:paraId="3BC2B56B" w14:textId="2E2675FC" w:rsidR="00B1013B" w:rsidRPr="006A5879" w:rsidRDefault="00B1013B" w:rsidP="00212492">
      <w:pPr>
        <w:pStyle w:val="ListParagraph"/>
        <w:numPr>
          <w:ilvl w:val="0"/>
          <w:numId w:val="17"/>
        </w:numPr>
        <w:spacing w:before="120"/>
        <w:ind w:left="567" w:right="-57" w:hanging="567"/>
        <w:jc w:val="left"/>
        <w:rPr>
          <w:rFonts w:cs="Arial"/>
        </w:rPr>
      </w:pPr>
      <w:r w:rsidRPr="006A5879">
        <w:rPr>
          <w:rFonts w:cs="Arial"/>
        </w:rPr>
        <w:t>equipment management and maintenance</w:t>
      </w:r>
    </w:p>
    <w:p w14:paraId="14891E04" w14:textId="587AE8A0" w:rsidR="006A5879" w:rsidRPr="0047005B" w:rsidRDefault="006A5879" w:rsidP="00212492">
      <w:pPr>
        <w:pStyle w:val="ListParagraph"/>
        <w:numPr>
          <w:ilvl w:val="0"/>
          <w:numId w:val="17"/>
        </w:numPr>
        <w:spacing w:before="120"/>
        <w:ind w:left="567" w:right="-57" w:hanging="567"/>
        <w:jc w:val="left"/>
        <w:rPr>
          <w:rFonts w:cs="Arial"/>
        </w:rPr>
      </w:pPr>
      <w:r w:rsidRPr="006A5879">
        <w:rPr>
          <w:rFonts w:cs="Arial"/>
        </w:rPr>
        <w:t>management of referrals and communication with referrers.</w:t>
      </w:r>
    </w:p>
    <w:p w14:paraId="55041C2D" w14:textId="1C62AB7A" w:rsidR="00FB1F5E" w:rsidRPr="006A5879" w:rsidRDefault="00B1013B" w:rsidP="00212492">
      <w:pPr>
        <w:pStyle w:val="ListParagraph"/>
        <w:numPr>
          <w:ilvl w:val="0"/>
          <w:numId w:val="17"/>
        </w:numPr>
        <w:spacing w:before="120"/>
        <w:ind w:left="567" w:right="-57" w:hanging="567"/>
        <w:jc w:val="left"/>
        <w:rPr>
          <w:rFonts w:cs="Arial"/>
        </w:rPr>
      </w:pPr>
      <w:r w:rsidRPr="006A5879">
        <w:rPr>
          <w:rFonts w:cs="Arial"/>
        </w:rPr>
        <w:t>imaging procedures</w:t>
      </w:r>
    </w:p>
    <w:p w14:paraId="20C25B5B" w14:textId="77777777" w:rsidR="006A5879" w:rsidRPr="006A5879" w:rsidRDefault="006A5879" w:rsidP="00212492">
      <w:pPr>
        <w:pStyle w:val="ListParagraph"/>
        <w:numPr>
          <w:ilvl w:val="0"/>
          <w:numId w:val="17"/>
        </w:numPr>
        <w:spacing w:before="120"/>
        <w:ind w:left="567" w:right="-57" w:hanging="567"/>
        <w:jc w:val="left"/>
        <w:rPr>
          <w:rFonts w:cs="Arial"/>
        </w:rPr>
      </w:pPr>
      <w:r w:rsidRPr="006A5879">
        <w:rPr>
          <w:rFonts w:cs="Arial"/>
        </w:rPr>
        <w:t>patient record management</w:t>
      </w:r>
    </w:p>
    <w:p w14:paraId="3CF2D1C5" w14:textId="4BE0F22C" w:rsidR="00FB1F5E" w:rsidRPr="006A5879" w:rsidRDefault="00B1013B" w:rsidP="00212492">
      <w:pPr>
        <w:pStyle w:val="ListParagraph"/>
        <w:numPr>
          <w:ilvl w:val="0"/>
          <w:numId w:val="17"/>
        </w:numPr>
        <w:spacing w:before="120"/>
        <w:ind w:left="567" w:right="-57" w:hanging="567"/>
        <w:jc w:val="left"/>
        <w:rPr>
          <w:rFonts w:cs="Arial"/>
        </w:rPr>
      </w:pPr>
      <w:r w:rsidRPr="006A5879">
        <w:rPr>
          <w:rFonts w:cs="Arial"/>
        </w:rPr>
        <w:t>infection</w:t>
      </w:r>
      <w:r w:rsidR="0019546F" w:rsidRPr="006A5879">
        <w:rPr>
          <w:rFonts w:cs="Arial"/>
        </w:rPr>
        <w:t xml:space="preserve"> prevention and</w:t>
      </w:r>
      <w:r w:rsidRPr="006A5879">
        <w:rPr>
          <w:rFonts w:cs="Arial"/>
        </w:rPr>
        <w:t xml:space="preserve"> control procedures</w:t>
      </w:r>
      <w:r w:rsidR="006A5879">
        <w:rPr>
          <w:rFonts w:cs="Arial"/>
        </w:rPr>
        <w:t>.</w:t>
      </w:r>
    </w:p>
    <w:p w14:paraId="3F93903A" w14:textId="0B8160CC" w:rsidR="00F24194" w:rsidRPr="006A5879" w:rsidRDefault="00F24194" w:rsidP="006A5879">
      <w:pPr>
        <w:pStyle w:val="Heading3"/>
        <w:numPr>
          <w:ilvl w:val="2"/>
          <w:numId w:val="9"/>
        </w:numPr>
        <w:spacing w:before="120"/>
        <w:ind w:left="851" w:hanging="851"/>
        <w:rPr>
          <w:i/>
          <w:sz w:val="24"/>
          <w:szCs w:val="24"/>
        </w:rPr>
      </w:pPr>
      <w:r w:rsidRPr="006A5879">
        <w:rPr>
          <w:i/>
          <w:sz w:val="24"/>
          <w:szCs w:val="24"/>
        </w:rPr>
        <w:t>Child Protection Policy</w:t>
      </w:r>
    </w:p>
    <w:p w14:paraId="6E076CB5" w14:textId="45B40A4E" w:rsidR="00052C52" w:rsidRPr="0019546F" w:rsidRDefault="00052C52" w:rsidP="00C15341">
      <w:pPr>
        <w:pStyle w:val="ListParagraph"/>
        <w:spacing w:before="120"/>
        <w:ind w:left="153" w:right="-57" w:hanging="153"/>
        <w:contextualSpacing w:val="0"/>
        <w:jc w:val="left"/>
        <w:rPr>
          <w:rFonts w:cs="Arial"/>
        </w:rPr>
      </w:pPr>
      <w:r w:rsidRPr="0019546F">
        <w:rPr>
          <w:rFonts w:cs="Arial"/>
        </w:rPr>
        <w:t xml:space="preserve">In accordance with </w:t>
      </w:r>
      <w:r w:rsidR="004C5F8C" w:rsidRPr="0019546F">
        <w:rPr>
          <w:rFonts w:cs="Arial"/>
        </w:rPr>
        <w:t>Part 2</w:t>
      </w:r>
      <w:r w:rsidRPr="0019546F">
        <w:rPr>
          <w:rFonts w:cs="Arial"/>
        </w:rPr>
        <w:t xml:space="preserve"> of the Children</w:t>
      </w:r>
      <w:r w:rsidR="0019546F">
        <w:rPr>
          <w:rFonts w:cs="Arial"/>
        </w:rPr>
        <w:t>’s</w:t>
      </w:r>
      <w:r w:rsidRPr="0019546F">
        <w:rPr>
          <w:rFonts w:cs="Arial"/>
        </w:rPr>
        <w:t xml:space="preserve"> Act 2014:</w:t>
      </w:r>
    </w:p>
    <w:p w14:paraId="2DE23E83" w14:textId="21547864" w:rsidR="00052C52" w:rsidRPr="00FB1F5E" w:rsidRDefault="00052C52" w:rsidP="00C15341">
      <w:pPr>
        <w:pStyle w:val="ListParagraph"/>
        <w:numPr>
          <w:ilvl w:val="0"/>
          <w:numId w:val="17"/>
        </w:numPr>
        <w:ind w:left="567" w:right="-57" w:hanging="567"/>
        <w:jc w:val="left"/>
        <w:rPr>
          <w:rFonts w:cs="Arial"/>
        </w:rPr>
      </w:pPr>
      <w:r w:rsidRPr="00FB1F5E">
        <w:rPr>
          <w:rFonts w:cs="Arial"/>
        </w:rPr>
        <w:t xml:space="preserve">the </w:t>
      </w:r>
      <w:r w:rsidR="002A5E4D" w:rsidRPr="00FB1F5E">
        <w:rPr>
          <w:rFonts w:cs="Arial"/>
        </w:rPr>
        <w:t>Provider</w:t>
      </w:r>
      <w:r w:rsidR="0075585F" w:rsidRPr="00FB1F5E">
        <w:rPr>
          <w:rFonts w:cs="Arial"/>
        </w:rPr>
        <w:t xml:space="preserve"> must have </w:t>
      </w:r>
      <w:r w:rsidR="003E40EF" w:rsidRPr="00FB1F5E">
        <w:rPr>
          <w:rFonts w:cs="Arial"/>
        </w:rPr>
        <w:t>a child protection policy and review the policy at least every three years</w:t>
      </w:r>
    </w:p>
    <w:p w14:paraId="5B84EAA6" w14:textId="409B49D4" w:rsidR="00052C52" w:rsidRPr="00FB1F5E" w:rsidRDefault="00052C52" w:rsidP="006F6621">
      <w:pPr>
        <w:pStyle w:val="ListParagraph"/>
        <w:numPr>
          <w:ilvl w:val="0"/>
          <w:numId w:val="17"/>
        </w:numPr>
        <w:ind w:left="567" w:right="-57" w:hanging="567"/>
        <w:jc w:val="left"/>
        <w:rPr>
          <w:rFonts w:cs="Arial"/>
        </w:rPr>
      </w:pPr>
      <w:r w:rsidRPr="00FB1F5E">
        <w:rPr>
          <w:rFonts w:cs="Arial"/>
        </w:rPr>
        <w:t>the Provider’s</w:t>
      </w:r>
      <w:r w:rsidR="003E40EF" w:rsidRPr="00FB1F5E">
        <w:rPr>
          <w:rFonts w:cs="Arial"/>
        </w:rPr>
        <w:t xml:space="preserve"> child protection policy must be written and contain provisions on the identification and reporting of child abuse and neglect in accordance with section 15 of the </w:t>
      </w:r>
      <w:proofErr w:type="spellStart"/>
      <w:r w:rsidR="0075585F" w:rsidRPr="00FB1F5E">
        <w:rPr>
          <w:rFonts w:cs="Arial"/>
        </w:rPr>
        <w:t>Oranga</w:t>
      </w:r>
      <w:proofErr w:type="spellEnd"/>
      <w:r w:rsidR="0075585F" w:rsidRPr="00FB1F5E">
        <w:rPr>
          <w:rFonts w:cs="Arial"/>
        </w:rPr>
        <w:t xml:space="preserve"> Tamariki Act</w:t>
      </w:r>
      <w:r w:rsidR="003E40EF" w:rsidRPr="00FB1F5E">
        <w:rPr>
          <w:rFonts w:cs="Arial"/>
        </w:rPr>
        <w:t xml:space="preserve"> 1989</w:t>
      </w:r>
      <w:r w:rsidR="0064098D" w:rsidRPr="00FB1F5E">
        <w:rPr>
          <w:rFonts w:cs="Arial"/>
        </w:rPr>
        <w:t>.</w:t>
      </w:r>
    </w:p>
    <w:p w14:paraId="152AD1F3" w14:textId="206C1805" w:rsidR="00B1013B" w:rsidRPr="00FB1F5E" w:rsidRDefault="00B935F2" w:rsidP="006F6621">
      <w:pPr>
        <w:pStyle w:val="ListParagraph"/>
        <w:numPr>
          <w:ilvl w:val="0"/>
          <w:numId w:val="17"/>
        </w:numPr>
        <w:spacing w:after="120"/>
        <w:ind w:left="567" w:right="-57" w:hanging="567"/>
        <w:jc w:val="left"/>
        <w:rPr>
          <w:rFonts w:cs="Arial"/>
        </w:rPr>
      </w:pPr>
      <w:r w:rsidRPr="00FB1F5E">
        <w:rPr>
          <w:rFonts w:cs="Arial"/>
        </w:rPr>
        <w:t xml:space="preserve">where the </w:t>
      </w:r>
      <w:r w:rsidR="001B4258" w:rsidRPr="00FB1F5E">
        <w:rPr>
          <w:rFonts w:cs="Arial"/>
        </w:rPr>
        <w:t>P</w:t>
      </w:r>
      <w:r w:rsidRPr="00FB1F5E">
        <w:rPr>
          <w:rFonts w:cs="Arial"/>
        </w:rPr>
        <w:t>rovider is a DHB, its</w:t>
      </w:r>
      <w:r w:rsidR="00052C52" w:rsidRPr="00FB1F5E">
        <w:rPr>
          <w:rFonts w:cs="Arial"/>
        </w:rPr>
        <w:t xml:space="preserve"> child protection policy must be posted on a publicly available website maintained by</w:t>
      </w:r>
      <w:r w:rsidR="00213951" w:rsidRPr="00FB1F5E">
        <w:rPr>
          <w:rFonts w:cs="Arial"/>
        </w:rPr>
        <w:t>,</w:t>
      </w:r>
      <w:r w:rsidR="00052C52" w:rsidRPr="00FB1F5E">
        <w:rPr>
          <w:rFonts w:cs="Arial"/>
        </w:rPr>
        <w:t xml:space="preserve"> or for</w:t>
      </w:r>
      <w:r w:rsidR="00213951" w:rsidRPr="00FB1F5E">
        <w:rPr>
          <w:rFonts w:cs="Arial"/>
        </w:rPr>
        <w:t>,</w:t>
      </w:r>
      <w:r w:rsidR="00052C52" w:rsidRPr="00FB1F5E">
        <w:rPr>
          <w:rFonts w:cs="Arial"/>
        </w:rPr>
        <w:t xml:space="preserve"> the Provider.</w:t>
      </w:r>
    </w:p>
    <w:p w14:paraId="73EEF51B" w14:textId="473199C8" w:rsidR="000E3DBF" w:rsidRPr="006A5879" w:rsidRDefault="003E40EF" w:rsidP="006A5879">
      <w:pPr>
        <w:pStyle w:val="Heading3"/>
        <w:numPr>
          <w:ilvl w:val="2"/>
          <w:numId w:val="9"/>
        </w:numPr>
        <w:spacing w:before="120" w:after="120"/>
        <w:ind w:left="851" w:hanging="851"/>
        <w:rPr>
          <w:i/>
          <w:sz w:val="24"/>
          <w:szCs w:val="24"/>
        </w:rPr>
      </w:pPr>
      <w:r w:rsidRPr="006A5879">
        <w:rPr>
          <w:i/>
          <w:sz w:val="24"/>
          <w:szCs w:val="24"/>
        </w:rPr>
        <w:t>Safety Checking</w:t>
      </w:r>
      <w:r w:rsidR="004D0753" w:rsidRPr="006A5879">
        <w:rPr>
          <w:i/>
          <w:sz w:val="24"/>
          <w:szCs w:val="24"/>
        </w:rPr>
        <w:t xml:space="preserve"> </w:t>
      </w:r>
    </w:p>
    <w:p w14:paraId="313DFB54" w14:textId="6DE22EA9" w:rsidR="00711EE0" w:rsidRPr="0019546F" w:rsidRDefault="00711EE0" w:rsidP="00FB1F5E">
      <w:pPr>
        <w:spacing w:before="120" w:after="120"/>
        <w:jc w:val="left"/>
        <w:rPr>
          <w:rFonts w:cs="Arial"/>
        </w:rPr>
      </w:pPr>
      <w:r w:rsidRPr="0019546F">
        <w:rPr>
          <w:rFonts w:cs="Arial"/>
        </w:rPr>
        <w:t>In accordance with Part 3 of the Children</w:t>
      </w:r>
      <w:r w:rsidR="0064098D">
        <w:rPr>
          <w:rFonts w:cs="Arial"/>
        </w:rPr>
        <w:t>’s</w:t>
      </w:r>
      <w:r w:rsidRPr="0019546F">
        <w:rPr>
          <w:rFonts w:cs="Arial"/>
        </w:rPr>
        <w:t xml:space="preserve"> Act 2014</w:t>
      </w:r>
      <w:r w:rsidR="004C5F8C" w:rsidRPr="0019546F">
        <w:rPr>
          <w:rFonts w:cs="Arial"/>
        </w:rPr>
        <w:t>,</w:t>
      </w:r>
      <w:r w:rsidRPr="0019546F">
        <w:rPr>
          <w:rFonts w:cs="Arial"/>
        </w:rPr>
        <w:t xml:space="preserve"> the Provider must carry out safety checks on all personnel who are </w:t>
      </w:r>
      <w:r w:rsidR="0064098D">
        <w:rPr>
          <w:rFonts w:cs="Arial"/>
        </w:rPr>
        <w:t>‘</w:t>
      </w:r>
      <w:r w:rsidRPr="0019546F">
        <w:rPr>
          <w:rFonts w:cs="Arial"/>
        </w:rPr>
        <w:t>children’s workers</w:t>
      </w:r>
      <w:r w:rsidR="0064098D">
        <w:rPr>
          <w:rFonts w:cs="Arial"/>
        </w:rPr>
        <w:t>’</w:t>
      </w:r>
      <w:r w:rsidRPr="0019546F">
        <w:rPr>
          <w:rFonts w:cs="Arial"/>
        </w:rPr>
        <w:t xml:space="preserve"> as defined in the Act.</w:t>
      </w:r>
    </w:p>
    <w:p w14:paraId="31DF9C5C" w14:textId="77777777" w:rsidR="00B1013B" w:rsidRPr="0019546F" w:rsidRDefault="00B1013B" w:rsidP="002E3B63">
      <w:pPr>
        <w:pStyle w:val="Heading2"/>
      </w:pPr>
      <w:r w:rsidRPr="0019546F">
        <w:t>Effectiveness</w:t>
      </w:r>
    </w:p>
    <w:p w14:paraId="6A7E3CE7" w14:textId="3CB486EA" w:rsidR="009C38BB" w:rsidRPr="0019546F" w:rsidRDefault="003B15E7" w:rsidP="009C38BB">
      <w:pPr>
        <w:spacing w:before="120"/>
        <w:ind w:right="-57"/>
        <w:jc w:val="left"/>
        <w:rPr>
          <w:rFonts w:cs="Arial"/>
        </w:rPr>
      </w:pPr>
      <w:r>
        <w:rPr>
          <w:rFonts w:cs="Arial"/>
        </w:rPr>
        <w:t>Service</w:t>
      </w:r>
      <w:r w:rsidRPr="0019546F">
        <w:rPr>
          <w:rFonts w:cs="Arial"/>
        </w:rPr>
        <w:t xml:space="preserve"> </w:t>
      </w:r>
      <w:r w:rsidR="00B1013B" w:rsidRPr="0019546F">
        <w:rPr>
          <w:rFonts w:cs="Arial"/>
        </w:rPr>
        <w:t>Provider</w:t>
      </w:r>
      <w:r>
        <w:rPr>
          <w:rFonts w:cs="Arial"/>
        </w:rPr>
        <w:t>s</w:t>
      </w:r>
      <w:r w:rsidR="00B1013B" w:rsidRPr="0019546F">
        <w:rPr>
          <w:rFonts w:cs="Arial"/>
        </w:rPr>
        <w:t xml:space="preserve"> will</w:t>
      </w:r>
      <w:r w:rsidR="009C38BB" w:rsidRPr="0019546F">
        <w:rPr>
          <w:rFonts w:cs="Arial"/>
        </w:rPr>
        <w:t>:</w:t>
      </w:r>
    </w:p>
    <w:p w14:paraId="07F34EB3" w14:textId="74A8A50F" w:rsidR="00B1013B" w:rsidRPr="006A5879" w:rsidRDefault="00B1013B" w:rsidP="006F6621">
      <w:pPr>
        <w:pStyle w:val="ListParagraph"/>
        <w:numPr>
          <w:ilvl w:val="0"/>
          <w:numId w:val="18"/>
        </w:numPr>
        <w:ind w:left="567" w:right="-57" w:hanging="567"/>
        <w:jc w:val="left"/>
        <w:rPr>
          <w:rFonts w:cs="Arial"/>
        </w:rPr>
      </w:pPr>
      <w:r w:rsidRPr="006A5879">
        <w:rPr>
          <w:rFonts w:cs="Arial"/>
        </w:rPr>
        <w:t>prioritise and monitor timeliness of assessment and treatment</w:t>
      </w:r>
    </w:p>
    <w:p w14:paraId="1C1EE845" w14:textId="04D1196D" w:rsidR="00B1013B" w:rsidRPr="006A5879" w:rsidRDefault="00B1013B" w:rsidP="006F6621">
      <w:pPr>
        <w:pStyle w:val="ListParagraph"/>
        <w:numPr>
          <w:ilvl w:val="0"/>
          <w:numId w:val="18"/>
        </w:numPr>
        <w:ind w:left="567" w:right="-57" w:hanging="567"/>
        <w:jc w:val="left"/>
        <w:rPr>
          <w:rFonts w:cs="Arial"/>
        </w:rPr>
      </w:pPr>
      <w:r w:rsidRPr="006A5879">
        <w:rPr>
          <w:rFonts w:cs="Arial"/>
        </w:rPr>
        <w:t>monitor entry to their service, and ensure entry is managed in a timely, equitable and efficient manner, to meet assessed need</w:t>
      </w:r>
    </w:p>
    <w:p w14:paraId="68C15E3B" w14:textId="64C93081" w:rsidR="00B1013B" w:rsidRPr="006A5879" w:rsidRDefault="00B1013B" w:rsidP="006F6621">
      <w:pPr>
        <w:pStyle w:val="ListParagraph"/>
        <w:numPr>
          <w:ilvl w:val="0"/>
          <w:numId w:val="18"/>
        </w:numPr>
        <w:ind w:left="567" w:right="-57" w:hanging="567"/>
        <w:jc w:val="left"/>
        <w:rPr>
          <w:rFonts w:cs="Arial"/>
        </w:rPr>
      </w:pPr>
      <w:r w:rsidRPr="006A5879">
        <w:rPr>
          <w:rFonts w:cs="Arial"/>
        </w:rPr>
        <w:t xml:space="preserve">meet the Clinical Effectiveness and Effectiveness of Services requirements of the </w:t>
      </w:r>
      <w:r w:rsidR="003B3DF7" w:rsidRPr="006A5879">
        <w:rPr>
          <w:rFonts w:cs="Arial"/>
        </w:rPr>
        <w:t>Health and Disability Services Standards.</w:t>
      </w:r>
    </w:p>
    <w:p w14:paraId="5D48DBFE" w14:textId="3C4B8FE5" w:rsidR="00B1013B" w:rsidRPr="0019546F" w:rsidRDefault="00B1013B" w:rsidP="000F25C9">
      <w:pPr>
        <w:pStyle w:val="Heading1"/>
      </w:pPr>
      <w:r w:rsidRPr="0019546F">
        <w:t>Purchase Unit</w:t>
      </w:r>
      <w:r w:rsidR="006F6621">
        <w:t xml:space="preserve"> Code</w:t>
      </w:r>
      <w:r w:rsidR="00BB7E66">
        <w:t>s</w:t>
      </w:r>
      <w:r w:rsidRPr="0019546F">
        <w:t xml:space="preserve"> </w:t>
      </w:r>
    </w:p>
    <w:p w14:paraId="1430233C" w14:textId="4CFC9DA6" w:rsidR="00D95227" w:rsidRDefault="00F41DE3" w:rsidP="00F41DE3">
      <w:pPr>
        <w:spacing w:after="120"/>
        <w:jc w:val="left"/>
      </w:pPr>
      <w:r w:rsidRPr="00EC773C">
        <w:rPr>
          <w:rFonts w:cs="Arial"/>
        </w:rPr>
        <w:t xml:space="preserve">Purchase </w:t>
      </w:r>
      <w:r w:rsidR="00BB7E66">
        <w:rPr>
          <w:rFonts w:cs="Arial"/>
        </w:rPr>
        <w:t>u</w:t>
      </w:r>
      <w:r w:rsidRPr="00EC773C">
        <w:rPr>
          <w:rFonts w:cs="Arial"/>
        </w:rPr>
        <w:t xml:space="preserve">nits </w:t>
      </w:r>
      <w:r w:rsidR="006F6621">
        <w:rPr>
          <w:rFonts w:cs="Arial"/>
        </w:rPr>
        <w:t xml:space="preserve">(PU) codes </w:t>
      </w:r>
      <w:r w:rsidRPr="00EC773C">
        <w:rPr>
          <w:rFonts w:cs="Arial"/>
        </w:rPr>
        <w:t>are defined in the joint DHB and Ministry’s Nationwide Service Framework</w:t>
      </w:r>
      <w:r>
        <w:rPr>
          <w:rFonts w:cs="Arial"/>
        </w:rPr>
        <w:t xml:space="preserve"> </w:t>
      </w:r>
      <w:r w:rsidRPr="00EC773C">
        <w:rPr>
          <w:rFonts w:cs="Arial"/>
        </w:rPr>
        <w:t xml:space="preserve">Purchase Unit Data Dictionary. </w:t>
      </w:r>
      <w:r w:rsidR="00D95227">
        <w:t xml:space="preserve">The table below lists the tier two </w:t>
      </w:r>
      <w:r w:rsidR="00C15341">
        <w:t xml:space="preserve">oral health </w:t>
      </w:r>
      <w:r w:rsidR="00D95227">
        <w:t>service specifications and their purchase unit</w:t>
      </w:r>
      <w:r w:rsidR="006F6621">
        <w:t xml:space="preserve"> codes</w:t>
      </w:r>
      <w:r w:rsidR="00D95227">
        <w:t>.</w:t>
      </w:r>
    </w:p>
    <w:tbl>
      <w:tblPr>
        <w:tblStyle w:val="TableGrid"/>
        <w:tblW w:w="5000" w:type="pct"/>
        <w:tblLook w:val="01E0" w:firstRow="1" w:lastRow="1" w:firstColumn="1" w:lastColumn="1" w:noHBand="0" w:noVBand="0"/>
      </w:tblPr>
      <w:tblGrid>
        <w:gridCol w:w="6940"/>
        <w:gridCol w:w="3385"/>
      </w:tblGrid>
      <w:tr w:rsidR="00784E92" w:rsidRPr="0019546F" w14:paraId="54BE392B" w14:textId="77777777" w:rsidTr="00D76207">
        <w:tc>
          <w:tcPr>
            <w:tcW w:w="3361" w:type="pct"/>
            <w:tcBorders>
              <w:top w:val="single" w:sz="4" w:space="0" w:color="auto"/>
              <w:left w:val="single" w:sz="4" w:space="0" w:color="auto"/>
              <w:bottom w:val="single" w:sz="4" w:space="0" w:color="auto"/>
              <w:right w:val="single" w:sz="4" w:space="0" w:color="auto"/>
            </w:tcBorders>
            <w:shd w:val="clear" w:color="auto" w:fill="D9D9D9"/>
            <w:hideMark/>
          </w:tcPr>
          <w:p w14:paraId="79824FF1" w14:textId="3466C3F9" w:rsidR="00784E92" w:rsidRPr="0019546F" w:rsidRDefault="00E477E1" w:rsidP="00B80D10">
            <w:pPr>
              <w:spacing w:before="60" w:after="60"/>
              <w:jc w:val="left"/>
              <w:rPr>
                <w:rFonts w:cs="Arial"/>
                <w:b/>
                <w:sz w:val="22"/>
                <w:szCs w:val="22"/>
                <w:lang w:val="en-GB"/>
              </w:rPr>
            </w:pPr>
            <w:r w:rsidRPr="0019546F">
              <w:rPr>
                <w:rFonts w:cs="Arial"/>
                <w:b/>
                <w:sz w:val="22"/>
                <w:szCs w:val="22"/>
                <w:lang w:val="en-GB"/>
              </w:rPr>
              <w:t xml:space="preserve">Service Specification </w:t>
            </w:r>
          </w:p>
        </w:tc>
        <w:tc>
          <w:tcPr>
            <w:tcW w:w="1639" w:type="pct"/>
            <w:tcBorders>
              <w:top w:val="single" w:sz="4" w:space="0" w:color="auto"/>
              <w:left w:val="single" w:sz="4" w:space="0" w:color="auto"/>
              <w:bottom w:val="single" w:sz="4" w:space="0" w:color="auto"/>
              <w:right w:val="single" w:sz="4" w:space="0" w:color="auto"/>
            </w:tcBorders>
            <w:shd w:val="clear" w:color="auto" w:fill="D9D9D9"/>
            <w:hideMark/>
          </w:tcPr>
          <w:p w14:paraId="1741DCBF" w14:textId="67FA044D" w:rsidR="00784E92" w:rsidRPr="0019546F" w:rsidRDefault="00784E92" w:rsidP="00B80D10">
            <w:pPr>
              <w:spacing w:before="60" w:after="60"/>
              <w:jc w:val="left"/>
              <w:rPr>
                <w:rFonts w:cs="Arial"/>
                <w:b/>
                <w:sz w:val="22"/>
                <w:szCs w:val="22"/>
                <w:lang w:val="en-GB"/>
              </w:rPr>
            </w:pPr>
            <w:r w:rsidRPr="0019546F">
              <w:rPr>
                <w:rFonts w:cs="Arial"/>
                <w:b/>
                <w:sz w:val="22"/>
                <w:szCs w:val="22"/>
                <w:lang w:val="en-GB"/>
              </w:rPr>
              <w:t>P</w:t>
            </w:r>
            <w:r w:rsidR="00DD5D6F" w:rsidRPr="0019546F">
              <w:rPr>
                <w:rFonts w:cs="Arial"/>
                <w:b/>
                <w:sz w:val="22"/>
                <w:szCs w:val="22"/>
                <w:lang w:val="en-GB"/>
              </w:rPr>
              <w:t xml:space="preserve">urchase </w:t>
            </w:r>
            <w:r w:rsidRPr="0019546F">
              <w:rPr>
                <w:rFonts w:cs="Arial"/>
                <w:b/>
                <w:sz w:val="22"/>
                <w:szCs w:val="22"/>
                <w:lang w:val="en-GB"/>
              </w:rPr>
              <w:t>U</w:t>
            </w:r>
            <w:r w:rsidR="00DD5D6F" w:rsidRPr="0019546F">
              <w:rPr>
                <w:rFonts w:cs="Arial"/>
                <w:b/>
                <w:sz w:val="22"/>
                <w:szCs w:val="22"/>
                <w:lang w:val="en-GB"/>
              </w:rPr>
              <w:t>nit</w:t>
            </w:r>
            <w:r w:rsidRPr="0019546F">
              <w:rPr>
                <w:rFonts w:cs="Arial"/>
                <w:b/>
                <w:sz w:val="22"/>
                <w:szCs w:val="22"/>
                <w:lang w:val="en-GB"/>
              </w:rPr>
              <w:t xml:space="preserve"> </w:t>
            </w:r>
            <w:r w:rsidR="006F6621">
              <w:rPr>
                <w:rFonts w:cs="Arial"/>
                <w:b/>
                <w:sz w:val="22"/>
                <w:szCs w:val="22"/>
                <w:lang w:val="en-GB"/>
              </w:rPr>
              <w:t>Codes</w:t>
            </w:r>
          </w:p>
        </w:tc>
      </w:tr>
      <w:tr w:rsidR="00784E92" w:rsidRPr="0019546F" w14:paraId="50804E81" w14:textId="77777777" w:rsidTr="00D76207">
        <w:tc>
          <w:tcPr>
            <w:tcW w:w="3361" w:type="pct"/>
            <w:tcBorders>
              <w:top w:val="single" w:sz="4" w:space="0" w:color="auto"/>
              <w:left w:val="single" w:sz="4" w:space="0" w:color="auto"/>
              <w:bottom w:val="single" w:sz="4" w:space="0" w:color="auto"/>
              <w:right w:val="single" w:sz="4" w:space="0" w:color="auto"/>
            </w:tcBorders>
          </w:tcPr>
          <w:p w14:paraId="20A3FFCA" w14:textId="77777777" w:rsidR="00784E92" w:rsidRPr="0019546F" w:rsidRDefault="00784E92" w:rsidP="00B80D10">
            <w:pPr>
              <w:spacing w:before="60" w:after="60"/>
              <w:jc w:val="left"/>
              <w:rPr>
                <w:rFonts w:cs="Arial"/>
                <w:sz w:val="22"/>
                <w:szCs w:val="22"/>
                <w:lang w:val="en-GB"/>
              </w:rPr>
            </w:pPr>
            <w:r w:rsidRPr="0019546F">
              <w:rPr>
                <w:rFonts w:cs="Arial"/>
                <w:sz w:val="22"/>
                <w:szCs w:val="22"/>
              </w:rPr>
              <w:t>Community Oral Health Services for Children and Some Adolescents</w:t>
            </w:r>
          </w:p>
        </w:tc>
        <w:tc>
          <w:tcPr>
            <w:tcW w:w="1639" w:type="pct"/>
            <w:tcBorders>
              <w:top w:val="single" w:sz="4" w:space="0" w:color="auto"/>
              <w:left w:val="single" w:sz="4" w:space="0" w:color="auto"/>
              <w:bottom w:val="single" w:sz="4" w:space="0" w:color="auto"/>
              <w:right w:val="single" w:sz="4" w:space="0" w:color="auto"/>
            </w:tcBorders>
          </w:tcPr>
          <w:p w14:paraId="4E98A1B4" w14:textId="77777777" w:rsidR="00784E92" w:rsidRPr="0019546F" w:rsidRDefault="000B4597" w:rsidP="00B80D10">
            <w:pPr>
              <w:spacing w:before="60" w:after="60"/>
              <w:jc w:val="left"/>
              <w:rPr>
                <w:rFonts w:cs="Arial"/>
                <w:sz w:val="22"/>
                <w:szCs w:val="22"/>
                <w:lang w:val="en-GB"/>
              </w:rPr>
            </w:pPr>
            <w:r w:rsidRPr="0019546F">
              <w:rPr>
                <w:rFonts w:cs="Arial"/>
                <w:sz w:val="22"/>
                <w:szCs w:val="22"/>
                <w:lang w:val="en-GB"/>
              </w:rPr>
              <w:t>D01022</w:t>
            </w:r>
          </w:p>
        </w:tc>
      </w:tr>
      <w:tr w:rsidR="00784E92" w:rsidRPr="0019546F" w14:paraId="4022B017" w14:textId="77777777" w:rsidTr="00D76207">
        <w:tc>
          <w:tcPr>
            <w:tcW w:w="3361" w:type="pct"/>
            <w:tcBorders>
              <w:top w:val="single" w:sz="4" w:space="0" w:color="auto"/>
              <w:left w:val="single" w:sz="4" w:space="0" w:color="auto"/>
              <w:bottom w:val="single" w:sz="4" w:space="0" w:color="auto"/>
              <w:right w:val="single" w:sz="4" w:space="0" w:color="auto"/>
            </w:tcBorders>
          </w:tcPr>
          <w:p w14:paraId="65509C14" w14:textId="77777777" w:rsidR="00784E92" w:rsidRPr="0019546F" w:rsidRDefault="00784E92" w:rsidP="00B80D10">
            <w:pPr>
              <w:spacing w:before="60" w:after="60"/>
              <w:jc w:val="left"/>
              <w:rPr>
                <w:rFonts w:cs="Arial"/>
                <w:sz w:val="22"/>
                <w:szCs w:val="22"/>
                <w:lang w:val="en-GB"/>
              </w:rPr>
            </w:pPr>
            <w:r w:rsidRPr="0019546F">
              <w:rPr>
                <w:rFonts w:cs="Arial"/>
                <w:sz w:val="22"/>
                <w:szCs w:val="22"/>
                <w:lang w:val="en-GB"/>
              </w:rPr>
              <w:t>Hospital Dental Services</w:t>
            </w:r>
          </w:p>
        </w:tc>
        <w:tc>
          <w:tcPr>
            <w:tcW w:w="1639" w:type="pct"/>
            <w:tcBorders>
              <w:top w:val="single" w:sz="4" w:space="0" w:color="auto"/>
              <w:left w:val="single" w:sz="4" w:space="0" w:color="auto"/>
              <w:bottom w:val="single" w:sz="4" w:space="0" w:color="auto"/>
              <w:right w:val="single" w:sz="4" w:space="0" w:color="auto"/>
            </w:tcBorders>
          </w:tcPr>
          <w:p w14:paraId="608096B6" w14:textId="77777777" w:rsidR="00784E92" w:rsidRPr="0019546F" w:rsidRDefault="009663EE" w:rsidP="00B80D10">
            <w:pPr>
              <w:spacing w:before="60" w:after="60"/>
              <w:jc w:val="left"/>
              <w:rPr>
                <w:rFonts w:cs="Arial"/>
                <w:sz w:val="22"/>
                <w:szCs w:val="22"/>
                <w:lang w:val="en-US"/>
              </w:rPr>
            </w:pPr>
            <w:r w:rsidRPr="0019546F">
              <w:rPr>
                <w:rFonts w:cs="Arial"/>
                <w:sz w:val="22"/>
                <w:szCs w:val="22"/>
                <w:lang w:val="en-US"/>
              </w:rPr>
              <w:t>D01001, D01001S1, D01001S2, D01002</w:t>
            </w:r>
            <w:r w:rsidR="00C947A4" w:rsidRPr="0019546F">
              <w:rPr>
                <w:rFonts w:cs="Arial"/>
                <w:sz w:val="22"/>
                <w:szCs w:val="22"/>
                <w:lang w:val="en-US"/>
              </w:rPr>
              <w:t>, D01021</w:t>
            </w:r>
            <w:r w:rsidR="00E477E1" w:rsidRPr="0019546F">
              <w:rPr>
                <w:rFonts w:cs="Arial"/>
                <w:sz w:val="22"/>
                <w:szCs w:val="22"/>
                <w:lang w:val="en-US"/>
              </w:rPr>
              <w:t xml:space="preserve">, </w:t>
            </w:r>
            <w:r w:rsidR="00045B4E" w:rsidRPr="0019546F">
              <w:rPr>
                <w:rFonts w:cs="Arial"/>
                <w:sz w:val="22"/>
                <w:szCs w:val="22"/>
                <w:lang w:val="en-US"/>
              </w:rPr>
              <w:t>D0</w:t>
            </w:r>
            <w:r w:rsidR="00E477E1" w:rsidRPr="0019546F">
              <w:rPr>
                <w:rFonts w:cs="Arial"/>
                <w:sz w:val="22"/>
                <w:szCs w:val="22"/>
                <w:lang w:val="en-US"/>
              </w:rPr>
              <w:t>1PRE</w:t>
            </w:r>
            <w:r w:rsidR="00C757F5" w:rsidRPr="0019546F">
              <w:rPr>
                <w:rFonts w:cs="Arial"/>
                <w:sz w:val="22"/>
                <w:szCs w:val="22"/>
                <w:lang w:val="en-US"/>
              </w:rPr>
              <w:t>,</w:t>
            </w:r>
          </w:p>
        </w:tc>
      </w:tr>
      <w:tr w:rsidR="00784E92" w:rsidRPr="0019546F" w14:paraId="6D548A74" w14:textId="77777777" w:rsidTr="00D76207">
        <w:tc>
          <w:tcPr>
            <w:tcW w:w="3361" w:type="pct"/>
            <w:tcBorders>
              <w:top w:val="single" w:sz="4" w:space="0" w:color="auto"/>
              <w:left w:val="single" w:sz="4" w:space="0" w:color="auto"/>
              <w:bottom w:val="single" w:sz="4" w:space="0" w:color="auto"/>
              <w:right w:val="single" w:sz="4" w:space="0" w:color="auto"/>
            </w:tcBorders>
          </w:tcPr>
          <w:p w14:paraId="0DCA3262" w14:textId="77777777" w:rsidR="00784E92" w:rsidRPr="0019546F" w:rsidRDefault="00784E92" w:rsidP="00B80D10">
            <w:pPr>
              <w:spacing w:before="60" w:after="60"/>
              <w:jc w:val="left"/>
              <w:rPr>
                <w:rFonts w:cs="Arial"/>
                <w:sz w:val="22"/>
                <w:szCs w:val="22"/>
                <w:lang w:val="en-GB"/>
              </w:rPr>
            </w:pPr>
            <w:r w:rsidRPr="0019546F">
              <w:rPr>
                <w:rFonts w:cs="Arial"/>
                <w:sz w:val="22"/>
                <w:szCs w:val="22"/>
                <w:lang w:val="en-GB"/>
              </w:rPr>
              <w:t>Emergency Dental Services for Low Income Adults</w:t>
            </w:r>
          </w:p>
        </w:tc>
        <w:tc>
          <w:tcPr>
            <w:tcW w:w="1639" w:type="pct"/>
            <w:tcBorders>
              <w:top w:val="single" w:sz="4" w:space="0" w:color="auto"/>
              <w:left w:val="single" w:sz="4" w:space="0" w:color="auto"/>
              <w:bottom w:val="single" w:sz="4" w:space="0" w:color="auto"/>
              <w:right w:val="single" w:sz="4" w:space="0" w:color="auto"/>
            </w:tcBorders>
          </w:tcPr>
          <w:p w14:paraId="20FB8CC8" w14:textId="77777777" w:rsidR="00784E92" w:rsidRPr="0019546F" w:rsidRDefault="00C947A4" w:rsidP="00B80D10">
            <w:pPr>
              <w:spacing w:before="60" w:after="60"/>
              <w:jc w:val="left"/>
              <w:rPr>
                <w:rFonts w:cs="Arial"/>
                <w:sz w:val="22"/>
                <w:szCs w:val="22"/>
                <w:lang w:val="en-GB"/>
              </w:rPr>
            </w:pPr>
            <w:r w:rsidRPr="0019546F">
              <w:rPr>
                <w:rFonts w:cs="Arial"/>
                <w:sz w:val="22"/>
                <w:szCs w:val="22"/>
                <w:lang w:val="en-GB"/>
              </w:rPr>
              <w:t>D01005</w:t>
            </w:r>
          </w:p>
        </w:tc>
      </w:tr>
      <w:tr w:rsidR="00784E92" w:rsidRPr="0019546F" w14:paraId="35750A6C" w14:textId="77777777" w:rsidTr="00D76207">
        <w:tc>
          <w:tcPr>
            <w:tcW w:w="3361" w:type="pct"/>
            <w:tcBorders>
              <w:top w:val="single" w:sz="4" w:space="0" w:color="auto"/>
              <w:left w:val="single" w:sz="4" w:space="0" w:color="auto"/>
              <w:bottom w:val="single" w:sz="4" w:space="0" w:color="auto"/>
              <w:right w:val="single" w:sz="4" w:space="0" w:color="auto"/>
            </w:tcBorders>
          </w:tcPr>
          <w:p w14:paraId="5F506E03" w14:textId="01B0622C" w:rsidR="00784E92" w:rsidRPr="0019546F" w:rsidRDefault="0014481A" w:rsidP="00B80D10">
            <w:pPr>
              <w:spacing w:before="60" w:after="60"/>
              <w:jc w:val="left"/>
              <w:rPr>
                <w:rFonts w:cs="Arial"/>
                <w:sz w:val="22"/>
                <w:szCs w:val="22"/>
                <w:lang w:val="en-GB"/>
              </w:rPr>
            </w:pPr>
            <w:r>
              <w:rPr>
                <w:rFonts w:cs="Arial"/>
                <w:sz w:val="22"/>
                <w:szCs w:val="22"/>
                <w:lang w:val="en-GB"/>
              </w:rPr>
              <w:t xml:space="preserve">The </w:t>
            </w:r>
            <w:r w:rsidR="00784E92" w:rsidRPr="0019546F">
              <w:rPr>
                <w:rFonts w:cs="Arial"/>
                <w:sz w:val="22"/>
                <w:szCs w:val="22"/>
                <w:lang w:val="en-GB"/>
              </w:rPr>
              <w:t>Service Agreement for the Provision of Oral Health Services for Adolescents, Specialist Dental Services for Children and Adolescents</w:t>
            </w:r>
            <w:r>
              <w:rPr>
                <w:rFonts w:cs="Arial"/>
                <w:sz w:val="22"/>
                <w:szCs w:val="22"/>
                <w:lang w:val="en-GB"/>
              </w:rPr>
              <w:t xml:space="preserve"> (Combined Dental Agreement or CDA)</w:t>
            </w:r>
          </w:p>
        </w:tc>
        <w:tc>
          <w:tcPr>
            <w:tcW w:w="1639" w:type="pct"/>
            <w:tcBorders>
              <w:top w:val="single" w:sz="4" w:space="0" w:color="auto"/>
              <w:left w:val="single" w:sz="4" w:space="0" w:color="auto"/>
              <w:bottom w:val="single" w:sz="4" w:space="0" w:color="auto"/>
              <w:right w:val="single" w:sz="4" w:space="0" w:color="auto"/>
            </w:tcBorders>
          </w:tcPr>
          <w:p w14:paraId="2B995C42" w14:textId="77777777" w:rsidR="00784E92" w:rsidRPr="0019546F" w:rsidRDefault="00F44B0E" w:rsidP="00B80D10">
            <w:pPr>
              <w:spacing w:before="60" w:after="60"/>
              <w:jc w:val="left"/>
              <w:rPr>
                <w:rFonts w:cs="Arial"/>
                <w:sz w:val="22"/>
                <w:szCs w:val="22"/>
                <w:lang w:val="en-GB"/>
              </w:rPr>
            </w:pPr>
            <w:r w:rsidRPr="0019546F">
              <w:rPr>
                <w:rFonts w:cs="Arial"/>
                <w:sz w:val="22"/>
                <w:szCs w:val="22"/>
                <w:lang w:val="en-US"/>
              </w:rPr>
              <w:t xml:space="preserve">D01016, </w:t>
            </w:r>
            <w:r w:rsidR="00C947A4" w:rsidRPr="0019546F">
              <w:rPr>
                <w:rFonts w:cs="Arial"/>
                <w:sz w:val="22"/>
                <w:szCs w:val="22"/>
                <w:lang w:val="en-US"/>
              </w:rPr>
              <w:t>D01017, D01020</w:t>
            </w:r>
          </w:p>
        </w:tc>
      </w:tr>
      <w:tr w:rsidR="00E477E1" w:rsidRPr="0019546F" w14:paraId="477E0FB9" w14:textId="77777777" w:rsidTr="00D76207">
        <w:tc>
          <w:tcPr>
            <w:tcW w:w="3361" w:type="pct"/>
            <w:tcBorders>
              <w:top w:val="single" w:sz="4" w:space="0" w:color="auto"/>
              <w:left w:val="single" w:sz="4" w:space="0" w:color="auto"/>
              <w:bottom w:val="single" w:sz="4" w:space="0" w:color="auto"/>
              <w:right w:val="single" w:sz="4" w:space="0" w:color="auto"/>
            </w:tcBorders>
          </w:tcPr>
          <w:p w14:paraId="661D9EC8" w14:textId="77777777" w:rsidR="00E477E1" w:rsidRPr="0019546F" w:rsidRDefault="009C38BB" w:rsidP="00B80D10">
            <w:pPr>
              <w:spacing w:before="60" w:after="60"/>
              <w:jc w:val="left"/>
              <w:rPr>
                <w:rFonts w:cs="Arial"/>
                <w:sz w:val="22"/>
                <w:szCs w:val="22"/>
                <w:lang w:val="en-GB"/>
              </w:rPr>
            </w:pPr>
            <w:r w:rsidRPr="0019546F">
              <w:rPr>
                <w:rFonts w:cs="Arial"/>
                <w:sz w:val="22"/>
                <w:szCs w:val="22"/>
                <w:lang w:val="en-GB"/>
              </w:rPr>
              <w:t xml:space="preserve">Adolescent </w:t>
            </w:r>
            <w:r w:rsidR="00BA442C" w:rsidRPr="0019546F">
              <w:rPr>
                <w:rFonts w:cs="Arial"/>
                <w:sz w:val="22"/>
                <w:szCs w:val="22"/>
                <w:lang w:val="en-GB"/>
              </w:rPr>
              <w:t>Oral H</w:t>
            </w:r>
            <w:r w:rsidR="00E477E1" w:rsidRPr="0019546F">
              <w:rPr>
                <w:rFonts w:cs="Arial"/>
                <w:sz w:val="22"/>
                <w:szCs w:val="22"/>
                <w:lang w:val="en-GB"/>
              </w:rPr>
              <w:t>ealth Coordination Services</w:t>
            </w:r>
          </w:p>
        </w:tc>
        <w:tc>
          <w:tcPr>
            <w:tcW w:w="1639" w:type="pct"/>
            <w:tcBorders>
              <w:top w:val="single" w:sz="4" w:space="0" w:color="auto"/>
              <w:left w:val="single" w:sz="4" w:space="0" w:color="auto"/>
              <w:bottom w:val="single" w:sz="4" w:space="0" w:color="auto"/>
              <w:right w:val="single" w:sz="4" w:space="0" w:color="auto"/>
            </w:tcBorders>
          </w:tcPr>
          <w:p w14:paraId="19615EC9" w14:textId="77777777" w:rsidR="00E477E1" w:rsidRPr="0019546F" w:rsidRDefault="00E477E1" w:rsidP="00B80D10">
            <w:pPr>
              <w:spacing w:before="60" w:after="60"/>
              <w:jc w:val="left"/>
              <w:rPr>
                <w:rFonts w:cs="Arial"/>
                <w:sz w:val="22"/>
                <w:szCs w:val="22"/>
                <w:lang w:val="en-GB"/>
              </w:rPr>
            </w:pPr>
            <w:r w:rsidRPr="0019546F">
              <w:rPr>
                <w:rFonts w:cs="Arial"/>
                <w:sz w:val="22"/>
                <w:szCs w:val="22"/>
                <w:lang w:val="en-GB"/>
              </w:rPr>
              <w:t>D01009</w:t>
            </w:r>
          </w:p>
        </w:tc>
      </w:tr>
    </w:tbl>
    <w:p w14:paraId="68841088" w14:textId="5DD7E5E2" w:rsidR="00F37D0B" w:rsidRDefault="00F37D0B" w:rsidP="000F25C9">
      <w:pPr>
        <w:pStyle w:val="Heading1"/>
      </w:pPr>
      <w:r>
        <w:t>Reporting Requirements</w:t>
      </w:r>
    </w:p>
    <w:p w14:paraId="2A47948F" w14:textId="1AAFBB25" w:rsidR="00F37D0B" w:rsidRDefault="00D95227" w:rsidP="00541495">
      <w:pPr>
        <w:spacing w:before="120"/>
        <w:jc w:val="left"/>
        <w:rPr>
          <w:rFonts w:cs="Arial"/>
        </w:rPr>
      </w:pPr>
      <w:r w:rsidRPr="00D95227">
        <w:rPr>
          <w:rFonts w:cs="Arial"/>
        </w:rPr>
        <w:t xml:space="preserve">Specific reporting requirements apply in the tier two service specifications and the CDA. </w:t>
      </w:r>
    </w:p>
    <w:p w14:paraId="62AB29A5" w14:textId="4A9F3214" w:rsidR="00F37D0B" w:rsidRPr="00C40EF7" w:rsidRDefault="00F37D0B" w:rsidP="00541495">
      <w:pPr>
        <w:spacing w:before="120"/>
        <w:jc w:val="left"/>
        <w:rPr>
          <w:rFonts w:cs="Arial"/>
          <w:b/>
        </w:rPr>
      </w:pPr>
      <w:r w:rsidRPr="00C40EF7">
        <w:rPr>
          <w:rFonts w:cs="Arial"/>
          <w:b/>
        </w:rPr>
        <w:t xml:space="preserve">Ethnicity Reporting </w:t>
      </w:r>
    </w:p>
    <w:p w14:paraId="653F4BFE" w14:textId="55DF74B8" w:rsidR="009F359F" w:rsidRPr="00C40EF7" w:rsidRDefault="003B15E7" w:rsidP="00541495">
      <w:pPr>
        <w:spacing w:before="120"/>
        <w:jc w:val="left"/>
        <w:rPr>
          <w:rFonts w:cs="Arial"/>
        </w:rPr>
      </w:pPr>
      <w:r>
        <w:rPr>
          <w:rFonts w:cs="Arial"/>
        </w:rPr>
        <w:t>Service Providers</w:t>
      </w:r>
      <w:r w:rsidR="009F359F" w:rsidRPr="00C40EF7">
        <w:rPr>
          <w:rFonts w:cs="Arial"/>
        </w:rPr>
        <w:t xml:space="preserve"> will record data at the unit (individual) level, using the National Health Index (NHI).  </w:t>
      </w:r>
    </w:p>
    <w:p w14:paraId="585113E3" w14:textId="1EFF26E2" w:rsidR="009F359F" w:rsidRPr="00C40EF7" w:rsidRDefault="009F359F" w:rsidP="00541495">
      <w:pPr>
        <w:spacing w:before="120"/>
        <w:jc w:val="left"/>
        <w:rPr>
          <w:rFonts w:cs="Arial"/>
          <w:b/>
        </w:rPr>
      </w:pPr>
      <w:r w:rsidRPr="00C40EF7">
        <w:rPr>
          <w:rFonts w:cs="Arial"/>
        </w:rPr>
        <w:t>Ethnicity data is to be collected according to the HISO 10001:2017 Ethnicity Data Protocols for the health and disability sector.</w:t>
      </w:r>
    </w:p>
    <w:p w14:paraId="01B17880" w14:textId="77E7FB93" w:rsidR="00F37D0B" w:rsidRPr="00F73D51" w:rsidRDefault="00F37D0B" w:rsidP="009F359F">
      <w:pPr>
        <w:spacing w:before="120"/>
        <w:jc w:val="left"/>
        <w:rPr>
          <w:rFonts w:cs="Arial"/>
        </w:rPr>
      </w:pPr>
      <w:r w:rsidRPr="00C40EF7">
        <w:rPr>
          <w:rFonts w:cs="Arial"/>
        </w:rPr>
        <w:t>To align with</w:t>
      </w:r>
      <w:r w:rsidR="009F359F" w:rsidRPr="00C40EF7">
        <w:rPr>
          <w:rFonts w:cs="Arial"/>
        </w:rPr>
        <w:t xml:space="preserve"> </w:t>
      </w:r>
      <w:r w:rsidR="00C40EF7" w:rsidRPr="00C40EF7">
        <w:rPr>
          <w:rFonts w:cs="Arial"/>
        </w:rPr>
        <w:t>Statistics New Zealand’s</w:t>
      </w:r>
      <w:r w:rsidRPr="00C40EF7">
        <w:rPr>
          <w:rFonts w:cs="Arial"/>
        </w:rPr>
        <w:t xml:space="preserve"> </w:t>
      </w:r>
      <w:r w:rsidR="00C40EF7" w:rsidRPr="00C40EF7">
        <w:rPr>
          <w:rFonts w:cs="Arial"/>
        </w:rPr>
        <w:t xml:space="preserve">statistical </w:t>
      </w:r>
      <w:r w:rsidRPr="00C40EF7">
        <w:rPr>
          <w:rFonts w:cs="Arial"/>
        </w:rPr>
        <w:t>standards for ethnicity</w:t>
      </w:r>
      <w:r w:rsidR="00C40EF7" w:rsidRPr="00C40EF7">
        <w:rPr>
          <w:rFonts w:cs="Arial"/>
        </w:rPr>
        <w:t xml:space="preserve">, </w:t>
      </w:r>
      <w:r w:rsidRPr="00C40EF7">
        <w:rPr>
          <w:rFonts w:cs="Arial"/>
        </w:rPr>
        <w:t xml:space="preserve">the requirement for all organisations in the health sector is to move to collecting ethnicity data at level 4 of the ethnicity data protocols by 1 July 2022. </w:t>
      </w:r>
    </w:p>
    <w:sectPr w:rsidR="00F37D0B" w:rsidRPr="00F73D51" w:rsidSect="009B454D">
      <w:pgSz w:w="11906" w:h="16838" w:code="9"/>
      <w:pgMar w:top="720" w:right="720" w:bottom="720" w:left="85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9F4A" w14:textId="77777777" w:rsidR="001521F6" w:rsidRDefault="001521F6">
      <w:r>
        <w:separator/>
      </w:r>
    </w:p>
  </w:endnote>
  <w:endnote w:type="continuationSeparator" w:id="0">
    <w:p w14:paraId="22887F77" w14:textId="77777777" w:rsidR="001521F6" w:rsidRDefault="001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Omne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CC93" w14:textId="77777777" w:rsidR="007253C3" w:rsidRDefault="007253C3" w:rsidP="004F5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6CAD1" w14:textId="77777777" w:rsidR="007253C3" w:rsidRDefault="007253C3" w:rsidP="004F5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C824" w14:textId="77777777" w:rsidR="007253C3" w:rsidRPr="00503FAC" w:rsidRDefault="007253C3" w:rsidP="004F55AC">
    <w:pPr>
      <w:pStyle w:val="Footer"/>
      <w:framePr w:wrap="around" w:vAnchor="text" w:hAnchor="margin" w:xAlign="right" w:y="1"/>
      <w:rPr>
        <w:rStyle w:val="PageNumber"/>
        <w:rFonts w:ascii="Arial" w:hAnsi="Arial" w:cs="Arial"/>
        <w:sz w:val="20"/>
      </w:rPr>
    </w:pPr>
    <w:r w:rsidRPr="00503FAC">
      <w:rPr>
        <w:rStyle w:val="PageNumber"/>
        <w:rFonts w:ascii="Arial" w:hAnsi="Arial" w:cs="Arial"/>
        <w:sz w:val="20"/>
      </w:rPr>
      <w:fldChar w:fldCharType="begin"/>
    </w:r>
    <w:r w:rsidRPr="00503FAC">
      <w:rPr>
        <w:rStyle w:val="PageNumber"/>
        <w:rFonts w:ascii="Arial" w:hAnsi="Arial" w:cs="Arial"/>
        <w:sz w:val="20"/>
      </w:rPr>
      <w:instrText xml:space="preserve">PAGE  </w:instrText>
    </w:r>
    <w:r w:rsidRPr="00503FAC">
      <w:rPr>
        <w:rStyle w:val="PageNumber"/>
        <w:rFonts w:ascii="Arial" w:hAnsi="Arial" w:cs="Arial"/>
        <w:sz w:val="20"/>
      </w:rPr>
      <w:fldChar w:fldCharType="separate"/>
    </w:r>
    <w:r w:rsidRPr="00503FAC">
      <w:rPr>
        <w:rStyle w:val="PageNumber"/>
        <w:rFonts w:ascii="Arial" w:hAnsi="Arial" w:cs="Arial"/>
        <w:noProof/>
        <w:sz w:val="20"/>
      </w:rPr>
      <w:t>2</w:t>
    </w:r>
    <w:r w:rsidRPr="00503FAC">
      <w:rPr>
        <w:rStyle w:val="PageNumber"/>
        <w:rFonts w:ascii="Arial" w:hAnsi="Arial" w:cs="Arial"/>
        <w:sz w:val="20"/>
      </w:rPr>
      <w:fldChar w:fldCharType="end"/>
    </w:r>
  </w:p>
  <w:p w14:paraId="75952753" w14:textId="32C5D08A" w:rsidR="002E3B63" w:rsidRDefault="007253C3" w:rsidP="00364D21">
    <w:pPr>
      <w:pStyle w:val="Footer"/>
      <w:pBdr>
        <w:top w:val="single" w:sz="4" w:space="1" w:color="auto"/>
      </w:pBdr>
      <w:tabs>
        <w:tab w:val="clear" w:pos="8306"/>
        <w:tab w:val="left" w:pos="8790"/>
      </w:tabs>
      <w:ind w:right="360"/>
      <w:rPr>
        <w:rFonts w:ascii="Arial" w:hAnsi="Arial" w:cs="Arial"/>
        <w:sz w:val="20"/>
      </w:rPr>
    </w:pPr>
    <w:r>
      <w:rPr>
        <w:rFonts w:ascii="Arial" w:hAnsi="Arial" w:cs="Arial"/>
        <w:sz w:val="20"/>
      </w:rPr>
      <w:t xml:space="preserve">Tier One </w:t>
    </w:r>
    <w:r w:rsidRPr="00332278">
      <w:rPr>
        <w:rFonts w:ascii="Arial" w:hAnsi="Arial" w:cs="Arial"/>
        <w:sz w:val="20"/>
      </w:rPr>
      <w:t>Oral Health Services service specification</w:t>
    </w:r>
    <w:r>
      <w:rPr>
        <w:rFonts w:ascii="Arial" w:hAnsi="Arial" w:cs="Arial"/>
        <w:sz w:val="20"/>
      </w:rPr>
      <w:t xml:space="preserve"> </w:t>
    </w:r>
    <w:r w:rsidR="00364D21">
      <w:rPr>
        <w:rFonts w:ascii="Arial" w:hAnsi="Arial" w:cs="Arial"/>
        <w:sz w:val="20"/>
      </w:rPr>
      <w:t>May</w:t>
    </w:r>
    <w:r w:rsidR="00A87C24">
      <w:rPr>
        <w:rFonts w:ascii="Arial" w:hAnsi="Arial" w:cs="Arial"/>
        <w:sz w:val="20"/>
      </w:rPr>
      <w:t xml:space="preserve"> 2021</w:t>
    </w:r>
  </w:p>
  <w:p w14:paraId="4AD6D0FB" w14:textId="3EF0B112" w:rsidR="007253C3" w:rsidRPr="00332278" w:rsidRDefault="007253C3" w:rsidP="00364D21">
    <w:pPr>
      <w:pStyle w:val="Footer"/>
      <w:pBdr>
        <w:top w:val="single" w:sz="4" w:space="1" w:color="auto"/>
      </w:pBdr>
      <w:tabs>
        <w:tab w:val="clear" w:pos="8306"/>
        <w:tab w:val="left" w:pos="8790"/>
      </w:tabs>
      <w:ind w:right="360"/>
      <w:rPr>
        <w:rStyle w:val="PageNumber"/>
        <w:rFonts w:ascii="Arial" w:hAnsi="Arial" w:cs="Arial"/>
        <w:sz w:val="20"/>
      </w:rPr>
    </w:pPr>
    <w:r w:rsidRPr="00332278">
      <w:rPr>
        <w:rFonts w:ascii="Arial" w:hAnsi="Arial" w:cs="Arial"/>
        <w:sz w:val="20"/>
      </w:rPr>
      <w:t>Nationwide Service Framework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61634"/>
      <w:docPartObj>
        <w:docPartGallery w:val="Page Numbers (Bottom of Page)"/>
        <w:docPartUnique/>
      </w:docPartObj>
    </w:sdtPr>
    <w:sdtEndPr>
      <w:rPr>
        <w:noProof/>
      </w:rPr>
    </w:sdtEndPr>
    <w:sdtContent>
      <w:p w14:paraId="4355665C" w14:textId="6D14A037" w:rsidR="00503FAC" w:rsidRDefault="00503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B7390" w14:textId="77777777" w:rsidR="00503FAC" w:rsidRPr="00332278" w:rsidRDefault="00503FAC" w:rsidP="00503FAC">
    <w:pPr>
      <w:pStyle w:val="Footer"/>
      <w:pBdr>
        <w:top w:val="single" w:sz="4" w:space="1" w:color="auto"/>
      </w:pBdr>
      <w:tabs>
        <w:tab w:val="clear" w:pos="8306"/>
        <w:tab w:val="left" w:pos="8790"/>
      </w:tabs>
      <w:ind w:right="360"/>
      <w:rPr>
        <w:rStyle w:val="PageNumber"/>
        <w:rFonts w:ascii="Arial" w:hAnsi="Arial" w:cs="Arial"/>
        <w:sz w:val="20"/>
      </w:rPr>
    </w:pPr>
    <w:r>
      <w:rPr>
        <w:rFonts w:ascii="Arial" w:hAnsi="Arial" w:cs="Arial"/>
        <w:sz w:val="20"/>
      </w:rPr>
      <w:t xml:space="preserve">Tier One </w:t>
    </w:r>
    <w:r w:rsidRPr="00332278">
      <w:rPr>
        <w:rFonts w:ascii="Arial" w:hAnsi="Arial" w:cs="Arial"/>
        <w:sz w:val="20"/>
      </w:rPr>
      <w:t>Oral Health Services service specification</w:t>
    </w:r>
    <w:r>
      <w:rPr>
        <w:rFonts w:ascii="Arial" w:hAnsi="Arial" w:cs="Arial"/>
        <w:sz w:val="20"/>
      </w:rPr>
      <w:t xml:space="preserve"> May 2021 - </w:t>
    </w:r>
    <w:r w:rsidRPr="00332278">
      <w:rPr>
        <w:rFonts w:ascii="Arial" w:hAnsi="Arial" w:cs="Arial"/>
        <w:sz w:val="20"/>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EF3F" w14:textId="77777777" w:rsidR="001521F6" w:rsidRDefault="001521F6">
      <w:r>
        <w:separator/>
      </w:r>
    </w:p>
  </w:footnote>
  <w:footnote w:type="continuationSeparator" w:id="0">
    <w:p w14:paraId="0F902248" w14:textId="77777777" w:rsidR="001521F6" w:rsidRDefault="001521F6">
      <w:r>
        <w:continuationSeparator/>
      </w:r>
    </w:p>
  </w:footnote>
  <w:footnote w:id="1">
    <w:p w14:paraId="12737C3F" w14:textId="7F277A65" w:rsidR="007253C3" w:rsidRPr="006C3688" w:rsidRDefault="007253C3" w:rsidP="00326ECA">
      <w:pPr>
        <w:pStyle w:val="FootnoteText"/>
        <w:jc w:val="left"/>
        <w:rPr>
          <w:rFonts w:cs="Arial"/>
        </w:rPr>
      </w:pPr>
      <w:r>
        <w:rPr>
          <w:rStyle w:val="FootnoteReference"/>
        </w:rPr>
        <w:footnoteRef/>
      </w:r>
      <w:r>
        <w:t xml:space="preserve"> </w:t>
      </w:r>
      <w:hyperlink r:id="rId1" w:history="1">
        <w:r w:rsidRPr="002E389D">
          <w:rPr>
            <w:rStyle w:val="Hyperlink"/>
            <w:rFonts w:cs="Arial"/>
          </w:rPr>
          <w:t>www.health.govt.nz/publication/good-oral-health-all-life</w:t>
        </w:r>
      </w:hyperlink>
    </w:p>
  </w:footnote>
  <w:footnote w:id="2">
    <w:p w14:paraId="73723A7A" w14:textId="1556B0C3" w:rsidR="007253C3" w:rsidRPr="006C3688" w:rsidRDefault="007253C3" w:rsidP="00326ECA">
      <w:pPr>
        <w:pStyle w:val="FootnoteText"/>
        <w:jc w:val="left"/>
        <w:rPr>
          <w:rFonts w:cs="Arial"/>
        </w:rPr>
      </w:pPr>
      <w:r w:rsidRPr="006C3688">
        <w:rPr>
          <w:rStyle w:val="FootnoteReference"/>
          <w:rFonts w:cs="Arial"/>
        </w:rPr>
        <w:footnoteRef/>
      </w:r>
      <w:r w:rsidRPr="006C3688">
        <w:rPr>
          <w:rFonts w:cs="Arial"/>
        </w:rPr>
        <w:t xml:space="preserve"> The range of documents listed are available </w:t>
      </w:r>
      <w:r w:rsidR="002E389D">
        <w:rPr>
          <w:rFonts w:cs="Arial"/>
        </w:rPr>
        <w:t>on</w:t>
      </w:r>
      <w:r w:rsidRPr="006C3688">
        <w:rPr>
          <w:rFonts w:cs="Arial"/>
        </w:rPr>
        <w:t xml:space="preserve"> the Ministry of Health</w:t>
      </w:r>
      <w:r>
        <w:rPr>
          <w:rFonts w:cs="Arial"/>
        </w:rPr>
        <w:t>’s website</w:t>
      </w:r>
      <w:r w:rsidR="00292C4E">
        <w:rPr>
          <w:rFonts w:cs="Arial"/>
        </w:rPr>
        <w:t xml:space="preserve"> </w:t>
      </w:r>
      <w:hyperlink r:id="rId2" w:history="1">
        <w:r w:rsidRPr="002E389D">
          <w:rPr>
            <w:rStyle w:val="Hyperlink"/>
            <w:rFonts w:cs="Arial"/>
          </w:rPr>
          <w:t>www.health.govt.nz</w:t>
        </w:r>
      </w:hyperlink>
    </w:p>
  </w:footnote>
  <w:footnote w:id="3">
    <w:p w14:paraId="003A4001" w14:textId="39C7F1E5" w:rsidR="007253C3" w:rsidRDefault="007253C3" w:rsidP="00326ECA">
      <w:pPr>
        <w:pStyle w:val="FootnoteText"/>
        <w:jc w:val="left"/>
      </w:pPr>
      <w:r w:rsidRPr="006C3688">
        <w:rPr>
          <w:rStyle w:val="FootnoteReference"/>
          <w:rFonts w:cs="Arial"/>
        </w:rPr>
        <w:footnoteRef/>
      </w:r>
      <w:r w:rsidRPr="006C3688">
        <w:rPr>
          <w:rFonts w:cs="Arial"/>
        </w:rPr>
        <w:t xml:space="preserve"> </w:t>
      </w:r>
      <w:hyperlink r:id="rId3" w:history="1">
        <w:r w:rsidRPr="002E389D">
          <w:rPr>
            <w:rStyle w:val="Hyperlink"/>
            <w:rFonts w:cs="Arial"/>
          </w:rPr>
          <w:t>www.health.govt.nz/new-zealand-health-system/eligibility-publicly-funded-health-services</w:t>
        </w:r>
      </w:hyperlink>
    </w:p>
  </w:footnote>
  <w:footnote w:id="4">
    <w:p w14:paraId="55B60635" w14:textId="4861767B" w:rsidR="007253C3" w:rsidRPr="00166A54" w:rsidRDefault="007253C3" w:rsidP="00FE2977">
      <w:pPr>
        <w:pStyle w:val="FootnoteText"/>
        <w:jc w:val="left"/>
        <w:rPr>
          <w:rFonts w:cs="Arial"/>
        </w:rPr>
      </w:pPr>
      <w:r w:rsidRPr="00166A54">
        <w:rPr>
          <w:rStyle w:val="FootnoteReference"/>
          <w:rFonts w:cs="Arial"/>
        </w:rPr>
        <w:footnoteRef/>
      </w:r>
      <w:r w:rsidRPr="00166A54">
        <w:rPr>
          <w:rFonts w:cs="Arial"/>
        </w:rPr>
        <w:t xml:space="preserve"> </w:t>
      </w:r>
      <w:bookmarkStart w:id="2" w:name="_Hlk40960681"/>
      <w:r>
        <w:rPr>
          <w:rFonts w:cs="Arial"/>
        </w:rPr>
        <w:t xml:space="preserve">The Service Coverage Schedule describes the agreed level of service coverage for publicly funded services. </w:t>
      </w:r>
      <w:bookmarkEnd w:id="2"/>
      <w:r w:rsidRPr="009F27FD">
        <w:fldChar w:fldCharType="begin"/>
      </w:r>
      <w:r w:rsidR="0087512F">
        <w:instrText>HYPERLINK "https://nsfl.health.govt.nz/accountability/service-coverage-schedule"</w:instrText>
      </w:r>
      <w:r w:rsidRPr="009F27FD">
        <w:fldChar w:fldCharType="separate"/>
      </w:r>
      <w:r w:rsidR="0087512F">
        <w:rPr>
          <w:rStyle w:val="Hyperlink"/>
        </w:rPr>
        <w:t>www.nsfl.health.govt.nz/accountability/service-coverage-schedule</w:t>
      </w:r>
      <w:r w:rsidRPr="009F27FD">
        <w:fldChar w:fldCharType="end"/>
      </w:r>
    </w:p>
  </w:footnote>
  <w:footnote w:id="5">
    <w:p w14:paraId="41FD8C35" w14:textId="3AD2E0AB" w:rsidR="007253C3" w:rsidRDefault="007253C3" w:rsidP="00FD7BDA">
      <w:pPr>
        <w:pStyle w:val="FootnoteText"/>
        <w:jc w:val="left"/>
      </w:pPr>
      <w:r>
        <w:rPr>
          <w:rStyle w:val="FootnoteReference"/>
        </w:rPr>
        <w:footnoteRef/>
      </w:r>
      <w:r>
        <w:t xml:space="preserve"> </w:t>
      </w:r>
      <w:r w:rsidRPr="00FD7BDA">
        <w:rPr>
          <w:rFonts w:cs="Arial"/>
        </w:rPr>
        <w:t xml:space="preserve">The OPF is a </w:t>
      </w:r>
      <w:r>
        <w:rPr>
          <w:rFonts w:cs="Arial"/>
        </w:rPr>
        <w:t xml:space="preserve">set of business rules, policy and guideline principles. It is a </w:t>
      </w:r>
      <w:r w:rsidRPr="00FD7BDA">
        <w:rPr>
          <w:rFonts w:cs="Arial"/>
        </w:rPr>
        <w:t xml:space="preserve">schedule to the Crown Funding Agreement published </w:t>
      </w:r>
      <w:r>
        <w:rPr>
          <w:rFonts w:cs="Arial"/>
        </w:rPr>
        <w:t xml:space="preserve">on the </w:t>
      </w:r>
      <w:r w:rsidR="0047005B">
        <w:rPr>
          <w:rFonts w:cs="Arial"/>
        </w:rPr>
        <w:t>NSFL</w:t>
      </w:r>
      <w:r>
        <w:rPr>
          <w:rFonts w:cs="Arial"/>
        </w:rPr>
        <w:t xml:space="preserve"> website: </w:t>
      </w:r>
      <w:hyperlink r:id="rId4" w:history="1">
        <w:r w:rsidR="0047005B">
          <w:rPr>
            <w:rStyle w:val="Hyperlink"/>
          </w:rPr>
          <w:t>www.nsfl.health.govt.nz/accountability/operational-policy-framework-0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DDA"/>
    <w:multiLevelType w:val="hybridMultilevel"/>
    <w:tmpl w:val="E7CE464A"/>
    <w:lvl w:ilvl="0" w:tplc="6542F4F8">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F41A6E"/>
    <w:multiLevelType w:val="hybridMultilevel"/>
    <w:tmpl w:val="966A0C7E"/>
    <w:lvl w:ilvl="0" w:tplc="6542F4F8">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8397A"/>
    <w:multiLevelType w:val="hybridMultilevel"/>
    <w:tmpl w:val="784EC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5D45D6"/>
    <w:multiLevelType w:val="hybridMultilevel"/>
    <w:tmpl w:val="D2AA8220"/>
    <w:lvl w:ilvl="0" w:tplc="91E2ED2A">
      <w:start w:val="234"/>
      <w:numFmt w:val="bullet"/>
      <w:lvlText w:val="-"/>
      <w:lvlJc w:val="left"/>
      <w:pPr>
        <w:tabs>
          <w:tab w:val="num" w:pos="643"/>
        </w:tabs>
        <w:ind w:left="643" w:hanging="246"/>
      </w:pPr>
      <w:rPr>
        <w:rFonts w:ascii="Times New Roman" w:eastAsia="Times New Roman" w:hAnsi="Times New Roman" w:hint="default"/>
      </w:rPr>
    </w:lvl>
    <w:lvl w:ilvl="1" w:tplc="08090003" w:tentative="1">
      <w:start w:val="1"/>
      <w:numFmt w:val="bullet"/>
      <w:lvlText w:val="o"/>
      <w:lvlJc w:val="left"/>
      <w:pPr>
        <w:tabs>
          <w:tab w:val="num" w:pos="1383"/>
        </w:tabs>
        <w:ind w:left="1383" w:hanging="360"/>
      </w:pPr>
      <w:rPr>
        <w:rFonts w:ascii="Courier New" w:hAnsi="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0E8E0533"/>
    <w:multiLevelType w:val="hybridMultilevel"/>
    <w:tmpl w:val="31307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40F35"/>
    <w:multiLevelType w:val="hybridMultilevel"/>
    <w:tmpl w:val="4BE63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E84E65"/>
    <w:multiLevelType w:val="hybridMultilevel"/>
    <w:tmpl w:val="8C062496"/>
    <w:lvl w:ilvl="0" w:tplc="2C44917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E0DAE"/>
    <w:multiLevelType w:val="hybridMultilevel"/>
    <w:tmpl w:val="083AF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BB4E21"/>
    <w:multiLevelType w:val="hybridMultilevel"/>
    <w:tmpl w:val="2458B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536EFF"/>
    <w:multiLevelType w:val="hybridMultilevel"/>
    <w:tmpl w:val="17B4D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EE90BC8"/>
    <w:multiLevelType w:val="hybridMultilevel"/>
    <w:tmpl w:val="6D98D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204F30"/>
    <w:multiLevelType w:val="hybridMultilevel"/>
    <w:tmpl w:val="5DB44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C1282C"/>
    <w:multiLevelType w:val="hybridMultilevel"/>
    <w:tmpl w:val="9906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683418"/>
    <w:multiLevelType w:val="hybridMultilevel"/>
    <w:tmpl w:val="806E7D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7FD477F"/>
    <w:multiLevelType w:val="hybridMultilevel"/>
    <w:tmpl w:val="969C4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402B18"/>
    <w:multiLevelType w:val="hybridMultilevel"/>
    <w:tmpl w:val="00308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CC69F0"/>
    <w:multiLevelType w:val="multilevel"/>
    <w:tmpl w:val="CD06144E"/>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A30C01"/>
    <w:multiLevelType w:val="singleLevel"/>
    <w:tmpl w:val="08090001"/>
    <w:lvl w:ilvl="0">
      <w:start w:val="1"/>
      <w:numFmt w:val="bullet"/>
      <w:pStyle w:val="111"/>
      <w:lvlText w:val=""/>
      <w:lvlJc w:val="left"/>
      <w:pPr>
        <w:tabs>
          <w:tab w:val="num" w:pos="360"/>
        </w:tabs>
        <w:ind w:left="360" w:hanging="360"/>
      </w:pPr>
      <w:rPr>
        <w:rFonts w:ascii="Symbol" w:hAnsi="Symbol" w:hint="default"/>
      </w:rPr>
    </w:lvl>
  </w:abstractNum>
  <w:abstractNum w:abstractNumId="18" w15:restartNumberingAfterBreak="0">
    <w:nsid w:val="400B281F"/>
    <w:multiLevelType w:val="hybridMultilevel"/>
    <w:tmpl w:val="4B3A512A"/>
    <w:lvl w:ilvl="0" w:tplc="59FEC904">
      <w:numFmt w:val="bullet"/>
      <w:lvlText w:val="•"/>
      <w:lvlJc w:val="left"/>
      <w:pPr>
        <w:ind w:left="720" w:hanging="72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0361E8A"/>
    <w:multiLevelType w:val="hybridMultilevel"/>
    <w:tmpl w:val="8C062496"/>
    <w:lvl w:ilvl="0" w:tplc="747E961A">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418F3"/>
    <w:multiLevelType w:val="hybridMultilevel"/>
    <w:tmpl w:val="9AFC2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CD5D93"/>
    <w:multiLevelType w:val="multilevel"/>
    <w:tmpl w:val="44C82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9A109C"/>
    <w:multiLevelType w:val="multilevel"/>
    <w:tmpl w:val="F4A022F8"/>
    <w:lvl w:ilvl="0">
      <w:start w:val="1"/>
      <w:numFmt w:val="decimal"/>
      <w:pStyle w:val="Heading1"/>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2771"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86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1FF770F"/>
    <w:multiLevelType w:val="hybridMultilevel"/>
    <w:tmpl w:val="AAC4B4B0"/>
    <w:lvl w:ilvl="0" w:tplc="59161C58">
      <w:start w:val="1"/>
      <w:numFmt w:val="bullet"/>
      <w:pStyle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A77837"/>
    <w:multiLevelType w:val="hybridMultilevel"/>
    <w:tmpl w:val="51F47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F9015E"/>
    <w:multiLevelType w:val="hybridMultilevel"/>
    <w:tmpl w:val="5B1A5C84"/>
    <w:lvl w:ilvl="0" w:tplc="FC2A61AA">
      <w:start w:val="1"/>
      <w:numFmt w:val="bullet"/>
      <w:lvlText w:val=""/>
      <w:lvlJc w:val="left"/>
      <w:pPr>
        <w:tabs>
          <w:tab w:val="num" w:pos="780"/>
        </w:tabs>
        <w:ind w:left="780" w:hanging="360"/>
      </w:pPr>
      <w:rPr>
        <w:rFonts w:ascii="Symbol" w:hAnsi="Symbol" w:hint="default"/>
      </w:rPr>
    </w:lvl>
    <w:lvl w:ilvl="1" w:tplc="0DA6020A">
      <w:start w:val="1"/>
      <w:numFmt w:val="bullet"/>
      <w:lvlText w:val="o"/>
      <w:lvlJc w:val="left"/>
      <w:pPr>
        <w:tabs>
          <w:tab w:val="num" w:pos="1500"/>
        </w:tabs>
        <w:ind w:left="1500" w:hanging="360"/>
      </w:pPr>
      <w:rPr>
        <w:rFonts w:ascii="Courier New" w:hAnsi="Courier New" w:cs="Courier New" w:hint="default"/>
      </w:rPr>
    </w:lvl>
    <w:lvl w:ilvl="2" w:tplc="BA42F006">
      <w:start w:val="1"/>
      <w:numFmt w:val="bullet"/>
      <w:lvlText w:val=""/>
      <w:lvlJc w:val="left"/>
      <w:pPr>
        <w:tabs>
          <w:tab w:val="num" w:pos="2220"/>
        </w:tabs>
        <w:ind w:left="2220" w:hanging="360"/>
      </w:pPr>
      <w:rPr>
        <w:rFonts w:ascii="Wingdings" w:hAnsi="Wingdings" w:hint="default"/>
      </w:rPr>
    </w:lvl>
    <w:lvl w:ilvl="3" w:tplc="9DFC3960">
      <w:start w:val="1"/>
      <w:numFmt w:val="bullet"/>
      <w:lvlText w:val=""/>
      <w:lvlJc w:val="left"/>
      <w:pPr>
        <w:tabs>
          <w:tab w:val="num" w:pos="2940"/>
        </w:tabs>
        <w:ind w:left="2940" w:hanging="360"/>
      </w:pPr>
      <w:rPr>
        <w:rFonts w:ascii="Symbol" w:hAnsi="Symbol" w:hint="default"/>
      </w:rPr>
    </w:lvl>
    <w:lvl w:ilvl="4" w:tplc="8B2C7E1A">
      <w:start w:val="1"/>
      <w:numFmt w:val="bullet"/>
      <w:lvlText w:val="o"/>
      <w:lvlJc w:val="left"/>
      <w:pPr>
        <w:tabs>
          <w:tab w:val="num" w:pos="3660"/>
        </w:tabs>
        <w:ind w:left="3660" w:hanging="360"/>
      </w:pPr>
      <w:rPr>
        <w:rFonts w:ascii="Courier New" w:hAnsi="Courier New" w:cs="Courier New" w:hint="default"/>
      </w:rPr>
    </w:lvl>
    <w:lvl w:ilvl="5" w:tplc="4E0227B8">
      <w:start w:val="1"/>
      <w:numFmt w:val="bullet"/>
      <w:lvlText w:val=""/>
      <w:lvlJc w:val="left"/>
      <w:pPr>
        <w:tabs>
          <w:tab w:val="num" w:pos="4380"/>
        </w:tabs>
        <w:ind w:left="4380" w:hanging="360"/>
      </w:pPr>
      <w:rPr>
        <w:rFonts w:ascii="Wingdings" w:hAnsi="Wingdings" w:hint="default"/>
      </w:rPr>
    </w:lvl>
    <w:lvl w:ilvl="6" w:tplc="04D6EC56">
      <w:start w:val="1"/>
      <w:numFmt w:val="bullet"/>
      <w:lvlText w:val=""/>
      <w:lvlJc w:val="left"/>
      <w:pPr>
        <w:tabs>
          <w:tab w:val="num" w:pos="5100"/>
        </w:tabs>
        <w:ind w:left="5100" w:hanging="360"/>
      </w:pPr>
      <w:rPr>
        <w:rFonts w:ascii="Symbol" w:hAnsi="Symbol" w:hint="default"/>
      </w:rPr>
    </w:lvl>
    <w:lvl w:ilvl="7" w:tplc="2584ACEA">
      <w:start w:val="1"/>
      <w:numFmt w:val="bullet"/>
      <w:lvlText w:val="o"/>
      <w:lvlJc w:val="left"/>
      <w:pPr>
        <w:tabs>
          <w:tab w:val="num" w:pos="5820"/>
        </w:tabs>
        <w:ind w:left="5820" w:hanging="360"/>
      </w:pPr>
      <w:rPr>
        <w:rFonts w:ascii="Courier New" w:hAnsi="Courier New" w:cs="Courier New" w:hint="default"/>
      </w:rPr>
    </w:lvl>
    <w:lvl w:ilvl="8" w:tplc="118CA456">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04B70C0"/>
    <w:multiLevelType w:val="hybridMultilevel"/>
    <w:tmpl w:val="C6B0D54E"/>
    <w:lvl w:ilvl="0" w:tplc="F4060D80">
      <w:start w:val="234"/>
      <w:numFmt w:val="bullet"/>
      <w:lvlText w:val="-"/>
      <w:lvlJc w:val="left"/>
      <w:pPr>
        <w:tabs>
          <w:tab w:val="num" w:pos="2451"/>
        </w:tabs>
        <w:ind w:left="2451" w:hanging="360"/>
      </w:pPr>
      <w:rPr>
        <w:rFonts w:ascii="Times New Roman" w:eastAsia="Times New Roman" w:hAnsi="Times New Roman" w:hint="default"/>
      </w:rPr>
    </w:lvl>
    <w:lvl w:ilvl="1" w:tplc="FFFFFFFF">
      <w:start w:val="1"/>
      <w:numFmt w:val="bullet"/>
      <w:lvlText w:val=""/>
      <w:legacy w:legacy="1" w:legacySpace="360" w:legacyIndent="284"/>
      <w:lvlJc w:val="left"/>
      <w:pPr>
        <w:ind w:left="3545" w:hanging="284"/>
      </w:pPr>
      <w:rPr>
        <w:rFonts w:ascii="Symbol" w:hAnsi="Symbol" w:hint="default"/>
      </w:rPr>
    </w:lvl>
    <w:lvl w:ilvl="2" w:tplc="04090005" w:tentative="1">
      <w:start w:val="1"/>
      <w:numFmt w:val="bullet"/>
      <w:lvlText w:val=""/>
      <w:lvlJc w:val="left"/>
      <w:pPr>
        <w:tabs>
          <w:tab w:val="num" w:pos="4341"/>
        </w:tabs>
        <w:ind w:left="4341" w:hanging="360"/>
      </w:pPr>
      <w:rPr>
        <w:rFonts w:ascii="Wingdings" w:hAnsi="Wingdings" w:hint="default"/>
      </w:rPr>
    </w:lvl>
    <w:lvl w:ilvl="3" w:tplc="04090001" w:tentative="1">
      <w:start w:val="1"/>
      <w:numFmt w:val="bullet"/>
      <w:lvlText w:val=""/>
      <w:lvlJc w:val="left"/>
      <w:pPr>
        <w:tabs>
          <w:tab w:val="num" w:pos="5061"/>
        </w:tabs>
        <w:ind w:left="5061" w:hanging="360"/>
      </w:pPr>
      <w:rPr>
        <w:rFonts w:ascii="Symbol" w:hAnsi="Symbol" w:hint="default"/>
      </w:rPr>
    </w:lvl>
    <w:lvl w:ilvl="4" w:tplc="04090003" w:tentative="1">
      <w:start w:val="1"/>
      <w:numFmt w:val="bullet"/>
      <w:lvlText w:val="o"/>
      <w:lvlJc w:val="left"/>
      <w:pPr>
        <w:tabs>
          <w:tab w:val="num" w:pos="5781"/>
        </w:tabs>
        <w:ind w:left="5781" w:hanging="360"/>
      </w:pPr>
      <w:rPr>
        <w:rFonts w:ascii="Courier New" w:hAnsi="Courier New" w:hint="default"/>
      </w:rPr>
    </w:lvl>
    <w:lvl w:ilvl="5" w:tplc="04090005" w:tentative="1">
      <w:start w:val="1"/>
      <w:numFmt w:val="bullet"/>
      <w:lvlText w:val=""/>
      <w:lvlJc w:val="left"/>
      <w:pPr>
        <w:tabs>
          <w:tab w:val="num" w:pos="6501"/>
        </w:tabs>
        <w:ind w:left="6501" w:hanging="360"/>
      </w:pPr>
      <w:rPr>
        <w:rFonts w:ascii="Wingdings" w:hAnsi="Wingdings" w:hint="default"/>
      </w:rPr>
    </w:lvl>
    <w:lvl w:ilvl="6" w:tplc="04090001" w:tentative="1">
      <w:start w:val="1"/>
      <w:numFmt w:val="bullet"/>
      <w:lvlText w:val=""/>
      <w:lvlJc w:val="left"/>
      <w:pPr>
        <w:tabs>
          <w:tab w:val="num" w:pos="7221"/>
        </w:tabs>
        <w:ind w:left="7221" w:hanging="360"/>
      </w:pPr>
      <w:rPr>
        <w:rFonts w:ascii="Symbol" w:hAnsi="Symbol" w:hint="default"/>
      </w:rPr>
    </w:lvl>
    <w:lvl w:ilvl="7" w:tplc="04090003" w:tentative="1">
      <w:start w:val="1"/>
      <w:numFmt w:val="bullet"/>
      <w:lvlText w:val="o"/>
      <w:lvlJc w:val="left"/>
      <w:pPr>
        <w:tabs>
          <w:tab w:val="num" w:pos="7941"/>
        </w:tabs>
        <w:ind w:left="7941" w:hanging="360"/>
      </w:pPr>
      <w:rPr>
        <w:rFonts w:ascii="Courier New" w:hAnsi="Courier New" w:hint="default"/>
      </w:rPr>
    </w:lvl>
    <w:lvl w:ilvl="8" w:tplc="04090005" w:tentative="1">
      <w:start w:val="1"/>
      <w:numFmt w:val="bullet"/>
      <w:lvlText w:val=""/>
      <w:lvlJc w:val="left"/>
      <w:pPr>
        <w:tabs>
          <w:tab w:val="num" w:pos="8661"/>
        </w:tabs>
        <w:ind w:left="8661" w:hanging="360"/>
      </w:pPr>
      <w:rPr>
        <w:rFonts w:ascii="Wingdings" w:hAnsi="Wingdings" w:hint="default"/>
      </w:rPr>
    </w:lvl>
  </w:abstractNum>
  <w:abstractNum w:abstractNumId="27" w15:restartNumberingAfterBreak="0">
    <w:nsid w:val="64864366"/>
    <w:multiLevelType w:val="hybridMultilevel"/>
    <w:tmpl w:val="AB207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C500125"/>
    <w:multiLevelType w:val="hybridMultilevel"/>
    <w:tmpl w:val="E6A4D23E"/>
    <w:lvl w:ilvl="0" w:tplc="747E961A">
      <w:start w:val="1"/>
      <w:numFmt w:val="bullet"/>
      <w:lvlText w:val=""/>
      <w:lvlJc w:val="left"/>
      <w:pPr>
        <w:tabs>
          <w:tab w:val="num" w:pos="567"/>
        </w:tabs>
        <w:ind w:left="567"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E74D0"/>
    <w:multiLevelType w:val="hybridMultilevel"/>
    <w:tmpl w:val="8C062496"/>
    <w:lvl w:ilvl="0" w:tplc="2C44917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72239"/>
    <w:multiLevelType w:val="hybridMultilevel"/>
    <w:tmpl w:val="229E87B0"/>
    <w:lvl w:ilvl="0" w:tplc="59FEC904">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850CB6"/>
    <w:multiLevelType w:val="hybridMultilevel"/>
    <w:tmpl w:val="C6927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7"/>
  </w:num>
  <w:num w:numId="4">
    <w:abstractNumId w:val="29"/>
  </w:num>
  <w:num w:numId="5">
    <w:abstractNumId w:val="6"/>
  </w:num>
  <w:num w:numId="6">
    <w:abstractNumId w:val="28"/>
  </w:num>
  <w:num w:numId="7">
    <w:abstractNumId w:val="19"/>
  </w:num>
  <w:num w:numId="8">
    <w:abstractNumId w:val="3"/>
  </w:num>
  <w:num w:numId="9">
    <w:abstractNumId w:val="22"/>
  </w:num>
  <w:num w:numId="10">
    <w:abstractNumId w:val="9"/>
  </w:num>
  <w:num w:numId="11">
    <w:abstractNumId w:val="15"/>
  </w:num>
  <w:num w:numId="12">
    <w:abstractNumId w:val="20"/>
  </w:num>
  <w:num w:numId="13">
    <w:abstractNumId w:val="10"/>
  </w:num>
  <w:num w:numId="14">
    <w:abstractNumId w:val="7"/>
  </w:num>
  <w:num w:numId="15">
    <w:abstractNumId w:val="4"/>
  </w:num>
  <w:num w:numId="16">
    <w:abstractNumId w:val="12"/>
  </w:num>
  <w:num w:numId="17">
    <w:abstractNumId w:val="14"/>
  </w:num>
  <w:num w:numId="18">
    <w:abstractNumId w:val="24"/>
  </w:num>
  <w:num w:numId="19">
    <w:abstractNumId w:val="11"/>
  </w:num>
  <w:num w:numId="20">
    <w:abstractNumId w:val="21"/>
  </w:num>
  <w:num w:numId="21">
    <w:abstractNumId w:val="8"/>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22"/>
  </w:num>
  <w:num w:numId="27">
    <w:abstractNumId w:val="18"/>
  </w:num>
  <w:num w:numId="28">
    <w:abstractNumId w:val="27"/>
  </w:num>
  <w:num w:numId="29">
    <w:abstractNumId w:val="5"/>
  </w:num>
  <w:num w:numId="30">
    <w:abstractNumId w:val="25"/>
  </w:num>
  <w:num w:numId="31">
    <w:abstractNumId w:val="13"/>
  </w:num>
  <w:num w:numId="32">
    <w:abstractNumId w:val="31"/>
  </w:num>
  <w:num w:numId="33">
    <w:abstractNumId w:val="1"/>
  </w:num>
  <w:num w:numId="3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9B"/>
    <w:rsid w:val="00001FF3"/>
    <w:rsid w:val="00014CA7"/>
    <w:rsid w:val="000170D4"/>
    <w:rsid w:val="00022BBD"/>
    <w:rsid w:val="00025367"/>
    <w:rsid w:val="00037CE1"/>
    <w:rsid w:val="00040EC8"/>
    <w:rsid w:val="0004242E"/>
    <w:rsid w:val="00042B0A"/>
    <w:rsid w:val="00045B4E"/>
    <w:rsid w:val="0005245A"/>
    <w:rsid w:val="00052C52"/>
    <w:rsid w:val="000548AC"/>
    <w:rsid w:val="00062A79"/>
    <w:rsid w:val="000635EE"/>
    <w:rsid w:val="00072D12"/>
    <w:rsid w:val="000759E3"/>
    <w:rsid w:val="000801AF"/>
    <w:rsid w:val="00081301"/>
    <w:rsid w:val="00083E13"/>
    <w:rsid w:val="00087A8C"/>
    <w:rsid w:val="00093700"/>
    <w:rsid w:val="00094597"/>
    <w:rsid w:val="00095743"/>
    <w:rsid w:val="000A1A0A"/>
    <w:rsid w:val="000A6C79"/>
    <w:rsid w:val="000B33FB"/>
    <w:rsid w:val="000B4597"/>
    <w:rsid w:val="000C0CD1"/>
    <w:rsid w:val="000C43B4"/>
    <w:rsid w:val="000C4BAE"/>
    <w:rsid w:val="000D5E82"/>
    <w:rsid w:val="000E29F5"/>
    <w:rsid w:val="000E3DBF"/>
    <w:rsid w:val="000E7717"/>
    <w:rsid w:val="000F04B1"/>
    <w:rsid w:val="000F25C9"/>
    <w:rsid w:val="000F514A"/>
    <w:rsid w:val="000F7394"/>
    <w:rsid w:val="001015CB"/>
    <w:rsid w:val="00105F01"/>
    <w:rsid w:val="00111A7C"/>
    <w:rsid w:val="001123BE"/>
    <w:rsid w:val="00115715"/>
    <w:rsid w:val="00120C0A"/>
    <w:rsid w:val="00121793"/>
    <w:rsid w:val="00124DFC"/>
    <w:rsid w:val="00125F4B"/>
    <w:rsid w:val="001335C4"/>
    <w:rsid w:val="00140490"/>
    <w:rsid w:val="00140E12"/>
    <w:rsid w:val="00141235"/>
    <w:rsid w:val="00143460"/>
    <w:rsid w:val="0014481A"/>
    <w:rsid w:val="00145158"/>
    <w:rsid w:val="00147910"/>
    <w:rsid w:val="001504DD"/>
    <w:rsid w:val="001521F6"/>
    <w:rsid w:val="0016021C"/>
    <w:rsid w:val="001633A3"/>
    <w:rsid w:val="00164FBB"/>
    <w:rsid w:val="00166A54"/>
    <w:rsid w:val="001701A9"/>
    <w:rsid w:val="00171FB9"/>
    <w:rsid w:val="00173A57"/>
    <w:rsid w:val="00175F54"/>
    <w:rsid w:val="001762BC"/>
    <w:rsid w:val="00190BDF"/>
    <w:rsid w:val="00191E04"/>
    <w:rsid w:val="00192442"/>
    <w:rsid w:val="001935D0"/>
    <w:rsid w:val="00193855"/>
    <w:rsid w:val="00194194"/>
    <w:rsid w:val="0019546F"/>
    <w:rsid w:val="00196BBA"/>
    <w:rsid w:val="001A433B"/>
    <w:rsid w:val="001A4D99"/>
    <w:rsid w:val="001B38C7"/>
    <w:rsid w:val="001B4258"/>
    <w:rsid w:val="001B679F"/>
    <w:rsid w:val="001C0714"/>
    <w:rsid w:val="001C42D5"/>
    <w:rsid w:val="001C455A"/>
    <w:rsid w:val="001C48F6"/>
    <w:rsid w:val="001C54B0"/>
    <w:rsid w:val="001C5736"/>
    <w:rsid w:val="001D2F70"/>
    <w:rsid w:val="001D780B"/>
    <w:rsid w:val="001D78C3"/>
    <w:rsid w:val="001E5125"/>
    <w:rsid w:val="001E64AF"/>
    <w:rsid w:val="001E6A95"/>
    <w:rsid w:val="001F0759"/>
    <w:rsid w:val="001F0D2F"/>
    <w:rsid w:val="00201E06"/>
    <w:rsid w:val="002079CF"/>
    <w:rsid w:val="00211AD9"/>
    <w:rsid w:val="00212313"/>
    <w:rsid w:val="00212492"/>
    <w:rsid w:val="00213951"/>
    <w:rsid w:val="002144BC"/>
    <w:rsid w:val="00214DDE"/>
    <w:rsid w:val="00220D0A"/>
    <w:rsid w:val="00220E07"/>
    <w:rsid w:val="002226C1"/>
    <w:rsid w:val="0023515E"/>
    <w:rsid w:val="00236266"/>
    <w:rsid w:val="0024153E"/>
    <w:rsid w:val="00243E18"/>
    <w:rsid w:val="00244890"/>
    <w:rsid w:val="00250E08"/>
    <w:rsid w:val="00256630"/>
    <w:rsid w:val="00260628"/>
    <w:rsid w:val="002631A1"/>
    <w:rsid w:val="002649ED"/>
    <w:rsid w:val="002655B9"/>
    <w:rsid w:val="00276BC2"/>
    <w:rsid w:val="00286AE4"/>
    <w:rsid w:val="00287465"/>
    <w:rsid w:val="00291B0E"/>
    <w:rsid w:val="00292B53"/>
    <w:rsid w:val="00292C4E"/>
    <w:rsid w:val="00297767"/>
    <w:rsid w:val="002A1520"/>
    <w:rsid w:val="002A3BEB"/>
    <w:rsid w:val="002A5E4D"/>
    <w:rsid w:val="002B138C"/>
    <w:rsid w:val="002B26F7"/>
    <w:rsid w:val="002B4567"/>
    <w:rsid w:val="002B5131"/>
    <w:rsid w:val="002C089B"/>
    <w:rsid w:val="002C213C"/>
    <w:rsid w:val="002D49D8"/>
    <w:rsid w:val="002D6CA7"/>
    <w:rsid w:val="002D766B"/>
    <w:rsid w:val="002D79C7"/>
    <w:rsid w:val="002E1C0A"/>
    <w:rsid w:val="002E389D"/>
    <w:rsid w:val="002E3B63"/>
    <w:rsid w:val="002F559F"/>
    <w:rsid w:val="003022AD"/>
    <w:rsid w:val="0030312C"/>
    <w:rsid w:val="00307600"/>
    <w:rsid w:val="00310A7C"/>
    <w:rsid w:val="00313F26"/>
    <w:rsid w:val="00314D8B"/>
    <w:rsid w:val="0031523A"/>
    <w:rsid w:val="00321742"/>
    <w:rsid w:val="00326ECA"/>
    <w:rsid w:val="00330B69"/>
    <w:rsid w:val="00330D8E"/>
    <w:rsid w:val="00332278"/>
    <w:rsid w:val="00345170"/>
    <w:rsid w:val="00347C21"/>
    <w:rsid w:val="003551D4"/>
    <w:rsid w:val="00356820"/>
    <w:rsid w:val="003601E4"/>
    <w:rsid w:val="00362021"/>
    <w:rsid w:val="00364D21"/>
    <w:rsid w:val="00366139"/>
    <w:rsid w:val="00367793"/>
    <w:rsid w:val="0037763E"/>
    <w:rsid w:val="0038139A"/>
    <w:rsid w:val="00382E21"/>
    <w:rsid w:val="00386876"/>
    <w:rsid w:val="00386D91"/>
    <w:rsid w:val="003878B4"/>
    <w:rsid w:val="003964E5"/>
    <w:rsid w:val="00397E26"/>
    <w:rsid w:val="003A2185"/>
    <w:rsid w:val="003A2EB3"/>
    <w:rsid w:val="003A42C6"/>
    <w:rsid w:val="003B15E7"/>
    <w:rsid w:val="003B3DF7"/>
    <w:rsid w:val="003C041E"/>
    <w:rsid w:val="003C793C"/>
    <w:rsid w:val="003D00BD"/>
    <w:rsid w:val="003D1F7D"/>
    <w:rsid w:val="003D57CD"/>
    <w:rsid w:val="003E4093"/>
    <w:rsid w:val="003E40EF"/>
    <w:rsid w:val="003E449A"/>
    <w:rsid w:val="003E6ECE"/>
    <w:rsid w:val="003F1D17"/>
    <w:rsid w:val="00407ED5"/>
    <w:rsid w:val="00410F40"/>
    <w:rsid w:val="004146F9"/>
    <w:rsid w:val="00433E77"/>
    <w:rsid w:val="00441768"/>
    <w:rsid w:val="00442836"/>
    <w:rsid w:val="00442E28"/>
    <w:rsid w:val="00445C4D"/>
    <w:rsid w:val="0044655F"/>
    <w:rsid w:val="0045569E"/>
    <w:rsid w:val="00456447"/>
    <w:rsid w:val="00457D4A"/>
    <w:rsid w:val="00460676"/>
    <w:rsid w:val="004666DF"/>
    <w:rsid w:val="00466E24"/>
    <w:rsid w:val="0047005B"/>
    <w:rsid w:val="00470D9F"/>
    <w:rsid w:val="004774E4"/>
    <w:rsid w:val="00485CB9"/>
    <w:rsid w:val="00487E64"/>
    <w:rsid w:val="00491606"/>
    <w:rsid w:val="00495926"/>
    <w:rsid w:val="004A0D02"/>
    <w:rsid w:val="004A1D35"/>
    <w:rsid w:val="004A36C2"/>
    <w:rsid w:val="004B0DF4"/>
    <w:rsid w:val="004B4A8B"/>
    <w:rsid w:val="004B5286"/>
    <w:rsid w:val="004C0F4A"/>
    <w:rsid w:val="004C1ED2"/>
    <w:rsid w:val="004C1F6D"/>
    <w:rsid w:val="004C394C"/>
    <w:rsid w:val="004C5F8C"/>
    <w:rsid w:val="004C78AC"/>
    <w:rsid w:val="004D0753"/>
    <w:rsid w:val="004D0FF2"/>
    <w:rsid w:val="004D1B6B"/>
    <w:rsid w:val="004D1C54"/>
    <w:rsid w:val="004D2FC9"/>
    <w:rsid w:val="004D6F59"/>
    <w:rsid w:val="004D7C02"/>
    <w:rsid w:val="004D7F4D"/>
    <w:rsid w:val="004E00EA"/>
    <w:rsid w:val="004E1761"/>
    <w:rsid w:val="004E1D13"/>
    <w:rsid w:val="004F55AC"/>
    <w:rsid w:val="004F7203"/>
    <w:rsid w:val="00503FAC"/>
    <w:rsid w:val="00510B13"/>
    <w:rsid w:val="00516A32"/>
    <w:rsid w:val="00524BA3"/>
    <w:rsid w:val="00526CA6"/>
    <w:rsid w:val="005338C7"/>
    <w:rsid w:val="005356C8"/>
    <w:rsid w:val="00541495"/>
    <w:rsid w:val="00541973"/>
    <w:rsid w:val="00543532"/>
    <w:rsid w:val="0054563B"/>
    <w:rsid w:val="0054698A"/>
    <w:rsid w:val="00552C75"/>
    <w:rsid w:val="00553D94"/>
    <w:rsid w:val="00555541"/>
    <w:rsid w:val="00555CE2"/>
    <w:rsid w:val="005600FE"/>
    <w:rsid w:val="005629B7"/>
    <w:rsid w:val="005634BD"/>
    <w:rsid w:val="00563C88"/>
    <w:rsid w:val="0056482C"/>
    <w:rsid w:val="0056782D"/>
    <w:rsid w:val="00567C72"/>
    <w:rsid w:val="00570FB9"/>
    <w:rsid w:val="00572BD7"/>
    <w:rsid w:val="00572DE5"/>
    <w:rsid w:val="0058188B"/>
    <w:rsid w:val="0058569B"/>
    <w:rsid w:val="005959FA"/>
    <w:rsid w:val="005A18C5"/>
    <w:rsid w:val="005A3AC5"/>
    <w:rsid w:val="005A5CF3"/>
    <w:rsid w:val="005A5F7C"/>
    <w:rsid w:val="005B1AF5"/>
    <w:rsid w:val="005B45E2"/>
    <w:rsid w:val="005B5F6A"/>
    <w:rsid w:val="005C1BC2"/>
    <w:rsid w:val="005C4819"/>
    <w:rsid w:val="005C5854"/>
    <w:rsid w:val="005D227A"/>
    <w:rsid w:val="005D24C4"/>
    <w:rsid w:val="005D2F69"/>
    <w:rsid w:val="005D4ADE"/>
    <w:rsid w:val="005D6603"/>
    <w:rsid w:val="005E2379"/>
    <w:rsid w:val="005E3346"/>
    <w:rsid w:val="005E60DC"/>
    <w:rsid w:val="005F0688"/>
    <w:rsid w:val="005F2EC4"/>
    <w:rsid w:val="005F599D"/>
    <w:rsid w:val="005F6392"/>
    <w:rsid w:val="00600441"/>
    <w:rsid w:val="00613DBC"/>
    <w:rsid w:val="00617400"/>
    <w:rsid w:val="00620360"/>
    <w:rsid w:val="00620986"/>
    <w:rsid w:val="006222A3"/>
    <w:rsid w:val="00623050"/>
    <w:rsid w:val="00625185"/>
    <w:rsid w:val="006327FC"/>
    <w:rsid w:val="0064098D"/>
    <w:rsid w:val="006447B7"/>
    <w:rsid w:val="006450A8"/>
    <w:rsid w:val="006462A9"/>
    <w:rsid w:val="00657D33"/>
    <w:rsid w:val="00661FD7"/>
    <w:rsid w:val="006628A8"/>
    <w:rsid w:val="00663058"/>
    <w:rsid w:val="00666316"/>
    <w:rsid w:val="006810A1"/>
    <w:rsid w:val="0068208C"/>
    <w:rsid w:val="00685234"/>
    <w:rsid w:val="0069350C"/>
    <w:rsid w:val="0069548E"/>
    <w:rsid w:val="006A4091"/>
    <w:rsid w:val="006A5879"/>
    <w:rsid w:val="006A6565"/>
    <w:rsid w:val="006B413E"/>
    <w:rsid w:val="006B722A"/>
    <w:rsid w:val="006C3688"/>
    <w:rsid w:val="006C7818"/>
    <w:rsid w:val="006C790A"/>
    <w:rsid w:val="006D0D5A"/>
    <w:rsid w:val="006D2ADD"/>
    <w:rsid w:val="006D4847"/>
    <w:rsid w:val="006D4B84"/>
    <w:rsid w:val="006D6DF7"/>
    <w:rsid w:val="006F6621"/>
    <w:rsid w:val="006F6C8C"/>
    <w:rsid w:val="007003A5"/>
    <w:rsid w:val="00702BD1"/>
    <w:rsid w:val="00711EE0"/>
    <w:rsid w:val="00714E98"/>
    <w:rsid w:val="0072035B"/>
    <w:rsid w:val="007214F9"/>
    <w:rsid w:val="007217EE"/>
    <w:rsid w:val="00722EFB"/>
    <w:rsid w:val="0072365B"/>
    <w:rsid w:val="00724ABC"/>
    <w:rsid w:val="007253C3"/>
    <w:rsid w:val="00736F38"/>
    <w:rsid w:val="00737B60"/>
    <w:rsid w:val="007418EE"/>
    <w:rsid w:val="00742669"/>
    <w:rsid w:val="00745860"/>
    <w:rsid w:val="007546B5"/>
    <w:rsid w:val="0075585F"/>
    <w:rsid w:val="00765FCB"/>
    <w:rsid w:val="007710F8"/>
    <w:rsid w:val="00784056"/>
    <w:rsid w:val="007846A6"/>
    <w:rsid w:val="00784E92"/>
    <w:rsid w:val="007A2D28"/>
    <w:rsid w:val="007A741F"/>
    <w:rsid w:val="007A7E28"/>
    <w:rsid w:val="007B0AAC"/>
    <w:rsid w:val="007B18BC"/>
    <w:rsid w:val="007B6241"/>
    <w:rsid w:val="007B787D"/>
    <w:rsid w:val="007C08B5"/>
    <w:rsid w:val="007C0ADC"/>
    <w:rsid w:val="007C574E"/>
    <w:rsid w:val="007C6AD5"/>
    <w:rsid w:val="007C6D1B"/>
    <w:rsid w:val="007C7DB6"/>
    <w:rsid w:val="007D4F2A"/>
    <w:rsid w:val="007E43F6"/>
    <w:rsid w:val="007E6AA3"/>
    <w:rsid w:val="00805234"/>
    <w:rsid w:val="008059DC"/>
    <w:rsid w:val="00805BF6"/>
    <w:rsid w:val="0081107D"/>
    <w:rsid w:val="008167F5"/>
    <w:rsid w:val="008252A5"/>
    <w:rsid w:val="00833C62"/>
    <w:rsid w:val="00833DA6"/>
    <w:rsid w:val="00844759"/>
    <w:rsid w:val="00844E72"/>
    <w:rsid w:val="00845BCA"/>
    <w:rsid w:val="00851F47"/>
    <w:rsid w:val="00852682"/>
    <w:rsid w:val="00857218"/>
    <w:rsid w:val="00857ACF"/>
    <w:rsid w:val="00864F73"/>
    <w:rsid w:val="00871952"/>
    <w:rsid w:val="008748C5"/>
    <w:rsid w:val="0087496B"/>
    <w:rsid w:val="0087512F"/>
    <w:rsid w:val="00877B1B"/>
    <w:rsid w:val="00882D55"/>
    <w:rsid w:val="00890CC8"/>
    <w:rsid w:val="00893575"/>
    <w:rsid w:val="0089758C"/>
    <w:rsid w:val="008A655C"/>
    <w:rsid w:val="008A7D37"/>
    <w:rsid w:val="008B0E15"/>
    <w:rsid w:val="008B2B0B"/>
    <w:rsid w:val="008B403A"/>
    <w:rsid w:val="008B4762"/>
    <w:rsid w:val="008C2C11"/>
    <w:rsid w:val="008C46D9"/>
    <w:rsid w:val="008C666A"/>
    <w:rsid w:val="008C66CA"/>
    <w:rsid w:val="008D1265"/>
    <w:rsid w:val="008E156A"/>
    <w:rsid w:val="008E52B2"/>
    <w:rsid w:val="008F373E"/>
    <w:rsid w:val="008F707B"/>
    <w:rsid w:val="00900EFB"/>
    <w:rsid w:val="00903DA4"/>
    <w:rsid w:val="0090599A"/>
    <w:rsid w:val="00906968"/>
    <w:rsid w:val="009104E9"/>
    <w:rsid w:val="00911960"/>
    <w:rsid w:val="009137A3"/>
    <w:rsid w:val="009172F7"/>
    <w:rsid w:val="00921084"/>
    <w:rsid w:val="00924CE5"/>
    <w:rsid w:val="009271CC"/>
    <w:rsid w:val="009327AE"/>
    <w:rsid w:val="00934283"/>
    <w:rsid w:val="00935150"/>
    <w:rsid w:val="0093744C"/>
    <w:rsid w:val="00941477"/>
    <w:rsid w:val="00945256"/>
    <w:rsid w:val="00945599"/>
    <w:rsid w:val="00950C1E"/>
    <w:rsid w:val="00955710"/>
    <w:rsid w:val="009630C4"/>
    <w:rsid w:val="009663EE"/>
    <w:rsid w:val="00966E6E"/>
    <w:rsid w:val="00970E65"/>
    <w:rsid w:val="00971651"/>
    <w:rsid w:val="00971CC4"/>
    <w:rsid w:val="009766AC"/>
    <w:rsid w:val="009767AE"/>
    <w:rsid w:val="00983EB1"/>
    <w:rsid w:val="00984A1B"/>
    <w:rsid w:val="00985827"/>
    <w:rsid w:val="00985E25"/>
    <w:rsid w:val="0098749B"/>
    <w:rsid w:val="00993ABC"/>
    <w:rsid w:val="00996213"/>
    <w:rsid w:val="009A0225"/>
    <w:rsid w:val="009B454D"/>
    <w:rsid w:val="009C0A25"/>
    <w:rsid w:val="009C1A2E"/>
    <w:rsid w:val="009C3271"/>
    <w:rsid w:val="009C38BB"/>
    <w:rsid w:val="009D0B7F"/>
    <w:rsid w:val="009D2469"/>
    <w:rsid w:val="009D2D49"/>
    <w:rsid w:val="009E253E"/>
    <w:rsid w:val="009E59B3"/>
    <w:rsid w:val="009E6C27"/>
    <w:rsid w:val="009F27FD"/>
    <w:rsid w:val="009F359F"/>
    <w:rsid w:val="00A07631"/>
    <w:rsid w:val="00A121D6"/>
    <w:rsid w:val="00A12E6E"/>
    <w:rsid w:val="00A16CFA"/>
    <w:rsid w:val="00A1771B"/>
    <w:rsid w:val="00A21A8B"/>
    <w:rsid w:val="00A27DC9"/>
    <w:rsid w:val="00A3037B"/>
    <w:rsid w:val="00A3506A"/>
    <w:rsid w:val="00A3639F"/>
    <w:rsid w:val="00A41B11"/>
    <w:rsid w:val="00A43B3D"/>
    <w:rsid w:val="00A4490B"/>
    <w:rsid w:val="00A45B27"/>
    <w:rsid w:val="00A53001"/>
    <w:rsid w:val="00A53318"/>
    <w:rsid w:val="00A62051"/>
    <w:rsid w:val="00A653F7"/>
    <w:rsid w:val="00A66368"/>
    <w:rsid w:val="00A67540"/>
    <w:rsid w:val="00A73504"/>
    <w:rsid w:val="00A769B1"/>
    <w:rsid w:val="00A775FA"/>
    <w:rsid w:val="00A84DB0"/>
    <w:rsid w:val="00A8500B"/>
    <w:rsid w:val="00A852BA"/>
    <w:rsid w:val="00A861AE"/>
    <w:rsid w:val="00A87C24"/>
    <w:rsid w:val="00A95FBA"/>
    <w:rsid w:val="00A9694C"/>
    <w:rsid w:val="00A970E6"/>
    <w:rsid w:val="00AA1C96"/>
    <w:rsid w:val="00AB0C85"/>
    <w:rsid w:val="00AC130F"/>
    <w:rsid w:val="00AC1C98"/>
    <w:rsid w:val="00AC24CC"/>
    <w:rsid w:val="00AC6870"/>
    <w:rsid w:val="00AD59CA"/>
    <w:rsid w:val="00AD676B"/>
    <w:rsid w:val="00AD695E"/>
    <w:rsid w:val="00AE275D"/>
    <w:rsid w:val="00AE36E3"/>
    <w:rsid w:val="00AF564E"/>
    <w:rsid w:val="00AF6B18"/>
    <w:rsid w:val="00B0079F"/>
    <w:rsid w:val="00B0280C"/>
    <w:rsid w:val="00B05967"/>
    <w:rsid w:val="00B06D3B"/>
    <w:rsid w:val="00B1013B"/>
    <w:rsid w:val="00B14194"/>
    <w:rsid w:val="00B229A7"/>
    <w:rsid w:val="00B22A04"/>
    <w:rsid w:val="00B23415"/>
    <w:rsid w:val="00B23F26"/>
    <w:rsid w:val="00B24434"/>
    <w:rsid w:val="00B24ABE"/>
    <w:rsid w:val="00B31E90"/>
    <w:rsid w:val="00B33970"/>
    <w:rsid w:val="00B42621"/>
    <w:rsid w:val="00B45F7F"/>
    <w:rsid w:val="00B5322C"/>
    <w:rsid w:val="00B5364D"/>
    <w:rsid w:val="00B53C1C"/>
    <w:rsid w:val="00B64FC4"/>
    <w:rsid w:val="00B80D10"/>
    <w:rsid w:val="00B834A5"/>
    <w:rsid w:val="00B921D5"/>
    <w:rsid w:val="00B935F2"/>
    <w:rsid w:val="00B95A64"/>
    <w:rsid w:val="00B969DA"/>
    <w:rsid w:val="00B96C7D"/>
    <w:rsid w:val="00B977EC"/>
    <w:rsid w:val="00B97815"/>
    <w:rsid w:val="00BA083F"/>
    <w:rsid w:val="00BA1869"/>
    <w:rsid w:val="00BA442C"/>
    <w:rsid w:val="00BA4488"/>
    <w:rsid w:val="00BA557E"/>
    <w:rsid w:val="00BB0FAB"/>
    <w:rsid w:val="00BB32BB"/>
    <w:rsid w:val="00BB7E66"/>
    <w:rsid w:val="00BD21C5"/>
    <w:rsid w:val="00BD50BC"/>
    <w:rsid w:val="00BD5CAF"/>
    <w:rsid w:val="00BD6DE1"/>
    <w:rsid w:val="00BD7C8A"/>
    <w:rsid w:val="00BE0C34"/>
    <w:rsid w:val="00BE7DE6"/>
    <w:rsid w:val="00BF2C98"/>
    <w:rsid w:val="00C04F51"/>
    <w:rsid w:val="00C053F7"/>
    <w:rsid w:val="00C10068"/>
    <w:rsid w:val="00C15341"/>
    <w:rsid w:val="00C23AE5"/>
    <w:rsid w:val="00C24CB7"/>
    <w:rsid w:val="00C24D2C"/>
    <w:rsid w:val="00C26036"/>
    <w:rsid w:val="00C27D02"/>
    <w:rsid w:val="00C367DC"/>
    <w:rsid w:val="00C37B9A"/>
    <w:rsid w:val="00C40EF7"/>
    <w:rsid w:val="00C41D2E"/>
    <w:rsid w:val="00C47960"/>
    <w:rsid w:val="00C47D7B"/>
    <w:rsid w:val="00C53B3F"/>
    <w:rsid w:val="00C53E29"/>
    <w:rsid w:val="00C640CF"/>
    <w:rsid w:val="00C654B6"/>
    <w:rsid w:val="00C66E5D"/>
    <w:rsid w:val="00C70D38"/>
    <w:rsid w:val="00C720B0"/>
    <w:rsid w:val="00C7509B"/>
    <w:rsid w:val="00C757F5"/>
    <w:rsid w:val="00C7768E"/>
    <w:rsid w:val="00C813B3"/>
    <w:rsid w:val="00C81E37"/>
    <w:rsid w:val="00C87B98"/>
    <w:rsid w:val="00C904A8"/>
    <w:rsid w:val="00C92CD3"/>
    <w:rsid w:val="00C947A4"/>
    <w:rsid w:val="00CA357A"/>
    <w:rsid w:val="00CA4D22"/>
    <w:rsid w:val="00CA63C2"/>
    <w:rsid w:val="00CB7AB4"/>
    <w:rsid w:val="00CC331F"/>
    <w:rsid w:val="00CC3D35"/>
    <w:rsid w:val="00CC5D5D"/>
    <w:rsid w:val="00CC683C"/>
    <w:rsid w:val="00CD2B08"/>
    <w:rsid w:val="00CD52C8"/>
    <w:rsid w:val="00CD7E30"/>
    <w:rsid w:val="00CE6989"/>
    <w:rsid w:val="00CE6FB7"/>
    <w:rsid w:val="00CE76F5"/>
    <w:rsid w:val="00CF6346"/>
    <w:rsid w:val="00D03CE5"/>
    <w:rsid w:val="00D07DF9"/>
    <w:rsid w:val="00D12233"/>
    <w:rsid w:val="00D1281C"/>
    <w:rsid w:val="00D12A48"/>
    <w:rsid w:val="00D1682E"/>
    <w:rsid w:val="00D26D5F"/>
    <w:rsid w:val="00D2772D"/>
    <w:rsid w:val="00D30721"/>
    <w:rsid w:val="00D32EBD"/>
    <w:rsid w:val="00D343C3"/>
    <w:rsid w:val="00D45FE4"/>
    <w:rsid w:val="00D45FFD"/>
    <w:rsid w:val="00D55BB0"/>
    <w:rsid w:val="00D63388"/>
    <w:rsid w:val="00D67FEB"/>
    <w:rsid w:val="00D701DD"/>
    <w:rsid w:val="00D76207"/>
    <w:rsid w:val="00D8275E"/>
    <w:rsid w:val="00D841B7"/>
    <w:rsid w:val="00D856E4"/>
    <w:rsid w:val="00D904CE"/>
    <w:rsid w:val="00D90DA4"/>
    <w:rsid w:val="00D9309E"/>
    <w:rsid w:val="00D95227"/>
    <w:rsid w:val="00D96414"/>
    <w:rsid w:val="00D9755D"/>
    <w:rsid w:val="00D97A80"/>
    <w:rsid w:val="00DA34D5"/>
    <w:rsid w:val="00DB7686"/>
    <w:rsid w:val="00DC09D3"/>
    <w:rsid w:val="00DC3B5F"/>
    <w:rsid w:val="00DC4131"/>
    <w:rsid w:val="00DD2EEA"/>
    <w:rsid w:val="00DD5D6F"/>
    <w:rsid w:val="00DE3148"/>
    <w:rsid w:val="00DE6383"/>
    <w:rsid w:val="00DE6DB4"/>
    <w:rsid w:val="00DF0E54"/>
    <w:rsid w:val="00DF1BBE"/>
    <w:rsid w:val="00DF389B"/>
    <w:rsid w:val="00DF4207"/>
    <w:rsid w:val="00DF6BA0"/>
    <w:rsid w:val="00E03877"/>
    <w:rsid w:val="00E13354"/>
    <w:rsid w:val="00E26736"/>
    <w:rsid w:val="00E30C49"/>
    <w:rsid w:val="00E43B2F"/>
    <w:rsid w:val="00E477E1"/>
    <w:rsid w:val="00E503D0"/>
    <w:rsid w:val="00E51DF2"/>
    <w:rsid w:val="00E55357"/>
    <w:rsid w:val="00E6076D"/>
    <w:rsid w:val="00E72116"/>
    <w:rsid w:val="00E725B3"/>
    <w:rsid w:val="00E7596B"/>
    <w:rsid w:val="00E85762"/>
    <w:rsid w:val="00E912F4"/>
    <w:rsid w:val="00E94541"/>
    <w:rsid w:val="00EA0FD5"/>
    <w:rsid w:val="00EA1D28"/>
    <w:rsid w:val="00EA23B8"/>
    <w:rsid w:val="00EA384F"/>
    <w:rsid w:val="00EA4887"/>
    <w:rsid w:val="00EA7442"/>
    <w:rsid w:val="00EA79E0"/>
    <w:rsid w:val="00EB5EE3"/>
    <w:rsid w:val="00EB7A9B"/>
    <w:rsid w:val="00EC0503"/>
    <w:rsid w:val="00EC0574"/>
    <w:rsid w:val="00EC513E"/>
    <w:rsid w:val="00EC5628"/>
    <w:rsid w:val="00ED0FCC"/>
    <w:rsid w:val="00ED14F7"/>
    <w:rsid w:val="00ED202A"/>
    <w:rsid w:val="00ED7980"/>
    <w:rsid w:val="00EE3485"/>
    <w:rsid w:val="00EE4C15"/>
    <w:rsid w:val="00EE523D"/>
    <w:rsid w:val="00EE7222"/>
    <w:rsid w:val="00F0572C"/>
    <w:rsid w:val="00F07CB4"/>
    <w:rsid w:val="00F12AAE"/>
    <w:rsid w:val="00F138C0"/>
    <w:rsid w:val="00F16D03"/>
    <w:rsid w:val="00F213D1"/>
    <w:rsid w:val="00F23474"/>
    <w:rsid w:val="00F24194"/>
    <w:rsid w:val="00F37D0B"/>
    <w:rsid w:val="00F41DE3"/>
    <w:rsid w:val="00F420C7"/>
    <w:rsid w:val="00F44B0E"/>
    <w:rsid w:val="00F45D07"/>
    <w:rsid w:val="00F51770"/>
    <w:rsid w:val="00F6022B"/>
    <w:rsid w:val="00F63365"/>
    <w:rsid w:val="00F67147"/>
    <w:rsid w:val="00F67878"/>
    <w:rsid w:val="00F73D51"/>
    <w:rsid w:val="00F81993"/>
    <w:rsid w:val="00F87A79"/>
    <w:rsid w:val="00F930ED"/>
    <w:rsid w:val="00FA745E"/>
    <w:rsid w:val="00FB0147"/>
    <w:rsid w:val="00FB1F5E"/>
    <w:rsid w:val="00FB20C2"/>
    <w:rsid w:val="00FB58B5"/>
    <w:rsid w:val="00FB667A"/>
    <w:rsid w:val="00FB749C"/>
    <w:rsid w:val="00FC0C0A"/>
    <w:rsid w:val="00FC7E2F"/>
    <w:rsid w:val="00FD17FB"/>
    <w:rsid w:val="00FD315E"/>
    <w:rsid w:val="00FD4A36"/>
    <w:rsid w:val="00FD5C83"/>
    <w:rsid w:val="00FD7BDA"/>
    <w:rsid w:val="00FE2977"/>
    <w:rsid w:val="00FE447C"/>
    <w:rsid w:val="00FE4CA1"/>
    <w:rsid w:val="00FF3ACA"/>
    <w:rsid w:val="00FF52A4"/>
    <w:rsid w:val="00FF64E6"/>
    <w:rsid w:val="00FF71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6AD2F8"/>
  <w15:docId w15:val="{FBB13F79-FEA1-4169-BC5C-AA7C1A1D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55"/>
    <w:pPr>
      <w:jc w:val="both"/>
    </w:pPr>
    <w:rPr>
      <w:rFonts w:ascii="Arial" w:hAnsi="Arial"/>
      <w:sz w:val="24"/>
      <w:szCs w:val="24"/>
      <w:lang w:eastAsia="en-US"/>
    </w:rPr>
  </w:style>
  <w:style w:type="paragraph" w:styleId="Heading1">
    <w:name w:val="heading 1"/>
    <w:basedOn w:val="Normal"/>
    <w:next w:val="Normal"/>
    <w:link w:val="Heading1Char"/>
    <w:autoRedefine/>
    <w:qFormat/>
    <w:rsid w:val="000F25C9"/>
    <w:pPr>
      <w:keepNext/>
      <w:numPr>
        <w:numId w:val="9"/>
      </w:numPr>
      <w:spacing w:before="240" w:after="120"/>
      <w:ind w:hanging="720"/>
      <w:outlineLvl w:val="0"/>
    </w:pPr>
    <w:rPr>
      <w:b/>
      <w:kern w:val="28"/>
      <w:szCs w:val="20"/>
    </w:rPr>
  </w:style>
  <w:style w:type="paragraph" w:styleId="Heading2">
    <w:name w:val="heading 2"/>
    <w:basedOn w:val="Normal"/>
    <w:next w:val="Normal"/>
    <w:link w:val="Heading2Char"/>
    <w:autoRedefine/>
    <w:qFormat/>
    <w:rsid w:val="002E3B63"/>
    <w:pPr>
      <w:keepNext/>
      <w:numPr>
        <w:ilvl w:val="1"/>
        <w:numId w:val="9"/>
      </w:numPr>
      <w:spacing w:before="120" w:after="120"/>
      <w:ind w:left="709" w:hanging="709"/>
      <w:outlineLvl w:val="1"/>
    </w:pPr>
    <w:rPr>
      <w:rFonts w:cs="Arial"/>
      <w:b/>
      <w:bCs/>
      <w:iCs/>
    </w:rPr>
  </w:style>
  <w:style w:type="paragraph" w:styleId="Heading3">
    <w:name w:val="heading 3"/>
    <w:basedOn w:val="Normal"/>
    <w:next w:val="Normal"/>
    <w:link w:val="Heading3Char"/>
    <w:uiPriority w:val="99"/>
    <w:qFormat/>
    <w:rsid w:val="00EA1D28"/>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EA1D28"/>
    <w:pPr>
      <w:keepNext/>
      <w:jc w:val="center"/>
      <w:outlineLvl w:val="4"/>
    </w:pPr>
    <w:rPr>
      <w:rFonts w:cs="Arial"/>
      <w:b/>
      <w:bCs/>
      <w:sz w:val="28"/>
      <w:lang w:val="en-GB"/>
    </w:rPr>
  </w:style>
  <w:style w:type="paragraph" w:styleId="Heading6">
    <w:name w:val="heading 6"/>
    <w:basedOn w:val="Normal"/>
    <w:next w:val="Normal"/>
    <w:link w:val="Heading6Char"/>
    <w:uiPriority w:val="99"/>
    <w:qFormat/>
    <w:rsid w:val="00EA1D28"/>
    <w:pPr>
      <w:keepNext/>
      <w:spacing w:before="100" w:beforeAutospacing="1" w:after="100" w:afterAutospacing="1"/>
      <w:ind w:right="-57"/>
      <w:outlineLvl w:val="5"/>
    </w:pPr>
    <w:rPr>
      <w:rFonts w:ascii="Arial Mäori" w:hAnsi="Arial Mäori"/>
      <w:b/>
      <w:sz w:val="20"/>
    </w:rPr>
  </w:style>
  <w:style w:type="paragraph" w:styleId="Heading9">
    <w:name w:val="heading 9"/>
    <w:basedOn w:val="Normal"/>
    <w:next w:val="Normal"/>
    <w:link w:val="Heading9Char"/>
    <w:uiPriority w:val="99"/>
    <w:qFormat/>
    <w:rsid w:val="00EA1D28"/>
    <w:pPr>
      <w:keepNext/>
      <w:jc w:val="center"/>
      <w:outlineLvl w:val="8"/>
    </w:pPr>
    <w:rPr>
      <w:rFonts w:ascii="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5C9"/>
    <w:rPr>
      <w:rFonts w:ascii="Arial" w:hAnsi="Arial"/>
      <w:b/>
      <w:kern w:val="28"/>
      <w:sz w:val="24"/>
      <w:szCs w:val="20"/>
      <w:lang w:eastAsia="en-US"/>
    </w:rPr>
  </w:style>
  <w:style w:type="character" w:customStyle="1" w:styleId="Heading2Char">
    <w:name w:val="Heading 2 Char"/>
    <w:basedOn w:val="DefaultParagraphFont"/>
    <w:link w:val="Heading2"/>
    <w:rsid w:val="002E3B63"/>
    <w:rPr>
      <w:rFonts w:ascii="Arial" w:hAnsi="Arial" w:cs="Arial"/>
      <w:b/>
      <w:bCs/>
      <w:iCs/>
      <w:sz w:val="24"/>
      <w:szCs w:val="24"/>
      <w:lang w:eastAsia="en-US"/>
    </w:rPr>
  </w:style>
  <w:style w:type="character" w:customStyle="1" w:styleId="Heading3Char">
    <w:name w:val="Heading 3 Char"/>
    <w:basedOn w:val="DefaultParagraphFont"/>
    <w:link w:val="Heading3"/>
    <w:uiPriority w:val="9"/>
    <w:semiHidden/>
    <w:rsid w:val="00B96EC6"/>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B96EC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96EC6"/>
    <w:rPr>
      <w:rFonts w:asciiTheme="minorHAnsi" w:eastAsiaTheme="minorEastAsia" w:hAnsiTheme="minorHAnsi" w:cstheme="minorBidi"/>
      <w:b/>
      <w:bCs/>
      <w:lang w:eastAsia="en-US"/>
    </w:rPr>
  </w:style>
  <w:style w:type="character" w:customStyle="1" w:styleId="Heading9Char">
    <w:name w:val="Heading 9 Char"/>
    <w:basedOn w:val="DefaultParagraphFont"/>
    <w:link w:val="Heading9"/>
    <w:uiPriority w:val="9"/>
    <w:semiHidden/>
    <w:rsid w:val="00B96EC6"/>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EE7222"/>
    <w:rPr>
      <w:rFonts w:ascii="Tahoma" w:hAnsi="Tahoma" w:cs="Tahoma"/>
      <w:sz w:val="16"/>
      <w:szCs w:val="16"/>
    </w:rPr>
  </w:style>
  <w:style w:type="character" w:customStyle="1" w:styleId="BalloonTextChar">
    <w:name w:val="Balloon Text Char"/>
    <w:basedOn w:val="DefaultParagraphFont"/>
    <w:link w:val="BalloonText"/>
    <w:uiPriority w:val="99"/>
    <w:semiHidden/>
    <w:rsid w:val="00B96EC6"/>
    <w:rPr>
      <w:sz w:val="0"/>
      <w:szCs w:val="0"/>
      <w:lang w:eastAsia="en-US"/>
    </w:rPr>
  </w:style>
  <w:style w:type="paragraph" w:customStyle="1" w:styleId="1">
    <w:name w:val="1."/>
    <w:basedOn w:val="Normal"/>
    <w:uiPriority w:val="99"/>
    <w:rsid w:val="00EA1D28"/>
    <w:pPr>
      <w:tabs>
        <w:tab w:val="left" w:pos="567"/>
      </w:tabs>
      <w:ind w:left="567" w:hanging="567"/>
      <w:jc w:val="left"/>
    </w:pPr>
    <w:rPr>
      <w:rFonts w:ascii="Arial Mäori" w:hAnsi="Arial Mäori"/>
      <w:b/>
      <w:bCs/>
      <w:sz w:val="20"/>
      <w:szCs w:val="20"/>
      <w:lang w:val="en-GB"/>
    </w:rPr>
  </w:style>
  <w:style w:type="paragraph" w:customStyle="1" w:styleId="11">
    <w:name w:val="1.1"/>
    <w:basedOn w:val="Normal"/>
    <w:uiPriority w:val="99"/>
    <w:rsid w:val="00EA1D28"/>
    <w:pPr>
      <w:numPr>
        <w:ilvl w:val="1"/>
        <w:numId w:val="3"/>
      </w:numPr>
      <w:spacing w:before="120" w:after="60"/>
      <w:jc w:val="left"/>
    </w:pPr>
    <w:rPr>
      <w:rFonts w:ascii="Arial Mäori" w:hAnsi="Arial Mäori"/>
      <w:b/>
      <w:bCs/>
      <w:i/>
      <w:iCs/>
      <w:sz w:val="20"/>
      <w:szCs w:val="20"/>
      <w:lang w:val="en-GB"/>
    </w:rPr>
  </w:style>
  <w:style w:type="paragraph" w:customStyle="1" w:styleId="111">
    <w:name w:val="1.1.1"/>
    <w:basedOn w:val="Normal"/>
    <w:uiPriority w:val="99"/>
    <w:rsid w:val="00EA1D28"/>
    <w:pPr>
      <w:numPr>
        <w:ilvl w:val="2"/>
        <w:numId w:val="3"/>
      </w:numPr>
      <w:tabs>
        <w:tab w:val="left" w:pos="567"/>
      </w:tabs>
      <w:spacing w:before="60" w:after="120"/>
      <w:jc w:val="left"/>
    </w:pPr>
    <w:rPr>
      <w:rFonts w:ascii="Arial Mäori" w:hAnsi="Arial Mäori"/>
      <w:sz w:val="20"/>
      <w:szCs w:val="20"/>
      <w:u w:val="single"/>
      <w:lang w:val="en-GB"/>
    </w:rPr>
  </w:style>
  <w:style w:type="paragraph" w:customStyle="1" w:styleId="bullet">
    <w:name w:val="bullet"/>
    <w:basedOn w:val="BodyTextIndent2"/>
    <w:uiPriority w:val="99"/>
    <w:rsid w:val="00EA1D28"/>
    <w:pPr>
      <w:numPr>
        <w:numId w:val="1"/>
      </w:numPr>
      <w:ind w:right="-57"/>
    </w:pPr>
    <w:rPr>
      <w:rFonts w:ascii="Arial Mäori" w:hAnsi="Arial Mäori"/>
      <w:sz w:val="20"/>
    </w:rPr>
  </w:style>
  <w:style w:type="paragraph" w:styleId="BodyTextIndent2">
    <w:name w:val="Body Text Indent 2"/>
    <w:basedOn w:val="Normal"/>
    <w:link w:val="BodyTextIndent2Char"/>
    <w:uiPriority w:val="99"/>
    <w:rsid w:val="00EA1D28"/>
    <w:pPr>
      <w:ind w:left="709"/>
    </w:pPr>
    <w:rPr>
      <w:szCs w:val="20"/>
    </w:rPr>
  </w:style>
  <w:style w:type="character" w:customStyle="1" w:styleId="BodyTextIndent2Char">
    <w:name w:val="Body Text Indent 2 Char"/>
    <w:basedOn w:val="DefaultParagraphFont"/>
    <w:link w:val="BodyTextIndent2"/>
    <w:uiPriority w:val="99"/>
    <w:semiHidden/>
    <w:rsid w:val="00B96EC6"/>
    <w:rPr>
      <w:rFonts w:ascii="Times New Roman Mäori" w:hAnsi="Times New Roman Mäori"/>
      <w:sz w:val="24"/>
      <w:szCs w:val="24"/>
      <w:lang w:eastAsia="en-US"/>
    </w:rPr>
  </w:style>
  <w:style w:type="paragraph" w:customStyle="1" w:styleId="MoHHeading2">
    <w:name w:val="MoH Heading2"/>
    <w:basedOn w:val="Normal"/>
    <w:uiPriority w:val="99"/>
    <w:rsid w:val="00EA1D28"/>
    <w:pPr>
      <w:jc w:val="left"/>
    </w:pPr>
    <w:rPr>
      <w:rFonts w:ascii="Arial Mäori" w:hAnsi="Arial Mäori"/>
      <w:b/>
    </w:rPr>
  </w:style>
  <w:style w:type="paragraph" w:styleId="Title">
    <w:name w:val="Title"/>
    <w:basedOn w:val="Normal"/>
    <w:link w:val="TitleChar"/>
    <w:uiPriority w:val="99"/>
    <w:qFormat/>
    <w:rsid w:val="00EA1D28"/>
    <w:pPr>
      <w:jc w:val="center"/>
    </w:pPr>
    <w:rPr>
      <w:b/>
      <w:sz w:val="32"/>
      <w:szCs w:val="20"/>
    </w:rPr>
  </w:style>
  <w:style w:type="character" w:customStyle="1" w:styleId="TitleChar">
    <w:name w:val="Title Char"/>
    <w:basedOn w:val="DefaultParagraphFont"/>
    <w:link w:val="Title"/>
    <w:uiPriority w:val="10"/>
    <w:rsid w:val="00B96EC6"/>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EA1D28"/>
    <w:pPr>
      <w:spacing w:after="120"/>
    </w:pPr>
    <w:rPr>
      <w:rFonts w:ascii="Times New Roman" w:hAnsi="Times New Roman"/>
      <w:szCs w:val="20"/>
      <w:lang w:val="en-AU"/>
    </w:rPr>
  </w:style>
  <w:style w:type="character" w:customStyle="1" w:styleId="BodyTextChar">
    <w:name w:val="Body Text Char"/>
    <w:basedOn w:val="DefaultParagraphFont"/>
    <w:link w:val="BodyText"/>
    <w:uiPriority w:val="99"/>
    <w:semiHidden/>
    <w:rsid w:val="00B96EC6"/>
    <w:rPr>
      <w:rFonts w:ascii="Times New Roman Mäori" w:hAnsi="Times New Roman Mäori"/>
      <w:sz w:val="24"/>
      <w:szCs w:val="24"/>
      <w:lang w:eastAsia="en-US"/>
    </w:rPr>
  </w:style>
  <w:style w:type="paragraph" w:styleId="BodyText3">
    <w:name w:val="Body Text 3"/>
    <w:basedOn w:val="Normal"/>
    <w:link w:val="BodyText3Char"/>
    <w:uiPriority w:val="99"/>
    <w:rsid w:val="00EA1D28"/>
    <w:rPr>
      <w:rFonts w:ascii="Times New Roman" w:hAnsi="Times New Roman"/>
      <w:b/>
      <w:szCs w:val="20"/>
    </w:rPr>
  </w:style>
  <w:style w:type="character" w:customStyle="1" w:styleId="BodyText3Char">
    <w:name w:val="Body Text 3 Char"/>
    <w:basedOn w:val="DefaultParagraphFont"/>
    <w:link w:val="BodyText3"/>
    <w:uiPriority w:val="99"/>
    <w:semiHidden/>
    <w:rsid w:val="00B96EC6"/>
    <w:rPr>
      <w:rFonts w:ascii="Times New Roman Mäori" w:hAnsi="Times New Roman Mäori"/>
      <w:sz w:val="16"/>
      <w:szCs w:val="16"/>
      <w:lang w:eastAsia="en-US"/>
    </w:rPr>
  </w:style>
  <w:style w:type="paragraph" w:styleId="NormalIndent">
    <w:name w:val="Normal Indent"/>
    <w:basedOn w:val="Normal"/>
    <w:uiPriority w:val="99"/>
    <w:rsid w:val="00EA1D28"/>
    <w:pPr>
      <w:tabs>
        <w:tab w:val="left" w:pos="709"/>
        <w:tab w:val="left" w:pos="1418"/>
      </w:tabs>
      <w:ind w:left="720"/>
      <w:jc w:val="left"/>
    </w:pPr>
    <w:rPr>
      <w:rFonts w:ascii="Times New Roman" w:hAnsi="Times New Roman"/>
      <w:szCs w:val="20"/>
      <w:lang w:val="en-AU"/>
    </w:rPr>
  </w:style>
  <w:style w:type="paragraph" w:styleId="BodyTextIndent3">
    <w:name w:val="Body Text Indent 3"/>
    <w:basedOn w:val="Normal"/>
    <w:link w:val="BodyTextIndent3Char"/>
    <w:uiPriority w:val="99"/>
    <w:rsid w:val="00EA1D28"/>
    <w:pPr>
      <w:ind w:left="720"/>
    </w:pPr>
    <w:rPr>
      <w:szCs w:val="20"/>
    </w:rPr>
  </w:style>
  <w:style w:type="character" w:customStyle="1" w:styleId="BodyTextIndent3Char">
    <w:name w:val="Body Text Indent 3 Char"/>
    <w:basedOn w:val="DefaultParagraphFont"/>
    <w:link w:val="BodyTextIndent3"/>
    <w:uiPriority w:val="99"/>
    <w:semiHidden/>
    <w:rsid w:val="00B96EC6"/>
    <w:rPr>
      <w:rFonts w:ascii="Times New Roman Mäori" w:hAnsi="Times New Roman Mäori"/>
      <w:sz w:val="16"/>
      <w:szCs w:val="16"/>
      <w:lang w:eastAsia="en-US"/>
    </w:rPr>
  </w:style>
  <w:style w:type="paragraph" w:styleId="ListBullet">
    <w:name w:val="List Bullet"/>
    <w:basedOn w:val="Normal"/>
    <w:uiPriority w:val="99"/>
    <w:rsid w:val="00EA1D28"/>
    <w:pPr>
      <w:ind w:left="357" w:hanging="357"/>
    </w:pPr>
    <w:rPr>
      <w:rFonts w:ascii="Times New Roman" w:hAnsi="Times New Roman"/>
      <w:szCs w:val="20"/>
      <w:lang w:val="en-AU"/>
    </w:rPr>
  </w:style>
  <w:style w:type="paragraph" w:styleId="Header">
    <w:name w:val="header"/>
    <w:basedOn w:val="Normal"/>
    <w:link w:val="HeaderChar"/>
    <w:uiPriority w:val="99"/>
    <w:rsid w:val="00EA1D28"/>
    <w:pPr>
      <w:tabs>
        <w:tab w:val="center" w:pos="4153"/>
        <w:tab w:val="right" w:pos="8306"/>
      </w:tabs>
      <w:jc w:val="left"/>
    </w:pPr>
    <w:rPr>
      <w:rFonts w:cs="Arial"/>
      <w:lang w:val="en-GB"/>
    </w:rPr>
  </w:style>
  <w:style w:type="character" w:customStyle="1" w:styleId="HeaderChar">
    <w:name w:val="Header Char"/>
    <w:basedOn w:val="DefaultParagraphFont"/>
    <w:link w:val="Header"/>
    <w:uiPriority w:val="99"/>
    <w:semiHidden/>
    <w:rsid w:val="00B96EC6"/>
    <w:rPr>
      <w:rFonts w:ascii="Times New Roman Mäori" w:hAnsi="Times New Roman Mäori"/>
      <w:sz w:val="24"/>
      <w:szCs w:val="24"/>
      <w:lang w:eastAsia="en-US"/>
    </w:rPr>
  </w:style>
  <w:style w:type="paragraph" w:styleId="Footer">
    <w:name w:val="footer"/>
    <w:basedOn w:val="Normal"/>
    <w:link w:val="FooterChar"/>
    <w:uiPriority w:val="99"/>
    <w:rsid w:val="00EA1D28"/>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uiPriority w:val="99"/>
    <w:rsid w:val="00B96EC6"/>
    <w:rPr>
      <w:rFonts w:ascii="Times New Roman Mäori" w:hAnsi="Times New Roman Mäori"/>
      <w:sz w:val="24"/>
      <w:szCs w:val="24"/>
      <w:lang w:eastAsia="en-US"/>
    </w:rPr>
  </w:style>
  <w:style w:type="character" w:styleId="PageNumber">
    <w:name w:val="page number"/>
    <w:basedOn w:val="DefaultParagraphFont"/>
    <w:uiPriority w:val="99"/>
    <w:rsid w:val="00EA1D28"/>
    <w:rPr>
      <w:rFonts w:cs="Times New Roman"/>
    </w:rPr>
  </w:style>
  <w:style w:type="paragraph" w:styleId="BodyTextIndent">
    <w:name w:val="Body Text Indent"/>
    <w:basedOn w:val="Normal"/>
    <w:link w:val="BodyTextIndentChar"/>
    <w:uiPriority w:val="99"/>
    <w:rsid w:val="00EA1D28"/>
    <w:pPr>
      <w:ind w:left="851"/>
    </w:pPr>
    <w:rPr>
      <w:rFonts w:ascii="Arial Mäori" w:hAnsi="Arial Mäori" w:cs="Arial Mäori"/>
      <w:sz w:val="20"/>
    </w:rPr>
  </w:style>
  <w:style w:type="character" w:customStyle="1" w:styleId="BodyTextIndentChar">
    <w:name w:val="Body Text Indent Char"/>
    <w:basedOn w:val="DefaultParagraphFont"/>
    <w:link w:val="BodyTextIndent"/>
    <w:uiPriority w:val="99"/>
    <w:semiHidden/>
    <w:rsid w:val="00B96EC6"/>
    <w:rPr>
      <w:rFonts w:ascii="Times New Roman Mäori" w:hAnsi="Times New Roman Mäori"/>
      <w:sz w:val="24"/>
      <w:szCs w:val="24"/>
      <w:lang w:eastAsia="en-US"/>
    </w:rPr>
  </w:style>
  <w:style w:type="paragraph" w:styleId="BodyText2">
    <w:name w:val="Body Text 2"/>
    <w:basedOn w:val="Normal"/>
    <w:link w:val="BodyText2Char"/>
    <w:uiPriority w:val="99"/>
    <w:rsid w:val="00EA1D28"/>
    <w:pPr>
      <w:numPr>
        <w:ilvl w:val="12"/>
      </w:numPr>
      <w:ind w:right="-57"/>
    </w:pPr>
    <w:rPr>
      <w:rFonts w:ascii="Arial Mäori" w:hAnsi="Arial Mäori" w:cs="Arial Mäori"/>
      <w:sz w:val="20"/>
    </w:rPr>
  </w:style>
  <w:style w:type="character" w:customStyle="1" w:styleId="BodyText2Char">
    <w:name w:val="Body Text 2 Char"/>
    <w:basedOn w:val="DefaultParagraphFont"/>
    <w:link w:val="BodyText2"/>
    <w:uiPriority w:val="99"/>
    <w:semiHidden/>
    <w:rsid w:val="00B96EC6"/>
    <w:rPr>
      <w:rFonts w:ascii="Times New Roman Mäori" w:hAnsi="Times New Roman Mäori"/>
      <w:sz w:val="24"/>
      <w:szCs w:val="24"/>
      <w:lang w:eastAsia="en-US"/>
    </w:rPr>
  </w:style>
  <w:style w:type="paragraph" w:styleId="FootnoteText">
    <w:name w:val="footnote text"/>
    <w:basedOn w:val="Normal"/>
    <w:link w:val="FootnoteTextChar"/>
    <w:uiPriority w:val="99"/>
    <w:semiHidden/>
    <w:rsid w:val="00EA1D28"/>
    <w:rPr>
      <w:sz w:val="20"/>
      <w:szCs w:val="20"/>
    </w:rPr>
  </w:style>
  <w:style w:type="character" w:customStyle="1" w:styleId="FootnoteTextChar">
    <w:name w:val="Footnote Text Char"/>
    <w:basedOn w:val="DefaultParagraphFont"/>
    <w:link w:val="FootnoteText"/>
    <w:uiPriority w:val="99"/>
    <w:semiHidden/>
    <w:rsid w:val="00B96EC6"/>
    <w:rPr>
      <w:rFonts w:ascii="Times New Roman Mäori" w:hAnsi="Times New Roman Mäori"/>
      <w:sz w:val="20"/>
      <w:szCs w:val="20"/>
      <w:lang w:eastAsia="en-US"/>
    </w:rPr>
  </w:style>
  <w:style w:type="character" w:styleId="FootnoteReference">
    <w:name w:val="footnote reference"/>
    <w:basedOn w:val="DefaultParagraphFont"/>
    <w:uiPriority w:val="99"/>
    <w:semiHidden/>
    <w:rsid w:val="00EA1D28"/>
    <w:rPr>
      <w:rFonts w:cs="Times New Roman"/>
      <w:vertAlign w:val="superscript"/>
    </w:rPr>
  </w:style>
  <w:style w:type="paragraph" w:customStyle="1" w:styleId="11APPENDIX">
    <w:name w:val="1.1APPENDIX"/>
    <w:basedOn w:val="11"/>
    <w:uiPriority w:val="99"/>
    <w:rsid w:val="00EA1D28"/>
    <w:pPr>
      <w:keepNext/>
      <w:numPr>
        <w:ilvl w:val="0"/>
        <w:numId w:val="0"/>
      </w:numPr>
      <w:tabs>
        <w:tab w:val="left" w:pos="851"/>
      </w:tabs>
      <w:spacing w:after="120"/>
      <w:ind w:left="851" w:hanging="851"/>
      <w:outlineLvl w:val="1"/>
    </w:pPr>
    <w:rPr>
      <w:bCs w:val="0"/>
      <w:i w:val="0"/>
      <w:iCs w:val="0"/>
    </w:rPr>
  </w:style>
  <w:style w:type="character" w:styleId="CommentReference">
    <w:name w:val="annotation reference"/>
    <w:basedOn w:val="DefaultParagraphFont"/>
    <w:uiPriority w:val="99"/>
    <w:semiHidden/>
    <w:rsid w:val="00EA1D28"/>
    <w:rPr>
      <w:rFonts w:cs="Times New Roman"/>
      <w:sz w:val="16"/>
      <w:szCs w:val="16"/>
    </w:rPr>
  </w:style>
  <w:style w:type="paragraph" w:styleId="CommentText">
    <w:name w:val="annotation text"/>
    <w:basedOn w:val="Normal"/>
    <w:link w:val="CommentTextChar"/>
    <w:uiPriority w:val="99"/>
    <w:semiHidden/>
    <w:rsid w:val="00EA1D28"/>
    <w:pPr>
      <w:jc w:val="left"/>
    </w:pPr>
    <w:rPr>
      <w:rFonts w:ascii="Times New Roman" w:hAnsi="Times New Roman"/>
      <w:sz w:val="20"/>
      <w:szCs w:val="20"/>
      <w:lang w:val="en-GB"/>
    </w:rPr>
  </w:style>
  <w:style w:type="character" w:customStyle="1" w:styleId="CommentTextChar">
    <w:name w:val="Comment Text Char"/>
    <w:basedOn w:val="DefaultParagraphFont"/>
    <w:link w:val="CommentText"/>
    <w:uiPriority w:val="99"/>
    <w:semiHidden/>
    <w:rsid w:val="00B96EC6"/>
    <w:rPr>
      <w:rFonts w:ascii="Times New Roman Mäori" w:hAnsi="Times New Roman Mäori"/>
      <w:sz w:val="20"/>
      <w:szCs w:val="20"/>
      <w:lang w:eastAsia="en-US"/>
    </w:rPr>
  </w:style>
  <w:style w:type="paragraph" w:customStyle="1" w:styleId="yellow">
    <w:name w:val="yellow"/>
    <w:basedOn w:val="Normal"/>
    <w:uiPriority w:val="99"/>
    <w:rsid w:val="00EA1D28"/>
    <w:rPr>
      <w:rFonts w:ascii="Arial Mäori" w:hAnsi="Arial Mäori"/>
      <w:sz w:val="20"/>
      <w:szCs w:val="20"/>
      <w:lang w:val="en-GB"/>
    </w:rPr>
  </w:style>
  <w:style w:type="paragraph" w:styleId="CommentSubject">
    <w:name w:val="annotation subject"/>
    <w:basedOn w:val="CommentText"/>
    <w:next w:val="CommentText"/>
    <w:link w:val="CommentSubjectChar"/>
    <w:uiPriority w:val="99"/>
    <w:semiHidden/>
    <w:rsid w:val="00EE7222"/>
    <w:pPr>
      <w:jc w:val="both"/>
    </w:pPr>
    <w:rPr>
      <w:rFonts w:ascii="Times New Roman Mäori" w:hAnsi="Times New Roman Mäori"/>
      <w:b/>
      <w:bCs/>
      <w:lang w:val="en-NZ"/>
    </w:rPr>
  </w:style>
  <w:style w:type="character" w:customStyle="1" w:styleId="CommentSubjectChar">
    <w:name w:val="Comment Subject Char"/>
    <w:basedOn w:val="CommentTextChar"/>
    <w:link w:val="CommentSubject"/>
    <w:uiPriority w:val="99"/>
    <w:semiHidden/>
    <w:rsid w:val="00B96EC6"/>
    <w:rPr>
      <w:rFonts w:ascii="Times New Roman Mäori" w:hAnsi="Times New Roman Mäori"/>
      <w:b/>
      <w:bCs/>
      <w:sz w:val="20"/>
      <w:szCs w:val="20"/>
      <w:lang w:eastAsia="en-US"/>
    </w:rPr>
  </w:style>
  <w:style w:type="paragraph" w:customStyle="1" w:styleId="Char1CharChar">
    <w:name w:val="Char1 Char Char"/>
    <w:basedOn w:val="Normal"/>
    <w:uiPriority w:val="99"/>
    <w:rsid w:val="004F55AC"/>
    <w:pPr>
      <w:spacing w:after="160" w:line="240" w:lineRule="exact"/>
      <w:jc w:val="left"/>
    </w:pPr>
    <w:rPr>
      <w:sz w:val="20"/>
      <w:szCs w:val="20"/>
      <w:lang w:val="en-US"/>
    </w:rPr>
  </w:style>
  <w:style w:type="paragraph" w:customStyle="1" w:styleId="Published">
    <w:name w:val="Published"/>
    <w:basedOn w:val="Normal"/>
    <w:uiPriority w:val="99"/>
    <w:rsid w:val="00C7768E"/>
    <w:pPr>
      <w:jc w:val="left"/>
    </w:pPr>
    <w:rPr>
      <w:sz w:val="20"/>
      <w:szCs w:val="20"/>
      <w:lang w:val="en-GB"/>
    </w:rPr>
  </w:style>
  <w:style w:type="paragraph" w:customStyle="1" w:styleId="CharChar">
    <w:name w:val="Char Char"/>
    <w:basedOn w:val="Normal"/>
    <w:uiPriority w:val="99"/>
    <w:rsid w:val="006C7818"/>
    <w:pPr>
      <w:spacing w:after="160" w:line="240" w:lineRule="exact"/>
      <w:jc w:val="left"/>
    </w:pPr>
    <w:rPr>
      <w:sz w:val="20"/>
      <w:szCs w:val="20"/>
      <w:lang w:val="en-US"/>
    </w:rPr>
  </w:style>
  <w:style w:type="paragraph" w:styleId="ListParagraph">
    <w:name w:val="List Paragraph"/>
    <w:basedOn w:val="Normal"/>
    <w:uiPriority w:val="99"/>
    <w:qFormat/>
    <w:rsid w:val="00805234"/>
    <w:pPr>
      <w:ind w:left="720"/>
      <w:contextualSpacing/>
    </w:pPr>
  </w:style>
  <w:style w:type="table" w:styleId="TableGrid">
    <w:name w:val="Table Grid"/>
    <w:basedOn w:val="TableNormal"/>
    <w:rsid w:val="00A45B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2116"/>
    <w:rPr>
      <w:rFonts w:ascii="Times New Roman Mäori" w:hAnsi="Times New Roman Mäori"/>
      <w:sz w:val="24"/>
      <w:szCs w:val="24"/>
      <w:lang w:eastAsia="en-US"/>
    </w:rPr>
  </w:style>
  <w:style w:type="character" w:styleId="Hyperlink">
    <w:name w:val="Hyperlink"/>
    <w:basedOn w:val="DefaultParagraphFont"/>
    <w:uiPriority w:val="99"/>
    <w:unhideWhenUsed/>
    <w:rsid w:val="000C4BAE"/>
    <w:rPr>
      <w:color w:val="0000FF"/>
      <w:u w:val="single"/>
    </w:rPr>
  </w:style>
  <w:style w:type="paragraph" w:customStyle="1" w:styleId="Default">
    <w:name w:val="Default"/>
    <w:rsid w:val="000170D4"/>
    <w:pPr>
      <w:autoSpaceDE w:val="0"/>
      <w:autoSpaceDN w:val="0"/>
      <w:adjustRightInd w:val="0"/>
    </w:pPr>
    <w:rPr>
      <w:rFonts w:ascii="Omnes Medium" w:hAnsi="Omnes Medium" w:cs="Omnes Medium"/>
      <w:color w:val="000000"/>
      <w:sz w:val="24"/>
      <w:szCs w:val="24"/>
    </w:rPr>
  </w:style>
  <w:style w:type="paragraph" w:customStyle="1" w:styleId="Pa21">
    <w:name w:val="Pa21"/>
    <w:basedOn w:val="Default"/>
    <w:next w:val="Default"/>
    <w:uiPriority w:val="99"/>
    <w:rsid w:val="000170D4"/>
    <w:pPr>
      <w:spacing w:line="461" w:lineRule="atLeast"/>
    </w:pPr>
    <w:rPr>
      <w:rFonts w:cs="Times New Roman"/>
      <w:color w:val="auto"/>
    </w:rPr>
  </w:style>
  <w:style w:type="paragraph" w:customStyle="1" w:styleId="Pa13">
    <w:name w:val="Pa13"/>
    <w:basedOn w:val="Default"/>
    <w:next w:val="Default"/>
    <w:uiPriority w:val="99"/>
    <w:rsid w:val="000170D4"/>
    <w:pPr>
      <w:spacing w:line="281" w:lineRule="atLeast"/>
    </w:pPr>
    <w:rPr>
      <w:rFonts w:cs="Times New Roman"/>
      <w:color w:val="auto"/>
    </w:rPr>
  </w:style>
  <w:style w:type="paragraph" w:customStyle="1" w:styleId="Pa9">
    <w:name w:val="Pa9"/>
    <w:basedOn w:val="Default"/>
    <w:next w:val="Default"/>
    <w:uiPriority w:val="99"/>
    <w:rsid w:val="000170D4"/>
    <w:pPr>
      <w:spacing w:line="201" w:lineRule="atLeast"/>
    </w:pPr>
    <w:rPr>
      <w:rFonts w:cs="Times New Roman"/>
      <w:color w:val="auto"/>
    </w:rPr>
  </w:style>
  <w:style w:type="character" w:styleId="UnresolvedMention">
    <w:name w:val="Unresolved Mention"/>
    <w:basedOn w:val="DefaultParagraphFont"/>
    <w:uiPriority w:val="99"/>
    <w:semiHidden/>
    <w:unhideWhenUsed/>
    <w:rsid w:val="00F87A79"/>
    <w:rPr>
      <w:color w:val="605E5C"/>
      <w:shd w:val="clear" w:color="auto" w:fill="E1DFDD"/>
    </w:rPr>
  </w:style>
  <w:style w:type="character" w:styleId="FollowedHyperlink">
    <w:name w:val="FollowedHyperlink"/>
    <w:basedOn w:val="DefaultParagraphFont"/>
    <w:uiPriority w:val="99"/>
    <w:semiHidden/>
    <w:unhideWhenUsed/>
    <w:rsid w:val="003D57CD"/>
    <w:rPr>
      <w:color w:val="800080" w:themeColor="followedHyperlink"/>
      <w:u w:val="single"/>
    </w:rPr>
  </w:style>
  <w:style w:type="paragraph" w:customStyle="1" w:styleId="Number">
    <w:name w:val="Number"/>
    <w:basedOn w:val="Normal"/>
    <w:qFormat/>
    <w:rsid w:val="00877B1B"/>
    <w:pPr>
      <w:spacing w:before="180"/>
      <w:ind w:left="851" w:hanging="851"/>
      <w:jc w:val="left"/>
    </w:pPr>
    <w:rPr>
      <w:rFonts w:ascii="Segoe UI" w:hAnsi="Segoe UI"/>
      <w:sz w:val="21"/>
      <w:lang w:eastAsia="en-GB"/>
    </w:rPr>
  </w:style>
  <w:style w:type="paragraph" w:customStyle="1" w:styleId="Letter">
    <w:name w:val="Letter"/>
    <w:basedOn w:val="Normal"/>
    <w:qFormat/>
    <w:rsid w:val="00877B1B"/>
    <w:pPr>
      <w:spacing w:before="90"/>
      <w:ind w:left="1276" w:hanging="425"/>
      <w:jc w:val="left"/>
    </w:pPr>
    <w:rPr>
      <w:rFonts w:ascii="Segoe UI" w:hAnsi="Segoe UI"/>
      <w:sz w:val="21"/>
      <w:szCs w:val="20"/>
      <w:lang w:eastAsia="en-GB"/>
    </w:rPr>
  </w:style>
  <w:style w:type="paragraph" w:customStyle="1" w:styleId="Roman">
    <w:name w:val="Roman"/>
    <w:basedOn w:val="Normal"/>
    <w:qFormat/>
    <w:rsid w:val="00877B1B"/>
    <w:pPr>
      <w:spacing w:before="90"/>
      <w:ind w:left="1701" w:hanging="425"/>
      <w:jc w:val="left"/>
    </w:pPr>
    <w:rPr>
      <w:rFonts w:ascii="Segoe UI" w:eastAsia="Arial Unicode MS" w:hAnsi="Segoe UI"/>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509">
      <w:bodyDiv w:val="1"/>
      <w:marLeft w:val="0"/>
      <w:marRight w:val="0"/>
      <w:marTop w:val="0"/>
      <w:marBottom w:val="0"/>
      <w:divBdr>
        <w:top w:val="none" w:sz="0" w:space="0" w:color="auto"/>
        <w:left w:val="none" w:sz="0" w:space="0" w:color="auto"/>
        <w:bottom w:val="none" w:sz="0" w:space="0" w:color="auto"/>
        <w:right w:val="none" w:sz="0" w:space="0" w:color="auto"/>
      </w:divBdr>
    </w:div>
    <w:div w:id="305479743">
      <w:bodyDiv w:val="1"/>
      <w:marLeft w:val="0"/>
      <w:marRight w:val="0"/>
      <w:marTop w:val="0"/>
      <w:marBottom w:val="0"/>
      <w:divBdr>
        <w:top w:val="none" w:sz="0" w:space="0" w:color="auto"/>
        <w:left w:val="none" w:sz="0" w:space="0" w:color="auto"/>
        <w:bottom w:val="none" w:sz="0" w:space="0" w:color="auto"/>
        <w:right w:val="none" w:sz="0" w:space="0" w:color="auto"/>
      </w:divBdr>
    </w:div>
    <w:div w:id="346491510">
      <w:bodyDiv w:val="1"/>
      <w:marLeft w:val="0"/>
      <w:marRight w:val="0"/>
      <w:marTop w:val="0"/>
      <w:marBottom w:val="0"/>
      <w:divBdr>
        <w:top w:val="none" w:sz="0" w:space="0" w:color="auto"/>
        <w:left w:val="none" w:sz="0" w:space="0" w:color="auto"/>
        <w:bottom w:val="none" w:sz="0" w:space="0" w:color="auto"/>
        <w:right w:val="none" w:sz="0" w:space="0" w:color="auto"/>
      </w:divBdr>
    </w:div>
    <w:div w:id="831915594">
      <w:bodyDiv w:val="1"/>
      <w:marLeft w:val="0"/>
      <w:marRight w:val="0"/>
      <w:marTop w:val="0"/>
      <w:marBottom w:val="0"/>
      <w:divBdr>
        <w:top w:val="none" w:sz="0" w:space="0" w:color="auto"/>
        <w:left w:val="none" w:sz="0" w:space="0" w:color="auto"/>
        <w:bottom w:val="none" w:sz="0" w:space="0" w:color="auto"/>
        <w:right w:val="none" w:sz="0" w:space="0" w:color="auto"/>
      </w:divBdr>
    </w:div>
    <w:div w:id="869681937">
      <w:bodyDiv w:val="1"/>
      <w:marLeft w:val="0"/>
      <w:marRight w:val="0"/>
      <w:marTop w:val="0"/>
      <w:marBottom w:val="0"/>
      <w:divBdr>
        <w:top w:val="none" w:sz="0" w:space="0" w:color="auto"/>
        <w:left w:val="none" w:sz="0" w:space="0" w:color="auto"/>
        <w:bottom w:val="none" w:sz="0" w:space="0" w:color="auto"/>
        <w:right w:val="none" w:sz="0" w:space="0" w:color="auto"/>
      </w:divBdr>
    </w:div>
    <w:div w:id="1493449501">
      <w:bodyDiv w:val="1"/>
      <w:marLeft w:val="0"/>
      <w:marRight w:val="0"/>
      <w:marTop w:val="0"/>
      <w:marBottom w:val="0"/>
      <w:divBdr>
        <w:top w:val="none" w:sz="0" w:space="0" w:color="auto"/>
        <w:left w:val="none" w:sz="0" w:space="0" w:color="auto"/>
        <w:bottom w:val="none" w:sz="0" w:space="0" w:color="auto"/>
        <w:right w:val="none" w:sz="0" w:space="0" w:color="auto"/>
      </w:divBdr>
    </w:div>
    <w:div w:id="1528446140">
      <w:bodyDiv w:val="1"/>
      <w:marLeft w:val="0"/>
      <w:marRight w:val="0"/>
      <w:marTop w:val="0"/>
      <w:marBottom w:val="0"/>
      <w:divBdr>
        <w:top w:val="none" w:sz="0" w:space="0" w:color="auto"/>
        <w:left w:val="none" w:sz="0" w:space="0" w:color="auto"/>
        <w:bottom w:val="none" w:sz="0" w:space="0" w:color="auto"/>
        <w:right w:val="none" w:sz="0" w:space="0" w:color="auto"/>
      </w:divBdr>
      <w:divsChild>
        <w:div w:id="1285382627">
          <w:marLeft w:val="0"/>
          <w:marRight w:val="0"/>
          <w:marTop w:val="0"/>
          <w:marBottom w:val="0"/>
          <w:divBdr>
            <w:top w:val="none" w:sz="0" w:space="0" w:color="auto"/>
            <w:left w:val="none" w:sz="0" w:space="0" w:color="auto"/>
            <w:bottom w:val="none" w:sz="0" w:space="0" w:color="auto"/>
            <w:right w:val="none" w:sz="0" w:space="0" w:color="auto"/>
          </w:divBdr>
          <w:divsChild>
            <w:div w:id="2011131166">
              <w:marLeft w:val="0"/>
              <w:marRight w:val="0"/>
              <w:marTop w:val="0"/>
              <w:marBottom w:val="0"/>
              <w:divBdr>
                <w:top w:val="none" w:sz="0" w:space="0" w:color="auto"/>
                <w:left w:val="none" w:sz="0" w:space="0" w:color="auto"/>
                <w:bottom w:val="none" w:sz="0" w:space="0" w:color="auto"/>
                <w:right w:val="none" w:sz="0" w:space="0" w:color="auto"/>
              </w:divBdr>
              <w:divsChild>
                <w:div w:id="1544438885">
                  <w:marLeft w:val="0"/>
                  <w:marRight w:val="0"/>
                  <w:marTop w:val="105"/>
                  <w:marBottom w:val="0"/>
                  <w:divBdr>
                    <w:top w:val="none" w:sz="0" w:space="0" w:color="auto"/>
                    <w:left w:val="none" w:sz="0" w:space="0" w:color="auto"/>
                    <w:bottom w:val="none" w:sz="0" w:space="0" w:color="auto"/>
                    <w:right w:val="none" w:sz="0" w:space="0" w:color="auto"/>
                  </w:divBdr>
                  <w:divsChild>
                    <w:div w:id="1002389324">
                      <w:marLeft w:val="450"/>
                      <w:marRight w:val="225"/>
                      <w:marTop w:val="0"/>
                      <w:marBottom w:val="0"/>
                      <w:divBdr>
                        <w:top w:val="none" w:sz="0" w:space="0" w:color="auto"/>
                        <w:left w:val="none" w:sz="0" w:space="0" w:color="auto"/>
                        <w:bottom w:val="none" w:sz="0" w:space="0" w:color="auto"/>
                        <w:right w:val="none" w:sz="0" w:space="0" w:color="auto"/>
                      </w:divBdr>
                      <w:divsChild>
                        <w:div w:id="1263488771">
                          <w:marLeft w:val="0"/>
                          <w:marRight w:val="0"/>
                          <w:marTop w:val="0"/>
                          <w:marBottom w:val="600"/>
                          <w:divBdr>
                            <w:top w:val="single" w:sz="6" w:space="0" w:color="314664"/>
                            <w:left w:val="single" w:sz="6" w:space="0" w:color="314664"/>
                            <w:bottom w:val="single" w:sz="6" w:space="0" w:color="314664"/>
                            <w:right w:val="single" w:sz="6" w:space="0" w:color="314664"/>
                          </w:divBdr>
                          <w:divsChild>
                            <w:div w:id="304704795">
                              <w:marLeft w:val="0"/>
                              <w:marRight w:val="0"/>
                              <w:marTop w:val="0"/>
                              <w:marBottom w:val="0"/>
                              <w:divBdr>
                                <w:top w:val="none" w:sz="0" w:space="0" w:color="auto"/>
                                <w:left w:val="none" w:sz="0" w:space="0" w:color="auto"/>
                                <w:bottom w:val="none" w:sz="0" w:space="0" w:color="auto"/>
                                <w:right w:val="none" w:sz="0" w:space="0" w:color="auto"/>
                              </w:divBdr>
                              <w:divsChild>
                                <w:div w:id="1599874264">
                                  <w:marLeft w:val="0"/>
                                  <w:marRight w:val="0"/>
                                  <w:marTop w:val="0"/>
                                  <w:marBottom w:val="0"/>
                                  <w:divBdr>
                                    <w:top w:val="none" w:sz="0" w:space="0" w:color="auto"/>
                                    <w:left w:val="none" w:sz="0" w:space="0" w:color="auto"/>
                                    <w:bottom w:val="none" w:sz="0" w:space="0" w:color="auto"/>
                                    <w:right w:val="none" w:sz="0" w:space="0" w:color="auto"/>
                                  </w:divBdr>
                                  <w:divsChild>
                                    <w:div w:id="528370272">
                                      <w:marLeft w:val="0"/>
                                      <w:marRight w:val="0"/>
                                      <w:marTop w:val="0"/>
                                      <w:marBottom w:val="0"/>
                                      <w:divBdr>
                                        <w:top w:val="none" w:sz="0" w:space="0" w:color="auto"/>
                                        <w:left w:val="none" w:sz="0" w:space="0" w:color="auto"/>
                                        <w:bottom w:val="none" w:sz="0" w:space="0" w:color="auto"/>
                                        <w:right w:val="none" w:sz="0" w:space="0" w:color="auto"/>
                                      </w:divBdr>
                                      <w:divsChild>
                                        <w:div w:id="1882865813">
                                          <w:marLeft w:val="0"/>
                                          <w:marRight w:val="0"/>
                                          <w:marTop w:val="0"/>
                                          <w:marBottom w:val="0"/>
                                          <w:divBdr>
                                            <w:top w:val="none" w:sz="0" w:space="0" w:color="auto"/>
                                            <w:left w:val="none" w:sz="0" w:space="0" w:color="auto"/>
                                            <w:bottom w:val="none" w:sz="0" w:space="0" w:color="auto"/>
                                            <w:right w:val="none" w:sz="0" w:space="0" w:color="auto"/>
                                          </w:divBdr>
                                          <w:divsChild>
                                            <w:div w:id="1717729598">
                                              <w:marLeft w:val="0"/>
                                              <w:marRight w:val="0"/>
                                              <w:marTop w:val="0"/>
                                              <w:marBottom w:val="0"/>
                                              <w:divBdr>
                                                <w:top w:val="none" w:sz="0" w:space="0" w:color="auto"/>
                                                <w:left w:val="none" w:sz="0" w:space="0" w:color="auto"/>
                                                <w:bottom w:val="none" w:sz="0" w:space="0" w:color="auto"/>
                                                <w:right w:val="none" w:sz="0" w:space="0" w:color="auto"/>
                                              </w:divBdr>
                                              <w:divsChild>
                                                <w:div w:id="1204945786">
                                                  <w:marLeft w:val="0"/>
                                                  <w:marRight w:val="0"/>
                                                  <w:marTop w:val="0"/>
                                                  <w:marBottom w:val="0"/>
                                                  <w:divBdr>
                                                    <w:top w:val="none" w:sz="0" w:space="0" w:color="auto"/>
                                                    <w:left w:val="none" w:sz="0" w:space="0" w:color="auto"/>
                                                    <w:bottom w:val="none" w:sz="0" w:space="0" w:color="auto"/>
                                                    <w:right w:val="none" w:sz="0" w:space="0" w:color="auto"/>
                                                  </w:divBdr>
                                                  <w:divsChild>
                                                    <w:div w:id="1785727912">
                                                      <w:marLeft w:val="0"/>
                                                      <w:marRight w:val="0"/>
                                                      <w:marTop w:val="0"/>
                                                      <w:marBottom w:val="0"/>
                                                      <w:divBdr>
                                                        <w:top w:val="none" w:sz="0" w:space="0" w:color="auto"/>
                                                        <w:left w:val="none" w:sz="0" w:space="0" w:color="auto"/>
                                                        <w:bottom w:val="none" w:sz="0" w:space="0" w:color="auto"/>
                                                        <w:right w:val="none" w:sz="0" w:space="0" w:color="auto"/>
                                                      </w:divBdr>
                                                      <w:divsChild>
                                                        <w:div w:id="211622246">
                                                          <w:marLeft w:val="0"/>
                                                          <w:marRight w:val="0"/>
                                                          <w:marTop w:val="0"/>
                                                          <w:marBottom w:val="0"/>
                                                          <w:divBdr>
                                                            <w:top w:val="none" w:sz="0" w:space="0" w:color="auto"/>
                                                            <w:left w:val="none" w:sz="0" w:space="0" w:color="auto"/>
                                                            <w:bottom w:val="none" w:sz="0" w:space="0" w:color="auto"/>
                                                            <w:right w:val="none" w:sz="0" w:space="0" w:color="auto"/>
                                                          </w:divBdr>
                                                          <w:divsChild>
                                                            <w:div w:id="359208445">
                                                              <w:marLeft w:val="0"/>
                                                              <w:marRight w:val="0"/>
                                                              <w:marTop w:val="0"/>
                                                              <w:marBottom w:val="0"/>
                                                              <w:divBdr>
                                                                <w:top w:val="none" w:sz="0" w:space="0" w:color="auto"/>
                                                                <w:left w:val="none" w:sz="0" w:space="0" w:color="auto"/>
                                                                <w:bottom w:val="none" w:sz="0" w:space="0" w:color="auto"/>
                                                                <w:right w:val="none" w:sz="0" w:space="0" w:color="auto"/>
                                                              </w:divBdr>
                                                              <w:divsChild>
                                                                <w:div w:id="1362779383">
                                                                  <w:marLeft w:val="0"/>
                                                                  <w:marRight w:val="0"/>
                                                                  <w:marTop w:val="83"/>
                                                                  <w:marBottom w:val="0"/>
                                                                  <w:divBdr>
                                                                    <w:top w:val="none" w:sz="0" w:space="0" w:color="auto"/>
                                                                    <w:left w:val="none" w:sz="0" w:space="0" w:color="auto"/>
                                                                    <w:bottom w:val="none" w:sz="0" w:space="0" w:color="auto"/>
                                                                    <w:right w:val="none" w:sz="0" w:space="0" w:color="auto"/>
                                                                  </w:divBdr>
                                                                  <w:divsChild>
                                                                    <w:div w:id="1034886525">
                                                                      <w:marLeft w:val="0"/>
                                                                      <w:marRight w:val="0"/>
                                                                      <w:marTop w:val="0"/>
                                                                      <w:marBottom w:val="0"/>
                                                                      <w:divBdr>
                                                                        <w:top w:val="none" w:sz="0" w:space="0" w:color="auto"/>
                                                                        <w:left w:val="none" w:sz="0" w:space="0" w:color="auto"/>
                                                                        <w:bottom w:val="none" w:sz="0" w:space="0" w:color="auto"/>
                                                                        <w:right w:val="none" w:sz="0" w:space="0" w:color="auto"/>
                                                                      </w:divBdr>
                                                                      <w:divsChild>
                                                                        <w:div w:id="1865365479">
                                                                          <w:marLeft w:val="0"/>
                                                                          <w:marRight w:val="0"/>
                                                                          <w:marTop w:val="83"/>
                                                                          <w:marBottom w:val="0"/>
                                                                          <w:divBdr>
                                                                            <w:top w:val="none" w:sz="0" w:space="0" w:color="auto"/>
                                                                            <w:left w:val="none" w:sz="0" w:space="0" w:color="auto"/>
                                                                            <w:bottom w:val="none" w:sz="0" w:space="0" w:color="auto"/>
                                                                            <w:right w:val="none" w:sz="0" w:space="0" w:color="auto"/>
                                                                          </w:divBdr>
                                                                          <w:divsChild>
                                                                            <w:div w:id="1404639880">
                                                                              <w:marLeft w:val="0"/>
                                                                              <w:marRight w:val="0"/>
                                                                              <w:marTop w:val="0"/>
                                                                              <w:marBottom w:val="0"/>
                                                                              <w:divBdr>
                                                                                <w:top w:val="none" w:sz="0" w:space="0" w:color="auto"/>
                                                                                <w:left w:val="none" w:sz="0" w:space="0" w:color="auto"/>
                                                                                <w:bottom w:val="none" w:sz="0" w:space="0" w:color="auto"/>
                                                                                <w:right w:val="none" w:sz="0" w:space="0" w:color="auto"/>
                                                                              </w:divBdr>
                                                                              <w:divsChild>
                                                                                <w:div w:id="15787109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667458">
      <w:marLeft w:val="0"/>
      <w:marRight w:val="0"/>
      <w:marTop w:val="0"/>
      <w:marBottom w:val="0"/>
      <w:divBdr>
        <w:top w:val="none" w:sz="0" w:space="0" w:color="auto"/>
        <w:left w:val="none" w:sz="0" w:space="0" w:color="auto"/>
        <w:bottom w:val="none" w:sz="0" w:space="0" w:color="auto"/>
        <w:right w:val="none" w:sz="0" w:space="0" w:color="auto"/>
      </w:divBdr>
    </w:div>
    <w:div w:id="1701667459">
      <w:marLeft w:val="0"/>
      <w:marRight w:val="0"/>
      <w:marTop w:val="0"/>
      <w:marBottom w:val="0"/>
      <w:divBdr>
        <w:top w:val="none" w:sz="0" w:space="0" w:color="auto"/>
        <w:left w:val="none" w:sz="0" w:space="0" w:color="auto"/>
        <w:bottom w:val="none" w:sz="0" w:space="0" w:color="auto"/>
        <w:right w:val="none" w:sz="0" w:space="0" w:color="auto"/>
      </w:divBdr>
    </w:div>
    <w:div w:id="1701667460">
      <w:marLeft w:val="0"/>
      <w:marRight w:val="0"/>
      <w:marTop w:val="0"/>
      <w:marBottom w:val="0"/>
      <w:divBdr>
        <w:top w:val="none" w:sz="0" w:space="0" w:color="auto"/>
        <w:left w:val="none" w:sz="0" w:space="0" w:color="auto"/>
        <w:bottom w:val="none" w:sz="0" w:space="0" w:color="auto"/>
        <w:right w:val="none" w:sz="0" w:space="0" w:color="auto"/>
      </w:divBdr>
    </w:div>
    <w:div w:id="1701667461">
      <w:marLeft w:val="0"/>
      <w:marRight w:val="0"/>
      <w:marTop w:val="0"/>
      <w:marBottom w:val="0"/>
      <w:divBdr>
        <w:top w:val="none" w:sz="0" w:space="0" w:color="auto"/>
        <w:left w:val="none" w:sz="0" w:space="0" w:color="auto"/>
        <w:bottom w:val="none" w:sz="0" w:space="0" w:color="auto"/>
        <w:right w:val="none" w:sz="0" w:space="0" w:color="auto"/>
      </w:divBdr>
    </w:div>
    <w:div w:id="1701667462">
      <w:marLeft w:val="0"/>
      <w:marRight w:val="0"/>
      <w:marTop w:val="0"/>
      <w:marBottom w:val="0"/>
      <w:divBdr>
        <w:top w:val="none" w:sz="0" w:space="0" w:color="auto"/>
        <w:left w:val="none" w:sz="0" w:space="0" w:color="auto"/>
        <w:bottom w:val="none" w:sz="0" w:space="0" w:color="auto"/>
        <w:right w:val="none" w:sz="0" w:space="0" w:color="auto"/>
      </w:divBdr>
    </w:div>
    <w:div w:id="1701667463">
      <w:marLeft w:val="0"/>
      <w:marRight w:val="0"/>
      <w:marTop w:val="0"/>
      <w:marBottom w:val="0"/>
      <w:divBdr>
        <w:top w:val="none" w:sz="0" w:space="0" w:color="auto"/>
        <w:left w:val="none" w:sz="0" w:space="0" w:color="auto"/>
        <w:bottom w:val="none" w:sz="0" w:space="0" w:color="auto"/>
        <w:right w:val="none" w:sz="0" w:space="0" w:color="auto"/>
      </w:divBdr>
    </w:div>
    <w:div w:id="1701667464">
      <w:marLeft w:val="0"/>
      <w:marRight w:val="0"/>
      <w:marTop w:val="0"/>
      <w:marBottom w:val="0"/>
      <w:divBdr>
        <w:top w:val="none" w:sz="0" w:space="0" w:color="auto"/>
        <w:left w:val="none" w:sz="0" w:space="0" w:color="auto"/>
        <w:bottom w:val="none" w:sz="0" w:space="0" w:color="auto"/>
        <w:right w:val="none" w:sz="0" w:space="0" w:color="auto"/>
      </w:divBdr>
    </w:div>
    <w:div w:id="1701667465">
      <w:marLeft w:val="0"/>
      <w:marRight w:val="0"/>
      <w:marTop w:val="0"/>
      <w:marBottom w:val="0"/>
      <w:divBdr>
        <w:top w:val="none" w:sz="0" w:space="0" w:color="auto"/>
        <w:left w:val="none" w:sz="0" w:space="0" w:color="auto"/>
        <w:bottom w:val="none" w:sz="0" w:space="0" w:color="auto"/>
        <w:right w:val="none" w:sz="0" w:space="0" w:color="auto"/>
      </w:divBdr>
    </w:div>
    <w:div w:id="1701667466">
      <w:marLeft w:val="0"/>
      <w:marRight w:val="0"/>
      <w:marTop w:val="0"/>
      <w:marBottom w:val="0"/>
      <w:divBdr>
        <w:top w:val="none" w:sz="0" w:space="0" w:color="auto"/>
        <w:left w:val="none" w:sz="0" w:space="0" w:color="auto"/>
        <w:bottom w:val="none" w:sz="0" w:space="0" w:color="auto"/>
        <w:right w:val="none" w:sz="0" w:space="0" w:color="auto"/>
      </w:divBdr>
    </w:div>
    <w:div w:id="1701667467">
      <w:marLeft w:val="0"/>
      <w:marRight w:val="0"/>
      <w:marTop w:val="0"/>
      <w:marBottom w:val="0"/>
      <w:divBdr>
        <w:top w:val="none" w:sz="0" w:space="0" w:color="auto"/>
        <w:left w:val="none" w:sz="0" w:space="0" w:color="auto"/>
        <w:bottom w:val="none" w:sz="0" w:space="0" w:color="auto"/>
        <w:right w:val="none" w:sz="0" w:space="0" w:color="auto"/>
      </w:divBdr>
    </w:div>
    <w:div w:id="1701667468">
      <w:marLeft w:val="0"/>
      <w:marRight w:val="0"/>
      <w:marTop w:val="0"/>
      <w:marBottom w:val="0"/>
      <w:divBdr>
        <w:top w:val="none" w:sz="0" w:space="0" w:color="auto"/>
        <w:left w:val="none" w:sz="0" w:space="0" w:color="auto"/>
        <w:bottom w:val="none" w:sz="0" w:space="0" w:color="auto"/>
        <w:right w:val="none" w:sz="0" w:space="0" w:color="auto"/>
      </w:divBdr>
    </w:div>
    <w:div w:id="1701667469">
      <w:marLeft w:val="0"/>
      <w:marRight w:val="0"/>
      <w:marTop w:val="0"/>
      <w:marBottom w:val="0"/>
      <w:divBdr>
        <w:top w:val="none" w:sz="0" w:space="0" w:color="auto"/>
        <w:left w:val="none" w:sz="0" w:space="0" w:color="auto"/>
        <w:bottom w:val="none" w:sz="0" w:space="0" w:color="auto"/>
        <w:right w:val="none" w:sz="0" w:space="0" w:color="auto"/>
      </w:divBdr>
    </w:div>
    <w:div w:id="1701667470">
      <w:marLeft w:val="0"/>
      <w:marRight w:val="0"/>
      <w:marTop w:val="0"/>
      <w:marBottom w:val="0"/>
      <w:divBdr>
        <w:top w:val="none" w:sz="0" w:space="0" w:color="auto"/>
        <w:left w:val="none" w:sz="0" w:space="0" w:color="auto"/>
        <w:bottom w:val="none" w:sz="0" w:space="0" w:color="auto"/>
        <w:right w:val="none" w:sz="0" w:space="0" w:color="auto"/>
      </w:divBdr>
    </w:div>
    <w:div w:id="1701667471">
      <w:marLeft w:val="0"/>
      <w:marRight w:val="0"/>
      <w:marTop w:val="0"/>
      <w:marBottom w:val="0"/>
      <w:divBdr>
        <w:top w:val="none" w:sz="0" w:space="0" w:color="auto"/>
        <w:left w:val="none" w:sz="0" w:space="0" w:color="auto"/>
        <w:bottom w:val="none" w:sz="0" w:space="0" w:color="auto"/>
        <w:right w:val="none" w:sz="0" w:space="0" w:color="auto"/>
      </w:divBdr>
    </w:div>
    <w:div w:id="1701667472">
      <w:marLeft w:val="0"/>
      <w:marRight w:val="0"/>
      <w:marTop w:val="0"/>
      <w:marBottom w:val="0"/>
      <w:divBdr>
        <w:top w:val="none" w:sz="0" w:space="0" w:color="auto"/>
        <w:left w:val="none" w:sz="0" w:space="0" w:color="auto"/>
        <w:bottom w:val="none" w:sz="0" w:space="0" w:color="auto"/>
        <w:right w:val="none" w:sz="0" w:space="0" w:color="auto"/>
      </w:divBdr>
    </w:div>
    <w:div w:id="1701667473">
      <w:marLeft w:val="0"/>
      <w:marRight w:val="0"/>
      <w:marTop w:val="0"/>
      <w:marBottom w:val="0"/>
      <w:divBdr>
        <w:top w:val="none" w:sz="0" w:space="0" w:color="auto"/>
        <w:left w:val="none" w:sz="0" w:space="0" w:color="auto"/>
        <w:bottom w:val="none" w:sz="0" w:space="0" w:color="auto"/>
        <w:right w:val="none" w:sz="0" w:space="0" w:color="auto"/>
      </w:divBdr>
    </w:div>
    <w:div w:id="1701667474">
      <w:marLeft w:val="0"/>
      <w:marRight w:val="0"/>
      <w:marTop w:val="0"/>
      <w:marBottom w:val="0"/>
      <w:divBdr>
        <w:top w:val="none" w:sz="0" w:space="0" w:color="auto"/>
        <w:left w:val="none" w:sz="0" w:space="0" w:color="auto"/>
        <w:bottom w:val="none" w:sz="0" w:space="0" w:color="auto"/>
        <w:right w:val="none" w:sz="0" w:space="0" w:color="auto"/>
      </w:divBdr>
    </w:div>
    <w:div w:id="1701667475">
      <w:marLeft w:val="0"/>
      <w:marRight w:val="0"/>
      <w:marTop w:val="0"/>
      <w:marBottom w:val="0"/>
      <w:divBdr>
        <w:top w:val="none" w:sz="0" w:space="0" w:color="auto"/>
        <w:left w:val="none" w:sz="0" w:space="0" w:color="auto"/>
        <w:bottom w:val="none" w:sz="0" w:space="0" w:color="auto"/>
        <w:right w:val="none" w:sz="0" w:space="0" w:color="auto"/>
      </w:divBdr>
    </w:div>
    <w:div w:id="1701667476">
      <w:marLeft w:val="0"/>
      <w:marRight w:val="0"/>
      <w:marTop w:val="0"/>
      <w:marBottom w:val="0"/>
      <w:divBdr>
        <w:top w:val="none" w:sz="0" w:space="0" w:color="auto"/>
        <w:left w:val="none" w:sz="0" w:space="0" w:color="auto"/>
        <w:bottom w:val="none" w:sz="0" w:space="0" w:color="auto"/>
        <w:right w:val="none" w:sz="0" w:space="0" w:color="auto"/>
      </w:divBdr>
    </w:div>
    <w:div w:id="1701667477">
      <w:marLeft w:val="0"/>
      <w:marRight w:val="0"/>
      <w:marTop w:val="0"/>
      <w:marBottom w:val="0"/>
      <w:divBdr>
        <w:top w:val="none" w:sz="0" w:space="0" w:color="auto"/>
        <w:left w:val="none" w:sz="0" w:space="0" w:color="auto"/>
        <w:bottom w:val="none" w:sz="0" w:space="0" w:color="auto"/>
        <w:right w:val="none" w:sz="0" w:space="0" w:color="auto"/>
      </w:divBdr>
    </w:div>
    <w:div w:id="1701667478">
      <w:marLeft w:val="0"/>
      <w:marRight w:val="0"/>
      <w:marTop w:val="0"/>
      <w:marBottom w:val="0"/>
      <w:divBdr>
        <w:top w:val="none" w:sz="0" w:space="0" w:color="auto"/>
        <w:left w:val="none" w:sz="0" w:space="0" w:color="auto"/>
        <w:bottom w:val="none" w:sz="0" w:space="0" w:color="auto"/>
        <w:right w:val="none" w:sz="0" w:space="0" w:color="auto"/>
      </w:divBdr>
    </w:div>
    <w:div w:id="1701667479">
      <w:marLeft w:val="0"/>
      <w:marRight w:val="0"/>
      <w:marTop w:val="0"/>
      <w:marBottom w:val="0"/>
      <w:divBdr>
        <w:top w:val="none" w:sz="0" w:space="0" w:color="auto"/>
        <w:left w:val="none" w:sz="0" w:space="0" w:color="auto"/>
        <w:bottom w:val="none" w:sz="0" w:space="0" w:color="auto"/>
        <w:right w:val="none" w:sz="0" w:space="0" w:color="auto"/>
      </w:divBdr>
    </w:div>
    <w:div w:id="1701667480">
      <w:marLeft w:val="0"/>
      <w:marRight w:val="0"/>
      <w:marTop w:val="0"/>
      <w:marBottom w:val="0"/>
      <w:divBdr>
        <w:top w:val="none" w:sz="0" w:space="0" w:color="auto"/>
        <w:left w:val="none" w:sz="0" w:space="0" w:color="auto"/>
        <w:bottom w:val="none" w:sz="0" w:space="0" w:color="auto"/>
        <w:right w:val="none" w:sz="0" w:space="0" w:color="auto"/>
      </w:divBdr>
    </w:div>
    <w:div w:id="1701667481">
      <w:marLeft w:val="0"/>
      <w:marRight w:val="0"/>
      <w:marTop w:val="0"/>
      <w:marBottom w:val="0"/>
      <w:divBdr>
        <w:top w:val="none" w:sz="0" w:space="0" w:color="auto"/>
        <w:left w:val="none" w:sz="0" w:space="0" w:color="auto"/>
        <w:bottom w:val="none" w:sz="0" w:space="0" w:color="auto"/>
        <w:right w:val="none" w:sz="0" w:space="0" w:color="auto"/>
      </w:divBdr>
    </w:div>
    <w:div w:id="1701667482">
      <w:marLeft w:val="0"/>
      <w:marRight w:val="0"/>
      <w:marTop w:val="0"/>
      <w:marBottom w:val="0"/>
      <w:divBdr>
        <w:top w:val="none" w:sz="0" w:space="0" w:color="auto"/>
        <w:left w:val="none" w:sz="0" w:space="0" w:color="auto"/>
        <w:bottom w:val="none" w:sz="0" w:space="0" w:color="auto"/>
        <w:right w:val="none" w:sz="0" w:space="0" w:color="auto"/>
      </w:divBdr>
    </w:div>
    <w:div w:id="1701667483">
      <w:marLeft w:val="0"/>
      <w:marRight w:val="0"/>
      <w:marTop w:val="0"/>
      <w:marBottom w:val="0"/>
      <w:divBdr>
        <w:top w:val="none" w:sz="0" w:space="0" w:color="auto"/>
        <w:left w:val="none" w:sz="0" w:space="0" w:color="auto"/>
        <w:bottom w:val="none" w:sz="0" w:space="0" w:color="auto"/>
        <w:right w:val="none" w:sz="0" w:space="0" w:color="auto"/>
      </w:divBdr>
    </w:div>
    <w:div w:id="1701667484">
      <w:marLeft w:val="0"/>
      <w:marRight w:val="0"/>
      <w:marTop w:val="0"/>
      <w:marBottom w:val="0"/>
      <w:divBdr>
        <w:top w:val="none" w:sz="0" w:space="0" w:color="auto"/>
        <w:left w:val="none" w:sz="0" w:space="0" w:color="auto"/>
        <w:bottom w:val="none" w:sz="0" w:space="0" w:color="auto"/>
        <w:right w:val="none" w:sz="0" w:space="0" w:color="auto"/>
      </w:divBdr>
    </w:div>
    <w:div w:id="1701667485">
      <w:marLeft w:val="0"/>
      <w:marRight w:val="0"/>
      <w:marTop w:val="0"/>
      <w:marBottom w:val="0"/>
      <w:divBdr>
        <w:top w:val="none" w:sz="0" w:space="0" w:color="auto"/>
        <w:left w:val="none" w:sz="0" w:space="0" w:color="auto"/>
        <w:bottom w:val="none" w:sz="0" w:space="0" w:color="auto"/>
        <w:right w:val="none" w:sz="0" w:space="0" w:color="auto"/>
      </w:divBdr>
    </w:div>
    <w:div w:id="1701667486">
      <w:marLeft w:val="0"/>
      <w:marRight w:val="0"/>
      <w:marTop w:val="0"/>
      <w:marBottom w:val="0"/>
      <w:divBdr>
        <w:top w:val="none" w:sz="0" w:space="0" w:color="auto"/>
        <w:left w:val="none" w:sz="0" w:space="0" w:color="auto"/>
        <w:bottom w:val="none" w:sz="0" w:space="0" w:color="auto"/>
        <w:right w:val="none" w:sz="0" w:space="0" w:color="auto"/>
      </w:divBdr>
    </w:div>
    <w:div w:id="1701667487">
      <w:marLeft w:val="0"/>
      <w:marRight w:val="0"/>
      <w:marTop w:val="0"/>
      <w:marBottom w:val="0"/>
      <w:divBdr>
        <w:top w:val="none" w:sz="0" w:space="0" w:color="auto"/>
        <w:left w:val="none" w:sz="0" w:space="0" w:color="auto"/>
        <w:bottom w:val="none" w:sz="0" w:space="0" w:color="auto"/>
        <w:right w:val="none" w:sz="0" w:space="0" w:color="auto"/>
      </w:divBdr>
    </w:div>
    <w:div w:id="1701667488">
      <w:marLeft w:val="0"/>
      <w:marRight w:val="0"/>
      <w:marTop w:val="0"/>
      <w:marBottom w:val="0"/>
      <w:divBdr>
        <w:top w:val="none" w:sz="0" w:space="0" w:color="auto"/>
        <w:left w:val="none" w:sz="0" w:space="0" w:color="auto"/>
        <w:bottom w:val="none" w:sz="0" w:space="0" w:color="auto"/>
        <w:right w:val="none" w:sz="0" w:space="0" w:color="auto"/>
      </w:divBdr>
    </w:div>
    <w:div w:id="1701667489">
      <w:marLeft w:val="0"/>
      <w:marRight w:val="0"/>
      <w:marTop w:val="0"/>
      <w:marBottom w:val="0"/>
      <w:divBdr>
        <w:top w:val="none" w:sz="0" w:space="0" w:color="auto"/>
        <w:left w:val="none" w:sz="0" w:space="0" w:color="auto"/>
        <w:bottom w:val="none" w:sz="0" w:space="0" w:color="auto"/>
        <w:right w:val="none" w:sz="0" w:space="0" w:color="auto"/>
      </w:divBdr>
    </w:div>
    <w:div w:id="1701667490">
      <w:marLeft w:val="0"/>
      <w:marRight w:val="0"/>
      <w:marTop w:val="0"/>
      <w:marBottom w:val="0"/>
      <w:divBdr>
        <w:top w:val="none" w:sz="0" w:space="0" w:color="auto"/>
        <w:left w:val="none" w:sz="0" w:space="0" w:color="auto"/>
        <w:bottom w:val="none" w:sz="0" w:space="0" w:color="auto"/>
        <w:right w:val="none" w:sz="0" w:space="0" w:color="auto"/>
      </w:divBdr>
    </w:div>
    <w:div w:id="1701667491">
      <w:marLeft w:val="0"/>
      <w:marRight w:val="0"/>
      <w:marTop w:val="0"/>
      <w:marBottom w:val="0"/>
      <w:divBdr>
        <w:top w:val="none" w:sz="0" w:space="0" w:color="auto"/>
        <w:left w:val="none" w:sz="0" w:space="0" w:color="auto"/>
        <w:bottom w:val="none" w:sz="0" w:space="0" w:color="auto"/>
        <w:right w:val="none" w:sz="0" w:space="0" w:color="auto"/>
      </w:divBdr>
    </w:div>
    <w:div w:id="1701667492">
      <w:marLeft w:val="0"/>
      <w:marRight w:val="0"/>
      <w:marTop w:val="0"/>
      <w:marBottom w:val="0"/>
      <w:divBdr>
        <w:top w:val="none" w:sz="0" w:space="0" w:color="auto"/>
        <w:left w:val="none" w:sz="0" w:space="0" w:color="auto"/>
        <w:bottom w:val="none" w:sz="0" w:space="0" w:color="auto"/>
        <w:right w:val="none" w:sz="0" w:space="0" w:color="auto"/>
      </w:divBdr>
    </w:div>
    <w:div w:id="1701667493">
      <w:marLeft w:val="0"/>
      <w:marRight w:val="0"/>
      <w:marTop w:val="0"/>
      <w:marBottom w:val="0"/>
      <w:divBdr>
        <w:top w:val="none" w:sz="0" w:space="0" w:color="auto"/>
        <w:left w:val="none" w:sz="0" w:space="0" w:color="auto"/>
        <w:bottom w:val="none" w:sz="0" w:space="0" w:color="auto"/>
        <w:right w:val="none" w:sz="0" w:space="0" w:color="auto"/>
      </w:divBdr>
    </w:div>
    <w:div w:id="1701667494">
      <w:marLeft w:val="0"/>
      <w:marRight w:val="0"/>
      <w:marTop w:val="0"/>
      <w:marBottom w:val="0"/>
      <w:divBdr>
        <w:top w:val="none" w:sz="0" w:space="0" w:color="auto"/>
        <w:left w:val="none" w:sz="0" w:space="0" w:color="auto"/>
        <w:bottom w:val="none" w:sz="0" w:space="0" w:color="auto"/>
        <w:right w:val="none" w:sz="0" w:space="0" w:color="auto"/>
      </w:divBdr>
    </w:div>
    <w:div w:id="1701667495">
      <w:marLeft w:val="0"/>
      <w:marRight w:val="0"/>
      <w:marTop w:val="0"/>
      <w:marBottom w:val="0"/>
      <w:divBdr>
        <w:top w:val="none" w:sz="0" w:space="0" w:color="auto"/>
        <w:left w:val="none" w:sz="0" w:space="0" w:color="auto"/>
        <w:bottom w:val="none" w:sz="0" w:space="0" w:color="auto"/>
        <w:right w:val="none" w:sz="0" w:space="0" w:color="auto"/>
      </w:divBdr>
    </w:div>
    <w:div w:id="1701667496">
      <w:marLeft w:val="0"/>
      <w:marRight w:val="0"/>
      <w:marTop w:val="0"/>
      <w:marBottom w:val="0"/>
      <w:divBdr>
        <w:top w:val="none" w:sz="0" w:space="0" w:color="auto"/>
        <w:left w:val="none" w:sz="0" w:space="0" w:color="auto"/>
        <w:bottom w:val="none" w:sz="0" w:space="0" w:color="auto"/>
        <w:right w:val="none" w:sz="0" w:space="0" w:color="auto"/>
      </w:divBdr>
    </w:div>
    <w:div w:id="1701667497">
      <w:marLeft w:val="0"/>
      <w:marRight w:val="0"/>
      <w:marTop w:val="0"/>
      <w:marBottom w:val="0"/>
      <w:divBdr>
        <w:top w:val="none" w:sz="0" w:space="0" w:color="auto"/>
        <w:left w:val="none" w:sz="0" w:space="0" w:color="auto"/>
        <w:bottom w:val="none" w:sz="0" w:space="0" w:color="auto"/>
        <w:right w:val="none" w:sz="0" w:space="0" w:color="auto"/>
      </w:divBdr>
    </w:div>
    <w:div w:id="1701667498">
      <w:marLeft w:val="0"/>
      <w:marRight w:val="0"/>
      <w:marTop w:val="0"/>
      <w:marBottom w:val="0"/>
      <w:divBdr>
        <w:top w:val="none" w:sz="0" w:space="0" w:color="auto"/>
        <w:left w:val="none" w:sz="0" w:space="0" w:color="auto"/>
        <w:bottom w:val="none" w:sz="0" w:space="0" w:color="auto"/>
        <w:right w:val="none" w:sz="0" w:space="0" w:color="auto"/>
      </w:divBdr>
    </w:div>
    <w:div w:id="1701667499">
      <w:marLeft w:val="0"/>
      <w:marRight w:val="0"/>
      <w:marTop w:val="0"/>
      <w:marBottom w:val="0"/>
      <w:divBdr>
        <w:top w:val="none" w:sz="0" w:space="0" w:color="auto"/>
        <w:left w:val="none" w:sz="0" w:space="0" w:color="auto"/>
        <w:bottom w:val="none" w:sz="0" w:space="0" w:color="auto"/>
        <w:right w:val="none" w:sz="0" w:space="0" w:color="auto"/>
      </w:divBdr>
    </w:div>
    <w:div w:id="1701667500">
      <w:marLeft w:val="0"/>
      <w:marRight w:val="0"/>
      <w:marTop w:val="0"/>
      <w:marBottom w:val="0"/>
      <w:divBdr>
        <w:top w:val="none" w:sz="0" w:space="0" w:color="auto"/>
        <w:left w:val="none" w:sz="0" w:space="0" w:color="auto"/>
        <w:bottom w:val="none" w:sz="0" w:space="0" w:color="auto"/>
        <w:right w:val="none" w:sz="0" w:space="0" w:color="auto"/>
      </w:divBdr>
    </w:div>
    <w:div w:id="1701667501">
      <w:marLeft w:val="0"/>
      <w:marRight w:val="0"/>
      <w:marTop w:val="0"/>
      <w:marBottom w:val="0"/>
      <w:divBdr>
        <w:top w:val="none" w:sz="0" w:space="0" w:color="auto"/>
        <w:left w:val="none" w:sz="0" w:space="0" w:color="auto"/>
        <w:bottom w:val="none" w:sz="0" w:space="0" w:color="auto"/>
        <w:right w:val="none" w:sz="0" w:space="0" w:color="auto"/>
      </w:divBdr>
    </w:div>
    <w:div w:id="1701667502">
      <w:marLeft w:val="0"/>
      <w:marRight w:val="0"/>
      <w:marTop w:val="0"/>
      <w:marBottom w:val="0"/>
      <w:divBdr>
        <w:top w:val="none" w:sz="0" w:space="0" w:color="auto"/>
        <w:left w:val="none" w:sz="0" w:space="0" w:color="auto"/>
        <w:bottom w:val="none" w:sz="0" w:space="0" w:color="auto"/>
        <w:right w:val="none" w:sz="0" w:space="0" w:color="auto"/>
      </w:divBdr>
    </w:div>
    <w:div w:id="1701667503">
      <w:marLeft w:val="0"/>
      <w:marRight w:val="0"/>
      <w:marTop w:val="0"/>
      <w:marBottom w:val="0"/>
      <w:divBdr>
        <w:top w:val="none" w:sz="0" w:space="0" w:color="auto"/>
        <w:left w:val="none" w:sz="0" w:space="0" w:color="auto"/>
        <w:bottom w:val="none" w:sz="0" w:space="0" w:color="auto"/>
        <w:right w:val="none" w:sz="0" w:space="0" w:color="auto"/>
      </w:divBdr>
    </w:div>
    <w:div w:id="1701667504">
      <w:marLeft w:val="0"/>
      <w:marRight w:val="0"/>
      <w:marTop w:val="0"/>
      <w:marBottom w:val="0"/>
      <w:divBdr>
        <w:top w:val="none" w:sz="0" w:space="0" w:color="auto"/>
        <w:left w:val="none" w:sz="0" w:space="0" w:color="auto"/>
        <w:bottom w:val="none" w:sz="0" w:space="0" w:color="auto"/>
        <w:right w:val="none" w:sz="0" w:space="0" w:color="auto"/>
      </w:divBdr>
    </w:div>
    <w:div w:id="1701667505">
      <w:marLeft w:val="0"/>
      <w:marRight w:val="0"/>
      <w:marTop w:val="0"/>
      <w:marBottom w:val="0"/>
      <w:divBdr>
        <w:top w:val="none" w:sz="0" w:space="0" w:color="auto"/>
        <w:left w:val="none" w:sz="0" w:space="0" w:color="auto"/>
        <w:bottom w:val="none" w:sz="0" w:space="0" w:color="auto"/>
        <w:right w:val="none" w:sz="0" w:space="0" w:color="auto"/>
      </w:divBdr>
    </w:div>
    <w:div w:id="1701667506">
      <w:marLeft w:val="0"/>
      <w:marRight w:val="0"/>
      <w:marTop w:val="0"/>
      <w:marBottom w:val="0"/>
      <w:divBdr>
        <w:top w:val="none" w:sz="0" w:space="0" w:color="auto"/>
        <w:left w:val="none" w:sz="0" w:space="0" w:color="auto"/>
        <w:bottom w:val="none" w:sz="0" w:space="0" w:color="auto"/>
        <w:right w:val="none" w:sz="0" w:space="0" w:color="auto"/>
      </w:divBdr>
    </w:div>
    <w:div w:id="1701667507">
      <w:marLeft w:val="0"/>
      <w:marRight w:val="0"/>
      <w:marTop w:val="0"/>
      <w:marBottom w:val="0"/>
      <w:divBdr>
        <w:top w:val="none" w:sz="0" w:space="0" w:color="auto"/>
        <w:left w:val="none" w:sz="0" w:space="0" w:color="auto"/>
        <w:bottom w:val="none" w:sz="0" w:space="0" w:color="auto"/>
        <w:right w:val="none" w:sz="0" w:space="0" w:color="auto"/>
      </w:divBdr>
    </w:div>
    <w:div w:id="1701667508">
      <w:marLeft w:val="0"/>
      <w:marRight w:val="0"/>
      <w:marTop w:val="0"/>
      <w:marBottom w:val="0"/>
      <w:divBdr>
        <w:top w:val="none" w:sz="0" w:space="0" w:color="auto"/>
        <w:left w:val="none" w:sz="0" w:space="0" w:color="auto"/>
        <w:bottom w:val="none" w:sz="0" w:space="0" w:color="auto"/>
        <w:right w:val="none" w:sz="0" w:space="0" w:color="auto"/>
      </w:divBdr>
    </w:div>
    <w:div w:id="1701667509">
      <w:marLeft w:val="0"/>
      <w:marRight w:val="0"/>
      <w:marTop w:val="0"/>
      <w:marBottom w:val="0"/>
      <w:divBdr>
        <w:top w:val="none" w:sz="0" w:space="0" w:color="auto"/>
        <w:left w:val="none" w:sz="0" w:space="0" w:color="auto"/>
        <w:bottom w:val="none" w:sz="0" w:space="0" w:color="auto"/>
        <w:right w:val="none" w:sz="0" w:space="0" w:color="auto"/>
      </w:divBdr>
    </w:div>
    <w:div w:id="1701667510">
      <w:marLeft w:val="0"/>
      <w:marRight w:val="0"/>
      <w:marTop w:val="0"/>
      <w:marBottom w:val="0"/>
      <w:divBdr>
        <w:top w:val="none" w:sz="0" w:space="0" w:color="auto"/>
        <w:left w:val="none" w:sz="0" w:space="0" w:color="auto"/>
        <w:bottom w:val="none" w:sz="0" w:space="0" w:color="auto"/>
        <w:right w:val="none" w:sz="0" w:space="0" w:color="auto"/>
      </w:divBdr>
    </w:div>
    <w:div w:id="1701667511">
      <w:marLeft w:val="0"/>
      <w:marRight w:val="0"/>
      <w:marTop w:val="0"/>
      <w:marBottom w:val="0"/>
      <w:divBdr>
        <w:top w:val="none" w:sz="0" w:space="0" w:color="auto"/>
        <w:left w:val="none" w:sz="0" w:space="0" w:color="auto"/>
        <w:bottom w:val="none" w:sz="0" w:space="0" w:color="auto"/>
        <w:right w:val="none" w:sz="0" w:space="0" w:color="auto"/>
      </w:divBdr>
    </w:div>
    <w:div w:id="1701667512">
      <w:marLeft w:val="0"/>
      <w:marRight w:val="0"/>
      <w:marTop w:val="0"/>
      <w:marBottom w:val="0"/>
      <w:divBdr>
        <w:top w:val="none" w:sz="0" w:space="0" w:color="auto"/>
        <w:left w:val="none" w:sz="0" w:space="0" w:color="auto"/>
        <w:bottom w:val="none" w:sz="0" w:space="0" w:color="auto"/>
        <w:right w:val="none" w:sz="0" w:space="0" w:color="auto"/>
      </w:divBdr>
    </w:div>
    <w:div w:id="1701667513">
      <w:marLeft w:val="0"/>
      <w:marRight w:val="0"/>
      <w:marTop w:val="0"/>
      <w:marBottom w:val="0"/>
      <w:divBdr>
        <w:top w:val="none" w:sz="0" w:space="0" w:color="auto"/>
        <w:left w:val="none" w:sz="0" w:space="0" w:color="auto"/>
        <w:bottom w:val="none" w:sz="0" w:space="0" w:color="auto"/>
        <w:right w:val="none" w:sz="0" w:space="0" w:color="auto"/>
      </w:divBdr>
    </w:div>
    <w:div w:id="1701667514">
      <w:marLeft w:val="0"/>
      <w:marRight w:val="0"/>
      <w:marTop w:val="0"/>
      <w:marBottom w:val="0"/>
      <w:divBdr>
        <w:top w:val="none" w:sz="0" w:space="0" w:color="auto"/>
        <w:left w:val="none" w:sz="0" w:space="0" w:color="auto"/>
        <w:bottom w:val="none" w:sz="0" w:space="0" w:color="auto"/>
        <w:right w:val="none" w:sz="0" w:space="0" w:color="auto"/>
      </w:divBdr>
    </w:div>
    <w:div w:id="1701667515">
      <w:marLeft w:val="0"/>
      <w:marRight w:val="0"/>
      <w:marTop w:val="0"/>
      <w:marBottom w:val="0"/>
      <w:divBdr>
        <w:top w:val="none" w:sz="0" w:space="0" w:color="auto"/>
        <w:left w:val="none" w:sz="0" w:space="0" w:color="auto"/>
        <w:bottom w:val="none" w:sz="0" w:space="0" w:color="auto"/>
        <w:right w:val="none" w:sz="0" w:space="0" w:color="auto"/>
      </w:divBdr>
    </w:div>
    <w:div w:id="1701667516">
      <w:marLeft w:val="0"/>
      <w:marRight w:val="0"/>
      <w:marTop w:val="0"/>
      <w:marBottom w:val="0"/>
      <w:divBdr>
        <w:top w:val="none" w:sz="0" w:space="0" w:color="auto"/>
        <w:left w:val="none" w:sz="0" w:space="0" w:color="auto"/>
        <w:bottom w:val="none" w:sz="0" w:space="0" w:color="auto"/>
        <w:right w:val="none" w:sz="0" w:space="0" w:color="auto"/>
      </w:divBdr>
    </w:div>
    <w:div w:id="1701667517">
      <w:marLeft w:val="0"/>
      <w:marRight w:val="0"/>
      <w:marTop w:val="0"/>
      <w:marBottom w:val="0"/>
      <w:divBdr>
        <w:top w:val="none" w:sz="0" w:space="0" w:color="auto"/>
        <w:left w:val="none" w:sz="0" w:space="0" w:color="auto"/>
        <w:bottom w:val="none" w:sz="0" w:space="0" w:color="auto"/>
        <w:right w:val="none" w:sz="0" w:space="0" w:color="auto"/>
      </w:divBdr>
    </w:div>
    <w:div w:id="1701667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l.health.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fl@health.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Rclarke\AppData\Local\Microsoft\Windows\INetCache\Content.Outlook\YW8D5DYI\www.health.govt.nz\new-zealand-health-system\eligibility-publicly-funded-health-services" TargetMode="External"/><Relationship Id="rId2" Type="http://schemas.openxmlformats.org/officeDocument/2006/relationships/hyperlink" Target="file:///C:\Users\Rclarke\AppData\Local\Microsoft\Windows\INetCache\Content.Outlook\YW8D5DYI\www.health.govt.nz" TargetMode="External"/><Relationship Id="rId1" Type="http://schemas.openxmlformats.org/officeDocument/2006/relationships/hyperlink" Target="https://www.health.govt.nz/publication/good-oral-health-all-life" TargetMode="External"/><Relationship Id="rId4" Type="http://schemas.openxmlformats.org/officeDocument/2006/relationships/hyperlink" Target="file:///C:\Users\tvail\AppData\Local\Temp\notesE0EFB4\nsfl.health.govt.nz\accountability\operational-policy-framework-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2" ma:contentTypeDescription="Create a new document." ma:contentTypeScope="" ma:versionID="8a06eafe83fee8051fb4ee07a5ad7d62">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987bfd8218906ba48f94df0a8ebdf4af"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9228-C3FC-494A-8B18-FB6D5A2FC493}">
  <ds:schemaRefs>
    <ds:schemaRef ds:uri="http://schemas.microsoft.com/sharepoint/v3/contenttype/forms"/>
  </ds:schemaRefs>
</ds:datastoreItem>
</file>

<file path=customXml/itemProps2.xml><?xml version="1.0" encoding="utf-8"?>
<ds:datastoreItem xmlns:ds="http://schemas.openxmlformats.org/officeDocument/2006/customXml" ds:itemID="{67B25E02-53E8-49AA-8791-1ADE70C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E57AD-DDAA-4A54-8F11-2CEF31D3A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471B6-D511-4B51-8374-18986BFF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130</TotalTime>
  <Pages>10</Pages>
  <Words>3299</Words>
  <Characters>19702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TIER ONE – ORAL HEALTH SERVICES SPECIFICATION</vt:lpstr>
    </vt:vector>
  </TitlesOfParts>
  <Company>Ministry Of Health</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ONE – ORAL HEALTH SERVICES SPECIFICATION</dc:title>
  <dc:creator>Ministry of Health</dc:creator>
  <cp:lastModifiedBy>Jane Craven</cp:lastModifiedBy>
  <cp:revision>5</cp:revision>
  <cp:lastPrinted>2015-01-05T23:10:00Z</cp:lastPrinted>
  <dcterms:created xsi:type="dcterms:W3CDTF">2021-05-18T23:07:00Z</dcterms:created>
  <dcterms:modified xsi:type="dcterms:W3CDTF">2021-05-19T01:57:00Z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