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65"/>
        <w:tblW w:w="9776" w:type="dxa"/>
        <w:tblLook w:val="0000" w:firstRow="0" w:lastRow="0" w:firstColumn="0" w:lastColumn="0" w:noHBand="0" w:noVBand="0"/>
      </w:tblPr>
      <w:tblGrid>
        <w:gridCol w:w="4608"/>
        <w:gridCol w:w="2895"/>
        <w:gridCol w:w="2273"/>
      </w:tblGrid>
      <w:tr w:rsidR="000A2BB7" w:rsidRPr="003B2D1D" w14:paraId="4B23C91C" w14:textId="77777777" w:rsidTr="00E74B78">
        <w:trPr>
          <w:cantSplit/>
        </w:trPr>
        <w:tc>
          <w:tcPr>
            <w:tcW w:w="4608" w:type="dxa"/>
            <w:vAlign w:val="center"/>
          </w:tcPr>
          <w:p w14:paraId="10F5B86E" w14:textId="77777777" w:rsidR="000A2BB7" w:rsidRPr="003B2D1D" w:rsidRDefault="00691271" w:rsidP="00E74B78">
            <w:pPr>
              <w:rPr>
                <w:rFonts w:ascii="Arial" w:hAnsi="Arial" w:cs="Arial"/>
                <w:bCs/>
                <w:sz w:val="36"/>
              </w:rPr>
            </w:pPr>
            <w:r>
              <w:rPr>
                <w:rFonts w:ascii="Arial" w:hAnsi="Arial" w:cs="Arial"/>
                <w:noProof/>
                <w:lang w:eastAsia="en-NZ"/>
              </w:rPr>
              <w:drawing>
                <wp:inline distT="0" distB="0" distL="0" distR="0" wp14:anchorId="0420E65B" wp14:editId="7D31D5C5">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68" w:type="dxa"/>
            <w:gridSpan w:val="2"/>
            <w:vAlign w:val="center"/>
          </w:tcPr>
          <w:p w14:paraId="3DB10544" w14:textId="77777777" w:rsidR="000A2BB7" w:rsidRPr="00FF73CA" w:rsidRDefault="00D61413" w:rsidP="00E74B78">
            <w:pPr>
              <w:ind w:left="1440" w:hanging="1086"/>
              <w:rPr>
                <w:rFonts w:ascii="Arial" w:hAnsi="Arial" w:cs="Arial"/>
                <w:bCs/>
                <w:sz w:val="32"/>
                <w:szCs w:val="32"/>
              </w:rPr>
            </w:pPr>
            <w:r>
              <w:rPr>
                <w:rFonts w:ascii="Arial" w:hAnsi="Arial" w:cs="Arial"/>
                <w:b/>
                <w:bCs/>
                <w:sz w:val="32"/>
                <w:szCs w:val="32"/>
              </w:rPr>
              <w:t>All</w:t>
            </w:r>
            <w:r w:rsidRPr="00FF73CA">
              <w:rPr>
                <w:rFonts w:ascii="Arial" w:hAnsi="Arial" w:cs="Arial"/>
                <w:b/>
                <w:bCs/>
                <w:sz w:val="32"/>
                <w:szCs w:val="32"/>
              </w:rPr>
              <w:t xml:space="preserve"> </w:t>
            </w:r>
            <w:r w:rsidR="00FF73CA" w:rsidRPr="00FF73CA">
              <w:rPr>
                <w:rFonts w:ascii="Arial" w:hAnsi="Arial" w:cs="Arial"/>
                <w:b/>
                <w:bCs/>
                <w:sz w:val="32"/>
                <w:szCs w:val="32"/>
              </w:rPr>
              <w:t>District Health Boards</w:t>
            </w:r>
          </w:p>
        </w:tc>
      </w:tr>
      <w:tr w:rsidR="000A2BB7" w:rsidRPr="003B2D1D" w14:paraId="33FDFDB4" w14:textId="77777777" w:rsidTr="00E74B78">
        <w:tc>
          <w:tcPr>
            <w:tcW w:w="9776" w:type="dxa"/>
            <w:gridSpan w:val="3"/>
          </w:tcPr>
          <w:p w14:paraId="36E714FC" w14:textId="5C6C7586" w:rsidR="000A2BB7" w:rsidRPr="003B2D1D" w:rsidRDefault="000A2BB7" w:rsidP="00E74B78">
            <w:pPr>
              <w:pStyle w:val="Heading1"/>
              <w:spacing w:before="600" w:after="120"/>
              <w:ind w:hanging="442"/>
              <w:jc w:val="center"/>
              <w:rPr>
                <w:rFonts w:ascii="Arial" w:hAnsi="Arial" w:cs="Arial"/>
                <w:caps/>
                <w:sz w:val="36"/>
              </w:rPr>
            </w:pPr>
            <w:r w:rsidRPr="003B2D1D">
              <w:rPr>
                <w:rFonts w:ascii="Arial" w:hAnsi="Arial" w:cs="Arial"/>
                <w:caps/>
                <w:sz w:val="36"/>
              </w:rPr>
              <w:t>Mental Health and ADDICTION</w:t>
            </w:r>
            <w:r w:rsidR="00941D1D" w:rsidRPr="003B2D1D">
              <w:rPr>
                <w:rFonts w:ascii="Arial" w:hAnsi="Arial" w:cs="Arial"/>
                <w:caps/>
                <w:sz w:val="36"/>
              </w:rPr>
              <w:t xml:space="preserve"> </w:t>
            </w:r>
            <w:r w:rsidRPr="003B2D1D">
              <w:rPr>
                <w:rFonts w:ascii="Arial" w:hAnsi="Arial" w:cs="Arial"/>
                <w:caps/>
                <w:sz w:val="36"/>
              </w:rPr>
              <w:t>services</w:t>
            </w:r>
          </w:p>
          <w:p w14:paraId="1DA10B70" w14:textId="1FE8CCB0" w:rsidR="000A2BB7" w:rsidRPr="00FB77C2" w:rsidRDefault="000A2BB7" w:rsidP="00E74B78">
            <w:pPr>
              <w:pStyle w:val="Heading1"/>
              <w:spacing w:before="120" w:after="840"/>
              <w:jc w:val="center"/>
              <w:rPr>
                <w:rFonts w:ascii="Arial" w:hAnsi="Arial" w:cs="Arial"/>
              </w:rPr>
            </w:pPr>
            <w:r w:rsidRPr="003B2D1D">
              <w:rPr>
                <w:rFonts w:ascii="Arial" w:hAnsi="Arial" w:cs="Arial"/>
                <w:caps/>
                <w:sz w:val="36"/>
              </w:rPr>
              <w:t>Tier ONE</w:t>
            </w:r>
            <w:r w:rsidR="00FB77C2">
              <w:rPr>
                <w:rFonts w:ascii="Arial" w:hAnsi="Arial" w:cs="Arial"/>
                <w:caps/>
                <w:sz w:val="36"/>
              </w:rPr>
              <w:t xml:space="preserve"> </w:t>
            </w:r>
            <w:r w:rsidRPr="00FB77C2">
              <w:rPr>
                <w:rFonts w:ascii="Arial" w:hAnsi="Arial" w:cs="Arial"/>
                <w:caps/>
                <w:sz w:val="36"/>
              </w:rPr>
              <w:t>SERVICE SPECIFiCATION</w:t>
            </w:r>
          </w:p>
          <w:p w14:paraId="46408368" w14:textId="77777777" w:rsidR="000A2BB7" w:rsidRPr="003B2D1D" w:rsidRDefault="000A2BB7" w:rsidP="00E74B78">
            <w:pPr>
              <w:rPr>
                <w:rFonts w:ascii="Arial" w:hAnsi="Arial" w:cs="Arial"/>
                <w:lang w:val="en-US"/>
              </w:rPr>
            </w:pPr>
          </w:p>
        </w:tc>
      </w:tr>
      <w:tr w:rsidR="000A2BB7" w:rsidRPr="003B2D1D" w14:paraId="43F0A035" w14:textId="77777777" w:rsidTr="00DB595D">
        <w:trPr>
          <w:trHeight w:val="1137"/>
        </w:trPr>
        <w:tc>
          <w:tcPr>
            <w:tcW w:w="7503" w:type="dxa"/>
            <w:gridSpan w:val="2"/>
            <w:tcBorders>
              <w:bottom w:val="single" w:sz="4" w:space="0" w:color="auto"/>
            </w:tcBorders>
          </w:tcPr>
          <w:p w14:paraId="7C10E9B9" w14:textId="6D387D7E" w:rsidR="000A2BB7" w:rsidRPr="003B2D1D" w:rsidRDefault="00391387" w:rsidP="00DB595D">
            <w:pPr>
              <w:spacing w:before="120"/>
              <w:rPr>
                <w:rFonts w:ascii="Arial" w:hAnsi="Arial" w:cs="Arial"/>
                <w:sz w:val="32"/>
                <w:szCs w:val="32"/>
                <w:lang w:val="en-US"/>
              </w:rPr>
            </w:pPr>
            <w:r w:rsidRPr="003B2D1D">
              <w:rPr>
                <w:rFonts w:ascii="Arial" w:hAnsi="Arial" w:cs="Arial"/>
                <w:b/>
                <w:sz w:val="32"/>
                <w:szCs w:val="32"/>
              </w:rPr>
              <w:t>S</w:t>
            </w:r>
            <w:r w:rsidR="002414E6" w:rsidRPr="003B2D1D">
              <w:rPr>
                <w:rFonts w:ascii="Arial" w:hAnsi="Arial" w:cs="Arial"/>
                <w:b/>
                <w:sz w:val="32"/>
                <w:szCs w:val="32"/>
              </w:rPr>
              <w:t>TATUS</w:t>
            </w:r>
            <w:r w:rsidRPr="003B2D1D">
              <w:rPr>
                <w:rFonts w:ascii="Arial" w:hAnsi="Arial" w:cs="Arial"/>
                <w:b/>
                <w:sz w:val="32"/>
                <w:szCs w:val="32"/>
              </w:rPr>
              <w:t>:</w:t>
            </w:r>
            <w:r w:rsidR="00DB595D">
              <w:rPr>
                <w:rFonts w:ascii="Arial" w:hAnsi="Arial" w:cs="Arial"/>
                <w:b/>
                <w:sz w:val="32"/>
                <w:szCs w:val="32"/>
              </w:rPr>
              <w:t xml:space="preserve"> </w:t>
            </w:r>
            <w:r w:rsidR="00EC3E93" w:rsidRPr="00EC3E93">
              <w:rPr>
                <w:rFonts w:ascii="Arial" w:hAnsi="Arial" w:cs="Arial"/>
                <w:sz w:val="32"/>
                <w:szCs w:val="32"/>
                <w:lang w:val="en-US"/>
              </w:rPr>
              <w:t>It is compulsory to use this nationwide service specification when purchasing this service.</w:t>
            </w:r>
          </w:p>
        </w:tc>
        <w:tc>
          <w:tcPr>
            <w:tcW w:w="2273" w:type="dxa"/>
            <w:tcBorders>
              <w:bottom w:val="single" w:sz="4" w:space="0" w:color="auto"/>
            </w:tcBorders>
          </w:tcPr>
          <w:p w14:paraId="3DFD92AC" w14:textId="32C57B9A" w:rsidR="000A2BB7" w:rsidRPr="003B2D1D" w:rsidRDefault="000A2BB7" w:rsidP="00E74B78">
            <w:pPr>
              <w:pStyle w:val="Heading1"/>
              <w:spacing w:before="120" w:after="240"/>
              <w:ind w:left="0" w:firstLine="0"/>
              <w:jc w:val="both"/>
              <w:rPr>
                <w:rFonts w:ascii="Arial" w:hAnsi="Arial" w:cs="Arial"/>
                <w:sz w:val="32"/>
                <w:szCs w:val="32"/>
              </w:rPr>
            </w:pPr>
            <w:r w:rsidRPr="00A0492F">
              <w:rPr>
                <w:rFonts w:ascii="Arial" w:hAnsi="Arial" w:cs="Arial"/>
                <w:caps/>
                <w:sz w:val="28"/>
                <w:szCs w:val="28"/>
              </w:rPr>
              <w:t xml:space="preserve">MANDATORY </w:t>
            </w:r>
          </w:p>
        </w:tc>
      </w:tr>
      <w:tr w:rsidR="000A2BB7" w:rsidRPr="003B2D1D" w14:paraId="381C1BDA" w14:textId="77777777" w:rsidTr="00E74B78">
        <w:trPr>
          <w:trHeight w:val="297"/>
        </w:trPr>
        <w:tc>
          <w:tcPr>
            <w:tcW w:w="7503" w:type="dxa"/>
            <w:gridSpan w:val="2"/>
            <w:tcBorders>
              <w:top w:val="single" w:sz="4" w:space="0" w:color="auto"/>
              <w:left w:val="single" w:sz="4" w:space="0" w:color="auto"/>
              <w:bottom w:val="single" w:sz="4" w:space="0" w:color="auto"/>
            </w:tcBorders>
            <w:shd w:val="clear" w:color="auto" w:fill="CCCCCC"/>
          </w:tcPr>
          <w:p w14:paraId="013EF54A" w14:textId="176BEE2B" w:rsidR="000A2BB7" w:rsidRPr="003B2D1D" w:rsidRDefault="000A2BB7" w:rsidP="00DB595D">
            <w:pPr>
              <w:pStyle w:val="Heading1"/>
              <w:spacing w:before="120" w:after="120"/>
              <w:jc w:val="both"/>
              <w:rPr>
                <w:rFonts w:ascii="Arial" w:hAnsi="Arial" w:cs="Arial"/>
                <w:sz w:val="28"/>
                <w:lang w:val="en-NZ"/>
              </w:rPr>
            </w:pPr>
            <w:r w:rsidRPr="003B2D1D">
              <w:rPr>
                <w:rFonts w:ascii="Arial" w:hAnsi="Arial" w:cs="Arial"/>
                <w:sz w:val="28"/>
                <w:lang w:val="en-NZ"/>
              </w:rPr>
              <w:t>Review history</w:t>
            </w:r>
          </w:p>
        </w:tc>
        <w:tc>
          <w:tcPr>
            <w:tcW w:w="2273" w:type="dxa"/>
            <w:tcBorders>
              <w:top w:val="single" w:sz="4" w:space="0" w:color="auto"/>
              <w:bottom w:val="single" w:sz="4" w:space="0" w:color="auto"/>
              <w:right w:val="single" w:sz="4" w:space="0" w:color="auto"/>
            </w:tcBorders>
            <w:shd w:val="clear" w:color="auto" w:fill="CCCCCC"/>
          </w:tcPr>
          <w:p w14:paraId="6754B7CD" w14:textId="77777777" w:rsidR="000A2BB7" w:rsidRPr="003B2D1D" w:rsidRDefault="000A2BB7" w:rsidP="00DB595D">
            <w:pPr>
              <w:pStyle w:val="Heading1"/>
              <w:spacing w:before="120" w:after="120"/>
              <w:jc w:val="both"/>
              <w:rPr>
                <w:rFonts w:ascii="Arial" w:hAnsi="Arial" w:cs="Arial"/>
                <w:sz w:val="28"/>
                <w:lang w:val="en-NZ"/>
              </w:rPr>
            </w:pPr>
            <w:r w:rsidRPr="003B2D1D">
              <w:rPr>
                <w:rFonts w:ascii="Arial" w:hAnsi="Arial" w:cs="Arial"/>
                <w:sz w:val="28"/>
                <w:lang w:val="en-NZ"/>
              </w:rPr>
              <w:t>Date</w:t>
            </w:r>
          </w:p>
        </w:tc>
      </w:tr>
      <w:tr w:rsidR="000A2BB7" w:rsidRPr="003B2D1D" w14:paraId="79FA0EC4" w14:textId="77777777" w:rsidTr="00E74B78">
        <w:tc>
          <w:tcPr>
            <w:tcW w:w="7503" w:type="dxa"/>
            <w:gridSpan w:val="2"/>
            <w:tcBorders>
              <w:top w:val="single" w:sz="4" w:space="0" w:color="auto"/>
              <w:left w:val="single" w:sz="4" w:space="0" w:color="auto"/>
              <w:bottom w:val="single" w:sz="6" w:space="0" w:color="auto"/>
              <w:right w:val="single" w:sz="6" w:space="0" w:color="auto"/>
            </w:tcBorders>
            <w:vAlign w:val="center"/>
          </w:tcPr>
          <w:p w14:paraId="29653A1C" w14:textId="77777777" w:rsidR="000A2BB7" w:rsidRPr="000E3134" w:rsidRDefault="00D61413" w:rsidP="00E74B78">
            <w:pPr>
              <w:pStyle w:val="BodyText"/>
              <w:spacing w:before="120" w:after="120"/>
              <w:rPr>
                <w:rFonts w:ascii="Arial" w:hAnsi="Arial" w:cs="Arial"/>
                <w:snapToGrid/>
                <w:color w:val="auto"/>
                <w:sz w:val="28"/>
                <w:szCs w:val="28"/>
                <w:lang w:val="en-NZ"/>
              </w:rPr>
            </w:pPr>
            <w:r w:rsidRPr="00FC395F">
              <w:rPr>
                <w:rFonts w:ascii="Arial" w:hAnsi="Arial" w:cs="Arial"/>
                <w:snapToGrid/>
                <w:color w:val="auto"/>
                <w:sz w:val="26"/>
                <w:szCs w:val="28"/>
                <w:lang w:val="en-NZ"/>
              </w:rPr>
              <w:t xml:space="preserve">First </w:t>
            </w:r>
            <w:r w:rsidR="000A2BB7" w:rsidRPr="00FC395F">
              <w:rPr>
                <w:rFonts w:ascii="Arial" w:hAnsi="Arial" w:cs="Arial"/>
                <w:snapToGrid/>
                <w:color w:val="auto"/>
                <w:sz w:val="26"/>
                <w:szCs w:val="28"/>
                <w:lang w:val="en-NZ"/>
              </w:rPr>
              <w:t>Published on NSF Library</w:t>
            </w:r>
          </w:p>
        </w:tc>
        <w:tc>
          <w:tcPr>
            <w:tcW w:w="2273" w:type="dxa"/>
            <w:tcBorders>
              <w:top w:val="single" w:sz="4" w:space="0" w:color="auto"/>
              <w:left w:val="single" w:sz="6" w:space="0" w:color="auto"/>
              <w:bottom w:val="single" w:sz="6" w:space="0" w:color="auto"/>
              <w:right w:val="single" w:sz="4" w:space="0" w:color="auto"/>
            </w:tcBorders>
            <w:vAlign w:val="center"/>
          </w:tcPr>
          <w:p w14:paraId="2B731BB1" w14:textId="77777777" w:rsidR="000A2BB7" w:rsidRPr="00FC395F" w:rsidRDefault="009B7493" w:rsidP="00E74B78">
            <w:pPr>
              <w:spacing w:before="120" w:after="120"/>
              <w:rPr>
                <w:rFonts w:ascii="Arial" w:hAnsi="Arial" w:cs="Arial"/>
                <w:b/>
                <w:bCs/>
                <w:sz w:val="26"/>
                <w:szCs w:val="28"/>
              </w:rPr>
            </w:pPr>
            <w:r w:rsidRPr="00FC395F">
              <w:rPr>
                <w:rFonts w:ascii="Arial" w:hAnsi="Arial" w:cs="Arial"/>
                <w:b/>
                <w:bCs/>
                <w:sz w:val="26"/>
                <w:szCs w:val="28"/>
              </w:rPr>
              <w:t>June 2009</w:t>
            </w:r>
          </w:p>
        </w:tc>
      </w:tr>
      <w:tr w:rsidR="000E3134" w:rsidRPr="003B2D1D" w14:paraId="26CEAF74" w14:textId="77777777" w:rsidTr="00E74B78">
        <w:tc>
          <w:tcPr>
            <w:tcW w:w="7503" w:type="dxa"/>
            <w:gridSpan w:val="2"/>
            <w:tcBorders>
              <w:top w:val="single" w:sz="6" w:space="0" w:color="auto"/>
              <w:left w:val="single" w:sz="4" w:space="0" w:color="auto"/>
              <w:bottom w:val="single" w:sz="6" w:space="0" w:color="auto"/>
              <w:right w:val="single" w:sz="6" w:space="0" w:color="auto"/>
            </w:tcBorders>
            <w:vAlign w:val="center"/>
          </w:tcPr>
          <w:p w14:paraId="0915819F" w14:textId="77777777" w:rsidR="000E3134" w:rsidRPr="00E74B78" w:rsidRDefault="000E3134" w:rsidP="00E74B78">
            <w:pPr>
              <w:pStyle w:val="BodyText"/>
              <w:spacing w:before="120" w:after="120"/>
              <w:jc w:val="left"/>
              <w:rPr>
                <w:rFonts w:ascii="Arial" w:hAnsi="Arial" w:cs="Arial"/>
                <w:snapToGrid/>
                <w:color w:val="auto"/>
                <w:szCs w:val="24"/>
                <w:lang w:val="en-NZ"/>
              </w:rPr>
            </w:pPr>
            <w:r w:rsidRPr="00DB595D">
              <w:rPr>
                <w:rFonts w:ascii="Arial" w:hAnsi="Arial" w:cs="Arial"/>
                <w:b/>
                <w:snapToGrid/>
                <w:color w:val="auto"/>
                <w:szCs w:val="24"/>
                <w:lang w:val="en-NZ"/>
              </w:rPr>
              <w:t>Amended:</w:t>
            </w:r>
            <w:r w:rsidRPr="00E74B78">
              <w:rPr>
                <w:rFonts w:ascii="Arial" w:hAnsi="Arial" w:cs="Arial"/>
                <w:snapToGrid/>
                <w:color w:val="auto"/>
                <w:szCs w:val="24"/>
                <w:lang w:val="en-NZ"/>
              </w:rPr>
              <w:t xml:space="preserve"> Section </w:t>
            </w:r>
            <w:r w:rsidRPr="00E74B78">
              <w:rPr>
                <w:rFonts w:ascii="Arial" w:hAnsi="Arial" w:cs="Arial"/>
                <w:color w:val="auto"/>
                <w:szCs w:val="24"/>
              </w:rPr>
              <w:t>9.1 N</w:t>
            </w:r>
            <w:proofErr w:type="spellStart"/>
            <w:r w:rsidRPr="00E74B78">
              <w:rPr>
                <w:rFonts w:ascii="Arial" w:hAnsi="Arial" w:cs="Arial"/>
                <w:snapToGrid/>
                <w:color w:val="auto"/>
                <w:szCs w:val="24"/>
                <w:lang w:val="en-NZ"/>
              </w:rPr>
              <w:t>ational</w:t>
            </w:r>
            <w:proofErr w:type="spellEnd"/>
            <w:r w:rsidRPr="00E74B78">
              <w:rPr>
                <w:rFonts w:ascii="Arial" w:hAnsi="Arial" w:cs="Arial"/>
                <w:snapToGrid/>
                <w:color w:val="auto"/>
                <w:szCs w:val="24"/>
                <w:lang w:val="en-NZ"/>
              </w:rPr>
              <w:t xml:space="preserve"> collections workforce reporting</w:t>
            </w:r>
            <w:r w:rsidRPr="00E74B78">
              <w:rPr>
                <w:rFonts w:ascii="Arial" w:hAnsi="Arial" w:cs="Arial"/>
                <w:color w:val="auto"/>
                <w:szCs w:val="24"/>
              </w:rPr>
              <w:t xml:space="preserve"> and 9.1.2 Additional Reporting Items for NGO Providers </w:t>
            </w:r>
            <w:r w:rsidRPr="00E74B78">
              <w:rPr>
                <w:rFonts w:ascii="Arial" w:hAnsi="Arial" w:cs="Arial"/>
                <w:color w:val="auto"/>
                <w:szCs w:val="24"/>
                <w:u w:val="single"/>
              </w:rPr>
              <w:t>only</w:t>
            </w:r>
            <w:r w:rsidRPr="00E74B78">
              <w:rPr>
                <w:rFonts w:ascii="Arial" w:hAnsi="Arial" w:cs="Arial"/>
                <w:color w:val="auto"/>
                <w:szCs w:val="24"/>
              </w:rPr>
              <w:t xml:space="preserve">: </w:t>
            </w:r>
            <w:proofErr w:type="spellStart"/>
            <w:r w:rsidRPr="00E74B78">
              <w:rPr>
                <w:rFonts w:ascii="Arial" w:hAnsi="Arial" w:cs="Arial"/>
                <w:color w:val="auto"/>
                <w:szCs w:val="24"/>
              </w:rPr>
              <w:t>Organisational</w:t>
            </w:r>
            <w:proofErr w:type="spellEnd"/>
            <w:r w:rsidRPr="00E74B78">
              <w:rPr>
                <w:rFonts w:ascii="Arial" w:hAnsi="Arial" w:cs="Arial"/>
                <w:color w:val="auto"/>
                <w:szCs w:val="24"/>
              </w:rPr>
              <w:t xml:space="preserve"> Governance.</w:t>
            </w:r>
          </w:p>
        </w:tc>
        <w:tc>
          <w:tcPr>
            <w:tcW w:w="2273" w:type="dxa"/>
            <w:tcBorders>
              <w:top w:val="single" w:sz="6" w:space="0" w:color="auto"/>
              <w:left w:val="single" w:sz="6" w:space="0" w:color="auto"/>
              <w:bottom w:val="single" w:sz="6" w:space="0" w:color="auto"/>
              <w:right w:val="single" w:sz="4" w:space="0" w:color="auto"/>
            </w:tcBorders>
            <w:vAlign w:val="center"/>
          </w:tcPr>
          <w:p w14:paraId="191A7387" w14:textId="77777777" w:rsidR="000E3134" w:rsidRPr="00FC395F" w:rsidRDefault="000E3134" w:rsidP="00E74B78">
            <w:pPr>
              <w:spacing w:before="120" w:after="120"/>
              <w:rPr>
                <w:rFonts w:ascii="Arial" w:hAnsi="Arial" w:cs="Arial"/>
                <w:b/>
                <w:sz w:val="26"/>
                <w:szCs w:val="28"/>
              </w:rPr>
            </w:pPr>
            <w:r w:rsidRPr="00FC395F">
              <w:rPr>
                <w:rFonts w:ascii="Arial" w:hAnsi="Arial" w:cs="Arial"/>
                <w:b/>
                <w:sz w:val="26"/>
                <w:szCs w:val="28"/>
              </w:rPr>
              <w:t>April 2011</w:t>
            </w:r>
          </w:p>
        </w:tc>
      </w:tr>
      <w:tr w:rsidR="00FF73CA" w:rsidRPr="003B2D1D" w14:paraId="63804EC6" w14:textId="77777777" w:rsidTr="00E74B78">
        <w:tc>
          <w:tcPr>
            <w:tcW w:w="7503" w:type="dxa"/>
            <w:gridSpan w:val="2"/>
            <w:tcBorders>
              <w:top w:val="single" w:sz="6" w:space="0" w:color="auto"/>
              <w:left w:val="single" w:sz="4" w:space="0" w:color="auto"/>
              <w:bottom w:val="single" w:sz="6" w:space="0" w:color="auto"/>
              <w:right w:val="single" w:sz="6" w:space="0" w:color="auto"/>
            </w:tcBorders>
            <w:vAlign w:val="center"/>
          </w:tcPr>
          <w:p w14:paraId="622DAB76" w14:textId="77777777" w:rsidR="00FF73CA" w:rsidRPr="00E74B78" w:rsidRDefault="00FF73CA" w:rsidP="00E74B78">
            <w:pPr>
              <w:pStyle w:val="BodyText"/>
              <w:spacing w:before="120" w:after="120"/>
              <w:jc w:val="left"/>
              <w:rPr>
                <w:rFonts w:ascii="Arial" w:hAnsi="Arial" w:cs="Arial"/>
                <w:snapToGrid/>
                <w:color w:val="auto"/>
                <w:szCs w:val="24"/>
                <w:lang w:val="en-NZ"/>
              </w:rPr>
            </w:pPr>
            <w:r w:rsidRPr="00DB595D">
              <w:rPr>
                <w:rFonts w:ascii="Arial" w:hAnsi="Arial" w:cs="Arial"/>
                <w:b/>
                <w:snapToGrid/>
                <w:color w:val="auto"/>
                <w:szCs w:val="24"/>
                <w:lang w:val="en-NZ"/>
              </w:rPr>
              <w:t>Amended:</w:t>
            </w:r>
            <w:r w:rsidRPr="00E74B78">
              <w:rPr>
                <w:rFonts w:ascii="Arial" w:hAnsi="Arial" w:cs="Arial"/>
                <w:snapToGrid/>
                <w:color w:val="auto"/>
                <w:szCs w:val="24"/>
                <w:lang w:val="en-NZ"/>
              </w:rPr>
              <w:t xml:space="preserve"> </w:t>
            </w:r>
            <w:r w:rsidR="003A57D0" w:rsidRPr="00E74B78">
              <w:rPr>
                <w:rFonts w:ascii="Arial" w:hAnsi="Arial" w:cs="Arial"/>
                <w:snapToGrid/>
                <w:color w:val="auto"/>
                <w:szCs w:val="24"/>
                <w:lang w:val="en-NZ"/>
              </w:rPr>
              <w:t xml:space="preserve">Section 9. </w:t>
            </w:r>
            <w:r w:rsidRPr="00E74B78">
              <w:rPr>
                <w:rFonts w:ascii="Arial" w:hAnsi="Arial" w:cs="Arial"/>
                <w:color w:val="auto"/>
                <w:szCs w:val="24"/>
              </w:rPr>
              <w:t xml:space="preserve">Added purchase unit codes </w:t>
            </w:r>
            <w:r w:rsidRPr="00E74B78">
              <w:rPr>
                <w:rFonts w:ascii="Arial" w:hAnsi="Arial" w:cs="Arial"/>
                <w:color w:val="000000"/>
                <w:szCs w:val="24"/>
                <w:lang w:eastAsia="en-NZ"/>
              </w:rPr>
              <w:t>MHFF, MHS</w:t>
            </w:r>
            <w:r w:rsidR="003A57D0" w:rsidRPr="00E74B78">
              <w:rPr>
                <w:rFonts w:ascii="Arial" w:hAnsi="Arial" w:cs="Arial"/>
                <w:color w:val="000000"/>
                <w:szCs w:val="24"/>
                <w:lang w:eastAsia="en-NZ"/>
              </w:rPr>
              <w:t>D</w:t>
            </w:r>
            <w:r w:rsidRPr="00E74B78">
              <w:rPr>
                <w:rFonts w:ascii="Arial" w:hAnsi="Arial" w:cs="Arial"/>
                <w:color w:val="000000"/>
                <w:szCs w:val="24"/>
                <w:lang w:eastAsia="en-NZ"/>
              </w:rPr>
              <w:t xml:space="preserve">, MHQU and MHWF that do not have nationwide service specifications but are covered under this </w:t>
            </w:r>
            <w:r w:rsidR="00480B56" w:rsidRPr="00E74B78">
              <w:rPr>
                <w:rFonts w:ascii="Arial" w:hAnsi="Arial" w:cs="Arial"/>
                <w:color w:val="000000"/>
                <w:szCs w:val="24"/>
                <w:lang w:eastAsia="en-NZ"/>
              </w:rPr>
              <w:t>T</w:t>
            </w:r>
            <w:r w:rsidRPr="00E74B78">
              <w:rPr>
                <w:rFonts w:ascii="Arial" w:hAnsi="Arial" w:cs="Arial"/>
                <w:color w:val="000000"/>
                <w:szCs w:val="24"/>
                <w:lang w:eastAsia="en-NZ"/>
              </w:rPr>
              <w:t xml:space="preserve">ier </w:t>
            </w:r>
            <w:r w:rsidR="00480B56" w:rsidRPr="00E74B78">
              <w:rPr>
                <w:rFonts w:ascii="Arial" w:hAnsi="Arial" w:cs="Arial"/>
                <w:color w:val="000000"/>
                <w:szCs w:val="24"/>
                <w:lang w:eastAsia="en-NZ"/>
              </w:rPr>
              <w:t>O</w:t>
            </w:r>
            <w:r w:rsidRPr="00E74B78">
              <w:rPr>
                <w:rFonts w:ascii="Arial" w:hAnsi="Arial" w:cs="Arial"/>
                <w:color w:val="000000"/>
                <w:szCs w:val="24"/>
                <w:lang w:eastAsia="en-NZ"/>
              </w:rPr>
              <w:t>ne specification.</w:t>
            </w:r>
          </w:p>
        </w:tc>
        <w:tc>
          <w:tcPr>
            <w:tcW w:w="2273" w:type="dxa"/>
            <w:tcBorders>
              <w:top w:val="single" w:sz="6" w:space="0" w:color="auto"/>
              <w:left w:val="single" w:sz="6" w:space="0" w:color="auto"/>
              <w:bottom w:val="single" w:sz="6" w:space="0" w:color="auto"/>
              <w:right w:val="single" w:sz="4" w:space="0" w:color="auto"/>
            </w:tcBorders>
            <w:vAlign w:val="center"/>
          </w:tcPr>
          <w:p w14:paraId="0D17C229" w14:textId="77777777" w:rsidR="00FF73CA" w:rsidRPr="00FC395F" w:rsidRDefault="00FF73CA" w:rsidP="00E74B78">
            <w:pPr>
              <w:spacing w:before="120" w:after="120"/>
              <w:rPr>
                <w:rFonts w:ascii="Arial" w:hAnsi="Arial" w:cs="Arial"/>
                <w:b/>
                <w:sz w:val="26"/>
                <w:szCs w:val="28"/>
              </w:rPr>
            </w:pPr>
            <w:r w:rsidRPr="00FC395F">
              <w:rPr>
                <w:rFonts w:ascii="Arial" w:hAnsi="Arial" w:cs="Arial"/>
                <w:b/>
                <w:sz w:val="26"/>
                <w:szCs w:val="28"/>
              </w:rPr>
              <w:t>July 2012</w:t>
            </w:r>
          </w:p>
        </w:tc>
      </w:tr>
      <w:tr w:rsidR="00D61413" w:rsidRPr="003B2D1D" w14:paraId="420705B9" w14:textId="77777777" w:rsidTr="00E74B78">
        <w:tc>
          <w:tcPr>
            <w:tcW w:w="7503" w:type="dxa"/>
            <w:gridSpan w:val="2"/>
            <w:tcBorders>
              <w:top w:val="single" w:sz="6" w:space="0" w:color="auto"/>
              <w:left w:val="single" w:sz="4" w:space="0" w:color="auto"/>
              <w:bottom w:val="single" w:sz="6" w:space="0" w:color="auto"/>
              <w:right w:val="single" w:sz="6" w:space="0" w:color="auto"/>
            </w:tcBorders>
            <w:vAlign w:val="center"/>
          </w:tcPr>
          <w:p w14:paraId="4C5ADE64" w14:textId="77777777" w:rsidR="00D61413" w:rsidRPr="00E74B78" w:rsidRDefault="00D61413" w:rsidP="00E74B78">
            <w:pPr>
              <w:pStyle w:val="BodyText"/>
              <w:spacing w:before="120" w:after="120"/>
              <w:jc w:val="left"/>
              <w:rPr>
                <w:rFonts w:ascii="Arial" w:hAnsi="Arial" w:cs="Arial"/>
                <w:snapToGrid/>
                <w:color w:val="auto"/>
                <w:szCs w:val="24"/>
                <w:lang w:val="en-NZ"/>
              </w:rPr>
            </w:pPr>
            <w:r w:rsidRPr="00DB595D">
              <w:rPr>
                <w:rFonts w:ascii="Arial" w:hAnsi="Arial" w:cs="Arial"/>
                <w:b/>
                <w:snapToGrid/>
                <w:color w:val="auto"/>
                <w:szCs w:val="24"/>
                <w:lang w:val="en-NZ"/>
              </w:rPr>
              <w:t>Amended:</w:t>
            </w:r>
            <w:r w:rsidR="00140BF5" w:rsidRPr="00E74B78">
              <w:rPr>
                <w:rFonts w:ascii="Arial" w:hAnsi="Arial" w:cs="Arial"/>
                <w:snapToGrid/>
                <w:color w:val="auto"/>
                <w:szCs w:val="24"/>
                <w:lang w:val="en-NZ"/>
              </w:rPr>
              <w:t xml:space="preserve"> Background content to reflect current policy requirements</w:t>
            </w:r>
          </w:p>
        </w:tc>
        <w:tc>
          <w:tcPr>
            <w:tcW w:w="2273" w:type="dxa"/>
            <w:tcBorders>
              <w:top w:val="single" w:sz="6" w:space="0" w:color="auto"/>
              <w:left w:val="single" w:sz="6" w:space="0" w:color="auto"/>
              <w:bottom w:val="single" w:sz="6" w:space="0" w:color="auto"/>
              <w:right w:val="single" w:sz="4" w:space="0" w:color="auto"/>
            </w:tcBorders>
            <w:vAlign w:val="center"/>
          </w:tcPr>
          <w:p w14:paraId="551281B6" w14:textId="77777777" w:rsidR="00D61413" w:rsidRPr="00FC395F" w:rsidRDefault="00D61413" w:rsidP="00E74B78">
            <w:pPr>
              <w:spacing w:before="120" w:after="120"/>
              <w:rPr>
                <w:rFonts w:ascii="Arial" w:hAnsi="Arial" w:cs="Arial"/>
                <w:b/>
                <w:sz w:val="26"/>
                <w:szCs w:val="28"/>
              </w:rPr>
            </w:pPr>
            <w:r w:rsidRPr="00FC395F">
              <w:rPr>
                <w:rFonts w:ascii="Arial" w:hAnsi="Arial" w:cs="Arial"/>
                <w:b/>
                <w:sz w:val="26"/>
                <w:szCs w:val="28"/>
              </w:rPr>
              <w:t>October 2013</w:t>
            </w:r>
          </w:p>
        </w:tc>
      </w:tr>
      <w:tr w:rsidR="000E2FFF" w:rsidRPr="003B2D1D" w14:paraId="11BF3C1D" w14:textId="77777777" w:rsidTr="00E74B78">
        <w:tc>
          <w:tcPr>
            <w:tcW w:w="7503" w:type="dxa"/>
            <w:gridSpan w:val="2"/>
            <w:tcBorders>
              <w:top w:val="single" w:sz="6" w:space="0" w:color="auto"/>
              <w:left w:val="single" w:sz="4" w:space="0" w:color="auto"/>
              <w:bottom w:val="single" w:sz="6" w:space="0" w:color="auto"/>
              <w:right w:val="single" w:sz="6" w:space="0" w:color="auto"/>
            </w:tcBorders>
            <w:vAlign w:val="center"/>
          </w:tcPr>
          <w:p w14:paraId="2273658C" w14:textId="77777777" w:rsidR="000E2FFF" w:rsidRPr="00E74B78" w:rsidRDefault="000E2FFF" w:rsidP="00E74B78">
            <w:pPr>
              <w:pStyle w:val="BodyText"/>
              <w:spacing w:before="120" w:after="120"/>
              <w:jc w:val="left"/>
              <w:rPr>
                <w:rFonts w:ascii="Arial" w:hAnsi="Arial" w:cs="Arial"/>
                <w:snapToGrid/>
                <w:color w:val="auto"/>
                <w:szCs w:val="24"/>
                <w:lang w:val="en-NZ"/>
              </w:rPr>
            </w:pPr>
            <w:r w:rsidRPr="00DB595D">
              <w:rPr>
                <w:rFonts w:ascii="Arial" w:hAnsi="Arial" w:cs="Arial"/>
                <w:b/>
                <w:snapToGrid/>
                <w:color w:val="auto"/>
                <w:szCs w:val="24"/>
                <w:lang w:val="en-NZ"/>
              </w:rPr>
              <w:t>Amended:</w:t>
            </w:r>
            <w:r w:rsidRPr="00E74B78">
              <w:rPr>
                <w:rFonts w:ascii="Arial" w:hAnsi="Arial" w:cs="Arial"/>
                <w:snapToGrid/>
                <w:color w:val="auto"/>
                <w:szCs w:val="24"/>
                <w:lang w:val="en-NZ"/>
              </w:rPr>
              <w:t xml:space="preserve"> Updated link to Health and Disability Services Standards</w:t>
            </w:r>
          </w:p>
        </w:tc>
        <w:tc>
          <w:tcPr>
            <w:tcW w:w="2273" w:type="dxa"/>
            <w:tcBorders>
              <w:top w:val="single" w:sz="6" w:space="0" w:color="auto"/>
              <w:left w:val="single" w:sz="6" w:space="0" w:color="auto"/>
              <w:bottom w:val="single" w:sz="6" w:space="0" w:color="auto"/>
              <w:right w:val="single" w:sz="4" w:space="0" w:color="auto"/>
            </w:tcBorders>
            <w:vAlign w:val="center"/>
          </w:tcPr>
          <w:p w14:paraId="400B6F72" w14:textId="77777777" w:rsidR="000E2FFF" w:rsidRPr="00FC395F" w:rsidRDefault="000E2FFF" w:rsidP="00E74B78">
            <w:pPr>
              <w:spacing w:before="120" w:after="120"/>
              <w:rPr>
                <w:rFonts w:ascii="Arial" w:hAnsi="Arial" w:cs="Arial"/>
                <w:b/>
                <w:sz w:val="26"/>
                <w:szCs w:val="28"/>
              </w:rPr>
            </w:pPr>
            <w:r w:rsidRPr="00FC395F">
              <w:rPr>
                <w:rFonts w:ascii="Arial" w:hAnsi="Arial" w:cs="Arial"/>
                <w:b/>
                <w:sz w:val="26"/>
                <w:szCs w:val="28"/>
              </w:rPr>
              <w:t>June 2014</w:t>
            </w:r>
          </w:p>
        </w:tc>
      </w:tr>
      <w:tr w:rsidR="006911D0" w:rsidRPr="003B2D1D" w14:paraId="33CD9E52" w14:textId="77777777" w:rsidTr="00E74B78">
        <w:tc>
          <w:tcPr>
            <w:tcW w:w="7503" w:type="dxa"/>
            <w:gridSpan w:val="2"/>
            <w:tcBorders>
              <w:top w:val="single" w:sz="6" w:space="0" w:color="auto"/>
              <w:left w:val="single" w:sz="4" w:space="0" w:color="auto"/>
              <w:bottom w:val="single" w:sz="6" w:space="0" w:color="auto"/>
              <w:right w:val="single" w:sz="6" w:space="0" w:color="auto"/>
            </w:tcBorders>
            <w:vAlign w:val="center"/>
          </w:tcPr>
          <w:p w14:paraId="7071D3E3" w14:textId="6914A071" w:rsidR="006911D0" w:rsidRPr="00E74B78" w:rsidRDefault="006911D0" w:rsidP="00DB595D">
            <w:pPr>
              <w:pStyle w:val="BodyText"/>
              <w:spacing w:before="120" w:after="120"/>
              <w:jc w:val="left"/>
              <w:rPr>
                <w:rFonts w:ascii="Arial" w:hAnsi="Arial" w:cs="Arial"/>
                <w:snapToGrid/>
                <w:color w:val="auto"/>
                <w:szCs w:val="24"/>
                <w:lang w:val="en-NZ"/>
              </w:rPr>
            </w:pPr>
            <w:r w:rsidRPr="00DB595D">
              <w:rPr>
                <w:rFonts w:ascii="Arial" w:hAnsi="Arial" w:cs="Arial"/>
                <w:b/>
                <w:snapToGrid/>
                <w:color w:val="auto"/>
                <w:szCs w:val="24"/>
                <w:lang w:val="en-NZ"/>
              </w:rPr>
              <w:t>Amended:</w:t>
            </w:r>
            <w:r w:rsidRPr="00E74B78">
              <w:rPr>
                <w:rFonts w:ascii="Arial" w:hAnsi="Arial" w:cs="Arial"/>
                <w:snapToGrid/>
                <w:color w:val="auto"/>
                <w:szCs w:val="24"/>
                <w:lang w:val="en-NZ"/>
              </w:rPr>
              <w:t xml:space="preserve"> </w:t>
            </w:r>
            <w:r w:rsidRPr="00E74B78">
              <w:rPr>
                <w:rFonts w:ascii="Arial" w:hAnsi="Arial" w:cs="Arial"/>
                <w:color w:val="auto"/>
                <w:szCs w:val="24"/>
              </w:rPr>
              <w:t>Add</w:t>
            </w:r>
            <w:r w:rsidR="00DB595D">
              <w:rPr>
                <w:rFonts w:ascii="Arial" w:hAnsi="Arial" w:cs="Arial"/>
                <w:color w:val="auto"/>
                <w:szCs w:val="24"/>
              </w:rPr>
              <w:t>ed</w:t>
            </w:r>
            <w:r w:rsidR="00325FC2">
              <w:rPr>
                <w:rFonts w:ascii="Arial" w:hAnsi="Arial" w:cs="Arial"/>
                <w:color w:val="auto"/>
                <w:szCs w:val="24"/>
              </w:rPr>
              <w:t xml:space="preserve"> </w:t>
            </w:r>
            <w:r w:rsidRPr="00E74B78">
              <w:rPr>
                <w:rFonts w:ascii="Arial" w:hAnsi="Arial" w:cs="Arial"/>
                <w:color w:val="auto"/>
                <w:szCs w:val="24"/>
              </w:rPr>
              <w:t>new purchase unit code MHFF0001</w:t>
            </w:r>
            <w:bookmarkStart w:id="0" w:name="_GoBack"/>
            <w:bookmarkEnd w:id="0"/>
          </w:p>
        </w:tc>
        <w:tc>
          <w:tcPr>
            <w:tcW w:w="2273" w:type="dxa"/>
            <w:tcBorders>
              <w:top w:val="single" w:sz="6" w:space="0" w:color="auto"/>
              <w:left w:val="single" w:sz="6" w:space="0" w:color="auto"/>
              <w:bottom w:val="single" w:sz="6" w:space="0" w:color="auto"/>
              <w:right w:val="single" w:sz="4" w:space="0" w:color="auto"/>
            </w:tcBorders>
            <w:vAlign w:val="center"/>
          </w:tcPr>
          <w:p w14:paraId="59DAA3E0" w14:textId="77777777" w:rsidR="006911D0" w:rsidRPr="00FC395F" w:rsidRDefault="006911D0" w:rsidP="00E74B78">
            <w:pPr>
              <w:spacing w:before="120" w:after="120"/>
              <w:rPr>
                <w:rFonts w:ascii="Arial" w:hAnsi="Arial" w:cs="Arial"/>
                <w:b/>
                <w:sz w:val="26"/>
                <w:szCs w:val="28"/>
              </w:rPr>
            </w:pPr>
            <w:r>
              <w:rPr>
                <w:rFonts w:ascii="Arial" w:hAnsi="Arial" w:cs="Arial"/>
                <w:b/>
                <w:sz w:val="26"/>
                <w:szCs w:val="28"/>
              </w:rPr>
              <w:t>August 2015</w:t>
            </w:r>
          </w:p>
        </w:tc>
      </w:tr>
      <w:tr w:rsidR="00F6790E" w:rsidRPr="003B2D1D" w14:paraId="1BC11435" w14:textId="77777777" w:rsidTr="00E74B78">
        <w:tc>
          <w:tcPr>
            <w:tcW w:w="7503" w:type="dxa"/>
            <w:gridSpan w:val="2"/>
            <w:tcBorders>
              <w:top w:val="single" w:sz="6" w:space="0" w:color="auto"/>
              <w:left w:val="single" w:sz="4" w:space="0" w:color="auto"/>
              <w:bottom w:val="single" w:sz="6" w:space="0" w:color="auto"/>
              <w:right w:val="single" w:sz="6" w:space="0" w:color="auto"/>
            </w:tcBorders>
            <w:vAlign w:val="center"/>
          </w:tcPr>
          <w:p w14:paraId="723F7060" w14:textId="4AB08516" w:rsidR="00F6790E" w:rsidRPr="00E74B78" w:rsidRDefault="00F6790E" w:rsidP="00E74B78">
            <w:pPr>
              <w:pStyle w:val="BodyText"/>
              <w:spacing w:before="120" w:after="120"/>
              <w:jc w:val="left"/>
              <w:rPr>
                <w:rFonts w:ascii="Arial" w:hAnsi="Arial" w:cs="Arial"/>
                <w:snapToGrid/>
                <w:color w:val="auto"/>
                <w:szCs w:val="24"/>
                <w:lang w:val="en-NZ"/>
              </w:rPr>
            </w:pPr>
            <w:r w:rsidRPr="00DB595D">
              <w:rPr>
                <w:rFonts w:ascii="Arial" w:hAnsi="Arial" w:cs="Arial"/>
                <w:b/>
                <w:snapToGrid/>
                <w:color w:val="auto"/>
                <w:szCs w:val="24"/>
                <w:lang w:val="en-NZ"/>
              </w:rPr>
              <w:t>Amended:</w:t>
            </w:r>
            <w:r w:rsidRPr="00E74B78">
              <w:rPr>
                <w:rFonts w:ascii="Arial" w:hAnsi="Arial" w:cs="Arial"/>
                <w:snapToGrid/>
                <w:color w:val="auto"/>
                <w:szCs w:val="24"/>
                <w:lang w:val="en-NZ"/>
              </w:rPr>
              <w:t xml:space="preserve"> referenced the </w:t>
            </w:r>
            <w:r w:rsidR="00827457" w:rsidRPr="00E74B78">
              <w:rPr>
                <w:rFonts w:ascii="Arial" w:hAnsi="Arial" w:cs="Arial"/>
                <w:snapToGrid/>
                <w:color w:val="auto"/>
                <w:szCs w:val="24"/>
                <w:lang w:val="en-NZ"/>
              </w:rPr>
              <w:t xml:space="preserve">refreshed </w:t>
            </w:r>
            <w:r w:rsidRPr="00E74B78">
              <w:rPr>
                <w:rFonts w:ascii="Arial" w:hAnsi="Arial" w:cs="Arial"/>
                <w:snapToGrid/>
                <w:color w:val="auto"/>
                <w:szCs w:val="24"/>
                <w:lang w:val="en-NZ"/>
              </w:rPr>
              <w:t>NZ Health Strategy 2016</w:t>
            </w:r>
            <w:r w:rsidR="00A0492F" w:rsidRPr="00E74B78">
              <w:rPr>
                <w:rFonts w:ascii="Arial" w:hAnsi="Arial" w:cs="Arial"/>
                <w:snapToGrid/>
                <w:color w:val="auto"/>
                <w:szCs w:val="24"/>
                <w:lang w:val="en-NZ"/>
              </w:rPr>
              <w:t>, added explanation about primary mental health, moved wording from Background to service definition and service user sections</w:t>
            </w:r>
            <w:r w:rsidR="00F26C7E" w:rsidRPr="00E74B78">
              <w:rPr>
                <w:rFonts w:ascii="Arial" w:hAnsi="Arial" w:cs="Arial"/>
                <w:snapToGrid/>
                <w:color w:val="auto"/>
                <w:szCs w:val="24"/>
                <w:lang w:val="en-NZ"/>
              </w:rPr>
              <w:t xml:space="preserve">, removed reporting requirements section, </w:t>
            </w:r>
            <w:r w:rsidR="0060723E" w:rsidRPr="00E74B78">
              <w:rPr>
                <w:rFonts w:ascii="Arial" w:hAnsi="Arial" w:cs="Arial"/>
                <w:snapToGrid/>
                <w:color w:val="auto"/>
                <w:szCs w:val="24"/>
                <w:lang w:val="en-NZ"/>
              </w:rPr>
              <w:t>and referenced</w:t>
            </w:r>
            <w:r w:rsidR="00F26C7E" w:rsidRPr="00E74B78">
              <w:rPr>
                <w:rFonts w:ascii="Arial" w:hAnsi="Arial" w:cs="Arial"/>
                <w:snapToGrid/>
                <w:color w:val="auto"/>
                <w:szCs w:val="24"/>
                <w:lang w:val="en-NZ"/>
              </w:rPr>
              <w:t xml:space="preserve"> Mental Health and Addiction services data definitions.</w:t>
            </w:r>
          </w:p>
        </w:tc>
        <w:tc>
          <w:tcPr>
            <w:tcW w:w="2273" w:type="dxa"/>
            <w:tcBorders>
              <w:top w:val="single" w:sz="6" w:space="0" w:color="auto"/>
              <w:left w:val="single" w:sz="6" w:space="0" w:color="auto"/>
              <w:bottom w:val="single" w:sz="6" w:space="0" w:color="auto"/>
              <w:right w:val="single" w:sz="4" w:space="0" w:color="auto"/>
            </w:tcBorders>
            <w:vAlign w:val="center"/>
          </w:tcPr>
          <w:p w14:paraId="06C702BF" w14:textId="0EB556D0" w:rsidR="00F6790E" w:rsidRDefault="002C38F8" w:rsidP="00E74B78">
            <w:pPr>
              <w:spacing w:before="120" w:after="120"/>
              <w:rPr>
                <w:rFonts w:ascii="Arial" w:hAnsi="Arial" w:cs="Arial"/>
                <w:b/>
                <w:sz w:val="26"/>
                <w:szCs w:val="28"/>
              </w:rPr>
            </w:pPr>
            <w:r>
              <w:rPr>
                <w:rFonts w:ascii="Arial" w:hAnsi="Arial" w:cs="Arial"/>
                <w:b/>
                <w:sz w:val="26"/>
                <w:szCs w:val="28"/>
              </w:rPr>
              <w:t>April 2017</w:t>
            </w:r>
          </w:p>
        </w:tc>
      </w:tr>
      <w:tr w:rsidR="000A2BB7" w:rsidRPr="003B2D1D" w14:paraId="6C5CD7C9" w14:textId="77777777" w:rsidTr="00E74B78">
        <w:tc>
          <w:tcPr>
            <w:tcW w:w="7503" w:type="dxa"/>
            <w:gridSpan w:val="2"/>
            <w:tcBorders>
              <w:top w:val="single" w:sz="6" w:space="0" w:color="auto"/>
              <w:left w:val="single" w:sz="4" w:space="0" w:color="auto"/>
              <w:bottom w:val="single" w:sz="6" w:space="0" w:color="auto"/>
              <w:right w:val="single" w:sz="6" w:space="0" w:color="auto"/>
            </w:tcBorders>
            <w:vAlign w:val="center"/>
          </w:tcPr>
          <w:p w14:paraId="5930FF48" w14:textId="77777777" w:rsidR="000A2BB7" w:rsidRPr="00DB595D" w:rsidRDefault="000A2BB7" w:rsidP="00E74B78">
            <w:pPr>
              <w:pStyle w:val="Heading5"/>
              <w:spacing w:before="120" w:after="120"/>
              <w:rPr>
                <w:rFonts w:ascii="Arial" w:hAnsi="Arial" w:cs="Arial"/>
                <w:sz w:val="28"/>
              </w:rPr>
            </w:pPr>
            <w:r w:rsidRPr="00DB595D">
              <w:rPr>
                <w:rFonts w:ascii="Arial" w:hAnsi="Arial" w:cs="Arial"/>
                <w:sz w:val="26"/>
              </w:rPr>
              <w:t>Consideration for next Service Specification Review</w:t>
            </w:r>
          </w:p>
        </w:tc>
        <w:tc>
          <w:tcPr>
            <w:tcW w:w="2273" w:type="dxa"/>
            <w:tcBorders>
              <w:top w:val="single" w:sz="6" w:space="0" w:color="auto"/>
              <w:left w:val="single" w:sz="6" w:space="0" w:color="auto"/>
              <w:bottom w:val="single" w:sz="6" w:space="0" w:color="auto"/>
              <w:right w:val="single" w:sz="4" w:space="0" w:color="auto"/>
            </w:tcBorders>
            <w:vAlign w:val="center"/>
          </w:tcPr>
          <w:p w14:paraId="47BE58AE" w14:textId="77777777" w:rsidR="000A2BB7" w:rsidRPr="00DB595D" w:rsidRDefault="000A2BB7" w:rsidP="00E74B78">
            <w:pPr>
              <w:spacing w:before="120" w:after="120"/>
              <w:jc w:val="left"/>
              <w:rPr>
                <w:rFonts w:ascii="Arial" w:hAnsi="Arial" w:cs="Arial"/>
                <w:b/>
                <w:sz w:val="26"/>
              </w:rPr>
            </w:pPr>
            <w:r w:rsidRPr="00DB595D">
              <w:rPr>
                <w:rFonts w:ascii="Arial" w:hAnsi="Arial" w:cs="Arial"/>
                <w:b/>
                <w:sz w:val="26"/>
              </w:rPr>
              <w:t xml:space="preserve">Within </w:t>
            </w:r>
            <w:r w:rsidR="003B2D1D" w:rsidRPr="00DB595D">
              <w:rPr>
                <w:rFonts w:ascii="Arial" w:hAnsi="Arial" w:cs="Arial"/>
                <w:b/>
                <w:sz w:val="26"/>
              </w:rPr>
              <w:t>five</w:t>
            </w:r>
            <w:r w:rsidRPr="00DB595D">
              <w:rPr>
                <w:rFonts w:ascii="Arial" w:hAnsi="Arial" w:cs="Arial"/>
                <w:b/>
                <w:sz w:val="26"/>
              </w:rPr>
              <w:t xml:space="preserve"> years</w:t>
            </w:r>
          </w:p>
        </w:tc>
      </w:tr>
    </w:tbl>
    <w:p w14:paraId="0DC1A707" w14:textId="77777777" w:rsidR="00E74B78" w:rsidRDefault="000A2BB7" w:rsidP="001352C0">
      <w:pPr>
        <w:spacing w:before="120"/>
        <w:jc w:val="left"/>
        <w:rPr>
          <w:rFonts w:ascii="Arial" w:hAnsi="Arial" w:cs="Arial"/>
          <w:sz w:val="22"/>
          <w:lang w:val="en-US" w:eastAsia="en-NZ"/>
        </w:rPr>
      </w:pPr>
      <w:r w:rsidRPr="003B2D1D">
        <w:rPr>
          <w:rFonts w:ascii="Arial" w:hAnsi="Arial" w:cs="Arial"/>
          <w:b/>
          <w:sz w:val="22"/>
          <w:szCs w:val="22"/>
          <w:lang w:val="en-US" w:eastAsia="en-NZ"/>
        </w:rPr>
        <w:t>Note</w:t>
      </w:r>
      <w:r w:rsidRPr="003B2D1D">
        <w:rPr>
          <w:rFonts w:ascii="Arial" w:hAnsi="Arial" w:cs="Arial"/>
          <w:sz w:val="22"/>
          <w:szCs w:val="22"/>
          <w:lang w:val="en-US" w:eastAsia="en-NZ"/>
        </w:rPr>
        <w:t xml:space="preserve">: </w:t>
      </w:r>
      <w:r w:rsidRPr="00FC395F">
        <w:rPr>
          <w:rFonts w:ascii="Arial" w:hAnsi="Arial" w:cs="Arial"/>
          <w:sz w:val="22"/>
          <w:lang w:val="en-US" w:eastAsia="en-NZ"/>
        </w:rPr>
        <w:t xml:space="preserve">Contact the Service Specification Programme Manager, </w:t>
      </w:r>
      <w:r w:rsidR="00171277">
        <w:rPr>
          <w:rFonts w:ascii="Arial" w:hAnsi="Arial" w:cs="Arial"/>
          <w:sz w:val="22"/>
          <w:lang w:val="en-US" w:eastAsia="en-NZ"/>
        </w:rPr>
        <w:t>Service Commissioning</w:t>
      </w:r>
      <w:r w:rsidRPr="00FC395F">
        <w:rPr>
          <w:rFonts w:ascii="Arial" w:hAnsi="Arial" w:cs="Arial"/>
          <w:sz w:val="22"/>
          <w:lang w:val="en-US" w:eastAsia="en-NZ"/>
        </w:rPr>
        <w:t xml:space="preserve">, Ministry of Health to discuss the process and guidance available in developing new or updating and revising existing service specifications.  </w:t>
      </w:r>
    </w:p>
    <w:p w14:paraId="40CF2C49" w14:textId="59317C67" w:rsidR="000A2BB7" w:rsidRPr="00FC395F" w:rsidRDefault="000A2BB7" w:rsidP="001352C0">
      <w:pPr>
        <w:spacing w:before="120"/>
        <w:jc w:val="left"/>
        <w:rPr>
          <w:rFonts w:ascii="Arial" w:hAnsi="Arial" w:cs="Arial"/>
          <w:sz w:val="22"/>
          <w:lang w:eastAsia="en-NZ"/>
        </w:rPr>
      </w:pPr>
      <w:r w:rsidRPr="00FC395F">
        <w:rPr>
          <w:rFonts w:ascii="Arial" w:hAnsi="Arial" w:cs="Arial"/>
          <w:sz w:val="22"/>
          <w:lang w:eastAsia="en-NZ"/>
        </w:rPr>
        <w:t>See the Nationwide Service Framework (NSF) Library website for information: http://www.nsfl.health.govt.nz/</w:t>
      </w:r>
    </w:p>
    <w:p w14:paraId="799D441A" w14:textId="40DA3C03" w:rsidR="000A2BB7" w:rsidRPr="00A54CE2" w:rsidRDefault="00970577" w:rsidP="00A54CE2">
      <w:pPr>
        <w:pBdr>
          <w:top w:val="single" w:sz="4" w:space="1" w:color="auto"/>
          <w:left w:val="single" w:sz="4" w:space="4" w:color="auto"/>
          <w:bottom w:val="single" w:sz="4" w:space="1" w:color="auto"/>
          <w:right w:val="single" w:sz="4" w:space="4" w:color="auto"/>
        </w:pBdr>
        <w:jc w:val="center"/>
        <w:rPr>
          <w:rFonts w:ascii="Arial" w:hAnsi="Arial" w:cs="Arial"/>
          <w:b/>
        </w:rPr>
      </w:pPr>
      <w:r w:rsidRPr="003B2D1D">
        <w:rPr>
          <w:rFonts w:ascii="Arial" w:hAnsi="Arial" w:cs="Arial"/>
          <w:sz w:val="10"/>
        </w:rPr>
        <w:br w:type="page"/>
      </w:r>
      <w:r w:rsidR="000A2BB7" w:rsidRPr="00A54CE2">
        <w:rPr>
          <w:rFonts w:ascii="Arial" w:hAnsi="Arial" w:cs="Arial"/>
          <w:b/>
        </w:rPr>
        <w:lastRenderedPageBreak/>
        <w:t>MENTAL HEALTH AND ADDICTION SERVICES</w:t>
      </w:r>
    </w:p>
    <w:p w14:paraId="475C96D0" w14:textId="32FE3626" w:rsidR="000A2BB7" w:rsidRPr="00A54CE2" w:rsidRDefault="000A2BB7" w:rsidP="001352C0">
      <w:pPr>
        <w:pStyle w:val="Title"/>
        <w:pBdr>
          <w:top w:val="single" w:sz="4" w:space="1" w:color="auto"/>
          <w:left w:val="single" w:sz="4" w:space="4" w:color="auto"/>
          <w:bottom w:val="single" w:sz="4" w:space="1" w:color="auto"/>
          <w:right w:val="single" w:sz="4" w:space="4" w:color="auto"/>
        </w:pBdr>
        <w:rPr>
          <w:rFonts w:ascii="Arial" w:hAnsi="Arial" w:cs="Arial"/>
          <w:sz w:val="24"/>
          <w:lang w:val="en-NZ"/>
        </w:rPr>
      </w:pPr>
      <w:r w:rsidRPr="00A54CE2">
        <w:rPr>
          <w:rFonts w:ascii="Arial" w:hAnsi="Arial" w:cs="Arial"/>
          <w:sz w:val="24"/>
          <w:lang w:val="en-NZ"/>
        </w:rPr>
        <w:t>TIER ONE</w:t>
      </w:r>
      <w:r w:rsidR="00FA5628" w:rsidRPr="00A54CE2">
        <w:rPr>
          <w:rFonts w:ascii="Arial" w:hAnsi="Arial" w:cs="Arial"/>
          <w:sz w:val="24"/>
          <w:lang w:val="en-NZ"/>
        </w:rPr>
        <w:t xml:space="preserve"> </w:t>
      </w:r>
      <w:r w:rsidRPr="00A54CE2">
        <w:rPr>
          <w:rFonts w:ascii="Arial" w:hAnsi="Arial" w:cs="Arial"/>
          <w:sz w:val="24"/>
          <w:lang w:val="en-NZ"/>
        </w:rPr>
        <w:t>SERVICE SPECIFICATION</w:t>
      </w:r>
    </w:p>
    <w:p w14:paraId="4612728B" w14:textId="77777777" w:rsidR="000A2BB7" w:rsidRPr="003B2D1D" w:rsidRDefault="000A2BB7" w:rsidP="001352C0">
      <w:pPr>
        <w:spacing w:before="240" w:after="120"/>
        <w:rPr>
          <w:rFonts w:ascii="Arial" w:hAnsi="Arial" w:cs="Arial"/>
          <w:b/>
        </w:rPr>
      </w:pPr>
      <w:bookmarkStart w:id="1" w:name="_Toc215318875"/>
      <w:r w:rsidRPr="003B2D1D">
        <w:rPr>
          <w:rFonts w:ascii="Arial" w:hAnsi="Arial" w:cs="Arial"/>
          <w:b/>
        </w:rPr>
        <w:t>Background</w:t>
      </w:r>
      <w:bookmarkEnd w:id="1"/>
    </w:p>
    <w:p w14:paraId="1E8E2A2C" w14:textId="77777777" w:rsidR="00C91F6A" w:rsidRPr="00C91F6A" w:rsidRDefault="00C91F6A" w:rsidP="00C91F6A">
      <w:pPr>
        <w:spacing w:before="120"/>
        <w:jc w:val="left"/>
        <w:rPr>
          <w:rFonts w:ascii="Arial" w:hAnsi="Arial" w:cs="Arial"/>
          <w:bCs/>
          <w:color w:val="000000"/>
        </w:rPr>
      </w:pPr>
      <w:bookmarkStart w:id="2" w:name="_Toc215318876"/>
      <w:r w:rsidRPr="00C91F6A">
        <w:rPr>
          <w:rFonts w:ascii="Arial" w:hAnsi="Arial" w:cs="Arial"/>
          <w:bCs/>
          <w:color w:val="000000"/>
        </w:rPr>
        <w:t xml:space="preserve">The full continuum of publicly funded mental health and addiction care includes health promotion, prevention, primary, secondary and tertiary services. </w:t>
      </w:r>
    </w:p>
    <w:p w14:paraId="4EF4AE6E" w14:textId="41FC183E" w:rsidR="00C91F6A" w:rsidRPr="00C91F6A" w:rsidRDefault="00C91F6A" w:rsidP="00C91F6A">
      <w:pPr>
        <w:spacing w:before="120"/>
        <w:jc w:val="left"/>
        <w:rPr>
          <w:rFonts w:ascii="Arial" w:hAnsi="Arial" w:cs="Arial"/>
          <w:bCs/>
          <w:color w:val="000000"/>
        </w:rPr>
      </w:pPr>
      <w:r w:rsidRPr="00C91F6A">
        <w:rPr>
          <w:rFonts w:ascii="Arial" w:hAnsi="Arial" w:cs="Arial"/>
          <w:bCs/>
          <w:color w:val="000000"/>
        </w:rPr>
        <w:t>Mental Health and Addiction service specifications cover specialist mental health and addiction services targeted at those most severely affected by mental illness or addiction.  However, it is recognised that a focus on early intervention and integration between specialist, primary and community services will lead to increased access for those who may be more at risk of developing mental health or addiction issues.</w:t>
      </w:r>
    </w:p>
    <w:p w14:paraId="4257BC6A" w14:textId="575F067D" w:rsidR="00C91F6A" w:rsidRDefault="00C91F6A" w:rsidP="00C91F6A">
      <w:pPr>
        <w:spacing w:before="120"/>
        <w:jc w:val="left"/>
        <w:rPr>
          <w:rFonts w:ascii="Arial" w:hAnsi="Arial" w:cs="Arial"/>
          <w:bCs/>
          <w:color w:val="000000"/>
        </w:rPr>
      </w:pPr>
      <w:r w:rsidRPr="00C91F6A">
        <w:rPr>
          <w:rFonts w:ascii="Arial" w:hAnsi="Arial" w:cs="Arial"/>
          <w:bCs/>
          <w:color w:val="000000"/>
        </w:rPr>
        <w:t xml:space="preserve">Primary mental health services provide a general primary care response to the needs of people of any age with mild or moderate illness. </w:t>
      </w:r>
      <w:r w:rsidR="00A774FA">
        <w:rPr>
          <w:rFonts w:ascii="Arial" w:hAnsi="Arial" w:cs="Arial"/>
          <w:bCs/>
          <w:color w:val="000000"/>
        </w:rPr>
        <w:t xml:space="preserve"> </w:t>
      </w:r>
      <w:r w:rsidRPr="00C91F6A">
        <w:rPr>
          <w:rFonts w:ascii="Arial" w:hAnsi="Arial" w:cs="Arial"/>
          <w:bCs/>
          <w:color w:val="000000"/>
        </w:rPr>
        <w:t>The national expectations are outlined in the primary health strategy and are excluded from this suite of service specifications.</w:t>
      </w:r>
    </w:p>
    <w:p w14:paraId="3D52BCC4" w14:textId="361F3518" w:rsidR="000A2BB7" w:rsidRPr="003B2D1D" w:rsidRDefault="000A2BB7" w:rsidP="001352C0">
      <w:pPr>
        <w:spacing w:before="120"/>
        <w:jc w:val="left"/>
        <w:rPr>
          <w:rFonts w:ascii="Arial" w:hAnsi="Arial" w:cs="Arial"/>
          <w:bCs/>
          <w:color w:val="000000"/>
        </w:rPr>
      </w:pPr>
      <w:r w:rsidRPr="003B2D1D">
        <w:rPr>
          <w:rFonts w:ascii="Arial" w:hAnsi="Arial" w:cs="Arial"/>
          <w:bCs/>
          <w:color w:val="000000"/>
        </w:rPr>
        <w:t xml:space="preserve">This </w:t>
      </w:r>
      <w:r w:rsidR="002A5CDB" w:rsidRPr="003B2D1D">
        <w:rPr>
          <w:rFonts w:ascii="Arial" w:hAnsi="Arial" w:cs="Arial"/>
          <w:bCs/>
          <w:color w:val="000000"/>
        </w:rPr>
        <w:t>t</w:t>
      </w:r>
      <w:r w:rsidRPr="003B2D1D">
        <w:rPr>
          <w:rFonts w:ascii="Arial" w:hAnsi="Arial" w:cs="Arial"/>
          <w:bCs/>
          <w:color w:val="000000"/>
        </w:rPr>
        <w:t xml:space="preserve">ier </w:t>
      </w:r>
      <w:r w:rsidR="00F52D61" w:rsidRPr="003B2D1D">
        <w:rPr>
          <w:rFonts w:ascii="Arial" w:hAnsi="Arial" w:cs="Arial"/>
          <w:bCs/>
          <w:color w:val="000000"/>
        </w:rPr>
        <w:t>one</w:t>
      </w:r>
      <w:r w:rsidRPr="003B2D1D">
        <w:rPr>
          <w:rFonts w:ascii="Arial" w:hAnsi="Arial" w:cs="Arial"/>
          <w:bCs/>
          <w:color w:val="000000"/>
        </w:rPr>
        <w:t xml:space="preserve"> service specification provides the overarching specification for all </w:t>
      </w:r>
      <w:r w:rsidR="00D0309A">
        <w:rPr>
          <w:rFonts w:ascii="Arial" w:hAnsi="Arial" w:cs="Arial"/>
          <w:bCs/>
          <w:color w:val="000000"/>
        </w:rPr>
        <w:t xml:space="preserve">publicly funded </w:t>
      </w:r>
      <w:r w:rsidRPr="003B2D1D">
        <w:rPr>
          <w:rFonts w:ascii="Arial" w:hAnsi="Arial" w:cs="Arial"/>
          <w:bCs/>
          <w:color w:val="000000"/>
        </w:rPr>
        <w:t>specialist mental health and addiction services</w:t>
      </w:r>
      <w:r w:rsidR="009B7493" w:rsidRPr="003B2D1D">
        <w:rPr>
          <w:rFonts w:ascii="Arial" w:hAnsi="Arial" w:cs="Arial"/>
          <w:bCs/>
          <w:color w:val="000000"/>
        </w:rPr>
        <w:t xml:space="preserve"> (the Service)</w:t>
      </w:r>
      <w:r w:rsidRPr="003B2D1D">
        <w:rPr>
          <w:rFonts w:ascii="Arial" w:hAnsi="Arial" w:cs="Arial"/>
          <w:bCs/>
          <w:color w:val="000000"/>
        </w:rPr>
        <w:t xml:space="preserve">. </w:t>
      </w:r>
      <w:r w:rsidR="002A5CDB" w:rsidRPr="003B2D1D">
        <w:rPr>
          <w:rFonts w:ascii="Arial" w:hAnsi="Arial" w:cs="Arial"/>
          <w:bCs/>
          <w:color w:val="000000"/>
        </w:rPr>
        <w:t xml:space="preserve"> </w:t>
      </w:r>
      <w:r w:rsidR="00566205">
        <w:rPr>
          <w:rFonts w:ascii="Arial" w:hAnsi="Arial" w:cs="Arial"/>
          <w:bCs/>
          <w:color w:val="000000"/>
        </w:rPr>
        <w:t>The t</w:t>
      </w:r>
      <w:r w:rsidRPr="003B2D1D">
        <w:rPr>
          <w:rFonts w:ascii="Arial" w:hAnsi="Arial" w:cs="Arial"/>
          <w:bCs/>
          <w:color w:val="000000"/>
        </w:rPr>
        <w:t xml:space="preserve">ier </w:t>
      </w:r>
      <w:r w:rsidR="00F52D61" w:rsidRPr="003B2D1D">
        <w:rPr>
          <w:rFonts w:ascii="Arial" w:hAnsi="Arial" w:cs="Arial"/>
          <w:bCs/>
          <w:color w:val="000000"/>
        </w:rPr>
        <w:t>two</w:t>
      </w:r>
      <w:r w:rsidRPr="003B2D1D">
        <w:rPr>
          <w:rFonts w:ascii="Arial" w:hAnsi="Arial" w:cs="Arial"/>
          <w:bCs/>
          <w:color w:val="000000"/>
        </w:rPr>
        <w:t xml:space="preserve"> and </w:t>
      </w:r>
      <w:r w:rsidR="00DA4674" w:rsidRPr="003B2D1D">
        <w:rPr>
          <w:rFonts w:ascii="Arial" w:hAnsi="Arial" w:cs="Arial"/>
          <w:bCs/>
          <w:color w:val="000000"/>
        </w:rPr>
        <w:t>t</w:t>
      </w:r>
      <w:r w:rsidRPr="003B2D1D">
        <w:rPr>
          <w:rFonts w:ascii="Arial" w:hAnsi="Arial" w:cs="Arial"/>
          <w:bCs/>
          <w:color w:val="000000"/>
        </w:rPr>
        <w:t xml:space="preserve">ier </w:t>
      </w:r>
      <w:r w:rsidR="00F52D61" w:rsidRPr="003B2D1D">
        <w:rPr>
          <w:rFonts w:ascii="Arial" w:hAnsi="Arial" w:cs="Arial"/>
          <w:bCs/>
          <w:color w:val="000000"/>
        </w:rPr>
        <w:t>three</w:t>
      </w:r>
      <w:r w:rsidRPr="003B2D1D">
        <w:rPr>
          <w:rFonts w:ascii="Arial" w:hAnsi="Arial" w:cs="Arial"/>
          <w:bCs/>
          <w:color w:val="000000"/>
        </w:rPr>
        <w:t xml:space="preserve"> service specifications </w:t>
      </w:r>
      <w:r w:rsidR="00566205">
        <w:rPr>
          <w:rFonts w:ascii="Arial" w:hAnsi="Arial" w:cs="Arial"/>
          <w:bCs/>
          <w:color w:val="000000"/>
        </w:rPr>
        <w:t xml:space="preserve">are </w:t>
      </w:r>
      <w:r w:rsidR="001969EE">
        <w:rPr>
          <w:rFonts w:ascii="Arial" w:hAnsi="Arial" w:cs="Arial"/>
          <w:bCs/>
          <w:color w:val="000000"/>
        </w:rPr>
        <w:t>used with</w:t>
      </w:r>
      <w:r w:rsidRPr="003B2D1D">
        <w:rPr>
          <w:rFonts w:ascii="Arial" w:hAnsi="Arial" w:cs="Arial"/>
          <w:bCs/>
          <w:color w:val="000000"/>
        </w:rPr>
        <w:t xml:space="preserve"> this </w:t>
      </w:r>
      <w:r w:rsidR="00970577" w:rsidRPr="003B2D1D">
        <w:rPr>
          <w:rFonts w:ascii="Arial" w:hAnsi="Arial" w:cs="Arial"/>
          <w:bCs/>
          <w:color w:val="000000"/>
        </w:rPr>
        <w:t xml:space="preserve">service specification </w:t>
      </w:r>
      <w:r w:rsidR="001969EE">
        <w:rPr>
          <w:rFonts w:ascii="Arial" w:hAnsi="Arial" w:cs="Arial"/>
          <w:bCs/>
          <w:color w:val="000000"/>
        </w:rPr>
        <w:t>to</w:t>
      </w:r>
      <w:r w:rsidRPr="003B2D1D">
        <w:rPr>
          <w:rFonts w:ascii="Arial" w:hAnsi="Arial" w:cs="Arial"/>
          <w:bCs/>
          <w:color w:val="000000"/>
        </w:rPr>
        <w:t xml:space="preserve"> provide additional service-specific detail.</w:t>
      </w:r>
      <w:r w:rsidR="002A5CDB" w:rsidRPr="003B2D1D">
        <w:rPr>
          <w:rFonts w:ascii="Arial" w:hAnsi="Arial" w:cs="Arial"/>
          <w:bCs/>
          <w:color w:val="000000"/>
        </w:rPr>
        <w:t xml:space="preserve"> </w:t>
      </w:r>
      <w:r w:rsidRPr="003B2D1D">
        <w:rPr>
          <w:rFonts w:ascii="Arial" w:hAnsi="Arial" w:cs="Arial"/>
          <w:bCs/>
          <w:color w:val="000000"/>
        </w:rPr>
        <w:t xml:space="preserve"> </w:t>
      </w:r>
      <w:r w:rsidR="001969EE">
        <w:rPr>
          <w:rFonts w:ascii="Arial" w:hAnsi="Arial" w:cs="Arial"/>
          <w:bCs/>
          <w:color w:val="000000"/>
        </w:rPr>
        <w:t>R</w:t>
      </w:r>
      <w:r w:rsidRPr="003B2D1D">
        <w:rPr>
          <w:rFonts w:ascii="Arial" w:hAnsi="Arial" w:cs="Arial"/>
          <w:bCs/>
          <w:color w:val="000000"/>
        </w:rPr>
        <w:t xml:space="preserve">efer to the accompanying glossary for definitions of terms used within the tier </w:t>
      </w:r>
      <w:r w:rsidR="00F52D61" w:rsidRPr="003B2D1D">
        <w:rPr>
          <w:rFonts w:ascii="Arial" w:hAnsi="Arial" w:cs="Arial"/>
          <w:bCs/>
          <w:color w:val="000000"/>
        </w:rPr>
        <w:t>one</w:t>
      </w:r>
      <w:r w:rsidRPr="003B2D1D">
        <w:rPr>
          <w:rFonts w:ascii="Arial" w:hAnsi="Arial" w:cs="Arial"/>
          <w:bCs/>
          <w:color w:val="000000"/>
        </w:rPr>
        <w:t xml:space="preserve">, </w:t>
      </w:r>
      <w:r w:rsidR="00F52D61" w:rsidRPr="003B2D1D">
        <w:rPr>
          <w:rFonts w:ascii="Arial" w:hAnsi="Arial" w:cs="Arial"/>
          <w:bCs/>
          <w:color w:val="000000"/>
        </w:rPr>
        <w:t>two</w:t>
      </w:r>
      <w:r w:rsidRPr="003B2D1D">
        <w:rPr>
          <w:rFonts w:ascii="Arial" w:hAnsi="Arial" w:cs="Arial"/>
          <w:bCs/>
          <w:color w:val="000000"/>
        </w:rPr>
        <w:t xml:space="preserve"> and </w:t>
      </w:r>
      <w:r w:rsidR="00F52D61" w:rsidRPr="003B2D1D">
        <w:rPr>
          <w:rFonts w:ascii="Arial" w:hAnsi="Arial" w:cs="Arial"/>
          <w:bCs/>
          <w:color w:val="000000"/>
        </w:rPr>
        <w:t>three</w:t>
      </w:r>
      <w:r w:rsidRPr="003B2D1D">
        <w:rPr>
          <w:rFonts w:ascii="Arial" w:hAnsi="Arial" w:cs="Arial"/>
          <w:bCs/>
          <w:color w:val="000000"/>
        </w:rPr>
        <w:t xml:space="preserve"> </w:t>
      </w:r>
      <w:r w:rsidR="00970577" w:rsidRPr="003B2D1D">
        <w:rPr>
          <w:rFonts w:ascii="Arial" w:hAnsi="Arial" w:cs="Arial"/>
          <w:bCs/>
          <w:color w:val="000000"/>
        </w:rPr>
        <w:t>service specifications</w:t>
      </w:r>
      <w:r w:rsidRPr="003B2D1D">
        <w:rPr>
          <w:rFonts w:ascii="Arial" w:hAnsi="Arial" w:cs="Arial"/>
          <w:bCs/>
          <w:color w:val="000000"/>
        </w:rPr>
        <w:t>.</w:t>
      </w:r>
    </w:p>
    <w:p w14:paraId="39ABAA8D" w14:textId="6644A039" w:rsidR="00925A76" w:rsidRDefault="003445A1" w:rsidP="001352C0">
      <w:pPr>
        <w:spacing w:before="120"/>
        <w:jc w:val="left"/>
        <w:rPr>
          <w:rFonts w:ascii="Arial" w:hAnsi="Arial" w:cs="Arial"/>
          <w:bCs/>
          <w:color w:val="000000"/>
        </w:rPr>
      </w:pPr>
      <w:r>
        <w:rPr>
          <w:rFonts w:ascii="Arial" w:hAnsi="Arial" w:cs="Arial"/>
          <w:bCs/>
          <w:color w:val="000000"/>
        </w:rPr>
        <w:t>Rising to the Challenge: The Mental Health and Addiction Service Development Plan</w:t>
      </w:r>
      <w:r w:rsidR="004C1A56">
        <w:rPr>
          <w:rFonts w:ascii="Arial" w:hAnsi="Arial" w:cs="Arial"/>
          <w:bCs/>
          <w:color w:val="000000"/>
        </w:rPr>
        <w:t xml:space="preserve"> 2012-2017</w:t>
      </w:r>
      <w:r>
        <w:rPr>
          <w:rFonts w:ascii="Arial" w:hAnsi="Arial" w:cs="Arial"/>
          <w:bCs/>
          <w:color w:val="000000"/>
        </w:rPr>
        <w:t xml:space="preserve"> </w:t>
      </w:r>
      <w:r w:rsidR="000A2BB7" w:rsidRPr="003B2D1D">
        <w:rPr>
          <w:rFonts w:ascii="Arial" w:hAnsi="Arial" w:cs="Arial"/>
          <w:bCs/>
          <w:color w:val="000000"/>
        </w:rPr>
        <w:t xml:space="preserve">sets </w:t>
      </w:r>
      <w:r>
        <w:rPr>
          <w:rFonts w:ascii="Arial" w:hAnsi="Arial" w:cs="Arial"/>
          <w:bCs/>
          <w:color w:val="000000"/>
        </w:rPr>
        <w:t>the direction for service delivery</w:t>
      </w:r>
      <w:r w:rsidR="000A2BB7" w:rsidRPr="003B2D1D">
        <w:rPr>
          <w:rFonts w:ascii="Arial" w:hAnsi="Arial" w:cs="Arial"/>
          <w:bCs/>
          <w:color w:val="000000"/>
        </w:rPr>
        <w:t xml:space="preserve"> </w:t>
      </w:r>
      <w:r>
        <w:rPr>
          <w:rFonts w:ascii="Arial" w:hAnsi="Arial" w:cs="Arial"/>
          <w:bCs/>
          <w:color w:val="000000"/>
        </w:rPr>
        <w:t xml:space="preserve">across the health sector over the next five years. </w:t>
      </w:r>
      <w:r w:rsidR="00925A76">
        <w:rPr>
          <w:rFonts w:ascii="Arial" w:hAnsi="Arial" w:cs="Arial"/>
          <w:bCs/>
          <w:color w:val="000000"/>
        </w:rPr>
        <w:t>The primary focus of Rising to the Challenge is to assist health services to collectively take action to achieve four overarching goals</w:t>
      </w:r>
      <w:r w:rsidR="00A774FA">
        <w:rPr>
          <w:rFonts w:ascii="Arial" w:hAnsi="Arial" w:cs="Arial"/>
          <w:bCs/>
          <w:color w:val="000000"/>
        </w:rPr>
        <w:t xml:space="preserve"> in the table below.</w:t>
      </w:r>
    </w:p>
    <w:p w14:paraId="09BAC229" w14:textId="77777777" w:rsidR="00116BE2" w:rsidRPr="00FC395F" w:rsidRDefault="00116BE2" w:rsidP="001153DF">
      <w:pPr>
        <w:pStyle w:val="Table"/>
        <w:pBdr>
          <w:top w:val="none" w:sz="0" w:space="0" w:color="auto"/>
        </w:pBdr>
        <w:spacing w:line="240" w:lineRule="auto"/>
        <w:rPr>
          <w:rFonts w:ascii="Arial" w:hAnsi="Arial" w:cs="Arial"/>
          <w:sz w:val="22"/>
          <w:szCs w:val="22"/>
        </w:rPr>
      </w:pPr>
      <w:bookmarkStart w:id="3" w:name="_Toc343700668"/>
      <w:r w:rsidRPr="00FC395F">
        <w:rPr>
          <w:rFonts w:ascii="Arial" w:hAnsi="Arial" w:cs="Arial"/>
          <w:sz w:val="22"/>
          <w:szCs w:val="22"/>
        </w:rPr>
        <w:t>The ABCD overarching goals and desired results</w:t>
      </w:r>
      <w:bookmarkEnd w:id="3"/>
    </w:p>
    <w:tbl>
      <w:tblPr>
        <w:tblStyle w:val="TableGrid"/>
        <w:tblW w:w="9639" w:type="dxa"/>
        <w:tblInd w:w="57" w:type="dxa"/>
        <w:tblLayout w:type="fixed"/>
        <w:tblCellMar>
          <w:left w:w="57" w:type="dxa"/>
          <w:right w:w="57" w:type="dxa"/>
        </w:tblCellMar>
        <w:tblLook w:val="01E0" w:firstRow="1" w:lastRow="1" w:firstColumn="1" w:lastColumn="1" w:noHBand="0" w:noVBand="0"/>
      </w:tblPr>
      <w:tblGrid>
        <w:gridCol w:w="6464"/>
        <w:gridCol w:w="3175"/>
      </w:tblGrid>
      <w:tr w:rsidR="00116BE2" w:rsidRPr="00D61413" w14:paraId="5EFCBAB3" w14:textId="77777777" w:rsidTr="001153DF">
        <w:trPr>
          <w:cantSplit/>
          <w:tblHeader/>
        </w:trPr>
        <w:tc>
          <w:tcPr>
            <w:tcW w:w="6464" w:type="dxa"/>
            <w:shd w:val="clear" w:color="auto" w:fill="D9D9D9"/>
            <w:hideMark/>
          </w:tcPr>
          <w:p w14:paraId="5CB757B0" w14:textId="77777777" w:rsidR="00116BE2" w:rsidRPr="00FC395F" w:rsidRDefault="00116BE2" w:rsidP="001352C0">
            <w:pPr>
              <w:pStyle w:val="TableText"/>
              <w:rPr>
                <w:rFonts w:ascii="Arial" w:hAnsi="Arial" w:cs="Arial"/>
                <w:b/>
                <w:sz w:val="22"/>
                <w:szCs w:val="22"/>
              </w:rPr>
            </w:pPr>
            <w:r w:rsidRPr="00FC395F">
              <w:rPr>
                <w:rFonts w:ascii="Arial" w:hAnsi="Arial" w:cs="Arial"/>
                <w:b/>
                <w:sz w:val="22"/>
                <w:szCs w:val="22"/>
              </w:rPr>
              <w:t>Overarching goal</w:t>
            </w:r>
          </w:p>
        </w:tc>
        <w:tc>
          <w:tcPr>
            <w:tcW w:w="3175" w:type="dxa"/>
            <w:shd w:val="clear" w:color="auto" w:fill="D9D9D9"/>
            <w:hideMark/>
          </w:tcPr>
          <w:p w14:paraId="00ABEF01" w14:textId="77777777" w:rsidR="00116BE2" w:rsidRPr="00FC395F" w:rsidRDefault="00116BE2" w:rsidP="001352C0">
            <w:pPr>
              <w:pStyle w:val="TableText"/>
              <w:rPr>
                <w:rFonts w:ascii="Arial" w:hAnsi="Arial" w:cs="Arial"/>
                <w:b/>
                <w:sz w:val="22"/>
                <w:szCs w:val="22"/>
              </w:rPr>
            </w:pPr>
            <w:r w:rsidRPr="00FC395F">
              <w:rPr>
                <w:rFonts w:ascii="Arial" w:hAnsi="Arial" w:cs="Arial"/>
                <w:b/>
                <w:sz w:val="22"/>
                <w:szCs w:val="22"/>
              </w:rPr>
              <w:t>Results we wish to see</w:t>
            </w:r>
          </w:p>
        </w:tc>
      </w:tr>
      <w:tr w:rsidR="00116BE2" w:rsidRPr="00D61413" w14:paraId="05375587" w14:textId="77777777" w:rsidTr="001153DF">
        <w:trPr>
          <w:cantSplit/>
        </w:trPr>
        <w:tc>
          <w:tcPr>
            <w:tcW w:w="6464" w:type="dxa"/>
            <w:hideMark/>
          </w:tcPr>
          <w:p w14:paraId="20934DDB" w14:textId="77777777" w:rsidR="00116BE2" w:rsidRPr="00FC395F" w:rsidRDefault="00116BE2" w:rsidP="001153DF">
            <w:pPr>
              <w:pStyle w:val="TableText"/>
              <w:spacing w:before="60" w:after="0"/>
              <w:ind w:left="425" w:hanging="425"/>
              <w:rPr>
                <w:rFonts w:ascii="Arial" w:hAnsi="Arial" w:cs="Arial"/>
                <w:sz w:val="22"/>
                <w:szCs w:val="22"/>
              </w:rPr>
            </w:pPr>
            <w:r w:rsidRPr="00FC395F">
              <w:rPr>
                <w:rFonts w:ascii="Arial" w:hAnsi="Arial" w:cs="Arial"/>
                <w:sz w:val="22"/>
                <w:szCs w:val="22"/>
              </w:rPr>
              <w:t>A</w:t>
            </w:r>
            <w:r w:rsidRPr="00FC395F">
              <w:rPr>
                <w:rFonts w:ascii="Arial" w:hAnsi="Arial" w:cs="Arial"/>
                <w:sz w:val="22"/>
                <w:szCs w:val="22"/>
              </w:rPr>
              <w:tab/>
              <w:t>Actively using our current resources more effectively</w:t>
            </w:r>
          </w:p>
        </w:tc>
        <w:tc>
          <w:tcPr>
            <w:tcW w:w="3175" w:type="dxa"/>
            <w:hideMark/>
          </w:tcPr>
          <w:p w14:paraId="4E1E8DEB" w14:textId="77777777" w:rsidR="00116BE2" w:rsidRPr="00FC395F" w:rsidRDefault="00116BE2" w:rsidP="001153DF">
            <w:pPr>
              <w:pStyle w:val="TableText"/>
              <w:spacing w:before="60" w:after="0"/>
              <w:rPr>
                <w:rFonts w:ascii="Arial" w:hAnsi="Arial" w:cs="Arial"/>
                <w:sz w:val="22"/>
                <w:szCs w:val="22"/>
              </w:rPr>
            </w:pPr>
            <w:r w:rsidRPr="00FC395F">
              <w:rPr>
                <w:rFonts w:ascii="Arial" w:hAnsi="Arial" w:cs="Arial"/>
                <w:sz w:val="22"/>
                <w:szCs w:val="22"/>
              </w:rPr>
              <w:t>Increased value for money</w:t>
            </w:r>
          </w:p>
        </w:tc>
      </w:tr>
      <w:tr w:rsidR="00116BE2" w:rsidRPr="00D61413" w14:paraId="46C12D46" w14:textId="77777777" w:rsidTr="001153DF">
        <w:trPr>
          <w:cantSplit/>
        </w:trPr>
        <w:tc>
          <w:tcPr>
            <w:tcW w:w="6464" w:type="dxa"/>
            <w:hideMark/>
          </w:tcPr>
          <w:p w14:paraId="36D8D7C3" w14:textId="77777777" w:rsidR="00116BE2" w:rsidRPr="00FC395F" w:rsidRDefault="00116BE2" w:rsidP="001153DF">
            <w:pPr>
              <w:pStyle w:val="TableText"/>
              <w:spacing w:before="60" w:after="0"/>
              <w:ind w:left="425" w:hanging="425"/>
              <w:rPr>
                <w:rFonts w:ascii="Arial" w:hAnsi="Arial" w:cs="Arial"/>
                <w:sz w:val="22"/>
                <w:szCs w:val="22"/>
              </w:rPr>
            </w:pPr>
            <w:r w:rsidRPr="00FC395F">
              <w:rPr>
                <w:rFonts w:ascii="Arial" w:hAnsi="Arial" w:cs="Arial"/>
                <w:sz w:val="22"/>
                <w:szCs w:val="22"/>
              </w:rPr>
              <w:t>B</w:t>
            </w:r>
            <w:r w:rsidRPr="00FC395F">
              <w:rPr>
                <w:rFonts w:ascii="Arial" w:hAnsi="Arial" w:cs="Arial"/>
                <w:sz w:val="22"/>
                <w:szCs w:val="22"/>
              </w:rPr>
              <w:tab/>
              <w:t>Building infrastructure for integration between primary and specialist services</w:t>
            </w:r>
          </w:p>
        </w:tc>
        <w:tc>
          <w:tcPr>
            <w:tcW w:w="3175" w:type="dxa"/>
            <w:hideMark/>
          </w:tcPr>
          <w:p w14:paraId="37DA24C3" w14:textId="77777777" w:rsidR="00116BE2" w:rsidRPr="00FC395F" w:rsidRDefault="00116BE2" w:rsidP="001153DF">
            <w:pPr>
              <w:pStyle w:val="TableText"/>
              <w:spacing w:before="60" w:after="0"/>
              <w:rPr>
                <w:rFonts w:ascii="Arial" w:hAnsi="Arial" w:cs="Arial"/>
                <w:sz w:val="22"/>
                <w:szCs w:val="22"/>
              </w:rPr>
            </w:pPr>
            <w:r w:rsidRPr="00FC395F">
              <w:rPr>
                <w:rFonts w:ascii="Arial" w:hAnsi="Arial" w:cs="Arial"/>
                <w:sz w:val="22"/>
                <w:szCs w:val="22"/>
              </w:rPr>
              <w:t>Enhanced integration</w:t>
            </w:r>
          </w:p>
        </w:tc>
      </w:tr>
      <w:tr w:rsidR="00116BE2" w:rsidRPr="00D61413" w14:paraId="4BBC5448" w14:textId="77777777" w:rsidTr="001153DF">
        <w:trPr>
          <w:cantSplit/>
        </w:trPr>
        <w:tc>
          <w:tcPr>
            <w:tcW w:w="6464" w:type="dxa"/>
            <w:hideMark/>
          </w:tcPr>
          <w:p w14:paraId="7BF2A780" w14:textId="77777777" w:rsidR="00116BE2" w:rsidRPr="00FC395F" w:rsidRDefault="00116BE2" w:rsidP="001153DF">
            <w:pPr>
              <w:pStyle w:val="TableText"/>
              <w:spacing w:before="60" w:after="0"/>
              <w:ind w:left="425" w:hanging="425"/>
              <w:rPr>
                <w:rFonts w:ascii="Arial" w:hAnsi="Arial" w:cs="Arial"/>
                <w:sz w:val="22"/>
                <w:szCs w:val="22"/>
              </w:rPr>
            </w:pPr>
            <w:r w:rsidRPr="00FC395F">
              <w:rPr>
                <w:rFonts w:ascii="Arial" w:hAnsi="Arial" w:cs="Arial"/>
                <w:sz w:val="22"/>
                <w:szCs w:val="22"/>
              </w:rPr>
              <w:t>C</w:t>
            </w:r>
            <w:r w:rsidRPr="00FC395F">
              <w:rPr>
                <w:rFonts w:ascii="Arial" w:hAnsi="Arial" w:cs="Arial"/>
                <w:sz w:val="22"/>
                <w:szCs w:val="22"/>
              </w:rPr>
              <w:tab/>
              <w:t>Cementing and building on gains in resilience and recovery for:</w:t>
            </w:r>
          </w:p>
          <w:p w14:paraId="2710C7DF" w14:textId="77777777" w:rsidR="00116BE2" w:rsidRPr="00FC395F" w:rsidRDefault="00116BE2" w:rsidP="001153DF">
            <w:pPr>
              <w:pStyle w:val="TableText"/>
              <w:spacing w:before="60" w:after="0"/>
              <w:ind w:left="850" w:hanging="425"/>
              <w:rPr>
                <w:rFonts w:ascii="Arial" w:hAnsi="Arial" w:cs="Arial"/>
                <w:sz w:val="22"/>
                <w:szCs w:val="22"/>
              </w:rPr>
            </w:pPr>
            <w:proofErr w:type="spellStart"/>
            <w:r w:rsidRPr="00FC395F">
              <w:rPr>
                <w:rFonts w:ascii="Arial" w:hAnsi="Arial" w:cs="Arial"/>
                <w:sz w:val="22"/>
                <w:szCs w:val="22"/>
              </w:rPr>
              <w:t>i</w:t>
            </w:r>
            <w:proofErr w:type="spellEnd"/>
            <w:r w:rsidRPr="00FC395F">
              <w:rPr>
                <w:rFonts w:ascii="Arial" w:hAnsi="Arial" w:cs="Arial"/>
                <w:sz w:val="22"/>
                <w:szCs w:val="22"/>
              </w:rPr>
              <w:t>.</w:t>
            </w:r>
            <w:r w:rsidRPr="00FC395F">
              <w:rPr>
                <w:rFonts w:ascii="Arial" w:hAnsi="Arial" w:cs="Arial"/>
                <w:sz w:val="22"/>
                <w:szCs w:val="22"/>
              </w:rPr>
              <w:tab/>
              <w:t>people with low-prevalence conditions and/or high needs (psychotic disorders and severe personality disorders, anxiety disorders, depression, alcohol and drug issues or co-existing conditions)</w:t>
            </w:r>
          </w:p>
          <w:p w14:paraId="49D07EEB" w14:textId="77777777" w:rsidR="00116BE2" w:rsidRPr="00FC395F" w:rsidRDefault="00116BE2" w:rsidP="001153DF">
            <w:pPr>
              <w:pStyle w:val="TableText"/>
              <w:tabs>
                <w:tab w:val="left" w:pos="851"/>
                <w:tab w:val="left" w:pos="1276"/>
              </w:tabs>
              <w:spacing w:before="60" w:after="0"/>
              <w:ind w:left="850" w:hanging="425"/>
              <w:rPr>
                <w:rFonts w:ascii="Arial" w:hAnsi="Arial" w:cs="Arial"/>
                <w:sz w:val="22"/>
                <w:szCs w:val="22"/>
              </w:rPr>
            </w:pPr>
            <w:r w:rsidRPr="00FC395F">
              <w:rPr>
                <w:rFonts w:ascii="Arial" w:hAnsi="Arial" w:cs="Arial"/>
                <w:sz w:val="22"/>
                <w:szCs w:val="22"/>
              </w:rPr>
              <w:t>ii.</w:t>
            </w:r>
            <w:r w:rsidRPr="00FC395F">
              <w:rPr>
                <w:rFonts w:ascii="Arial" w:hAnsi="Arial" w:cs="Arial"/>
                <w:sz w:val="22"/>
                <w:szCs w:val="22"/>
              </w:rPr>
              <w:tab/>
              <w:t>a)</w:t>
            </w:r>
            <w:r w:rsidRPr="00FC395F">
              <w:rPr>
                <w:rFonts w:ascii="Arial" w:hAnsi="Arial" w:cs="Arial"/>
                <w:sz w:val="22"/>
                <w:szCs w:val="22"/>
              </w:rPr>
              <w:tab/>
              <w:t>Māori</w:t>
            </w:r>
          </w:p>
          <w:p w14:paraId="5EA1CD18" w14:textId="77777777" w:rsidR="00116BE2" w:rsidRPr="00FC395F" w:rsidRDefault="00116BE2" w:rsidP="001153DF">
            <w:pPr>
              <w:pStyle w:val="TableText"/>
              <w:spacing w:before="60" w:after="0"/>
              <w:ind w:left="1276" w:hanging="425"/>
              <w:rPr>
                <w:rFonts w:ascii="Arial" w:hAnsi="Arial" w:cs="Arial"/>
                <w:sz w:val="22"/>
                <w:szCs w:val="22"/>
              </w:rPr>
            </w:pPr>
            <w:r w:rsidRPr="00FC395F">
              <w:rPr>
                <w:rFonts w:ascii="Arial" w:hAnsi="Arial" w:cs="Arial"/>
                <w:sz w:val="22"/>
                <w:szCs w:val="22"/>
              </w:rPr>
              <w:t>b)</w:t>
            </w:r>
            <w:r w:rsidRPr="00FC395F">
              <w:rPr>
                <w:rFonts w:ascii="Arial" w:hAnsi="Arial" w:cs="Arial"/>
                <w:sz w:val="22"/>
                <w:szCs w:val="22"/>
              </w:rPr>
              <w:tab/>
              <w:t>Pacific peoples, refugees, people with disabilities and other groups</w:t>
            </w:r>
          </w:p>
        </w:tc>
        <w:tc>
          <w:tcPr>
            <w:tcW w:w="3175" w:type="dxa"/>
            <w:hideMark/>
          </w:tcPr>
          <w:p w14:paraId="0045F5C1" w14:textId="77777777" w:rsidR="00116BE2" w:rsidRPr="00FC395F" w:rsidRDefault="00116BE2" w:rsidP="001153DF">
            <w:pPr>
              <w:pStyle w:val="TableText"/>
              <w:spacing w:before="60" w:after="0"/>
              <w:rPr>
                <w:rFonts w:ascii="Arial" w:hAnsi="Arial" w:cs="Arial"/>
                <w:sz w:val="22"/>
                <w:szCs w:val="22"/>
              </w:rPr>
            </w:pPr>
            <w:r w:rsidRPr="00FC395F">
              <w:rPr>
                <w:rFonts w:ascii="Arial" w:hAnsi="Arial" w:cs="Arial"/>
                <w:sz w:val="22"/>
                <w:szCs w:val="22"/>
              </w:rPr>
              <w:t>Improved mental health and wellbeing, physical health and social inclusion</w:t>
            </w:r>
          </w:p>
          <w:p w14:paraId="16F18D09" w14:textId="77777777" w:rsidR="00116BE2" w:rsidRPr="00FC395F" w:rsidRDefault="00116BE2" w:rsidP="001153DF">
            <w:pPr>
              <w:pStyle w:val="TableText"/>
              <w:spacing w:before="60" w:after="0"/>
              <w:rPr>
                <w:rFonts w:ascii="Arial" w:hAnsi="Arial" w:cs="Arial"/>
                <w:sz w:val="22"/>
                <w:szCs w:val="22"/>
              </w:rPr>
            </w:pPr>
            <w:r w:rsidRPr="00FC395F">
              <w:rPr>
                <w:rFonts w:ascii="Arial" w:hAnsi="Arial" w:cs="Arial"/>
                <w:sz w:val="22"/>
                <w:szCs w:val="22"/>
              </w:rPr>
              <w:t>Disparities in health outcomes addressed</w:t>
            </w:r>
          </w:p>
        </w:tc>
      </w:tr>
      <w:tr w:rsidR="00116BE2" w:rsidRPr="00D61413" w14:paraId="61BA3447" w14:textId="77777777" w:rsidTr="001153DF">
        <w:trPr>
          <w:cantSplit/>
        </w:trPr>
        <w:tc>
          <w:tcPr>
            <w:tcW w:w="6464" w:type="dxa"/>
            <w:hideMark/>
          </w:tcPr>
          <w:p w14:paraId="12FA3757" w14:textId="77777777" w:rsidR="00116BE2" w:rsidRPr="00FC395F" w:rsidRDefault="00116BE2" w:rsidP="001153DF">
            <w:pPr>
              <w:pStyle w:val="TableText"/>
              <w:spacing w:before="60" w:after="0"/>
              <w:ind w:left="425" w:hanging="425"/>
              <w:rPr>
                <w:rFonts w:ascii="Arial" w:hAnsi="Arial" w:cs="Arial"/>
                <w:sz w:val="22"/>
                <w:szCs w:val="22"/>
              </w:rPr>
            </w:pPr>
            <w:r w:rsidRPr="00FC395F">
              <w:rPr>
                <w:rFonts w:ascii="Arial" w:hAnsi="Arial" w:cs="Arial"/>
                <w:sz w:val="22"/>
                <w:szCs w:val="22"/>
              </w:rPr>
              <w:t>D</w:t>
            </w:r>
            <w:r w:rsidRPr="00FC395F">
              <w:rPr>
                <w:rFonts w:ascii="Arial" w:hAnsi="Arial" w:cs="Arial"/>
                <w:sz w:val="22"/>
                <w:szCs w:val="22"/>
              </w:rPr>
              <w:tab/>
              <w:t>Delivering increased access for:</w:t>
            </w:r>
          </w:p>
          <w:p w14:paraId="2429C0DA" w14:textId="77777777" w:rsidR="00116BE2" w:rsidRPr="00FC395F" w:rsidRDefault="00116BE2" w:rsidP="001153DF">
            <w:pPr>
              <w:pStyle w:val="TableText"/>
              <w:spacing w:before="60" w:after="0"/>
              <w:ind w:left="850" w:hanging="425"/>
              <w:rPr>
                <w:rFonts w:ascii="Arial" w:hAnsi="Arial" w:cs="Arial"/>
                <w:sz w:val="22"/>
                <w:szCs w:val="22"/>
              </w:rPr>
            </w:pPr>
            <w:proofErr w:type="spellStart"/>
            <w:r w:rsidRPr="00FC395F">
              <w:rPr>
                <w:rFonts w:ascii="Arial" w:hAnsi="Arial" w:cs="Arial"/>
                <w:sz w:val="22"/>
                <w:szCs w:val="22"/>
              </w:rPr>
              <w:t>i</w:t>
            </w:r>
            <w:proofErr w:type="spellEnd"/>
            <w:r w:rsidRPr="00FC395F">
              <w:rPr>
                <w:rFonts w:ascii="Arial" w:hAnsi="Arial" w:cs="Arial"/>
                <w:sz w:val="22"/>
                <w:szCs w:val="22"/>
              </w:rPr>
              <w:t>.</w:t>
            </w:r>
            <w:r w:rsidRPr="00FC395F">
              <w:rPr>
                <w:rFonts w:ascii="Arial" w:hAnsi="Arial" w:cs="Arial"/>
                <w:sz w:val="22"/>
                <w:szCs w:val="22"/>
              </w:rPr>
              <w:tab/>
              <w:t>infants, children and youth</w:t>
            </w:r>
          </w:p>
          <w:p w14:paraId="70D8202B" w14:textId="77777777" w:rsidR="00116BE2" w:rsidRPr="00FC395F" w:rsidRDefault="00116BE2" w:rsidP="001153DF">
            <w:pPr>
              <w:pStyle w:val="TableText"/>
              <w:spacing w:before="60" w:after="0"/>
              <w:ind w:left="850" w:hanging="425"/>
              <w:rPr>
                <w:rFonts w:ascii="Arial" w:hAnsi="Arial" w:cs="Arial"/>
                <w:sz w:val="22"/>
                <w:szCs w:val="22"/>
              </w:rPr>
            </w:pPr>
            <w:r w:rsidRPr="00FC395F">
              <w:rPr>
                <w:rFonts w:ascii="Arial" w:hAnsi="Arial" w:cs="Arial"/>
                <w:sz w:val="22"/>
                <w:szCs w:val="22"/>
              </w:rPr>
              <w:t>ii.</w:t>
            </w:r>
            <w:r w:rsidRPr="00FC395F">
              <w:rPr>
                <w:rFonts w:ascii="Arial" w:hAnsi="Arial" w:cs="Arial"/>
                <w:sz w:val="22"/>
                <w:szCs w:val="22"/>
              </w:rPr>
              <w:tab/>
              <w:t>adults with high-prevalence conditions (mild to moderate anxiety, depression, alcohol and drug issues or co-existing conditions, and medically unexplained symptoms)</w:t>
            </w:r>
          </w:p>
        </w:tc>
        <w:tc>
          <w:tcPr>
            <w:tcW w:w="3175" w:type="dxa"/>
            <w:hideMark/>
          </w:tcPr>
          <w:p w14:paraId="2E56FB92" w14:textId="77777777" w:rsidR="00116BE2" w:rsidRPr="00FC395F" w:rsidRDefault="00116BE2" w:rsidP="001153DF">
            <w:pPr>
              <w:pStyle w:val="TableText"/>
              <w:spacing w:before="60" w:after="0"/>
              <w:rPr>
                <w:rFonts w:ascii="Arial" w:hAnsi="Arial" w:cs="Arial"/>
                <w:sz w:val="22"/>
                <w:szCs w:val="22"/>
              </w:rPr>
            </w:pPr>
            <w:r w:rsidRPr="00FC395F">
              <w:rPr>
                <w:rFonts w:ascii="Arial" w:hAnsi="Arial" w:cs="Arial"/>
                <w:sz w:val="22"/>
                <w:szCs w:val="22"/>
              </w:rPr>
              <w:t>Expanded access and decreased waiting times in order to:</w:t>
            </w:r>
          </w:p>
          <w:p w14:paraId="59FDE3E2" w14:textId="77777777" w:rsidR="00116BE2" w:rsidRPr="00FC395F" w:rsidRDefault="00116BE2" w:rsidP="001153DF">
            <w:pPr>
              <w:pStyle w:val="TableBullet"/>
              <w:tabs>
                <w:tab w:val="clear" w:pos="1080"/>
                <w:tab w:val="num" w:pos="284"/>
              </w:tabs>
              <w:spacing w:before="60" w:after="0"/>
              <w:ind w:left="284" w:hanging="284"/>
              <w:rPr>
                <w:rFonts w:ascii="Arial" w:hAnsi="Arial" w:cs="Arial"/>
                <w:sz w:val="22"/>
                <w:szCs w:val="22"/>
              </w:rPr>
            </w:pPr>
            <w:r w:rsidRPr="00FC395F">
              <w:rPr>
                <w:rFonts w:ascii="Arial" w:hAnsi="Arial" w:cs="Arial"/>
                <w:sz w:val="22"/>
                <w:szCs w:val="22"/>
              </w:rPr>
              <w:t>avert future adverse outcomes</w:t>
            </w:r>
          </w:p>
          <w:p w14:paraId="7C1C38C1" w14:textId="77777777" w:rsidR="00116BE2" w:rsidRPr="00FC395F" w:rsidRDefault="00116BE2" w:rsidP="001153DF">
            <w:pPr>
              <w:pStyle w:val="TableBullet"/>
              <w:tabs>
                <w:tab w:val="clear" w:pos="1080"/>
                <w:tab w:val="num" w:pos="284"/>
              </w:tabs>
              <w:spacing w:before="60" w:after="0"/>
              <w:ind w:left="284" w:hanging="284"/>
              <w:rPr>
                <w:rFonts w:ascii="Arial" w:hAnsi="Arial" w:cs="Arial"/>
                <w:sz w:val="22"/>
                <w:szCs w:val="22"/>
              </w:rPr>
            </w:pPr>
            <w:r w:rsidRPr="00FC395F">
              <w:rPr>
                <w:rFonts w:ascii="Arial" w:hAnsi="Arial" w:cs="Arial"/>
                <w:sz w:val="22"/>
                <w:szCs w:val="22"/>
              </w:rPr>
              <w:t>improve outcomes</w:t>
            </w:r>
          </w:p>
        </w:tc>
      </w:tr>
      <w:tr w:rsidR="00116BE2" w14:paraId="0B6E37AF" w14:textId="77777777" w:rsidTr="001153DF">
        <w:trPr>
          <w:cantSplit/>
        </w:trPr>
        <w:tc>
          <w:tcPr>
            <w:tcW w:w="6464" w:type="dxa"/>
            <w:hideMark/>
          </w:tcPr>
          <w:p w14:paraId="3F7484D9" w14:textId="77777777" w:rsidR="00116BE2" w:rsidRPr="00FC395F" w:rsidRDefault="00116BE2" w:rsidP="001153DF">
            <w:pPr>
              <w:pStyle w:val="TableText"/>
              <w:spacing w:before="60" w:after="0"/>
              <w:ind w:left="850" w:hanging="425"/>
              <w:rPr>
                <w:rFonts w:ascii="Arial" w:hAnsi="Arial" w:cs="Arial"/>
                <w:sz w:val="22"/>
                <w:szCs w:val="22"/>
              </w:rPr>
            </w:pPr>
            <w:r w:rsidRPr="00FC395F">
              <w:rPr>
                <w:rFonts w:ascii="Arial" w:hAnsi="Arial" w:cs="Arial"/>
                <w:sz w:val="22"/>
                <w:szCs w:val="22"/>
              </w:rPr>
              <w:t>iii.</w:t>
            </w:r>
            <w:r w:rsidRPr="00FC395F">
              <w:rPr>
                <w:rFonts w:ascii="Arial" w:hAnsi="Arial" w:cs="Arial"/>
                <w:sz w:val="22"/>
                <w:szCs w:val="22"/>
              </w:rPr>
              <w:tab/>
              <w:t>our growing older population</w:t>
            </w:r>
          </w:p>
        </w:tc>
        <w:tc>
          <w:tcPr>
            <w:tcW w:w="3175" w:type="dxa"/>
            <w:hideMark/>
          </w:tcPr>
          <w:p w14:paraId="741958BD" w14:textId="77777777" w:rsidR="00116BE2" w:rsidRPr="00FC395F" w:rsidRDefault="00116BE2" w:rsidP="001153DF">
            <w:pPr>
              <w:pStyle w:val="TableBullet"/>
              <w:tabs>
                <w:tab w:val="clear" w:pos="1080"/>
                <w:tab w:val="num" w:pos="284"/>
              </w:tabs>
              <w:spacing w:before="60" w:after="0"/>
              <w:ind w:left="284" w:hanging="284"/>
              <w:rPr>
                <w:rFonts w:ascii="Arial" w:hAnsi="Arial" w:cs="Arial"/>
                <w:sz w:val="22"/>
                <w:szCs w:val="22"/>
              </w:rPr>
            </w:pPr>
            <w:r w:rsidRPr="00FC395F">
              <w:rPr>
                <w:rFonts w:ascii="Arial" w:hAnsi="Arial" w:cs="Arial"/>
                <w:sz w:val="22"/>
                <w:szCs w:val="22"/>
              </w:rPr>
              <w:t>support their positive contribution in the home and community of their choice</w:t>
            </w:r>
          </w:p>
        </w:tc>
      </w:tr>
    </w:tbl>
    <w:p w14:paraId="1E5AF324" w14:textId="33AB3E5E" w:rsidR="000A2BB7" w:rsidRDefault="00925A76" w:rsidP="001153DF">
      <w:pPr>
        <w:jc w:val="left"/>
        <w:rPr>
          <w:rFonts w:ascii="Arial" w:hAnsi="Arial" w:cs="Arial"/>
          <w:bCs/>
          <w:color w:val="000000"/>
        </w:rPr>
      </w:pPr>
      <w:r>
        <w:rPr>
          <w:rFonts w:ascii="Arial" w:hAnsi="Arial" w:cs="Arial"/>
          <w:bCs/>
          <w:color w:val="000000"/>
        </w:rPr>
        <w:lastRenderedPageBreak/>
        <w:t>Rising to the Challenge</w:t>
      </w:r>
      <w:r w:rsidR="00FA5628">
        <w:rPr>
          <w:rFonts w:ascii="Arial" w:hAnsi="Arial" w:cs="Arial"/>
          <w:bCs/>
          <w:color w:val="000000"/>
        </w:rPr>
        <w:t>: The Mental Health and Addiction Service Development Plan 2012-2017</w:t>
      </w:r>
      <w:r w:rsidR="00FA5628">
        <w:rPr>
          <w:rStyle w:val="FootnoteReference"/>
          <w:rFonts w:ascii="Arial" w:hAnsi="Arial" w:cs="Arial"/>
          <w:bCs/>
          <w:color w:val="000000"/>
        </w:rPr>
        <w:footnoteReference w:id="1"/>
      </w:r>
      <w:r w:rsidR="00FA5628">
        <w:rPr>
          <w:rFonts w:ascii="Arial" w:hAnsi="Arial" w:cs="Arial"/>
          <w:bCs/>
          <w:color w:val="000000"/>
        </w:rPr>
        <w:t xml:space="preserve"> </w:t>
      </w:r>
      <w:r>
        <w:rPr>
          <w:rFonts w:ascii="Arial" w:hAnsi="Arial" w:cs="Arial"/>
          <w:bCs/>
          <w:color w:val="000000"/>
        </w:rPr>
        <w:t>seeks to</w:t>
      </w:r>
      <w:r w:rsidR="000A2BB7" w:rsidRPr="003B2D1D">
        <w:rPr>
          <w:rFonts w:ascii="Arial" w:hAnsi="Arial" w:cs="Arial"/>
          <w:bCs/>
          <w:color w:val="000000"/>
        </w:rPr>
        <w:t xml:space="preserve"> improv</w:t>
      </w:r>
      <w:r>
        <w:rPr>
          <w:rFonts w:ascii="Arial" w:hAnsi="Arial" w:cs="Arial"/>
          <w:bCs/>
          <w:color w:val="000000"/>
        </w:rPr>
        <w:t>e</w:t>
      </w:r>
      <w:r w:rsidR="000A2BB7" w:rsidRPr="003B2D1D">
        <w:rPr>
          <w:rFonts w:ascii="Arial" w:hAnsi="Arial" w:cs="Arial"/>
          <w:bCs/>
          <w:color w:val="000000"/>
        </w:rPr>
        <w:t xml:space="preserve"> </w:t>
      </w:r>
      <w:r>
        <w:rPr>
          <w:rFonts w:ascii="Arial" w:hAnsi="Arial" w:cs="Arial"/>
          <w:bCs/>
          <w:color w:val="000000"/>
        </w:rPr>
        <w:t xml:space="preserve">outcomes for all people with mental health and addiction issues. </w:t>
      </w:r>
      <w:r w:rsidR="005B1229">
        <w:rPr>
          <w:rFonts w:ascii="Arial" w:hAnsi="Arial" w:cs="Arial"/>
          <w:bCs/>
          <w:color w:val="000000"/>
        </w:rPr>
        <w:t xml:space="preserve"> </w:t>
      </w:r>
      <w:r>
        <w:rPr>
          <w:rFonts w:ascii="Arial" w:hAnsi="Arial" w:cs="Arial"/>
          <w:bCs/>
          <w:color w:val="000000"/>
        </w:rPr>
        <w:t xml:space="preserve">It also seeks to improve the integration of and quality of services to reduce disparities. </w:t>
      </w:r>
      <w:r w:rsidR="000A2BB7" w:rsidRPr="003B2D1D">
        <w:rPr>
          <w:rFonts w:ascii="Arial" w:hAnsi="Arial" w:cs="Arial"/>
          <w:bCs/>
          <w:color w:val="000000"/>
        </w:rPr>
        <w:t xml:space="preserve"> A key step in achieving these goals is through developing a culture of responsiveness where </w:t>
      </w:r>
      <w:r w:rsidR="00EC3E93">
        <w:rPr>
          <w:rFonts w:ascii="Arial" w:hAnsi="Arial" w:cs="Arial"/>
          <w:bCs/>
          <w:color w:val="000000"/>
        </w:rPr>
        <w:t>Service User</w:t>
      </w:r>
      <w:r w:rsidR="005B1229">
        <w:rPr>
          <w:rFonts w:ascii="Arial" w:hAnsi="Arial" w:cs="Arial"/>
          <w:bCs/>
          <w:color w:val="000000"/>
        </w:rPr>
        <w:t>s</w:t>
      </w:r>
      <w:r w:rsidR="000A2BB7" w:rsidRPr="003B2D1D">
        <w:rPr>
          <w:rFonts w:ascii="Arial" w:hAnsi="Arial" w:cs="Arial"/>
          <w:bCs/>
          <w:color w:val="000000"/>
        </w:rPr>
        <w:t>, families, whānau and significant others are actively supported and involved in treatment and recovery.</w:t>
      </w:r>
    </w:p>
    <w:p w14:paraId="44B4799B" w14:textId="7C170B4A" w:rsidR="00FA5628" w:rsidRPr="003B2D1D" w:rsidRDefault="00FC33EB" w:rsidP="00FA5628">
      <w:pPr>
        <w:spacing w:before="120"/>
        <w:jc w:val="left"/>
        <w:rPr>
          <w:rFonts w:ascii="Arial" w:hAnsi="Arial" w:cs="Arial"/>
        </w:rPr>
      </w:pPr>
      <w:r w:rsidRPr="00FC33EB">
        <w:rPr>
          <w:rFonts w:ascii="Arial" w:hAnsi="Arial" w:cs="Arial"/>
        </w:rPr>
        <w:t>The refreshed New Zealand Health Strategy outlines the high level direction for New Zealand's health system to improve the health of people and communities. It has been developed to guide change in the system and has two parts, the Future Direction and the Roadmap of actions 2016. The strategy descri</w:t>
      </w:r>
      <w:r w:rsidR="00B01CD9">
        <w:rPr>
          <w:rFonts w:ascii="Arial" w:hAnsi="Arial" w:cs="Arial"/>
        </w:rPr>
        <w:t xml:space="preserve">bes new ways of working so that </w:t>
      </w:r>
      <w:r w:rsidRPr="00FC33EB">
        <w:rPr>
          <w:rFonts w:ascii="Arial" w:hAnsi="Arial" w:cs="Arial"/>
        </w:rPr>
        <w:t>all New Zealanders live well, stay well, get well, in a system that is people-powered, provides services closer to home, is designed for value and high performance, and works as one team in a smart system (Ministry of Health 2016, p 13).</w:t>
      </w:r>
    </w:p>
    <w:p w14:paraId="222E7942" w14:textId="77777777" w:rsidR="005D61AE" w:rsidRDefault="000A2BB7" w:rsidP="001352C0">
      <w:pPr>
        <w:spacing w:before="120"/>
        <w:jc w:val="left"/>
        <w:rPr>
          <w:rFonts w:ascii="Arial" w:hAnsi="Arial" w:cs="Arial"/>
          <w:bCs/>
          <w:color w:val="000000"/>
        </w:rPr>
      </w:pPr>
      <w:r w:rsidRPr="003B2D1D">
        <w:rPr>
          <w:rFonts w:ascii="Arial" w:hAnsi="Arial" w:cs="Arial"/>
          <w:bCs/>
          <w:color w:val="000000"/>
        </w:rPr>
        <w:t xml:space="preserve">Social and economic inequalities are associated with poor health outcomes.  </w:t>
      </w:r>
      <w:r w:rsidR="00076DE2">
        <w:rPr>
          <w:rFonts w:ascii="Arial" w:hAnsi="Arial" w:cs="Arial"/>
          <w:bCs/>
          <w:color w:val="000000"/>
        </w:rPr>
        <w:t>Section four of the</w:t>
      </w:r>
      <w:r w:rsidR="00076DE2" w:rsidRPr="00076DE2">
        <w:rPr>
          <w:rFonts w:ascii="Arial" w:hAnsi="Arial" w:cs="Arial"/>
          <w:bCs/>
          <w:color w:val="000000"/>
        </w:rPr>
        <w:t xml:space="preserve"> Mental Health and Addiction Service Development Plan</w:t>
      </w:r>
      <w:r w:rsidR="00076DE2">
        <w:rPr>
          <w:rFonts w:ascii="Arial" w:hAnsi="Arial" w:cs="Arial"/>
          <w:bCs/>
          <w:color w:val="000000"/>
        </w:rPr>
        <w:t xml:space="preserve"> has a focus on building on gains in resilience and recovery for Māori and Pacific peoples, refuges, people with disabilities and other groups.  The expected result is consistent mental health and addiction outcomes for all.</w:t>
      </w:r>
    </w:p>
    <w:p w14:paraId="6BEE8FE6" w14:textId="77777777" w:rsidR="000A2BB7" w:rsidRDefault="00076DE2" w:rsidP="001352C0">
      <w:pPr>
        <w:spacing w:before="120"/>
        <w:jc w:val="left"/>
        <w:rPr>
          <w:rFonts w:ascii="Arial" w:hAnsi="Arial" w:cs="Arial"/>
        </w:rPr>
      </w:pPr>
      <w:r>
        <w:rPr>
          <w:rFonts w:ascii="Arial" w:hAnsi="Arial" w:cs="Arial"/>
        </w:rPr>
        <w:t>I</w:t>
      </w:r>
      <w:r w:rsidR="000A2BB7" w:rsidRPr="003B2D1D">
        <w:rPr>
          <w:rFonts w:ascii="Arial" w:hAnsi="Arial" w:cs="Arial"/>
        </w:rPr>
        <w:t xml:space="preserve">t is unlikely that any single provider will deliver the full range of services, therefore all services in the mental health and addiction sector must work collaboratively and co-operatively to provide a </w:t>
      </w:r>
      <w:r w:rsidR="000D1F6C" w:rsidRPr="003B2D1D">
        <w:rPr>
          <w:rFonts w:ascii="Arial" w:hAnsi="Arial" w:cs="Arial"/>
        </w:rPr>
        <w:t>well-integrated</w:t>
      </w:r>
      <w:r w:rsidR="000A2BB7" w:rsidRPr="003B2D1D">
        <w:rPr>
          <w:rFonts w:ascii="Arial" w:hAnsi="Arial" w:cs="Arial"/>
        </w:rPr>
        <w:t xml:space="preserve"> and seamless continuum of care.  Effective, robust planning and partnerships within and across health service providers, other government-funded services and private sector service providers are critical in enabling better recovery outcomes for </w:t>
      </w:r>
      <w:r w:rsidR="00EC3E93">
        <w:rPr>
          <w:rFonts w:ascii="Arial" w:hAnsi="Arial" w:cs="Arial"/>
        </w:rPr>
        <w:t>Service User</w:t>
      </w:r>
      <w:r w:rsidR="005B1229">
        <w:rPr>
          <w:rFonts w:ascii="Arial" w:hAnsi="Arial" w:cs="Arial"/>
        </w:rPr>
        <w:t>s</w:t>
      </w:r>
      <w:r w:rsidR="000A2BB7" w:rsidRPr="003B2D1D">
        <w:rPr>
          <w:rFonts w:ascii="Arial" w:hAnsi="Arial" w:cs="Arial"/>
        </w:rPr>
        <w:t xml:space="preserve">, their family, whānau and communities. </w:t>
      </w:r>
    </w:p>
    <w:p w14:paraId="3A1349DD" w14:textId="77777777" w:rsidR="000A2BB7" w:rsidRPr="003B2D1D" w:rsidRDefault="000A2BB7" w:rsidP="001352C0">
      <w:pPr>
        <w:tabs>
          <w:tab w:val="left" w:pos="540"/>
        </w:tabs>
        <w:spacing w:before="240" w:after="120"/>
        <w:rPr>
          <w:rFonts w:ascii="Arial" w:hAnsi="Arial" w:cs="Arial"/>
          <w:b/>
        </w:rPr>
      </w:pPr>
      <w:bookmarkStart w:id="4" w:name="_Toc215318892"/>
      <w:bookmarkEnd w:id="2"/>
      <w:r w:rsidRPr="003B2D1D">
        <w:rPr>
          <w:rFonts w:ascii="Arial" w:hAnsi="Arial" w:cs="Arial"/>
          <w:b/>
        </w:rPr>
        <w:t>1.</w:t>
      </w:r>
      <w:r w:rsidRPr="003B2D1D">
        <w:rPr>
          <w:rFonts w:ascii="Arial" w:hAnsi="Arial" w:cs="Arial"/>
          <w:b/>
        </w:rPr>
        <w:tab/>
        <w:t>Service Definition</w:t>
      </w:r>
      <w:bookmarkEnd w:id="4"/>
    </w:p>
    <w:p w14:paraId="5C1D0659" w14:textId="2DAC2E78" w:rsidR="00566205" w:rsidRDefault="000A2BB7" w:rsidP="00566205">
      <w:pPr>
        <w:jc w:val="left"/>
        <w:rPr>
          <w:rFonts w:ascii="Arial" w:hAnsi="Arial" w:cs="Arial"/>
          <w:bCs/>
          <w:color w:val="000000"/>
        </w:rPr>
      </w:pPr>
      <w:bookmarkStart w:id="5" w:name="_Toc215318894"/>
      <w:r w:rsidRPr="003B2D1D">
        <w:rPr>
          <w:rFonts w:ascii="Arial" w:hAnsi="Arial" w:cs="Arial"/>
          <w:bCs/>
          <w:color w:val="000000"/>
        </w:rPr>
        <w:t>Specialist mental health and addiction services are delivered to those eligible people who are most severely affected by mental illness or addiction.</w:t>
      </w:r>
      <w:r w:rsidR="002A5CDB" w:rsidRPr="003B2D1D">
        <w:rPr>
          <w:rFonts w:ascii="Arial" w:hAnsi="Arial" w:cs="Arial"/>
          <w:bCs/>
          <w:color w:val="000000"/>
        </w:rPr>
        <w:t xml:space="preserve"> </w:t>
      </w:r>
      <w:r w:rsidRPr="003B2D1D">
        <w:rPr>
          <w:rFonts w:ascii="Arial" w:hAnsi="Arial" w:cs="Arial"/>
          <w:bCs/>
          <w:color w:val="000000"/>
        </w:rPr>
        <w:t xml:space="preserve"> Currently the expectation established in the National Mental Health Strategy is that specialist services will be available to </w:t>
      </w:r>
      <w:r w:rsidR="002A5CDB" w:rsidRPr="003B2D1D">
        <w:rPr>
          <w:rFonts w:ascii="Arial" w:hAnsi="Arial" w:cs="Arial"/>
          <w:bCs/>
          <w:color w:val="000000"/>
        </w:rPr>
        <w:t xml:space="preserve">three </w:t>
      </w:r>
      <w:r w:rsidR="000571FF" w:rsidRPr="003B2D1D">
        <w:rPr>
          <w:rFonts w:ascii="Arial" w:hAnsi="Arial" w:cs="Arial"/>
          <w:bCs/>
          <w:color w:val="000000"/>
        </w:rPr>
        <w:t>percent of</w:t>
      </w:r>
      <w:r w:rsidRPr="003B2D1D">
        <w:rPr>
          <w:rFonts w:ascii="Arial" w:hAnsi="Arial" w:cs="Arial"/>
          <w:bCs/>
          <w:color w:val="000000"/>
        </w:rPr>
        <w:t xml:space="preserve"> the population.  However</w:t>
      </w:r>
      <w:r w:rsidR="00566205">
        <w:rPr>
          <w:rFonts w:ascii="Arial" w:hAnsi="Arial" w:cs="Arial"/>
          <w:bCs/>
          <w:color w:val="000000"/>
        </w:rPr>
        <w:t>,</w:t>
      </w:r>
      <w:r w:rsidRPr="003B2D1D">
        <w:rPr>
          <w:rFonts w:ascii="Arial" w:hAnsi="Arial" w:cs="Arial"/>
          <w:bCs/>
          <w:color w:val="000000"/>
        </w:rPr>
        <w:t xml:space="preserve"> it is recognised that a focus on early intervention strategies will mean services may be delivered to people who are at greater risk of developing more severe mental illness or addiction.  </w:t>
      </w:r>
    </w:p>
    <w:p w14:paraId="1AE30332" w14:textId="2EEE6ED3" w:rsidR="001969EE" w:rsidRDefault="000A2BB7" w:rsidP="001153DF">
      <w:pPr>
        <w:spacing w:before="120"/>
        <w:jc w:val="left"/>
        <w:rPr>
          <w:rFonts w:ascii="Arial" w:hAnsi="Arial" w:cs="Arial"/>
          <w:bCs/>
          <w:color w:val="000000"/>
        </w:rPr>
      </w:pPr>
      <w:r w:rsidRPr="003B2D1D">
        <w:rPr>
          <w:rFonts w:ascii="Arial" w:hAnsi="Arial" w:cs="Arial"/>
          <w:bCs/>
          <w:color w:val="000000"/>
        </w:rPr>
        <w:t>To the extent that funding for specialist mental health and addiction services does not support coverage for all target populations, it is expected that D</w:t>
      </w:r>
      <w:r w:rsidR="00F72C5F">
        <w:rPr>
          <w:rFonts w:ascii="Arial" w:hAnsi="Arial" w:cs="Arial"/>
          <w:bCs/>
          <w:color w:val="000000"/>
        </w:rPr>
        <w:t>istrict Health Boards (D</w:t>
      </w:r>
      <w:r w:rsidRPr="003B2D1D">
        <w:rPr>
          <w:rFonts w:ascii="Arial" w:hAnsi="Arial" w:cs="Arial"/>
          <w:bCs/>
          <w:color w:val="000000"/>
        </w:rPr>
        <w:t>HBs</w:t>
      </w:r>
      <w:r w:rsidR="00F72C5F">
        <w:rPr>
          <w:rFonts w:ascii="Arial" w:hAnsi="Arial" w:cs="Arial"/>
          <w:bCs/>
          <w:color w:val="000000"/>
        </w:rPr>
        <w:t>)</w:t>
      </w:r>
      <w:r w:rsidRPr="003B2D1D">
        <w:rPr>
          <w:rFonts w:ascii="Arial" w:hAnsi="Arial" w:cs="Arial"/>
          <w:bCs/>
          <w:color w:val="000000"/>
        </w:rPr>
        <w:t xml:space="preserve"> will have criteria in place for prioritising the provision of services, to people with the highest level of need. </w:t>
      </w:r>
    </w:p>
    <w:p w14:paraId="11FE5861" w14:textId="77777777" w:rsidR="000A2BB7" w:rsidRPr="003B2D1D" w:rsidRDefault="000A2BB7" w:rsidP="001352C0">
      <w:pPr>
        <w:tabs>
          <w:tab w:val="left" w:pos="540"/>
        </w:tabs>
        <w:spacing w:before="240" w:after="120"/>
        <w:rPr>
          <w:rFonts w:ascii="Arial" w:hAnsi="Arial" w:cs="Arial"/>
          <w:b/>
        </w:rPr>
      </w:pPr>
      <w:r w:rsidRPr="003B2D1D">
        <w:rPr>
          <w:rFonts w:ascii="Arial" w:hAnsi="Arial" w:cs="Arial"/>
          <w:b/>
        </w:rPr>
        <w:t>2.</w:t>
      </w:r>
      <w:r w:rsidRPr="003B2D1D">
        <w:rPr>
          <w:rFonts w:ascii="Arial" w:hAnsi="Arial" w:cs="Arial"/>
          <w:b/>
        </w:rPr>
        <w:tab/>
        <w:t>Service Objectives</w:t>
      </w:r>
      <w:bookmarkEnd w:id="5"/>
    </w:p>
    <w:p w14:paraId="3B92737E" w14:textId="39D0E45E" w:rsidR="00A774FA" w:rsidRDefault="000A2BB7" w:rsidP="008B081A">
      <w:pPr>
        <w:spacing w:before="120"/>
        <w:rPr>
          <w:rFonts w:ascii="Arial" w:hAnsi="Arial" w:cs="Arial"/>
          <w:b/>
          <w:highlight w:val="lightGray"/>
        </w:rPr>
      </w:pPr>
      <w:bookmarkStart w:id="6" w:name="_Toc3079013"/>
      <w:bookmarkStart w:id="7" w:name="_Toc215318895"/>
      <w:r w:rsidRPr="003B2D1D">
        <w:rPr>
          <w:rFonts w:ascii="Arial" w:hAnsi="Arial" w:cs="Arial"/>
        </w:rPr>
        <w:t>These following objectives have been developed in collaboration with, and should apply to all specialist mental health and addiction services:</w:t>
      </w:r>
    </w:p>
    <w:p w14:paraId="1CAA9163" w14:textId="77777777" w:rsidR="000A2BB7" w:rsidRPr="003B2D1D" w:rsidRDefault="000A2BB7" w:rsidP="006434BA">
      <w:pPr>
        <w:numPr>
          <w:ilvl w:val="1"/>
          <w:numId w:val="5"/>
        </w:numPr>
        <w:tabs>
          <w:tab w:val="clear" w:pos="360"/>
          <w:tab w:val="left" w:pos="567"/>
        </w:tabs>
        <w:spacing w:before="120"/>
        <w:ind w:left="902" w:hanging="902"/>
        <w:jc w:val="left"/>
        <w:rPr>
          <w:rFonts w:ascii="Arial" w:hAnsi="Arial" w:cs="Arial"/>
          <w:b/>
        </w:rPr>
      </w:pPr>
      <w:r w:rsidRPr="003B2D1D">
        <w:rPr>
          <w:rFonts w:ascii="Arial" w:hAnsi="Arial" w:cs="Arial"/>
          <w:b/>
        </w:rPr>
        <w:t>Services will be responsive</w:t>
      </w:r>
    </w:p>
    <w:p w14:paraId="56984414" w14:textId="77777777" w:rsidR="000A2BB7" w:rsidRPr="003B2D1D" w:rsidRDefault="000A2BB7" w:rsidP="001153DF">
      <w:pPr>
        <w:autoSpaceDE w:val="0"/>
        <w:autoSpaceDN w:val="0"/>
        <w:adjustRightInd w:val="0"/>
        <w:spacing w:before="120"/>
        <w:jc w:val="left"/>
        <w:rPr>
          <w:rFonts w:ascii="Arial" w:hAnsi="Arial" w:cs="Arial"/>
        </w:rPr>
      </w:pPr>
      <w:r w:rsidRPr="003B2D1D">
        <w:rPr>
          <w:rFonts w:ascii="Arial" w:hAnsi="Arial" w:cs="Arial"/>
        </w:rPr>
        <w:t xml:space="preserve">Responsive services adapt to meet the unique needs of specific population groups and individuals.  This is achieved through being flexible around service delivery settings in both urban and rural areas and adaptable to the </w:t>
      </w:r>
      <w:r w:rsidR="00EC3E93">
        <w:rPr>
          <w:rFonts w:ascii="Arial" w:hAnsi="Arial" w:cs="Arial"/>
        </w:rPr>
        <w:t>Service User</w:t>
      </w:r>
      <w:r w:rsidR="005B1229">
        <w:rPr>
          <w:rFonts w:ascii="Arial" w:hAnsi="Arial" w:cs="Arial"/>
        </w:rPr>
        <w:t>s</w:t>
      </w:r>
      <w:r w:rsidRPr="003B2D1D">
        <w:rPr>
          <w:rFonts w:ascii="Arial" w:hAnsi="Arial" w:cs="Arial"/>
        </w:rPr>
        <w:t xml:space="preserve">’ individual circumstances and </w:t>
      </w:r>
      <w:r w:rsidRPr="003B2D1D">
        <w:rPr>
          <w:rFonts w:ascii="Arial" w:hAnsi="Arial" w:cs="Arial"/>
        </w:rPr>
        <w:lastRenderedPageBreak/>
        <w:t xml:space="preserve">needs, including cultural and spiritual needs.  </w:t>
      </w:r>
      <w:r w:rsidRPr="003B2D1D">
        <w:rPr>
          <w:rFonts w:ascii="Arial" w:hAnsi="Arial" w:cs="Arial"/>
          <w:bCs/>
          <w:iCs/>
          <w:lang w:val="en-US"/>
        </w:rPr>
        <w:t>Services should be age and gender appropriate.</w:t>
      </w:r>
    </w:p>
    <w:p w14:paraId="2A788730" w14:textId="77777777" w:rsidR="000A2BB7" w:rsidRPr="003B2D1D" w:rsidRDefault="000A2BB7" w:rsidP="001352C0">
      <w:pPr>
        <w:spacing w:before="120"/>
        <w:jc w:val="left"/>
        <w:rPr>
          <w:rFonts w:ascii="Arial" w:hAnsi="Arial" w:cs="Arial"/>
        </w:rPr>
      </w:pPr>
      <w:r w:rsidRPr="003B2D1D">
        <w:rPr>
          <w:rFonts w:ascii="Arial" w:hAnsi="Arial" w:cs="Arial"/>
        </w:rPr>
        <w:t>Responsive services focus on recovery, reflect relevant cultural models of health and take into account the clinical and cultural needs of people affected by mental illness and addiction.  Services working together will also ensure adequate referrals between mainstream services and those developed to meet the unique needs of specific population groups.</w:t>
      </w:r>
    </w:p>
    <w:p w14:paraId="6CE700B2" w14:textId="77777777" w:rsidR="000A2BB7" w:rsidRPr="003B2D1D" w:rsidRDefault="000A2BB7" w:rsidP="001352C0">
      <w:pPr>
        <w:spacing w:before="120"/>
        <w:jc w:val="left"/>
        <w:rPr>
          <w:rFonts w:ascii="Arial" w:hAnsi="Arial" w:cs="Arial"/>
        </w:rPr>
      </w:pPr>
      <w:r w:rsidRPr="003B2D1D">
        <w:rPr>
          <w:rFonts w:ascii="Arial" w:hAnsi="Arial" w:cs="Arial"/>
        </w:rPr>
        <w:t>Service delivery should be flexible and responsive to the local situation, national direction and future innovation and evidence.</w:t>
      </w:r>
    </w:p>
    <w:p w14:paraId="751298B5" w14:textId="77777777" w:rsidR="000A2BB7" w:rsidRPr="003B2D1D" w:rsidRDefault="000A2BB7" w:rsidP="001352C0">
      <w:pPr>
        <w:spacing w:before="120"/>
        <w:jc w:val="left"/>
        <w:rPr>
          <w:rFonts w:ascii="Arial" w:hAnsi="Arial" w:cs="Arial"/>
        </w:rPr>
      </w:pPr>
      <w:r w:rsidRPr="003B2D1D">
        <w:rPr>
          <w:rFonts w:ascii="Arial" w:hAnsi="Arial" w:cs="Arial"/>
        </w:rPr>
        <w:t xml:space="preserve">Where services have smoke-free policies, </w:t>
      </w:r>
      <w:r w:rsidR="00EC3E93">
        <w:rPr>
          <w:rFonts w:ascii="Arial" w:hAnsi="Arial" w:cs="Arial"/>
        </w:rPr>
        <w:t>Service User</w:t>
      </w:r>
      <w:r w:rsidR="005B1229">
        <w:rPr>
          <w:rFonts w:ascii="Arial" w:hAnsi="Arial" w:cs="Arial"/>
        </w:rPr>
        <w:t>s</w:t>
      </w:r>
      <w:r w:rsidRPr="003B2D1D">
        <w:rPr>
          <w:rFonts w:ascii="Arial" w:hAnsi="Arial" w:cs="Arial"/>
        </w:rPr>
        <w:t xml:space="preserve"> should be routinely offered advice on how to quit smoking and should have access to appropriate cessation supports, including nicotine replacement therapy (NRT) products. </w:t>
      </w:r>
    </w:p>
    <w:p w14:paraId="65795542" w14:textId="77777777" w:rsidR="000A2BB7" w:rsidRPr="003B2D1D" w:rsidRDefault="002A5CDB" w:rsidP="001352C0">
      <w:pPr>
        <w:numPr>
          <w:ilvl w:val="1"/>
          <w:numId w:val="5"/>
        </w:numPr>
        <w:tabs>
          <w:tab w:val="clear" w:pos="360"/>
          <w:tab w:val="left" w:pos="567"/>
        </w:tabs>
        <w:spacing w:before="120"/>
        <w:ind w:left="902" w:hanging="902"/>
        <w:jc w:val="left"/>
        <w:rPr>
          <w:rFonts w:ascii="Arial" w:hAnsi="Arial" w:cs="Arial"/>
          <w:b/>
        </w:rPr>
      </w:pPr>
      <w:bookmarkStart w:id="8" w:name="_Toc215318900"/>
      <w:r w:rsidRPr="003B2D1D">
        <w:rPr>
          <w:rFonts w:ascii="Arial" w:hAnsi="Arial" w:cs="Arial"/>
          <w:b/>
        </w:rPr>
        <w:t>M</w:t>
      </w:r>
      <w:r w:rsidR="000571FF" w:rsidRPr="003B2D1D">
        <w:rPr>
          <w:rFonts w:ascii="Arial" w:hAnsi="Arial" w:cs="Arial"/>
          <w:b/>
        </w:rPr>
        <w:t>ā</w:t>
      </w:r>
      <w:r w:rsidRPr="003B2D1D">
        <w:rPr>
          <w:rFonts w:ascii="Arial" w:hAnsi="Arial" w:cs="Arial"/>
          <w:b/>
        </w:rPr>
        <w:t>ori Health</w:t>
      </w:r>
    </w:p>
    <w:p w14:paraId="7AC8A867" w14:textId="77777777" w:rsidR="00B71716" w:rsidRDefault="000A2BB7" w:rsidP="001352C0">
      <w:pPr>
        <w:spacing w:before="120" w:after="120"/>
        <w:jc w:val="left"/>
        <w:rPr>
          <w:rFonts w:ascii="Arial" w:hAnsi="Arial" w:cs="Arial"/>
          <w:b/>
          <w:lang w:val="en-GB" w:eastAsia="en-GB"/>
        </w:rPr>
      </w:pPr>
      <w:r w:rsidRPr="003B2D1D">
        <w:rPr>
          <w:rFonts w:ascii="Arial" w:hAnsi="Arial" w:cs="Arial"/>
        </w:rPr>
        <w:t>An overarching aim of the health and disability sector is the improvement of health outcomes and reduction of health inequalities for M</w:t>
      </w:r>
      <w:r w:rsidR="00F52D61" w:rsidRPr="003B2D1D">
        <w:rPr>
          <w:rFonts w:ascii="Arial" w:hAnsi="Arial" w:cs="Arial"/>
          <w:lang w:val="en-US"/>
        </w:rPr>
        <w:t>ā</w:t>
      </w:r>
      <w:proofErr w:type="spellStart"/>
      <w:r w:rsidRPr="003B2D1D">
        <w:rPr>
          <w:rFonts w:ascii="Arial" w:hAnsi="Arial" w:cs="Arial"/>
        </w:rPr>
        <w:t>ori</w:t>
      </w:r>
      <w:proofErr w:type="spellEnd"/>
      <w:r w:rsidRPr="003B2D1D">
        <w:rPr>
          <w:rFonts w:ascii="Arial" w:hAnsi="Arial" w:cs="Arial"/>
        </w:rPr>
        <w:t>.  Health providers are expected to provide health services that will contribute to realising this aim.  This may be achieved through mechanisms that facilitate M</w:t>
      </w:r>
      <w:r w:rsidR="00F52D61" w:rsidRPr="003B2D1D">
        <w:rPr>
          <w:rFonts w:ascii="Arial" w:hAnsi="Arial" w:cs="Arial"/>
          <w:lang w:val="en-US"/>
        </w:rPr>
        <w:t>ā</w:t>
      </w:r>
      <w:proofErr w:type="spellStart"/>
      <w:r w:rsidRPr="003B2D1D">
        <w:rPr>
          <w:rFonts w:ascii="Arial" w:hAnsi="Arial" w:cs="Arial"/>
        </w:rPr>
        <w:t>ori</w:t>
      </w:r>
      <w:proofErr w:type="spellEnd"/>
      <w:r w:rsidRPr="003B2D1D">
        <w:rPr>
          <w:rFonts w:ascii="Arial" w:hAnsi="Arial" w:cs="Arial"/>
        </w:rPr>
        <w:t xml:space="preserve"> access to services, provision of appropriate pathways of care which might include, but are not limited to, matters such as referrals and discharge planning, ensuring that the services are culturally competent and that services are provided that meet the health needs of M</w:t>
      </w:r>
      <w:r w:rsidR="00F52D61" w:rsidRPr="003B2D1D">
        <w:rPr>
          <w:rFonts w:ascii="Arial" w:hAnsi="Arial" w:cs="Arial"/>
          <w:lang w:val="en-US"/>
        </w:rPr>
        <w:t>ā</w:t>
      </w:r>
      <w:proofErr w:type="spellStart"/>
      <w:r w:rsidRPr="003B2D1D">
        <w:rPr>
          <w:rFonts w:ascii="Arial" w:hAnsi="Arial" w:cs="Arial"/>
        </w:rPr>
        <w:t>ori</w:t>
      </w:r>
      <w:proofErr w:type="spellEnd"/>
      <w:r w:rsidRPr="003B2D1D">
        <w:rPr>
          <w:rFonts w:ascii="Arial" w:hAnsi="Arial" w:cs="Arial"/>
        </w:rPr>
        <w:t xml:space="preserve">.  </w:t>
      </w:r>
      <w:bookmarkEnd w:id="8"/>
      <w:r w:rsidR="00925A76">
        <w:rPr>
          <w:rFonts w:ascii="Arial" w:hAnsi="Arial" w:cs="Arial"/>
        </w:rPr>
        <w:t xml:space="preserve">Actively involve </w:t>
      </w:r>
      <w:proofErr w:type="spellStart"/>
      <w:r w:rsidR="00925A76">
        <w:rPr>
          <w:rFonts w:ascii="Arial" w:hAnsi="Arial" w:cs="Arial"/>
        </w:rPr>
        <w:t>tangata</w:t>
      </w:r>
      <w:proofErr w:type="spellEnd"/>
      <w:r w:rsidR="00925A76">
        <w:rPr>
          <w:rFonts w:ascii="Arial" w:hAnsi="Arial" w:cs="Arial"/>
        </w:rPr>
        <w:t xml:space="preserve"> whenua in planning for mental health and addiction services. </w:t>
      </w:r>
    </w:p>
    <w:p w14:paraId="7EF1790A" w14:textId="77777777" w:rsidR="002A5CDB" w:rsidRPr="003B2D1D" w:rsidRDefault="002A5CDB" w:rsidP="001352C0">
      <w:pPr>
        <w:pStyle w:val="CommentText"/>
        <w:tabs>
          <w:tab w:val="left" w:pos="900"/>
        </w:tabs>
        <w:rPr>
          <w:rFonts w:cs="Arial"/>
          <w:b/>
        </w:rPr>
      </w:pPr>
      <w:r w:rsidRPr="003B2D1D">
        <w:rPr>
          <w:rFonts w:cs="Arial"/>
          <w:b/>
        </w:rPr>
        <w:t>2.2.1</w:t>
      </w:r>
      <w:r w:rsidRPr="003B2D1D">
        <w:rPr>
          <w:rFonts w:cs="Arial"/>
          <w:b/>
        </w:rPr>
        <w:tab/>
        <w:t>Responsive to M</w:t>
      </w:r>
      <w:r w:rsidRPr="003B2D1D">
        <w:rPr>
          <w:rFonts w:cs="Arial"/>
          <w:b/>
          <w:lang w:val="en-US"/>
        </w:rPr>
        <w:t>ā</w:t>
      </w:r>
      <w:proofErr w:type="spellStart"/>
      <w:r w:rsidRPr="003B2D1D">
        <w:rPr>
          <w:rFonts w:cs="Arial"/>
          <w:b/>
        </w:rPr>
        <w:t>ori</w:t>
      </w:r>
      <w:proofErr w:type="spellEnd"/>
      <w:r w:rsidRPr="003B2D1D">
        <w:rPr>
          <w:rFonts w:cs="Arial"/>
          <w:b/>
        </w:rPr>
        <w:t xml:space="preserve"> </w:t>
      </w:r>
    </w:p>
    <w:p w14:paraId="10BD7E21" w14:textId="1445B3F0" w:rsidR="003D5769" w:rsidRPr="003D5769" w:rsidRDefault="000A2BB7" w:rsidP="001352C0">
      <w:pPr>
        <w:pStyle w:val="CommentText"/>
        <w:spacing w:before="120"/>
        <w:rPr>
          <w:rFonts w:cs="Arial"/>
          <w:iCs/>
          <w:lang w:val="en-NZ"/>
        </w:rPr>
      </w:pPr>
      <w:r w:rsidRPr="003B2D1D">
        <w:rPr>
          <w:rFonts w:cs="Arial"/>
        </w:rPr>
        <w:t xml:space="preserve">The overall aim of </w:t>
      </w:r>
      <w:proofErr w:type="spellStart"/>
      <w:r w:rsidRPr="003B2D1D">
        <w:rPr>
          <w:rFonts w:cs="Arial"/>
          <w:i/>
        </w:rPr>
        <w:t>Te</w:t>
      </w:r>
      <w:proofErr w:type="spellEnd"/>
      <w:r w:rsidRPr="003B2D1D">
        <w:rPr>
          <w:rFonts w:cs="Arial"/>
          <w:i/>
        </w:rPr>
        <w:t xml:space="preserve"> </w:t>
      </w:r>
      <w:proofErr w:type="spellStart"/>
      <w:r w:rsidRPr="003B2D1D">
        <w:rPr>
          <w:rFonts w:cs="Arial"/>
          <w:i/>
        </w:rPr>
        <w:t>Puāwaiwhero</w:t>
      </w:r>
      <w:proofErr w:type="spellEnd"/>
      <w:r w:rsidRPr="003B2D1D">
        <w:rPr>
          <w:rFonts w:cs="Arial"/>
        </w:rPr>
        <w:t xml:space="preserve">, is </w:t>
      </w:r>
      <w:proofErr w:type="spellStart"/>
      <w:r w:rsidRPr="003B2D1D">
        <w:rPr>
          <w:rFonts w:cs="Arial"/>
          <w:iCs/>
        </w:rPr>
        <w:t>whānau</w:t>
      </w:r>
      <w:proofErr w:type="spellEnd"/>
      <w:r w:rsidRPr="003B2D1D">
        <w:rPr>
          <w:rFonts w:cs="Arial"/>
          <w:iCs/>
        </w:rPr>
        <w:t xml:space="preserve"> </w:t>
      </w:r>
      <w:proofErr w:type="spellStart"/>
      <w:r w:rsidRPr="003B2D1D">
        <w:rPr>
          <w:rFonts w:cs="Arial"/>
          <w:iCs/>
        </w:rPr>
        <w:t>ora</w:t>
      </w:r>
      <w:proofErr w:type="spellEnd"/>
      <w:r w:rsidRPr="003B2D1D">
        <w:rPr>
          <w:rFonts w:cs="Arial"/>
          <w:iCs/>
        </w:rPr>
        <w:t xml:space="preserve">, </w:t>
      </w:r>
      <w:r w:rsidR="00994889">
        <w:rPr>
          <w:rFonts w:cs="Arial"/>
          <w:iCs/>
        </w:rPr>
        <w:t>that</w:t>
      </w:r>
      <w:r w:rsidRPr="003B2D1D">
        <w:rPr>
          <w:rFonts w:cs="Arial"/>
          <w:iCs/>
        </w:rPr>
        <w:t xml:space="preserve"> is Māori families achieving their maximum health and wellbeing</w:t>
      </w:r>
      <w:r w:rsidR="00C47047" w:rsidRPr="003B2D1D">
        <w:rPr>
          <w:rFonts w:cs="Arial"/>
          <w:iCs/>
        </w:rPr>
        <w:t>.</w:t>
      </w:r>
      <w:r w:rsidR="003D5769" w:rsidRPr="003D5769">
        <w:rPr>
          <w:rFonts w:cs="Arial"/>
        </w:rPr>
        <w:t xml:space="preserve"> </w:t>
      </w:r>
      <w:proofErr w:type="spellStart"/>
      <w:r w:rsidR="003D5769" w:rsidRPr="003D5769">
        <w:rPr>
          <w:rFonts w:cs="Arial"/>
          <w:iCs/>
          <w:lang w:val="en-NZ"/>
        </w:rPr>
        <w:t>Kaupapa</w:t>
      </w:r>
      <w:proofErr w:type="spellEnd"/>
      <w:r w:rsidR="003D5769" w:rsidRPr="003D5769">
        <w:rPr>
          <w:rFonts w:cs="Arial"/>
          <w:iCs/>
          <w:lang w:val="en-NZ"/>
        </w:rPr>
        <w:t xml:space="preserve"> Māori services working together with Whānau Ora providers will support positive outcomes for those using infant and child services.</w:t>
      </w:r>
    </w:p>
    <w:p w14:paraId="509C7774" w14:textId="77777777" w:rsidR="000A2BB7" w:rsidRPr="003B2D1D" w:rsidRDefault="000A2BB7" w:rsidP="001352C0">
      <w:pPr>
        <w:pStyle w:val="CommentText"/>
        <w:spacing w:before="120"/>
        <w:rPr>
          <w:rFonts w:cs="Arial"/>
          <w:b/>
        </w:rPr>
      </w:pPr>
      <w:r w:rsidRPr="003B2D1D">
        <w:rPr>
          <w:rFonts w:cs="Arial"/>
          <w:b/>
        </w:rPr>
        <w:t>2.</w:t>
      </w:r>
      <w:r w:rsidR="002A5CDB" w:rsidRPr="003B2D1D">
        <w:rPr>
          <w:rFonts w:cs="Arial"/>
          <w:b/>
        </w:rPr>
        <w:t>3</w:t>
      </w:r>
      <w:r w:rsidRPr="003B2D1D">
        <w:rPr>
          <w:rFonts w:cs="Arial"/>
          <w:b/>
        </w:rPr>
        <w:tab/>
        <w:t xml:space="preserve">Responsive to </w:t>
      </w:r>
      <w:r w:rsidR="000571FF" w:rsidRPr="003B2D1D">
        <w:rPr>
          <w:rFonts w:cs="Arial"/>
          <w:b/>
        </w:rPr>
        <w:t>F</w:t>
      </w:r>
      <w:r w:rsidRPr="003B2D1D">
        <w:rPr>
          <w:rFonts w:cs="Arial"/>
          <w:b/>
        </w:rPr>
        <w:t xml:space="preserve">amily and </w:t>
      </w:r>
      <w:r w:rsidR="000571FF" w:rsidRPr="003B2D1D">
        <w:rPr>
          <w:rFonts w:cs="Arial"/>
          <w:b/>
        </w:rPr>
        <w:t>W</w:t>
      </w:r>
      <w:r w:rsidRPr="003B2D1D">
        <w:rPr>
          <w:rFonts w:cs="Arial"/>
          <w:b/>
        </w:rPr>
        <w:t>hānau</w:t>
      </w:r>
    </w:p>
    <w:p w14:paraId="1D9F7136" w14:textId="4707D4B9" w:rsidR="000A2BB7" w:rsidRPr="003B2D1D" w:rsidRDefault="00B71716" w:rsidP="001352C0">
      <w:pPr>
        <w:spacing w:before="120"/>
        <w:jc w:val="left"/>
        <w:rPr>
          <w:rFonts w:ascii="Arial" w:hAnsi="Arial" w:cs="Arial"/>
        </w:rPr>
      </w:pPr>
      <w:r w:rsidRPr="00B71716">
        <w:rPr>
          <w:rFonts w:ascii="Arial" w:hAnsi="Arial" w:cs="Arial"/>
        </w:rPr>
        <w:t>Family and whānau are critical to successful recovery.</w:t>
      </w:r>
      <w:r>
        <w:rPr>
          <w:rFonts w:ascii="Arial" w:hAnsi="Arial" w:cs="Arial"/>
        </w:rPr>
        <w:t xml:space="preserve"> </w:t>
      </w:r>
      <w:r w:rsidR="008B081A">
        <w:rPr>
          <w:rFonts w:ascii="Arial" w:hAnsi="Arial" w:cs="Arial"/>
        </w:rPr>
        <w:t xml:space="preserve"> </w:t>
      </w:r>
      <w:r w:rsidR="000A2BB7" w:rsidRPr="003B2D1D">
        <w:rPr>
          <w:rFonts w:ascii="Arial" w:hAnsi="Arial" w:cs="Arial"/>
        </w:rPr>
        <w:t xml:space="preserve">Services will acknowledge the particular role the </w:t>
      </w:r>
      <w:r w:rsidR="00EC3E93">
        <w:rPr>
          <w:rFonts w:ascii="Arial" w:hAnsi="Arial" w:cs="Arial"/>
        </w:rPr>
        <w:t>Service User</w:t>
      </w:r>
      <w:r w:rsidR="000A2BB7" w:rsidRPr="003B2D1D">
        <w:rPr>
          <w:rFonts w:ascii="Arial" w:hAnsi="Arial" w:cs="Arial"/>
        </w:rPr>
        <w:t xml:space="preserve"> plays in their family and whānau.  This may include their role as parents or carers.  For most </w:t>
      </w:r>
      <w:r w:rsidR="00EC3E93">
        <w:rPr>
          <w:rFonts w:ascii="Arial" w:hAnsi="Arial" w:cs="Arial"/>
        </w:rPr>
        <w:t>Service User</w:t>
      </w:r>
      <w:r w:rsidR="005B1229">
        <w:rPr>
          <w:rFonts w:ascii="Arial" w:hAnsi="Arial" w:cs="Arial"/>
        </w:rPr>
        <w:t>s</w:t>
      </w:r>
      <w:r w:rsidR="000A2BB7" w:rsidRPr="003B2D1D">
        <w:rPr>
          <w:rFonts w:ascii="Arial" w:hAnsi="Arial" w:cs="Arial"/>
        </w:rPr>
        <w:t>, family and whānau plays a key role in the road to recovery.  There are significant clinical, social and economic advantages to providing mental health and addiction services in a family inclusive way.  Services need to listen to family and whānau and respond to their specific needs, including providing education on recovery and referral of family and whānau to appropriate support services.</w:t>
      </w:r>
      <w:r>
        <w:rPr>
          <w:rFonts w:ascii="Arial" w:hAnsi="Arial" w:cs="Arial"/>
        </w:rPr>
        <w:t xml:space="preserve"> </w:t>
      </w:r>
    </w:p>
    <w:p w14:paraId="08C6F6D1" w14:textId="77777777" w:rsidR="000A2BB7" w:rsidRPr="003B2D1D" w:rsidRDefault="000A2BB7" w:rsidP="001352C0">
      <w:pPr>
        <w:tabs>
          <w:tab w:val="left" w:pos="900"/>
        </w:tabs>
        <w:spacing w:before="120" w:after="60"/>
        <w:rPr>
          <w:rFonts w:ascii="Arial" w:hAnsi="Arial" w:cs="Arial"/>
          <w:b/>
        </w:rPr>
      </w:pPr>
      <w:r w:rsidRPr="003B2D1D">
        <w:rPr>
          <w:rFonts w:ascii="Arial" w:hAnsi="Arial" w:cs="Arial"/>
          <w:b/>
        </w:rPr>
        <w:t>2.4</w:t>
      </w:r>
      <w:r w:rsidRPr="003B2D1D">
        <w:rPr>
          <w:rFonts w:ascii="Arial" w:hAnsi="Arial" w:cs="Arial"/>
          <w:b/>
        </w:rPr>
        <w:tab/>
        <w:t xml:space="preserve">Recovery </w:t>
      </w:r>
      <w:r w:rsidR="000571FF" w:rsidRPr="003B2D1D">
        <w:rPr>
          <w:rFonts w:ascii="Arial" w:hAnsi="Arial" w:cs="Arial"/>
          <w:b/>
        </w:rPr>
        <w:t>F</w:t>
      </w:r>
      <w:r w:rsidRPr="003B2D1D">
        <w:rPr>
          <w:rFonts w:ascii="Arial" w:hAnsi="Arial" w:cs="Arial"/>
          <w:b/>
        </w:rPr>
        <w:t>ocused</w:t>
      </w:r>
    </w:p>
    <w:p w14:paraId="53F76D5E" w14:textId="77777777" w:rsidR="000A2BB7" w:rsidRPr="003B2D1D" w:rsidRDefault="000A2BB7" w:rsidP="001352C0">
      <w:pPr>
        <w:jc w:val="left"/>
        <w:rPr>
          <w:rFonts w:ascii="Arial" w:hAnsi="Arial" w:cs="Arial"/>
        </w:rPr>
      </w:pPr>
      <w:r w:rsidRPr="003B2D1D">
        <w:rPr>
          <w:rFonts w:ascii="Arial" w:hAnsi="Arial" w:cs="Arial"/>
        </w:rPr>
        <w:t xml:space="preserve">Recovery is defined as the </w:t>
      </w:r>
      <w:r w:rsidR="00CD6DAE">
        <w:rPr>
          <w:rFonts w:ascii="Arial" w:hAnsi="Arial" w:cs="Arial"/>
        </w:rPr>
        <w:t>process of change through which people improve their health and wellness, live a self-directed life and strive to reach their full potential.</w:t>
      </w:r>
      <w:r w:rsidRPr="003B2D1D">
        <w:rPr>
          <w:rFonts w:ascii="Arial" w:hAnsi="Arial" w:cs="Arial"/>
        </w:rPr>
        <w:t xml:space="preserve">  Recovery is different for everyone; therefore there should be a range of service models and flexibility of services.  For those with addiction problems, recovery </w:t>
      </w:r>
      <w:r w:rsidRPr="003B2D1D">
        <w:rPr>
          <w:rFonts w:ascii="Arial" w:hAnsi="Arial" w:cs="Arial"/>
          <w:color w:val="000000"/>
          <w:lang w:val="en-US"/>
        </w:rPr>
        <w:t xml:space="preserve">is a process whereby </w:t>
      </w:r>
      <w:r w:rsidR="00EC3E93">
        <w:rPr>
          <w:rFonts w:ascii="Arial" w:hAnsi="Arial" w:cs="Arial"/>
          <w:color w:val="000000"/>
          <w:lang w:val="en-US"/>
        </w:rPr>
        <w:t>Service User</w:t>
      </w:r>
      <w:r w:rsidR="005B1229">
        <w:rPr>
          <w:rFonts w:ascii="Arial" w:hAnsi="Arial" w:cs="Arial"/>
          <w:color w:val="000000"/>
          <w:lang w:val="en-US"/>
        </w:rPr>
        <w:t>s</w:t>
      </w:r>
      <w:r w:rsidRPr="003B2D1D">
        <w:rPr>
          <w:rFonts w:ascii="Arial" w:hAnsi="Arial" w:cs="Arial"/>
          <w:color w:val="000000"/>
          <w:lang w:val="en-US"/>
        </w:rPr>
        <w:t xml:space="preserve"> are assisted to </w:t>
      </w:r>
      <w:proofErr w:type="spellStart"/>
      <w:r w:rsidRPr="003B2D1D">
        <w:rPr>
          <w:rFonts w:ascii="Arial" w:hAnsi="Arial" w:cs="Arial"/>
          <w:color w:val="000000"/>
          <w:lang w:val="en-US"/>
        </w:rPr>
        <w:t>minimise</w:t>
      </w:r>
      <w:proofErr w:type="spellEnd"/>
      <w:r w:rsidRPr="003B2D1D">
        <w:rPr>
          <w:rFonts w:ascii="Arial" w:hAnsi="Arial" w:cs="Arial"/>
          <w:color w:val="000000"/>
          <w:lang w:val="en-US"/>
        </w:rPr>
        <w:t xml:space="preserve"> harms and to </w:t>
      </w:r>
      <w:proofErr w:type="spellStart"/>
      <w:r w:rsidRPr="003B2D1D">
        <w:rPr>
          <w:rFonts w:ascii="Arial" w:hAnsi="Arial" w:cs="Arial"/>
          <w:color w:val="000000"/>
          <w:lang w:val="en-US"/>
        </w:rPr>
        <w:t>maximise</w:t>
      </w:r>
      <w:proofErr w:type="spellEnd"/>
      <w:r w:rsidRPr="003B2D1D">
        <w:rPr>
          <w:rFonts w:ascii="Arial" w:hAnsi="Arial" w:cs="Arial"/>
          <w:color w:val="000000"/>
          <w:lang w:val="en-US"/>
        </w:rPr>
        <w:t xml:space="preserve"> wellbeing.  Recovery may or may not involve abstinence. </w:t>
      </w:r>
      <w:r w:rsidRPr="003B2D1D">
        <w:rPr>
          <w:rFonts w:ascii="Arial" w:hAnsi="Arial" w:cs="Arial"/>
        </w:rPr>
        <w:t xml:space="preserve"> </w:t>
      </w:r>
    </w:p>
    <w:p w14:paraId="562B86E3" w14:textId="77777777" w:rsidR="000A2BB7" w:rsidRPr="003B2D1D" w:rsidRDefault="000A2BB7" w:rsidP="001352C0">
      <w:pPr>
        <w:numPr>
          <w:ilvl w:val="1"/>
          <w:numId w:val="10"/>
        </w:numPr>
        <w:tabs>
          <w:tab w:val="clear" w:pos="360"/>
          <w:tab w:val="num" w:pos="900"/>
        </w:tabs>
        <w:spacing w:before="120" w:after="60"/>
        <w:ind w:left="902" w:hanging="902"/>
        <w:rPr>
          <w:rStyle w:val="id1272"/>
          <w:rFonts w:ascii="Arial" w:hAnsi="Arial" w:cs="Arial"/>
          <w:b/>
        </w:rPr>
      </w:pPr>
      <w:r w:rsidRPr="003B2D1D">
        <w:rPr>
          <w:rFonts w:ascii="Arial" w:hAnsi="Arial" w:cs="Arial"/>
          <w:b/>
        </w:rPr>
        <w:t>Foster</w:t>
      </w:r>
      <w:r w:rsidRPr="003B2D1D">
        <w:rPr>
          <w:rStyle w:val="id1272"/>
          <w:rFonts w:ascii="Arial" w:hAnsi="Arial" w:cs="Arial"/>
          <w:b/>
        </w:rPr>
        <w:t xml:space="preserve"> </w:t>
      </w:r>
      <w:r w:rsidR="000571FF" w:rsidRPr="003B2D1D">
        <w:rPr>
          <w:rStyle w:val="id1272"/>
          <w:rFonts w:ascii="Arial" w:hAnsi="Arial" w:cs="Arial"/>
          <w:b/>
        </w:rPr>
        <w:t>R</w:t>
      </w:r>
      <w:r w:rsidRPr="003B2D1D">
        <w:rPr>
          <w:rStyle w:val="id1272"/>
          <w:rFonts w:ascii="Arial" w:hAnsi="Arial" w:cs="Arial"/>
          <w:b/>
        </w:rPr>
        <w:t>esilience</w:t>
      </w:r>
    </w:p>
    <w:p w14:paraId="5EE2A734" w14:textId="77777777" w:rsidR="000A2BB7" w:rsidRPr="003B2D1D" w:rsidRDefault="000A2BB7" w:rsidP="001352C0">
      <w:pPr>
        <w:jc w:val="left"/>
        <w:rPr>
          <w:rStyle w:val="id1272"/>
          <w:rFonts w:ascii="Arial" w:hAnsi="Arial" w:cs="Arial"/>
        </w:rPr>
      </w:pPr>
      <w:r w:rsidRPr="003B2D1D">
        <w:rPr>
          <w:rStyle w:val="id1272"/>
          <w:rFonts w:ascii="Arial" w:hAnsi="Arial" w:cs="Arial"/>
        </w:rPr>
        <w:t xml:space="preserve">Resilience can be encouraged through a continuous process where individual and family whānau capacities are recognised along with protective factors in the community.  Building upon and fostering these factors can help people counter life challenges such as mental </w:t>
      </w:r>
      <w:r w:rsidRPr="003B2D1D">
        <w:rPr>
          <w:rStyle w:val="id1272"/>
          <w:rFonts w:ascii="Arial" w:hAnsi="Arial" w:cs="Arial"/>
        </w:rPr>
        <w:lastRenderedPageBreak/>
        <w:t>illness and/or an addiction.  Strength-based approaches help to promote engagement and build resilience.</w:t>
      </w:r>
    </w:p>
    <w:p w14:paraId="38354F95" w14:textId="77777777" w:rsidR="000A2BB7" w:rsidRPr="003B2D1D" w:rsidRDefault="000A2BB7" w:rsidP="001352C0">
      <w:pPr>
        <w:tabs>
          <w:tab w:val="left" w:pos="900"/>
        </w:tabs>
        <w:spacing w:before="120" w:after="60"/>
        <w:jc w:val="left"/>
        <w:rPr>
          <w:rFonts w:ascii="Arial" w:hAnsi="Arial" w:cs="Arial"/>
          <w:b/>
        </w:rPr>
      </w:pPr>
      <w:r w:rsidRPr="003B2D1D">
        <w:rPr>
          <w:rFonts w:ascii="Arial" w:hAnsi="Arial" w:cs="Arial"/>
          <w:b/>
        </w:rPr>
        <w:t>2.6</w:t>
      </w:r>
      <w:r w:rsidRPr="003B2D1D">
        <w:rPr>
          <w:rFonts w:ascii="Arial" w:hAnsi="Arial" w:cs="Arial"/>
          <w:b/>
        </w:rPr>
        <w:tab/>
        <w:t xml:space="preserve">Encourage </w:t>
      </w:r>
      <w:r w:rsidR="000571FF" w:rsidRPr="003B2D1D">
        <w:rPr>
          <w:rFonts w:ascii="Arial" w:hAnsi="Arial" w:cs="Arial"/>
          <w:b/>
        </w:rPr>
        <w:t>N</w:t>
      </w:r>
      <w:r w:rsidRPr="003B2D1D">
        <w:rPr>
          <w:rFonts w:ascii="Arial" w:hAnsi="Arial" w:cs="Arial"/>
          <w:b/>
        </w:rPr>
        <w:t xml:space="preserve">atural </w:t>
      </w:r>
      <w:r w:rsidR="000571FF" w:rsidRPr="003B2D1D">
        <w:rPr>
          <w:rFonts w:ascii="Arial" w:hAnsi="Arial" w:cs="Arial"/>
          <w:b/>
        </w:rPr>
        <w:t>S</w:t>
      </w:r>
      <w:r w:rsidRPr="003B2D1D">
        <w:rPr>
          <w:rFonts w:ascii="Arial" w:hAnsi="Arial" w:cs="Arial"/>
          <w:b/>
        </w:rPr>
        <w:t>upports</w:t>
      </w:r>
    </w:p>
    <w:p w14:paraId="703ACADD" w14:textId="77777777" w:rsidR="000A2BB7" w:rsidRPr="003B2D1D" w:rsidRDefault="000A2BB7" w:rsidP="001352C0">
      <w:pPr>
        <w:jc w:val="left"/>
        <w:rPr>
          <w:rFonts w:ascii="Arial" w:hAnsi="Arial" w:cs="Arial"/>
        </w:rPr>
      </w:pPr>
      <w:r w:rsidRPr="003B2D1D">
        <w:rPr>
          <w:rFonts w:ascii="Arial" w:hAnsi="Arial" w:cs="Arial"/>
        </w:rPr>
        <w:t xml:space="preserve">Supports may include family whānau, partners, friends, neighbours, colleagues or those from an identified group.  Mental health and addiction workers will foster relationships with natural supports, as defined and chosen by the </w:t>
      </w:r>
      <w:r w:rsidR="00EC3E93">
        <w:rPr>
          <w:rFonts w:ascii="Arial" w:hAnsi="Arial" w:cs="Arial"/>
        </w:rPr>
        <w:t>Service User</w:t>
      </w:r>
      <w:r w:rsidRPr="003B2D1D">
        <w:rPr>
          <w:rFonts w:ascii="Arial" w:hAnsi="Arial" w:cs="Arial"/>
        </w:rPr>
        <w:t xml:space="preserve">, as supports play an important role in building resilience and recovery.  </w:t>
      </w:r>
    </w:p>
    <w:p w14:paraId="1A8561EB" w14:textId="77777777" w:rsidR="000A2BB7" w:rsidRPr="003B2D1D" w:rsidRDefault="000A2BB7" w:rsidP="001352C0">
      <w:pPr>
        <w:tabs>
          <w:tab w:val="left" w:pos="900"/>
        </w:tabs>
        <w:spacing w:before="120" w:after="60"/>
        <w:jc w:val="left"/>
        <w:rPr>
          <w:rStyle w:val="id1272"/>
          <w:rFonts w:ascii="Arial" w:hAnsi="Arial" w:cs="Arial"/>
          <w:b/>
        </w:rPr>
      </w:pPr>
      <w:r w:rsidRPr="003B2D1D">
        <w:rPr>
          <w:rStyle w:val="id1272"/>
          <w:rFonts w:ascii="Arial" w:hAnsi="Arial" w:cs="Arial"/>
          <w:b/>
        </w:rPr>
        <w:t>2.7</w:t>
      </w:r>
      <w:r w:rsidRPr="003B2D1D">
        <w:rPr>
          <w:rStyle w:val="id1272"/>
          <w:rFonts w:ascii="Arial" w:hAnsi="Arial" w:cs="Arial"/>
          <w:b/>
        </w:rPr>
        <w:tab/>
      </w:r>
      <w:r w:rsidRPr="003B2D1D">
        <w:rPr>
          <w:rFonts w:ascii="Arial" w:hAnsi="Arial" w:cs="Arial"/>
          <w:b/>
        </w:rPr>
        <w:t xml:space="preserve">Promote </w:t>
      </w:r>
      <w:r w:rsidR="000571FF" w:rsidRPr="003B2D1D">
        <w:rPr>
          <w:rFonts w:ascii="Arial" w:hAnsi="Arial" w:cs="Arial"/>
          <w:b/>
        </w:rPr>
        <w:t>I</w:t>
      </w:r>
      <w:r w:rsidRPr="003B2D1D">
        <w:rPr>
          <w:rStyle w:val="id1272"/>
          <w:rFonts w:ascii="Arial" w:hAnsi="Arial" w:cs="Arial"/>
          <w:b/>
        </w:rPr>
        <w:t>ndependence</w:t>
      </w:r>
    </w:p>
    <w:p w14:paraId="0A0A41ED" w14:textId="77777777" w:rsidR="000A2BB7" w:rsidRPr="003B2D1D" w:rsidRDefault="000A2BB7" w:rsidP="001352C0">
      <w:pPr>
        <w:jc w:val="left"/>
        <w:rPr>
          <w:rFonts w:ascii="Arial" w:hAnsi="Arial" w:cs="Arial"/>
        </w:rPr>
      </w:pPr>
      <w:r w:rsidRPr="003B2D1D">
        <w:rPr>
          <w:rFonts w:ascii="Arial" w:hAnsi="Arial" w:cs="Arial"/>
          <w:lang w:val="en"/>
        </w:rPr>
        <w:t>Services should support individuals to live as independently as possible within the context of their treatment and support needs, and in an environment that is consistent with these goals.</w:t>
      </w:r>
    </w:p>
    <w:p w14:paraId="468FD480" w14:textId="77777777" w:rsidR="000A2BB7" w:rsidRPr="003B2D1D" w:rsidRDefault="000A2BB7" w:rsidP="001352C0">
      <w:pPr>
        <w:pStyle w:val="xpara"/>
        <w:tabs>
          <w:tab w:val="left" w:pos="900"/>
        </w:tabs>
        <w:spacing w:before="120" w:after="60" w:line="240" w:lineRule="auto"/>
        <w:ind w:firstLine="0"/>
        <w:rPr>
          <w:rFonts w:ascii="Arial" w:hAnsi="Arial" w:cs="Arial"/>
          <w:b/>
          <w:szCs w:val="24"/>
        </w:rPr>
      </w:pPr>
      <w:r w:rsidRPr="003B2D1D">
        <w:rPr>
          <w:rFonts w:ascii="Arial" w:hAnsi="Arial" w:cs="Arial"/>
          <w:b/>
          <w:szCs w:val="24"/>
        </w:rPr>
        <w:t>2.8</w:t>
      </w:r>
      <w:r w:rsidRPr="003B2D1D">
        <w:rPr>
          <w:rFonts w:ascii="Arial" w:hAnsi="Arial" w:cs="Arial"/>
          <w:b/>
          <w:szCs w:val="24"/>
        </w:rPr>
        <w:tab/>
        <w:t xml:space="preserve">Support </w:t>
      </w:r>
      <w:r w:rsidR="00EC3E93">
        <w:rPr>
          <w:rFonts w:ascii="Arial" w:hAnsi="Arial" w:cs="Arial"/>
          <w:b/>
          <w:szCs w:val="24"/>
        </w:rPr>
        <w:t>Service User</w:t>
      </w:r>
      <w:r w:rsidR="005B1229">
        <w:rPr>
          <w:rFonts w:ascii="Arial" w:hAnsi="Arial" w:cs="Arial"/>
          <w:b/>
          <w:szCs w:val="24"/>
        </w:rPr>
        <w:t>s</w:t>
      </w:r>
      <w:r w:rsidRPr="003B2D1D">
        <w:rPr>
          <w:rFonts w:ascii="Arial" w:hAnsi="Arial" w:cs="Arial"/>
          <w:b/>
          <w:szCs w:val="24"/>
        </w:rPr>
        <w:t xml:space="preserve"> to </w:t>
      </w:r>
      <w:r w:rsidR="000571FF" w:rsidRPr="003B2D1D">
        <w:rPr>
          <w:rFonts w:ascii="Arial" w:hAnsi="Arial" w:cs="Arial"/>
          <w:b/>
          <w:szCs w:val="24"/>
        </w:rPr>
        <w:t>M</w:t>
      </w:r>
      <w:r w:rsidRPr="003B2D1D">
        <w:rPr>
          <w:rFonts w:ascii="Arial" w:hAnsi="Arial" w:cs="Arial"/>
          <w:b/>
          <w:szCs w:val="24"/>
        </w:rPr>
        <w:t xml:space="preserve">ake </w:t>
      </w:r>
      <w:r w:rsidR="000571FF" w:rsidRPr="003B2D1D">
        <w:rPr>
          <w:rFonts w:ascii="Arial" w:hAnsi="Arial" w:cs="Arial"/>
          <w:b/>
          <w:szCs w:val="24"/>
        </w:rPr>
        <w:t>I</w:t>
      </w:r>
      <w:r w:rsidRPr="003B2D1D">
        <w:rPr>
          <w:rFonts w:ascii="Arial" w:hAnsi="Arial" w:cs="Arial"/>
          <w:b/>
          <w:szCs w:val="24"/>
        </w:rPr>
        <w:t xml:space="preserve">nformed </w:t>
      </w:r>
      <w:r w:rsidR="000571FF" w:rsidRPr="003B2D1D">
        <w:rPr>
          <w:rFonts w:ascii="Arial" w:hAnsi="Arial" w:cs="Arial"/>
          <w:b/>
          <w:szCs w:val="24"/>
        </w:rPr>
        <w:t>C</w:t>
      </w:r>
      <w:r w:rsidRPr="003B2D1D">
        <w:rPr>
          <w:rFonts w:ascii="Arial" w:hAnsi="Arial" w:cs="Arial"/>
          <w:b/>
          <w:szCs w:val="24"/>
        </w:rPr>
        <w:t>hoices</w:t>
      </w:r>
    </w:p>
    <w:p w14:paraId="16D7FD35" w14:textId="77777777" w:rsidR="000A2BB7" w:rsidRPr="003B2D1D" w:rsidRDefault="000A2BB7" w:rsidP="001352C0">
      <w:pPr>
        <w:pStyle w:val="xpara"/>
        <w:spacing w:line="240" w:lineRule="auto"/>
        <w:ind w:firstLine="0"/>
        <w:rPr>
          <w:rFonts w:ascii="Arial" w:hAnsi="Arial" w:cs="Arial"/>
          <w:szCs w:val="24"/>
        </w:rPr>
      </w:pPr>
      <w:r w:rsidRPr="003B2D1D">
        <w:rPr>
          <w:rFonts w:ascii="Arial" w:hAnsi="Arial" w:cs="Arial"/>
          <w:szCs w:val="24"/>
        </w:rPr>
        <w:t xml:space="preserve">All providers need to ensure information about services is available and easily accessible to </w:t>
      </w:r>
      <w:r w:rsidR="00EC3E93">
        <w:rPr>
          <w:rFonts w:ascii="Arial" w:hAnsi="Arial" w:cs="Arial"/>
          <w:szCs w:val="24"/>
        </w:rPr>
        <w:t>Service User</w:t>
      </w:r>
      <w:r w:rsidR="005B1229">
        <w:rPr>
          <w:rFonts w:ascii="Arial" w:hAnsi="Arial" w:cs="Arial"/>
          <w:szCs w:val="24"/>
        </w:rPr>
        <w:t>s</w:t>
      </w:r>
      <w:r w:rsidRPr="003B2D1D">
        <w:rPr>
          <w:rFonts w:ascii="Arial" w:hAnsi="Arial" w:cs="Arial"/>
          <w:szCs w:val="24"/>
        </w:rPr>
        <w:t xml:space="preserve"> and their family and whānau.  </w:t>
      </w:r>
      <w:r w:rsidR="00EC3E93">
        <w:rPr>
          <w:rFonts w:ascii="Arial" w:hAnsi="Arial" w:cs="Arial"/>
          <w:szCs w:val="24"/>
        </w:rPr>
        <w:t>Service User</w:t>
      </w:r>
      <w:r w:rsidR="005B1229">
        <w:rPr>
          <w:rFonts w:ascii="Arial" w:hAnsi="Arial" w:cs="Arial"/>
          <w:szCs w:val="24"/>
        </w:rPr>
        <w:t>s</w:t>
      </w:r>
      <w:r w:rsidRPr="003B2D1D">
        <w:rPr>
          <w:rFonts w:ascii="Arial" w:hAnsi="Arial" w:cs="Arial"/>
          <w:szCs w:val="24"/>
        </w:rPr>
        <w:t xml:space="preserve"> should be informed of their choices and options for care.</w:t>
      </w:r>
    </w:p>
    <w:p w14:paraId="77199166" w14:textId="77777777" w:rsidR="000A2BB7" w:rsidRPr="003B2D1D" w:rsidRDefault="000A2BB7" w:rsidP="001352C0">
      <w:pPr>
        <w:tabs>
          <w:tab w:val="left" w:pos="900"/>
        </w:tabs>
        <w:spacing w:before="120" w:after="60"/>
        <w:jc w:val="left"/>
        <w:rPr>
          <w:rFonts w:ascii="Arial" w:hAnsi="Arial" w:cs="Arial"/>
          <w:b/>
          <w:u w:val="single"/>
        </w:rPr>
      </w:pPr>
      <w:r w:rsidRPr="003B2D1D">
        <w:rPr>
          <w:rFonts w:ascii="Arial" w:hAnsi="Arial" w:cs="Arial"/>
          <w:b/>
        </w:rPr>
        <w:t>2.9</w:t>
      </w:r>
      <w:r w:rsidRPr="003B2D1D">
        <w:rPr>
          <w:rFonts w:ascii="Arial" w:hAnsi="Arial" w:cs="Arial"/>
          <w:b/>
        </w:rPr>
        <w:tab/>
        <w:t xml:space="preserve">Reduce </w:t>
      </w:r>
      <w:r w:rsidR="000571FF" w:rsidRPr="003B2D1D">
        <w:rPr>
          <w:rFonts w:ascii="Arial" w:hAnsi="Arial" w:cs="Arial"/>
          <w:b/>
        </w:rPr>
        <w:t>I</w:t>
      </w:r>
      <w:r w:rsidRPr="003B2D1D">
        <w:rPr>
          <w:rFonts w:ascii="Arial" w:hAnsi="Arial" w:cs="Arial"/>
          <w:b/>
        </w:rPr>
        <w:t>nequalities</w:t>
      </w:r>
    </w:p>
    <w:p w14:paraId="2AEBEA45" w14:textId="77777777" w:rsidR="000A2BB7" w:rsidRDefault="00B71716" w:rsidP="001352C0">
      <w:pPr>
        <w:autoSpaceDE w:val="0"/>
        <w:autoSpaceDN w:val="0"/>
        <w:adjustRightInd w:val="0"/>
        <w:jc w:val="left"/>
        <w:rPr>
          <w:rFonts w:ascii="Arial" w:hAnsi="Arial" w:cs="Arial"/>
          <w:color w:val="000000"/>
          <w:lang w:val="en-US"/>
        </w:rPr>
      </w:pPr>
      <w:r>
        <w:rPr>
          <w:rFonts w:ascii="Arial" w:hAnsi="Arial" w:cs="Arial"/>
          <w:color w:val="000000"/>
          <w:lang w:val="en-US"/>
        </w:rPr>
        <w:t xml:space="preserve">A desired result of Rising to the Challenge is to see disparities in health outcomes addressed. </w:t>
      </w:r>
      <w:r w:rsidR="000A2BB7" w:rsidRPr="003B2D1D">
        <w:rPr>
          <w:rFonts w:ascii="Arial" w:hAnsi="Arial" w:cs="Arial"/>
          <w:color w:val="000000"/>
          <w:lang w:val="en-US"/>
        </w:rPr>
        <w:t xml:space="preserve">Social and economic factors, such as income, poverty, employment, education and housing, have been cited as contributing significantly to mental health and addiction status.  </w:t>
      </w:r>
      <w:r w:rsidR="000A2BB7" w:rsidRPr="003B2D1D">
        <w:rPr>
          <w:rFonts w:ascii="Arial" w:hAnsi="Arial" w:cs="Arial"/>
        </w:rPr>
        <w:t>It is acknowledged</w:t>
      </w:r>
      <w:r w:rsidR="000A2BB7" w:rsidRPr="003B2D1D">
        <w:rPr>
          <w:rFonts w:ascii="Arial" w:hAnsi="Arial" w:cs="Arial"/>
          <w:color w:val="000000"/>
          <w:lang w:val="en-US"/>
        </w:rPr>
        <w:t xml:space="preserve"> that socioeconomic</w:t>
      </w:r>
      <w:r w:rsidR="000A2BB7" w:rsidRPr="003B2D1D">
        <w:rPr>
          <w:rFonts w:ascii="Arial" w:hAnsi="Arial" w:cs="Arial"/>
          <w:color w:val="000000"/>
        </w:rPr>
        <w:t>ally</w:t>
      </w:r>
      <w:r w:rsidR="000A2BB7" w:rsidRPr="003B2D1D">
        <w:rPr>
          <w:rFonts w:ascii="Arial" w:hAnsi="Arial" w:cs="Arial"/>
          <w:color w:val="000000"/>
          <w:lang w:val="en-US"/>
        </w:rPr>
        <w:t xml:space="preserve"> disadvantaged groups bear a disproportionate burden of risk for mental ill health.  This highlights the importance of mental health and addiction services, to co-ordinate and co-operate with other government agencies, such as, housing, employment and education.  Responsiveness to infants, children, adolescents and youth is critical to interrupt cycles of mental illness and addiction within families, </w:t>
      </w:r>
      <w:r w:rsidR="000A2BB7" w:rsidRPr="003B2D1D">
        <w:rPr>
          <w:rFonts w:ascii="Arial" w:hAnsi="Arial" w:cs="Arial"/>
        </w:rPr>
        <w:t>whānau</w:t>
      </w:r>
      <w:r w:rsidR="000A2BB7" w:rsidRPr="003B2D1D">
        <w:rPr>
          <w:rFonts w:ascii="Arial" w:hAnsi="Arial" w:cs="Arial"/>
          <w:color w:val="000000"/>
          <w:lang w:val="en-US"/>
        </w:rPr>
        <w:t xml:space="preserve"> and communities.</w:t>
      </w:r>
    </w:p>
    <w:p w14:paraId="3787286B" w14:textId="77777777" w:rsidR="000A2BB7" w:rsidRPr="003B2D1D" w:rsidRDefault="000A2BB7" w:rsidP="001352C0">
      <w:pPr>
        <w:tabs>
          <w:tab w:val="left" w:pos="900"/>
        </w:tabs>
        <w:spacing w:before="120" w:after="120"/>
        <w:jc w:val="left"/>
        <w:rPr>
          <w:rFonts w:ascii="Arial" w:hAnsi="Arial" w:cs="Arial"/>
          <w:b/>
        </w:rPr>
      </w:pPr>
      <w:r w:rsidRPr="003B2D1D">
        <w:rPr>
          <w:rFonts w:ascii="Arial" w:hAnsi="Arial" w:cs="Arial"/>
          <w:b/>
        </w:rPr>
        <w:t>2.1</w:t>
      </w:r>
      <w:r w:rsidR="00EF2A63" w:rsidRPr="003B2D1D">
        <w:rPr>
          <w:rFonts w:ascii="Arial" w:hAnsi="Arial" w:cs="Arial"/>
          <w:b/>
        </w:rPr>
        <w:t>0</w:t>
      </w:r>
      <w:r w:rsidR="00EF2A63" w:rsidRPr="003B2D1D">
        <w:rPr>
          <w:rFonts w:ascii="Arial" w:hAnsi="Arial" w:cs="Arial"/>
          <w:b/>
        </w:rPr>
        <w:tab/>
      </w:r>
      <w:r w:rsidRPr="003B2D1D">
        <w:rPr>
          <w:rFonts w:ascii="Arial" w:hAnsi="Arial" w:cs="Arial"/>
          <w:b/>
        </w:rPr>
        <w:t xml:space="preserve">Promote </w:t>
      </w:r>
      <w:r w:rsidR="0037768D" w:rsidRPr="003B2D1D">
        <w:rPr>
          <w:rFonts w:ascii="Arial" w:hAnsi="Arial" w:cs="Arial"/>
          <w:b/>
        </w:rPr>
        <w:t>S</w:t>
      </w:r>
      <w:r w:rsidRPr="003B2D1D">
        <w:rPr>
          <w:rFonts w:ascii="Arial" w:hAnsi="Arial" w:cs="Arial"/>
          <w:b/>
        </w:rPr>
        <w:t xml:space="preserve">eamless and </w:t>
      </w:r>
      <w:r w:rsidR="0037768D" w:rsidRPr="003B2D1D">
        <w:rPr>
          <w:rFonts w:ascii="Arial" w:hAnsi="Arial" w:cs="Arial"/>
          <w:b/>
        </w:rPr>
        <w:t>I</w:t>
      </w:r>
      <w:r w:rsidRPr="003B2D1D">
        <w:rPr>
          <w:rFonts w:ascii="Arial" w:hAnsi="Arial" w:cs="Arial"/>
          <w:b/>
        </w:rPr>
        <w:t xml:space="preserve">ntegrated </w:t>
      </w:r>
      <w:r w:rsidR="0037768D" w:rsidRPr="003B2D1D">
        <w:rPr>
          <w:rFonts w:ascii="Arial" w:hAnsi="Arial" w:cs="Arial"/>
          <w:b/>
        </w:rPr>
        <w:t>S</w:t>
      </w:r>
      <w:r w:rsidRPr="003B2D1D">
        <w:rPr>
          <w:rFonts w:ascii="Arial" w:hAnsi="Arial" w:cs="Arial"/>
          <w:b/>
        </w:rPr>
        <w:t>ervices</w:t>
      </w:r>
    </w:p>
    <w:p w14:paraId="5726520F" w14:textId="77777777" w:rsidR="000A2BB7" w:rsidRPr="003B2D1D" w:rsidRDefault="00B71716" w:rsidP="001352C0">
      <w:pPr>
        <w:spacing w:before="60"/>
        <w:jc w:val="left"/>
        <w:rPr>
          <w:rFonts w:ascii="Arial" w:hAnsi="Arial" w:cs="Arial"/>
        </w:rPr>
      </w:pPr>
      <w:r>
        <w:rPr>
          <w:rFonts w:ascii="Arial" w:hAnsi="Arial" w:cs="Arial"/>
        </w:rPr>
        <w:t xml:space="preserve">An overarching goal for Rising to the Challenge is building infrastructure for integration between primary and specialist services. </w:t>
      </w:r>
      <w:r w:rsidR="00EC3E93">
        <w:rPr>
          <w:rFonts w:ascii="Arial" w:hAnsi="Arial" w:cs="Arial"/>
        </w:rPr>
        <w:t>Service User</w:t>
      </w:r>
      <w:r w:rsidR="005B1229">
        <w:rPr>
          <w:rFonts w:ascii="Arial" w:hAnsi="Arial" w:cs="Arial"/>
        </w:rPr>
        <w:t>s</w:t>
      </w:r>
      <w:r w:rsidR="000A2BB7" w:rsidRPr="003B2D1D">
        <w:rPr>
          <w:rFonts w:ascii="Arial" w:hAnsi="Arial" w:cs="Arial"/>
        </w:rPr>
        <w:t xml:space="preserve"> may be receiving care/treatment for both addiction and mental health issues.  Both types of services need to be provided in a seamless way.  It is vital that ‘any door is the right door’ and the mental health and addiction sector must build capacity and capability to respond to co-existing disorders.  </w:t>
      </w:r>
    </w:p>
    <w:p w14:paraId="7426E456" w14:textId="77777777" w:rsidR="000A2BB7" w:rsidRPr="003B2D1D" w:rsidRDefault="000A2BB7" w:rsidP="001352C0">
      <w:pPr>
        <w:spacing w:before="120"/>
        <w:jc w:val="left"/>
        <w:rPr>
          <w:rFonts w:ascii="Arial" w:hAnsi="Arial" w:cs="Arial"/>
          <w:bCs/>
          <w:i/>
          <w:iCs/>
          <w:highlight w:val="yellow"/>
          <w:lang w:val="en-AU"/>
        </w:rPr>
      </w:pPr>
      <w:r w:rsidRPr="003B2D1D">
        <w:rPr>
          <w:rFonts w:ascii="Arial" w:hAnsi="Arial" w:cs="Arial"/>
        </w:rPr>
        <w:t xml:space="preserve">Mental health and addiction </w:t>
      </w:r>
      <w:r w:rsidR="00EC3E93">
        <w:rPr>
          <w:rFonts w:ascii="Arial" w:hAnsi="Arial" w:cs="Arial"/>
        </w:rPr>
        <w:t>Service User</w:t>
      </w:r>
      <w:r w:rsidR="005B1229">
        <w:rPr>
          <w:rFonts w:ascii="Arial" w:hAnsi="Arial" w:cs="Arial"/>
        </w:rPr>
        <w:t>s</w:t>
      </w:r>
      <w:r w:rsidRPr="003B2D1D">
        <w:rPr>
          <w:rFonts w:ascii="Arial" w:hAnsi="Arial" w:cs="Arial"/>
        </w:rPr>
        <w:t xml:space="preserve"> may also access other services. </w:t>
      </w:r>
      <w:r w:rsidR="00EF7473" w:rsidRPr="003B2D1D">
        <w:rPr>
          <w:rFonts w:ascii="Arial" w:hAnsi="Arial" w:cs="Arial"/>
        </w:rPr>
        <w:t xml:space="preserve"> </w:t>
      </w:r>
      <w:r w:rsidRPr="003B2D1D">
        <w:rPr>
          <w:rFonts w:ascii="Arial" w:hAnsi="Arial" w:cs="Arial"/>
        </w:rPr>
        <w:t xml:space="preserve">Services should work together to determine shared care arrangements that best meet the </w:t>
      </w:r>
      <w:r w:rsidR="00EC3E93">
        <w:rPr>
          <w:rFonts w:ascii="Arial" w:hAnsi="Arial" w:cs="Arial"/>
        </w:rPr>
        <w:t>Service User</w:t>
      </w:r>
      <w:r w:rsidRPr="003B2D1D">
        <w:rPr>
          <w:rFonts w:ascii="Arial" w:hAnsi="Arial" w:cs="Arial"/>
        </w:rPr>
        <w:t>’s needs.  It is important that those with a mental illness and/or addiction also have their physical health needs met.</w:t>
      </w:r>
    </w:p>
    <w:p w14:paraId="13129DBF" w14:textId="77777777" w:rsidR="000A2BB7" w:rsidRPr="003B2D1D" w:rsidRDefault="000A2BB7" w:rsidP="001352C0">
      <w:pPr>
        <w:spacing w:before="120"/>
        <w:jc w:val="left"/>
        <w:rPr>
          <w:rFonts w:ascii="Arial" w:hAnsi="Arial" w:cs="Arial"/>
        </w:rPr>
      </w:pPr>
      <w:r w:rsidRPr="003B2D1D">
        <w:rPr>
          <w:rFonts w:ascii="Arial" w:hAnsi="Arial" w:cs="Arial"/>
        </w:rPr>
        <w:t xml:space="preserve">Increasing recognition by the Justice system of the need for health interventions for offenders requires mental health and addiction services to interface well with the Justice system.  This population is particularly high risk, with a high incidence of co-existing disorders. </w:t>
      </w:r>
    </w:p>
    <w:p w14:paraId="4C3A6E72" w14:textId="77777777" w:rsidR="00F52D61" w:rsidRPr="003B2D1D" w:rsidRDefault="000A2BB7" w:rsidP="001352C0">
      <w:pPr>
        <w:pStyle w:val="CommentText"/>
        <w:tabs>
          <w:tab w:val="left" w:pos="900"/>
        </w:tabs>
        <w:spacing w:before="120" w:after="60"/>
        <w:rPr>
          <w:rFonts w:cs="Arial"/>
          <w:b/>
        </w:rPr>
      </w:pPr>
      <w:r w:rsidRPr="003B2D1D">
        <w:rPr>
          <w:rFonts w:cs="Arial"/>
          <w:b/>
        </w:rPr>
        <w:t>2.1</w:t>
      </w:r>
      <w:r w:rsidR="00EF2A63" w:rsidRPr="003B2D1D">
        <w:rPr>
          <w:rFonts w:cs="Arial"/>
          <w:b/>
        </w:rPr>
        <w:t>1</w:t>
      </w:r>
      <w:r w:rsidRPr="003B2D1D">
        <w:rPr>
          <w:rFonts w:cs="Arial"/>
          <w:b/>
        </w:rPr>
        <w:tab/>
      </w:r>
      <w:r w:rsidR="00F52D61" w:rsidRPr="003B2D1D">
        <w:rPr>
          <w:rFonts w:cs="Arial"/>
          <w:b/>
        </w:rPr>
        <w:t xml:space="preserve">Develop </w:t>
      </w:r>
      <w:r w:rsidR="0037768D" w:rsidRPr="003B2D1D">
        <w:rPr>
          <w:rFonts w:cs="Arial"/>
          <w:b/>
        </w:rPr>
        <w:t>O</w:t>
      </w:r>
      <w:r w:rsidR="00F52D61" w:rsidRPr="003B2D1D">
        <w:rPr>
          <w:rFonts w:cs="Arial"/>
          <w:b/>
        </w:rPr>
        <w:t xml:space="preserve">rganisational </w:t>
      </w:r>
      <w:r w:rsidR="0037768D" w:rsidRPr="003B2D1D">
        <w:rPr>
          <w:rFonts w:cs="Arial"/>
          <w:b/>
        </w:rPr>
        <w:t>G</w:t>
      </w:r>
      <w:r w:rsidR="00F52D61" w:rsidRPr="003B2D1D">
        <w:rPr>
          <w:rFonts w:cs="Arial"/>
          <w:b/>
        </w:rPr>
        <w:t>overnance</w:t>
      </w:r>
    </w:p>
    <w:p w14:paraId="78ABDEE2" w14:textId="77777777" w:rsidR="00F52D61" w:rsidRPr="003B2D1D" w:rsidRDefault="00C47047" w:rsidP="001352C0">
      <w:pPr>
        <w:pStyle w:val="CommentText"/>
        <w:tabs>
          <w:tab w:val="left" w:pos="900"/>
        </w:tabs>
        <w:spacing w:before="120"/>
        <w:rPr>
          <w:rFonts w:cs="Arial"/>
        </w:rPr>
      </w:pPr>
      <w:r w:rsidRPr="003B2D1D">
        <w:rPr>
          <w:rFonts w:cs="Arial"/>
        </w:rPr>
        <w:t xml:space="preserve">Organisational governance structures contribute to the stability and viability of organisations.  </w:t>
      </w:r>
      <w:r w:rsidR="00250E3B" w:rsidRPr="003B2D1D">
        <w:rPr>
          <w:rFonts w:cs="Arial"/>
        </w:rPr>
        <w:t>A</w:t>
      </w:r>
      <w:r w:rsidR="00D37EC8" w:rsidRPr="003B2D1D">
        <w:rPr>
          <w:rFonts w:cs="Arial"/>
        </w:rPr>
        <w:t xml:space="preserve"> strong and</w:t>
      </w:r>
      <w:r w:rsidR="00250E3B" w:rsidRPr="003B2D1D">
        <w:rPr>
          <w:rFonts w:cs="Arial"/>
        </w:rPr>
        <w:t xml:space="preserve"> active engaged board that is structured to provide fiscal oversight</w:t>
      </w:r>
      <w:r w:rsidR="003D5769">
        <w:rPr>
          <w:rFonts w:cs="Arial"/>
        </w:rPr>
        <w:t xml:space="preserve">, has the skills and experience to work alongside other mental health and addiction organisations to deliver seamless, well-integrated services </w:t>
      </w:r>
      <w:r w:rsidR="00250E3B" w:rsidRPr="003B2D1D">
        <w:rPr>
          <w:rFonts w:cs="Arial"/>
        </w:rPr>
        <w:t xml:space="preserve">and meet the organisation’s governance needs is promoted.  </w:t>
      </w:r>
    </w:p>
    <w:p w14:paraId="74926B46" w14:textId="77777777" w:rsidR="000A2BB7" w:rsidRPr="003B2D1D" w:rsidRDefault="00F52D61" w:rsidP="001352C0">
      <w:pPr>
        <w:pStyle w:val="CommentText"/>
        <w:tabs>
          <w:tab w:val="left" w:pos="900"/>
        </w:tabs>
        <w:spacing w:before="120" w:after="60"/>
        <w:rPr>
          <w:rFonts w:cs="Arial"/>
          <w:b/>
        </w:rPr>
      </w:pPr>
      <w:r w:rsidRPr="003B2D1D">
        <w:rPr>
          <w:rFonts w:cs="Arial"/>
          <w:b/>
        </w:rPr>
        <w:lastRenderedPageBreak/>
        <w:t>2.1</w:t>
      </w:r>
      <w:r w:rsidR="00EF2A63" w:rsidRPr="003B2D1D">
        <w:rPr>
          <w:rFonts w:cs="Arial"/>
          <w:b/>
        </w:rPr>
        <w:t>2</w:t>
      </w:r>
      <w:r w:rsidRPr="003B2D1D">
        <w:rPr>
          <w:rFonts w:cs="Arial"/>
          <w:b/>
        </w:rPr>
        <w:tab/>
      </w:r>
      <w:r w:rsidR="000A2BB7" w:rsidRPr="003B2D1D">
        <w:rPr>
          <w:rFonts w:cs="Arial"/>
          <w:b/>
        </w:rPr>
        <w:t xml:space="preserve">Develop </w:t>
      </w:r>
      <w:r w:rsidR="0037768D" w:rsidRPr="003B2D1D">
        <w:rPr>
          <w:rFonts w:cs="Arial"/>
          <w:b/>
        </w:rPr>
        <w:t>W</w:t>
      </w:r>
      <w:r w:rsidR="000A2BB7" w:rsidRPr="003B2D1D">
        <w:rPr>
          <w:rFonts w:cs="Arial"/>
          <w:b/>
        </w:rPr>
        <w:t>orkforce</w:t>
      </w:r>
    </w:p>
    <w:p w14:paraId="302A6147" w14:textId="77777777" w:rsidR="000A2BB7" w:rsidRPr="003B2D1D" w:rsidRDefault="000A2BB7" w:rsidP="001352C0">
      <w:pPr>
        <w:autoSpaceDE w:val="0"/>
        <w:autoSpaceDN w:val="0"/>
        <w:adjustRightInd w:val="0"/>
        <w:spacing w:before="120"/>
        <w:jc w:val="left"/>
        <w:rPr>
          <w:rFonts w:ascii="Arial" w:hAnsi="Arial" w:cs="Arial"/>
          <w:color w:val="000000"/>
          <w:lang w:val="en-US"/>
        </w:rPr>
      </w:pPr>
      <w:r w:rsidRPr="003B2D1D">
        <w:rPr>
          <w:rFonts w:ascii="Arial" w:hAnsi="Arial" w:cs="Arial"/>
          <w:color w:val="000000"/>
          <w:lang w:val="en-US"/>
        </w:rPr>
        <w:t xml:space="preserve">Workforce development needs to be part of the focus for every service.  This development involves building the capacity and capability of the </w:t>
      </w:r>
      <w:r w:rsidR="009B7493" w:rsidRPr="003B2D1D">
        <w:rPr>
          <w:rFonts w:ascii="Arial" w:hAnsi="Arial" w:cs="Arial"/>
          <w:color w:val="000000"/>
          <w:lang w:val="en-US"/>
        </w:rPr>
        <w:t>S</w:t>
      </w:r>
      <w:r w:rsidRPr="003B2D1D">
        <w:rPr>
          <w:rFonts w:ascii="Arial" w:hAnsi="Arial" w:cs="Arial"/>
          <w:color w:val="000000"/>
          <w:lang w:val="en-US"/>
        </w:rPr>
        <w:t xml:space="preserve">ervice providers to work in partnership with </w:t>
      </w:r>
      <w:r w:rsidR="009B7493" w:rsidRPr="003B2D1D">
        <w:rPr>
          <w:rFonts w:ascii="Arial" w:hAnsi="Arial" w:cs="Arial"/>
          <w:color w:val="000000"/>
          <w:lang w:val="en-US"/>
        </w:rPr>
        <w:t xml:space="preserve">the </w:t>
      </w:r>
      <w:r w:rsidR="00EC3E93">
        <w:rPr>
          <w:rFonts w:ascii="Arial" w:hAnsi="Arial" w:cs="Arial"/>
          <w:color w:val="000000"/>
          <w:lang w:val="en-US"/>
        </w:rPr>
        <w:t>Service User</w:t>
      </w:r>
      <w:r w:rsidR="005B1229">
        <w:rPr>
          <w:rFonts w:ascii="Arial" w:hAnsi="Arial" w:cs="Arial"/>
          <w:color w:val="000000"/>
          <w:lang w:val="en-US"/>
        </w:rPr>
        <w:t>s</w:t>
      </w:r>
      <w:r w:rsidRPr="003B2D1D">
        <w:rPr>
          <w:rFonts w:ascii="Arial" w:hAnsi="Arial" w:cs="Arial"/>
          <w:color w:val="000000"/>
          <w:lang w:val="en-US"/>
        </w:rPr>
        <w:t xml:space="preserve">.  Investment in the development of the mental health and addiction workforce is key to ensuring the delivery of effective services. </w:t>
      </w:r>
      <w:r w:rsidRPr="003B2D1D">
        <w:rPr>
          <w:rFonts w:ascii="Arial" w:hAnsi="Arial" w:cs="Arial"/>
        </w:rPr>
        <w:t>Integrated care and treatment can be achieved through the establishment of a competent workforce</w:t>
      </w:r>
      <w:r w:rsidR="00B96C5F">
        <w:rPr>
          <w:rFonts w:ascii="Arial" w:hAnsi="Arial" w:cs="Arial"/>
        </w:rPr>
        <w:t xml:space="preserve"> appropriately trained to recognise and respond to mental health and addiction issues.</w:t>
      </w:r>
    </w:p>
    <w:p w14:paraId="64E2BC94" w14:textId="77777777" w:rsidR="000A2BB7" w:rsidRDefault="000A2BB7" w:rsidP="001352C0">
      <w:pPr>
        <w:pStyle w:val="CommentText"/>
        <w:spacing w:before="120"/>
        <w:rPr>
          <w:rFonts w:cs="Arial"/>
          <w:color w:val="000000"/>
          <w:lang w:val="en-US"/>
        </w:rPr>
      </w:pPr>
      <w:r w:rsidRPr="003B2D1D">
        <w:rPr>
          <w:rFonts w:cs="Arial"/>
          <w:i/>
          <w:iCs/>
          <w:color w:val="000000"/>
          <w:lang w:val="en-US"/>
        </w:rPr>
        <w:t>Let’s get real: Real Skills for people working in Mental Health and Addiction</w:t>
      </w:r>
      <w:r w:rsidRPr="003B2D1D">
        <w:rPr>
          <w:rFonts w:cs="Arial"/>
          <w:color w:val="000000"/>
          <w:lang w:val="en-US"/>
        </w:rPr>
        <w:t xml:space="preserve"> </w:t>
      </w:r>
      <w:r w:rsidRPr="003B2D1D">
        <w:rPr>
          <w:rFonts w:cs="Arial"/>
          <w:color w:val="000000"/>
          <w:lang w:val="en-NZ"/>
        </w:rPr>
        <w:t xml:space="preserve">(Ministry of Health 2008) </w:t>
      </w:r>
      <w:r w:rsidRPr="003B2D1D">
        <w:rPr>
          <w:rFonts w:cs="Arial"/>
          <w:color w:val="000000"/>
          <w:lang w:val="en-US"/>
        </w:rPr>
        <w:t xml:space="preserve">is a framework that describes the essential knowledge, skills and attitudes required to deliver effective mental health and addiction services. </w:t>
      </w:r>
    </w:p>
    <w:p w14:paraId="69696729" w14:textId="77777777" w:rsidR="00B96C5F" w:rsidRDefault="00B96C5F" w:rsidP="001352C0">
      <w:pPr>
        <w:pStyle w:val="CommentText"/>
        <w:spacing w:before="120"/>
        <w:rPr>
          <w:rFonts w:cs="Arial"/>
          <w:color w:val="000000"/>
          <w:lang w:val="en-US"/>
        </w:rPr>
      </w:pPr>
      <w:r>
        <w:rPr>
          <w:rFonts w:cs="Arial"/>
          <w:color w:val="000000"/>
          <w:lang w:val="en-US"/>
        </w:rPr>
        <w:t>Rising to the Challenge will deliver a national workforce development plan which considers:</w:t>
      </w:r>
    </w:p>
    <w:p w14:paraId="0BA7713B" w14:textId="77777777" w:rsidR="00B96C5F" w:rsidRDefault="00B96C5F" w:rsidP="001153DF">
      <w:pPr>
        <w:pStyle w:val="CommentText"/>
        <w:numPr>
          <w:ilvl w:val="0"/>
          <w:numId w:val="47"/>
        </w:numPr>
        <w:spacing w:before="120"/>
        <w:ind w:left="567" w:hanging="567"/>
        <w:rPr>
          <w:rFonts w:cs="Arial"/>
          <w:color w:val="000000"/>
          <w:lang w:val="en-US"/>
        </w:rPr>
      </w:pPr>
      <w:r>
        <w:rPr>
          <w:rFonts w:cs="Arial"/>
          <w:color w:val="000000"/>
          <w:lang w:val="en-US"/>
        </w:rPr>
        <w:t>new ways of working</w:t>
      </w:r>
    </w:p>
    <w:p w14:paraId="31AF960A" w14:textId="77777777" w:rsidR="00B96C5F" w:rsidRDefault="00B96C5F" w:rsidP="00FA5628">
      <w:pPr>
        <w:pStyle w:val="CommentText"/>
        <w:numPr>
          <w:ilvl w:val="0"/>
          <w:numId w:val="47"/>
        </w:numPr>
        <w:ind w:left="567" w:hanging="567"/>
        <w:rPr>
          <w:rFonts w:cs="Arial"/>
          <w:color w:val="000000"/>
          <w:lang w:val="en-US"/>
        </w:rPr>
      </w:pPr>
      <w:r>
        <w:rPr>
          <w:rFonts w:cs="Arial"/>
          <w:color w:val="000000"/>
          <w:lang w:val="en-US"/>
        </w:rPr>
        <w:t>new roles to complement existing staff groups</w:t>
      </w:r>
    </w:p>
    <w:p w14:paraId="381BBA8D" w14:textId="77777777" w:rsidR="00B96C5F" w:rsidRPr="003B2D1D" w:rsidRDefault="00B96C5F" w:rsidP="00FA5628">
      <w:pPr>
        <w:pStyle w:val="CommentText"/>
        <w:numPr>
          <w:ilvl w:val="0"/>
          <w:numId w:val="47"/>
        </w:numPr>
        <w:ind w:left="567" w:hanging="567"/>
        <w:rPr>
          <w:rFonts w:cs="Arial"/>
          <w:color w:val="000000"/>
          <w:lang w:val="en-US"/>
        </w:rPr>
      </w:pPr>
      <w:r>
        <w:rPr>
          <w:rFonts w:cs="Arial"/>
          <w:color w:val="000000"/>
          <w:lang w:val="en-US"/>
        </w:rPr>
        <w:t>future services, changing demography and future demand for services.</w:t>
      </w:r>
    </w:p>
    <w:p w14:paraId="1AD0808D" w14:textId="77777777" w:rsidR="00F52D61" w:rsidRPr="003B2D1D" w:rsidRDefault="00F52D61" w:rsidP="001352C0">
      <w:pPr>
        <w:pStyle w:val="CommentText"/>
        <w:tabs>
          <w:tab w:val="left" w:pos="900"/>
        </w:tabs>
        <w:spacing w:before="120" w:after="60"/>
        <w:rPr>
          <w:rFonts w:cs="Arial"/>
          <w:b/>
        </w:rPr>
      </w:pPr>
      <w:r w:rsidRPr="003B2D1D">
        <w:rPr>
          <w:rFonts w:cs="Arial"/>
          <w:b/>
        </w:rPr>
        <w:t>2.1</w:t>
      </w:r>
      <w:r w:rsidR="00EF2A63" w:rsidRPr="003B2D1D">
        <w:rPr>
          <w:rFonts w:cs="Arial"/>
          <w:b/>
        </w:rPr>
        <w:t>3</w:t>
      </w:r>
      <w:r w:rsidRPr="003B2D1D">
        <w:rPr>
          <w:rFonts w:cs="Arial"/>
          <w:b/>
        </w:rPr>
        <w:tab/>
        <w:t xml:space="preserve">Value </w:t>
      </w:r>
      <w:r w:rsidR="0037768D" w:rsidRPr="003B2D1D">
        <w:rPr>
          <w:rFonts w:cs="Arial"/>
          <w:b/>
        </w:rPr>
        <w:t>L</w:t>
      </w:r>
      <w:r w:rsidRPr="003B2D1D">
        <w:rPr>
          <w:rFonts w:cs="Arial"/>
          <w:b/>
        </w:rPr>
        <w:t xml:space="preserve">ived </w:t>
      </w:r>
      <w:r w:rsidR="0037768D" w:rsidRPr="003B2D1D">
        <w:rPr>
          <w:rFonts w:cs="Arial"/>
          <w:b/>
        </w:rPr>
        <w:t>E</w:t>
      </w:r>
      <w:r w:rsidRPr="003B2D1D">
        <w:rPr>
          <w:rFonts w:cs="Arial"/>
          <w:b/>
        </w:rPr>
        <w:t>xperience</w:t>
      </w:r>
    </w:p>
    <w:p w14:paraId="4BE06615" w14:textId="77777777" w:rsidR="00F52D61" w:rsidRPr="003B2D1D" w:rsidRDefault="00F52D61" w:rsidP="001352C0">
      <w:pPr>
        <w:spacing w:before="120"/>
        <w:jc w:val="left"/>
        <w:rPr>
          <w:rFonts w:ascii="Arial" w:hAnsi="Arial" w:cs="Arial"/>
        </w:rPr>
      </w:pPr>
      <w:r w:rsidRPr="003B2D1D">
        <w:rPr>
          <w:rFonts w:ascii="Arial" w:hAnsi="Arial" w:cs="Arial"/>
        </w:rPr>
        <w:t xml:space="preserve">People with a lived experience of mental illness and addiction offer a unique contribution to services.  The important perspective of those with a lived experience should be utilised in the planning and implementation of services.  Services should foster a culture that promotes </w:t>
      </w:r>
      <w:r w:rsidR="00EC3E93">
        <w:rPr>
          <w:rFonts w:ascii="Arial" w:hAnsi="Arial" w:cs="Arial"/>
        </w:rPr>
        <w:t>Service User</w:t>
      </w:r>
      <w:r w:rsidR="005B1229">
        <w:rPr>
          <w:rFonts w:ascii="Arial" w:hAnsi="Arial" w:cs="Arial"/>
        </w:rPr>
        <w:t>s</w:t>
      </w:r>
      <w:r w:rsidRPr="003B2D1D">
        <w:rPr>
          <w:rFonts w:ascii="Arial" w:hAnsi="Arial" w:cs="Arial"/>
        </w:rPr>
        <w:t xml:space="preserve"> participation and recovery.  Real life examples of recovery can offer hope to </w:t>
      </w:r>
      <w:r w:rsidR="00EC3E93">
        <w:rPr>
          <w:rFonts w:ascii="Arial" w:hAnsi="Arial" w:cs="Arial"/>
        </w:rPr>
        <w:t>Service User</w:t>
      </w:r>
      <w:r w:rsidR="005B1229">
        <w:rPr>
          <w:rFonts w:ascii="Arial" w:hAnsi="Arial" w:cs="Arial"/>
        </w:rPr>
        <w:t>s</w:t>
      </w:r>
      <w:r w:rsidRPr="003B2D1D">
        <w:rPr>
          <w:rFonts w:ascii="Arial" w:hAnsi="Arial" w:cs="Arial"/>
        </w:rPr>
        <w:t xml:space="preserve">.  </w:t>
      </w:r>
      <w:r w:rsidR="00EC3E93">
        <w:rPr>
          <w:rFonts w:ascii="Arial" w:hAnsi="Arial" w:cs="Arial"/>
        </w:rPr>
        <w:t>Service User</w:t>
      </w:r>
      <w:r w:rsidR="005B1229">
        <w:rPr>
          <w:rFonts w:ascii="Arial" w:hAnsi="Arial" w:cs="Arial"/>
        </w:rPr>
        <w:t>s</w:t>
      </w:r>
      <w:r w:rsidRPr="003B2D1D">
        <w:rPr>
          <w:rFonts w:ascii="Arial" w:hAnsi="Arial" w:cs="Arial"/>
        </w:rPr>
        <w:t xml:space="preserve"> should be encouraged into a range of roles, both within consumer-led services and across the continuum of services.  </w:t>
      </w:r>
    </w:p>
    <w:p w14:paraId="7AB90AB1" w14:textId="77777777" w:rsidR="00F52D61" w:rsidRPr="003B2D1D" w:rsidRDefault="00F52D61" w:rsidP="001352C0">
      <w:pPr>
        <w:spacing w:before="120"/>
        <w:rPr>
          <w:rFonts w:ascii="Arial" w:hAnsi="Arial" w:cs="Arial"/>
        </w:rPr>
      </w:pPr>
      <w:r w:rsidRPr="003B2D1D">
        <w:rPr>
          <w:rFonts w:ascii="Arial" w:hAnsi="Arial" w:cs="Arial"/>
        </w:rPr>
        <w:t>The valuable perspective and experience of family and whānau supporting a loved one with a mental illness and</w:t>
      </w:r>
      <w:r w:rsidR="005B1229">
        <w:rPr>
          <w:rFonts w:ascii="Arial" w:hAnsi="Arial" w:cs="Arial"/>
        </w:rPr>
        <w:t xml:space="preserve"> </w:t>
      </w:r>
      <w:r w:rsidRPr="003B2D1D">
        <w:rPr>
          <w:rFonts w:ascii="Arial" w:hAnsi="Arial" w:cs="Arial"/>
        </w:rPr>
        <w:t>/</w:t>
      </w:r>
      <w:r w:rsidR="005B1229">
        <w:rPr>
          <w:rFonts w:ascii="Arial" w:hAnsi="Arial" w:cs="Arial"/>
        </w:rPr>
        <w:t xml:space="preserve"> </w:t>
      </w:r>
      <w:r w:rsidRPr="003B2D1D">
        <w:rPr>
          <w:rFonts w:ascii="Arial" w:hAnsi="Arial" w:cs="Arial"/>
        </w:rPr>
        <w:t>or addiction should also be seen as an asset within the mental health and addiction workforce.</w:t>
      </w:r>
    </w:p>
    <w:p w14:paraId="27DC2B0D" w14:textId="77777777" w:rsidR="000A2BB7" w:rsidRPr="003B2D1D" w:rsidRDefault="000A2BB7" w:rsidP="001352C0">
      <w:pPr>
        <w:tabs>
          <w:tab w:val="left" w:pos="540"/>
        </w:tabs>
        <w:spacing w:before="240" w:after="120"/>
        <w:jc w:val="left"/>
        <w:rPr>
          <w:rFonts w:ascii="Arial" w:hAnsi="Arial" w:cs="Arial"/>
          <w:b/>
        </w:rPr>
      </w:pPr>
      <w:bookmarkStart w:id="9" w:name="_Toc215318901"/>
      <w:bookmarkEnd w:id="6"/>
      <w:bookmarkEnd w:id="7"/>
      <w:r w:rsidRPr="003B2D1D">
        <w:rPr>
          <w:rFonts w:ascii="Arial" w:hAnsi="Arial" w:cs="Arial"/>
          <w:b/>
        </w:rPr>
        <w:t>3.</w:t>
      </w:r>
      <w:r w:rsidRPr="003B2D1D">
        <w:rPr>
          <w:rFonts w:ascii="Arial" w:hAnsi="Arial" w:cs="Arial"/>
          <w:b/>
        </w:rPr>
        <w:tab/>
      </w:r>
      <w:bookmarkEnd w:id="9"/>
      <w:r w:rsidR="00EC3E93">
        <w:rPr>
          <w:rFonts w:ascii="Arial" w:hAnsi="Arial" w:cs="Arial"/>
          <w:b/>
        </w:rPr>
        <w:t>Service User</w:t>
      </w:r>
      <w:r w:rsidR="005B1229">
        <w:rPr>
          <w:rFonts w:ascii="Arial" w:hAnsi="Arial" w:cs="Arial"/>
          <w:b/>
        </w:rPr>
        <w:t>s</w:t>
      </w:r>
    </w:p>
    <w:p w14:paraId="3AB283B4" w14:textId="2698C579" w:rsidR="00D0309A" w:rsidRDefault="000A5E93" w:rsidP="001352C0">
      <w:pPr>
        <w:spacing w:before="120" w:after="120"/>
        <w:jc w:val="left"/>
        <w:rPr>
          <w:rFonts w:ascii="Arial" w:hAnsi="Arial" w:cs="Arial"/>
        </w:rPr>
      </w:pPr>
      <w:r>
        <w:rPr>
          <w:rFonts w:ascii="Arial" w:hAnsi="Arial" w:cs="Arial"/>
        </w:rPr>
        <w:t>A Service User is a</w:t>
      </w:r>
      <w:r w:rsidR="00566205">
        <w:rPr>
          <w:rFonts w:ascii="Arial" w:hAnsi="Arial" w:cs="Arial"/>
        </w:rPr>
        <w:t>n eligible</w:t>
      </w:r>
      <w:r>
        <w:rPr>
          <w:rFonts w:ascii="Arial" w:hAnsi="Arial" w:cs="Arial"/>
        </w:rPr>
        <w:t xml:space="preserve"> </w:t>
      </w:r>
      <w:r w:rsidR="000A2BB7" w:rsidRPr="003B2D1D">
        <w:rPr>
          <w:rFonts w:ascii="Arial" w:hAnsi="Arial" w:cs="Arial"/>
        </w:rPr>
        <w:t>person</w:t>
      </w:r>
      <w:r w:rsidR="008B081A">
        <w:rPr>
          <w:rFonts w:ascii="Arial" w:hAnsi="Arial" w:cs="Arial"/>
        </w:rPr>
        <w:t>/</w:t>
      </w:r>
      <w:r w:rsidR="000A2BB7" w:rsidRPr="003B2D1D">
        <w:rPr>
          <w:rFonts w:ascii="Arial" w:hAnsi="Arial" w:cs="Arial"/>
        </w:rPr>
        <w:t>people</w:t>
      </w:r>
      <w:r w:rsidR="00566205">
        <w:rPr>
          <w:rStyle w:val="FootnoteReference"/>
          <w:rFonts w:ascii="Arial" w:hAnsi="Arial" w:cs="Arial"/>
        </w:rPr>
        <w:footnoteReference w:id="2"/>
      </w:r>
      <w:r w:rsidR="001412FA">
        <w:rPr>
          <w:rFonts w:ascii="Arial" w:hAnsi="Arial" w:cs="Arial"/>
        </w:rPr>
        <w:t xml:space="preserve"> </w:t>
      </w:r>
      <w:r w:rsidR="000A2BB7" w:rsidRPr="003B2D1D">
        <w:rPr>
          <w:rFonts w:ascii="Arial" w:hAnsi="Arial" w:cs="Arial"/>
        </w:rPr>
        <w:t xml:space="preserve">deemed to receive or </w:t>
      </w:r>
      <w:r w:rsidR="005A7DDA">
        <w:rPr>
          <w:rFonts w:ascii="Arial" w:hAnsi="Arial" w:cs="Arial"/>
        </w:rPr>
        <w:t xml:space="preserve">be </w:t>
      </w:r>
      <w:r w:rsidR="000A2BB7" w:rsidRPr="003B2D1D">
        <w:rPr>
          <w:rFonts w:ascii="Arial" w:hAnsi="Arial" w:cs="Arial"/>
        </w:rPr>
        <w:t xml:space="preserve">receiving </w:t>
      </w:r>
      <w:r w:rsidR="00D0309A">
        <w:rPr>
          <w:rFonts w:ascii="Arial" w:hAnsi="Arial" w:cs="Arial"/>
        </w:rPr>
        <w:t xml:space="preserve">publicly funded specialist </w:t>
      </w:r>
      <w:r w:rsidR="000A2BB7" w:rsidRPr="003B2D1D">
        <w:rPr>
          <w:rFonts w:ascii="Arial" w:hAnsi="Arial" w:cs="Arial"/>
        </w:rPr>
        <w:t>mental health and/</w:t>
      </w:r>
      <w:r w:rsidR="008B081A">
        <w:rPr>
          <w:rFonts w:ascii="Arial" w:hAnsi="Arial" w:cs="Arial"/>
        </w:rPr>
        <w:t>o</w:t>
      </w:r>
      <w:r w:rsidR="000A2BB7" w:rsidRPr="003B2D1D">
        <w:rPr>
          <w:rFonts w:ascii="Arial" w:hAnsi="Arial" w:cs="Arial"/>
        </w:rPr>
        <w:t xml:space="preserve">r addiction </w:t>
      </w:r>
      <w:r w:rsidR="00D0309A">
        <w:rPr>
          <w:rFonts w:ascii="Arial" w:hAnsi="Arial" w:cs="Arial"/>
        </w:rPr>
        <w:t xml:space="preserve">services </w:t>
      </w:r>
      <w:r w:rsidR="00D0309A" w:rsidRPr="00D0309A">
        <w:rPr>
          <w:rFonts w:ascii="Arial" w:hAnsi="Arial" w:cs="Arial"/>
        </w:rPr>
        <w:t>for those who are most severely affected by mental illness or addiction</w:t>
      </w:r>
      <w:r w:rsidR="00D0309A">
        <w:rPr>
          <w:rFonts w:ascii="Arial" w:hAnsi="Arial" w:cs="Arial"/>
        </w:rPr>
        <w:t>.</w:t>
      </w:r>
    </w:p>
    <w:p w14:paraId="6BD98D31" w14:textId="6D3E5A6B" w:rsidR="00B405C4" w:rsidRDefault="00566205" w:rsidP="001153DF">
      <w:pPr>
        <w:tabs>
          <w:tab w:val="left" w:pos="540"/>
        </w:tabs>
        <w:spacing w:after="120"/>
        <w:rPr>
          <w:rFonts w:ascii="Arial" w:hAnsi="Arial" w:cs="Arial"/>
        </w:rPr>
      </w:pPr>
      <w:r>
        <w:rPr>
          <w:rFonts w:ascii="Arial" w:hAnsi="Arial" w:cs="Arial"/>
        </w:rPr>
        <w:t>S</w:t>
      </w:r>
      <w:r w:rsidRPr="00566205">
        <w:rPr>
          <w:rFonts w:ascii="Arial" w:hAnsi="Arial" w:cs="Arial"/>
        </w:rPr>
        <w:t>pecialist mental health and</w:t>
      </w:r>
      <w:r w:rsidR="008B081A">
        <w:rPr>
          <w:rFonts w:ascii="Arial" w:hAnsi="Arial" w:cs="Arial"/>
        </w:rPr>
        <w:t>/o</w:t>
      </w:r>
      <w:r w:rsidRPr="00566205">
        <w:rPr>
          <w:rFonts w:ascii="Arial" w:hAnsi="Arial" w:cs="Arial"/>
        </w:rPr>
        <w:t xml:space="preserve">r addiction services </w:t>
      </w:r>
      <w:r w:rsidR="00D0309A">
        <w:rPr>
          <w:rFonts w:ascii="Arial" w:hAnsi="Arial" w:cs="Arial"/>
        </w:rPr>
        <w:t>includes</w:t>
      </w:r>
      <w:r w:rsidR="00D0309A" w:rsidRPr="00D0309A">
        <w:rPr>
          <w:rFonts w:ascii="Arial" w:hAnsi="Arial" w:cs="Arial"/>
        </w:rPr>
        <w:t xml:space="preserve"> </w:t>
      </w:r>
      <w:r w:rsidR="000A2BB7" w:rsidRPr="003B2D1D">
        <w:rPr>
          <w:rFonts w:ascii="Arial" w:hAnsi="Arial" w:cs="Arial"/>
        </w:rPr>
        <w:t>healthcare, health information, or support services resulting from direct contact with a healthcare provider where the healthcare results in use of resources associated with observation, assessment, diagnosis, consultation, rehabilitation or treatment</w:t>
      </w:r>
      <w:r w:rsidR="005A7DDA">
        <w:rPr>
          <w:rFonts w:ascii="Arial" w:hAnsi="Arial" w:cs="Arial"/>
        </w:rPr>
        <w:t xml:space="preserve">. </w:t>
      </w:r>
      <w:r w:rsidR="005B1229">
        <w:rPr>
          <w:rFonts w:ascii="Arial" w:hAnsi="Arial" w:cs="Arial"/>
        </w:rPr>
        <w:t xml:space="preserve"> </w:t>
      </w:r>
      <w:r w:rsidR="005A7DDA">
        <w:rPr>
          <w:rFonts w:ascii="Arial" w:hAnsi="Arial" w:cs="Arial"/>
        </w:rPr>
        <w:t>This includes</w:t>
      </w:r>
      <w:r w:rsidR="000A2BB7" w:rsidRPr="003B2D1D">
        <w:rPr>
          <w:rFonts w:ascii="Arial" w:hAnsi="Arial" w:cs="Arial"/>
        </w:rPr>
        <w:t xml:space="preserve"> ongoing support, education, training, or ensuring or monitoring compliance with relevant legislation. </w:t>
      </w:r>
      <w:bookmarkStart w:id="10" w:name="_Toc215318906"/>
    </w:p>
    <w:p w14:paraId="0CA631C4" w14:textId="140A94C1" w:rsidR="000A2BB7" w:rsidRPr="003B2D1D" w:rsidRDefault="000A2BB7" w:rsidP="00B405C4">
      <w:pPr>
        <w:tabs>
          <w:tab w:val="left" w:pos="540"/>
        </w:tabs>
        <w:spacing w:before="240" w:after="120"/>
        <w:rPr>
          <w:rFonts w:ascii="Arial" w:hAnsi="Arial" w:cs="Arial"/>
          <w:b/>
        </w:rPr>
      </w:pPr>
      <w:r w:rsidRPr="003B2D1D">
        <w:rPr>
          <w:rFonts w:ascii="Arial" w:hAnsi="Arial" w:cs="Arial"/>
          <w:b/>
        </w:rPr>
        <w:t>4.</w:t>
      </w:r>
      <w:r w:rsidRPr="003B2D1D">
        <w:rPr>
          <w:rFonts w:ascii="Arial" w:hAnsi="Arial" w:cs="Arial"/>
          <w:b/>
        </w:rPr>
        <w:tab/>
        <w:t>Access</w:t>
      </w:r>
      <w:bookmarkEnd w:id="10"/>
    </w:p>
    <w:p w14:paraId="5ECFEA9E" w14:textId="77777777" w:rsidR="000A2BB7" w:rsidRPr="003B2D1D" w:rsidRDefault="000A2BB7" w:rsidP="001352C0">
      <w:pPr>
        <w:tabs>
          <w:tab w:val="left" w:pos="900"/>
        </w:tabs>
        <w:spacing w:after="120"/>
        <w:rPr>
          <w:rFonts w:ascii="Arial" w:hAnsi="Arial" w:cs="Arial"/>
          <w:b/>
        </w:rPr>
      </w:pPr>
      <w:bookmarkStart w:id="11" w:name="_Toc3079015"/>
      <w:bookmarkStart w:id="12" w:name="_Toc215318907"/>
      <w:r w:rsidRPr="003B2D1D">
        <w:rPr>
          <w:rFonts w:ascii="Arial" w:hAnsi="Arial" w:cs="Arial"/>
          <w:b/>
        </w:rPr>
        <w:t>4.1</w:t>
      </w:r>
      <w:r w:rsidRPr="003B2D1D">
        <w:rPr>
          <w:rFonts w:ascii="Arial" w:hAnsi="Arial" w:cs="Arial"/>
          <w:b/>
        </w:rPr>
        <w:tab/>
        <w:t>Entry and Exit Criteria</w:t>
      </w:r>
      <w:bookmarkEnd w:id="11"/>
      <w:bookmarkEnd w:id="12"/>
    </w:p>
    <w:p w14:paraId="69689500" w14:textId="77777777" w:rsidR="000A2BB7" w:rsidRPr="003B2D1D" w:rsidRDefault="000A2BB7" w:rsidP="001352C0">
      <w:pPr>
        <w:spacing w:before="120"/>
        <w:jc w:val="left"/>
        <w:rPr>
          <w:rFonts w:ascii="Arial" w:hAnsi="Arial" w:cs="Arial"/>
          <w:bCs/>
          <w:color w:val="000000"/>
        </w:rPr>
      </w:pPr>
      <w:r w:rsidRPr="003B2D1D">
        <w:rPr>
          <w:rFonts w:ascii="Arial" w:hAnsi="Arial" w:cs="Arial"/>
          <w:bCs/>
          <w:color w:val="000000"/>
        </w:rPr>
        <w:t xml:space="preserve">Referrals to the </w:t>
      </w:r>
      <w:r w:rsidR="0074457E" w:rsidRPr="003B2D1D">
        <w:rPr>
          <w:rFonts w:ascii="Arial" w:hAnsi="Arial" w:cs="Arial"/>
          <w:bCs/>
          <w:color w:val="000000"/>
        </w:rPr>
        <w:t>S</w:t>
      </w:r>
      <w:r w:rsidRPr="003B2D1D">
        <w:rPr>
          <w:rFonts w:ascii="Arial" w:hAnsi="Arial" w:cs="Arial"/>
          <w:bCs/>
          <w:color w:val="000000"/>
        </w:rPr>
        <w:t xml:space="preserve">ervice may be made from any source, including self-referral.  Some speciality services have specific requirements before accepting a referral.  In these circumstances, services need to have clear documented access criteria and protocols, and ensure these are communicated with family, whānau and others making contact with the </w:t>
      </w:r>
      <w:r w:rsidR="000E49D9" w:rsidRPr="003B2D1D">
        <w:rPr>
          <w:rFonts w:ascii="Arial" w:hAnsi="Arial" w:cs="Arial"/>
          <w:bCs/>
          <w:color w:val="000000"/>
        </w:rPr>
        <w:t>S</w:t>
      </w:r>
      <w:r w:rsidRPr="003B2D1D">
        <w:rPr>
          <w:rFonts w:ascii="Arial" w:hAnsi="Arial" w:cs="Arial"/>
          <w:bCs/>
          <w:color w:val="000000"/>
        </w:rPr>
        <w:t>ervice.</w:t>
      </w:r>
    </w:p>
    <w:p w14:paraId="6C290687" w14:textId="77777777" w:rsidR="000A2BB7" w:rsidRPr="003B2D1D" w:rsidRDefault="000A2BB7" w:rsidP="001352C0">
      <w:pPr>
        <w:spacing w:before="120"/>
        <w:jc w:val="left"/>
        <w:rPr>
          <w:rFonts w:ascii="Arial" w:hAnsi="Arial" w:cs="Arial"/>
          <w:bCs/>
          <w:color w:val="000000"/>
        </w:rPr>
      </w:pPr>
      <w:r w:rsidRPr="003B2D1D">
        <w:rPr>
          <w:rFonts w:ascii="Arial" w:hAnsi="Arial" w:cs="Arial"/>
          <w:bCs/>
          <w:color w:val="000000"/>
        </w:rPr>
        <w:lastRenderedPageBreak/>
        <w:t>On referral (including self-referral), the criteria for assessment is based on the person having a suspected, developing or identifiable mental illness, and/or an addiction problem.</w:t>
      </w:r>
    </w:p>
    <w:p w14:paraId="7CEC4799" w14:textId="77777777" w:rsidR="000A2BB7" w:rsidRPr="003B2D1D" w:rsidRDefault="000A2BB7" w:rsidP="001352C0">
      <w:pPr>
        <w:spacing w:before="120"/>
        <w:jc w:val="left"/>
        <w:rPr>
          <w:rFonts w:ascii="Arial" w:hAnsi="Arial" w:cs="Arial"/>
          <w:bCs/>
          <w:color w:val="000000"/>
        </w:rPr>
      </w:pPr>
      <w:r w:rsidRPr="003B2D1D">
        <w:rPr>
          <w:rFonts w:ascii="Arial" w:hAnsi="Arial" w:cs="Arial"/>
          <w:bCs/>
          <w:color w:val="000000"/>
        </w:rPr>
        <w:t xml:space="preserve">Services may prioritise referrals based on: </w:t>
      </w:r>
    </w:p>
    <w:p w14:paraId="0F83C1C7" w14:textId="77777777" w:rsidR="000A2BB7" w:rsidRPr="003B2D1D" w:rsidRDefault="000A2BB7" w:rsidP="00A774FA">
      <w:pPr>
        <w:numPr>
          <w:ilvl w:val="0"/>
          <w:numId w:val="1"/>
        </w:numPr>
        <w:tabs>
          <w:tab w:val="clear" w:pos="1080"/>
          <w:tab w:val="num" w:pos="540"/>
        </w:tabs>
        <w:spacing w:before="120"/>
        <w:ind w:left="539" w:hanging="539"/>
        <w:jc w:val="left"/>
        <w:rPr>
          <w:rFonts w:ascii="Arial" w:hAnsi="Arial" w:cs="Arial"/>
          <w:color w:val="000000"/>
        </w:rPr>
      </w:pPr>
      <w:r w:rsidRPr="003B2D1D">
        <w:rPr>
          <w:rFonts w:ascii="Arial" w:hAnsi="Arial" w:cs="Arial"/>
          <w:bCs/>
          <w:color w:val="000000"/>
        </w:rPr>
        <w:t xml:space="preserve">clinical assessment about need and the severity of the mental illness and/or addiction </w:t>
      </w:r>
    </w:p>
    <w:p w14:paraId="4CADB93F" w14:textId="77777777" w:rsidR="000A2BB7" w:rsidRPr="003B2D1D" w:rsidRDefault="000A2BB7" w:rsidP="008B081A">
      <w:pPr>
        <w:numPr>
          <w:ilvl w:val="0"/>
          <w:numId w:val="1"/>
        </w:numPr>
        <w:tabs>
          <w:tab w:val="clear" w:pos="1080"/>
          <w:tab w:val="num" w:pos="540"/>
        </w:tabs>
        <w:ind w:left="539" w:hanging="539"/>
        <w:jc w:val="left"/>
        <w:rPr>
          <w:rFonts w:ascii="Arial" w:hAnsi="Arial" w:cs="Arial"/>
          <w:b/>
          <w:color w:val="000000"/>
        </w:rPr>
      </w:pPr>
      <w:r w:rsidRPr="003B2D1D">
        <w:rPr>
          <w:rFonts w:ascii="Arial" w:hAnsi="Arial" w:cs="Arial"/>
          <w:bCs/>
          <w:color w:val="000000"/>
        </w:rPr>
        <w:t>the likely impact the mental illness and</w:t>
      </w:r>
      <w:r w:rsidR="005B1229">
        <w:rPr>
          <w:rFonts w:ascii="Arial" w:hAnsi="Arial" w:cs="Arial"/>
          <w:bCs/>
          <w:color w:val="000000"/>
        </w:rPr>
        <w:t xml:space="preserve"> </w:t>
      </w:r>
      <w:r w:rsidRPr="003B2D1D">
        <w:rPr>
          <w:rFonts w:ascii="Arial" w:hAnsi="Arial" w:cs="Arial"/>
          <w:bCs/>
          <w:color w:val="000000"/>
        </w:rPr>
        <w:t>/</w:t>
      </w:r>
      <w:r w:rsidR="005B1229">
        <w:rPr>
          <w:rFonts w:ascii="Arial" w:hAnsi="Arial" w:cs="Arial"/>
          <w:bCs/>
          <w:color w:val="000000"/>
        </w:rPr>
        <w:t xml:space="preserve"> </w:t>
      </w:r>
      <w:r w:rsidRPr="003B2D1D">
        <w:rPr>
          <w:rFonts w:ascii="Arial" w:hAnsi="Arial" w:cs="Arial"/>
          <w:bCs/>
          <w:color w:val="000000"/>
        </w:rPr>
        <w:t>or addiction will have on the person’s ability to participate in activities of daily living, work, education and community life, and their role as a family and whānau member</w:t>
      </w:r>
    </w:p>
    <w:p w14:paraId="3FA88A71" w14:textId="77777777" w:rsidR="000A2BB7" w:rsidRPr="003B2D1D" w:rsidRDefault="000A2BB7" w:rsidP="008B081A">
      <w:pPr>
        <w:numPr>
          <w:ilvl w:val="0"/>
          <w:numId w:val="1"/>
        </w:numPr>
        <w:tabs>
          <w:tab w:val="clear" w:pos="1080"/>
          <w:tab w:val="num" w:pos="540"/>
        </w:tabs>
        <w:ind w:left="540" w:hanging="540"/>
        <w:jc w:val="left"/>
        <w:rPr>
          <w:rFonts w:ascii="Arial" w:hAnsi="Arial" w:cs="Arial"/>
          <w:lang w:val="en-AU"/>
        </w:rPr>
      </w:pPr>
      <w:r w:rsidRPr="003B2D1D">
        <w:rPr>
          <w:rFonts w:ascii="Arial" w:hAnsi="Arial" w:cs="Arial"/>
          <w:bCs/>
          <w:color w:val="000000"/>
        </w:rPr>
        <w:t>relevant legal requirements</w:t>
      </w:r>
      <w:r w:rsidRPr="003B2D1D">
        <w:rPr>
          <w:rFonts w:ascii="Arial" w:hAnsi="Arial" w:cs="Arial"/>
          <w:color w:val="000000"/>
        </w:rPr>
        <w:t xml:space="preserve"> including the Mental Health Compulsory Assessment and Treatment</w:t>
      </w:r>
      <w:r w:rsidR="00CB654C" w:rsidRPr="003B2D1D">
        <w:rPr>
          <w:rFonts w:ascii="Arial" w:hAnsi="Arial" w:cs="Arial"/>
          <w:color w:val="000000"/>
        </w:rPr>
        <w:t xml:space="preserve"> (CAT)</w:t>
      </w:r>
      <w:r w:rsidRPr="003B2D1D">
        <w:rPr>
          <w:rFonts w:ascii="Arial" w:hAnsi="Arial" w:cs="Arial"/>
          <w:color w:val="000000"/>
        </w:rPr>
        <w:t xml:space="preserve"> Act 1992 and </w:t>
      </w:r>
      <w:r w:rsidRPr="003B2D1D">
        <w:rPr>
          <w:rFonts w:ascii="Arial" w:hAnsi="Arial" w:cs="Arial"/>
          <w:lang w:val="en-AU"/>
        </w:rPr>
        <w:t>Alcoholism and Drug Addiction Act 1966</w:t>
      </w:r>
    </w:p>
    <w:p w14:paraId="3FD3E1C0" w14:textId="77777777" w:rsidR="000A2BB7" w:rsidRPr="003B2D1D" w:rsidRDefault="000A2BB7" w:rsidP="008B081A">
      <w:pPr>
        <w:numPr>
          <w:ilvl w:val="0"/>
          <w:numId w:val="2"/>
        </w:numPr>
        <w:tabs>
          <w:tab w:val="clear" w:pos="1080"/>
          <w:tab w:val="num" w:pos="540"/>
        </w:tabs>
        <w:ind w:left="539" w:hanging="539"/>
        <w:jc w:val="left"/>
        <w:rPr>
          <w:rFonts w:ascii="Arial" w:hAnsi="Arial" w:cs="Arial"/>
          <w:bCs/>
          <w:color w:val="000000"/>
        </w:rPr>
      </w:pPr>
      <w:r w:rsidRPr="003B2D1D">
        <w:rPr>
          <w:rFonts w:ascii="Arial" w:hAnsi="Arial" w:cs="Arial"/>
          <w:bCs/>
          <w:color w:val="000000"/>
        </w:rPr>
        <w:t>the safety of the individual and/or of others such as family members</w:t>
      </w:r>
    </w:p>
    <w:p w14:paraId="3E884E47" w14:textId="77777777" w:rsidR="000A2BB7" w:rsidRPr="003B2D1D" w:rsidRDefault="000A2BB7" w:rsidP="008B081A">
      <w:pPr>
        <w:numPr>
          <w:ilvl w:val="0"/>
          <w:numId w:val="8"/>
        </w:numPr>
        <w:tabs>
          <w:tab w:val="clear" w:pos="720"/>
          <w:tab w:val="num" w:pos="540"/>
        </w:tabs>
        <w:ind w:left="540" w:hanging="540"/>
        <w:jc w:val="left"/>
        <w:rPr>
          <w:rFonts w:ascii="Arial" w:hAnsi="Arial" w:cs="Arial"/>
        </w:rPr>
      </w:pPr>
      <w:bookmarkStart w:id="13" w:name="_Toc215318913"/>
      <w:r w:rsidRPr="003B2D1D">
        <w:rPr>
          <w:rFonts w:ascii="Arial" w:hAnsi="Arial" w:cs="Arial"/>
        </w:rPr>
        <w:t xml:space="preserve">patients may exit the Service by transfer, discharge from the </w:t>
      </w:r>
      <w:r w:rsidR="002441F3" w:rsidRPr="003B2D1D">
        <w:rPr>
          <w:rFonts w:ascii="Arial" w:hAnsi="Arial" w:cs="Arial"/>
        </w:rPr>
        <w:t>S</w:t>
      </w:r>
      <w:r w:rsidRPr="003B2D1D">
        <w:rPr>
          <w:rFonts w:ascii="Arial" w:hAnsi="Arial" w:cs="Arial"/>
        </w:rPr>
        <w:t>ervice or death</w:t>
      </w:r>
      <w:bookmarkEnd w:id="13"/>
    </w:p>
    <w:p w14:paraId="0E2FD73B" w14:textId="77777777" w:rsidR="000A2BB7" w:rsidRPr="003B2D1D" w:rsidRDefault="000A2BB7" w:rsidP="008B081A">
      <w:pPr>
        <w:numPr>
          <w:ilvl w:val="0"/>
          <w:numId w:val="8"/>
        </w:numPr>
        <w:tabs>
          <w:tab w:val="clear" w:pos="720"/>
          <w:tab w:val="num" w:pos="540"/>
        </w:tabs>
        <w:ind w:left="540" w:hanging="540"/>
        <w:jc w:val="left"/>
        <w:rPr>
          <w:rFonts w:ascii="Arial" w:hAnsi="Arial" w:cs="Arial"/>
        </w:rPr>
      </w:pPr>
      <w:bookmarkStart w:id="14" w:name="_Toc215318914"/>
      <w:r w:rsidRPr="003B2D1D">
        <w:rPr>
          <w:rFonts w:ascii="Arial" w:hAnsi="Arial" w:cs="Arial"/>
        </w:rPr>
        <w:t>the Child Health Strategy (1998), defines a child as being aged from before birth to 14 years, and further identifies that young people up to the age of 18 years should be given care within the most developmentally appropriate services, as young people have specific developmental needs which require that they are cared for in youth appropriate settings.  It is also necessary to recognise that the transition to adult services must occur at the appropriate time</w:t>
      </w:r>
      <w:bookmarkEnd w:id="14"/>
      <w:r w:rsidRPr="003B2D1D">
        <w:rPr>
          <w:rFonts w:ascii="Arial" w:hAnsi="Arial" w:cs="Arial"/>
        </w:rPr>
        <w:t xml:space="preserve"> </w:t>
      </w:r>
    </w:p>
    <w:p w14:paraId="5C60B950" w14:textId="77777777" w:rsidR="000A2BB7" w:rsidRPr="003B2D1D" w:rsidRDefault="000A2BB7" w:rsidP="008B081A">
      <w:pPr>
        <w:numPr>
          <w:ilvl w:val="0"/>
          <w:numId w:val="8"/>
        </w:numPr>
        <w:tabs>
          <w:tab w:val="clear" w:pos="720"/>
          <w:tab w:val="num" w:pos="540"/>
        </w:tabs>
        <w:ind w:left="540" w:hanging="540"/>
        <w:jc w:val="left"/>
        <w:rPr>
          <w:rFonts w:ascii="Arial" w:hAnsi="Arial" w:cs="Arial"/>
        </w:rPr>
      </w:pPr>
      <w:r w:rsidRPr="003B2D1D">
        <w:rPr>
          <w:rFonts w:ascii="Arial" w:hAnsi="Arial" w:cs="Arial"/>
        </w:rPr>
        <w:t xml:space="preserve">on entry to the </w:t>
      </w:r>
      <w:r w:rsidR="0074457E" w:rsidRPr="003B2D1D">
        <w:rPr>
          <w:rFonts w:ascii="Arial" w:hAnsi="Arial" w:cs="Arial"/>
        </w:rPr>
        <w:t>S</w:t>
      </w:r>
      <w:r w:rsidRPr="003B2D1D">
        <w:rPr>
          <w:rFonts w:ascii="Arial" w:hAnsi="Arial" w:cs="Arial"/>
        </w:rPr>
        <w:t xml:space="preserve">ervice, the most appropriate course of action will be discussed in consultation with the </w:t>
      </w:r>
      <w:r w:rsidR="00EC3E93">
        <w:rPr>
          <w:rFonts w:ascii="Arial" w:hAnsi="Arial" w:cs="Arial"/>
        </w:rPr>
        <w:t>Service User</w:t>
      </w:r>
      <w:r w:rsidRPr="003B2D1D">
        <w:rPr>
          <w:rFonts w:ascii="Arial" w:hAnsi="Arial" w:cs="Arial"/>
        </w:rPr>
        <w:t xml:space="preserve"> and their family and whanau. </w:t>
      </w:r>
      <w:r w:rsidR="00AE5C91" w:rsidRPr="003B2D1D">
        <w:rPr>
          <w:rFonts w:ascii="Arial" w:hAnsi="Arial" w:cs="Arial"/>
        </w:rPr>
        <w:t xml:space="preserve"> </w:t>
      </w:r>
      <w:r w:rsidRPr="003B2D1D">
        <w:rPr>
          <w:rFonts w:ascii="Arial" w:hAnsi="Arial" w:cs="Arial"/>
        </w:rPr>
        <w:t xml:space="preserve">This will be based on needs, strengths, mental health and /or status and supports. </w:t>
      </w:r>
      <w:r w:rsidR="00AE5C91" w:rsidRPr="003B2D1D">
        <w:rPr>
          <w:rFonts w:ascii="Arial" w:hAnsi="Arial" w:cs="Arial"/>
        </w:rPr>
        <w:t xml:space="preserve"> </w:t>
      </w:r>
      <w:r w:rsidR="00EC3E93">
        <w:rPr>
          <w:rFonts w:ascii="Arial" w:hAnsi="Arial" w:cs="Arial"/>
        </w:rPr>
        <w:t>Service User</w:t>
      </w:r>
      <w:r w:rsidR="005B1229">
        <w:rPr>
          <w:rFonts w:ascii="Arial" w:hAnsi="Arial" w:cs="Arial"/>
        </w:rPr>
        <w:t>s</w:t>
      </w:r>
      <w:r w:rsidRPr="003B2D1D">
        <w:rPr>
          <w:rFonts w:ascii="Arial" w:hAnsi="Arial" w:cs="Arial"/>
        </w:rPr>
        <w:t xml:space="preserve"> must be informed of their choices and options for care</w:t>
      </w:r>
      <w:r w:rsidR="00D81D04">
        <w:rPr>
          <w:rFonts w:ascii="Arial" w:hAnsi="Arial" w:cs="Arial"/>
        </w:rPr>
        <w:t xml:space="preserve"> in line with consent protocols</w:t>
      </w:r>
      <w:r w:rsidRPr="003B2D1D">
        <w:rPr>
          <w:rFonts w:ascii="Arial" w:hAnsi="Arial" w:cs="Arial"/>
        </w:rPr>
        <w:t xml:space="preserve">. </w:t>
      </w:r>
    </w:p>
    <w:p w14:paraId="05B22BD3" w14:textId="77777777" w:rsidR="000A2BB7" w:rsidRPr="003B2D1D" w:rsidRDefault="000A2BB7" w:rsidP="001352C0">
      <w:pPr>
        <w:tabs>
          <w:tab w:val="left" w:pos="900"/>
        </w:tabs>
        <w:spacing w:before="120" w:after="60"/>
        <w:jc w:val="left"/>
        <w:rPr>
          <w:rFonts w:ascii="Arial" w:hAnsi="Arial" w:cs="Arial"/>
          <w:b/>
        </w:rPr>
      </w:pPr>
      <w:bookmarkStart w:id="15" w:name="_Toc215318915"/>
      <w:r w:rsidRPr="003B2D1D">
        <w:rPr>
          <w:rFonts w:ascii="Arial" w:hAnsi="Arial" w:cs="Arial"/>
          <w:b/>
        </w:rPr>
        <w:t>4.2</w:t>
      </w:r>
      <w:r w:rsidRPr="003B2D1D">
        <w:rPr>
          <w:rFonts w:ascii="Arial" w:hAnsi="Arial" w:cs="Arial"/>
          <w:b/>
        </w:rPr>
        <w:tab/>
        <w:t>Distance</w:t>
      </w:r>
      <w:bookmarkStart w:id="16" w:name="_Toc215318916"/>
      <w:bookmarkEnd w:id="15"/>
    </w:p>
    <w:p w14:paraId="1F47F780" w14:textId="77777777" w:rsidR="000A2BB7" w:rsidRPr="003B2D1D" w:rsidRDefault="000A2BB7" w:rsidP="001352C0">
      <w:pPr>
        <w:spacing w:before="120" w:after="120"/>
        <w:jc w:val="left"/>
        <w:rPr>
          <w:rFonts w:ascii="Arial" w:hAnsi="Arial" w:cs="Arial"/>
          <w:b/>
        </w:rPr>
      </w:pPr>
      <w:r w:rsidRPr="003B2D1D">
        <w:rPr>
          <w:rFonts w:ascii="Arial" w:hAnsi="Arial" w:cs="Arial"/>
          <w:bCs/>
          <w:color w:val="000000"/>
        </w:rPr>
        <w:t xml:space="preserve">Services will be delivered locally where possible. </w:t>
      </w:r>
      <w:r w:rsidR="002A5CDB" w:rsidRPr="003B2D1D">
        <w:rPr>
          <w:rFonts w:ascii="Arial" w:hAnsi="Arial" w:cs="Arial"/>
          <w:bCs/>
          <w:color w:val="000000"/>
        </w:rPr>
        <w:t xml:space="preserve"> </w:t>
      </w:r>
      <w:r w:rsidRPr="003B2D1D">
        <w:rPr>
          <w:rFonts w:ascii="Arial" w:hAnsi="Arial" w:cs="Arial"/>
          <w:bCs/>
          <w:color w:val="000000"/>
        </w:rPr>
        <w:t xml:space="preserve">DHBs are also expected to have in place arrangements that ensure the people of their DHB area have access to regionally and nationally provided mental health and addiction services. </w:t>
      </w:r>
      <w:bookmarkStart w:id="17" w:name="_Toc3079017"/>
      <w:bookmarkStart w:id="18" w:name="_Toc215318917"/>
      <w:bookmarkEnd w:id="16"/>
    </w:p>
    <w:p w14:paraId="26EEA5AB" w14:textId="7F4641A5" w:rsidR="000A2BB7" w:rsidRPr="003B2D1D" w:rsidRDefault="000A2BB7" w:rsidP="001352C0">
      <w:pPr>
        <w:spacing w:before="120" w:after="60"/>
        <w:ind w:left="902" w:hanging="902"/>
        <w:jc w:val="left"/>
        <w:rPr>
          <w:rFonts w:ascii="Arial" w:hAnsi="Arial" w:cs="Arial"/>
          <w:b/>
        </w:rPr>
      </w:pPr>
      <w:r w:rsidRPr="003B2D1D">
        <w:rPr>
          <w:rFonts w:ascii="Arial" w:hAnsi="Arial" w:cs="Arial"/>
          <w:b/>
        </w:rPr>
        <w:t>4.3</w:t>
      </w:r>
      <w:r w:rsidRPr="003B2D1D">
        <w:rPr>
          <w:rFonts w:ascii="Arial" w:hAnsi="Arial" w:cs="Arial"/>
          <w:b/>
        </w:rPr>
        <w:tab/>
        <w:t>Time</w:t>
      </w:r>
      <w:bookmarkEnd w:id="17"/>
      <w:r w:rsidR="00994889">
        <w:rPr>
          <w:rFonts w:ascii="Arial" w:hAnsi="Arial" w:cs="Arial"/>
          <w:b/>
        </w:rPr>
        <w:t>liness of Services</w:t>
      </w:r>
      <w:r w:rsidRPr="003B2D1D">
        <w:rPr>
          <w:rFonts w:ascii="Arial" w:hAnsi="Arial" w:cs="Arial"/>
          <w:b/>
        </w:rPr>
        <w:t xml:space="preserve"> </w:t>
      </w:r>
      <w:bookmarkEnd w:id="18"/>
    </w:p>
    <w:p w14:paraId="2C56657E" w14:textId="77777777" w:rsidR="000A2BB7" w:rsidRPr="003B2D1D" w:rsidRDefault="000A2BB7" w:rsidP="001352C0">
      <w:pPr>
        <w:jc w:val="left"/>
        <w:rPr>
          <w:rFonts w:ascii="Arial" w:hAnsi="Arial" w:cs="Arial"/>
          <w:bCs/>
          <w:color w:val="000000"/>
        </w:rPr>
      </w:pPr>
      <w:bookmarkStart w:id="19" w:name="_Toc215318918"/>
      <w:r w:rsidRPr="003B2D1D">
        <w:rPr>
          <w:rFonts w:ascii="Arial" w:hAnsi="Arial" w:cs="Arial"/>
          <w:bCs/>
          <w:color w:val="000000"/>
        </w:rPr>
        <w:t xml:space="preserve">When assistance is required under the Mental Health (CAT) Act 1992, 90% of people presenting should be assessed within four hours. </w:t>
      </w:r>
      <w:r w:rsidR="000571FF" w:rsidRPr="003B2D1D">
        <w:rPr>
          <w:rFonts w:ascii="Arial" w:hAnsi="Arial" w:cs="Arial"/>
          <w:bCs/>
          <w:color w:val="000000"/>
        </w:rPr>
        <w:t xml:space="preserve"> </w:t>
      </w:r>
      <w:r w:rsidRPr="003B2D1D">
        <w:rPr>
          <w:rFonts w:ascii="Arial" w:hAnsi="Arial" w:cs="Arial"/>
          <w:bCs/>
          <w:color w:val="000000"/>
        </w:rPr>
        <w:t>DHBs with isolated rural communities will ensure that effective arrangements are in place.</w:t>
      </w:r>
    </w:p>
    <w:p w14:paraId="09805A7C" w14:textId="77777777" w:rsidR="000A2BB7" w:rsidRPr="003B2D1D" w:rsidRDefault="000A2BB7" w:rsidP="001352C0">
      <w:pPr>
        <w:spacing w:before="120"/>
        <w:jc w:val="left"/>
        <w:rPr>
          <w:rFonts w:ascii="Arial" w:hAnsi="Arial" w:cs="Arial"/>
          <w:bCs/>
          <w:color w:val="000000"/>
        </w:rPr>
      </w:pPr>
      <w:r w:rsidRPr="003B2D1D">
        <w:rPr>
          <w:rFonts w:ascii="Arial" w:hAnsi="Arial" w:cs="Arial"/>
          <w:bCs/>
          <w:color w:val="000000"/>
        </w:rPr>
        <w:t>If a person is assessed as needing hospital care under the Mental Health (CAT) Act 1992, 90% should be admitted to a hospital within six hours of being assessed by a doctor or health professional</w:t>
      </w:r>
      <w:r w:rsidR="000571FF" w:rsidRPr="003B2D1D">
        <w:rPr>
          <w:rFonts w:ascii="Arial" w:hAnsi="Arial" w:cs="Arial"/>
          <w:bCs/>
          <w:color w:val="000000"/>
        </w:rPr>
        <w:t>.</w:t>
      </w:r>
    </w:p>
    <w:p w14:paraId="1C1BF402" w14:textId="77777777" w:rsidR="000A2BB7" w:rsidRPr="003B2D1D" w:rsidRDefault="000A2BB7" w:rsidP="001352C0">
      <w:pPr>
        <w:spacing w:before="120"/>
        <w:jc w:val="left"/>
        <w:rPr>
          <w:rFonts w:ascii="Arial" w:hAnsi="Arial" w:cs="Arial"/>
          <w:bCs/>
          <w:color w:val="000000"/>
        </w:rPr>
      </w:pPr>
      <w:r w:rsidRPr="003B2D1D">
        <w:rPr>
          <w:rFonts w:ascii="Arial" w:hAnsi="Arial" w:cs="Arial"/>
          <w:bCs/>
          <w:color w:val="000000"/>
        </w:rPr>
        <w:t>The DHB will ensure that crisis services to deal with a critical or urgent mental health and/ or addiction needs will be available to people (regardless of whether or not they come under the Mental Health (CAT) Act) as follows:</w:t>
      </w:r>
    </w:p>
    <w:p w14:paraId="776CA39A" w14:textId="77777777" w:rsidR="000A2BB7" w:rsidRPr="003B2D1D" w:rsidRDefault="000A2BB7" w:rsidP="00A774FA">
      <w:pPr>
        <w:numPr>
          <w:ilvl w:val="0"/>
          <w:numId w:val="21"/>
        </w:numPr>
        <w:tabs>
          <w:tab w:val="clear" w:pos="360"/>
          <w:tab w:val="num" w:pos="540"/>
          <w:tab w:val="left" w:pos="1080"/>
        </w:tabs>
        <w:spacing w:before="120"/>
        <w:ind w:left="539" w:hanging="539"/>
        <w:jc w:val="left"/>
        <w:rPr>
          <w:rFonts w:ascii="Arial" w:hAnsi="Arial" w:cs="Arial"/>
          <w:bCs/>
          <w:color w:val="000000"/>
        </w:rPr>
      </w:pPr>
      <w:r w:rsidRPr="003B2D1D">
        <w:rPr>
          <w:rFonts w:ascii="Arial" w:hAnsi="Arial" w:cs="Arial"/>
          <w:bCs/>
          <w:color w:val="000000"/>
        </w:rPr>
        <w:t>telephone or other remote assistance will be available at all times with minimal delay</w:t>
      </w:r>
    </w:p>
    <w:p w14:paraId="1DCD3199" w14:textId="77777777" w:rsidR="000A2BB7" w:rsidRPr="003B2D1D" w:rsidRDefault="000A2BB7" w:rsidP="008B081A">
      <w:pPr>
        <w:numPr>
          <w:ilvl w:val="0"/>
          <w:numId w:val="21"/>
        </w:numPr>
        <w:tabs>
          <w:tab w:val="clear" w:pos="360"/>
          <w:tab w:val="num" w:pos="540"/>
          <w:tab w:val="left" w:pos="1080"/>
        </w:tabs>
        <w:ind w:left="539" w:hanging="539"/>
        <w:jc w:val="left"/>
        <w:rPr>
          <w:rFonts w:ascii="Arial" w:hAnsi="Arial" w:cs="Arial"/>
          <w:bCs/>
          <w:color w:val="000000"/>
        </w:rPr>
      </w:pPr>
      <w:r w:rsidRPr="003B2D1D">
        <w:rPr>
          <w:rFonts w:ascii="Arial" w:hAnsi="Arial" w:cs="Arial"/>
          <w:bCs/>
          <w:color w:val="000000"/>
        </w:rPr>
        <w:t>where telephone assistance is insufficient to meet the person’s needs, direct contact with a clinician will be provided within four hours; DHBs with isolated rural communities will ensure that effective arrangements are in place</w:t>
      </w:r>
    </w:p>
    <w:p w14:paraId="63F48EBA" w14:textId="77777777" w:rsidR="000A2BB7" w:rsidRPr="003B2D1D" w:rsidRDefault="000A2BB7" w:rsidP="008B081A">
      <w:pPr>
        <w:numPr>
          <w:ilvl w:val="0"/>
          <w:numId w:val="21"/>
        </w:numPr>
        <w:tabs>
          <w:tab w:val="clear" w:pos="360"/>
          <w:tab w:val="num" w:pos="540"/>
          <w:tab w:val="left" w:pos="1080"/>
        </w:tabs>
        <w:ind w:left="539" w:hanging="539"/>
        <w:jc w:val="left"/>
        <w:rPr>
          <w:rFonts w:ascii="Arial" w:hAnsi="Arial" w:cs="Arial"/>
          <w:bCs/>
          <w:color w:val="000000"/>
        </w:rPr>
      </w:pPr>
      <w:r w:rsidRPr="003B2D1D">
        <w:rPr>
          <w:rFonts w:ascii="Arial" w:hAnsi="Arial" w:cs="Arial"/>
          <w:bCs/>
          <w:color w:val="000000"/>
        </w:rPr>
        <w:t>other services will be arranged when required, including acute inpatient admission and crisis respite.</w:t>
      </w:r>
    </w:p>
    <w:p w14:paraId="38144EBC" w14:textId="77777777" w:rsidR="000A2BB7" w:rsidRPr="003B2D1D" w:rsidRDefault="000A2BB7" w:rsidP="001352C0">
      <w:pPr>
        <w:spacing w:before="120"/>
        <w:jc w:val="left"/>
        <w:rPr>
          <w:rFonts w:ascii="Arial" w:hAnsi="Arial" w:cs="Arial"/>
          <w:bCs/>
          <w:color w:val="000000"/>
        </w:rPr>
      </w:pPr>
      <w:r w:rsidRPr="003B2D1D">
        <w:rPr>
          <w:rFonts w:ascii="Arial" w:hAnsi="Arial" w:cs="Arial"/>
          <w:bCs/>
          <w:color w:val="000000"/>
        </w:rPr>
        <w:t xml:space="preserve">People </w:t>
      </w:r>
      <w:r w:rsidR="000571FF" w:rsidRPr="003B2D1D">
        <w:rPr>
          <w:rFonts w:ascii="Arial" w:hAnsi="Arial" w:cs="Arial"/>
          <w:bCs/>
          <w:color w:val="000000"/>
        </w:rPr>
        <w:t xml:space="preserve">are </w:t>
      </w:r>
      <w:r w:rsidRPr="003B2D1D">
        <w:rPr>
          <w:rFonts w:ascii="Arial" w:hAnsi="Arial" w:cs="Arial"/>
          <w:bCs/>
          <w:color w:val="000000"/>
        </w:rPr>
        <w:t>seen and assessed as needing services will receive those services as soon as possible.  For some services, there may be a wait before treatment can begin (eg, opioid substitution programmes.)</w:t>
      </w:r>
    </w:p>
    <w:p w14:paraId="7E1D61FA" w14:textId="77777777" w:rsidR="000A2BB7" w:rsidRPr="003B2D1D" w:rsidRDefault="000A2BB7" w:rsidP="00FA5628">
      <w:pPr>
        <w:spacing w:before="120" w:after="120"/>
        <w:jc w:val="left"/>
        <w:rPr>
          <w:rFonts w:ascii="Arial" w:hAnsi="Arial" w:cs="Arial"/>
          <w:bCs/>
          <w:color w:val="000000"/>
        </w:rPr>
      </w:pPr>
      <w:r w:rsidRPr="003B2D1D">
        <w:rPr>
          <w:rFonts w:ascii="Arial" w:hAnsi="Arial" w:cs="Arial"/>
          <w:bCs/>
          <w:color w:val="000000"/>
        </w:rPr>
        <w:lastRenderedPageBreak/>
        <w:t>Note: until a person is assessed, it will not be known whether they fall under the Mental Health (CAT) Act 1992.</w:t>
      </w:r>
    </w:p>
    <w:p w14:paraId="4844B24D" w14:textId="77777777" w:rsidR="000A2BB7" w:rsidRPr="003B2D1D" w:rsidRDefault="000A2BB7" w:rsidP="001352C0">
      <w:pPr>
        <w:tabs>
          <w:tab w:val="left" w:pos="540"/>
        </w:tabs>
        <w:spacing w:before="240" w:after="120"/>
        <w:jc w:val="left"/>
        <w:rPr>
          <w:rFonts w:ascii="Arial" w:hAnsi="Arial" w:cs="Arial"/>
          <w:b/>
        </w:rPr>
      </w:pPr>
      <w:bookmarkStart w:id="20" w:name="_Toc215318919"/>
      <w:bookmarkEnd w:id="19"/>
      <w:r w:rsidRPr="003B2D1D">
        <w:rPr>
          <w:rFonts w:ascii="Arial" w:hAnsi="Arial" w:cs="Arial"/>
          <w:b/>
        </w:rPr>
        <w:t>5.</w:t>
      </w:r>
      <w:r w:rsidRPr="003B2D1D">
        <w:rPr>
          <w:rFonts w:ascii="Arial" w:hAnsi="Arial" w:cs="Arial"/>
          <w:b/>
        </w:rPr>
        <w:tab/>
        <w:t>Service Components</w:t>
      </w:r>
      <w:bookmarkEnd w:id="20"/>
    </w:p>
    <w:p w14:paraId="0E78FED4" w14:textId="77777777" w:rsidR="000A2BB7" w:rsidRPr="003B2D1D" w:rsidRDefault="000A2BB7" w:rsidP="001352C0">
      <w:pPr>
        <w:tabs>
          <w:tab w:val="left" w:pos="900"/>
        </w:tabs>
        <w:spacing w:after="60"/>
        <w:jc w:val="left"/>
        <w:rPr>
          <w:rFonts w:ascii="Arial" w:hAnsi="Arial" w:cs="Arial"/>
          <w:b/>
        </w:rPr>
      </w:pPr>
      <w:bookmarkStart w:id="21" w:name="_Toc3079018"/>
      <w:bookmarkStart w:id="22" w:name="_Toc215318920"/>
      <w:r w:rsidRPr="003B2D1D">
        <w:rPr>
          <w:rFonts w:ascii="Arial" w:hAnsi="Arial" w:cs="Arial"/>
          <w:b/>
        </w:rPr>
        <w:t>5.1</w:t>
      </w:r>
      <w:r w:rsidRPr="003B2D1D">
        <w:rPr>
          <w:rFonts w:ascii="Arial" w:hAnsi="Arial" w:cs="Arial"/>
          <w:b/>
        </w:rPr>
        <w:tab/>
        <w:t>Processes</w:t>
      </w:r>
      <w:bookmarkEnd w:id="21"/>
      <w:bookmarkEnd w:id="22"/>
    </w:p>
    <w:p w14:paraId="52D4D019" w14:textId="0C1FAA4B" w:rsidR="000A2BB7" w:rsidRPr="003B2D1D" w:rsidRDefault="000A2BB7" w:rsidP="001352C0">
      <w:pPr>
        <w:spacing w:before="120" w:after="120"/>
        <w:jc w:val="left"/>
        <w:rPr>
          <w:rFonts w:ascii="Arial" w:hAnsi="Arial" w:cs="Arial"/>
        </w:rPr>
      </w:pPr>
      <w:r w:rsidRPr="003B2D1D">
        <w:rPr>
          <w:rFonts w:ascii="Arial" w:hAnsi="Arial" w:cs="Arial"/>
        </w:rPr>
        <w:t xml:space="preserve">Processes occur as part of a </w:t>
      </w:r>
      <w:r w:rsidR="00EC3E93">
        <w:rPr>
          <w:rFonts w:ascii="Arial" w:hAnsi="Arial" w:cs="Arial"/>
        </w:rPr>
        <w:t>Service User</w:t>
      </w:r>
      <w:r w:rsidRPr="003B2D1D">
        <w:rPr>
          <w:rFonts w:ascii="Arial" w:hAnsi="Arial" w:cs="Arial"/>
        </w:rPr>
        <w:t xml:space="preserve"> pathway. </w:t>
      </w:r>
      <w:r w:rsidR="000571FF" w:rsidRPr="003B2D1D">
        <w:rPr>
          <w:rFonts w:ascii="Arial" w:hAnsi="Arial" w:cs="Arial"/>
        </w:rPr>
        <w:t xml:space="preserve"> </w:t>
      </w:r>
      <w:r w:rsidRPr="003B2D1D">
        <w:rPr>
          <w:rFonts w:ascii="Arial" w:hAnsi="Arial" w:cs="Arial"/>
        </w:rPr>
        <w:t xml:space="preserve">Processes that include: health   education, health promotion, engagement, assessment, diagnosis, treatment, rehabilitation, onward referral, family support, case management, liaison and consultation and </w:t>
      </w:r>
      <w:r w:rsidR="00CC2F18" w:rsidRPr="003B2D1D">
        <w:rPr>
          <w:rFonts w:ascii="Arial" w:hAnsi="Arial" w:cs="Arial"/>
        </w:rPr>
        <w:t>ongoing</w:t>
      </w:r>
      <w:r w:rsidRPr="003B2D1D">
        <w:rPr>
          <w:rFonts w:ascii="Arial" w:hAnsi="Arial" w:cs="Arial"/>
        </w:rPr>
        <w:t xml:space="preserve"> support. </w:t>
      </w:r>
    </w:p>
    <w:p w14:paraId="49403B0E" w14:textId="77777777" w:rsidR="000A2BB7" w:rsidRPr="003B2D1D" w:rsidRDefault="000A2BB7" w:rsidP="001352C0">
      <w:pPr>
        <w:jc w:val="left"/>
        <w:rPr>
          <w:rFonts w:ascii="Arial" w:hAnsi="Arial" w:cs="Arial"/>
        </w:rPr>
      </w:pPr>
      <w:r w:rsidRPr="003B2D1D">
        <w:rPr>
          <w:rFonts w:ascii="Arial" w:hAnsi="Arial" w:cs="Arial"/>
        </w:rPr>
        <w:t xml:space="preserve">At all stages of this pathway, skilful engagement, consultation and, where appropriate joint care planning between services will be used to ensure the needs of the </w:t>
      </w:r>
      <w:r w:rsidR="00EC3E93">
        <w:rPr>
          <w:rFonts w:ascii="Arial" w:hAnsi="Arial" w:cs="Arial"/>
        </w:rPr>
        <w:t>Service User</w:t>
      </w:r>
      <w:r w:rsidRPr="003B2D1D">
        <w:rPr>
          <w:rFonts w:ascii="Arial" w:hAnsi="Arial" w:cs="Arial"/>
        </w:rPr>
        <w:t xml:space="preserve"> are identified and responded to.  </w:t>
      </w:r>
      <w:r w:rsidR="00EC3E93">
        <w:rPr>
          <w:rFonts w:ascii="Arial" w:hAnsi="Arial" w:cs="Arial"/>
        </w:rPr>
        <w:t>Service User</w:t>
      </w:r>
      <w:r w:rsidR="005B1229">
        <w:rPr>
          <w:rFonts w:ascii="Arial" w:hAnsi="Arial" w:cs="Arial"/>
        </w:rPr>
        <w:t>s</w:t>
      </w:r>
      <w:r w:rsidRPr="003B2D1D">
        <w:rPr>
          <w:rFonts w:ascii="Arial" w:hAnsi="Arial" w:cs="Arial"/>
        </w:rPr>
        <w:t xml:space="preserve"> and their family and whānau should be encouraged to participate in evaluation/review at each step.  Appropriate risk management procedures should also be put in place for the safety of </w:t>
      </w:r>
      <w:r w:rsidR="0074457E" w:rsidRPr="003B2D1D">
        <w:rPr>
          <w:rFonts w:ascii="Arial" w:hAnsi="Arial" w:cs="Arial"/>
        </w:rPr>
        <w:t xml:space="preserve">the </w:t>
      </w:r>
      <w:r w:rsidR="00EC3E93">
        <w:rPr>
          <w:rFonts w:ascii="Arial" w:hAnsi="Arial" w:cs="Arial"/>
        </w:rPr>
        <w:t>Service User</w:t>
      </w:r>
      <w:r w:rsidR="005B1229">
        <w:rPr>
          <w:rFonts w:ascii="Arial" w:hAnsi="Arial" w:cs="Arial"/>
        </w:rPr>
        <w:t>s</w:t>
      </w:r>
      <w:r w:rsidRPr="003B2D1D">
        <w:rPr>
          <w:rFonts w:ascii="Arial" w:hAnsi="Arial" w:cs="Arial"/>
        </w:rPr>
        <w:t>, staff and others.</w:t>
      </w:r>
    </w:p>
    <w:p w14:paraId="4026581C" w14:textId="77777777" w:rsidR="000A2BB7" w:rsidRPr="003B2D1D" w:rsidRDefault="000A2BB7" w:rsidP="001352C0">
      <w:pPr>
        <w:tabs>
          <w:tab w:val="left" w:pos="900"/>
        </w:tabs>
        <w:spacing w:before="120" w:after="60"/>
        <w:jc w:val="left"/>
        <w:rPr>
          <w:rFonts w:ascii="Arial" w:hAnsi="Arial" w:cs="Arial"/>
          <w:b/>
        </w:rPr>
      </w:pPr>
      <w:r w:rsidRPr="003B2D1D">
        <w:rPr>
          <w:rFonts w:ascii="Arial" w:hAnsi="Arial" w:cs="Arial"/>
          <w:b/>
        </w:rPr>
        <w:t>5.1</w:t>
      </w:r>
      <w:r w:rsidR="00EF2A63" w:rsidRPr="003B2D1D">
        <w:rPr>
          <w:rFonts w:ascii="Arial" w:hAnsi="Arial" w:cs="Arial"/>
          <w:b/>
        </w:rPr>
        <w:t>.</w:t>
      </w:r>
      <w:r w:rsidRPr="003B2D1D">
        <w:rPr>
          <w:rFonts w:ascii="Arial" w:hAnsi="Arial" w:cs="Arial"/>
          <w:b/>
        </w:rPr>
        <w:t>1</w:t>
      </w:r>
      <w:r w:rsidRPr="003B2D1D">
        <w:rPr>
          <w:rFonts w:ascii="Arial" w:hAnsi="Arial" w:cs="Arial"/>
          <w:b/>
        </w:rPr>
        <w:tab/>
        <w:t>Assessment</w:t>
      </w:r>
    </w:p>
    <w:p w14:paraId="1A0F03B7" w14:textId="77777777" w:rsidR="000A2BB7" w:rsidRPr="003B2D1D" w:rsidRDefault="000A2BB7" w:rsidP="001352C0">
      <w:pPr>
        <w:spacing w:before="120"/>
        <w:jc w:val="left"/>
        <w:rPr>
          <w:rFonts w:ascii="Arial" w:hAnsi="Arial" w:cs="Arial"/>
        </w:rPr>
      </w:pPr>
      <w:r w:rsidRPr="003B2D1D">
        <w:rPr>
          <w:rFonts w:ascii="Arial" w:hAnsi="Arial" w:cs="Arial"/>
        </w:rPr>
        <w:t>Assessment will be appropriate and sufficiently comprehensive for the purpose of the particular service.  It forms the basis of the recommended treatment, intervention or support and must be completed by staff with the required competency, knowledge and skills.</w:t>
      </w:r>
    </w:p>
    <w:p w14:paraId="4D0E3947" w14:textId="77777777" w:rsidR="000A2BB7" w:rsidRPr="003B2D1D" w:rsidRDefault="000A2BB7" w:rsidP="001352C0">
      <w:pPr>
        <w:spacing w:before="120"/>
        <w:jc w:val="left"/>
        <w:rPr>
          <w:rFonts w:ascii="Arial" w:hAnsi="Arial" w:cs="Arial"/>
        </w:rPr>
      </w:pPr>
      <w:r w:rsidRPr="003B2D1D">
        <w:rPr>
          <w:rFonts w:ascii="Arial" w:hAnsi="Arial" w:cs="Arial"/>
        </w:rPr>
        <w:t xml:space="preserve">The assessment process will vary and take into account individual circumstances and, as well as the </w:t>
      </w:r>
      <w:r w:rsidR="00EC3E93">
        <w:rPr>
          <w:rFonts w:ascii="Arial" w:hAnsi="Arial" w:cs="Arial"/>
        </w:rPr>
        <w:t>Service User</w:t>
      </w:r>
      <w:r w:rsidRPr="003B2D1D">
        <w:rPr>
          <w:rFonts w:ascii="Arial" w:hAnsi="Arial" w:cs="Arial"/>
        </w:rPr>
        <w:t xml:space="preserve">, will include agreed family, whānau and support people where practicable.  The assessment will take into consideration cultural needs.  A full explanation of the process must be provided and reiterated to the </w:t>
      </w:r>
      <w:r w:rsidR="00EC3E93">
        <w:rPr>
          <w:rFonts w:ascii="Arial" w:hAnsi="Arial" w:cs="Arial"/>
        </w:rPr>
        <w:t>Service User</w:t>
      </w:r>
      <w:r w:rsidRPr="003B2D1D">
        <w:rPr>
          <w:rFonts w:ascii="Arial" w:hAnsi="Arial" w:cs="Arial"/>
        </w:rPr>
        <w:t xml:space="preserve"> and those accompanying them.  </w:t>
      </w:r>
    </w:p>
    <w:p w14:paraId="35B842AB" w14:textId="77777777" w:rsidR="000A2BB7" w:rsidRPr="003B2D1D" w:rsidRDefault="000A2BB7" w:rsidP="001352C0">
      <w:pPr>
        <w:spacing w:before="120"/>
        <w:jc w:val="left"/>
        <w:rPr>
          <w:rFonts w:ascii="Arial" w:hAnsi="Arial" w:cs="Arial"/>
        </w:rPr>
      </w:pPr>
      <w:r w:rsidRPr="003B2D1D">
        <w:rPr>
          <w:rFonts w:ascii="Arial" w:hAnsi="Arial" w:cs="Arial"/>
        </w:rPr>
        <w:t xml:space="preserve">The assessment will help develop an initial recovery plan, which will include treatment, intervention or support options, appropriate risk assessment/management and the plan for discharge.  Recovery plans will be developed in a collaborative process with </w:t>
      </w:r>
      <w:r w:rsidR="00EC3E93">
        <w:rPr>
          <w:rFonts w:ascii="Arial" w:hAnsi="Arial" w:cs="Arial"/>
        </w:rPr>
        <w:t>Service User</w:t>
      </w:r>
      <w:r w:rsidR="005B1229">
        <w:rPr>
          <w:rFonts w:ascii="Arial" w:hAnsi="Arial" w:cs="Arial"/>
        </w:rPr>
        <w:t>s</w:t>
      </w:r>
      <w:r w:rsidRPr="003B2D1D">
        <w:rPr>
          <w:rFonts w:ascii="Arial" w:hAnsi="Arial" w:cs="Arial"/>
        </w:rPr>
        <w:t xml:space="preserve">, their family and whānau and support networks and </w:t>
      </w:r>
      <w:r w:rsidR="0009388D">
        <w:rPr>
          <w:rFonts w:ascii="Arial" w:hAnsi="Arial" w:cs="Arial"/>
        </w:rPr>
        <w:t xml:space="preserve">will </w:t>
      </w:r>
      <w:r w:rsidRPr="003B2D1D">
        <w:rPr>
          <w:rFonts w:ascii="Arial" w:hAnsi="Arial" w:cs="Arial"/>
        </w:rPr>
        <w:t xml:space="preserve">address their broader physical, spiritual, social and psychological needs and aspirations.  The recovery plan will be discussed with the </w:t>
      </w:r>
      <w:r w:rsidR="00EC3E93">
        <w:rPr>
          <w:rFonts w:ascii="Arial" w:hAnsi="Arial" w:cs="Arial"/>
        </w:rPr>
        <w:t>Service User</w:t>
      </w:r>
      <w:r w:rsidRPr="003B2D1D">
        <w:rPr>
          <w:rFonts w:ascii="Arial" w:hAnsi="Arial" w:cs="Arial"/>
        </w:rPr>
        <w:t xml:space="preserve">, and informed consent must be sought.  There will be a process in place for reassessment.  The assessment process should take into account identification of parental roles and responsibilities.  Because </w:t>
      </w:r>
      <w:r w:rsidR="00EF7473" w:rsidRPr="003B2D1D">
        <w:rPr>
          <w:rFonts w:ascii="Arial" w:hAnsi="Arial" w:cs="Arial"/>
        </w:rPr>
        <w:t xml:space="preserve">the </w:t>
      </w:r>
      <w:r w:rsidR="00EC3E93">
        <w:rPr>
          <w:rFonts w:ascii="Arial" w:hAnsi="Arial" w:cs="Arial"/>
        </w:rPr>
        <w:t>Service User</w:t>
      </w:r>
      <w:r w:rsidR="005B1229">
        <w:rPr>
          <w:rFonts w:ascii="Arial" w:hAnsi="Arial" w:cs="Arial"/>
        </w:rPr>
        <w:t>s</w:t>
      </w:r>
      <w:r w:rsidRPr="003B2D1D">
        <w:rPr>
          <w:rFonts w:ascii="Arial" w:hAnsi="Arial" w:cs="Arial"/>
        </w:rPr>
        <w:t xml:space="preserve"> may be linked into several different services, all will contribute to the overall recovery plan.  </w:t>
      </w:r>
    </w:p>
    <w:p w14:paraId="78E266D8" w14:textId="62B57B2A" w:rsidR="000A2BB7" w:rsidRPr="003B2D1D" w:rsidRDefault="000A2BB7" w:rsidP="008B081A">
      <w:pPr>
        <w:tabs>
          <w:tab w:val="left" w:pos="900"/>
        </w:tabs>
        <w:spacing w:before="120"/>
        <w:jc w:val="left"/>
        <w:rPr>
          <w:rFonts w:ascii="Arial" w:hAnsi="Arial" w:cs="Arial"/>
          <w:b/>
        </w:rPr>
      </w:pPr>
      <w:r w:rsidRPr="003B2D1D">
        <w:rPr>
          <w:rFonts w:ascii="Arial" w:hAnsi="Arial" w:cs="Arial"/>
          <w:b/>
        </w:rPr>
        <w:t>5.1</w:t>
      </w:r>
      <w:r w:rsidR="00EF2A63" w:rsidRPr="003B2D1D">
        <w:rPr>
          <w:rFonts w:ascii="Arial" w:hAnsi="Arial" w:cs="Arial"/>
          <w:b/>
        </w:rPr>
        <w:t>.</w:t>
      </w:r>
      <w:r w:rsidRPr="003B2D1D">
        <w:rPr>
          <w:rFonts w:ascii="Arial" w:hAnsi="Arial" w:cs="Arial"/>
          <w:b/>
        </w:rPr>
        <w:t>2</w:t>
      </w:r>
      <w:r w:rsidRPr="003B2D1D">
        <w:rPr>
          <w:rFonts w:ascii="Arial" w:hAnsi="Arial" w:cs="Arial"/>
          <w:b/>
        </w:rPr>
        <w:tab/>
        <w:t xml:space="preserve">Treatment, </w:t>
      </w:r>
      <w:r w:rsidR="0037768D" w:rsidRPr="003B2D1D">
        <w:rPr>
          <w:rFonts w:ascii="Arial" w:hAnsi="Arial" w:cs="Arial"/>
          <w:b/>
        </w:rPr>
        <w:t>I</w:t>
      </w:r>
      <w:r w:rsidRPr="003B2D1D">
        <w:rPr>
          <w:rFonts w:ascii="Arial" w:hAnsi="Arial" w:cs="Arial"/>
          <w:b/>
        </w:rPr>
        <w:t xml:space="preserve">ntervention and </w:t>
      </w:r>
      <w:r w:rsidR="0037768D" w:rsidRPr="003B2D1D">
        <w:rPr>
          <w:rFonts w:ascii="Arial" w:hAnsi="Arial" w:cs="Arial"/>
          <w:b/>
        </w:rPr>
        <w:t>S</w:t>
      </w:r>
      <w:r w:rsidRPr="003B2D1D">
        <w:rPr>
          <w:rFonts w:ascii="Arial" w:hAnsi="Arial" w:cs="Arial"/>
          <w:b/>
        </w:rPr>
        <w:t>upport</w:t>
      </w:r>
    </w:p>
    <w:p w14:paraId="20906CAC" w14:textId="77777777" w:rsidR="000A2BB7" w:rsidRPr="003B2D1D" w:rsidRDefault="000A2BB7" w:rsidP="001352C0">
      <w:pPr>
        <w:spacing w:before="120"/>
        <w:jc w:val="left"/>
        <w:rPr>
          <w:rFonts w:ascii="Arial" w:hAnsi="Arial" w:cs="Arial"/>
        </w:rPr>
      </w:pPr>
      <w:r w:rsidRPr="003B2D1D">
        <w:rPr>
          <w:rFonts w:ascii="Arial" w:hAnsi="Arial" w:cs="Arial"/>
        </w:rPr>
        <w:t xml:space="preserve">Treatment, intervention and/or support are the key focuses for </w:t>
      </w:r>
      <w:r w:rsidR="0074457E" w:rsidRPr="003B2D1D">
        <w:rPr>
          <w:rFonts w:ascii="Arial" w:hAnsi="Arial" w:cs="Arial"/>
        </w:rPr>
        <w:t>the S</w:t>
      </w:r>
      <w:r w:rsidRPr="003B2D1D">
        <w:rPr>
          <w:rFonts w:ascii="Arial" w:hAnsi="Arial" w:cs="Arial"/>
        </w:rPr>
        <w:t xml:space="preserve">ervice delivery.  The models for treatment, intervention and/or support will vary, and are described in further detail in </w:t>
      </w:r>
      <w:r w:rsidR="000571FF" w:rsidRPr="003B2D1D">
        <w:rPr>
          <w:rFonts w:ascii="Arial" w:hAnsi="Arial" w:cs="Arial"/>
        </w:rPr>
        <w:t>t</w:t>
      </w:r>
      <w:r w:rsidRPr="003B2D1D">
        <w:rPr>
          <w:rFonts w:ascii="Arial" w:hAnsi="Arial" w:cs="Arial"/>
        </w:rPr>
        <w:t xml:space="preserve">ier </w:t>
      </w:r>
      <w:r w:rsidR="000571FF" w:rsidRPr="003B2D1D">
        <w:rPr>
          <w:rFonts w:ascii="Arial" w:hAnsi="Arial" w:cs="Arial"/>
        </w:rPr>
        <w:t>t</w:t>
      </w:r>
      <w:r w:rsidRPr="003B2D1D">
        <w:rPr>
          <w:rFonts w:ascii="Arial" w:hAnsi="Arial" w:cs="Arial"/>
        </w:rPr>
        <w:t xml:space="preserve">wo and </w:t>
      </w:r>
      <w:r w:rsidR="000571FF" w:rsidRPr="003B2D1D">
        <w:rPr>
          <w:rFonts w:ascii="Arial" w:hAnsi="Arial" w:cs="Arial"/>
        </w:rPr>
        <w:t>t</w:t>
      </w:r>
      <w:r w:rsidRPr="003B2D1D">
        <w:rPr>
          <w:rFonts w:ascii="Arial" w:hAnsi="Arial" w:cs="Arial"/>
        </w:rPr>
        <w:t xml:space="preserve">hree specifications.  </w:t>
      </w:r>
    </w:p>
    <w:p w14:paraId="5FA5D43B" w14:textId="77777777" w:rsidR="000A2BB7" w:rsidRPr="003B2D1D" w:rsidRDefault="000A2BB7" w:rsidP="001352C0">
      <w:pPr>
        <w:spacing w:before="120"/>
        <w:jc w:val="left"/>
        <w:rPr>
          <w:rFonts w:ascii="Arial" w:hAnsi="Arial" w:cs="Arial"/>
        </w:rPr>
      </w:pPr>
      <w:r w:rsidRPr="003B2D1D">
        <w:rPr>
          <w:rFonts w:ascii="Arial" w:hAnsi="Arial" w:cs="Arial"/>
        </w:rPr>
        <w:t xml:space="preserve">After the initial assessment, treatment, intervention and/or support options will be recommended specific to the </w:t>
      </w:r>
      <w:r w:rsidR="00EC3E93">
        <w:rPr>
          <w:rFonts w:ascii="Arial" w:hAnsi="Arial" w:cs="Arial"/>
        </w:rPr>
        <w:t>Service User</w:t>
      </w:r>
      <w:r w:rsidR="005B1229">
        <w:rPr>
          <w:rFonts w:ascii="Arial" w:hAnsi="Arial" w:cs="Arial"/>
        </w:rPr>
        <w:t>s</w:t>
      </w:r>
      <w:r w:rsidR="002414E6" w:rsidRPr="003B2D1D">
        <w:rPr>
          <w:rFonts w:ascii="Arial" w:hAnsi="Arial" w:cs="Arial"/>
        </w:rPr>
        <w:t>’</w:t>
      </w:r>
      <w:r w:rsidRPr="003B2D1D">
        <w:rPr>
          <w:rFonts w:ascii="Arial" w:hAnsi="Arial" w:cs="Arial"/>
        </w:rPr>
        <w:t xml:space="preserve"> individual needs and circumstances.  The recovery plan will be developed collaboratively with the </w:t>
      </w:r>
      <w:r w:rsidR="00EC3E93">
        <w:rPr>
          <w:rFonts w:ascii="Arial" w:hAnsi="Arial" w:cs="Arial"/>
        </w:rPr>
        <w:t>Service User</w:t>
      </w:r>
      <w:r w:rsidRPr="003B2D1D">
        <w:rPr>
          <w:rFonts w:ascii="Arial" w:hAnsi="Arial" w:cs="Arial"/>
        </w:rPr>
        <w:t xml:space="preserve"> and, if appropriate, their family and whānau that will identify goals towards discharge and outline supports to assist the person to achieve those goals.  It will include early warning signs, wellness maintenance, relapse prevention information and may include advance directives.  Recovery plans will address the </w:t>
      </w:r>
      <w:r w:rsidR="00EC3E93">
        <w:rPr>
          <w:rFonts w:ascii="Arial" w:hAnsi="Arial" w:cs="Arial"/>
        </w:rPr>
        <w:t>Service User</w:t>
      </w:r>
      <w:r w:rsidRPr="003B2D1D">
        <w:rPr>
          <w:rFonts w:ascii="Arial" w:hAnsi="Arial" w:cs="Arial"/>
        </w:rPr>
        <w:t xml:space="preserve">’s broader physical, spiritual, social and psychological needs and aspirations.  Recovery plans will be kept current by regular review.  Evidence-based, best practice education and information will be proactively provided to </w:t>
      </w:r>
      <w:r w:rsidR="00EC3E93">
        <w:rPr>
          <w:rFonts w:ascii="Arial" w:hAnsi="Arial" w:cs="Arial"/>
        </w:rPr>
        <w:t>Service User</w:t>
      </w:r>
      <w:r w:rsidR="005B1229">
        <w:rPr>
          <w:rFonts w:ascii="Arial" w:hAnsi="Arial" w:cs="Arial"/>
        </w:rPr>
        <w:t>s</w:t>
      </w:r>
      <w:r w:rsidRPr="003B2D1D">
        <w:rPr>
          <w:rFonts w:ascii="Arial" w:hAnsi="Arial" w:cs="Arial"/>
        </w:rPr>
        <w:t xml:space="preserve"> and their family and whānau.  The </w:t>
      </w:r>
      <w:r w:rsidR="00EC3E93">
        <w:rPr>
          <w:rFonts w:ascii="Arial" w:hAnsi="Arial" w:cs="Arial"/>
        </w:rPr>
        <w:t>Service User</w:t>
      </w:r>
      <w:r w:rsidRPr="003B2D1D">
        <w:rPr>
          <w:rFonts w:ascii="Arial" w:hAnsi="Arial" w:cs="Arial"/>
        </w:rPr>
        <w:t xml:space="preserve"> will give written informed </w:t>
      </w:r>
      <w:r w:rsidRPr="003B2D1D">
        <w:rPr>
          <w:rFonts w:ascii="Arial" w:hAnsi="Arial" w:cs="Arial"/>
        </w:rPr>
        <w:lastRenderedPageBreak/>
        <w:t xml:space="preserve">consent for treatment, intervention and/or support and will receive a copy of their recovery plan.  </w:t>
      </w:r>
    </w:p>
    <w:p w14:paraId="77CBBBCA" w14:textId="77777777" w:rsidR="000A2BB7" w:rsidRPr="003B2D1D" w:rsidRDefault="000A2BB7" w:rsidP="001352C0">
      <w:pPr>
        <w:spacing w:before="120"/>
        <w:jc w:val="left"/>
        <w:rPr>
          <w:rFonts w:ascii="Arial" w:hAnsi="Arial" w:cs="Arial"/>
        </w:rPr>
      </w:pPr>
      <w:r w:rsidRPr="003B2D1D">
        <w:rPr>
          <w:rFonts w:ascii="Arial" w:hAnsi="Arial" w:cs="Arial"/>
        </w:rPr>
        <w:t xml:space="preserve">More positive outcomes occur when people are able to easily access services, and when services show flexibility and encourage </w:t>
      </w:r>
      <w:r w:rsidR="00EC3E93">
        <w:rPr>
          <w:rFonts w:ascii="Arial" w:hAnsi="Arial" w:cs="Arial"/>
        </w:rPr>
        <w:t>Service User</w:t>
      </w:r>
      <w:r w:rsidRPr="003B2D1D">
        <w:rPr>
          <w:rFonts w:ascii="Arial" w:hAnsi="Arial" w:cs="Arial"/>
        </w:rPr>
        <w:t xml:space="preserve"> participation within clearly communicated and coherent treatment programmes.  Information should also be provided about the role of family and whānau and the supports available to them, and other social networks.</w:t>
      </w:r>
    </w:p>
    <w:p w14:paraId="5DF024D9" w14:textId="77777777" w:rsidR="000A2BB7" w:rsidRPr="003B2D1D" w:rsidRDefault="000A2BB7" w:rsidP="001352C0">
      <w:pPr>
        <w:tabs>
          <w:tab w:val="left" w:pos="900"/>
        </w:tabs>
        <w:spacing w:before="120" w:after="60"/>
        <w:jc w:val="left"/>
        <w:rPr>
          <w:rFonts w:ascii="Arial" w:hAnsi="Arial" w:cs="Arial"/>
          <w:b/>
        </w:rPr>
      </w:pPr>
      <w:r w:rsidRPr="003B2D1D">
        <w:rPr>
          <w:rFonts w:ascii="Arial" w:hAnsi="Arial" w:cs="Arial"/>
          <w:b/>
        </w:rPr>
        <w:t>5.1</w:t>
      </w:r>
      <w:r w:rsidR="00EF2A63" w:rsidRPr="003B2D1D">
        <w:rPr>
          <w:rFonts w:ascii="Arial" w:hAnsi="Arial" w:cs="Arial"/>
          <w:b/>
        </w:rPr>
        <w:t>.</w:t>
      </w:r>
      <w:r w:rsidRPr="003B2D1D">
        <w:rPr>
          <w:rFonts w:ascii="Arial" w:hAnsi="Arial" w:cs="Arial"/>
          <w:b/>
        </w:rPr>
        <w:t>3</w:t>
      </w:r>
      <w:r w:rsidRPr="003B2D1D">
        <w:rPr>
          <w:rFonts w:ascii="Arial" w:hAnsi="Arial" w:cs="Arial"/>
          <w:b/>
        </w:rPr>
        <w:tab/>
        <w:t xml:space="preserve">Review </w:t>
      </w:r>
      <w:r w:rsidR="0037768D" w:rsidRPr="003B2D1D">
        <w:rPr>
          <w:rFonts w:ascii="Arial" w:hAnsi="Arial" w:cs="Arial"/>
          <w:b/>
        </w:rPr>
        <w:t>P</w:t>
      </w:r>
      <w:r w:rsidRPr="003B2D1D">
        <w:rPr>
          <w:rFonts w:ascii="Arial" w:hAnsi="Arial" w:cs="Arial"/>
          <w:b/>
        </w:rPr>
        <w:t>rocess</w:t>
      </w:r>
    </w:p>
    <w:p w14:paraId="60C28B65" w14:textId="77777777" w:rsidR="000A2BB7" w:rsidRPr="003B2D1D" w:rsidRDefault="000A2BB7" w:rsidP="001352C0">
      <w:pPr>
        <w:spacing w:before="120"/>
        <w:jc w:val="left"/>
        <w:rPr>
          <w:rFonts w:ascii="Arial" w:hAnsi="Arial" w:cs="Arial"/>
        </w:rPr>
      </w:pPr>
      <w:r w:rsidRPr="003B2D1D">
        <w:rPr>
          <w:rFonts w:ascii="Arial" w:hAnsi="Arial" w:cs="Arial"/>
        </w:rPr>
        <w:t xml:space="preserve">This is the process of formally reviewing recovery plans, goals and outcomes both with the </w:t>
      </w:r>
      <w:r w:rsidR="00EC3E93">
        <w:rPr>
          <w:rFonts w:ascii="Arial" w:hAnsi="Arial" w:cs="Arial"/>
        </w:rPr>
        <w:t>Service User</w:t>
      </w:r>
      <w:r w:rsidRPr="003B2D1D">
        <w:rPr>
          <w:rFonts w:ascii="Arial" w:hAnsi="Arial" w:cs="Arial"/>
        </w:rPr>
        <w:t xml:space="preserve"> and in a multi-disciplinary setting.  Reviews must occur at a minimum of every six months but the frequency will be determined by the </w:t>
      </w:r>
      <w:r w:rsidR="00EC3E93">
        <w:rPr>
          <w:rFonts w:ascii="Arial" w:hAnsi="Arial" w:cs="Arial"/>
        </w:rPr>
        <w:t>Service User</w:t>
      </w:r>
      <w:r w:rsidRPr="003B2D1D">
        <w:rPr>
          <w:rFonts w:ascii="Arial" w:hAnsi="Arial" w:cs="Arial"/>
        </w:rPr>
        <w:t>'s individual circumstances, for example, their specific goals and the specific role of the service involved.  In the addiction sector it is recommended that a review of progress is more frequent, occurring at a minimum of once every four months.</w:t>
      </w:r>
    </w:p>
    <w:p w14:paraId="226A977B" w14:textId="2AA4CBF9" w:rsidR="000A2BB7" w:rsidRPr="003B2D1D" w:rsidRDefault="000A2BB7" w:rsidP="001352C0">
      <w:pPr>
        <w:spacing w:before="120"/>
        <w:jc w:val="left"/>
        <w:rPr>
          <w:rFonts w:ascii="Arial" w:hAnsi="Arial" w:cs="Arial"/>
        </w:rPr>
      </w:pPr>
      <w:r w:rsidRPr="003B2D1D">
        <w:rPr>
          <w:rFonts w:ascii="Arial" w:hAnsi="Arial" w:cs="Arial"/>
        </w:rPr>
        <w:t xml:space="preserve">The review will include the </w:t>
      </w:r>
      <w:r w:rsidR="00EC3E93">
        <w:rPr>
          <w:rFonts w:ascii="Arial" w:hAnsi="Arial" w:cs="Arial"/>
        </w:rPr>
        <w:t>Service User</w:t>
      </w:r>
      <w:r w:rsidRPr="003B2D1D">
        <w:rPr>
          <w:rFonts w:ascii="Arial" w:hAnsi="Arial" w:cs="Arial"/>
        </w:rPr>
        <w:t xml:space="preserve"> and with their consent, their family and whānau.  Reviewed outcomes and new treatment goals will be reflected in ongoing recovery plans.</w:t>
      </w:r>
      <w:r w:rsidR="00AB44A1">
        <w:rPr>
          <w:rFonts w:ascii="Arial" w:hAnsi="Arial" w:cs="Arial"/>
        </w:rPr>
        <w:t xml:space="preserve"> </w:t>
      </w:r>
    </w:p>
    <w:p w14:paraId="6E4211D6" w14:textId="77777777" w:rsidR="000A2BB7" w:rsidRPr="003B2D1D" w:rsidRDefault="000A2BB7" w:rsidP="001352C0">
      <w:pPr>
        <w:tabs>
          <w:tab w:val="left" w:pos="900"/>
        </w:tabs>
        <w:spacing w:before="120" w:after="60"/>
        <w:jc w:val="left"/>
        <w:rPr>
          <w:rFonts w:ascii="Arial" w:hAnsi="Arial" w:cs="Arial"/>
          <w:b/>
        </w:rPr>
      </w:pPr>
      <w:r w:rsidRPr="003B2D1D">
        <w:rPr>
          <w:rFonts w:ascii="Arial" w:hAnsi="Arial" w:cs="Arial"/>
          <w:b/>
        </w:rPr>
        <w:t>5.1</w:t>
      </w:r>
      <w:r w:rsidR="00EF2A63" w:rsidRPr="003B2D1D">
        <w:rPr>
          <w:rFonts w:ascii="Arial" w:hAnsi="Arial" w:cs="Arial"/>
          <w:b/>
        </w:rPr>
        <w:t>.</w:t>
      </w:r>
      <w:r w:rsidRPr="003B2D1D">
        <w:rPr>
          <w:rFonts w:ascii="Arial" w:hAnsi="Arial" w:cs="Arial"/>
          <w:b/>
        </w:rPr>
        <w:t>4</w:t>
      </w:r>
      <w:r w:rsidRPr="003B2D1D">
        <w:rPr>
          <w:rFonts w:ascii="Arial" w:hAnsi="Arial" w:cs="Arial"/>
          <w:b/>
        </w:rPr>
        <w:tab/>
        <w:t>Discharge</w:t>
      </w:r>
    </w:p>
    <w:p w14:paraId="77B33BDF" w14:textId="795C6827" w:rsidR="000A2BB7" w:rsidRPr="003B2D1D" w:rsidRDefault="000A2BB7" w:rsidP="001352C0">
      <w:pPr>
        <w:spacing w:before="120"/>
        <w:jc w:val="left"/>
        <w:rPr>
          <w:rFonts w:ascii="Arial" w:hAnsi="Arial" w:cs="Arial"/>
        </w:rPr>
      </w:pPr>
      <w:r w:rsidRPr="003B2D1D">
        <w:rPr>
          <w:rFonts w:ascii="Arial" w:hAnsi="Arial" w:cs="Arial"/>
        </w:rPr>
        <w:t xml:space="preserve">Discharge is a planned process that is part of the recovery plan. It should begin from when the service is accessed. </w:t>
      </w:r>
      <w:r w:rsidR="000571FF" w:rsidRPr="003B2D1D">
        <w:rPr>
          <w:rFonts w:ascii="Arial" w:hAnsi="Arial" w:cs="Arial"/>
        </w:rPr>
        <w:t xml:space="preserve"> </w:t>
      </w:r>
      <w:r w:rsidRPr="003B2D1D">
        <w:rPr>
          <w:rFonts w:ascii="Arial" w:hAnsi="Arial" w:cs="Arial"/>
        </w:rPr>
        <w:t xml:space="preserve">Discharge planning must involve </w:t>
      </w:r>
      <w:r w:rsidR="00EC3E93">
        <w:rPr>
          <w:rFonts w:ascii="Arial" w:hAnsi="Arial" w:cs="Arial"/>
        </w:rPr>
        <w:t>Service User</w:t>
      </w:r>
      <w:r w:rsidR="005B1229">
        <w:rPr>
          <w:rFonts w:ascii="Arial" w:hAnsi="Arial" w:cs="Arial"/>
        </w:rPr>
        <w:t>s</w:t>
      </w:r>
      <w:r w:rsidRPr="003B2D1D">
        <w:rPr>
          <w:rFonts w:ascii="Arial" w:hAnsi="Arial" w:cs="Arial"/>
        </w:rPr>
        <w:t xml:space="preserve"> and, with their consent, be communicated to all relevant support people.</w:t>
      </w:r>
      <w:r w:rsidR="000571FF" w:rsidRPr="003B2D1D">
        <w:rPr>
          <w:rFonts w:ascii="Arial" w:hAnsi="Arial" w:cs="Arial"/>
        </w:rPr>
        <w:t xml:space="preserve"> </w:t>
      </w:r>
      <w:r w:rsidRPr="003B2D1D">
        <w:rPr>
          <w:rFonts w:ascii="Arial" w:hAnsi="Arial" w:cs="Arial"/>
        </w:rPr>
        <w:t xml:space="preserve"> It will include reassessment of risk, the relapse prevention plan and follow-up arrangements. </w:t>
      </w:r>
      <w:r w:rsidR="000571FF" w:rsidRPr="003B2D1D">
        <w:rPr>
          <w:rFonts w:ascii="Arial" w:hAnsi="Arial" w:cs="Arial"/>
        </w:rPr>
        <w:t xml:space="preserve"> </w:t>
      </w:r>
      <w:r w:rsidRPr="003B2D1D">
        <w:rPr>
          <w:rFonts w:ascii="Arial" w:hAnsi="Arial" w:cs="Arial"/>
        </w:rPr>
        <w:t xml:space="preserve">Discharge planning may also include advance directives and will identify medication on discharge and education about this. </w:t>
      </w:r>
      <w:r w:rsidR="000571FF" w:rsidRPr="003B2D1D">
        <w:rPr>
          <w:rFonts w:ascii="Arial" w:hAnsi="Arial" w:cs="Arial"/>
        </w:rPr>
        <w:t xml:space="preserve"> </w:t>
      </w:r>
      <w:r w:rsidRPr="003B2D1D">
        <w:rPr>
          <w:rFonts w:ascii="Arial" w:hAnsi="Arial" w:cs="Arial"/>
        </w:rPr>
        <w:t xml:space="preserve">The </w:t>
      </w:r>
      <w:r w:rsidR="00EC3E93">
        <w:rPr>
          <w:rFonts w:ascii="Arial" w:hAnsi="Arial" w:cs="Arial"/>
        </w:rPr>
        <w:t>Service User</w:t>
      </w:r>
      <w:r w:rsidR="005B1229">
        <w:rPr>
          <w:rFonts w:ascii="Arial" w:hAnsi="Arial" w:cs="Arial"/>
        </w:rPr>
        <w:t>s</w:t>
      </w:r>
      <w:r w:rsidRPr="003B2D1D">
        <w:rPr>
          <w:rFonts w:ascii="Arial" w:hAnsi="Arial" w:cs="Arial"/>
        </w:rPr>
        <w:t>, family, whānau and other services and agencies involved should be informed of how to re-engage with the service if required.</w:t>
      </w:r>
    </w:p>
    <w:p w14:paraId="320CC10A" w14:textId="77777777" w:rsidR="000A2BB7" w:rsidRPr="003B2D1D" w:rsidRDefault="000A2BB7" w:rsidP="001352C0">
      <w:pPr>
        <w:spacing w:before="120" w:after="120"/>
        <w:jc w:val="left"/>
        <w:rPr>
          <w:rFonts w:ascii="Arial" w:hAnsi="Arial" w:cs="Arial"/>
        </w:rPr>
      </w:pPr>
      <w:r w:rsidRPr="003B2D1D">
        <w:rPr>
          <w:rFonts w:ascii="Arial" w:hAnsi="Arial" w:cs="Arial"/>
        </w:rPr>
        <w:t xml:space="preserve">A discharge summary will be given to the </w:t>
      </w:r>
      <w:r w:rsidR="00EC3E93">
        <w:rPr>
          <w:rFonts w:ascii="Arial" w:hAnsi="Arial" w:cs="Arial"/>
        </w:rPr>
        <w:t>Service User</w:t>
      </w:r>
      <w:r w:rsidRPr="003B2D1D">
        <w:rPr>
          <w:rFonts w:ascii="Arial" w:hAnsi="Arial" w:cs="Arial"/>
        </w:rPr>
        <w:t xml:space="preserve"> and, where relevant, the general practitioner/primary care provider and support people.</w:t>
      </w:r>
    </w:p>
    <w:p w14:paraId="2E566D2F" w14:textId="4424F0F7" w:rsidR="000A2BB7" w:rsidRPr="003B2D1D" w:rsidRDefault="000A2BB7" w:rsidP="008B081A">
      <w:pPr>
        <w:jc w:val="left"/>
        <w:rPr>
          <w:rFonts w:ascii="Arial" w:hAnsi="Arial" w:cs="Arial"/>
        </w:rPr>
      </w:pPr>
      <w:bookmarkStart w:id="23" w:name="_Toc3079019"/>
      <w:bookmarkStart w:id="24" w:name="_Toc215318922"/>
      <w:r w:rsidRPr="003B2D1D">
        <w:rPr>
          <w:rFonts w:ascii="Arial" w:hAnsi="Arial" w:cs="Arial"/>
          <w:b/>
        </w:rPr>
        <w:t>5.2</w:t>
      </w:r>
      <w:r w:rsidRPr="003B2D1D">
        <w:rPr>
          <w:rFonts w:ascii="Arial" w:hAnsi="Arial" w:cs="Arial"/>
          <w:b/>
        </w:rPr>
        <w:tab/>
        <w:t>Settings</w:t>
      </w:r>
      <w:bookmarkEnd w:id="23"/>
      <w:bookmarkEnd w:id="24"/>
    </w:p>
    <w:p w14:paraId="4C3EF630" w14:textId="3034CFC2" w:rsidR="00F439F1" w:rsidRDefault="000A2BB7" w:rsidP="008B081A">
      <w:pPr>
        <w:spacing w:before="120" w:after="120"/>
        <w:jc w:val="left"/>
        <w:rPr>
          <w:rFonts w:ascii="Arial" w:hAnsi="Arial" w:cs="Arial"/>
          <w:b/>
        </w:rPr>
      </w:pPr>
      <w:bookmarkStart w:id="25" w:name="_Toc215318924"/>
      <w:r w:rsidRPr="003B2D1D">
        <w:rPr>
          <w:rFonts w:ascii="Arial" w:hAnsi="Arial" w:cs="Arial"/>
        </w:rPr>
        <w:t xml:space="preserve">The Service will be provided in the appropriate setting to provide the desired health outcomes.  A consideration in determining the settings for the service should include (but not be limited to) issues such as cultural appropriateness, accessibility, gender, age and developmental stage, and the most effective and efficient use of resources.  Services may be provided using hospital settings such as inpatient and day hospital, and outpatient settings such as those community based and mobile services. </w:t>
      </w:r>
      <w:r w:rsidR="00B96C5F">
        <w:rPr>
          <w:rFonts w:ascii="Arial" w:hAnsi="Arial" w:cs="Arial"/>
        </w:rPr>
        <w:t>Some services may be electronic, such as e-therapies</w:t>
      </w:r>
      <w:r w:rsidR="0009388D">
        <w:rPr>
          <w:rFonts w:ascii="Arial" w:hAnsi="Arial" w:cs="Arial"/>
        </w:rPr>
        <w:t>.</w:t>
      </w:r>
      <w:r w:rsidR="00B96C5F">
        <w:rPr>
          <w:rFonts w:ascii="Arial" w:hAnsi="Arial" w:cs="Arial"/>
        </w:rPr>
        <w:t xml:space="preserve"> </w:t>
      </w:r>
      <w:bookmarkStart w:id="26" w:name="_Toc3079022"/>
      <w:bookmarkStart w:id="27" w:name="_Toc215318932"/>
      <w:bookmarkEnd w:id="25"/>
    </w:p>
    <w:p w14:paraId="645A9C6F" w14:textId="0F31E7CD" w:rsidR="000A2BB7" w:rsidRPr="003B2D1D" w:rsidRDefault="000A2BB7" w:rsidP="001352C0">
      <w:pPr>
        <w:tabs>
          <w:tab w:val="left" w:pos="540"/>
        </w:tabs>
        <w:spacing w:before="120" w:after="60"/>
        <w:jc w:val="left"/>
        <w:rPr>
          <w:rFonts w:ascii="Arial" w:hAnsi="Arial" w:cs="Arial"/>
          <w:b/>
        </w:rPr>
      </w:pPr>
      <w:r w:rsidRPr="003B2D1D">
        <w:rPr>
          <w:rFonts w:ascii="Arial" w:hAnsi="Arial" w:cs="Arial"/>
          <w:b/>
        </w:rPr>
        <w:t>5.3</w:t>
      </w:r>
      <w:r w:rsidRPr="003B2D1D">
        <w:rPr>
          <w:rFonts w:ascii="Arial" w:hAnsi="Arial" w:cs="Arial"/>
          <w:b/>
        </w:rPr>
        <w:tab/>
        <w:t xml:space="preserve">Support </w:t>
      </w:r>
      <w:r w:rsidR="0037768D" w:rsidRPr="003B2D1D">
        <w:rPr>
          <w:rFonts w:ascii="Arial" w:hAnsi="Arial" w:cs="Arial"/>
          <w:b/>
        </w:rPr>
        <w:t>S</w:t>
      </w:r>
      <w:r w:rsidRPr="003B2D1D">
        <w:rPr>
          <w:rFonts w:ascii="Arial" w:hAnsi="Arial" w:cs="Arial"/>
          <w:b/>
        </w:rPr>
        <w:t>ervices</w:t>
      </w:r>
      <w:bookmarkEnd w:id="26"/>
      <w:bookmarkEnd w:id="27"/>
    </w:p>
    <w:p w14:paraId="03303AD3" w14:textId="0875EDE2" w:rsidR="0065100D" w:rsidRPr="003B2D1D" w:rsidRDefault="0065100D" w:rsidP="001352C0">
      <w:pPr>
        <w:spacing w:before="120"/>
        <w:jc w:val="left"/>
        <w:rPr>
          <w:rFonts w:ascii="Arial" w:hAnsi="Arial" w:cs="Arial"/>
        </w:rPr>
      </w:pPr>
      <w:bookmarkStart w:id="28" w:name="_Toc215318934"/>
      <w:r w:rsidRPr="003B2D1D">
        <w:rPr>
          <w:rFonts w:ascii="Arial" w:hAnsi="Arial" w:cs="Arial"/>
        </w:rPr>
        <w:t xml:space="preserve">The following </w:t>
      </w:r>
      <w:r w:rsidR="00E91A6C" w:rsidRPr="003B2D1D">
        <w:rPr>
          <w:rFonts w:ascii="Arial" w:hAnsi="Arial" w:cs="Arial"/>
        </w:rPr>
        <w:t>s</w:t>
      </w:r>
      <w:r w:rsidRPr="003B2D1D">
        <w:rPr>
          <w:rFonts w:ascii="Arial" w:hAnsi="Arial" w:cs="Arial"/>
        </w:rPr>
        <w:t>upport services</w:t>
      </w:r>
      <w:r w:rsidR="004925A0" w:rsidRPr="003B2D1D">
        <w:rPr>
          <w:rFonts w:ascii="Arial" w:hAnsi="Arial" w:cs="Arial"/>
        </w:rPr>
        <w:t>,</w:t>
      </w:r>
      <w:r w:rsidRPr="003B2D1D">
        <w:rPr>
          <w:rFonts w:ascii="Arial" w:hAnsi="Arial" w:cs="Arial"/>
        </w:rPr>
        <w:t xml:space="preserve"> </w:t>
      </w:r>
      <w:r w:rsidR="00E91A6C" w:rsidRPr="003B2D1D">
        <w:rPr>
          <w:rFonts w:ascii="Arial" w:hAnsi="Arial" w:cs="Arial"/>
        </w:rPr>
        <w:t>if required</w:t>
      </w:r>
      <w:r w:rsidR="004925A0" w:rsidRPr="003B2D1D">
        <w:rPr>
          <w:rFonts w:ascii="Arial" w:hAnsi="Arial" w:cs="Arial"/>
        </w:rPr>
        <w:t>,</w:t>
      </w:r>
      <w:r w:rsidR="00E91A6C" w:rsidRPr="003B2D1D">
        <w:rPr>
          <w:rFonts w:ascii="Arial" w:hAnsi="Arial" w:cs="Arial"/>
        </w:rPr>
        <w:t xml:space="preserve"> </w:t>
      </w:r>
      <w:r w:rsidRPr="003B2D1D">
        <w:rPr>
          <w:rFonts w:ascii="Arial" w:hAnsi="Arial" w:cs="Arial"/>
        </w:rPr>
        <w:t xml:space="preserve">are </w:t>
      </w:r>
      <w:r w:rsidR="00E91A6C" w:rsidRPr="003B2D1D">
        <w:rPr>
          <w:rFonts w:ascii="Arial" w:hAnsi="Arial" w:cs="Arial"/>
        </w:rPr>
        <w:t>t</w:t>
      </w:r>
      <w:r w:rsidRPr="003B2D1D">
        <w:rPr>
          <w:rFonts w:ascii="Arial" w:hAnsi="Arial" w:cs="Arial"/>
        </w:rPr>
        <w:t>o be provided as an integral part of the Service</w:t>
      </w:r>
      <w:r w:rsidR="000E2B8C" w:rsidRPr="003B2D1D">
        <w:rPr>
          <w:rFonts w:ascii="Arial" w:hAnsi="Arial" w:cs="Arial"/>
        </w:rPr>
        <w:t>.</w:t>
      </w:r>
    </w:p>
    <w:p w14:paraId="1AF4D21D" w14:textId="2BD140E5" w:rsidR="00EF2A63" w:rsidRPr="008B081A" w:rsidRDefault="00EF2A63" w:rsidP="008B081A">
      <w:pPr>
        <w:pStyle w:val="ListParagraph"/>
        <w:numPr>
          <w:ilvl w:val="0"/>
          <w:numId w:val="51"/>
        </w:numPr>
        <w:spacing w:before="120"/>
        <w:ind w:left="567" w:hanging="567"/>
        <w:rPr>
          <w:rFonts w:ascii="Arial" w:hAnsi="Arial" w:cs="Arial"/>
        </w:rPr>
      </w:pPr>
      <w:r w:rsidRPr="008B081A">
        <w:rPr>
          <w:rFonts w:ascii="Arial" w:hAnsi="Arial" w:cs="Arial"/>
        </w:rPr>
        <w:t>clinical support services such as:</w:t>
      </w:r>
      <w:r w:rsidR="00A54CE2" w:rsidRPr="008B081A">
        <w:rPr>
          <w:rFonts w:ascii="Arial" w:hAnsi="Arial" w:cs="Arial"/>
        </w:rPr>
        <w:t xml:space="preserve"> </w:t>
      </w:r>
      <w:r w:rsidRPr="008B081A">
        <w:rPr>
          <w:rFonts w:ascii="Arial" w:hAnsi="Arial" w:cs="Arial"/>
        </w:rPr>
        <w:t>laboratory</w:t>
      </w:r>
      <w:r w:rsidR="00A54CE2" w:rsidRPr="008B081A">
        <w:rPr>
          <w:rFonts w:ascii="Arial" w:hAnsi="Arial" w:cs="Arial"/>
        </w:rPr>
        <w:t xml:space="preserve">, </w:t>
      </w:r>
      <w:r w:rsidRPr="008B081A">
        <w:rPr>
          <w:rFonts w:ascii="Arial" w:hAnsi="Arial" w:cs="Arial"/>
        </w:rPr>
        <w:t>pharmaceutical</w:t>
      </w:r>
      <w:r w:rsidR="00A54CE2" w:rsidRPr="008B081A">
        <w:rPr>
          <w:rFonts w:ascii="Arial" w:hAnsi="Arial" w:cs="Arial"/>
        </w:rPr>
        <w:t xml:space="preserve">, </w:t>
      </w:r>
      <w:r w:rsidR="00C47047" w:rsidRPr="008B081A">
        <w:rPr>
          <w:rFonts w:ascii="Arial" w:hAnsi="Arial" w:cs="Arial"/>
        </w:rPr>
        <w:t>pathology</w:t>
      </w:r>
    </w:p>
    <w:p w14:paraId="71D6510C" w14:textId="633A7672" w:rsidR="00EF2A63" w:rsidRPr="008B081A" w:rsidRDefault="00EF2A63" w:rsidP="008B081A">
      <w:pPr>
        <w:pStyle w:val="ListParagraph"/>
        <w:numPr>
          <w:ilvl w:val="0"/>
          <w:numId w:val="51"/>
        </w:numPr>
        <w:tabs>
          <w:tab w:val="left" w:pos="1080"/>
        </w:tabs>
        <w:autoSpaceDE w:val="0"/>
        <w:autoSpaceDN w:val="0"/>
        <w:adjustRightInd w:val="0"/>
        <w:spacing w:before="120"/>
        <w:ind w:left="567" w:hanging="567"/>
        <w:jc w:val="left"/>
        <w:rPr>
          <w:rFonts w:ascii="Arial" w:hAnsi="Arial" w:cs="Arial"/>
        </w:rPr>
      </w:pPr>
      <w:r w:rsidRPr="008B081A">
        <w:rPr>
          <w:rFonts w:ascii="Arial" w:hAnsi="Arial" w:cs="Arial"/>
        </w:rPr>
        <w:t>allied health support services such as:</w:t>
      </w:r>
      <w:r w:rsidR="00A54CE2" w:rsidRPr="008B081A">
        <w:rPr>
          <w:rFonts w:ascii="Arial" w:hAnsi="Arial" w:cs="Arial"/>
        </w:rPr>
        <w:t xml:space="preserve"> </w:t>
      </w:r>
      <w:r w:rsidRPr="008B081A">
        <w:rPr>
          <w:rFonts w:ascii="Arial" w:hAnsi="Arial" w:cs="Arial"/>
        </w:rPr>
        <w:t>dietetic</w:t>
      </w:r>
      <w:r w:rsidR="00A54CE2" w:rsidRPr="008B081A">
        <w:rPr>
          <w:rFonts w:ascii="Arial" w:hAnsi="Arial" w:cs="Arial"/>
        </w:rPr>
        <w:t xml:space="preserve">, </w:t>
      </w:r>
      <w:r w:rsidRPr="008B081A">
        <w:rPr>
          <w:rFonts w:ascii="Arial" w:hAnsi="Arial" w:cs="Arial"/>
        </w:rPr>
        <w:t>physiotherapy</w:t>
      </w:r>
      <w:r w:rsidR="00A54CE2" w:rsidRPr="008B081A">
        <w:rPr>
          <w:rFonts w:ascii="Arial" w:hAnsi="Arial" w:cs="Arial"/>
        </w:rPr>
        <w:t xml:space="preserve">, </w:t>
      </w:r>
      <w:r w:rsidRPr="008B081A">
        <w:rPr>
          <w:rFonts w:ascii="Arial" w:hAnsi="Arial" w:cs="Arial"/>
        </w:rPr>
        <w:t>social work and counselling service</w:t>
      </w:r>
    </w:p>
    <w:p w14:paraId="3E0E600D" w14:textId="36873C07" w:rsidR="00EF2A63" w:rsidRPr="00660BBE" w:rsidRDefault="00EF2A63" w:rsidP="008B081A">
      <w:pPr>
        <w:pStyle w:val="ListParagraph"/>
        <w:numPr>
          <w:ilvl w:val="0"/>
          <w:numId w:val="51"/>
        </w:numPr>
        <w:tabs>
          <w:tab w:val="left" w:pos="1080"/>
        </w:tabs>
        <w:autoSpaceDE w:val="0"/>
        <w:autoSpaceDN w:val="0"/>
        <w:adjustRightInd w:val="0"/>
        <w:ind w:left="567" w:hanging="567"/>
        <w:rPr>
          <w:rFonts w:ascii="Arial" w:hAnsi="Arial" w:cs="Arial"/>
        </w:rPr>
      </w:pPr>
      <w:r w:rsidRPr="00660BBE">
        <w:rPr>
          <w:rFonts w:ascii="Arial" w:hAnsi="Arial" w:cs="Arial"/>
        </w:rPr>
        <w:t>ancillary services such as:</w:t>
      </w:r>
      <w:r w:rsidR="00A54CE2">
        <w:rPr>
          <w:rFonts w:ascii="Arial" w:hAnsi="Arial" w:cs="Arial"/>
        </w:rPr>
        <w:t xml:space="preserve"> </w:t>
      </w:r>
      <w:r w:rsidRPr="00660BBE">
        <w:rPr>
          <w:rFonts w:ascii="Arial" w:hAnsi="Arial" w:cs="Arial"/>
        </w:rPr>
        <w:t>sterile supplies</w:t>
      </w:r>
      <w:r w:rsidR="00A54CE2" w:rsidRPr="00660BBE">
        <w:rPr>
          <w:rFonts w:ascii="Arial" w:hAnsi="Arial" w:cs="Arial"/>
        </w:rPr>
        <w:t xml:space="preserve">, </w:t>
      </w:r>
      <w:r w:rsidRPr="00660BBE">
        <w:rPr>
          <w:rFonts w:ascii="Arial" w:hAnsi="Arial" w:cs="Arial"/>
        </w:rPr>
        <w:t>laundry and cleaning</w:t>
      </w:r>
      <w:r w:rsidR="00A54CE2" w:rsidRPr="00660BBE">
        <w:rPr>
          <w:rFonts w:ascii="Arial" w:hAnsi="Arial" w:cs="Arial"/>
        </w:rPr>
        <w:t>,</w:t>
      </w:r>
      <w:r w:rsidR="00A54CE2">
        <w:rPr>
          <w:rFonts w:ascii="Arial" w:hAnsi="Arial" w:cs="Arial"/>
        </w:rPr>
        <w:t xml:space="preserve"> </w:t>
      </w:r>
      <w:r w:rsidRPr="00660BBE">
        <w:rPr>
          <w:rFonts w:ascii="Arial" w:hAnsi="Arial" w:cs="Arial"/>
        </w:rPr>
        <w:t>occupational health</w:t>
      </w:r>
      <w:r w:rsidR="00A54CE2" w:rsidRPr="00660BBE">
        <w:rPr>
          <w:rFonts w:ascii="Arial" w:hAnsi="Arial" w:cs="Arial"/>
        </w:rPr>
        <w:t>,</w:t>
      </w:r>
      <w:r w:rsidR="00A54CE2" w:rsidRPr="008B081A">
        <w:rPr>
          <w:rFonts w:ascii="Arial" w:hAnsi="Arial" w:cs="Arial"/>
        </w:rPr>
        <w:t xml:space="preserve"> </w:t>
      </w:r>
      <w:r w:rsidRPr="008B081A">
        <w:rPr>
          <w:rFonts w:ascii="Arial" w:hAnsi="Arial" w:cs="Arial"/>
        </w:rPr>
        <w:t>infection control</w:t>
      </w:r>
    </w:p>
    <w:p w14:paraId="488796FB" w14:textId="77777777" w:rsidR="00EF2A63" w:rsidRPr="008B081A" w:rsidRDefault="00EF2A63" w:rsidP="008B081A">
      <w:pPr>
        <w:pStyle w:val="ListParagraph"/>
        <w:numPr>
          <w:ilvl w:val="0"/>
          <w:numId w:val="51"/>
        </w:numPr>
        <w:tabs>
          <w:tab w:val="left" w:pos="1200"/>
        </w:tabs>
        <w:autoSpaceDE w:val="0"/>
        <w:autoSpaceDN w:val="0"/>
        <w:adjustRightInd w:val="0"/>
        <w:spacing w:before="120"/>
        <w:ind w:left="567" w:hanging="567"/>
        <w:rPr>
          <w:rFonts w:ascii="Arial" w:hAnsi="Arial" w:cs="Arial"/>
        </w:rPr>
      </w:pPr>
      <w:r w:rsidRPr="008B081A">
        <w:rPr>
          <w:rFonts w:ascii="Arial" w:hAnsi="Arial" w:cs="Arial"/>
        </w:rPr>
        <w:t>interpreting services (including sign language)</w:t>
      </w:r>
    </w:p>
    <w:p w14:paraId="14B8073C" w14:textId="77777777" w:rsidR="00EF2A63" w:rsidRPr="008B081A" w:rsidRDefault="00EF2A63" w:rsidP="008B081A">
      <w:pPr>
        <w:pStyle w:val="ListParagraph"/>
        <w:numPr>
          <w:ilvl w:val="0"/>
          <w:numId w:val="51"/>
        </w:numPr>
        <w:tabs>
          <w:tab w:val="left" w:pos="1200"/>
        </w:tabs>
        <w:autoSpaceDE w:val="0"/>
        <w:autoSpaceDN w:val="0"/>
        <w:adjustRightInd w:val="0"/>
        <w:ind w:left="567" w:hanging="567"/>
        <w:rPr>
          <w:rFonts w:ascii="Arial" w:hAnsi="Arial" w:cs="Arial"/>
        </w:rPr>
      </w:pPr>
      <w:r w:rsidRPr="008B081A">
        <w:rPr>
          <w:rFonts w:ascii="Arial" w:hAnsi="Arial" w:cs="Arial"/>
        </w:rPr>
        <w:t>chaplaincy services</w:t>
      </w:r>
    </w:p>
    <w:p w14:paraId="0C853144" w14:textId="65AF258E" w:rsidR="00EF2A63" w:rsidRPr="008B081A" w:rsidRDefault="00EF2A63" w:rsidP="008B081A">
      <w:pPr>
        <w:pStyle w:val="ListParagraph"/>
        <w:numPr>
          <w:ilvl w:val="0"/>
          <w:numId w:val="51"/>
        </w:numPr>
        <w:tabs>
          <w:tab w:val="left" w:pos="1080"/>
        </w:tabs>
        <w:autoSpaceDE w:val="0"/>
        <w:autoSpaceDN w:val="0"/>
        <w:adjustRightInd w:val="0"/>
        <w:ind w:left="567" w:hanging="567"/>
        <w:rPr>
          <w:rFonts w:ascii="Arial" w:hAnsi="Arial" w:cs="Arial"/>
        </w:rPr>
      </w:pPr>
      <w:r w:rsidRPr="00660BBE">
        <w:rPr>
          <w:rFonts w:ascii="Arial" w:hAnsi="Arial" w:cs="Arial"/>
        </w:rPr>
        <w:t>corporate services such as:</w:t>
      </w:r>
      <w:r w:rsidR="00A54CE2">
        <w:rPr>
          <w:rFonts w:ascii="Arial" w:hAnsi="Arial" w:cs="Arial"/>
        </w:rPr>
        <w:t xml:space="preserve"> </w:t>
      </w:r>
      <w:r w:rsidRPr="008B081A">
        <w:rPr>
          <w:rFonts w:ascii="Arial" w:hAnsi="Arial" w:cs="Arial"/>
        </w:rPr>
        <w:t>human resource department</w:t>
      </w:r>
      <w:r w:rsidR="00A54CE2" w:rsidRPr="00660BBE">
        <w:rPr>
          <w:rFonts w:ascii="Arial" w:hAnsi="Arial" w:cs="Arial"/>
        </w:rPr>
        <w:t xml:space="preserve">, </w:t>
      </w:r>
      <w:r w:rsidRPr="008B081A">
        <w:rPr>
          <w:rFonts w:ascii="Arial" w:hAnsi="Arial" w:cs="Arial"/>
        </w:rPr>
        <w:t>legal</w:t>
      </w:r>
      <w:r w:rsidR="00A54CE2" w:rsidRPr="008B081A">
        <w:rPr>
          <w:rFonts w:ascii="Arial" w:hAnsi="Arial" w:cs="Arial"/>
        </w:rPr>
        <w:t xml:space="preserve">, </w:t>
      </w:r>
      <w:r w:rsidRPr="008B081A">
        <w:rPr>
          <w:rFonts w:ascii="Arial" w:hAnsi="Arial" w:cs="Arial"/>
        </w:rPr>
        <w:t>finance</w:t>
      </w:r>
      <w:r w:rsidR="00A54CE2" w:rsidRPr="008B081A">
        <w:rPr>
          <w:rFonts w:ascii="Arial" w:hAnsi="Arial" w:cs="Arial"/>
        </w:rPr>
        <w:t>.</w:t>
      </w:r>
    </w:p>
    <w:p w14:paraId="0A854537" w14:textId="3A595357" w:rsidR="00E91A6C" w:rsidRPr="003B2D1D" w:rsidRDefault="00E91A6C" w:rsidP="001352C0">
      <w:pPr>
        <w:spacing w:before="120"/>
        <w:jc w:val="left"/>
        <w:rPr>
          <w:rFonts w:ascii="Arial" w:hAnsi="Arial" w:cs="Arial"/>
        </w:rPr>
      </w:pPr>
      <w:bookmarkStart w:id="29" w:name="_Toc3079024"/>
      <w:bookmarkStart w:id="30" w:name="_Toc215318964"/>
      <w:bookmarkEnd w:id="28"/>
      <w:r w:rsidRPr="003B2D1D">
        <w:rPr>
          <w:rFonts w:ascii="Arial" w:hAnsi="Arial" w:cs="Arial"/>
        </w:rPr>
        <w:lastRenderedPageBreak/>
        <w:t xml:space="preserve">Additional support services </w:t>
      </w:r>
      <w:r w:rsidR="00FC5C41">
        <w:rPr>
          <w:rFonts w:ascii="Arial" w:hAnsi="Arial" w:cs="Arial"/>
        </w:rPr>
        <w:t xml:space="preserve">if any </w:t>
      </w:r>
      <w:r w:rsidRPr="003B2D1D">
        <w:rPr>
          <w:rFonts w:ascii="Arial" w:hAnsi="Arial" w:cs="Arial"/>
        </w:rPr>
        <w:t xml:space="preserve">are listed in the appropriate tier two and three service specifications. </w:t>
      </w:r>
    </w:p>
    <w:p w14:paraId="35BD0E12" w14:textId="77777777" w:rsidR="000A2BB7" w:rsidRPr="003B2D1D" w:rsidRDefault="000A2BB7" w:rsidP="001352C0">
      <w:pPr>
        <w:tabs>
          <w:tab w:val="left" w:pos="540"/>
        </w:tabs>
        <w:spacing w:before="120" w:after="60"/>
        <w:jc w:val="left"/>
        <w:rPr>
          <w:rFonts w:ascii="Arial" w:hAnsi="Arial" w:cs="Arial"/>
          <w:b/>
        </w:rPr>
      </w:pPr>
      <w:r w:rsidRPr="003B2D1D">
        <w:rPr>
          <w:rFonts w:ascii="Arial" w:hAnsi="Arial" w:cs="Arial"/>
          <w:b/>
        </w:rPr>
        <w:t>5.</w:t>
      </w:r>
      <w:r w:rsidR="00D81F07" w:rsidRPr="003B2D1D">
        <w:rPr>
          <w:rFonts w:ascii="Arial" w:hAnsi="Arial" w:cs="Arial"/>
          <w:b/>
        </w:rPr>
        <w:t>4</w:t>
      </w:r>
      <w:r w:rsidRPr="003B2D1D">
        <w:rPr>
          <w:rFonts w:ascii="Arial" w:hAnsi="Arial" w:cs="Arial"/>
          <w:b/>
        </w:rPr>
        <w:tab/>
        <w:t xml:space="preserve">Key </w:t>
      </w:r>
      <w:r w:rsidR="00DD5506" w:rsidRPr="003B2D1D">
        <w:rPr>
          <w:rFonts w:ascii="Arial" w:hAnsi="Arial" w:cs="Arial"/>
          <w:b/>
        </w:rPr>
        <w:t>I</w:t>
      </w:r>
      <w:r w:rsidRPr="003B2D1D">
        <w:rPr>
          <w:rFonts w:ascii="Arial" w:hAnsi="Arial" w:cs="Arial"/>
          <w:b/>
        </w:rPr>
        <w:t>nputs</w:t>
      </w:r>
      <w:bookmarkEnd w:id="29"/>
      <w:r w:rsidRPr="003B2D1D">
        <w:rPr>
          <w:rFonts w:ascii="Arial" w:hAnsi="Arial" w:cs="Arial"/>
          <w:b/>
        </w:rPr>
        <w:t xml:space="preserve"> </w:t>
      </w:r>
      <w:bookmarkStart w:id="31" w:name="_Toc215318965"/>
      <w:bookmarkEnd w:id="30"/>
    </w:p>
    <w:bookmarkEnd w:id="31"/>
    <w:p w14:paraId="30D1A022" w14:textId="2885F5BB" w:rsidR="000A2BB7" w:rsidRPr="003B2D1D" w:rsidRDefault="000A2BB7" w:rsidP="001352C0">
      <w:pPr>
        <w:spacing w:before="120" w:after="120"/>
        <w:jc w:val="left"/>
        <w:rPr>
          <w:rFonts w:ascii="Arial" w:hAnsi="Arial" w:cs="Arial"/>
        </w:rPr>
      </w:pPr>
      <w:r w:rsidRPr="003B2D1D">
        <w:rPr>
          <w:rFonts w:ascii="Arial" w:hAnsi="Arial" w:cs="Arial"/>
        </w:rPr>
        <w:t>The key input for mental health and addiction services is the workforce</w:t>
      </w:r>
      <w:r w:rsidR="0009388D">
        <w:rPr>
          <w:rFonts w:ascii="Arial" w:hAnsi="Arial" w:cs="Arial"/>
        </w:rPr>
        <w:t xml:space="preserve"> and national electronically delivered programmes such as the National Depression Initiative</w:t>
      </w:r>
      <w:r w:rsidR="001412FA">
        <w:rPr>
          <w:rStyle w:val="FootnoteReference"/>
          <w:rFonts w:ascii="Arial" w:hAnsi="Arial" w:cs="Arial"/>
        </w:rPr>
        <w:footnoteReference w:id="3"/>
      </w:r>
      <w:r w:rsidR="00325FC2">
        <w:rPr>
          <w:rFonts w:ascii="Arial" w:hAnsi="Arial" w:cs="Arial"/>
        </w:rPr>
        <w:t xml:space="preserve"> </w:t>
      </w:r>
      <w:r w:rsidR="0009388D">
        <w:rPr>
          <w:rFonts w:ascii="Arial" w:hAnsi="Arial" w:cs="Arial"/>
        </w:rPr>
        <w:t>and Like Minds</w:t>
      </w:r>
      <w:r w:rsidR="001412FA">
        <w:rPr>
          <w:rFonts w:ascii="Arial" w:hAnsi="Arial" w:cs="Arial"/>
        </w:rPr>
        <w:t>,</w:t>
      </w:r>
      <w:r w:rsidR="0009388D">
        <w:rPr>
          <w:rFonts w:ascii="Arial" w:hAnsi="Arial" w:cs="Arial"/>
        </w:rPr>
        <w:t xml:space="preserve"> Like Mine</w:t>
      </w:r>
      <w:r w:rsidR="001412FA">
        <w:rPr>
          <w:rStyle w:val="FootnoteReference"/>
          <w:rFonts w:ascii="Arial" w:hAnsi="Arial" w:cs="Arial"/>
        </w:rPr>
        <w:footnoteReference w:id="4"/>
      </w:r>
      <w:r w:rsidRPr="003B2D1D">
        <w:rPr>
          <w:rFonts w:ascii="Arial" w:hAnsi="Arial" w:cs="Arial"/>
        </w:rPr>
        <w:t>.</w:t>
      </w:r>
    </w:p>
    <w:p w14:paraId="74F8F8C9" w14:textId="77777777" w:rsidR="00EF2A63" w:rsidRPr="003B2D1D" w:rsidRDefault="00EF2A63" w:rsidP="001352C0">
      <w:pPr>
        <w:tabs>
          <w:tab w:val="left" w:pos="540"/>
        </w:tabs>
        <w:autoSpaceDE w:val="0"/>
        <w:autoSpaceDN w:val="0"/>
        <w:adjustRightInd w:val="0"/>
        <w:spacing w:before="120" w:after="60"/>
        <w:jc w:val="left"/>
        <w:rPr>
          <w:rFonts w:ascii="Arial" w:hAnsi="Arial" w:cs="Arial"/>
          <w:b/>
          <w:bCs/>
          <w:color w:val="000000"/>
          <w:lang w:val="en-US"/>
        </w:rPr>
      </w:pPr>
      <w:r w:rsidRPr="003B2D1D">
        <w:rPr>
          <w:rFonts w:ascii="Arial" w:hAnsi="Arial" w:cs="Arial"/>
          <w:b/>
          <w:bCs/>
          <w:color w:val="000000"/>
          <w:lang w:val="en-US"/>
        </w:rPr>
        <w:t>5.5</w:t>
      </w:r>
      <w:r w:rsidRPr="003B2D1D">
        <w:rPr>
          <w:rFonts w:ascii="Arial" w:hAnsi="Arial" w:cs="Arial"/>
          <w:b/>
          <w:bCs/>
          <w:color w:val="000000"/>
          <w:lang w:val="en-US"/>
        </w:rPr>
        <w:tab/>
        <w:t>Pacific Health</w:t>
      </w:r>
    </w:p>
    <w:p w14:paraId="0E6D3F51" w14:textId="29DE9A87" w:rsidR="00391387" w:rsidRPr="003B2D1D" w:rsidRDefault="00B605DD" w:rsidP="001352C0">
      <w:pPr>
        <w:autoSpaceDE w:val="0"/>
        <w:autoSpaceDN w:val="0"/>
        <w:adjustRightInd w:val="0"/>
        <w:jc w:val="left"/>
        <w:rPr>
          <w:rFonts w:ascii="Arial" w:hAnsi="Arial" w:cs="Arial"/>
        </w:rPr>
      </w:pPr>
      <w:r w:rsidRPr="00B605DD">
        <w:rPr>
          <w:rFonts w:ascii="Arial" w:hAnsi="Arial" w:cs="Arial"/>
        </w:rPr>
        <w:t xml:space="preserve">Mental Health and Addiction Services for Pacific are underpinned by the Ministry of Health strategic document Ala </w:t>
      </w:r>
      <w:proofErr w:type="spellStart"/>
      <w:r w:rsidRPr="00B605DD">
        <w:rPr>
          <w:rFonts w:ascii="Arial" w:hAnsi="Arial" w:cs="Arial"/>
        </w:rPr>
        <w:t>Mo‘ui</w:t>
      </w:r>
      <w:proofErr w:type="spellEnd"/>
      <w:r w:rsidRPr="00B605DD">
        <w:rPr>
          <w:rFonts w:ascii="Arial" w:hAnsi="Arial" w:cs="Arial"/>
        </w:rPr>
        <w:t>: Pathways to Pacific Health and Wellbeing 2014–2018.</w:t>
      </w:r>
      <w:r>
        <w:rPr>
          <w:rFonts w:ascii="Arial" w:hAnsi="Arial" w:cs="Arial"/>
        </w:rPr>
        <w:t xml:space="preserve"> </w:t>
      </w:r>
      <w:r w:rsidR="00EF2A63" w:rsidRPr="003B2D1D">
        <w:rPr>
          <w:rFonts w:ascii="Arial" w:hAnsi="Arial" w:cs="Arial"/>
        </w:rPr>
        <w:t xml:space="preserve">Pacific peoples share similar risk factors to Māori in terms of health and social inequalities.  </w:t>
      </w:r>
      <w:proofErr w:type="spellStart"/>
      <w:r w:rsidR="00EF2A63" w:rsidRPr="003B2D1D">
        <w:rPr>
          <w:rFonts w:ascii="Arial" w:hAnsi="Arial" w:cs="Arial"/>
        </w:rPr>
        <w:t>Te</w:t>
      </w:r>
      <w:proofErr w:type="spellEnd"/>
      <w:r w:rsidR="00EF2A63" w:rsidRPr="003B2D1D">
        <w:rPr>
          <w:rFonts w:ascii="Arial" w:hAnsi="Arial" w:cs="Arial"/>
        </w:rPr>
        <w:t xml:space="preserve"> Rau </w:t>
      </w:r>
      <w:proofErr w:type="spellStart"/>
      <w:r w:rsidR="00EF2A63" w:rsidRPr="003B2D1D">
        <w:rPr>
          <w:rFonts w:ascii="Arial" w:hAnsi="Arial" w:cs="Arial"/>
        </w:rPr>
        <w:t>Hinengaro</w:t>
      </w:r>
      <w:proofErr w:type="spellEnd"/>
      <w:r w:rsidR="00391387" w:rsidRPr="003B2D1D">
        <w:rPr>
          <w:rFonts w:ascii="Arial" w:hAnsi="Arial" w:cs="Arial"/>
        </w:rPr>
        <w:t>.</w:t>
      </w:r>
      <w:r w:rsidR="00EF2A63" w:rsidRPr="003B2D1D">
        <w:rPr>
          <w:rFonts w:ascii="Arial" w:hAnsi="Arial" w:cs="Arial"/>
        </w:rPr>
        <w:t xml:space="preserve"> </w:t>
      </w:r>
      <w:r w:rsidR="000571FF" w:rsidRPr="003B2D1D">
        <w:rPr>
          <w:rFonts w:ascii="Arial" w:hAnsi="Arial" w:cs="Arial"/>
        </w:rPr>
        <w:t xml:space="preserve"> </w:t>
      </w:r>
      <w:r w:rsidR="00EF2A63" w:rsidRPr="003B2D1D">
        <w:rPr>
          <w:rFonts w:ascii="Arial" w:hAnsi="Arial" w:cs="Arial"/>
        </w:rPr>
        <w:t>The New Zealand Mental Health Survey (Ministry of Health 2006) confirms that Pacific peoples experience mental illness at higher levels than the general population.  Pacific people are also less likely to access treatment than the total New Zealand population.  The service must take account of key strategic frameworks, principles and be relevant to Pacific health needs and identified concerns.</w:t>
      </w:r>
      <w:r w:rsidR="000571FF" w:rsidRPr="003B2D1D">
        <w:rPr>
          <w:rFonts w:ascii="Arial" w:hAnsi="Arial" w:cs="Arial"/>
        </w:rPr>
        <w:t xml:space="preserve"> </w:t>
      </w:r>
      <w:r w:rsidR="00EF2A63" w:rsidRPr="003B2D1D">
        <w:rPr>
          <w:rFonts w:ascii="Arial" w:hAnsi="Arial" w:cs="Arial"/>
        </w:rPr>
        <w:t xml:space="preserve"> </w:t>
      </w:r>
    </w:p>
    <w:p w14:paraId="1022C97D" w14:textId="77777777" w:rsidR="00EF2A63" w:rsidRPr="003B2D1D" w:rsidRDefault="00EF2A63" w:rsidP="001352C0">
      <w:pPr>
        <w:autoSpaceDE w:val="0"/>
        <w:autoSpaceDN w:val="0"/>
        <w:adjustRightInd w:val="0"/>
        <w:spacing w:before="120"/>
        <w:jc w:val="left"/>
        <w:rPr>
          <w:rFonts w:ascii="Arial" w:hAnsi="Arial" w:cs="Arial"/>
          <w:color w:val="000000"/>
          <w:lang w:val="en-US"/>
        </w:rPr>
      </w:pPr>
      <w:r w:rsidRPr="003B2D1D">
        <w:rPr>
          <w:rFonts w:ascii="Arial" w:hAnsi="Arial" w:cs="Arial"/>
        </w:rPr>
        <w:t xml:space="preserve">For regions that have significant Pacific populations, the service must link service delivery to the improvement of Pacific health outcomes. </w:t>
      </w:r>
      <w:r w:rsidR="000571FF" w:rsidRPr="003B2D1D">
        <w:rPr>
          <w:rFonts w:ascii="Arial" w:hAnsi="Arial" w:cs="Arial"/>
        </w:rPr>
        <w:t xml:space="preserve"> </w:t>
      </w:r>
      <w:r w:rsidRPr="003B2D1D">
        <w:rPr>
          <w:rFonts w:ascii="Arial" w:hAnsi="Arial" w:cs="Arial"/>
          <w:lang w:val="en-GB"/>
        </w:rPr>
        <w:t xml:space="preserve">Health service providers should also ensure that their service </w:t>
      </w:r>
      <w:r w:rsidRPr="003B2D1D">
        <w:rPr>
          <w:rFonts w:ascii="Arial" w:hAnsi="Arial" w:cs="Arial"/>
        </w:rPr>
        <w:t xml:space="preserve">provides a holistic approach </w:t>
      </w:r>
      <w:r w:rsidRPr="003B2D1D">
        <w:rPr>
          <w:rFonts w:ascii="Arial" w:hAnsi="Arial" w:cs="Arial"/>
          <w:lang w:val="en-GB"/>
        </w:rPr>
        <w:t>to health and wellbeing, assessment and treatment for Pacific peoples.  This approach should include focusing on family, relationships, spiritual, physical, language</w:t>
      </w:r>
      <w:r w:rsidR="00886595" w:rsidRPr="003B2D1D">
        <w:rPr>
          <w:rFonts w:ascii="Arial" w:hAnsi="Arial" w:cs="Arial"/>
          <w:lang w:val="en-GB"/>
        </w:rPr>
        <w:t>,</w:t>
      </w:r>
      <w:r w:rsidRPr="003B2D1D">
        <w:rPr>
          <w:rFonts w:ascii="Arial" w:hAnsi="Arial" w:cs="Arial"/>
          <w:lang w:val="en-GB"/>
        </w:rPr>
        <w:t xml:space="preserve"> cultural, emotional and mental dimensions.  </w:t>
      </w:r>
    </w:p>
    <w:p w14:paraId="219889B1" w14:textId="77777777" w:rsidR="00EF2A63" w:rsidRPr="003B2D1D" w:rsidRDefault="00EF2A63" w:rsidP="001352C0">
      <w:pPr>
        <w:tabs>
          <w:tab w:val="left" w:pos="540"/>
        </w:tabs>
        <w:autoSpaceDE w:val="0"/>
        <w:autoSpaceDN w:val="0"/>
        <w:adjustRightInd w:val="0"/>
        <w:spacing w:before="120" w:after="60"/>
        <w:jc w:val="left"/>
        <w:rPr>
          <w:rFonts w:ascii="Arial" w:hAnsi="Arial" w:cs="Arial"/>
          <w:b/>
          <w:bCs/>
          <w:iCs/>
          <w:lang w:val="en-US"/>
        </w:rPr>
      </w:pPr>
      <w:r w:rsidRPr="003B2D1D">
        <w:rPr>
          <w:rFonts w:ascii="Arial" w:hAnsi="Arial" w:cs="Arial"/>
          <w:b/>
          <w:bCs/>
          <w:iCs/>
          <w:lang w:val="en-US"/>
        </w:rPr>
        <w:t>5.6</w:t>
      </w:r>
      <w:r w:rsidRPr="003B2D1D">
        <w:rPr>
          <w:rFonts w:ascii="Arial" w:hAnsi="Arial" w:cs="Arial"/>
          <w:b/>
          <w:bCs/>
          <w:iCs/>
          <w:lang w:val="en-US"/>
        </w:rPr>
        <w:tab/>
        <w:t>Health for other Ethnic Groups</w:t>
      </w:r>
    </w:p>
    <w:p w14:paraId="73E71780" w14:textId="77777777" w:rsidR="00391387" w:rsidRPr="003B2D1D" w:rsidRDefault="00EF2A63" w:rsidP="001352C0">
      <w:pPr>
        <w:autoSpaceDE w:val="0"/>
        <w:autoSpaceDN w:val="0"/>
        <w:adjustRightInd w:val="0"/>
        <w:jc w:val="left"/>
        <w:rPr>
          <w:rFonts w:ascii="Arial" w:hAnsi="Arial" w:cs="Arial"/>
          <w:bCs/>
          <w:iCs/>
          <w:lang w:val="en-US"/>
        </w:rPr>
      </w:pPr>
      <w:r w:rsidRPr="003B2D1D">
        <w:rPr>
          <w:rFonts w:ascii="Arial" w:hAnsi="Arial" w:cs="Arial"/>
          <w:bCs/>
          <w:iCs/>
          <w:lang w:val="en-US"/>
        </w:rPr>
        <w:t xml:space="preserve">Mental health and addiction services will be relevant and responsive to the diversity of cultures within local communities.  Services will </w:t>
      </w:r>
      <w:proofErr w:type="spellStart"/>
      <w:r w:rsidRPr="003B2D1D">
        <w:rPr>
          <w:rFonts w:ascii="Arial" w:hAnsi="Arial" w:cs="Arial"/>
          <w:bCs/>
          <w:iCs/>
          <w:lang w:val="en-US"/>
        </w:rPr>
        <w:t>recognise</w:t>
      </w:r>
      <w:proofErr w:type="spellEnd"/>
      <w:r w:rsidRPr="003B2D1D">
        <w:rPr>
          <w:rFonts w:ascii="Arial" w:hAnsi="Arial" w:cs="Arial"/>
          <w:bCs/>
          <w:iCs/>
          <w:lang w:val="en-US"/>
        </w:rPr>
        <w:t xml:space="preserve"> resources, relationships and other protective factors in the community that will empower and promote wellbeing.  Services will deliver culturally appropriate care, considering the individual ethnic, spiritual and cultural beliefs of those served.  </w:t>
      </w:r>
    </w:p>
    <w:p w14:paraId="037D7F4B" w14:textId="77777777" w:rsidR="00EF2A63" w:rsidRPr="003B2D1D" w:rsidRDefault="00EF2A63" w:rsidP="001352C0">
      <w:pPr>
        <w:autoSpaceDE w:val="0"/>
        <w:autoSpaceDN w:val="0"/>
        <w:adjustRightInd w:val="0"/>
        <w:spacing w:before="120"/>
        <w:jc w:val="left"/>
        <w:rPr>
          <w:rFonts w:ascii="Arial" w:hAnsi="Arial" w:cs="Arial"/>
          <w:bCs/>
          <w:iCs/>
          <w:lang w:val="en-US"/>
        </w:rPr>
      </w:pPr>
      <w:r w:rsidRPr="003B2D1D">
        <w:rPr>
          <w:rFonts w:ascii="Arial" w:hAnsi="Arial" w:cs="Arial"/>
          <w:bCs/>
          <w:iCs/>
          <w:lang w:val="en-US"/>
        </w:rPr>
        <w:t>Service planning, development and delivery will ensure that people are not discriminated against or disadvantaged.  Mental health and addiction services will acknowledge that different cultures come with varying perspectives.  Mental health and addiction services shall demonstrate effort to recruit staff from different cultures to reflect and match the cultural needs of people from Asian, migrant and refugee backgrounds in the community.  Services will take steps to ensure that the mental health and addiction workforce is culturally competent and that qualified interpreters are available to provide maximum access for ethnic/cultural communities.</w:t>
      </w:r>
    </w:p>
    <w:p w14:paraId="0089020B" w14:textId="77777777" w:rsidR="000A2BB7" w:rsidRPr="003B2D1D" w:rsidRDefault="000A2BB7" w:rsidP="001352C0">
      <w:pPr>
        <w:tabs>
          <w:tab w:val="left" w:pos="540"/>
        </w:tabs>
        <w:spacing w:before="240" w:after="120"/>
        <w:jc w:val="left"/>
        <w:rPr>
          <w:rFonts w:ascii="Arial" w:hAnsi="Arial" w:cs="Arial"/>
          <w:b/>
        </w:rPr>
      </w:pPr>
      <w:bookmarkStart w:id="32" w:name="_Toc215318973"/>
      <w:r w:rsidRPr="003B2D1D">
        <w:rPr>
          <w:rFonts w:ascii="Arial" w:hAnsi="Arial" w:cs="Arial"/>
          <w:b/>
        </w:rPr>
        <w:t>6.</w:t>
      </w:r>
      <w:r w:rsidRPr="003B2D1D">
        <w:rPr>
          <w:rFonts w:ascii="Arial" w:hAnsi="Arial" w:cs="Arial"/>
          <w:b/>
        </w:rPr>
        <w:tab/>
        <w:t xml:space="preserve">Service </w:t>
      </w:r>
      <w:r w:rsidR="00FD55AE" w:rsidRPr="003B2D1D">
        <w:rPr>
          <w:rFonts w:ascii="Arial" w:hAnsi="Arial" w:cs="Arial"/>
          <w:b/>
        </w:rPr>
        <w:t>L</w:t>
      </w:r>
      <w:r w:rsidRPr="003B2D1D">
        <w:rPr>
          <w:rFonts w:ascii="Arial" w:hAnsi="Arial" w:cs="Arial"/>
          <w:b/>
        </w:rPr>
        <w:t>inkages</w:t>
      </w:r>
      <w:bookmarkEnd w:id="32"/>
    </w:p>
    <w:p w14:paraId="23201067" w14:textId="77777777" w:rsidR="000A2BB7" w:rsidRPr="003B2D1D" w:rsidRDefault="000A2BB7" w:rsidP="001352C0">
      <w:pPr>
        <w:tabs>
          <w:tab w:val="num" w:pos="540"/>
        </w:tabs>
        <w:spacing w:before="120" w:after="120"/>
        <w:jc w:val="left"/>
        <w:rPr>
          <w:rFonts w:ascii="Arial" w:hAnsi="Arial" w:cs="Arial"/>
        </w:rPr>
      </w:pPr>
      <w:bookmarkStart w:id="33" w:name="_Toc215318974"/>
      <w:r w:rsidRPr="003B2D1D">
        <w:rPr>
          <w:rFonts w:ascii="Arial" w:hAnsi="Arial" w:cs="Arial"/>
        </w:rPr>
        <w:t xml:space="preserve">Service linkages are requirements regarding linkages to other related services and provide a description of such links.  The costs of such services are not included in the price of the </w:t>
      </w:r>
      <w:r w:rsidR="00886595" w:rsidRPr="003B2D1D">
        <w:rPr>
          <w:rFonts w:ascii="Arial" w:hAnsi="Arial" w:cs="Arial"/>
        </w:rPr>
        <w:t>S</w:t>
      </w:r>
      <w:r w:rsidRPr="003B2D1D">
        <w:rPr>
          <w:rFonts w:ascii="Arial" w:hAnsi="Arial" w:cs="Arial"/>
        </w:rPr>
        <w:t>ervice</w:t>
      </w:r>
      <w:r w:rsidR="00886595" w:rsidRPr="003B2D1D">
        <w:rPr>
          <w:rFonts w:ascii="Arial" w:hAnsi="Arial" w:cs="Arial"/>
        </w:rPr>
        <w:t>,</w:t>
      </w:r>
      <w:r w:rsidRPr="003B2D1D">
        <w:rPr>
          <w:rFonts w:ascii="Arial" w:hAnsi="Arial" w:cs="Arial"/>
        </w:rPr>
        <w:t xml:space="preserve"> however</w:t>
      </w:r>
      <w:r w:rsidR="00886595" w:rsidRPr="003B2D1D">
        <w:rPr>
          <w:rFonts w:ascii="Arial" w:hAnsi="Arial" w:cs="Arial"/>
        </w:rPr>
        <w:t>,</w:t>
      </w:r>
      <w:r w:rsidRPr="003B2D1D">
        <w:rPr>
          <w:rFonts w:ascii="Arial" w:hAnsi="Arial" w:cs="Arial"/>
        </w:rPr>
        <w:t xml:space="preserve"> the costs of liaison and linkages with these services are included within </w:t>
      </w:r>
      <w:r w:rsidR="00886595" w:rsidRPr="003B2D1D">
        <w:rPr>
          <w:rFonts w:ascii="Arial" w:hAnsi="Arial" w:cs="Arial"/>
        </w:rPr>
        <w:t>the S</w:t>
      </w:r>
      <w:r w:rsidRPr="003B2D1D">
        <w:rPr>
          <w:rFonts w:ascii="Arial" w:hAnsi="Arial" w:cs="Arial"/>
        </w:rPr>
        <w:t>ervice P</w:t>
      </w:r>
      <w:r w:rsidR="00391387" w:rsidRPr="003B2D1D">
        <w:rPr>
          <w:rFonts w:ascii="Arial" w:hAnsi="Arial" w:cs="Arial"/>
        </w:rPr>
        <w:t>urchase Unit</w:t>
      </w:r>
      <w:r w:rsidRPr="003B2D1D">
        <w:rPr>
          <w:rFonts w:ascii="Arial" w:hAnsi="Arial" w:cs="Arial"/>
        </w:rPr>
        <w:t xml:space="preserve"> price. </w:t>
      </w:r>
    </w:p>
    <w:tbl>
      <w:tblPr>
        <w:tblStyle w:val="TableGrid"/>
        <w:tblW w:w="0" w:type="auto"/>
        <w:tblLook w:val="00A0" w:firstRow="1" w:lastRow="0" w:firstColumn="1" w:lastColumn="0" w:noHBand="0" w:noVBand="0"/>
      </w:tblPr>
      <w:tblGrid>
        <w:gridCol w:w="3114"/>
        <w:gridCol w:w="2822"/>
        <w:gridCol w:w="3692"/>
      </w:tblGrid>
      <w:tr w:rsidR="000A2BB7" w:rsidRPr="003B2D1D" w14:paraId="486FE39C" w14:textId="77777777" w:rsidTr="001153DF">
        <w:trPr>
          <w:tblHeader/>
        </w:trPr>
        <w:tc>
          <w:tcPr>
            <w:tcW w:w="3114" w:type="dxa"/>
            <w:shd w:val="clear" w:color="auto" w:fill="D9D9D9"/>
          </w:tcPr>
          <w:p w14:paraId="2021FFEF" w14:textId="77777777" w:rsidR="000A2BB7" w:rsidRPr="003B2D1D" w:rsidRDefault="000A2BB7" w:rsidP="001352C0">
            <w:pPr>
              <w:spacing w:before="60" w:after="60"/>
              <w:rPr>
                <w:rFonts w:ascii="Arial" w:hAnsi="Arial" w:cs="Arial"/>
                <w:b/>
              </w:rPr>
            </w:pPr>
            <w:r w:rsidRPr="003B2D1D">
              <w:rPr>
                <w:rFonts w:ascii="Arial" w:hAnsi="Arial" w:cs="Arial"/>
                <w:b/>
              </w:rPr>
              <w:t>Service Provider</w:t>
            </w:r>
          </w:p>
        </w:tc>
        <w:tc>
          <w:tcPr>
            <w:tcW w:w="2822" w:type="dxa"/>
            <w:shd w:val="clear" w:color="auto" w:fill="D9D9D9"/>
          </w:tcPr>
          <w:p w14:paraId="536441DC" w14:textId="77777777" w:rsidR="000A2BB7" w:rsidRPr="003B2D1D" w:rsidRDefault="000A2BB7" w:rsidP="001352C0">
            <w:pPr>
              <w:spacing w:before="60" w:after="60"/>
              <w:rPr>
                <w:rFonts w:ascii="Arial" w:hAnsi="Arial" w:cs="Arial"/>
                <w:b/>
              </w:rPr>
            </w:pPr>
            <w:r w:rsidRPr="003B2D1D">
              <w:rPr>
                <w:rFonts w:ascii="Arial" w:hAnsi="Arial" w:cs="Arial"/>
                <w:b/>
              </w:rPr>
              <w:t>Nature of Linkage</w:t>
            </w:r>
          </w:p>
        </w:tc>
        <w:tc>
          <w:tcPr>
            <w:tcW w:w="3692" w:type="dxa"/>
            <w:shd w:val="clear" w:color="auto" w:fill="D9D9D9"/>
          </w:tcPr>
          <w:p w14:paraId="483F88CC" w14:textId="77777777" w:rsidR="000A2BB7" w:rsidRPr="003B2D1D" w:rsidRDefault="000A2BB7" w:rsidP="001352C0">
            <w:pPr>
              <w:spacing w:before="60" w:after="60"/>
              <w:rPr>
                <w:rFonts w:ascii="Arial" w:hAnsi="Arial" w:cs="Arial"/>
                <w:b/>
              </w:rPr>
            </w:pPr>
            <w:r w:rsidRPr="003B2D1D">
              <w:rPr>
                <w:rFonts w:ascii="Arial" w:hAnsi="Arial" w:cs="Arial"/>
                <w:b/>
              </w:rPr>
              <w:t xml:space="preserve">Accountability </w:t>
            </w:r>
          </w:p>
        </w:tc>
      </w:tr>
      <w:tr w:rsidR="000A2BB7" w:rsidRPr="003B2D1D" w14:paraId="6A30406A" w14:textId="77777777" w:rsidTr="001153DF">
        <w:tc>
          <w:tcPr>
            <w:tcW w:w="3114" w:type="dxa"/>
          </w:tcPr>
          <w:p w14:paraId="077BA7ED" w14:textId="77777777" w:rsidR="000A2BB7" w:rsidRPr="00B31CDE" w:rsidRDefault="000A2BB7" w:rsidP="001352C0">
            <w:pPr>
              <w:jc w:val="left"/>
              <w:rPr>
                <w:rFonts w:ascii="Arial" w:hAnsi="Arial" w:cs="Arial"/>
                <w:sz w:val="22"/>
                <w:szCs w:val="22"/>
              </w:rPr>
            </w:pPr>
            <w:r w:rsidRPr="00B31CDE">
              <w:rPr>
                <w:rFonts w:ascii="Arial" w:hAnsi="Arial" w:cs="Arial"/>
                <w:sz w:val="22"/>
                <w:szCs w:val="22"/>
              </w:rPr>
              <w:t xml:space="preserve">Other primary, secondary and tertiary services that the </w:t>
            </w:r>
            <w:r w:rsidRPr="00B31CDE">
              <w:rPr>
                <w:rFonts w:ascii="Arial" w:hAnsi="Arial" w:cs="Arial"/>
                <w:sz w:val="22"/>
                <w:szCs w:val="22"/>
              </w:rPr>
              <w:lastRenderedPageBreak/>
              <w:t xml:space="preserve">service refers </w:t>
            </w:r>
            <w:r w:rsidR="00EC3E93" w:rsidRPr="00B31CDE">
              <w:rPr>
                <w:rFonts w:ascii="Arial" w:hAnsi="Arial" w:cs="Arial"/>
                <w:sz w:val="22"/>
                <w:szCs w:val="22"/>
              </w:rPr>
              <w:t>Service User</w:t>
            </w:r>
            <w:r w:rsidR="005B1229" w:rsidRPr="00B31CDE">
              <w:rPr>
                <w:rFonts w:ascii="Arial" w:hAnsi="Arial" w:cs="Arial"/>
                <w:sz w:val="22"/>
                <w:szCs w:val="22"/>
              </w:rPr>
              <w:t>s</w:t>
            </w:r>
            <w:r w:rsidRPr="00B31CDE">
              <w:rPr>
                <w:rFonts w:ascii="Arial" w:hAnsi="Arial" w:cs="Arial"/>
                <w:sz w:val="22"/>
                <w:szCs w:val="22"/>
              </w:rPr>
              <w:t xml:space="preserve"> to </w:t>
            </w:r>
          </w:p>
        </w:tc>
        <w:tc>
          <w:tcPr>
            <w:tcW w:w="2822" w:type="dxa"/>
          </w:tcPr>
          <w:p w14:paraId="2DE5D0D1" w14:textId="77777777" w:rsidR="000A2BB7" w:rsidRPr="00B31CDE" w:rsidRDefault="000A2BB7" w:rsidP="001352C0">
            <w:pPr>
              <w:jc w:val="left"/>
              <w:rPr>
                <w:rFonts w:ascii="Arial" w:hAnsi="Arial" w:cs="Arial"/>
                <w:sz w:val="22"/>
                <w:szCs w:val="22"/>
              </w:rPr>
            </w:pPr>
            <w:r w:rsidRPr="00B31CDE">
              <w:rPr>
                <w:rFonts w:ascii="Arial" w:hAnsi="Arial" w:cs="Arial"/>
                <w:sz w:val="22"/>
                <w:szCs w:val="22"/>
              </w:rPr>
              <w:lastRenderedPageBreak/>
              <w:t xml:space="preserve">Refer and access to skills, expertise and resources </w:t>
            </w:r>
            <w:r w:rsidRPr="00B31CDE">
              <w:rPr>
                <w:rFonts w:ascii="Arial" w:hAnsi="Arial" w:cs="Arial"/>
                <w:sz w:val="22"/>
                <w:szCs w:val="22"/>
              </w:rPr>
              <w:lastRenderedPageBreak/>
              <w:t xml:space="preserve">within other disciplines </w:t>
            </w:r>
            <w:proofErr w:type="spellStart"/>
            <w:r w:rsidRPr="00B31CDE">
              <w:rPr>
                <w:rFonts w:ascii="Arial" w:hAnsi="Arial" w:cs="Arial"/>
                <w:sz w:val="22"/>
                <w:szCs w:val="22"/>
              </w:rPr>
              <w:t>ie</w:t>
            </w:r>
            <w:proofErr w:type="spellEnd"/>
            <w:r w:rsidRPr="00B31CDE">
              <w:rPr>
                <w:rFonts w:ascii="Arial" w:hAnsi="Arial" w:cs="Arial"/>
                <w:sz w:val="22"/>
                <w:szCs w:val="22"/>
              </w:rPr>
              <w:t xml:space="preserve"> medical services, surgical services </w:t>
            </w:r>
          </w:p>
        </w:tc>
        <w:tc>
          <w:tcPr>
            <w:tcW w:w="3692" w:type="dxa"/>
          </w:tcPr>
          <w:p w14:paraId="6488B1B9" w14:textId="77777777" w:rsidR="000A2BB7" w:rsidRPr="00B31CDE" w:rsidRDefault="000A2BB7" w:rsidP="001352C0">
            <w:pPr>
              <w:jc w:val="left"/>
              <w:rPr>
                <w:rFonts w:ascii="Arial" w:hAnsi="Arial" w:cs="Arial"/>
                <w:sz w:val="22"/>
                <w:szCs w:val="22"/>
              </w:rPr>
            </w:pPr>
            <w:r w:rsidRPr="00B31CDE">
              <w:rPr>
                <w:rFonts w:ascii="Arial" w:hAnsi="Arial" w:cs="Arial"/>
                <w:sz w:val="22"/>
                <w:szCs w:val="22"/>
              </w:rPr>
              <w:lastRenderedPageBreak/>
              <w:t xml:space="preserve">Referral processes and protocols are in place include mechanisms </w:t>
            </w:r>
            <w:r w:rsidRPr="00B31CDE">
              <w:rPr>
                <w:rFonts w:ascii="Arial" w:hAnsi="Arial" w:cs="Arial"/>
                <w:sz w:val="22"/>
                <w:szCs w:val="22"/>
              </w:rPr>
              <w:lastRenderedPageBreak/>
              <w:t>for shared working where appropriate.</w:t>
            </w:r>
          </w:p>
          <w:p w14:paraId="6B16F134" w14:textId="77777777" w:rsidR="000A2BB7" w:rsidRPr="00B31CDE" w:rsidRDefault="000A2BB7" w:rsidP="001352C0">
            <w:pPr>
              <w:rPr>
                <w:rFonts w:ascii="Arial" w:hAnsi="Arial" w:cs="Arial"/>
                <w:sz w:val="22"/>
                <w:szCs w:val="22"/>
              </w:rPr>
            </w:pPr>
            <w:r w:rsidRPr="00B31CDE">
              <w:rPr>
                <w:rFonts w:ascii="Arial" w:hAnsi="Arial" w:cs="Arial"/>
                <w:sz w:val="22"/>
                <w:szCs w:val="22"/>
              </w:rPr>
              <w:t xml:space="preserve">Services assist the </w:t>
            </w:r>
            <w:r w:rsidR="00EC3E93" w:rsidRPr="00B31CDE">
              <w:rPr>
                <w:rFonts w:ascii="Arial" w:hAnsi="Arial" w:cs="Arial"/>
                <w:sz w:val="22"/>
                <w:szCs w:val="22"/>
              </w:rPr>
              <w:t>Service User</w:t>
            </w:r>
            <w:r w:rsidRPr="00B31CDE">
              <w:rPr>
                <w:rFonts w:ascii="Arial" w:hAnsi="Arial" w:cs="Arial"/>
                <w:sz w:val="22"/>
                <w:szCs w:val="22"/>
              </w:rPr>
              <w:t xml:space="preserve"> to access the other services that are required</w:t>
            </w:r>
          </w:p>
        </w:tc>
      </w:tr>
      <w:tr w:rsidR="000A2BB7" w:rsidRPr="003B2D1D" w14:paraId="4D884407" w14:textId="77777777" w:rsidTr="001153DF">
        <w:tc>
          <w:tcPr>
            <w:tcW w:w="3114" w:type="dxa"/>
          </w:tcPr>
          <w:p w14:paraId="58240B55" w14:textId="77777777" w:rsidR="000A2BB7" w:rsidRPr="00B31CDE" w:rsidRDefault="000A2BB7" w:rsidP="001352C0">
            <w:pPr>
              <w:jc w:val="left"/>
              <w:rPr>
                <w:rFonts w:ascii="Arial" w:hAnsi="Arial" w:cs="Arial"/>
                <w:sz w:val="22"/>
                <w:szCs w:val="22"/>
              </w:rPr>
            </w:pPr>
            <w:r w:rsidRPr="00B31CDE">
              <w:rPr>
                <w:rFonts w:ascii="Arial" w:hAnsi="Arial" w:cs="Arial"/>
                <w:sz w:val="22"/>
                <w:szCs w:val="22"/>
              </w:rPr>
              <w:lastRenderedPageBreak/>
              <w:t xml:space="preserve">Supporting services not purchased within this service specification </w:t>
            </w:r>
          </w:p>
        </w:tc>
        <w:tc>
          <w:tcPr>
            <w:tcW w:w="2822" w:type="dxa"/>
          </w:tcPr>
          <w:p w14:paraId="79D39A23" w14:textId="77777777" w:rsidR="000A2BB7" w:rsidRPr="00B31CDE" w:rsidRDefault="000A2BB7" w:rsidP="001352C0">
            <w:pPr>
              <w:jc w:val="left"/>
              <w:rPr>
                <w:rFonts w:ascii="Arial" w:hAnsi="Arial" w:cs="Arial"/>
                <w:sz w:val="22"/>
                <w:szCs w:val="22"/>
              </w:rPr>
            </w:pPr>
            <w:r w:rsidRPr="00B31CDE">
              <w:rPr>
                <w:rFonts w:ascii="Arial" w:hAnsi="Arial" w:cs="Arial"/>
                <w:sz w:val="22"/>
                <w:szCs w:val="22"/>
              </w:rPr>
              <w:t xml:space="preserve">Provide continuity of care and facilitate access to services that best meet the needs of the </w:t>
            </w:r>
            <w:r w:rsidR="00EC3E93" w:rsidRPr="00B31CDE">
              <w:rPr>
                <w:rFonts w:ascii="Arial" w:hAnsi="Arial" w:cs="Arial"/>
                <w:sz w:val="22"/>
                <w:szCs w:val="22"/>
              </w:rPr>
              <w:t>Service User</w:t>
            </w:r>
          </w:p>
        </w:tc>
        <w:tc>
          <w:tcPr>
            <w:tcW w:w="3692" w:type="dxa"/>
          </w:tcPr>
          <w:p w14:paraId="45CD1DE3" w14:textId="77777777" w:rsidR="000A2BB7" w:rsidRPr="00B31CDE" w:rsidRDefault="000A2BB7" w:rsidP="001352C0">
            <w:pPr>
              <w:jc w:val="left"/>
              <w:rPr>
                <w:rFonts w:ascii="Arial" w:hAnsi="Arial" w:cs="Arial"/>
                <w:sz w:val="22"/>
                <w:szCs w:val="22"/>
              </w:rPr>
            </w:pPr>
            <w:r w:rsidRPr="00B31CDE">
              <w:rPr>
                <w:rFonts w:ascii="Arial" w:hAnsi="Arial" w:cs="Arial"/>
                <w:sz w:val="22"/>
                <w:szCs w:val="22"/>
              </w:rPr>
              <w:t>Knowledge of other services within a district  maintained</w:t>
            </w:r>
          </w:p>
          <w:p w14:paraId="690059F7" w14:textId="77777777" w:rsidR="000A2BB7" w:rsidRPr="00B31CDE" w:rsidRDefault="000A2BB7" w:rsidP="001352C0">
            <w:pPr>
              <w:jc w:val="left"/>
              <w:rPr>
                <w:rFonts w:ascii="Arial" w:hAnsi="Arial" w:cs="Arial"/>
                <w:sz w:val="22"/>
                <w:szCs w:val="22"/>
              </w:rPr>
            </w:pPr>
            <w:r w:rsidRPr="00B31CDE">
              <w:rPr>
                <w:rFonts w:ascii="Arial" w:hAnsi="Arial" w:cs="Arial"/>
                <w:sz w:val="22"/>
                <w:szCs w:val="22"/>
              </w:rPr>
              <w:t>Relationship with other providers through stakeholder networks</w:t>
            </w:r>
          </w:p>
        </w:tc>
      </w:tr>
      <w:tr w:rsidR="00886595" w:rsidRPr="003B2D1D" w14:paraId="56FEE667" w14:textId="77777777" w:rsidTr="001153DF">
        <w:tc>
          <w:tcPr>
            <w:tcW w:w="3114" w:type="dxa"/>
          </w:tcPr>
          <w:p w14:paraId="7FA69E93" w14:textId="77777777" w:rsidR="00886595" w:rsidRPr="00B31CDE" w:rsidRDefault="0065100D" w:rsidP="001352C0">
            <w:pPr>
              <w:tabs>
                <w:tab w:val="left" w:pos="900"/>
              </w:tabs>
              <w:autoSpaceDE w:val="0"/>
              <w:autoSpaceDN w:val="0"/>
              <w:adjustRightInd w:val="0"/>
              <w:ind w:right="108"/>
              <w:jc w:val="left"/>
              <w:rPr>
                <w:rFonts w:ascii="Arial" w:hAnsi="Arial" w:cs="Arial"/>
                <w:color w:val="000000"/>
                <w:sz w:val="22"/>
                <w:szCs w:val="22"/>
              </w:rPr>
            </w:pPr>
            <w:r w:rsidRPr="00B31CDE">
              <w:rPr>
                <w:rFonts w:ascii="Arial" w:hAnsi="Arial" w:cs="Arial"/>
                <w:color w:val="000000"/>
                <w:sz w:val="22"/>
                <w:szCs w:val="22"/>
              </w:rPr>
              <w:t>Publicly funded d</w:t>
            </w:r>
            <w:r w:rsidR="00886595" w:rsidRPr="00B31CDE">
              <w:rPr>
                <w:rFonts w:ascii="Arial" w:hAnsi="Arial" w:cs="Arial"/>
                <w:color w:val="000000"/>
                <w:sz w:val="22"/>
                <w:szCs w:val="22"/>
              </w:rPr>
              <w:t xml:space="preserve">isability or long term support services </w:t>
            </w:r>
            <w:r w:rsidRPr="00B31CDE">
              <w:rPr>
                <w:rFonts w:ascii="Arial" w:hAnsi="Arial" w:cs="Arial"/>
                <w:color w:val="000000"/>
                <w:sz w:val="22"/>
                <w:szCs w:val="22"/>
              </w:rPr>
              <w:t xml:space="preserve">for the </w:t>
            </w:r>
            <w:r w:rsidR="00EC3E93" w:rsidRPr="00B31CDE">
              <w:rPr>
                <w:rFonts w:ascii="Arial" w:hAnsi="Arial" w:cs="Arial"/>
                <w:color w:val="000000"/>
                <w:sz w:val="22"/>
                <w:szCs w:val="22"/>
              </w:rPr>
              <w:t>Service User</w:t>
            </w:r>
            <w:r w:rsidR="005B1229" w:rsidRPr="00B31CDE">
              <w:rPr>
                <w:rFonts w:ascii="Arial" w:hAnsi="Arial" w:cs="Arial"/>
                <w:color w:val="000000"/>
                <w:sz w:val="22"/>
                <w:szCs w:val="22"/>
              </w:rPr>
              <w:t>s</w:t>
            </w:r>
            <w:r w:rsidRPr="00B31CDE">
              <w:rPr>
                <w:rFonts w:ascii="Arial" w:hAnsi="Arial" w:cs="Arial"/>
                <w:color w:val="000000"/>
                <w:sz w:val="22"/>
                <w:szCs w:val="22"/>
              </w:rPr>
              <w:t xml:space="preserve"> with </w:t>
            </w:r>
            <w:r w:rsidR="001352C0" w:rsidRPr="00B31CDE">
              <w:rPr>
                <w:rFonts w:ascii="Arial" w:hAnsi="Arial" w:cs="Arial"/>
                <w:color w:val="000000"/>
                <w:sz w:val="22"/>
                <w:szCs w:val="22"/>
              </w:rPr>
              <w:t>co-existing</w:t>
            </w:r>
            <w:r w:rsidRPr="00B31CDE">
              <w:rPr>
                <w:rFonts w:ascii="Arial" w:hAnsi="Arial" w:cs="Arial"/>
                <w:color w:val="000000"/>
                <w:sz w:val="22"/>
                <w:szCs w:val="22"/>
              </w:rPr>
              <w:t xml:space="preserve"> disabilities/ conditions who meet other funding streams eligibility criteria </w:t>
            </w:r>
            <w:r w:rsidR="00886595" w:rsidRPr="00B31CDE">
              <w:rPr>
                <w:rFonts w:ascii="Arial" w:hAnsi="Arial" w:cs="Arial"/>
                <w:color w:val="000000"/>
                <w:sz w:val="22"/>
                <w:szCs w:val="22"/>
              </w:rPr>
              <w:t>such as:</w:t>
            </w:r>
          </w:p>
          <w:p w14:paraId="361E6C08" w14:textId="77777777" w:rsidR="00886595" w:rsidRPr="00B31CDE" w:rsidRDefault="00886595" w:rsidP="001352C0">
            <w:pPr>
              <w:keepNext/>
              <w:keepLines/>
              <w:autoSpaceDE w:val="0"/>
              <w:autoSpaceDN w:val="0"/>
              <w:adjustRightInd w:val="0"/>
              <w:ind w:right="108"/>
              <w:jc w:val="left"/>
              <w:rPr>
                <w:rFonts w:ascii="Arial" w:hAnsi="Arial" w:cs="Arial"/>
                <w:color w:val="000000"/>
                <w:sz w:val="22"/>
                <w:szCs w:val="22"/>
              </w:rPr>
            </w:pPr>
            <w:r w:rsidRPr="00B31CDE">
              <w:rPr>
                <w:rFonts w:ascii="Arial" w:hAnsi="Arial" w:cs="Arial"/>
                <w:color w:val="000000"/>
                <w:sz w:val="22"/>
                <w:szCs w:val="22"/>
              </w:rPr>
              <w:t>Needs assessment and service co-ordination (eg</w:t>
            </w:r>
            <w:r w:rsidR="003B2D1D" w:rsidRPr="00B31CDE">
              <w:rPr>
                <w:rFonts w:ascii="Arial" w:hAnsi="Arial" w:cs="Arial"/>
                <w:color w:val="000000"/>
                <w:sz w:val="22"/>
                <w:szCs w:val="22"/>
              </w:rPr>
              <w:t>,</w:t>
            </w:r>
            <w:r w:rsidR="00E963F2" w:rsidRPr="00B31CDE">
              <w:rPr>
                <w:rFonts w:ascii="Arial" w:hAnsi="Arial" w:cs="Arial"/>
                <w:color w:val="000000"/>
                <w:sz w:val="22"/>
                <w:szCs w:val="22"/>
              </w:rPr>
              <w:t xml:space="preserve"> </w:t>
            </w:r>
            <w:r w:rsidRPr="00B31CDE">
              <w:rPr>
                <w:rFonts w:ascii="Arial" w:hAnsi="Arial" w:cs="Arial"/>
                <w:color w:val="000000"/>
                <w:sz w:val="22"/>
                <w:szCs w:val="22"/>
              </w:rPr>
              <w:t xml:space="preserve">NASC) </w:t>
            </w:r>
          </w:p>
          <w:p w14:paraId="482347D9" w14:textId="77777777" w:rsidR="00886595" w:rsidRPr="00B31CDE" w:rsidRDefault="00886595" w:rsidP="001352C0">
            <w:pPr>
              <w:keepNext/>
              <w:keepLines/>
              <w:autoSpaceDE w:val="0"/>
              <w:autoSpaceDN w:val="0"/>
              <w:adjustRightInd w:val="0"/>
              <w:spacing w:before="120"/>
              <w:ind w:right="108"/>
              <w:jc w:val="left"/>
              <w:rPr>
                <w:rFonts w:ascii="Arial" w:hAnsi="Arial" w:cs="Arial"/>
                <w:color w:val="000000"/>
                <w:sz w:val="22"/>
                <w:szCs w:val="22"/>
              </w:rPr>
            </w:pPr>
            <w:r w:rsidRPr="00B31CDE">
              <w:rPr>
                <w:rFonts w:ascii="Arial" w:hAnsi="Arial" w:cs="Arial"/>
                <w:color w:val="000000"/>
                <w:sz w:val="22"/>
                <w:szCs w:val="22"/>
              </w:rPr>
              <w:t xml:space="preserve">Specific support services such as: home and community support; carer support and respite; </w:t>
            </w:r>
            <w:r w:rsidR="0065100D" w:rsidRPr="00B31CDE">
              <w:rPr>
                <w:rFonts w:ascii="Arial" w:hAnsi="Arial" w:cs="Arial"/>
                <w:color w:val="000000"/>
                <w:sz w:val="22"/>
                <w:szCs w:val="22"/>
              </w:rPr>
              <w:t>residential services;</w:t>
            </w:r>
            <w:r w:rsidRPr="00B31CDE">
              <w:rPr>
                <w:rFonts w:ascii="Arial" w:hAnsi="Arial" w:cs="Arial"/>
                <w:color w:val="000000"/>
                <w:sz w:val="22"/>
                <w:szCs w:val="22"/>
              </w:rPr>
              <w:t xml:space="preserve"> supported independent living; </w:t>
            </w:r>
            <w:proofErr w:type="spellStart"/>
            <w:r w:rsidRPr="00B31CDE">
              <w:rPr>
                <w:rFonts w:ascii="Arial" w:hAnsi="Arial" w:cs="Arial"/>
                <w:color w:val="000000"/>
                <w:sz w:val="22"/>
                <w:szCs w:val="22"/>
              </w:rPr>
              <w:t>habilitation</w:t>
            </w:r>
            <w:proofErr w:type="spellEnd"/>
            <w:r w:rsidRPr="00B31CDE">
              <w:rPr>
                <w:rFonts w:ascii="Arial" w:hAnsi="Arial" w:cs="Arial"/>
                <w:color w:val="000000"/>
                <w:sz w:val="22"/>
                <w:szCs w:val="22"/>
              </w:rPr>
              <w:t>/rehabilitation;  other specialist support services, as appropriate</w:t>
            </w:r>
          </w:p>
          <w:p w14:paraId="0C881A9D" w14:textId="77777777" w:rsidR="00886595" w:rsidRPr="00B31CDE" w:rsidRDefault="00886595" w:rsidP="001352C0">
            <w:pPr>
              <w:spacing w:before="120"/>
              <w:jc w:val="left"/>
              <w:rPr>
                <w:rFonts w:ascii="Arial" w:hAnsi="Arial" w:cs="Arial"/>
                <w:sz w:val="22"/>
                <w:szCs w:val="22"/>
              </w:rPr>
            </w:pPr>
            <w:r w:rsidRPr="00B31CDE">
              <w:rPr>
                <w:rFonts w:ascii="Arial" w:hAnsi="Arial" w:cs="Arial"/>
                <w:color w:val="000000"/>
                <w:sz w:val="22"/>
                <w:szCs w:val="22"/>
              </w:rPr>
              <w:t>Environmental support services (eg</w:t>
            </w:r>
            <w:r w:rsidR="003B2D1D" w:rsidRPr="00B31CDE">
              <w:rPr>
                <w:rFonts w:ascii="Arial" w:hAnsi="Arial" w:cs="Arial"/>
                <w:color w:val="000000"/>
                <w:sz w:val="22"/>
                <w:szCs w:val="22"/>
              </w:rPr>
              <w:t>,</w:t>
            </w:r>
            <w:r w:rsidRPr="00B31CDE">
              <w:rPr>
                <w:rFonts w:ascii="Arial" w:hAnsi="Arial" w:cs="Arial"/>
                <w:color w:val="000000"/>
                <w:sz w:val="22"/>
                <w:szCs w:val="22"/>
              </w:rPr>
              <w:t xml:space="preserve"> long-term equipment, including specialist assessment services, home modifications) to assist with essential daily activities</w:t>
            </w:r>
            <w:r w:rsidRPr="00B31CDE">
              <w:rPr>
                <w:rFonts w:ascii="Arial" w:hAnsi="Arial" w:cs="Arial"/>
                <w:sz w:val="22"/>
                <w:szCs w:val="22"/>
              </w:rPr>
              <w:t xml:space="preserve"> </w:t>
            </w:r>
          </w:p>
          <w:p w14:paraId="5C71B726" w14:textId="77777777" w:rsidR="00886595" w:rsidRPr="00B31CDE" w:rsidRDefault="00886595" w:rsidP="001352C0">
            <w:pPr>
              <w:spacing w:before="120"/>
              <w:jc w:val="left"/>
              <w:rPr>
                <w:rFonts w:ascii="Arial" w:hAnsi="Arial" w:cs="Arial"/>
                <w:sz w:val="22"/>
                <w:szCs w:val="22"/>
              </w:rPr>
            </w:pPr>
            <w:r w:rsidRPr="00B31CDE">
              <w:rPr>
                <w:rFonts w:ascii="Arial" w:hAnsi="Arial" w:cs="Arial"/>
                <w:color w:val="000000"/>
                <w:sz w:val="22"/>
                <w:szCs w:val="22"/>
              </w:rPr>
              <w:t>Information and advisory services (eg</w:t>
            </w:r>
            <w:r w:rsidR="003B2D1D" w:rsidRPr="00B31CDE">
              <w:rPr>
                <w:rFonts w:ascii="Arial" w:hAnsi="Arial" w:cs="Arial"/>
                <w:color w:val="000000"/>
                <w:sz w:val="22"/>
                <w:szCs w:val="22"/>
              </w:rPr>
              <w:t>,</w:t>
            </w:r>
            <w:r w:rsidRPr="00B31CDE">
              <w:rPr>
                <w:rFonts w:ascii="Arial" w:hAnsi="Arial" w:cs="Arial"/>
                <w:color w:val="000000"/>
                <w:sz w:val="22"/>
                <w:szCs w:val="22"/>
              </w:rPr>
              <w:t xml:space="preserve"> on available services and how to access these) </w:t>
            </w:r>
          </w:p>
        </w:tc>
        <w:tc>
          <w:tcPr>
            <w:tcW w:w="2822" w:type="dxa"/>
          </w:tcPr>
          <w:p w14:paraId="2AD9C427" w14:textId="77777777" w:rsidR="00886595" w:rsidRPr="00B31CDE" w:rsidRDefault="00886595" w:rsidP="00FC5C41">
            <w:pPr>
              <w:keepNext/>
              <w:keepLines/>
              <w:numPr>
                <w:ilvl w:val="0"/>
                <w:numId w:val="19"/>
              </w:numPr>
              <w:tabs>
                <w:tab w:val="num" w:pos="320"/>
              </w:tabs>
              <w:autoSpaceDE w:val="0"/>
              <w:autoSpaceDN w:val="0"/>
              <w:adjustRightInd w:val="0"/>
              <w:ind w:left="320" w:right="108" w:hanging="320"/>
              <w:jc w:val="left"/>
              <w:rPr>
                <w:rFonts w:ascii="Arial" w:hAnsi="Arial" w:cs="Arial"/>
                <w:color w:val="000000"/>
                <w:sz w:val="22"/>
                <w:szCs w:val="22"/>
              </w:rPr>
            </w:pPr>
            <w:r w:rsidRPr="00B31CDE">
              <w:rPr>
                <w:rFonts w:ascii="Arial" w:hAnsi="Arial" w:cs="Arial"/>
                <w:color w:val="000000"/>
                <w:sz w:val="22"/>
                <w:szCs w:val="22"/>
              </w:rPr>
              <w:t>Referral and liaison</w:t>
            </w:r>
          </w:p>
          <w:p w14:paraId="1C60AE8B" w14:textId="0CF9E6DB" w:rsidR="00886595" w:rsidRPr="00B31CDE" w:rsidRDefault="00B723A9" w:rsidP="00FC5C41">
            <w:pPr>
              <w:keepNext/>
              <w:keepLines/>
              <w:numPr>
                <w:ilvl w:val="0"/>
                <w:numId w:val="19"/>
              </w:numPr>
              <w:tabs>
                <w:tab w:val="num" w:pos="320"/>
              </w:tabs>
              <w:autoSpaceDE w:val="0"/>
              <w:autoSpaceDN w:val="0"/>
              <w:adjustRightInd w:val="0"/>
              <w:ind w:left="320" w:right="108" w:hanging="320"/>
              <w:jc w:val="left"/>
              <w:rPr>
                <w:rFonts w:ascii="Arial" w:hAnsi="Arial" w:cs="Arial"/>
                <w:color w:val="000000"/>
                <w:sz w:val="22"/>
                <w:szCs w:val="22"/>
              </w:rPr>
            </w:pPr>
            <w:r w:rsidRPr="00B723A9">
              <w:rPr>
                <w:rFonts w:ascii="Arial" w:hAnsi="Arial" w:cs="Arial"/>
                <w:color w:val="000000"/>
                <w:sz w:val="22"/>
                <w:szCs w:val="22"/>
              </w:rPr>
              <w:t>Consultation</w:t>
            </w:r>
          </w:p>
          <w:p w14:paraId="61926AC3" w14:textId="77777777" w:rsidR="00886595" w:rsidRPr="00B31CDE" w:rsidRDefault="00886595" w:rsidP="00B31CDE">
            <w:pPr>
              <w:keepNext/>
              <w:keepLines/>
              <w:tabs>
                <w:tab w:val="num" w:pos="1352"/>
              </w:tabs>
              <w:autoSpaceDE w:val="0"/>
              <w:autoSpaceDN w:val="0"/>
              <w:adjustRightInd w:val="0"/>
              <w:ind w:left="454" w:right="108"/>
              <w:jc w:val="left"/>
              <w:rPr>
                <w:rFonts w:ascii="Arial" w:hAnsi="Arial" w:cs="Arial"/>
                <w:sz w:val="22"/>
                <w:szCs w:val="22"/>
              </w:rPr>
            </w:pPr>
          </w:p>
        </w:tc>
        <w:tc>
          <w:tcPr>
            <w:tcW w:w="3692" w:type="dxa"/>
          </w:tcPr>
          <w:p w14:paraId="3F473667" w14:textId="77777777" w:rsidR="00886595" w:rsidRPr="00B31CDE" w:rsidRDefault="00886595" w:rsidP="001352C0">
            <w:pPr>
              <w:keepNext/>
              <w:keepLines/>
              <w:numPr>
                <w:ilvl w:val="0"/>
                <w:numId w:val="19"/>
              </w:numPr>
              <w:tabs>
                <w:tab w:val="num" w:pos="320"/>
              </w:tabs>
              <w:autoSpaceDE w:val="0"/>
              <w:autoSpaceDN w:val="0"/>
              <w:adjustRightInd w:val="0"/>
              <w:ind w:left="320" w:right="108" w:hanging="361"/>
              <w:jc w:val="left"/>
              <w:rPr>
                <w:rFonts w:ascii="Arial" w:hAnsi="Arial" w:cs="Arial"/>
                <w:color w:val="000000"/>
                <w:sz w:val="22"/>
                <w:szCs w:val="22"/>
              </w:rPr>
            </w:pPr>
            <w:r w:rsidRPr="00B31CDE">
              <w:rPr>
                <w:rFonts w:ascii="Arial" w:hAnsi="Arial" w:cs="Arial"/>
                <w:color w:val="000000"/>
                <w:sz w:val="22"/>
                <w:szCs w:val="22"/>
              </w:rPr>
              <w:t>Effective local and regional linkages are in place to facilitate appropriate referrals</w:t>
            </w:r>
          </w:p>
          <w:p w14:paraId="77533A6D" w14:textId="153CB67C" w:rsidR="00B723A9" w:rsidRDefault="00EC3E93" w:rsidP="001352C0">
            <w:pPr>
              <w:keepNext/>
              <w:keepLines/>
              <w:numPr>
                <w:ilvl w:val="0"/>
                <w:numId w:val="19"/>
              </w:numPr>
              <w:tabs>
                <w:tab w:val="num" w:pos="320"/>
              </w:tabs>
              <w:autoSpaceDE w:val="0"/>
              <w:autoSpaceDN w:val="0"/>
              <w:adjustRightInd w:val="0"/>
              <w:ind w:left="320" w:right="108" w:hanging="361"/>
              <w:jc w:val="left"/>
              <w:rPr>
                <w:rFonts w:ascii="Arial" w:hAnsi="Arial" w:cs="Arial"/>
                <w:color w:val="000000"/>
                <w:sz w:val="22"/>
                <w:szCs w:val="22"/>
              </w:rPr>
            </w:pPr>
            <w:r w:rsidRPr="00B31CDE">
              <w:rPr>
                <w:rFonts w:ascii="Arial" w:hAnsi="Arial" w:cs="Arial"/>
                <w:color w:val="000000"/>
                <w:sz w:val="22"/>
                <w:szCs w:val="22"/>
              </w:rPr>
              <w:t>Service User</w:t>
            </w:r>
            <w:r w:rsidR="005B1229" w:rsidRPr="00B31CDE">
              <w:rPr>
                <w:rFonts w:ascii="Arial" w:hAnsi="Arial" w:cs="Arial"/>
                <w:color w:val="000000"/>
                <w:sz w:val="22"/>
                <w:szCs w:val="22"/>
              </w:rPr>
              <w:t>s</w:t>
            </w:r>
            <w:r w:rsidR="00886595" w:rsidRPr="00B31CDE">
              <w:rPr>
                <w:rFonts w:ascii="Arial" w:hAnsi="Arial" w:cs="Arial"/>
                <w:color w:val="000000"/>
                <w:sz w:val="22"/>
                <w:szCs w:val="22"/>
              </w:rPr>
              <w:t xml:space="preserve"> needing long-term support services</w:t>
            </w:r>
            <w:r w:rsidR="00B723A9">
              <w:rPr>
                <w:rFonts w:ascii="Arial" w:hAnsi="Arial" w:cs="Arial"/>
                <w:color w:val="000000"/>
                <w:sz w:val="22"/>
                <w:szCs w:val="22"/>
              </w:rPr>
              <w:t>:</w:t>
            </w:r>
            <w:r w:rsidR="00886595" w:rsidRPr="00B31CDE">
              <w:rPr>
                <w:rFonts w:ascii="Arial" w:hAnsi="Arial" w:cs="Arial"/>
                <w:color w:val="000000"/>
                <w:sz w:val="22"/>
                <w:szCs w:val="22"/>
              </w:rPr>
              <w:t xml:space="preserve"> have</w:t>
            </w:r>
            <w:r w:rsidR="00B31CDE">
              <w:rPr>
                <w:rFonts w:ascii="Arial" w:hAnsi="Arial" w:cs="Arial"/>
                <w:color w:val="000000"/>
                <w:sz w:val="22"/>
                <w:szCs w:val="22"/>
              </w:rPr>
              <w:t>:</w:t>
            </w:r>
            <w:r w:rsidR="00B723A9">
              <w:rPr>
                <w:rFonts w:ascii="Arial" w:hAnsi="Arial" w:cs="Arial"/>
                <w:color w:val="000000"/>
                <w:sz w:val="22"/>
                <w:szCs w:val="22"/>
              </w:rPr>
              <w:t xml:space="preserve"> </w:t>
            </w:r>
          </w:p>
          <w:p w14:paraId="29FEE4C9" w14:textId="7F36A66D" w:rsidR="00886595" w:rsidRPr="00B31CDE" w:rsidRDefault="00886595" w:rsidP="00B31CDE">
            <w:pPr>
              <w:pStyle w:val="ListParagraph"/>
              <w:keepNext/>
              <w:keepLines/>
              <w:numPr>
                <w:ilvl w:val="0"/>
                <w:numId w:val="52"/>
              </w:numPr>
              <w:autoSpaceDE w:val="0"/>
              <w:autoSpaceDN w:val="0"/>
              <w:adjustRightInd w:val="0"/>
              <w:ind w:right="108"/>
              <w:jc w:val="left"/>
              <w:rPr>
                <w:rFonts w:ascii="Arial" w:hAnsi="Arial" w:cs="Arial"/>
                <w:color w:val="000000"/>
                <w:sz w:val="22"/>
                <w:szCs w:val="22"/>
              </w:rPr>
            </w:pPr>
            <w:r w:rsidRPr="00B31CDE">
              <w:rPr>
                <w:rFonts w:ascii="Arial" w:hAnsi="Arial" w:cs="Arial"/>
                <w:color w:val="000000"/>
                <w:sz w:val="22"/>
                <w:szCs w:val="22"/>
              </w:rPr>
              <w:t>timely access to individual needs assessment and service coordination services</w:t>
            </w:r>
          </w:p>
          <w:p w14:paraId="329BC4EB" w14:textId="49200BC5" w:rsidR="00886595" w:rsidRPr="00B31CDE" w:rsidRDefault="00886595" w:rsidP="00B31CDE">
            <w:pPr>
              <w:pStyle w:val="ListParagraph"/>
              <w:keepNext/>
              <w:keepLines/>
              <w:numPr>
                <w:ilvl w:val="0"/>
                <w:numId w:val="52"/>
              </w:numPr>
              <w:autoSpaceDE w:val="0"/>
              <w:autoSpaceDN w:val="0"/>
              <w:adjustRightInd w:val="0"/>
              <w:ind w:right="108"/>
              <w:jc w:val="left"/>
              <w:rPr>
                <w:rFonts w:ascii="Arial" w:hAnsi="Arial" w:cs="Arial"/>
                <w:color w:val="000000"/>
                <w:sz w:val="22"/>
                <w:szCs w:val="22"/>
              </w:rPr>
            </w:pPr>
            <w:r w:rsidRPr="00B31CDE">
              <w:rPr>
                <w:rFonts w:ascii="Arial" w:hAnsi="Arial" w:cs="Arial"/>
                <w:color w:val="000000"/>
                <w:sz w:val="22"/>
                <w:szCs w:val="22"/>
              </w:rPr>
              <w:t xml:space="preserve">receive appropriate services across the continuum of care and support to meet their individual needs, within available resources </w:t>
            </w:r>
          </w:p>
          <w:p w14:paraId="1CDE334E" w14:textId="77777777" w:rsidR="00886595" w:rsidRPr="00B31CDE" w:rsidRDefault="00EC3E93" w:rsidP="001352C0">
            <w:pPr>
              <w:keepNext/>
              <w:keepLines/>
              <w:numPr>
                <w:ilvl w:val="0"/>
                <w:numId w:val="19"/>
              </w:numPr>
              <w:tabs>
                <w:tab w:val="num" w:pos="320"/>
              </w:tabs>
              <w:autoSpaceDE w:val="0"/>
              <w:autoSpaceDN w:val="0"/>
              <w:adjustRightInd w:val="0"/>
              <w:ind w:left="320" w:right="108" w:hanging="320"/>
              <w:jc w:val="left"/>
              <w:rPr>
                <w:rFonts w:ascii="Arial" w:hAnsi="Arial" w:cs="Arial"/>
                <w:color w:val="000000"/>
                <w:sz w:val="22"/>
                <w:szCs w:val="22"/>
              </w:rPr>
            </w:pPr>
            <w:r w:rsidRPr="00B31CDE">
              <w:rPr>
                <w:rFonts w:ascii="Arial" w:hAnsi="Arial" w:cs="Arial"/>
                <w:color w:val="000000"/>
                <w:sz w:val="22"/>
                <w:szCs w:val="22"/>
              </w:rPr>
              <w:t>Service User</w:t>
            </w:r>
            <w:r w:rsidR="005B1229" w:rsidRPr="00B31CDE">
              <w:rPr>
                <w:rFonts w:ascii="Arial" w:hAnsi="Arial" w:cs="Arial"/>
                <w:color w:val="000000"/>
                <w:sz w:val="22"/>
                <w:szCs w:val="22"/>
              </w:rPr>
              <w:t>s</w:t>
            </w:r>
            <w:r w:rsidR="00886595" w:rsidRPr="00B31CDE">
              <w:rPr>
                <w:rFonts w:ascii="Arial" w:hAnsi="Arial" w:cs="Arial"/>
                <w:color w:val="000000"/>
                <w:sz w:val="22"/>
                <w:szCs w:val="22"/>
              </w:rPr>
              <w:t xml:space="preserve"> needing  environmental support services receive appropriate equipment and environmental modifications </w:t>
            </w:r>
          </w:p>
          <w:p w14:paraId="1362F933" w14:textId="77777777" w:rsidR="00886595" w:rsidRPr="00B31CDE" w:rsidRDefault="00EC3E93" w:rsidP="001352C0">
            <w:pPr>
              <w:numPr>
                <w:ilvl w:val="0"/>
                <w:numId w:val="19"/>
              </w:numPr>
              <w:tabs>
                <w:tab w:val="num" w:pos="319"/>
              </w:tabs>
              <w:ind w:left="319" w:hanging="319"/>
              <w:jc w:val="left"/>
              <w:rPr>
                <w:rFonts w:ascii="Arial" w:hAnsi="Arial" w:cs="Arial"/>
                <w:sz w:val="22"/>
                <w:szCs w:val="22"/>
              </w:rPr>
            </w:pPr>
            <w:r w:rsidRPr="00B31CDE">
              <w:rPr>
                <w:rFonts w:ascii="Arial" w:hAnsi="Arial" w:cs="Arial"/>
                <w:color w:val="000000"/>
                <w:sz w:val="22"/>
                <w:szCs w:val="22"/>
              </w:rPr>
              <w:t>Service User</w:t>
            </w:r>
            <w:r w:rsidR="005B1229" w:rsidRPr="00B31CDE">
              <w:rPr>
                <w:rFonts w:ascii="Arial" w:hAnsi="Arial" w:cs="Arial"/>
                <w:color w:val="000000"/>
                <w:sz w:val="22"/>
                <w:szCs w:val="22"/>
              </w:rPr>
              <w:t>s</w:t>
            </w:r>
            <w:r w:rsidR="00886595" w:rsidRPr="00B31CDE">
              <w:rPr>
                <w:rFonts w:ascii="Arial" w:hAnsi="Arial" w:cs="Arial"/>
                <w:color w:val="000000"/>
                <w:sz w:val="22"/>
                <w:szCs w:val="22"/>
              </w:rPr>
              <w:t xml:space="preserve"> have timely access to appropriately presented information  and relevant advice </w:t>
            </w:r>
          </w:p>
        </w:tc>
      </w:tr>
      <w:tr w:rsidR="00886595" w:rsidRPr="003B2D1D" w14:paraId="2A72459B" w14:textId="77777777" w:rsidTr="001153DF">
        <w:tc>
          <w:tcPr>
            <w:tcW w:w="3114" w:type="dxa"/>
          </w:tcPr>
          <w:p w14:paraId="0BD9E532"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Local M</w:t>
            </w:r>
            <w:r w:rsidRPr="00B31CDE">
              <w:rPr>
                <w:rFonts w:ascii="Arial" w:hAnsi="Arial" w:cs="Arial"/>
                <w:sz w:val="22"/>
                <w:szCs w:val="22"/>
                <w:lang w:val="en-US"/>
              </w:rPr>
              <w:t>ā</w:t>
            </w:r>
            <w:proofErr w:type="spellStart"/>
            <w:r w:rsidRPr="00B31CDE">
              <w:rPr>
                <w:rFonts w:ascii="Arial" w:hAnsi="Arial" w:cs="Arial"/>
                <w:sz w:val="22"/>
                <w:szCs w:val="22"/>
              </w:rPr>
              <w:t>ori</w:t>
            </w:r>
            <w:proofErr w:type="spellEnd"/>
            <w:r w:rsidRPr="00B31CDE">
              <w:rPr>
                <w:rFonts w:ascii="Arial" w:hAnsi="Arial" w:cs="Arial"/>
                <w:sz w:val="22"/>
                <w:szCs w:val="22"/>
              </w:rPr>
              <w:t xml:space="preserve"> health providers, M</w:t>
            </w:r>
            <w:r w:rsidRPr="00B31CDE">
              <w:rPr>
                <w:rFonts w:ascii="Arial" w:hAnsi="Arial" w:cs="Arial"/>
                <w:sz w:val="22"/>
                <w:szCs w:val="22"/>
                <w:lang w:val="en-US"/>
              </w:rPr>
              <w:t>ā</w:t>
            </w:r>
            <w:proofErr w:type="spellStart"/>
            <w:r w:rsidRPr="00B31CDE">
              <w:rPr>
                <w:rFonts w:ascii="Arial" w:hAnsi="Arial" w:cs="Arial"/>
                <w:sz w:val="22"/>
                <w:szCs w:val="22"/>
              </w:rPr>
              <w:t>ori</w:t>
            </w:r>
            <w:proofErr w:type="spellEnd"/>
            <w:r w:rsidRPr="00B31CDE">
              <w:rPr>
                <w:rFonts w:ascii="Arial" w:hAnsi="Arial" w:cs="Arial"/>
                <w:sz w:val="22"/>
                <w:szCs w:val="22"/>
              </w:rPr>
              <w:t xml:space="preserve"> agencies and community groups </w:t>
            </w:r>
          </w:p>
        </w:tc>
        <w:tc>
          <w:tcPr>
            <w:tcW w:w="2822" w:type="dxa"/>
          </w:tcPr>
          <w:p w14:paraId="413A7898"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To improve mental health and addiction outcomes and reduce health inequalities for M</w:t>
            </w:r>
            <w:r w:rsidRPr="00B31CDE">
              <w:rPr>
                <w:rFonts w:ascii="Arial" w:hAnsi="Arial" w:cs="Arial"/>
                <w:sz w:val="22"/>
                <w:szCs w:val="22"/>
                <w:lang w:val="en-US"/>
              </w:rPr>
              <w:t>ā</w:t>
            </w:r>
            <w:proofErr w:type="spellStart"/>
            <w:r w:rsidRPr="00B31CDE">
              <w:rPr>
                <w:rFonts w:ascii="Arial" w:hAnsi="Arial" w:cs="Arial"/>
                <w:sz w:val="22"/>
                <w:szCs w:val="22"/>
              </w:rPr>
              <w:t>ori</w:t>
            </w:r>
            <w:proofErr w:type="spellEnd"/>
          </w:p>
        </w:tc>
        <w:tc>
          <w:tcPr>
            <w:tcW w:w="3692" w:type="dxa"/>
          </w:tcPr>
          <w:p w14:paraId="7B31395B"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 xml:space="preserve">Local </w:t>
            </w:r>
            <w:proofErr w:type="spellStart"/>
            <w:r w:rsidRPr="00B31CDE">
              <w:rPr>
                <w:rFonts w:ascii="Arial" w:hAnsi="Arial" w:cs="Arial"/>
                <w:sz w:val="22"/>
                <w:szCs w:val="22"/>
              </w:rPr>
              <w:t>Kaupapa</w:t>
            </w:r>
            <w:proofErr w:type="spellEnd"/>
            <w:r w:rsidRPr="00B31CDE">
              <w:rPr>
                <w:rFonts w:ascii="Arial" w:hAnsi="Arial" w:cs="Arial"/>
                <w:sz w:val="22"/>
                <w:szCs w:val="22"/>
              </w:rPr>
              <w:t xml:space="preserve"> M</w:t>
            </w:r>
            <w:r w:rsidRPr="00B31CDE">
              <w:rPr>
                <w:rFonts w:ascii="Arial" w:hAnsi="Arial" w:cs="Arial"/>
                <w:sz w:val="22"/>
                <w:szCs w:val="22"/>
                <w:lang w:val="en-US"/>
              </w:rPr>
              <w:t>ā</w:t>
            </w:r>
            <w:proofErr w:type="spellStart"/>
            <w:r w:rsidRPr="00B31CDE">
              <w:rPr>
                <w:rFonts w:ascii="Arial" w:hAnsi="Arial" w:cs="Arial"/>
                <w:sz w:val="22"/>
                <w:szCs w:val="22"/>
              </w:rPr>
              <w:t>ori</w:t>
            </w:r>
            <w:proofErr w:type="spellEnd"/>
            <w:r w:rsidRPr="00B31CDE">
              <w:rPr>
                <w:rFonts w:ascii="Arial" w:hAnsi="Arial" w:cs="Arial"/>
                <w:sz w:val="22"/>
                <w:szCs w:val="22"/>
              </w:rPr>
              <w:t xml:space="preserve"> services are strengthened by relationships, networks and cross agency working. </w:t>
            </w:r>
          </w:p>
        </w:tc>
      </w:tr>
      <w:tr w:rsidR="00886595" w:rsidRPr="003B2D1D" w14:paraId="4F3E37BD" w14:textId="77777777" w:rsidTr="001153DF">
        <w:tc>
          <w:tcPr>
            <w:tcW w:w="3114" w:type="dxa"/>
          </w:tcPr>
          <w:p w14:paraId="7CE5145C" w14:textId="77777777" w:rsidR="00886595" w:rsidRPr="00B31CDE" w:rsidRDefault="00886595" w:rsidP="001352C0">
            <w:pPr>
              <w:spacing w:after="120"/>
              <w:jc w:val="left"/>
              <w:rPr>
                <w:rFonts w:ascii="Arial" w:hAnsi="Arial" w:cs="Arial"/>
                <w:sz w:val="22"/>
                <w:szCs w:val="22"/>
              </w:rPr>
            </w:pPr>
            <w:r w:rsidRPr="00B31CDE">
              <w:rPr>
                <w:rFonts w:ascii="Arial" w:hAnsi="Arial" w:cs="Arial"/>
                <w:sz w:val="22"/>
                <w:szCs w:val="22"/>
              </w:rPr>
              <w:t>Local Pacific health providers, Pacific agencies and community groups</w:t>
            </w:r>
          </w:p>
        </w:tc>
        <w:tc>
          <w:tcPr>
            <w:tcW w:w="2822" w:type="dxa"/>
          </w:tcPr>
          <w:p w14:paraId="7B4B1171"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To improve mental health and addiction outcomes and reduce health inequalities for Pacific people.</w:t>
            </w:r>
          </w:p>
        </w:tc>
        <w:tc>
          <w:tcPr>
            <w:tcW w:w="3692" w:type="dxa"/>
          </w:tcPr>
          <w:p w14:paraId="09E91E5B"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Local Pacific services are strengthened by relationships, networks and cross agency working.</w:t>
            </w:r>
          </w:p>
        </w:tc>
      </w:tr>
      <w:tr w:rsidR="00886595" w:rsidRPr="003B2D1D" w14:paraId="5416179C" w14:textId="77777777" w:rsidTr="001153DF">
        <w:tc>
          <w:tcPr>
            <w:tcW w:w="3114" w:type="dxa"/>
          </w:tcPr>
          <w:p w14:paraId="20ED2DB8" w14:textId="77777777" w:rsidR="00886595" w:rsidRPr="00B31CDE" w:rsidRDefault="00886595" w:rsidP="001352C0">
            <w:pPr>
              <w:spacing w:after="120"/>
              <w:jc w:val="left"/>
              <w:rPr>
                <w:rFonts w:ascii="Arial" w:hAnsi="Arial" w:cs="Arial"/>
                <w:sz w:val="22"/>
                <w:szCs w:val="22"/>
              </w:rPr>
            </w:pPr>
            <w:r w:rsidRPr="00B31CDE">
              <w:rPr>
                <w:rFonts w:ascii="Arial" w:hAnsi="Arial" w:cs="Arial"/>
                <w:sz w:val="22"/>
                <w:szCs w:val="22"/>
              </w:rPr>
              <w:lastRenderedPageBreak/>
              <w:t>Other</w:t>
            </w:r>
            <w:r w:rsidR="00F45E62" w:rsidRPr="00B31CDE">
              <w:rPr>
                <w:rFonts w:ascii="Arial" w:hAnsi="Arial" w:cs="Arial"/>
                <w:sz w:val="22"/>
                <w:szCs w:val="22"/>
              </w:rPr>
              <w:t xml:space="preserve"> Government funded </w:t>
            </w:r>
            <w:r w:rsidRPr="00B31CDE">
              <w:rPr>
                <w:rFonts w:ascii="Arial" w:hAnsi="Arial" w:cs="Arial"/>
                <w:sz w:val="22"/>
                <w:szCs w:val="22"/>
              </w:rPr>
              <w:t xml:space="preserve">social services such as </w:t>
            </w:r>
            <w:r w:rsidR="00F45E62" w:rsidRPr="00B31CDE">
              <w:rPr>
                <w:rFonts w:ascii="Arial" w:hAnsi="Arial" w:cs="Arial"/>
                <w:sz w:val="22"/>
                <w:szCs w:val="22"/>
              </w:rPr>
              <w:t>E</w:t>
            </w:r>
            <w:r w:rsidRPr="00B31CDE">
              <w:rPr>
                <w:rFonts w:ascii="Arial" w:hAnsi="Arial" w:cs="Arial"/>
                <w:sz w:val="22"/>
                <w:szCs w:val="22"/>
              </w:rPr>
              <w:t xml:space="preserve">ducation, </w:t>
            </w:r>
            <w:r w:rsidR="00F45E62" w:rsidRPr="00B31CDE">
              <w:rPr>
                <w:rFonts w:ascii="Arial" w:hAnsi="Arial" w:cs="Arial"/>
                <w:sz w:val="22"/>
                <w:szCs w:val="22"/>
              </w:rPr>
              <w:t>Justice, P</w:t>
            </w:r>
            <w:r w:rsidRPr="00B31CDE">
              <w:rPr>
                <w:rFonts w:ascii="Arial" w:hAnsi="Arial" w:cs="Arial"/>
                <w:sz w:val="22"/>
                <w:szCs w:val="22"/>
              </w:rPr>
              <w:t xml:space="preserve">olice, </w:t>
            </w:r>
            <w:r w:rsidR="00F45E62" w:rsidRPr="00B31CDE">
              <w:rPr>
                <w:rFonts w:ascii="Arial" w:hAnsi="Arial" w:cs="Arial"/>
                <w:sz w:val="22"/>
                <w:szCs w:val="22"/>
              </w:rPr>
              <w:t>Social Development eg Work and Income and Child Youth and Family</w:t>
            </w:r>
          </w:p>
          <w:p w14:paraId="45FFC070" w14:textId="77777777" w:rsidR="00886595" w:rsidRPr="00B31CDE" w:rsidRDefault="00886595" w:rsidP="001352C0">
            <w:pPr>
              <w:rPr>
                <w:rFonts w:ascii="Arial" w:hAnsi="Arial" w:cs="Arial"/>
                <w:sz w:val="22"/>
                <w:szCs w:val="22"/>
              </w:rPr>
            </w:pPr>
          </w:p>
        </w:tc>
        <w:tc>
          <w:tcPr>
            <w:tcW w:w="2822" w:type="dxa"/>
          </w:tcPr>
          <w:p w14:paraId="7F86654C" w14:textId="77777777" w:rsidR="00886595" w:rsidRPr="00B31CDE" w:rsidRDefault="00886595" w:rsidP="001352C0">
            <w:pPr>
              <w:spacing w:after="120"/>
              <w:jc w:val="left"/>
              <w:rPr>
                <w:rFonts w:ascii="Arial" w:hAnsi="Arial" w:cs="Arial"/>
                <w:sz w:val="22"/>
                <w:szCs w:val="22"/>
              </w:rPr>
            </w:pPr>
            <w:r w:rsidRPr="00B31CDE">
              <w:rPr>
                <w:rFonts w:ascii="Arial" w:hAnsi="Arial" w:cs="Arial"/>
                <w:sz w:val="22"/>
                <w:szCs w:val="22"/>
              </w:rPr>
              <w:t xml:space="preserve">Alignment of delivery of health services and delivery of other government funded social services to better meet the goals of government strategies and policies from health and related sectors (eg </w:t>
            </w:r>
            <w:r w:rsidR="00F45E62" w:rsidRPr="00B31CDE">
              <w:rPr>
                <w:rFonts w:ascii="Arial" w:hAnsi="Arial" w:cs="Arial"/>
                <w:sz w:val="22"/>
                <w:szCs w:val="22"/>
              </w:rPr>
              <w:t>S</w:t>
            </w:r>
            <w:r w:rsidRPr="00B31CDE">
              <w:rPr>
                <w:rFonts w:ascii="Arial" w:hAnsi="Arial" w:cs="Arial"/>
                <w:sz w:val="22"/>
                <w:szCs w:val="22"/>
              </w:rPr>
              <w:t xml:space="preserve">ocial </w:t>
            </w:r>
            <w:r w:rsidR="00F45E62" w:rsidRPr="00B31CDE">
              <w:rPr>
                <w:rFonts w:ascii="Arial" w:hAnsi="Arial" w:cs="Arial"/>
                <w:sz w:val="22"/>
                <w:szCs w:val="22"/>
              </w:rPr>
              <w:t xml:space="preserve">Development </w:t>
            </w:r>
            <w:r w:rsidRPr="00B31CDE">
              <w:rPr>
                <w:rFonts w:ascii="Arial" w:hAnsi="Arial" w:cs="Arial"/>
                <w:sz w:val="22"/>
                <w:szCs w:val="22"/>
              </w:rPr>
              <w:t xml:space="preserve">, </w:t>
            </w:r>
            <w:r w:rsidR="00F45E62" w:rsidRPr="00B31CDE">
              <w:rPr>
                <w:rFonts w:ascii="Arial" w:hAnsi="Arial" w:cs="Arial"/>
                <w:sz w:val="22"/>
                <w:szCs w:val="22"/>
              </w:rPr>
              <w:t>E</w:t>
            </w:r>
            <w:r w:rsidRPr="00B31CDE">
              <w:rPr>
                <w:rFonts w:ascii="Arial" w:hAnsi="Arial" w:cs="Arial"/>
                <w:sz w:val="22"/>
                <w:szCs w:val="22"/>
              </w:rPr>
              <w:t xml:space="preserve">ducation, </w:t>
            </w:r>
            <w:r w:rsidR="00F45E62" w:rsidRPr="00B31CDE">
              <w:rPr>
                <w:rFonts w:ascii="Arial" w:hAnsi="Arial" w:cs="Arial"/>
                <w:sz w:val="22"/>
                <w:szCs w:val="22"/>
              </w:rPr>
              <w:t>J</w:t>
            </w:r>
            <w:r w:rsidRPr="00B31CDE">
              <w:rPr>
                <w:rFonts w:ascii="Arial" w:hAnsi="Arial" w:cs="Arial"/>
                <w:sz w:val="22"/>
                <w:szCs w:val="22"/>
              </w:rPr>
              <w:t>ustice, etc)</w:t>
            </w:r>
          </w:p>
          <w:p w14:paraId="61E901EE"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 xml:space="preserve">Where children/young people are receiving services from other agencies, the service provider will participate in inter-sectoral collaboration and co-ordination initiatives such as </w:t>
            </w:r>
            <w:r w:rsidR="003B2D1D" w:rsidRPr="00B31CDE">
              <w:rPr>
                <w:rFonts w:ascii="Arial" w:hAnsi="Arial" w:cs="Arial"/>
                <w:sz w:val="22"/>
                <w:szCs w:val="22"/>
              </w:rPr>
              <w:t>‘</w:t>
            </w:r>
            <w:r w:rsidRPr="00B31CDE">
              <w:rPr>
                <w:rFonts w:ascii="Arial" w:hAnsi="Arial" w:cs="Arial"/>
                <w:sz w:val="22"/>
                <w:szCs w:val="22"/>
              </w:rPr>
              <w:t>Strengthening Families</w:t>
            </w:r>
            <w:r w:rsidR="003B2D1D" w:rsidRPr="00B31CDE">
              <w:rPr>
                <w:rFonts w:ascii="Arial" w:hAnsi="Arial" w:cs="Arial"/>
                <w:sz w:val="22"/>
                <w:szCs w:val="22"/>
              </w:rPr>
              <w:t>’</w:t>
            </w:r>
            <w:r w:rsidRPr="00B31CDE">
              <w:rPr>
                <w:rFonts w:ascii="Arial" w:hAnsi="Arial" w:cs="Arial"/>
                <w:sz w:val="22"/>
                <w:szCs w:val="22"/>
              </w:rPr>
              <w:t>.</w:t>
            </w:r>
          </w:p>
        </w:tc>
        <w:tc>
          <w:tcPr>
            <w:tcW w:w="3692" w:type="dxa"/>
          </w:tcPr>
          <w:p w14:paraId="42FBE1E6"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Agreements and protocols regarding obligations of lead providers and collaborative working.</w:t>
            </w:r>
          </w:p>
        </w:tc>
      </w:tr>
      <w:tr w:rsidR="00886595" w:rsidRPr="003B2D1D" w14:paraId="671DD31B" w14:textId="77777777" w:rsidTr="001153DF">
        <w:tc>
          <w:tcPr>
            <w:tcW w:w="3114" w:type="dxa"/>
          </w:tcPr>
          <w:p w14:paraId="6E949A74" w14:textId="77777777" w:rsidR="00886595" w:rsidRPr="00B31CDE" w:rsidRDefault="00886595" w:rsidP="001352C0">
            <w:pPr>
              <w:spacing w:after="120"/>
              <w:jc w:val="left"/>
              <w:rPr>
                <w:rFonts w:ascii="Arial" w:hAnsi="Arial" w:cs="Arial"/>
                <w:sz w:val="22"/>
                <w:szCs w:val="22"/>
              </w:rPr>
            </w:pPr>
            <w:r w:rsidRPr="00B31CDE">
              <w:rPr>
                <w:rFonts w:ascii="Arial" w:hAnsi="Arial" w:cs="Arial"/>
                <w:sz w:val="22"/>
                <w:szCs w:val="22"/>
              </w:rPr>
              <w:t>Consumer support groups</w:t>
            </w:r>
          </w:p>
          <w:p w14:paraId="55F64BBA" w14:textId="77777777" w:rsidR="00886595" w:rsidRPr="00B31CDE" w:rsidRDefault="00886595" w:rsidP="001352C0">
            <w:pPr>
              <w:rPr>
                <w:rFonts w:ascii="Arial" w:hAnsi="Arial" w:cs="Arial"/>
                <w:sz w:val="22"/>
                <w:szCs w:val="22"/>
              </w:rPr>
            </w:pPr>
          </w:p>
        </w:tc>
        <w:tc>
          <w:tcPr>
            <w:tcW w:w="2822" w:type="dxa"/>
          </w:tcPr>
          <w:p w14:paraId="64C3F483"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 xml:space="preserve">Share information with other providers about how to better meet the needs of </w:t>
            </w:r>
            <w:r w:rsidR="00EC3E93" w:rsidRPr="00B31CDE">
              <w:rPr>
                <w:rFonts w:ascii="Arial" w:hAnsi="Arial" w:cs="Arial"/>
                <w:sz w:val="22"/>
                <w:szCs w:val="22"/>
              </w:rPr>
              <w:t>Service User</w:t>
            </w:r>
            <w:r w:rsidR="005B1229" w:rsidRPr="00B31CDE">
              <w:rPr>
                <w:rFonts w:ascii="Arial" w:hAnsi="Arial" w:cs="Arial"/>
                <w:sz w:val="22"/>
                <w:szCs w:val="22"/>
              </w:rPr>
              <w:t>s</w:t>
            </w:r>
            <w:r w:rsidRPr="00B31CDE">
              <w:rPr>
                <w:rFonts w:ascii="Arial" w:hAnsi="Arial" w:cs="Arial"/>
                <w:sz w:val="22"/>
                <w:szCs w:val="22"/>
              </w:rPr>
              <w:t>.</w:t>
            </w:r>
          </w:p>
        </w:tc>
        <w:tc>
          <w:tcPr>
            <w:tcW w:w="3692" w:type="dxa"/>
          </w:tcPr>
          <w:p w14:paraId="4C882C8A"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Maintain communication with consumer groups.</w:t>
            </w:r>
          </w:p>
          <w:p w14:paraId="1F219A01"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 xml:space="preserve">Support the consumer voice at planning and delivery of services. </w:t>
            </w:r>
          </w:p>
        </w:tc>
      </w:tr>
      <w:tr w:rsidR="00886595" w:rsidRPr="003B2D1D" w14:paraId="2411BCE8" w14:textId="77777777" w:rsidTr="001153DF">
        <w:tc>
          <w:tcPr>
            <w:tcW w:w="3114" w:type="dxa"/>
          </w:tcPr>
          <w:p w14:paraId="7E389C3B"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Between DHB providers, non-governmental organisations and Primary Health Organisations</w:t>
            </w:r>
          </w:p>
        </w:tc>
        <w:tc>
          <w:tcPr>
            <w:tcW w:w="2822" w:type="dxa"/>
          </w:tcPr>
          <w:p w14:paraId="5CCE7313"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Share innovative ideas, solve problems and improve access to services</w:t>
            </w:r>
          </w:p>
          <w:p w14:paraId="7721929D"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Provide co-ordinated support to people affected by mental illness and/or addiction.</w:t>
            </w:r>
          </w:p>
        </w:tc>
        <w:tc>
          <w:tcPr>
            <w:tcW w:w="3692" w:type="dxa"/>
          </w:tcPr>
          <w:p w14:paraId="5E0294C2" w14:textId="77777777" w:rsidR="00886595" w:rsidRPr="00B31CDE" w:rsidRDefault="00886595" w:rsidP="001352C0">
            <w:pPr>
              <w:jc w:val="left"/>
              <w:rPr>
                <w:rFonts w:ascii="Arial" w:hAnsi="Arial" w:cs="Arial"/>
                <w:sz w:val="22"/>
                <w:szCs w:val="22"/>
              </w:rPr>
            </w:pPr>
            <w:r w:rsidRPr="00B31CDE">
              <w:rPr>
                <w:rFonts w:ascii="Arial" w:hAnsi="Arial" w:cs="Arial"/>
                <w:sz w:val="22"/>
                <w:szCs w:val="22"/>
              </w:rPr>
              <w:t>Document agreements in memorandum of understanding (MOU) and protocols.</w:t>
            </w:r>
          </w:p>
        </w:tc>
      </w:tr>
    </w:tbl>
    <w:bookmarkEnd w:id="33"/>
    <w:p w14:paraId="379DC22F" w14:textId="77777777" w:rsidR="00F72C5F" w:rsidRDefault="000A2BB7" w:rsidP="001352C0">
      <w:pPr>
        <w:spacing w:before="120"/>
        <w:jc w:val="left"/>
        <w:rPr>
          <w:rFonts w:ascii="Arial" w:hAnsi="Arial" w:cs="Arial"/>
        </w:rPr>
      </w:pPr>
      <w:r w:rsidRPr="003B2D1D">
        <w:rPr>
          <w:rFonts w:ascii="Arial" w:hAnsi="Arial" w:cs="Arial"/>
        </w:rPr>
        <w:t>There will be</w:t>
      </w:r>
      <w:r w:rsidR="00F72C5F">
        <w:rPr>
          <w:rFonts w:ascii="Arial" w:hAnsi="Arial" w:cs="Arial"/>
        </w:rPr>
        <w:t>:</w:t>
      </w:r>
    </w:p>
    <w:p w14:paraId="5788CF5F" w14:textId="4D265031" w:rsidR="000A2BB7" w:rsidRPr="00B31CDE" w:rsidRDefault="000A2BB7" w:rsidP="00B31CDE">
      <w:pPr>
        <w:pStyle w:val="ListParagraph"/>
        <w:numPr>
          <w:ilvl w:val="0"/>
          <w:numId w:val="54"/>
        </w:numPr>
        <w:spacing w:before="120"/>
        <w:ind w:left="567" w:hanging="567"/>
        <w:jc w:val="left"/>
        <w:rPr>
          <w:rFonts w:ascii="Arial" w:hAnsi="Arial" w:cs="Arial"/>
        </w:rPr>
      </w:pPr>
      <w:bookmarkStart w:id="34" w:name="_Toc215318994"/>
      <w:r w:rsidRPr="00B31CDE">
        <w:rPr>
          <w:rFonts w:ascii="Arial" w:hAnsi="Arial" w:cs="Arial"/>
        </w:rPr>
        <w:t>clear arrangements/protocols/statements describing the accountabilities for access, entry, treatment, care management, exit processes, follow up and information sharing between linked providers</w:t>
      </w:r>
      <w:bookmarkEnd w:id="34"/>
      <w:r w:rsidR="00EF2A63" w:rsidRPr="00B31CDE">
        <w:rPr>
          <w:rFonts w:ascii="Arial" w:hAnsi="Arial" w:cs="Arial"/>
        </w:rPr>
        <w:t>.</w:t>
      </w:r>
      <w:r w:rsidRPr="00B31CDE">
        <w:rPr>
          <w:rFonts w:ascii="Arial" w:hAnsi="Arial" w:cs="Arial"/>
        </w:rPr>
        <w:t xml:space="preserve"> </w:t>
      </w:r>
    </w:p>
    <w:p w14:paraId="3688471B" w14:textId="6FBD991E" w:rsidR="000A2BB7" w:rsidRPr="00B31CDE" w:rsidRDefault="000A2BB7" w:rsidP="00B31CDE">
      <w:pPr>
        <w:pStyle w:val="ListParagraph"/>
        <w:numPr>
          <w:ilvl w:val="0"/>
          <w:numId w:val="54"/>
        </w:numPr>
        <w:spacing w:before="120"/>
        <w:ind w:left="567" w:hanging="567"/>
        <w:jc w:val="left"/>
        <w:rPr>
          <w:rFonts w:ascii="Arial" w:hAnsi="Arial" w:cs="Arial"/>
        </w:rPr>
      </w:pPr>
      <w:bookmarkStart w:id="35" w:name="_Toc215318995"/>
      <w:r w:rsidRPr="00B31CDE">
        <w:rPr>
          <w:rFonts w:ascii="Arial" w:hAnsi="Arial" w:cs="Arial"/>
        </w:rPr>
        <w:t>definitive statements on the boundaries between services and whether these are a matter of clinical judgement or prescribed by regulation/other mechanism</w:t>
      </w:r>
      <w:bookmarkEnd w:id="35"/>
      <w:r w:rsidR="00970577" w:rsidRPr="00B31CDE">
        <w:rPr>
          <w:rFonts w:ascii="Arial" w:hAnsi="Arial" w:cs="Arial"/>
        </w:rPr>
        <w:t>.</w:t>
      </w:r>
    </w:p>
    <w:p w14:paraId="251C9740" w14:textId="54BDAD9C" w:rsidR="000A2BB7" w:rsidRPr="00B31CDE" w:rsidRDefault="000A2BB7" w:rsidP="00B31CDE">
      <w:pPr>
        <w:pStyle w:val="ListParagraph"/>
        <w:numPr>
          <w:ilvl w:val="0"/>
          <w:numId w:val="54"/>
        </w:numPr>
        <w:spacing w:before="120"/>
        <w:ind w:left="567" w:hanging="567"/>
        <w:jc w:val="left"/>
        <w:rPr>
          <w:rFonts w:ascii="Arial" w:hAnsi="Arial" w:cs="Arial"/>
        </w:rPr>
      </w:pPr>
      <w:bookmarkStart w:id="36" w:name="_Toc215318996"/>
      <w:r w:rsidRPr="00B31CDE">
        <w:rPr>
          <w:rFonts w:ascii="Arial" w:hAnsi="Arial" w:cs="Arial"/>
        </w:rPr>
        <w:t>clear arrangements/protocols/statements describing how the provider will ensure treatment is delegated to the most appropriate person or agency</w:t>
      </w:r>
      <w:bookmarkEnd w:id="36"/>
      <w:r w:rsidRPr="00B31CDE">
        <w:rPr>
          <w:rFonts w:ascii="Arial" w:hAnsi="Arial" w:cs="Arial"/>
        </w:rPr>
        <w:t xml:space="preserve">, and </w:t>
      </w:r>
      <w:bookmarkStart w:id="37" w:name="_Toc215318997"/>
      <w:r w:rsidRPr="00B31CDE">
        <w:rPr>
          <w:rFonts w:ascii="Arial" w:hAnsi="Arial" w:cs="Arial"/>
        </w:rPr>
        <w:t>which provider is primarily responsible for the care on each occasion</w:t>
      </w:r>
      <w:bookmarkEnd w:id="37"/>
      <w:r w:rsidR="00EF2A63" w:rsidRPr="00B31CDE">
        <w:rPr>
          <w:rFonts w:ascii="Arial" w:hAnsi="Arial" w:cs="Arial"/>
        </w:rPr>
        <w:t>.</w:t>
      </w:r>
    </w:p>
    <w:p w14:paraId="54E32DD1" w14:textId="294B767E" w:rsidR="000A2BB7" w:rsidRPr="00B31CDE" w:rsidRDefault="000A2BB7" w:rsidP="00B31CDE">
      <w:pPr>
        <w:pStyle w:val="ListParagraph"/>
        <w:numPr>
          <w:ilvl w:val="0"/>
          <w:numId w:val="54"/>
        </w:numPr>
        <w:spacing w:before="120"/>
        <w:ind w:left="567" w:hanging="567"/>
        <w:jc w:val="left"/>
        <w:rPr>
          <w:rFonts w:ascii="Arial" w:hAnsi="Arial" w:cs="Arial"/>
        </w:rPr>
      </w:pPr>
      <w:bookmarkStart w:id="38" w:name="_Toc215318998"/>
      <w:r w:rsidRPr="00B31CDE">
        <w:rPr>
          <w:rFonts w:ascii="Arial" w:hAnsi="Arial" w:cs="Arial"/>
        </w:rPr>
        <w:t>the requirement for providers to establish dispute resolution processes (depending on the linkage/relationship).</w:t>
      </w:r>
      <w:bookmarkEnd w:id="38"/>
    </w:p>
    <w:p w14:paraId="2A619447" w14:textId="77777777" w:rsidR="000A2BB7" w:rsidRPr="003B2D1D" w:rsidRDefault="000A2BB7" w:rsidP="001352C0">
      <w:pPr>
        <w:tabs>
          <w:tab w:val="left" w:pos="540"/>
        </w:tabs>
        <w:spacing w:before="240" w:after="120"/>
        <w:rPr>
          <w:rFonts w:ascii="Arial" w:hAnsi="Arial" w:cs="Arial"/>
          <w:b/>
        </w:rPr>
      </w:pPr>
      <w:bookmarkStart w:id="39" w:name="_Toc215319034"/>
      <w:r w:rsidRPr="003B2D1D">
        <w:rPr>
          <w:rFonts w:ascii="Arial" w:hAnsi="Arial" w:cs="Arial"/>
          <w:b/>
        </w:rPr>
        <w:t>7.</w:t>
      </w:r>
      <w:r w:rsidRPr="003B2D1D">
        <w:rPr>
          <w:rFonts w:ascii="Arial" w:hAnsi="Arial" w:cs="Arial"/>
          <w:b/>
        </w:rPr>
        <w:tab/>
        <w:t>Exclusions</w:t>
      </w:r>
      <w:bookmarkEnd w:id="39"/>
    </w:p>
    <w:p w14:paraId="7C822A1A" w14:textId="77777777" w:rsidR="000A2BB7" w:rsidRPr="003B2D1D" w:rsidRDefault="000A2BB7" w:rsidP="00B31CDE">
      <w:pPr>
        <w:jc w:val="left"/>
        <w:rPr>
          <w:rFonts w:ascii="Arial" w:hAnsi="Arial" w:cs="Arial"/>
        </w:rPr>
      </w:pPr>
      <w:r w:rsidRPr="003B2D1D">
        <w:rPr>
          <w:rFonts w:ascii="Arial" w:hAnsi="Arial" w:cs="Arial"/>
        </w:rPr>
        <w:t>Mental illness or addiction</w:t>
      </w:r>
      <w:r w:rsidR="00C855DA">
        <w:rPr>
          <w:rFonts w:ascii="Arial" w:hAnsi="Arial" w:cs="Arial"/>
        </w:rPr>
        <w:t>s</w:t>
      </w:r>
      <w:r w:rsidRPr="003B2D1D">
        <w:rPr>
          <w:rFonts w:ascii="Arial" w:hAnsi="Arial" w:cs="Arial"/>
        </w:rPr>
        <w:t xml:space="preserve"> often co-exist with other health or social service needs that impact on intervention outcomes.  The presence of such needs shall not reduce a </w:t>
      </w:r>
      <w:r w:rsidR="00EC3E93">
        <w:rPr>
          <w:rFonts w:ascii="Arial" w:hAnsi="Arial" w:cs="Arial"/>
        </w:rPr>
        <w:t>Service User</w:t>
      </w:r>
      <w:r w:rsidRPr="003B2D1D">
        <w:rPr>
          <w:rFonts w:ascii="Arial" w:hAnsi="Arial" w:cs="Arial"/>
        </w:rPr>
        <w:t xml:space="preserve">’s access to mental health and addiction services to which they would otherwise be </w:t>
      </w:r>
      <w:r w:rsidRPr="003B2D1D">
        <w:rPr>
          <w:rFonts w:ascii="Arial" w:hAnsi="Arial" w:cs="Arial"/>
        </w:rPr>
        <w:lastRenderedPageBreak/>
        <w:t xml:space="preserve">eligible, but should be a signal that collaboration with another agency or health provider and joint intervention planning/provision is likely to be required.  </w:t>
      </w:r>
    </w:p>
    <w:p w14:paraId="28961E22" w14:textId="111622E0" w:rsidR="000A2BB7" w:rsidRPr="003B2D1D" w:rsidRDefault="000A2BB7" w:rsidP="00B31CDE">
      <w:pPr>
        <w:spacing w:before="120"/>
        <w:jc w:val="left"/>
        <w:rPr>
          <w:rFonts w:ascii="Arial" w:hAnsi="Arial" w:cs="Arial"/>
        </w:rPr>
      </w:pPr>
      <w:r w:rsidRPr="003B2D1D">
        <w:rPr>
          <w:rFonts w:ascii="Arial" w:hAnsi="Arial" w:cs="Arial"/>
        </w:rPr>
        <w:t>DHBs do not fund services for mental health and addiction when the service or support needs are solely orientated to:</w:t>
      </w:r>
    </w:p>
    <w:p w14:paraId="220ECD67" w14:textId="77777777" w:rsidR="000A2BB7" w:rsidRPr="003B2D1D" w:rsidRDefault="000A2BB7" w:rsidP="00B31CDE">
      <w:pPr>
        <w:numPr>
          <w:ilvl w:val="0"/>
          <w:numId w:val="6"/>
        </w:numPr>
        <w:tabs>
          <w:tab w:val="clear" w:pos="339"/>
          <w:tab w:val="num" w:pos="540"/>
        </w:tabs>
        <w:ind w:left="539" w:hanging="539"/>
        <w:jc w:val="left"/>
        <w:rPr>
          <w:rFonts w:ascii="Arial" w:hAnsi="Arial" w:cs="Arial"/>
          <w:bCs/>
        </w:rPr>
      </w:pPr>
      <w:r w:rsidRPr="003B2D1D">
        <w:rPr>
          <w:rFonts w:ascii="Arial" w:hAnsi="Arial" w:cs="Arial"/>
          <w:bCs/>
        </w:rPr>
        <w:t>sexual abuse</w:t>
      </w:r>
    </w:p>
    <w:p w14:paraId="2CEAB419" w14:textId="77777777" w:rsidR="000A2BB7" w:rsidRPr="003B2D1D" w:rsidRDefault="000A2BB7" w:rsidP="00FC5C41">
      <w:pPr>
        <w:numPr>
          <w:ilvl w:val="0"/>
          <w:numId w:val="6"/>
        </w:numPr>
        <w:tabs>
          <w:tab w:val="clear" w:pos="339"/>
          <w:tab w:val="num" w:pos="540"/>
        </w:tabs>
        <w:ind w:left="540" w:hanging="540"/>
        <w:rPr>
          <w:rFonts w:ascii="Arial" w:hAnsi="Arial" w:cs="Arial"/>
          <w:bCs/>
        </w:rPr>
      </w:pPr>
      <w:r w:rsidRPr="003B2D1D">
        <w:rPr>
          <w:rFonts w:ascii="Arial" w:hAnsi="Arial" w:cs="Arial"/>
          <w:bCs/>
        </w:rPr>
        <w:t>violence and anger</w:t>
      </w:r>
    </w:p>
    <w:p w14:paraId="430BE817" w14:textId="77777777" w:rsidR="000A2BB7" w:rsidRPr="003B2D1D" w:rsidRDefault="000A2BB7" w:rsidP="00FC5C41">
      <w:pPr>
        <w:numPr>
          <w:ilvl w:val="0"/>
          <w:numId w:val="6"/>
        </w:numPr>
        <w:tabs>
          <w:tab w:val="clear" w:pos="339"/>
          <w:tab w:val="num" w:pos="540"/>
        </w:tabs>
        <w:ind w:left="540" w:hanging="540"/>
        <w:rPr>
          <w:rFonts w:ascii="Arial" w:hAnsi="Arial" w:cs="Arial"/>
          <w:bCs/>
        </w:rPr>
      </w:pPr>
      <w:r w:rsidRPr="003B2D1D">
        <w:rPr>
          <w:rFonts w:ascii="Arial" w:hAnsi="Arial" w:cs="Arial"/>
          <w:bCs/>
        </w:rPr>
        <w:t>intellectual disability (including post-head injury), with or without behavioural problems</w:t>
      </w:r>
    </w:p>
    <w:p w14:paraId="3AD39F5C" w14:textId="77777777" w:rsidR="000A2BB7" w:rsidRPr="003B2D1D" w:rsidRDefault="000A2BB7" w:rsidP="00FC5C41">
      <w:pPr>
        <w:numPr>
          <w:ilvl w:val="0"/>
          <w:numId w:val="6"/>
        </w:numPr>
        <w:tabs>
          <w:tab w:val="clear" w:pos="339"/>
          <w:tab w:val="num" w:pos="540"/>
        </w:tabs>
        <w:ind w:left="540" w:hanging="540"/>
        <w:rPr>
          <w:rFonts w:ascii="Arial" w:hAnsi="Arial" w:cs="Arial"/>
          <w:bCs/>
        </w:rPr>
      </w:pPr>
      <w:r w:rsidRPr="003B2D1D">
        <w:rPr>
          <w:rFonts w:ascii="Arial" w:hAnsi="Arial" w:cs="Arial"/>
          <w:bCs/>
        </w:rPr>
        <w:t>learning difficulties</w:t>
      </w:r>
    </w:p>
    <w:p w14:paraId="63956091" w14:textId="77777777" w:rsidR="000A2BB7" w:rsidRPr="003B2D1D" w:rsidRDefault="000A2BB7" w:rsidP="00FC5C41">
      <w:pPr>
        <w:numPr>
          <w:ilvl w:val="0"/>
          <w:numId w:val="6"/>
        </w:numPr>
        <w:tabs>
          <w:tab w:val="clear" w:pos="339"/>
          <w:tab w:val="num" w:pos="540"/>
        </w:tabs>
        <w:ind w:left="540" w:hanging="540"/>
        <w:rPr>
          <w:rFonts w:ascii="Arial" w:hAnsi="Arial" w:cs="Arial"/>
          <w:bCs/>
        </w:rPr>
      </w:pPr>
      <w:r w:rsidRPr="003B2D1D">
        <w:rPr>
          <w:rFonts w:ascii="Arial" w:hAnsi="Arial" w:cs="Arial"/>
          <w:bCs/>
        </w:rPr>
        <w:t>criminal activities (anti-social behaviours)</w:t>
      </w:r>
    </w:p>
    <w:p w14:paraId="74A673D6" w14:textId="77777777" w:rsidR="000A2BB7" w:rsidRPr="003B2D1D" w:rsidRDefault="000A2BB7" w:rsidP="00FC5C41">
      <w:pPr>
        <w:numPr>
          <w:ilvl w:val="0"/>
          <w:numId w:val="6"/>
        </w:numPr>
        <w:tabs>
          <w:tab w:val="clear" w:pos="339"/>
          <w:tab w:val="num" w:pos="540"/>
        </w:tabs>
        <w:ind w:left="540" w:hanging="540"/>
        <w:rPr>
          <w:rFonts w:ascii="Arial" w:hAnsi="Arial" w:cs="Arial"/>
          <w:b/>
        </w:rPr>
      </w:pPr>
      <w:r w:rsidRPr="003B2D1D">
        <w:rPr>
          <w:rFonts w:ascii="Arial" w:hAnsi="Arial" w:cs="Arial"/>
          <w:bCs/>
        </w:rPr>
        <w:t>conduct disorder</w:t>
      </w:r>
    </w:p>
    <w:p w14:paraId="30B6DECA" w14:textId="77777777" w:rsidR="000A2BB7" w:rsidRPr="003B2D1D" w:rsidRDefault="000A2BB7" w:rsidP="00FC5C41">
      <w:pPr>
        <w:numPr>
          <w:ilvl w:val="0"/>
          <w:numId w:val="6"/>
        </w:numPr>
        <w:tabs>
          <w:tab w:val="clear" w:pos="339"/>
          <w:tab w:val="num" w:pos="540"/>
        </w:tabs>
        <w:ind w:left="540" w:hanging="540"/>
        <w:rPr>
          <w:rFonts w:ascii="Arial" w:hAnsi="Arial" w:cs="Arial"/>
          <w:b/>
        </w:rPr>
      </w:pPr>
      <w:r w:rsidRPr="003B2D1D">
        <w:rPr>
          <w:rFonts w:ascii="Arial" w:hAnsi="Arial" w:cs="Arial"/>
          <w:bCs/>
        </w:rPr>
        <w:t>parenting difficulties</w:t>
      </w:r>
    </w:p>
    <w:p w14:paraId="728DC392" w14:textId="77777777" w:rsidR="000A2BB7" w:rsidRPr="003B2D1D" w:rsidRDefault="000A2BB7" w:rsidP="00FC5C41">
      <w:pPr>
        <w:numPr>
          <w:ilvl w:val="0"/>
          <w:numId w:val="6"/>
        </w:numPr>
        <w:tabs>
          <w:tab w:val="clear" w:pos="339"/>
          <w:tab w:val="num" w:pos="540"/>
        </w:tabs>
        <w:ind w:left="540" w:hanging="540"/>
        <w:rPr>
          <w:rFonts w:ascii="Arial" w:hAnsi="Arial" w:cs="Arial"/>
          <w:b/>
        </w:rPr>
      </w:pPr>
      <w:r w:rsidRPr="003B2D1D">
        <w:rPr>
          <w:rFonts w:ascii="Arial" w:hAnsi="Arial" w:cs="Arial"/>
          <w:bCs/>
        </w:rPr>
        <w:t>relationship issues</w:t>
      </w:r>
    </w:p>
    <w:p w14:paraId="4394B039" w14:textId="77777777" w:rsidR="000A2BB7" w:rsidRPr="003B2D1D" w:rsidRDefault="000A2BB7" w:rsidP="00FC5C41">
      <w:pPr>
        <w:numPr>
          <w:ilvl w:val="0"/>
          <w:numId w:val="6"/>
        </w:numPr>
        <w:tabs>
          <w:tab w:val="clear" w:pos="339"/>
          <w:tab w:val="num" w:pos="540"/>
        </w:tabs>
        <w:ind w:left="540" w:hanging="540"/>
        <w:rPr>
          <w:rFonts w:ascii="Arial" w:hAnsi="Arial" w:cs="Arial"/>
          <w:bCs/>
        </w:rPr>
      </w:pPr>
      <w:r w:rsidRPr="003B2D1D">
        <w:rPr>
          <w:rFonts w:ascii="Arial" w:hAnsi="Arial" w:cs="Arial"/>
          <w:bCs/>
        </w:rPr>
        <w:t>nicotine addiction.</w:t>
      </w:r>
    </w:p>
    <w:p w14:paraId="3A396209" w14:textId="77777777" w:rsidR="000A2BB7" w:rsidRPr="003B2D1D" w:rsidRDefault="000A2BB7" w:rsidP="001352C0">
      <w:pPr>
        <w:spacing w:before="120"/>
        <w:rPr>
          <w:rFonts w:ascii="Arial" w:hAnsi="Arial" w:cs="Arial"/>
        </w:rPr>
      </w:pPr>
      <w:r w:rsidRPr="003B2D1D">
        <w:rPr>
          <w:rFonts w:ascii="Arial" w:hAnsi="Arial" w:cs="Arial"/>
          <w:bCs/>
        </w:rPr>
        <w:t>Where people are eligible for services funded under the Injury Prevention, Rehabilitation, and Compensation Act 2001, they are excluded from receiving these services through public funding under Vote: Health.</w:t>
      </w:r>
    </w:p>
    <w:p w14:paraId="4672B941" w14:textId="77777777" w:rsidR="000A2BB7" w:rsidRPr="003B2D1D" w:rsidRDefault="000A2BB7" w:rsidP="001352C0">
      <w:pPr>
        <w:spacing w:before="120"/>
        <w:jc w:val="left"/>
        <w:rPr>
          <w:rFonts w:ascii="Arial" w:hAnsi="Arial" w:cs="Arial"/>
          <w:bCs/>
        </w:rPr>
      </w:pPr>
      <w:r w:rsidRPr="003B2D1D">
        <w:rPr>
          <w:rFonts w:ascii="Arial" w:hAnsi="Arial" w:cs="Arial"/>
          <w:bCs/>
        </w:rPr>
        <w:t>The following services are not funded mental health and addiction treatment services where they are the sole focus of the intervention.  They may be funded through other health funding or, in some cases, by other agencies:</w:t>
      </w:r>
    </w:p>
    <w:p w14:paraId="3A39BF1E" w14:textId="77777777" w:rsidR="000A2BB7" w:rsidRPr="003B2D1D" w:rsidRDefault="000A2BB7" w:rsidP="00B31CDE">
      <w:pPr>
        <w:numPr>
          <w:ilvl w:val="0"/>
          <w:numId w:val="22"/>
        </w:numPr>
        <w:tabs>
          <w:tab w:val="clear" w:pos="720"/>
          <w:tab w:val="num" w:pos="540"/>
        </w:tabs>
        <w:spacing w:before="120"/>
        <w:ind w:left="539" w:hanging="539"/>
        <w:jc w:val="left"/>
        <w:rPr>
          <w:rFonts w:ascii="Arial" w:hAnsi="Arial" w:cs="Arial"/>
          <w:bCs/>
        </w:rPr>
      </w:pPr>
      <w:r w:rsidRPr="003B2D1D">
        <w:rPr>
          <w:rFonts w:ascii="Arial" w:hAnsi="Arial" w:cs="Arial"/>
          <w:bCs/>
        </w:rPr>
        <w:t>relationship services</w:t>
      </w:r>
    </w:p>
    <w:p w14:paraId="5465A6D5" w14:textId="77777777" w:rsidR="000A2BB7" w:rsidRPr="003B2D1D" w:rsidRDefault="000A2BB7" w:rsidP="00FC5C41">
      <w:pPr>
        <w:numPr>
          <w:ilvl w:val="0"/>
          <w:numId w:val="22"/>
        </w:numPr>
        <w:tabs>
          <w:tab w:val="clear" w:pos="720"/>
          <w:tab w:val="num" w:pos="540"/>
        </w:tabs>
        <w:ind w:left="539" w:hanging="539"/>
        <w:jc w:val="left"/>
        <w:rPr>
          <w:rFonts w:ascii="Arial" w:hAnsi="Arial" w:cs="Arial"/>
          <w:bCs/>
        </w:rPr>
      </w:pPr>
      <w:r w:rsidRPr="003B2D1D">
        <w:rPr>
          <w:rFonts w:ascii="Arial" w:hAnsi="Arial" w:cs="Arial"/>
          <w:bCs/>
        </w:rPr>
        <w:t>sexual abuse counselling services</w:t>
      </w:r>
    </w:p>
    <w:p w14:paraId="5ABE176A" w14:textId="77777777" w:rsidR="000A2BB7" w:rsidRPr="003B2D1D" w:rsidRDefault="000A2BB7" w:rsidP="00FC5C41">
      <w:pPr>
        <w:pStyle w:val="bulets"/>
        <w:numPr>
          <w:ilvl w:val="0"/>
          <w:numId w:val="22"/>
        </w:numPr>
        <w:tabs>
          <w:tab w:val="clear" w:pos="720"/>
          <w:tab w:val="clear" w:pos="1080"/>
          <w:tab w:val="num" w:pos="540"/>
        </w:tabs>
        <w:overflowPunct/>
        <w:autoSpaceDE/>
        <w:autoSpaceDN/>
        <w:adjustRightInd/>
        <w:ind w:left="539" w:hanging="539"/>
        <w:textAlignment w:val="auto"/>
        <w:rPr>
          <w:rFonts w:cs="Arial"/>
          <w:bCs/>
          <w:sz w:val="24"/>
          <w:szCs w:val="24"/>
          <w:lang w:val="en-NZ"/>
        </w:rPr>
      </w:pPr>
      <w:r w:rsidRPr="003B2D1D">
        <w:rPr>
          <w:rFonts w:cs="Arial"/>
          <w:bCs/>
          <w:sz w:val="24"/>
          <w:szCs w:val="24"/>
          <w:lang w:val="en-NZ"/>
        </w:rPr>
        <w:t>any counselling interventions not related to mental health and addiction</w:t>
      </w:r>
    </w:p>
    <w:p w14:paraId="499515C6" w14:textId="77777777" w:rsidR="000A2BB7" w:rsidRPr="003B2D1D" w:rsidRDefault="000A2BB7" w:rsidP="00FC5C41">
      <w:pPr>
        <w:pStyle w:val="bulets"/>
        <w:numPr>
          <w:ilvl w:val="0"/>
          <w:numId w:val="22"/>
        </w:numPr>
        <w:tabs>
          <w:tab w:val="clear" w:pos="720"/>
          <w:tab w:val="clear" w:pos="1080"/>
          <w:tab w:val="num" w:pos="540"/>
        </w:tabs>
        <w:overflowPunct/>
        <w:autoSpaceDE/>
        <w:autoSpaceDN/>
        <w:adjustRightInd/>
        <w:ind w:left="539" w:hanging="539"/>
        <w:textAlignment w:val="auto"/>
        <w:rPr>
          <w:rFonts w:cs="Arial"/>
          <w:bCs/>
          <w:sz w:val="24"/>
          <w:szCs w:val="24"/>
          <w:lang w:val="en-NZ"/>
        </w:rPr>
      </w:pPr>
      <w:r w:rsidRPr="003B2D1D">
        <w:rPr>
          <w:rFonts w:cs="Arial"/>
          <w:bCs/>
          <w:sz w:val="24"/>
          <w:szCs w:val="24"/>
          <w:lang w:val="en-NZ"/>
        </w:rPr>
        <w:t>psychological testing for educational requirements</w:t>
      </w:r>
    </w:p>
    <w:p w14:paraId="777125B7" w14:textId="77777777" w:rsidR="000A2BB7" w:rsidRPr="003B2D1D" w:rsidRDefault="000A2BB7" w:rsidP="00FC5C41">
      <w:pPr>
        <w:numPr>
          <w:ilvl w:val="0"/>
          <w:numId w:val="22"/>
        </w:numPr>
        <w:tabs>
          <w:tab w:val="clear" w:pos="720"/>
          <w:tab w:val="num" w:pos="540"/>
        </w:tabs>
        <w:ind w:left="539" w:hanging="539"/>
        <w:rPr>
          <w:rFonts w:ascii="Arial" w:hAnsi="Arial" w:cs="Arial"/>
          <w:bCs/>
        </w:rPr>
      </w:pPr>
      <w:r w:rsidRPr="003B2D1D">
        <w:rPr>
          <w:rFonts w:ascii="Arial" w:hAnsi="Arial" w:cs="Arial"/>
          <w:bCs/>
        </w:rPr>
        <w:t xml:space="preserve">preparation of court reports ordered by the Ministry of Justice, except for those under the </w:t>
      </w:r>
      <w:r w:rsidRPr="003B2D1D">
        <w:rPr>
          <w:rFonts w:ascii="Arial" w:hAnsi="Arial" w:cs="Arial"/>
          <w:color w:val="000000"/>
        </w:rPr>
        <w:t xml:space="preserve">Criminal Procedure (Mentally Impaired Persons) </w:t>
      </w:r>
      <w:r w:rsidRPr="003B2D1D">
        <w:rPr>
          <w:rStyle w:val="Emphasis"/>
          <w:rFonts w:ascii="Arial" w:hAnsi="Arial" w:cs="Arial"/>
          <w:b w:val="0"/>
          <w:color w:val="000000"/>
        </w:rPr>
        <w:t>Act</w:t>
      </w:r>
      <w:r w:rsidRPr="003B2D1D">
        <w:rPr>
          <w:rFonts w:ascii="Arial" w:hAnsi="Arial" w:cs="Arial"/>
          <w:color w:val="000000"/>
        </w:rPr>
        <w:t xml:space="preserve"> 2003 </w:t>
      </w:r>
    </w:p>
    <w:p w14:paraId="4AC0E70C" w14:textId="77777777" w:rsidR="000A2BB7" w:rsidRPr="003B2D1D" w:rsidRDefault="000A2BB7" w:rsidP="00FC5C41">
      <w:pPr>
        <w:numPr>
          <w:ilvl w:val="0"/>
          <w:numId w:val="22"/>
        </w:numPr>
        <w:tabs>
          <w:tab w:val="clear" w:pos="720"/>
          <w:tab w:val="num" w:pos="540"/>
        </w:tabs>
        <w:ind w:left="539" w:hanging="539"/>
        <w:jc w:val="left"/>
        <w:rPr>
          <w:rFonts w:ascii="Arial" w:hAnsi="Arial" w:cs="Arial"/>
        </w:rPr>
      </w:pPr>
      <w:r w:rsidRPr="003B2D1D">
        <w:rPr>
          <w:rFonts w:ascii="Arial" w:hAnsi="Arial" w:cs="Arial"/>
        </w:rPr>
        <w:t>preparation of court-ordered reports or parole board reports</w:t>
      </w:r>
    </w:p>
    <w:p w14:paraId="656CA414" w14:textId="77777777" w:rsidR="000A2BB7" w:rsidRPr="003B2D1D" w:rsidRDefault="000A2BB7" w:rsidP="00FC5C41">
      <w:pPr>
        <w:pStyle w:val="bulets"/>
        <w:numPr>
          <w:ilvl w:val="0"/>
          <w:numId w:val="22"/>
        </w:numPr>
        <w:tabs>
          <w:tab w:val="clear" w:pos="720"/>
          <w:tab w:val="clear" w:pos="1080"/>
          <w:tab w:val="num" w:pos="540"/>
        </w:tabs>
        <w:overflowPunct/>
        <w:autoSpaceDE/>
        <w:autoSpaceDN/>
        <w:adjustRightInd/>
        <w:ind w:left="539" w:hanging="539"/>
        <w:textAlignment w:val="auto"/>
        <w:rPr>
          <w:rFonts w:cs="Arial"/>
          <w:bCs/>
          <w:sz w:val="24"/>
          <w:szCs w:val="24"/>
          <w:lang w:val="en-NZ"/>
        </w:rPr>
      </w:pPr>
      <w:r w:rsidRPr="003B2D1D">
        <w:rPr>
          <w:rFonts w:cs="Arial"/>
          <w:bCs/>
          <w:sz w:val="24"/>
          <w:szCs w:val="24"/>
          <w:lang w:val="en-NZ"/>
        </w:rPr>
        <w:t>assessments under section 65 of the Land Transport Act 1998</w:t>
      </w:r>
    </w:p>
    <w:p w14:paraId="13DF829D" w14:textId="77777777" w:rsidR="000A2BB7" w:rsidRPr="003B2D1D" w:rsidRDefault="000A2BB7" w:rsidP="00FC5C41">
      <w:pPr>
        <w:pStyle w:val="bulets"/>
        <w:numPr>
          <w:ilvl w:val="0"/>
          <w:numId w:val="22"/>
        </w:numPr>
        <w:tabs>
          <w:tab w:val="clear" w:pos="720"/>
          <w:tab w:val="clear" w:pos="1080"/>
          <w:tab w:val="num" w:pos="540"/>
        </w:tabs>
        <w:overflowPunct/>
        <w:autoSpaceDE/>
        <w:autoSpaceDN/>
        <w:adjustRightInd/>
        <w:ind w:left="539" w:hanging="539"/>
        <w:textAlignment w:val="auto"/>
        <w:rPr>
          <w:rFonts w:cs="Arial"/>
          <w:bCs/>
          <w:sz w:val="24"/>
          <w:szCs w:val="24"/>
          <w:lang w:val="en-NZ"/>
        </w:rPr>
      </w:pPr>
      <w:r w:rsidRPr="003B2D1D">
        <w:rPr>
          <w:rFonts w:cs="Arial"/>
          <w:bCs/>
          <w:sz w:val="24"/>
          <w:szCs w:val="24"/>
          <w:lang w:val="en-NZ"/>
        </w:rPr>
        <w:t>assessments and reports under section 333 of the Children, Young Persons, and Their Families Act 1989.</w:t>
      </w:r>
    </w:p>
    <w:p w14:paraId="00A2715E" w14:textId="77777777" w:rsidR="000A2BB7" w:rsidRPr="003B2D1D" w:rsidRDefault="000A2BB7" w:rsidP="001352C0">
      <w:pPr>
        <w:tabs>
          <w:tab w:val="left" w:pos="540"/>
        </w:tabs>
        <w:spacing w:before="240" w:after="120"/>
        <w:rPr>
          <w:rFonts w:ascii="Arial" w:hAnsi="Arial" w:cs="Arial"/>
          <w:b/>
        </w:rPr>
      </w:pPr>
      <w:bookmarkStart w:id="40" w:name="_Toc215319036"/>
      <w:r w:rsidRPr="003B2D1D">
        <w:rPr>
          <w:rFonts w:ascii="Arial" w:hAnsi="Arial" w:cs="Arial"/>
          <w:b/>
        </w:rPr>
        <w:t>8.</w:t>
      </w:r>
      <w:r w:rsidRPr="003B2D1D">
        <w:rPr>
          <w:rFonts w:ascii="Arial" w:hAnsi="Arial" w:cs="Arial"/>
          <w:b/>
        </w:rPr>
        <w:tab/>
        <w:t>Quality Requirements</w:t>
      </w:r>
      <w:bookmarkEnd w:id="40"/>
    </w:p>
    <w:p w14:paraId="0C186B83" w14:textId="77777777" w:rsidR="00A322B5" w:rsidRPr="002D649C" w:rsidRDefault="00930394" w:rsidP="001352C0">
      <w:pPr>
        <w:spacing w:before="120" w:after="120"/>
        <w:jc w:val="left"/>
        <w:rPr>
          <w:rFonts w:ascii="Arial" w:hAnsi="Arial" w:cs="Arial"/>
          <w:b/>
        </w:rPr>
      </w:pPr>
      <w:bookmarkStart w:id="41" w:name="_Toc215319037"/>
      <w:r w:rsidRPr="002D649C">
        <w:rPr>
          <w:rFonts w:ascii="Arial" w:hAnsi="Arial" w:cs="Arial"/>
          <w:b/>
        </w:rPr>
        <w:t>8.1</w:t>
      </w:r>
      <w:r w:rsidRPr="002D649C">
        <w:rPr>
          <w:rFonts w:ascii="Arial" w:hAnsi="Arial" w:cs="Arial"/>
          <w:b/>
        </w:rPr>
        <w:tab/>
      </w:r>
      <w:r w:rsidR="00A322B5" w:rsidRPr="002D649C">
        <w:rPr>
          <w:rFonts w:ascii="Arial" w:hAnsi="Arial" w:cs="Arial"/>
          <w:b/>
        </w:rPr>
        <w:t>General</w:t>
      </w:r>
    </w:p>
    <w:p w14:paraId="1258AB4D" w14:textId="645BBCF9" w:rsidR="00B31CDE" w:rsidRPr="003B2D1D" w:rsidRDefault="000A2BB7" w:rsidP="001352C0">
      <w:pPr>
        <w:spacing w:before="120" w:after="120"/>
        <w:jc w:val="left"/>
        <w:rPr>
          <w:rFonts w:ascii="Arial" w:hAnsi="Arial" w:cs="Arial"/>
        </w:rPr>
      </w:pPr>
      <w:r w:rsidRPr="003B2D1D">
        <w:rPr>
          <w:rFonts w:ascii="Arial" w:hAnsi="Arial" w:cs="Arial"/>
        </w:rPr>
        <w:t xml:space="preserve">The Health and Disability Sector Standards (HDSS) applies to this </w:t>
      </w:r>
      <w:r w:rsidR="004925A0" w:rsidRPr="003B2D1D">
        <w:rPr>
          <w:rFonts w:ascii="Arial" w:hAnsi="Arial" w:cs="Arial"/>
        </w:rPr>
        <w:t>S</w:t>
      </w:r>
      <w:r w:rsidRPr="003B2D1D">
        <w:rPr>
          <w:rFonts w:ascii="Arial" w:hAnsi="Arial" w:cs="Arial"/>
        </w:rPr>
        <w:t>ervice.</w:t>
      </w:r>
      <w:r w:rsidRPr="003B2D1D" w:rsidDel="00336908">
        <w:rPr>
          <w:rFonts w:ascii="Arial" w:hAnsi="Arial" w:cs="Arial"/>
        </w:rPr>
        <w:t xml:space="preserve"> </w:t>
      </w:r>
      <w:bookmarkStart w:id="42" w:name="_Toc215319038"/>
      <w:bookmarkEnd w:id="41"/>
      <w:r w:rsidR="00391387" w:rsidRPr="003B2D1D">
        <w:rPr>
          <w:rFonts w:ascii="Arial" w:hAnsi="Arial" w:cs="Arial"/>
        </w:rPr>
        <w:t xml:space="preserve"> </w:t>
      </w:r>
      <w:r w:rsidR="00B31CDE">
        <w:rPr>
          <w:rFonts w:ascii="Arial Mäori" w:hAnsi="Arial Mäori" w:cs="Arial Mäori"/>
          <w:color w:val="000000"/>
          <w:lang w:val="en-US"/>
        </w:rPr>
        <w:t>Where available, the Service should use accepted clinical guidelines and standards.</w:t>
      </w:r>
      <w:bookmarkEnd w:id="42"/>
      <w:r w:rsidR="00FC5C41">
        <w:rPr>
          <w:rFonts w:ascii="Arial" w:hAnsi="Arial" w:cs="Arial"/>
        </w:rPr>
        <w:t xml:space="preserve"> </w:t>
      </w:r>
    </w:p>
    <w:p w14:paraId="65D3BD41" w14:textId="34DCC2C3" w:rsidR="000A2BB7" w:rsidRPr="003B2D1D" w:rsidRDefault="00B31CDE" w:rsidP="002D649C">
      <w:pPr>
        <w:spacing w:before="120" w:after="120"/>
        <w:jc w:val="left"/>
        <w:rPr>
          <w:rFonts w:ascii="Arial" w:hAnsi="Arial" w:cs="Arial"/>
        </w:rPr>
      </w:pPr>
      <w:bookmarkStart w:id="43" w:name="_Toc215319039"/>
      <w:r>
        <w:rPr>
          <w:rFonts w:ascii="Arial" w:hAnsi="Arial" w:cs="Arial"/>
        </w:rPr>
        <w:t>R</w:t>
      </w:r>
      <w:r w:rsidR="000A2BB7" w:rsidRPr="003B2D1D">
        <w:rPr>
          <w:rFonts w:ascii="Arial" w:hAnsi="Arial" w:cs="Arial"/>
        </w:rPr>
        <w:t>efer to the O</w:t>
      </w:r>
      <w:r>
        <w:rPr>
          <w:rFonts w:ascii="Arial" w:hAnsi="Arial" w:cs="Arial"/>
        </w:rPr>
        <w:t>perational Policy Framework</w:t>
      </w:r>
      <w:r>
        <w:rPr>
          <w:rStyle w:val="FootnoteReference"/>
          <w:rFonts w:ascii="Arial" w:hAnsi="Arial" w:cs="Arial"/>
        </w:rPr>
        <w:footnoteReference w:id="5"/>
      </w:r>
      <w:r>
        <w:rPr>
          <w:rFonts w:ascii="Arial" w:hAnsi="Arial" w:cs="Arial"/>
        </w:rPr>
        <w:t xml:space="preserve"> </w:t>
      </w:r>
      <w:r w:rsidR="000A2BB7" w:rsidRPr="003B2D1D">
        <w:rPr>
          <w:rFonts w:ascii="Arial" w:hAnsi="Arial" w:cs="Arial"/>
        </w:rPr>
        <w:t xml:space="preserve">for a comprehensive and updated list of standards and legislation that require provider compliance. </w:t>
      </w:r>
    </w:p>
    <w:p w14:paraId="0710591C" w14:textId="14288DE1" w:rsidR="000A2BB7" w:rsidRPr="003B2D1D" w:rsidRDefault="000A2BB7" w:rsidP="001352C0">
      <w:pPr>
        <w:tabs>
          <w:tab w:val="left" w:pos="540"/>
        </w:tabs>
        <w:spacing w:before="120" w:after="120"/>
        <w:jc w:val="left"/>
        <w:rPr>
          <w:rFonts w:ascii="Arial" w:hAnsi="Arial" w:cs="Arial"/>
          <w:b/>
        </w:rPr>
      </w:pPr>
      <w:bookmarkStart w:id="44" w:name="_Toc3079025"/>
      <w:bookmarkStart w:id="45" w:name="_Toc215319044"/>
      <w:bookmarkEnd w:id="43"/>
      <w:r w:rsidRPr="003B2D1D">
        <w:rPr>
          <w:rFonts w:ascii="Arial" w:hAnsi="Arial" w:cs="Arial"/>
          <w:b/>
        </w:rPr>
        <w:t>8.</w:t>
      </w:r>
      <w:r w:rsidR="00930394">
        <w:rPr>
          <w:rFonts w:ascii="Arial" w:hAnsi="Arial" w:cs="Arial"/>
          <w:b/>
        </w:rPr>
        <w:t>2</w:t>
      </w:r>
      <w:r w:rsidRPr="003B2D1D">
        <w:rPr>
          <w:rFonts w:ascii="Arial" w:hAnsi="Arial" w:cs="Arial"/>
          <w:b/>
        </w:rPr>
        <w:tab/>
      </w:r>
      <w:bookmarkEnd w:id="44"/>
      <w:bookmarkEnd w:id="45"/>
      <w:r w:rsidR="00A322B5">
        <w:rPr>
          <w:rFonts w:ascii="Arial" w:hAnsi="Arial" w:cs="Arial"/>
          <w:b/>
        </w:rPr>
        <w:t>Monitoring Quality</w:t>
      </w:r>
    </w:p>
    <w:p w14:paraId="19372944" w14:textId="77777777" w:rsidR="000A2BB7" w:rsidRPr="003B2D1D" w:rsidRDefault="000A2BB7" w:rsidP="001352C0">
      <w:pPr>
        <w:jc w:val="left"/>
        <w:rPr>
          <w:rFonts w:ascii="Arial" w:hAnsi="Arial" w:cs="Arial"/>
        </w:rPr>
      </w:pPr>
      <w:r w:rsidRPr="003B2D1D">
        <w:rPr>
          <w:rFonts w:ascii="Arial" w:hAnsi="Arial" w:cs="Arial"/>
        </w:rPr>
        <w:t xml:space="preserve">It is important that at each stage of the pathway </w:t>
      </w:r>
      <w:r w:rsidR="00EC3E93">
        <w:rPr>
          <w:rFonts w:ascii="Arial" w:hAnsi="Arial" w:cs="Arial"/>
        </w:rPr>
        <w:t>Service User</w:t>
      </w:r>
      <w:r w:rsidR="005B1229">
        <w:rPr>
          <w:rFonts w:ascii="Arial" w:hAnsi="Arial" w:cs="Arial"/>
        </w:rPr>
        <w:t>s</w:t>
      </w:r>
      <w:r w:rsidRPr="003B2D1D">
        <w:rPr>
          <w:rFonts w:ascii="Arial" w:hAnsi="Arial" w:cs="Arial"/>
        </w:rPr>
        <w:t xml:space="preserve"> and their family</w:t>
      </w:r>
      <w:r w:rsidR="003B2D1D">
        <w:rPr>
          <w:rFonts w:ascii="Arial" w:hAnsi="Arial" w:cs="Arial"/>
        </w:rPr>
        <w:t xml:space="preserve"> and</w:t>
      </w:r>
      <w:r w:rsidRPr="003B2D1D">
        <w:rPr>
          <w:rFonts w:ascii="Arial" w:hAnsi="Arial" w:cs="Arial"/>
        </w:rPr>
        <w:t xml:space="preserve"> whānau are able to give feedback on the </w:t>
      </w:r>
      <w:r w:rsidR="004925A0" w:rsidRPr="003B2D1D">
        <w:rPr>
          <w:rFonts w:ascii="Arial" w:hAnsi="Arial" w:cs="Arial"/>
        </w:rPr>
        <w:t>S</w:t>
      </w:r>
      <w:r w:rsidRPr="003B2D1D">
        <w:rPr>
          <w:rFonts w:ascii="Arial" w:hAnsi="Arial" w:cs="Arial"/>
        </w:rPr>
        <w:t xml:space="preserve">ervice.  Regular </w:t>
      </w:r>
      <w:r w:rsidR="00C47047" w:rsidRPr="003B2D1D">
        <w:rPr>
          <w:rFonts w:ascii="Arial" w:hAnsi="Arial" w:cs="Arial"/>
        </w:rPr>
        <w:t xml:space="preserve">contract </w:t>
      </w:r>
      <w:r w:rsidRPr="003B2D1D">
        <w:rPr>
          <w:rFonts w:ascii="Arial" w:hAnsi="Arial" w:cs="Arial"/>
        </w:rPr>
        <w:t>monitoring and auditing will occur and contribute to a continuous quality improvement cycle for all services.</w:t>
      </w:r>
    </w:p>
    <w:p w14:paraId="7436E1FA" w14:textId="77777777" w:rsidR="000A2BB7" w:rsidRPr="003B2D1D" w:rsidRDefault="000A2BB7" w:rsidP="001352C0">
      <w:pPr>
        <w:spacing w:before="120" w:after="120"/>
        <w:jc w:val="left"/>
        <w:rPr>
          <w:rFonts w:ascii="Arial" w:hAnsi="Arial" w:cs="Arial"/>
        </w:rPr>
      </w:pPr>
      <w:r w:rsidRPr="003B2D1D">
        <w:rPr>
          <w:rFonts w:ascii="Arial" w:hAnsi="Arial" w:cs="Arial"/>
        </w:rPr>
        <w:t xml:space="preserve">When assessing the quality of the </w:t>
      </w:r>
      <w:r w:rsidR="004925A0" w:rsidRPr="003B2D1D">
        <w:rPr>
          <w:rFonts w:ascii="Arial" w:hAnsi="Arial" w:cs="Arial"/>
        </w:rPr>
        <w:t>S</w:t>
      </w:r>
      <w:r w:rsidRPr="003B2D1D">
        <w:rPr>
          <w:rFonts w:ascii="Arial" w:hAnsi="Arial" w:cs="Arial"/>
        </w:rPr>
        <w:t xml:space="preserve">ervice to the extent to which the </w:t>
      </w:r>
      <w:r w:rsidR="004925A0" w:rsidRPr="003B2D1D">
        <w:rPr>
          <w:rFonts w:ascii="Arial" w:hAnsi="Arial" w:cs="Arial"/>
        </w:rPr>
        <w:t>S</w:t>
      </w:r>
      <w:r w:rsidRPr="003B2D1D">
        <w:rPr>
          <w:rFonts w:ascii="Arial" w:hAnsi="Arial" w:cs="Arial"/>
        </w:rPr>
        <w:t>ervice has met the following priorities will be considered:</w:t>
      </w:r>
    </w:p>
    <w:p w14:paraId="78883093" w14:textId="77777777" w:rsidR="000A2BB7" w:rsidRPr="003B2D1D" w:rsidRDefault="000A2BB7" w:rsidP="001352C0">
      <w:pPr>
        <w:jc w:val="left"/>
        <w:rPr>
          <w:rFonts w:ascii="Arial" w:hAnsi="Arial" w:cs="Arial"/>
        </w:rPr>
      </w:pPr>
      <w:r w:rsidRPr="003B2D1D">
        <w:rPr>
          <w:rFonts w:ascii="Arial" w:hAnsi="Arial" w:cs="Arial"/>
        </w:rPr>
        <w:t xml:space="preserve">The process of service delivery should ensure: </w:t>
      </w:r>
    </w:p>
    <w:p w14:paraId="1BBC61E1" w14:textId="77777777" w:rsidR="000A2BB7" w:rsidRPr="003B2D1D" w:rsidRDefault="000A2BB7" w:rsidP="002D649C">
      <w:pPr>
        <w:numPr>
          <w:ilvl w:val="0"/>
          <w:numId w:val="23"/>
        </w:numPr>
        <w:tabs>
          <w:tab w:val="clear" w:pos="720"/>
          <w:tab w:val="num" w:pos="540"/>
        </w:tabs>
        <w:ind w:left="539" w:hanging="539"/>
        <w:jc w:val="left"/>
        <w:rPr>
          <w:rFonts w:ascii="Arial" w:hAnsi="Arial" w:cs="Arial"/>
        </w:rPr>
      </w:pPr>
      <w:r w:rsidRPr="003B2D1D">
        <w:rPr>
          <w:rFonts w:ascii="Arial" w:hAnsi="Arial" w:cs="Arial"/>
        </w:rPr>
        <w:lastRenderedPageBreak/>
        <w:t xml:space="preserve">the </w:t>
      </w:r>
      <w:r w:rsidR="004925A0" w:rsidRPr="003B2D1D">
        <w:rPr>
          <w:rFonts w:ascii="Arial" w:hAnsi="Arial" w:cs="Arial"/>
        </w:rPr>
        <w:t>S</w:t>
      </w:r>
      <w:r w:rsidRPr="003B2D1D">
        <w:rPr>
          <w:rFonts w:ascii="Arial" w:hAnsi="Arial" w:cs="Arial"/>
        </w:rPr>
        <w:t xml:space="preserve">ervice </w:t>
      </w:r>
      <w:r w:rsidR="00EC3E93">
        <w:rPr>
          <w:rFonts w:ascii="Arial" w:hAnsi="Arial" w:cs="Arial"/>
        </w:rPr>
        <w:t>U</w:t>
      </w:r>
      <w:r w:rsidRPr="003B2D1D">
        <w:rPr>
          <w:rFonts w:ascii="Arial" w:hAnsi="Arial" w:cs="Arial"/>
        </w:rPr>
        <w:t xml:space="preserve">ser’s needs are central </w:t>
      </w:r>
    </w:p>
    <w:p w14:paraId="2503AC90" w14:textId="77777777" w:rsidR="000A2BB7" w:rsidRPr="003B2D1D" w:rsidRDefault="004925A0" w:rsidP="002D649C">
      <w:pPr>
        <w:numPr>
          <w:ilvl w:val="0"/>
          <w:numId w:val="23"/>
        </w:numPr>
        <w:tabs>
          <w:tab w:val="clear" w:pos="720"/>
          <w:tab w:val="num" w:pos="540"/>
        </w:tabs>
        <w:ind w:left="539" w:hanging="539"/>
        <w:jc w:val="left"/>
        <w:rPr>
          <w:rFonts w:ascii="Arial" w:hAnsi="Arial" w:cs="Arial"/>
        </w:rPr>
      </w:pPr>
      <w:r w:rsidRPr="003B2D1D">
        <w:rPr>
          <w:rFonts w:ascii="Arial" w:hAnsi="Arial" w:cs="Arial"/>
        </w:rPr>
        <w:t>S</w:t>
      </w:r>
      <w:r w:rsidR="000A2BB7" w:rsidRPr="003B2D1D">
        <w:rPr>
          <w:rFonts w:ascii="Arial" w:hAnsi="Arial" w:cs="Arial"/>
        </w:rPr>
        <w:t xml:space="preserve">ervice </w:t>
      </w:r>
      <w:r w:rsidR="00EC3E93">
        <w:rPr>
          <w:rFonts w:ascii="Arial" w:hAnsi="Arial" w:cs="Arial"/>
        </w:rPr>
        <w:t>U</w:t>
      </w:r>
      <w:r w:rsidR="000A2BB7" w:rsidRPr="003B2D1D">
        <w:rPr>
          <w:rFonts w:ascii="Arial" w:hAnsi="Arial" w:cs="Arial"/>
        </w:rPr>
        <w:t xml:space="preserve">ser and wherever possible family </w:t>
      </w:r>
      <w:r w:rsidR="003B2D1D">
        <w:rPr>
          <w:rFonts w:ascii="Arial" w:hAnsi="Arial" w:cs="Arial"/>
        </w:rPr>
        <w:t xml:space="preserve">/ </w:t>
      </w:r>
      <w:r w:rsidR="000A2BB7" w:rsidRPr="003B2D1D">
        <w:rPr>
          <w:rFonts w:ascii="Arial" w:hAnsi="Arial" w:cs="Arial"/>
        </w:rPr>
        <w:t xml:space="preserve">whānau participation </w:t>
      </w:r>
    </w:p>
    <w:p w14:paraId="18FFD027" w14:textId="77777777" w:rsidR="000A2BB7" w:rsidRPr="003B2D1D" w:rsidRDefault="000A2BB7" w:rsidP="002D649C">
      <w:pPr>
        <w:numPr>
          <w:ilvl w:val="0"/>
          <w:numId w:val="23"/>
        </w:numPr>
        <w:tabs>
          <w:tab w:val="clear" w:pos="720"/>
          <w:tab w:val="num" w:pos="540"/>
        </w:tabs>
        <w:ind w:left="539" w:hanging="539"/>
        <w:jc w:val="left"/>
        <w:rPr>
          <w:rFonts w:ascii="Arial" w:hAnsi="Arial" w:cs="Arial"/>
        </w:rPr>
      </w:pPr>
      <w:r w:rsidRPr="003B2D1D">
        <w:rPr>
          <w:rFonts w:ascii="Arial" w:hAnsi="Arial" w:cs="Arial"/>
        </w:rPr>
        <w:t xml:space="preserve">recognition that many </w:t>
      </w:r>
      <w:r w:rsidR="00EC3E93">
        <w:rPr>
          <w:rFonts w:ascii="Arial" w:hAnsi="Arial" w:cs="Arial"/>
        </w:rPr>
        <w:t>Service User</w:t>
      </w:r>
      <w:r w:rsidR="005B1229">
        <w:rPr>
          <w:rFonts w:ascii="Arial" w:hAnsi="Arial" w:cs="Arial"/>
        </w:rPr>
        <w:t>s</w:t>
      </w:r>
      <w:r w:rsidRPr="003B2D1D">
        <w:rPr>
          <w:rFonts w:ascii="Arial" w:hAnsi="Arial" w:cs="Arial"/>
        </w:rPr>
        <w:t xml:space="preserve"> will have parental roles and this will impact on their needs and those of their children</w:t>
      </w:r>
    </w:p>
    <w:p w14:paraId="28E138B8" w14:textId="77777777" w:rsidR="000A2BB7" w:rsidRPr="003B2D1D" w:rsidRDefault="000A2BB7" w:rsidP="002D649C">
      <w:pPr>
        <w:numPr>
          <w:ilvl w:val="0"/>
          <w:numId w:val="23"/>
        </w:numPr>
        <w:tabs>
          <w:tab w:val="clear" w:pos="720"/>
          <w:tab w:val="num" w:pos="540"/>
        </w:tabs>
        <w:ind w:left="539" w:hanging="539"/>
        <w:jc w:val="left"/>
        <w:rPr>
          <w:rFonts w:ascii="Arial" w:hAnsi="Arial" w:cs="Arial"/>
        </w:rPr>
      </w:pPr>
      <w:r w:rsidRPr="003B2D1D">
        <w:rPr>
          <w:rFonts w:ascii="Arial" w:hAnsi="Arial" w:cs="Arial"/>
        </w:rPr>
        <w:t xml:space="preserve">high-quality mental health and/or addiction care is supported </w:t>
      </w:r>
    </w:p>
    <w:p w14:paraId="6349A86F" w14:textId="77777777" w:rsidR="00CC2F18" w:rsidRPr="00D81D04" w:rsidRDefault="000A2BB7" w:rsidP="002D649C">
      <w:pPr>
        <w:numPr>
          <w:ilvl w:val="0"/>
          <w:numId w:val="23"/>
        </w:numPr>
        <w:tabs>
          <w:tab w:val="clear" w:pos="720"/>
          <w:tab w:val="num" w:pos="540"/>
        </w:tabs>
        <w:ind w:left="539" w:hanging="539"/>
        <w:jc w:val="left"/>
      </w:pPr>
      <w:r w:rsidRPr="00D81D04">
        <w:rPr>
          <w:rFonts w:ascii="Arial" w:hAnsi="Arial" w:cs="Arial"/>
        </w:rPr>
        <w:t>compliance with the Health and Disability Se</w:t>
      </w:r>
      <w:r w:rsidR="00861910">
        <w:rPr>
          <w:rFonts w:ascii="Arial" w:hAnsi="Arial" w:cs="Arial"/>
        </w:rPr>
        <w:t>rvices</w:t>
      </w:r>
      <w:r w:rsidRPr="00D81D04">
        <w:rPr>
          <w:rFonts w:ascii="Arial" w:hAnsi="Arial" w:cs="Arial"/>
        </w:rPr>
        <w:t xml:space="preserve"> Standards</w:t>
      </w:r>
      <w:r w:rsidR="00861910">
        <w:rPr>
          <w:rStyle w:val="FootnoteReference"/>
          <w:rFonts w:ascii="Arial" w:hAnsi="Arial" w:cs="Arial"/>
        </w:rPr>
        <w:footnoteReference w:id="6"/>
      </w:r>
    </w:p>
    <w:p w14:paraId="1BCF9001" w14:textId="77777777" w:rsidR="00CF3B37" w:rsidRPr="00D81D04" w:rsidRDefault="00CC2F18" w:rsidP="002D649C">
      <w:pPr>
        <w:numPr>
          <w:ilvl w:val="0"/>
          <w:numId w:val="23"/>
        </w:numPr>
        <w:tabs>
          <w:tab w:val="clear" w:pos="720"/>
          <w:tab w:val="num" w:pos="540"/>
        </w:tabs>
        <w:ind w:left="539" w:hanging="539"/>
        <w:jc w:val="left"/>
        <w:rPr>
          <w:rFonts w:ascii="Arial" w:hAnsi="Arial" w:cs="Arial"/>
        </w:rPr>
      </w:pPr>
      <w:r w:rsidRPr="00D81D04">
        <w:rPr>
          <w:rFonts w:ascii="Arial" w:hAnsi="Arial" w:cs="Arial"/>
        </w:rPr>
        <w:t>Mental Health and Addiction key performance indicators</w:t>
      </w:r>
      <w:r w:rsidR="00D81D04" w:rsidRPr="00D81D04">
        <w:rPr>
          <w:rFonts w:ascii="Arial" w:hAnsi="Arial" w:cs="Arial"/>
        </w:rPr>
        <w:t xml:space="preserve"> and PRIMHD data </w:t>
      </w:r>
      <w:r w:rsidRPr="00D81D04">
        <w:rPr>
          <w:rFonts w:ascii="Arial" w:hAnsi="Arial" w:cs="Arial"/>
        </w:rPr>
        <w:t xml:space="preserve"> are  reported</w:t>
      </w:r>
    </w:p>
    <w:p w14:paraId="04D43C80" w14:textId="77777777" w:rsidR="000A2BB7" w:rsidRPr="00D81D04" w:rsidRDefault="000A2BB7" w:rsidP="002D649C">
      <w:pPr>
        <w:numPr>
          <w:ilvl w:val="0"/>
          <w:numId w:val="23"/>
        </w:numPr>
        <w:tabs>
          <w:tab w:val="clear" w:pos="720"/>
          <w:tab w:val="num" w:pos="540"/>
        </w:tabs>
        <w:ind w:left="539" w:hanging="539"/>
        <w:jc w:val="left"/>
        <w:rPr>
          <w:rFonts w:ascii="Arial" w:hAnsi="Arial" w:cs="Arial"/>
        </w:rPr>
      </w:pPr>
      <w:r w:rsidRPr="00D81D04">
        <w:rPr>
          <w:rFonts w:ascii="Arial" w:hAnsi="Arial" w:cs="Arial"/>
        </w:rPr>
        <w:t>evidence-based best practice is followed</w:t>
      </w:r>
      <w:r w:rsidR="00DD5506" w:rsidRPr="00D81D04">
        <w:rPr>
          <w:rFonts w:ascii="Arial" w:hAnsi="Arial" w:cs="Arial"/>
        </w:rPr>
        <w:t>.</w:t>
      </w:r>
      <w:r w:rsidRPr="00D81D04">
        <w:rPr>
          <w:rFonts w:ascii="Arial" w:hAnsi="Arial" w:cs="Arial"/>
        </w:rPr>
        <w:t xml:space="preserve"> </w:t>
      </w:r>
    </w:p>
    <w:p w14:paraId="23D7A961" w14:textId="49C04D9E" w:rsidR="00A322B5" w:rsidRPr="002D649C" w:rsidRDefault="00A322B5" w:rsidP="002D649C">
      <w:pPr>
        <w:spacing w:before="120"/>
        <w:jc w:val="left"/>
        <w:rPr>
          <w:rFonts w:ascii="Arial" w:hAnsi="Arial" w:cs="Arial"/>
          <w:b/>
        </w:rPr>
      </w:pPr>
      <w:r w:rsidRPr="002D649C">
        <w:rPr>
          <w:rFonts w:ascii="Arial" w:hAnsi="Arial" w:cs="Arial"/>
          <w:b/>
        </w:rPr>
        <w:t>8.3</w:t>
      </w:r>
      <w:r w:rsidRPr="002D649C">
        <w:rPr>
          <w:rFonts w:ascii="Arial" w:hAnsi="Arial" w:cs="Arial"/>
          <w:b/>
        </w:rPr>
        <w:tab/>
        <w:t>Mental Health and Addiction Service specifications</w:t>
      </w:r>
    </w:p>
    <w:p w14:paraId="5D21AE93" w14:textId="4B63BB7E" w:rsidR="00D37EC8" w:rsidRPr="003B2D1D" w:rsidRDefault="00D37EC8" w:rsidP="001352C0">
      <w:pPr>
        <w:spacing w:before="120"/>
        <w:jc w:val="left"/>
        <w:rPr>
          <w:rFonts w:ascii="Arial" w:hAnsi="Arial" w:cs="Arial"/>
        </w:rPr>
      </w:pPr>
      <w:r w:rsidRPr="003B2D1D">
        <w:rPr>
          <w:rFonts w:ascii="Arial" w:hAnsi="Arial" w:cs="Arial"/>
        </w:rPr>
        <w:t xml:space="preserve">When selecting the appropriate service specifications required for a Mental Health and/or Addiction service to be purchased, the following steps are </w:t>
      </w:r>
      <w:r w:rsidR="00660BBE">
        <w:rPr>
          <w:rFonts w:ascii="Arial" w:hAnsi="Arial" w:cs="Arial"/>
        </w:rPr>
        <w:t xml:space="preserve">to be </w:t>
      </w:r>
      <w:r w:rsidRPr="003B2D1D">
        <w:rPr>
          <w:rFonts w:ascii="Arial" w:hAnsi="Arial" w:cs="Arial"/>
        </w:rPr>
        <w:t>taken:</w:t>
      </w:r>
    </w:p>
    <w:p w14:paraId="70332074" w14:textId="77777777" w:rsidR="00D37EC8" w:rsidRPr="003B2D1D" w:rsidRDefault="00DD5506" w:rsidP="002D649C">
      <w:pPr>
        <w:numPr>
          <w:ilvl w:val="0"/>
          <w:numId w:val="20"/>
        </w:numPr>
        <w:tabs>
          <w:tab w:val="clear" w:pos="720"/>
          <w:tab w:val="num" w:pos="540"/>
        </w:tabs>
        <w:spacing w:before="120"/>
        <w:ind w:left="539" w:hanging="539"/>
        <w:jc w:val="left"/>
        <w:rPr>
          <w:rFonts w:ascii="Arial" w:hAnsi="Arial" w:cs="Arial"/>
        </w:rPr>
      </w:pPr>
      <w:r w:rsidRPr="003B2D1D">
        <w:rPr>
          <w:rFonts w:ascii="Arial" w:hAnsi="Arial" w:cs="Arial"/>
        </w:rPr>
        <w:t>s</w:t>
      </w:r>
      <w:r w:rsidR="00D37EC8" w:rsidRPr="003B2D1D">
        <w:rPr>
          <w:rFonts w:ascii="Arial" w:hAnsi="Arial" w:cs="Arial"/>
        </w:rPr>
        <w:t xml:space="preserve">elect tier </w:t>
      </w:r>
      <w:r w:rsidR="00CB654C" w:rsidRPr="003B2D1D">
        <w:rPr>
          <w:rFonts w:ascii="Arial" w:hAnsi="Arial" w:cs="Arial"/>
        </w:rPr>
        <w:t>one</w:t>
      </w:r>
      <w:r w:rsidR="00D37EC8" w:rsidRPr="003B2D1D">
        <w:rPr>
          <w:rFonts w:ascii="Arial" w:hAnsi="Arial" w:cs="Arial"/>
        </w:rPr>
        <w:t xml:space="preserve"> Mental Health and Addiction service specification</w:t>
      </w:r>
    </w:p>
    <w:p w14:paraId="74710749" w14:textId="77777777" w:rsidR="00D37EC8" w:rsidRPr="003B2D1D" w:rsidRDefault="00DD5506" w:rsidP="002D649C">
      <w:pPr>
        <w:numPr>
          <w:ilvl w:val="0"/>
          <w:numId w:val="20"/>
        </w:numPr>
        <w:tabs>
          <w:tab w:val="clear" w:pos="720"/>
          <w:tab w:val="num" w:pos="540"/>
        </w:tabs>
        <w:ind w:left="539" w:hanging="539"/>
        <w:jc w:val="left"/>
        <w:rPr>
          <w:rFonts w:ascii="Arial" w:hAnsi="Arial" w:cs="Arial"/>
        </w:rPr>
      </w:pPr>
      <w:r w:rsidRPr="003B2D1D">
        <w:rPr>
          <w:rFonts w:ascii="Arial" w:hAnsi="Arial" w:cs="Arial"/>
        </w:rPr>
        <w:t>c</w:t>
      </w:r>
      <w:r w:rsidR="00D37EC8" w:rsidRPr="003B2D1D">
        <w:rPr>
          <w:rFonts w:ascii="Arial" w:hAnsi="Arial" w:cs="Arial"/>
        </w:rPr>
        <w:t xml:space="preserve">onsider the most appropriate service type and select one or more tier </w:t>
      </w:r>
      <w:r w:rsidR="00CB654C" w:rsidRPr="003B2D1D">
        <w:rPr>
          <w:rFonts w:ascii="Arial" w:hAnsi="Arial" w:cs="Arial"/>
        </w:rPr>
        <w:t>two</w:t>
      </w:r>
      <w:r w:rsidR="00D37EC8" w:rsidRPr="003B2D1D">
        <w:rPr>
          <w:rFonts w:ascii="Arial" w:hAnsi="Arial" w:cs="Arial"/>
        </w:rPr>
        <w:t xml:space="preserve"> service specifications</w:t>
      </w:r>
    </w:p>
    <w:p w14:paraId="2F31732E" w14:textId="387E402D" w:rsidR="00D37EC8" w:rsidRPr="003B2D1D" w:rsidRDefault="00DD5506" w:rsidP="002D649C">
      <w:pPr>
        <w:numPr>
          <w:ilvl w:val="0"/>
          <w:numId w:val="20"/>
        </w:numPr>
        <w:tabs>
          <w:tab w:val="clear" w:pos="720"/>
          <w:tab w:val="num" w:pos="540"/>
        </w:tabs>
        <w:ind w:left="539" w:hanging="539"/>
        <w:jc w:val="left"/>
        <w:rPr>
          <w:rFonts w:ascii="Arial" w:hAnsi="Arial" w:cs="Arial"/>
        </w:rPr>
      </w:pPr>
      <w:r w:rsidRPr="003B2D1D">
        <w:rPr>
          <w:rFonts w:ascii="Arial" w:hAnsi="Arial" w:cs="Arial"/>
        </w:rPr>
        <w:t>c</w:t>
      </w:r>
      <w:r w:rsidR="00D37EC8" w:rsidRPr="003B2D1D">
        <w:rPr>
          <w:rFonts w:ascii="Arial" w:hAnsi="Arial" w:cs="Arial"/>
        </w:rPr>
        <w:t xml:space="preserve">onsider the </w:t>
      </w:r>
      <w:r w:rsidR="00EC3E93">
        <w:rPr>
          <w:rFonts w:ascii="Arial" w:hAnsi="Arial" w:cs="Arial"/>
        </w:rPr>
        <w:t>Service User</w:t>
      </w:r>
      <w:r w:rsidR="00D37EC8" w:rsidRPr="003B2D1D">
        <w:rPr>
          <w:rFonts w:ascii="Arial" w:hAnsi="Arial" w:cs="Arial"/>
        </w:rPr>
        <w:t xml:space="preserve"> needs to be met and the preferred service delivery mode </w:t>
      </w:r>
    </w:p>
    <w:p w14:paraId="171C88B3" w14:textId="77777777" w:rsidR="00D37EC8" w:rsidRPr="003B2D1D" w:rsidRDefault="00DD5506" w:rsidP="002D649C">
      <w:pPr>
        <w:numPr>
          <w:ilvl w:val="0"/>
          <w:numId w:val="20"/>
        </w:numPr>
        <w:tabs>
          <w:tab w:val="clear" w:pos="720"/>
          <w:tab w:val="num" w:pos="540"/>
        </w:tabs>
        <w:ind w:left="539" w:hanging="539"/>
        <w:jc w:val="left"/>
        <w:rPr>
          <w:rFonts w:ascii="Arial" w:hAnsi="Arial" w:cs="Arial"/>
        </w:rPr>
      </w:pPr>
      <w:r w:rsidRPr="003B2D1D">
        <w:rPr>
          <w:rFonts w:ascii="Arial" w:hAnsi="Arial" w:cs="Arial"/>
        </w:rPr>
        <w:t>s</w:t>
      </w:r>
      <w:r w:rsidR="00D37EC8" w:rsidRPr="003B2D1D">
        <w:rPr>
          <w:rFonts w:ascii="Arial" w:hAnsi="Arial" w:cs="Arial"/>
        </w:rPr>
        <w:t xml:space="preserve">elect the tier </w:t>
      </w:r>
      <w:r w:rsidR="00CB654C" w:rsidRPr="003B2D1D">
        <w:rPr>
          <w:rFonts w:ascii="Arial" w:hAnsi="Arial" w:cs="Arial"/>
        </w:rPr>
        <w:t>three</w:t>
      </w:r>
      <w:r w:rsidR="00D37EC8" w:rsidRPr="003B2D1D">
        <w:rPr>
          <w:rFonts w:ascii="Arial" w:hAnsi="Arial" w:cs="Arial"/>
        </w:rPr>
        <w:t xml:space="preserve"> service specification that best meets these requirements. </w:t>
      </w:r>
    </w:p>
    <w:p w14:paraId="3CB4FE77" w14:textId="298356FF" w:rsidR="00D37EC8" w:rsidRPr="003B2D1D" w:rsidRDefault="00D37EC8" w:rsidP="001352C0">
      <w:pPr>
        <w:spacing w:before="120"/>
        <w:jc w:val="left"/>
        <w:rPr>
          <w:rFonts w:ascii="Arial" w:hAnsi="Arial" w:cs="Arial"/>
        </w:rPr>
      </w:pPr>
      <w:r w:rsidRPr="003B2D1D">
        <w:rPr>
          <w:rFonts w:ascii="Arial" w:hAnsi="Arial" w:cs="Arial"/>
        </w:rPr>
        <w:t xml:space="preserve">(A minimum of three </w:t>
      </w:r>
      <w:r w:rsidR="00A322B5">
        <w:rPr>
          <w:rFonts w:ascii="Arial" w:hAnsi="Arial" w:cs="Arial"/>
        </w:rPr>
        <w:t xml:space="preserve">Mental Health and Addiction </w:t>
      </w:r>
      <w:r w:rsidRPr="003B2D1D">
        <w:rPr>
          <w:rFonts w:ascii="Arial" w:hAnsi="Arial" w:cs="Arial"/>
        </w:rPr>
        <w:t xml:space="preserve">service specifications are required for each contract- a tier </w:t>
      </w:r>
      <w:r w:rsidR="00CB654C" w:rsidRPr="003B2D1D">
        <w:rPr>
          <w:rFonts w:ascii="Arial" w:hAnsi="Arial" w:cs="Arial"/>
        </w:rPr>
        <w:t>one</w:t>
      </w:r>
      <w:r w:rsidRPr="003B2D1D">
        <w:rPr>
          <w:rFonts w:ascii="Arial" w:hAnsi="Arial" w:cs="Arial"/>
        </w:rPr>
        <w:t>,</w:t>
      </w:r>
      <w:r w:rsidR="004925A0" w:rsidRPr="003B2D1D">
        <w:rPr>
          <w:rFonts w:ascii="Arial" w:hAnsi="Arial" w:cs="Arial"/>
        </w:rPr>
        <w:t xml:space="preserve"> </w:t>
      </w:r>
      <w:r w:rsidRPr="003B2D1D">
        <w:rPr>
          <w:rFonts w:ascii="Arial" w:hAnsi="Arial" w:cs="Arial"/>
        </w:rPr>
        <w:t xml:space="preserve">at least one tier </w:t>
      </w:r>
      <w:r w:rsidR="00CB654C" w:rsidRPr="003B2D1D">
        <w:rPr>
          <w:rFonts w:ascii="Arial" w:hAnsi="Arial" w:cs="Arial"/>
        </w:rPr>
        <w:t>two</w:t>
      </w:r>
      <w:r w:rsidRPr="003B2D1D">
        <w:rPr>
          <w:rFonts w:ascii="Arial" w:hAnsi="Arial" w:cs="Arial"/>
        </w:rPr>
        <w:t xml:space="preserve"> and a tier </w:t>
      </w:r>
      <w:r w:rsidR="00CB654C" w:rsidRPr="003B2D1D">
        <w:rPr>
          <w:rFonts w:ascii="Arial" w:hAnsi="Arial" w:cs="Arial"/>
        </w:rPr>
        <w:t>three</w:t>
      </w:r>
      <w:r w:rsidR="004925A0" w:rsidRPr="003B2D1D">
        <w:rPr>
          <w:rFonts w:ascii="Arial" w:hAnsi="Arial" w:cs="Arial"/>
        </w:rPr>
        <w:t xml:space="preserve"> service specification</w:t>
      </w:r>
      <w:r w:rsidRPr="003B2D1D">
        <w:rPr>
          <w:rFonts w:ascii="Arial" w:hAnsi="Arial" w:cs="Arial"/>
        </w:rPr>
        <w:t>).</w:t>
      </w:r>
    </w:p>
    <w:p w14:paraId="0692E0FE" w14:textId="2D71F2C2" w:rsidR="000A2BB7" w:rsidRPr="003B2D1D" w:rsidRDefault="00776F42" w:rsidP="001352C0">
      <w:pPr>
        <w:tabs>
          <w:tab w:val="left" w:pos="540"/>
        </w:tabs>
        <w:spacing w:before="240" w:after="120"/>
        <w:jc w:val="left"/>
        <w:rPr>
          <w:rFonts w:ascii="Arial" w:hAnsi="Arial" w:cs="Arial"/>
          <w:b/>
        </w:rPr>
      </w:pPr>
      <w:bookmarkStart w:id="46" w:name="_Toc215319050"/>
      <w:r>
        <w:rPr>
          <w:rFonts w:ascii="Arial" w:hAnsi="Arial" w:cs="Arial"/>
          <w:b/>
        </w:rPr>
        <w:t>9.</w:t>
      </w:r>
      <w:r>
        <w:rPr>
          <w:rFonts w:ascii="Arial" w:hAnsi="Arial" w:cs="Arial"/>
          <w:b/>
        </w:rPr>
        <w:tab/>
        <w:t>Purchase Unit Codes</w:t>
      </w:r>
      <w:r w:rsidR="000A2BB7" w:rsidRPr="003B2D1D">
        <w:rPr>
          <w:rFonts w:ascii="Arial" w:hAnsi="Arial" w:cs="Arial"/>
          <w:b/>
        </w:rPr>
        <w:t xml:space="preserve"> </w:t>
      </w:r>
      <w:bookmarkEnd w:id="46"/>
    </w:p>
    <w:p w14:paraId="4BCE27DF" w14:textId="00307A0F" w:rsidR="000A2BB7" w:rsidRPr="003B2D1D" w:rsidRDefault="00ED267A" w:rsidP="001352C0">
      <w:pPr>
        <w:spacing w:before="120" w:after="120"/>
        <w:jc w:val="left"/>
        <w:rPr>
          <w:rFonts w:ascii="Arial" w:hAnsi="Arial" w:cs="Arial"/>
        </w:rPr>
      </w:pPr>
      <w:bookmarkStart w:id="47" w:name="_Toc215319051"/>
      <w:r w:rsidRPr="002D649C">
        <w:rPr>
          <w:rFonts w:ascii="Arial" w:hAnsi="Arial" w:cs="Arial"/>
          <w:b/>
        </w:rPr>
        <w:t>9.1</w:t>
      </w:r>
      <w:r>
        <w:rPr>
          <w:rFonts w:ascii="Arial" w:hAnsi="Arial" w:cs="Arial"/>
        </w:rPr>
        <w:tab/>
      </w:r>
      <w:r w:rsidR="000571FF" w:rsidRPr="003B2D1D">
        <w:rPr>
          <w:rFonts w:ascii="Arial" w:hAnsi="Arial" w:cs="Arial"/>
        </w:rPr>
        <w:t xml:space="preserve">The Mental Health </w:t>
      </w:r>
      <w:r w:rsidR="000A2BB7" w:rsidRPr="003B2D1D">
        <w:rPr>
          <w:rFonts w:ascii="Arial" w:hAnsi="Arial" w:cs="Arial"/>
        </w:rPr>
        <w:t xml:space="preserve">Purchase Unit </w:t>
      </w:r>
      <w:r w:rsidR="002D649C">
        <w:rPr>
          <w:rFonts w:ascii="Arial" w:hAnsi="Arial" w:cs="Arial"/>
        </w:rPr>
        <w:t>(PU) co</w:t>
      </w:r>
      <w:r w:rsidR="000A2BB7" w:rsidRPr="003B2D1D">
        <w:rPr>
          <w:rFonts w:ascii="Arial" w:hAnsi="Arial" w:cs="Arial"/>
        </w:rPr>
        <w:t xml:space="preserve">des are </w:t>
      </w:r>
      <w:r>
        <w:rPr>
          <w:rFonts w:ascii="Arial" w:hAnsi="Arial" w:cs="Arial"/>
        </w:rPr>
        <w:t>published</w:t>
      </w:r>
      <w:r w:rsidR="000A2BB7" w:rsidRPr="003B2D1D">
        <w:rPr>
          <w:rFonts w:ascii="Arial" w:hAnsi="Arial" w:cs="Arial"/>
        </w:rPr>
        <w:t xml:space="preserve"> in the joint DHB Ministry </w:t>
      </w:r>
      <w:r w:rsidR="00886595" w:rsidRPr="003B2D1D">
        <w:rPr>
          <w:rFonts w:ascii="Arial" w:hAnsi="Arial" w:cs="Arial"/>
        </w:rPr>
        <w:t xml:space="preserve">Nationwide Service Framework </w:t>
      </w:r>
      <w:r w:rsidR="000A2BB7" w:rsidRPr="003B2D1D">
        <w:rPr>
          <w:rFonts w:ascii="Arial" w:hAnsi="Arial" w:cs="Arial"/>
        </w:rPr>
        <w:t xml:space="preserve">Purchase Unit Data Dictionary on </w:t>
      </w:r>
      <w:hyperlink r:id="rId9" w:history="1">
        <w:r w:rsidR="000A2BB7" w:rsidRPr="003B2D1D">
          <w:rPr>
            <w:rStyle w:val="Hyperlink"/>
            <w:rFonts w:cs="Arial"/>
            <w:b w:val="0"/>
            <w:lang w:bidi="en-US"/>
          </w:rPr>
          <w:t>www.nsfl.health.govt.nz</w:t>
        </w:r>
      </w:hyperlink>
      <w:r w:rsidR="000A2BB7" w:rsidRPr="003B2D1D">
        <w:rPr>
          <w:rFonts w:ascii="Arial" w:hAnsi="Arial" w:cs="Arial"/>
        </w:rPr>
        <w:t xml:space="preserve">.  </w:t>
      </w:r>
    </w:p>
    <w:bookmarkEnd w:id="47"/>
    <w:p w14:paraId="3EDC674F" w14:textId="70744A79" w:rsidR="002C2F9C" w:rsidRDefault="002C2F9C" w:rsidP="001352C0">
      <w:pPr>
        <w:spacing w:before="120" w:after="120"/>
        <w:jc w:val="left"/>
        <w:rPr>
          <w:rFonts w:ascii="Arial" w:hAnsi="Arial" w:cs="Arial"/>
        </w:rPr>
      </w:pPr>
      <w:r>
        <w:rPr>
          <w:rFonts w:ascii="Arial" w:hAnsi="Arial" w:cs="Arial"/>
        </w:rPr>
        <w:t>The following P</w:t>
      </w:r>
      <w:r w:rsidR="002D649C">
        <w:rPr>
          <w:rFonts w:ascii="Arial" w:hAnsi="Arial" w:cs="Arial"/>
        </w:rPr>
        <w:t>U</w:t>
      </w:r>
      <w:r>
        <w:rPr>
          <w:rFonts w:ascii="Arial" w:hAnsi="Arial" w:cs="Arial"/>
        </w:rPr>
        <w:t xml:space="preserve"> </w:t>
      </w:r>
      <w:r w:rsidR="002D649C">
        <w:rPr>
          <w:rFonts w:ascii="Arial" w:hAnsi="Arial" w:cs="Arial"/>
        </w:rPr>
        <w:t>c</w:t>
      </w:r>
      <w:r w:rsidR="001412FA">
        <w:rPr>
          <w:rFonts w:ascii="Arial" w:hAnsi="Arial" w:cs="Arial"/>
        </w:rPr>
        <w:t>odes</w:t>
      </w:r>
      <w:r>
        <w:rPr>
          <w:rFonts w:ascii="Arial" w:hAnsi="Arial" w:cs="Arial"/>
        </w:rPr>
        <w:t xml:space="preserve"> do not have specific </w:t>
      </w:r>
      <w:r w:rsidR="002D649C">
        <w:rPr>
          <w:rFonts w:ascii="Arial" w:hAnsi="Arial" w:cs="Arial"/>
        </w:rPr>
        <w:t>nationwide</w:t>
      </w:r>
      <w:r w:rsidR="002D649C" w:rsidRPr="003B2D1D">
        <w:rPr>
          <w:rFonts w:ascii="Arial" w:hAnsi="Arial" w:cs="Arial"/>
        </w:rPr>
        <w:t xml:space="preserve"> </w:t>
      </w:r>
      <w:r w:rsidRPr="003B2D1D">
        <w:rPr>
          <w:rFonts w:ascii="Arial" w:hAnsi="Arial" w:cs="Arial"/>
        </w:rPr>
        <w:t xml:space="preserve">mental health and addiction services </w:t>
      </w:r>
      <w:r>
        <w:rPr>
          <w:rFonts w:ascii="Arial" w:hAnsi="Arial" w:cs="Arial"/>
        </w:rPr>
        <w:t>service specifications</w:t>
      </w:r>
      <w:r w:rsidR="002D649C">
        <w:rPr>
          <w:rFonts w:ascii="Arial" w:hAnsi="Arial" w:cs="Arial"/>
        </w:rPr>
        <w:t>,</w:t>
      </w:r>
      <w:r>
        <w:rPr>
          <w:rFonts w:ascii="Arial" w:hAnsi="Arial" w:cs="Arial"/>
        </w:rPr>
        <w:t xml:space="preserve"> but </w:t>
      </w:r>
      <w:r w:rsidR="002F0A2E">
        <w:rPr>
          <w:rFonts w:ascii="Arial" w:hAnsi="Arial" w:cs="Arial"/>
        </w:rPr>
        <w:t>may be included</w:t>
      </w:r>
      <w:r>
        <w:rPr>
          <w:rFonts w:ascii="Arial" w:hAnsi="Arial" w:cs="Arial"/>
        </w:rPr>
        <w:t xml:space="preserve"> under this Tier One service specification. </w:t>
      </w:r>
    </w:p>
    <w:tbl>
      <w:tblPr>
        <w:tblStyle w:val="TableGrid"/>
        <w:tblW w:w="9634" w:type="dxa"/>
        <w:tblLayout w:type="fixed"/>
        <w:tblLook w:val="01E0" w:firstRow="1" w:lastRow="1" w:firstColumn="1" w:lastColumn="1" w:noHBand="0" w:noVBand="0"/>
      </w:tblPr>
      <w:tblGrid>
        <w:gridCol w:w="1317"/>
        <w:gridCol w:w="2364"/>
        <w:gridCol w:w="4394"/>
        <w:gridCol w:w="1559"/>
      </w:tblGrid>
      <w:tr w:rsidR="002C2F9C" w:rsidRPr="002C2F9C" w14:paraId="1435CE7E" w14:textId="77777777" w:rsidTr="001153DF">
        <w:tc>
          <w:tcPr>
            <w:tcW w:w="1317" w:type="dxa"/>
            <w:shd w:val="clear" w:color="auto" w:fill="D9D9D9"/>
          </w:tcPr>
          <w:p w14:paraId="28741E9D" w14:textId="77777777" w:rsidR="002C2F9C" w:rsidRPr="002C2F9C" w:rsidRDefault="002C2F9C" w:rsidP="001352C0">
            <w:pPr>
              <w:spacing w:before="60" w:after="60"/>
              <w:jc w:val="left"/>
              <w:rPr>
                <w:rFonts w:ascii="Arial" w:hAnsi="Arial" w:cs="Arial"/>
                <w:b/>
              </w:rPr>
            </w:pPr>
            <w:r w:rsidRPr="002C2F9C">
              <w:rPr>
                <w:rFonts w:ascii="Arial" w:hAnsi="Arial" w:cs="Arial"/>
                <w:b/>
              </w:rPr>
              <w:t>PU Code</w:t>
            </w:r>
          </w:p>
        </w:tc>
        <w:tc>
          <w:tcPr>
            <w:tcW w:w="2364" w:type="dxa"/>
            <w:shd w:val="clear" w:color="auto" w:fill="D9D9D9"/>
          </w:tcPr>
          <w:p w14:paraId="09C72982" w14:textId="3859F0AE" w:rsidR="002C2F9C" w:rsidRPr="002C2F9C" w:rsidRDefault="00B3582D" w:rsidP="001352C0">
            <w:pPr>
              <w:spacing w:before="60" w:after="60"/>
              <w:jc w:val="left"/>
              <w:rPr>
                <w:rFonts w:ascii="Arial" w:hAnsi="Arial" w:cs="Arial"/>
                <w:b/>
              </w:rPr>
            </w:pPr>
            <w:r>
              <w:rPr>
                <w:rFonts w:ascii="Arial" w:hAnsi="Arial" w:cs="Arial"/>
                <w:b/>
              </w:rPr>
              <w:t xml:space="preserve">PU </w:t>
            </w:r>
            <w:r w:rsidR="001412FA">
              <w:rPr>
                <w:rFonts w:ascii="Arial" w:hAnsi="Arial" w:cs="Arial"/>
                <w:b/>
              </w:rPr>
              <w:t>Description</w:t>
            </w:r>
          </w:p>
        </w:tc>
        <w:tc>
          <w:tcPr>
            <w:tcW w:w="4394" w:type="dxa"/>
            <w:shd w:val="clear" w:color="auto" w:fill="D9D9D9"/>
          </w:tcPr>
          <w:p w14:paraId="389003BE" w14:textId="6D730C43" w:rsidR="002C2F9C" w:rsidRPr="002C2F9C" w:rsidRDefault="00B3582D" w:rsidP="001412FA">
            <w:pPr>
              <w:spacing w:before="60" w:after="60"/>
              <w:jc w:val="left"/>
              <w:rPr>
                <w:rFonts w:ascii="Arial" w:hAnsi="Arial" w:cs="Arial"/>
                <w:b/>
              </w:rPr>
            </w:pPr>
            <w:r>
              <w:rPr>
                <w:rFonts w:ascii="Arial" w:hAnsi="Arial" w:cs="Arial"/>
                <w:b/>
              </w:rPr>
              <w:t xml:space="preserve">PU </w:t>
            </w:r>
            <w:r w:rsidR="001412FA">
              <w:rPr>
                <w:rFonts w:ascii="Arial" w:hAnsi="Arial" w:cs="Arial"/>
                <w:b/>
              </w:rPr>
              <w:t>Definition</w:t>
            </w:r>
          </w:p>
        </w:tc>
        <w:tc>
          <w:tcPr>
            <w:tcW w:w="1559" w:type="dxa"/>
            <w:shd w:val="clear" w:color="auto" w:fill="D9D9D9"/>
          </w:tcPr>
          <w:p w14:paraId="07EC6D9D" w14:textId="71AA6A5C" w:rsidR="002C2F9C" w:rsidRDefault="002C2F9C" w:rsidP="001352C0">
            <w:pPr>
              <w:spacing w:before="60" w:after="60"/>
              <w:jc w:val="left"/>
              <w:rPr>
                <w:rFonts w:ascii="Arial" w:hAnsi="Arial" w:cs="Arial"/>
                <w:b/>
              </w:rPr>
            </w:pPr>
            <w:r>
              <w:rPr>
                <w:rFonts w:ascii="Arial" w:hAnsi="Arial" w:cs="Arial"/>
                <w:b/>
              </w:rPr>
              <w:t>Unit of Measure</w:t>
            </w:r>
          </w:p>
        </w:tc>
      </w:tr>
      <w:tr w:rsidR="002C2F9C" w:rsidRPr="002C2F9C" w14:paraId="0A5B2A35" w14:textId="77777777" w:rsidTr="001153DF">
        <w:tc>
          <w:tcPr>
            <w:tcW w:w="1317" w:type="dxa"/>
          </w:tcPr>
          <w:p w14:paraId="6F3F82ED"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MHFF</w:t>
            </w:r>
          </w:p>
        </w:tc>
        <w:tc>
          <w:tcPr>
            <w:tcW w:w="2364" w:type="dxa"/>
          </w:tcPr>
          <w:p w14:paraId="728E9F0D"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 xml:space="preserve">Mental Health - </w:t>
            </w:r>
            <w:proofErr w:type="spellStart"/>
            <w:r w:rsidRPr="002C2F9C">
              <w:rPr>
                <w:rFonts w:ascii="Arial" w:hAnsi="Arial" w:cs="Arial"/>
                <w:sz w:val="22"/>
                <w:szCs w:val="22"/>
              </w:rPr>
              <w:t>flexifund</w:t>
            </w:r>
            <w:proofErr w:type="spellEnd"/>
          </w:p>
        </w:tc>
        <w:tc>
          <w:tcPr>
            <w:tcW w:w="4394" w:type="dxa"/>
          </w:tcPr>
          <w:p w14:paraId="6478B7B9"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Service to cover the costs for flexible funding for mental health services in addition to specific services with a unit of measure client, available bed day, occupied bed day or FTE.</w:t>
            </w:r>
          </w:p>
        </w:tc>
        <w:tc>
          <w:tcPr>
            <w:tcW w:w="1559" w:type="dxa"/>
          </w:tcPr>
          <w:p w14:paraId="062D13BF" w14:textId="77777777" w:rsidR="002C2F9C" w:rsidRPr="002C2F9C" w:rsidRDefault="002C2F9C" w:rsidP="001352C0">
            <w:pPr>
              <w:jc w:val="left"/>
              <w:rPr>
                <w:rFonts w:ascii="Arial" w:hAnsi="Arial" w:cs="Arial"/>
                <w:sz w:val="22"/>
                <w:szCs w:val="22"/>
                <w:lang w:eastAsia="en-NZ"/>
              </w:rPr>
            </w:pPr>
            <w:r w:rsidRPr="002C2F9C">
              <w:rPr>
                <w:rFonts w:ascii="Arial" w:hAnsi="Arial" w:cs="Arial"/>
                <w:sz w:val="22"/>
                <w:szCs w:val="22"/>
                <w:lang w:eastAsia="en-NZ"/>
              </w:rPr>
              <w:t>Programme</w:t>
            </w:r>
          </w:p>
        </w:tc>
      </w:tr>
      <w:tr w:rsidR="00C54AE9" w:rsidRPr="002C2F9C" w14:paraId="48083328" w14:textId="77777777" w:rsidTr="001153DF">
        <w:tc>
          <w:tcPr>
            <w:tcW w:w="1317" w:type="dxa"/>
          </w:tcPr>
          <w:p w14:paraId="666EDFFC" w14:textId="77777777" w:rsidR="00C54AE9" w:rsidRPr="002C2F9C" w:rsidRDefault="00C54AE9" w:rsidP="001352C0">
            <w:pPr>
              <w:jc w:val="left"/>
              <w:rPr>
                <w:rFonts w:ascii="Arial" w:hAnsi="Arial" w:cs="Arial"/>
                <w:sz w:val="22"/>
                <w:szCs w:val="22"/>
              </w:rPr>
            </w:pPr>
            <w:r>
              <w:rPr>
                <w:rFonts w:ascii="Arial" w:hAnsi="Arial" w:cs="Arial"/>
                <w:sz w:val="22"/>
                <w:szCs w:val="22"/>
              </w:rPr>
              <w:t>MHFF0001</w:t>
            </w:r>
          </w:p>
        </w:tc>
        <w:tc>
          <w:tcPr>
            <w:tcW w:w="2364" w:type="dxa"/>
          </w:tcPr>
          <w:p w14:paraId="4693B13F" w14:textId="77777777" w:rsidR="00C54AE9" w:rsidRPr="002C2F9C" w:rsidRDefault="00C54AE9" w:rsidP="001352C0">
            <w:pPr>
              <w:jc w:val="left"/>
              <w:rPr>
                <w:rFonts w:ascii="Arial" w:hAnsi="Arial" w:cs="Arial"/>
                <w:sz w:val="22"/>
                <w:szCs w:val="22"/>
              </w:rPr>
            </w:pPr>
            <w:r w:rsidRPr="00C54AE9">
              <w:rPr>
                <w:rFonts w:ascii="Arial" w:hAnsi="Arial" w:cs="Arial"/>
                <w:sz w:val="22"/>
                <w:szCs w:val="22"/>
              </w:rPr>
              <w:t>Individual Treatment bed (Mental Health &amp; AOD)</w:t>
            </w:r>
          </w:p>
        </w:tc>
        <w:tc>
          <w:tcPr>
            <w:tcW w:w="4394" w:type="dxa"/>
          </w:tcPr>
          <w:p w14:paraId="2B038A8A" w14:textId="77777777" w:rsidR="00C54AE9" w:rsidRPr="002C2F9C" w:rsidRDefault="00C54AE9" w:rsidP="001352C0">
            <w:pPr>
              <w:jc w:val="left"/>
              <w:rPr>
                <w:rFonts w:ascii="Arial" w:hAnsi="Arial" w:cs="Arial"/>
                <w:sz w:val="22"/>
                <w:szCs w:val="22"/>
              </w:rPr>
            </w:pPr>
            <w:r w:rsidRPr="00C54AE9">
              <w:rPr>
                <w:rFonts w:ascii="Arial" w:hAnsi="Arial" w:cs="Arial"/>
                <w:sz w:val="22"/>
                <w:szCs w:val="22"/>
              </w:rPr>
              <w:t>Bed for a client of mental health and/or alcohol and other drugs (AOD) services, of any age, who requires individualised care</w:t>
            </w:r>
          </w:p>
        </w:tc>
        <w:tc>
          <w:tcPr>
            <w:tcW w:w="1559" w:type="dxa"/>
          </w:tcPr>
          <w:p w14:paraId="41E6A301" w14:textId="77777777" w:rsidR="00C54AE9" w:rsidRPr="002C2F9C" w:rsidRDefault="00C54AE9" w:rsidP="001352C0">
            <w:pPr>
              <w:jc w:val="left"/>
              <w:rPr>
                <w:rFonts w:ascii="Arial" w:hAnsi="Arial" w:cs="Arial"/>
                <w:sz w:val="22"/>
                <w:szCs w:val="22"/>
                <w:lang w:eastAsia="en-NZ"/>
              </w:rPr>
            </w:pPr>
            <w:r w:rsidRPr="00C54AE9">
              <w:rPr>
                <w:rFonts w:ascii="Arial" w:hAnsi="Arial" w:cs="Arial"/>
                <w:sz w:val="22"/>
                <w:szCs w:val="22"/>
                <w:lang w:eastAsia="en-NZ"/>
              </w:rPr>
              <w:t>Occupied bed day</w:t>
            </w:r>
          </w:p>
        </w:tc>
      </w:tr>
      <w:tr w:rsidR="002C2F9C" w:rsidRPr="002C2F9C" w14:paraId="778D8D16" w14:textId="77777777" w:rsidTr="001153DF">
        <w:tc>
          <w:tcPr>
            <w:tcW w:w="1317" w:type="dxa"/>
          </w:tcPr>
          <w:p w14:paraId="7D9F5E8B"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MHQU</w:t>
            </w:r>
          </w:p>
        </w:tc>
        <w:tc>
          <w:tcPr>
            <w:tcW w:w="2364" w:type="dxa"/>
          </w:tcPr>
          <w:p w14:paraId="65FAF29B"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Mental Health - quality and audit</w:t>
            </w:r>
          </w:p>
        </w:tc>
        <w:tc>
          <w:tcPr>
            <w:tcW w:w="4394" w:type="dxa"/>
          </w:tcPr>
          <w:p w14:paraId="673A04BD"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Service to cover the costs for quality and auditing of mental health services</w:t>
            </w:r>
          </w:p>
        </w:tc>
        <w:tc>
          <w:tcPr>
            <w:tcW w:w="1559" w:type="dxa"/>
          </w:tcPr>
          <w:p w14:paraId="37D4BE19" w14:textId="77777777" w:rsidR="002C2F9C" w:rsidRPr="002C2F9C" w:rsidRDefault="002C2F9C" w:rsidP="001352C0">
            <w:pPr>
              <w:jc w:val="left"/>
              <w:rPr>
                <w:rFonts w:ascii="Arial" w:hAnsi="Arial" w:cs="Arial"/>
                <w:sz w:val="22"/>
                <w:szCs w:val="22"/>
                <w:lang w:eastAsia="en-NZ"/>
              </w:rPr>
            </w:pPr>
            <w:r w:rsidRPr="002C2F9C">
              <w:rPr>
                <w:rFonts w:ascii="Arial" w:hAnsi="Arial" w:cs="Arial"/>
                <w:sz w:val="22"/>
                <w:szCs w:val="22"/>
                <w:lang w:eastAsia="en-NZ"/>
              </w:rPr>
              <w:t>Programme</w:t>
            </w:r>
          </w:p>
        </w:tc>
      </w:tr>
      <w:tr w:rsidR="002C2F9C" w:rsidRPr="002C2F9C" w14:paraId="2D88F180" w14:textId="77777777" w:rsidTr="001153DF">
        <w:tc>
          <w:tcPr>
            <w:tcW w:w="1317" w:type="dxa"/>
          </w:tcPr>
          <w:p w14:paraId="0C6A7430"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MHWF</w:t>
            </w:r>
          </w:p>
        </w:tc>
        <w:tc>
          <w:tcPr>
            <w:tcW w:w="2364" w:type="dxa"/>
          </w:tcPr>
          <w:p w14:paraId="6AF81E31"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Mental Health - workforce</w:t>
            </w:r>
          </w:p>
        </w:tc>
        <w:tc>
          <w:tcPr>
            <w:tcW w:w="4394" w:type="dxa"/>
          </w:tcPr>
          <w:p w14:paraId="4BAB25F3"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Service to cover the costs for mental health workforce development.</w:t>
            </w:r>
          </w:p>
        </w:tc>
        <w:tc>
          <w:tcPr>
            <w:tcW w:w="1559" w:type="dxa"/>
          </w:tcPr>
          <w:p w14:paraId="7FDBC7B2" w14:textId="77777777" w:rsidR="002C2F9C" w:rsidRPr="002C2F9C" w:rsidRDefault="002C2F9C" w:rsidP="001352C0">
            <w:pPr>
              <w:jc w:val="left"/>
              <w:rPr>
                <w:rFonts w:ascii="Arial" w:hAnsi="Arial" w:cs="Arial"/>
                <w:sz w:val="22"/>
                <w:szCs w:val="22"/>
                <w:lang w:eastAsia="en-NZ"/>
              </w:rPr>
            </w:pPr>
            <w:r w:rsidRPr="002C2F9C">
              <w:rPr>
                <w:rFonts w:ascii="Arial" w:hAnsi="Arial" w:cs="Arial"/>
                <w:sz w:val="22"/>
                <w:szCs w:val="22"/>
                <w:lang w:eastAsia="en-NZ"/>
              </w:rPr>
              <w:t>Programme</w:t>
            </w:r>
          </w:p>
        </w:tc>
      </w:tr>
      <w:tr w:rsidR="002C2F9C" w:rsidRPr="002C2F9C" w14:paraId="51EEC100" w14:textId="77777777" w:rsidTr="001153DF">
        <w:tc>
          <w:tcPr>
            <w:tcW w:w="1317" w:type="dxa"/>
          </w:tcPr>
          <w:p w14:paraId="79A57C76"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MHSD</w:t>
            </w:r>
          </w:p>
        </w:tc>
        <w:tc>
          <w:tcPr>
            <w:tcW w:w="2364" w:type="dxa"/>
          </w:tcPr>
          <w:p w14:paraId="5CA4A736"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Mental Health - service development</w:t>
            </w:r>
          </w:p>
        </w:tc>
        <w:tc>
          <w:tcPr>
            <w:tcW w:w="4394" w:type="dxa"/>
          </w:tcPr>
          <w:p w14:paraId="33AFB5A2" w14:textId="77777777" w:rsidR="002C2F9C" w:rsidRPr="002C2F9C" w:rsidRDefault="002C2F9C" w:rsidP="001352C0">
            <w:pPr>
              <w:jc w:val="left"/>
              <w:rPr>
                <w:rFonts w:ascii="Arial" w:hAnsi="Arial" w:cs="Arial"/>
                <w:sz w:val="22"/>
                <w:szCs w:val="22"/>
              </w:rPr>
            </w:pPr>
            <w:r w:rsidRPr="002C2F9C">
              <w:rPr>
                <w:rFonts w:ascii="Arial" w:hAnsi="Arial" w:cs="Arial"/>
                <w:sz w:val="22"/>
                <w:szCs w:val="22"/>
              </w:rPr>
              <w:t>Costs to cover service development projects.</w:t>
            </w:r>
          </w:p>
        </w:tc>
        <w:tc>
          <w:tcPr>
            <w:tcW w:w="1559" w:type="dxa"/>
          </w:tcPr>
          <w:p w14:paraId="76D7DAB8" w14:textId="77777777" w:rsidR="002C2F9C" w:rsidRPr="002C2F9C" w:rsidRDefault="002C2F9C" w:rsidP="001352C0">
            <w:pPr>
              <w:jc w:val="left"/>
              <w:rPr>
                <w:rFonts w:ascii="Arial" w:hAnsi="Arial" w:cs="Arial"/>
                <w:sz w:val="22"/>
                <w:szCs w:val="22"/>
                <w:lang w:eastAsia="en-NZ"/>
              </w:rPr>
            </w:pPr>
            <w:r w:rsidRPr="002C2F9C">
              <w:rPr>
                <w:rFonts w:ascii="Arial" w:hAnsi="Arial" w:cs="Arial"/>
                <w:sz w:val="22"/>
                <w:szCs w:val="22"/>
                <w:lang w:eastAsia="en-NZ"/>
              </w:rPr>
              <w:t>Project</w:t>
            </w:r>
          </w:p>
        </w:tc>
      </w:tr>
    </w:tbl>
    <w:p w14:paraId="4F6EF617" w14:textId="617DE54B" w:rsidR="00F439F1" w:rsidRDefault="002D649C" w:rsidP="001352C0">
      <w:pPr>
        <w:spacing w:before="120" w:after="120"/>
        <w:jc w:val="left"/>
        <w:rPr>
          <w:rFonts w:ascii="Arial" w:hAnsi="Arial" w:cs="Arial"/>
        </w:rPr>
      </w:pPr>
      <w:r>
        <w:rPr>
          <w:rFonts w:ascii="Arial" w:hAnsi="Arial" w:cs="Arial"/>
        </w:rPr>
        <w:lastRenderedPageBreak/>
        <w:t>PU codes</w:t>
      </w:r>
      <w:r w:rsidR="000A2BB7" w:rsidRPr="003B2D1D">
        <w:rPr>
          <w:rFonts w:ascii="Arial" w:hAnsi="Arial" w:cs="Arial"/>
        </w:rPr>
        <w:t xml:space="preserve"> for mental health and addiction services are </w:t>
      </w:r>
      <w:r w:rsidR="00C47047" w:rsidRPr="003B2D1D">
        <w:rPr>
          <w:rFonts w:ascii="Arial" w:hAnsi="Arial" w:cs="Arial"/>
        </w:rPr>
        <w:t xml:space="preserve">included </w:t>
      </w:r>
      <w:r w:rsidR="000A2BB7" w:rsidRPr="003B2D1D">
        <w:rPr>
          <w:rFonts w:ascii="Arial" w:hAnsi="Arial" w:cs="Arial"/>
        </w:rPr>
        <w:t xml:space="preserve">at tier </w:t>
      </w:r>
      <w:r w:rsidR="00F52D61" w:rsidRPr="003B2D1D">
        <w:rPr>
          <w:rFonts w:ascii="Arial" w:hAnsi="Arial" w:cs="Arial"/>
        </w:rPr>
        <w:t>three</w:t>
      </w:r>
      <w:r w:rsidR="000A2BB7" w:rsidRPr="003B2D1D">
        <w:rPr>
          <w:rFonts w:ascii="Arial" w:hAnsi="Arial" w:cs="Arial"/>
        </w:rPr>
        <w:t xml:space="preserve"> service specification level and reflect the tier </w:t>
      </w:r>
      <w:r w:rsidR="00F52D61" w:rsidRPr="003B2D1D">
        <w:rPr>
          <w:rFonts w:ascii="Arial" w:hAnsi="Arial" w:cs="Arial"/>
        </w:rPr>
        <w:t>one</w:t>
      </w:r>
      <w:r w:rsidR="000A2BB7" w:rsidRPr="003B2D1D">
        <w:rPr>
          <w:rFonts w:ascii="Arial" w:hAnsi="Arial" w:cs="Arial"/>
        </w:rPr>
        <w:t xml:space="preserve"> and tier </w:t>
      </w:r>
      <w:r w:rsidR="00F52D61" w:rsidRPr="003B2D1D">
        <w:rPr>
          <w:rFonts w:ascii="Arial" w:hAnsi="Arial" w:cs="Arial"/>
        </w:rPr>
        <w:t>two</w:t>
      </w:r>
      <w:r w:rsidR="000A2BB7" w:rsidRPr="003B2D1D">
        <w:rPr>
          <w:rFonts w:ascii="Arial" w:hAnsi="Arial" w:cs="Arial"/>
        </w:rPr>
        <w:t xml:space="preserve"> </w:t>
      </w:r>
      <w:r>
        <w:rPr>
          <w:rFonts w:ascii="Arial" w:hAnsi="Arial" w:cs="Arial"/>
        </w:rPr>
        <w:t>service specification</w:t>
      </w:r>
      <w:r w:rsidR="004925A0" w:rsidRPr="003B2D1D">
        <w:rPr>
          <w:rFonts w:ascii="Arial" w:hAnsi="Arial" w:cs="Arial"/>
        </w:rPr>
        <w:t xml:space="preserve"> </w:t>
      </w:r>
      <w:r w:rsidR="000A2BB7" w:rsidRPr="003B2D1D">
        <w:rPr>
          <w:rFonts w:ascii="Arial" w:hAnsi="Arial" w:cs="Arial"/>
        </w:rPr>
        <w:t xml:space="preserve">components. </w:t>
      </w:r>
    </w:p>
    <w:tbl>
      <w:tblPr>
        <w:tblStyle w:val="TableGrid"/>
        <w:tblW w:w="9776" w:type="dxa"/>
        <w:tblLayout w:type="fixed"/>
        <w:tblLook w:val="01E0" w:firstRow="1" w:lastRow="1" w:firstColumn="1" w:lastColumn="1" w:noHBand="0" w:noVBand="0"/>
      </w:tblPr>
      <w:tblGrid>
        <w:gridCol w:w="2122"/>
        <w:gridCol w:w="7654"/>
      </w:tblGrid>
      <w:tr w:rsidR="001412FA" w:rsidRPr="002C2F9C" w14:paraId="7FB0C043" w14:textId="77777777" w:rsidTr="002D649C">
        <w:tc>
          <w:tcPr>
            <w:tcW w:w="2122" w:type="dxa"/>
            <w:shd w:val="clear" w:color="auto" w:fill="D9D9D9"/>
          </w:tcPr>
          <w:p w14:paraId="5654DD51" w14:textId="3B10A589" w:rsidR="001412FA" w:rsidRPr="002C2F9C" w:rsidRDefault="001412FA" w:rsidP="001412FA">
            <w:pPr>
              <w:spacing w:before="60" w:after="60"/>
              <w:jc w:val="left"/>
              <w:rPr>
                <w:rFonts w:ascii="Arial" w:hAnsi="Arial" w:cs="Arial"/>
                <w:b/>
              </w:rPr>
            </w:pPr>
            <w:r>
              <w:rPr>
                <w:rFonts w:ascii="Arial" w:hAnsi="Arial" w:cs="Arial"/>
                <w:b/>
              </w:rPr>
              <w:t>Unit of measure</w:t>
            </w:r>
          </w:p>
        </w:tc>
        <w:tc>
          <w:tcPr>
            <w:tcW w:w="7654" w:type="dxa"/>
            <w:shd w:val="clear" w:color="auto" w:fill="D9D9D9"/>
          </w:tcPr>
          <w:p w14:paraId="10BB6224" w14:textId="20BB240A" w:rsidR="001412FA" w:rsidRPr="002C2F9C" w:rsidRDefault="001412FA" w:rsidP="001412FA">
            <w:pPr>
              <w:spacing w:before="60" w:after="60"/>
              <w:jc w:val="left"/>
              <w:rPr>
                <w:rFonts w:ascii="Arial" w:hAnsi="Arial" w:cs="Arial"/>
                <w:b/>
              </w:rPr>
            </w:pPr>
            <w:r>
              <w:rPr>
                <w:rFonts w:ascii="Arial" w:hAnsi="Arial" w:cs="Arial"/>
                <w:b/>
              </w:rPr>
              <w:t>Definition</w:t>
            </w:r>
          </w:p>
        </w:tc>
      </w:tr>
      <w:tr w:rsidR="001412FA" w:rsidRPr="002C2F9C" w14:paraId="0EB9DD5B" w14:textId="77777777" w:rsidTr="002D649C">
        <w:tc>
          <w:tcPr>
            <w:tcW w:w="2122" w:type="dxa"/>
          </w:tcPr>
          <w:p w14:paraId="3ACCCB97" w14:textId="689428BD" w:rsidR="001412FA" w:rsidRPr="002C2F9C" w:rsidRDefault="001412FA" w:rsidP="002D649C">
            <w:pPr>
              <w:spacing w:before="120"/>
              <w:jc w:val="left"/>
              <w:rPr>
                <w:rFonts w:ascii="Arial" w:hAnsi="Arial" w:cs="Arial"/>
                <w:sz w:val="22"/>
                <w:szCs w:val="22"/>
              </w:rPr>
            </w:pPr>
            <w:r w:rsidRPr="00C54AE9">
              <w:rPr>
                <w:rFonts w:ascii="Arial" w:hAnsi="Arial" w:cs="Arial"/>
                <w:sz w:val="22"/>
                <w:szCs w:val="22"/>
                <w:lang w:eastAsia="en-NZ"/>
              </w:rPr>
              <w:t>Occupied bed day</w:t>
            </w:r>
          </w:p>
        </w:tc>
        <w:tc>
          <w:tcPr>
            <w:tcW w:w="7654" w:type="dxa"/>
          </w:tcPr>
          <w:p w14:paraId="5DAB466E" w14:textId="6CDD9DD5" w:rsidR="001412FA" w:rsidRPr="002C2F9C" w:rsidRDefault="001412FA" w:rsidP="002D649C">
            <w:pPr>
              <w:spacing w:before="120"/>
              <w:jc w:val="left"/>
              <w:rPr>
                <w:rFonts w:ascii="Arial" w:hAnsi="Arial" w:cs="Arial"/>
                <w:sz w:val="22"/>
                <w:szCs w:val="22"/>
              </w:rPr>
            </w:pPr>
            <w:r w:rsidRPr="001412FA">
              <w:rPr>
                <w:rFonts w:ascii="Arial" w:hAnsi="Arial" w:cs="Arial"/>
                <w:sz w:val="22"/>
                <w:szCs w:val="22"/>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1412FA" w:rsidRPr="002C2F9C" w14:paraId="175933F3" w14:textId="77777777" w:rsidTr="002D649C">
        <w:tc>
          <w:tcPr>
            <w:tcW w:w="2122" w:type="dxa"/>
          </w:tcPr>
          <w:p w14:paraId="39B56A98" w14:textId="48F3084A" w:rsidR="001412FA" w:rsidRPr="00C54AE9" w:rsidRDefault="001412FA" w:rsidP="002D649C">
            <w:pPr>
              <w:spacing w:before="120"/>
              <w:jc w:val="left"/>
              <w:rPr>
                <w:rFonts w:ascii="Arial" w:hAnsi="Arial" w:cs="Arial"/>
                <w:sz w:val="22"/>
                <w:szCs w:val="22"/>
                <w:lang w:eastAsia="en-NZ"/>
              </w:rPr>
            </w:pPr>
            <w:r w:rsidRPr="002C2F9C">
              <w:rPr>
                <w:rFonts w:ascii="Arial" w:hAnsi="Arial" w:cs="Arial"/>
                <w:sz w:val="22"/>
                <w:szCs w:val="22"/>
                <w:lang w:eastAsia="en-NZ"/>
              </w:rPr>
              <w:t>Programme</w:t>
            </w:r>
          </w:p>
        </w:tc>
        <w:tc>
          <w:tcPr>
            <w:tcW w:w="7654" w:type="dxa"/>
          </w:tcPr>
          <w:p w14:paraId="7FC72EBE" w14:textId="2CC17C1E" w:rsidR="001412FA" w:rsidRPr="002C2F9C" w:rsidRDefault="001412FA" w:rsidP="002D649C">
            <w:pPr>
              <w:spacing w:before="120"/>
              <w:jc w:val="left"/>
              <w:rPr>
                <w:rFonts w:ascii="Arial" w:hAnsi="Arial" w:cs="Arial"/>
                <w:sz w:val="22"/>
                <w:szCs w:val="22"/>
              </w:rPr>
            </w:pPr>
            <w:r w:rsidRPr="001412FA">
              <w:rPr>
                <w:rFonts w:ascii="Arial" w:hAnsi="Arial" w:cs="Arial"/>
                <w:sz w:val="22"/>
                <w:szCs w:val="22"/>
              </w:rPr>
              <w:t>A set of related measures or activities that is purchased in a block arrangement and is uniquely agreed at a local level</w:t>
            </w:r>
          </w:p>
        </w:tc>
      </w:tr>
      <w:tr w:rsidR="001412FA" w:rsidRPr="002C2F9C" w14:paraId="63204F02" w14:textId="77777777" w:rsidTr="002D649C">
        <w:tc>
          <w:tcPr>
            <w:tcW w:w="2122" w:type="dxa"/>
          </w:tcPr>
          <w:p w14:paraId="05F19475" w14:textId="062DC9BD" w:rsidR="001412FA" w:rsidRPr="002C2F9C" w:rsidRDefault="001412FA" w:rsidP="002D649C">
            <w:pPr>
              <w:spacing w:before="120"/>
              <w:jc w:val="left"/>
              <w:rPr>
                <w:rFonts w:ascii="Arial" w:hAnsi="Arial" w:cs="Arial"/>
                <w:sz w:val="22"/>
                <w:szCs w:val="22"/>
                <w:lang w:eastAsia="en-NZ"/>
              </w:rPr>
            </w:pPr>
            <w:r w:rsidRPr="002C2F9C">
              <w:rPr>
                <w:rFonts w:ascii="Arial" w:hAnsi="Arial" w:cs="Arial"/>
                <w:sz w:val="22"/>
                <w:szCs w:val="22"/>
                <w:lang w:eastAsia="en-NZ"/>
              </w:rPr>
              <w:t>Project</w:t>
            </w:r>
          </w:p>
        </w:tc>
        <w:tc>
          <w:tcPr>
            <w:tcW w:w="7654" w:type="dxa"/>
          </w:tcPr>
          <w:p w14:paraId="1FD901A1" w14:textId="6EE5C431" w:rsidR="001412FA" w:rsidRPr="002C2F9C" w:rsidRDefault="001412FA" w:rsidP="002D649C">
            <w:pPr>
              <w:spacing w:before="120"/>
              <w:jc w:val="left"/>
              <w:rPr>
                <w:rFonts w:ascii="Arial" w:hAnsi="Arial" w:cs="Arial"/>
                <w:sz w:val="22"/>
                <w:szCs w:val="22"/>
              </w:rPr>
            </w:pPr>
            <w:r w:rsidRPr="001412FA">
              <w:rPr>
                <w:rFonts w:ascii="Arial" w:hAnsi="Arial" w:cs="Arial"/>
                <w:sz w:val="22"/>
                <w:szCs w:val="22"/>
              </w:rPr>
              <w:t>Agreed lump sum amount.  Service purchased in a block arrangement</w:t>
            </w:r>
          </w:p>
        </w:tc>
      </w:tr>
    </w:tbl>
    <w:p w14:paraId="06044920" w14:textId="35D24ADC" w:rsidR="00A36602" w:rsidRPr="003B2D1D" w:rsidRDefault="000A2BB7" w:rsidP="00A36602">
      <w:pPr>
        <w:tabs>
          <w:tab w:val="left" w:pos="900"/>
        </w:tabs>
        <w:spacing w:before="120" w:after="120"/>
        <w:jc w:val="left"/>
        <w:rPr>
          <w:rFonts w:ascii="Arial" w:hAnsi="Arial" w:cs="Arial"/>
          <w:b/>
        </w:rPr>
      </w:pPr>
      <w:bookmarkStart w:id="48" w:name="_Toc215319059"/>
      <w:r w:rsidRPr="003B2D1D">
        <w:rPr>
          <w:rFonts w:ascii="Arial" w:hAnsi="Arial" w:cs="Arial"/>
          <w:b/>
        </w:rPr>
        <w:t>9.</w:t>
      </w:r>
      <w:r w:rsidR="00596B10">
        <w:rPr>
          <w:rFonts w:ascii="Arial" w:hAnsi="Arial" w:cs="Arial"/>
          <w:b/>
        </w:rPr>
        <w:t>2</w:t>
      </w:r>
      <w:r w:rsidR="007F39A2" w:rsidRPr="003B2D1D">
        <w:rPr>
          <w:rFonts w:ascii="Arial" w:hAnsi="Arial" w:cs="Arial"/>
          <w:b/>
        </w:rPr>
        <w:tab/>
      </w:r>
      <w:r w:rsidR="00A36602" w:rsidRPr="00ED267A">
        <w:rPr>
          <w:rFonts w:ascii="Arial" w:hAnsi="Arial" w:cs="Arial"/>
          <w:b/>
        </w:rPr>
        <w:t>Programme for the Integration of Mental Health Data</w:t>
      </w:r>
    </w:p>
    <w:p w14:paraId="0B758FBC" w14:textId="47C0388F" w:rsidR="00AB44A1" w:rsidRDefault="000A2BB7" w:rsidP="002D649C">
      <w:pPr>
        <w:spacing w:before="120"/>
        <w:jc w:val="left"/>
        <w:rPr>
          <w:rFonts w:ascii="Arial" w:hAnsi="Arial" w:cs="Arial"/>
        </w:rPr>
      </w:pPr>
      <w:r w:rsidRPr="003B2D1D">
        <w:rPr>
          <w:rFonts w:ascii="Arial" w:hAnsi="Arial" w:cs="Arial"/>
        </w:rPr>
        <w:t xml:space="preserve">Mental Health and Addiction providers will provide </w:t>
      </w:r>
      <w:r w:rsidR="002F0A2E">
        <w:rPr>
          <w:rFonts w:ascii="Arial" w:hAnsi="Arial" w:cs="Arial"/>
        </w:rPr>
        <w:t xml:space="preserve">the required </w:t>
      </w:r>
      <w:r w:rsidRPr="003B2D1D">
        <w:rPr>
          <w:rFonts w:ascii="Arial" w:hAnsi="Arial" w:cs="Arial"/>
        </w:rPr>
        <w:t>data electronically to Ministry of Health Information Service</w:t>
      </w:r>
      <w:r w:rsidR="00B749FC">
        <w:rPr>
          <w:rFonts w:ascii="Arial" w:hAnsi="Arial" w:cs="Arial"/>
        </w:rPr>
        <w:t>s</w:t>
      </w:r>
      <w:r w:rsidRPr="003B2D1D">
        <w:rPr>
          <w:rFonts w:ascii="Arial" w:hAnsi="Arial" w:cs="Arial"/>
        </w:rPr>
        <w:t xml:space="preserve"> via </w:t>
      </w:r>
      <w:r w:rsidR="00D81F07" w:rsidRPr="003B2D1D">
        <w:rPr>
          <w:rFonts w:ascii="Arial" w:hAnsi="Arial" w:cs="Arial"/>
        </w:rPr>
        <w:t>the Programme for the Integration of Mental Health Data (</w:t>
      </w:r>
      <w:r w:rsidRPr="003B2D1D">
        <w:rPr>
          <w:rFonts w:ascii="Arial" w:hAnsi="Arial" w:cs="Arial"/>
        </w:rPr>
        <w:t>PRIMHD</w:t>
      </w:r>
      <w:r w:rsidR="00D81F07" w:rsidRPr="003B2D1D">
        <w:rPr>
          <w:rFonts w:ascii="Arial" w:hAnsi="Arial" w:cs="Arial"/>
        </w:rPr>
        <w:t>)</w:t>
      </w:r>
      <w:r w:rsidRPr="003B2D1D">
        <w:rPr>
          <w:rFonts w:ascii="Arial" w:hAnsi="Arial" w:cs="Arial"/>
        </w:rPr>
        <w:t>.</w:t>
      </w:r>
      <w:r w:rsidR="00FC5C41">
        <w:rPr>
          <w:rFonts w:ascii="Arial" w:hAnsi="Arial" w:cs="Arial"/>
        </w:rPr>
        <w:t xml:space="preserve"> </w:t>
      </w:r>
    </w:p>
    <w:p w14:paraId="62259963" w14:textId="07E0865E" w:rsidR="002414E6" w:rsidRDefault="000A2BB7" w:rsidP="002D649C">
      <w:pPr>
        <w:spacing w:before="120"/>
        <w:jc w:val="left"/>
        <w:rPr>
          <w:rFonts w:ascii="Arial" w:hAnsi="Arial" w:cs="Arial"/>
        </w:rPr>
      </w:pPr>
      <w:r w:rsidRPr="003B2D1D">
        <w:rPr>
          <w:rFonts w:ascii="Arial" w:hAnsi="Arial" w:cs="Arial"/>
        </w:rPr>
        <w:t>There will be participation in KPI Benchmarking project as this work is implemented in the sector</w:t>
      </w:r>
      <w:bookmarkEnd w:id="48"/>
      <w:r w:rsidR="000E49D9" w:rsidRPr="003B2D1D">
        <w:rPr>
          <w:rFonts w:ascii="Arial" w:hAnsi="Arial" w:cs="Arial"/>
        </w:rPr>
        <w:t>.</w:t>
      </w:r>
      <w:r w:rsidR="00AB44A1">
        <w:rPr>
          <w:rFonts w:ascii="Arial" w:hAnsi="Arial" w:cs="Arial"/>
        </w:rPr>
        <w:t xml:space="preserve"> </w:t>
      </w:r>
      <w:r w:rsidR="00A36602" w:rsidRPr="00251647">
        <w:rPr>
          <w:rFonts w:ascii="Arial" w:hAnsi="Arial" w:cs="Arial"/>
        </w:rPr>
        <w:t xml:space="preserve">Refer to </w:t>
      </w:r>
      <w:r w:rsidR="00A774FA" w:rsidRPr="00251647">
        <w:rPr>
          <w:rFonts w:ascii="Arial" w:hAnsi="Arial" w:cs="Arial"/>
        </w:rPr>
        <w:t>Mental H</w:t>
      </w:r>
      <w:r w:rsidR="00A36602" w:rsidRPr="00251647">
        <w:rPr>
          <w:rFonts w:ascii="Arial" w:hAnsi="Arial" w:cs="Arial"/>
        </w:rPr>
        <w:t xml:space="preserve">ealth </w:t>
      </w:r>
      <w:r w:rsidR="002414E6" w:rsidRPr="00251647">
        <w:rPr>
          <w:rFonts w:ascii="Arial" w:hAnsi="Arial" w:cs="Arial"/>
        </w:rPr>
        <w:t>Data Definitions and Descriptions</w:t>
      </w:r>
      <w:r w:rsidR="00A36602" w:rsidRPr="00251647">
        <w:rPr>
          <w:rFonts w:ascii="Arial" w:hAnsi="Arial" w:cs="Arial"/>
        </w:rPr>
        <w:t xml:space="preserve"> </w:t>
      </w:r>
      <w:r w:rsidR="00A774FA" w:rsidRPr="00251647">
        <w:rPr>
          <w:rFonts w:ascii="Arial" w:hAnsi="Arial" w:cs="Arial"/>
        </w:rPr>
        <w:t>document</w:t>
      </w:r>
      <w:r w:rsidR="00FC5C41">
        <w:rPr>
          <w:rStyle w:val="FootnoteReference"/>
          <w:rFonts w:ascii="Arial" w:hAnsi="Arial" w:cs="Arial"/>
        </w:rPr>
        <w:footnoteReference w:id="7"/>
      </w:r>
      <w:r w:rsidR="00A774FA">
        <w:rPr>
          <w:rFonts w:ascii="Arial" w:hAnsi="Arial" w:cs="Arial"/>
        </w:rPr>
        <w:t>.</w:t>
      </w:r>
    </w:p>
    <w:p w14:paraId="5591FAB6" w14:textId="6C79F858" w:rsidR="00635B27" w:rsidRDefault="00635B27">
      <w:pPr>
        <w:jc w:val="left"/>
        <w:rPr>
          <w:rFonts w:ascii="Arial" w:hAnsi="Arial" w:cs="Arial"/>
        </w:rPr>
      </w:pPr>
      <w:r>
        <w:rPr>
          <w:rFonts w:ascii="Arial" w:hAnsi="Arial" w:cs="Arial"/>
        </w:rPr>
        <w:br w:type="page"/>
      </w:r>
    </w:p>
    <w:p w14:paraId="123743EA" w14:textId="77777777" w:rsidR="00635B27" w:rsidRPr="003B2D1D" w:rsidRDefault="00635B27" w:rsidP="00635B27">
      <w:pPr>
        <w:pBdr>
          <w:top w:val="single" w:sz="4" w:space="1" w:color="auto"/>
          <w:left w:val="single" w:sz="4" w:space="4" w:color="auto"/>
          <w:bottom w:val="single" w:sz="4" w:space="1" w:color="auto"/>
          <w:right w:val="single" w:sz="4" w:space="4" w:color="auto"/>
        </w:pBdr>
        <w:jc w:val="center"/>
        <w:rPr>
          <w:rFonts w:ascii="Arial" w:hAnsi="Arial" w:cs="Arial"/>
          <w:b/>
        </w:rPr>
      </w:pPr>
      <w:r w:rsidRPr="003B2D1D">
        <w:rPr>
          <w:rFonts w:ascii="Arial" w:hAnsi="Arial" w:cs="Arial"/>
          <w:b/>
        </w:rPr>
        <w:lastRenderedPageBreak/>
        <w:t>GLOSSARY FOR MENTAL HEALTH AND ADDICTION SERVICES</w:t>
      </w:r>
    </w:p>
    <w:p w14:paraId="6D3515B6" w14:textId="77777777" w:rsidR="00635B27" w:rsidRPr="003B2D1D" w:rsidRDefault="00635B27" w:rsidP="00635B27">
      <w:pPr>
        <w:pBdr>
          <w:top w:val="single" w:sz="4" w:space="1" w:color="auto"/>
          <w:left w:val="single" w:sz="4" w:space="4" w:color="auto"/>
          <w:bottom w:val="single" w:sz="4" w:space="1" w:color="auto"/>
          <w:right w:val="single" w:sz="4" w:space="4" w:color="auto"/>
        </w:pBdr>
        <w:jc w:val="center"/>
        <w:rPr>
          <w:rFonts w:ascii="Arial" w:hAnsi="Arial" w:cs="Arial"/>
          <w:b/>
        </w:rPr>
      </w:pPr>
      <w:r w:rsidRPr="003B2D1D">
        <w:rPr>
          <w:rFonts w:ascii="Arial" w:hAnsi="Arial" w:cs="Arial"/>
          <w:b/>
        </w:rPr>
        <w:t>SERVICE SPECIFICATIONS</w:t>
      </w:r>
    </w:p>
    <w:p w14:paraId="288EDFAE" w14:textId="77777777" w:rsidR="00635B27" w:rsidRPr="00251647" w:rsidRDefault="00635B27" w:rsidP="00635B27">
      <w:pPr>
        <w:spacing w:before="120"/>
        <w:jc w:val="left"/>
        <w:rPr>
          <w:rFonts w:ascii="Arial" w:hAnsi="Arial" w:cs="Arial"/>
          <w:sz w:val="22"/>
          <w:szCs w:val="22"/>
        </w:rPr>
      </w:pPr>
      <w:r w:rsidRPr="00251647">
        <w:rPr>
          <w:rFonts w:ascii="Arial" w:hAnsi="Arial" w:cs="Arial"/>
          <w:sz w:val="22"/>
          <w:szCs w:val="22"/>
        </w:rPr>
        <w:t>The definitions in this glossary are consistent with the definitions used in other national documents.</w:t>
      </w:r>
    </w:p>
    <w:p w14:paraId="0C27D3BB" w14:textId="77777777" w:rsidR="00635B27" w:rsidRPr="00FC395F" w:rsidRDefault="00635B27" w:rsidP="00635B27">
      <w:pPr>
        <w:spacing w:before="120"/>
        <w:jc w:val="left"/>
        <w:rPr>
          <w:rFonts w:ascii="Arial" w:hAnsi="Arial" w:cs="Arial"/>
          <w:b/>
          <w:sz w:val="22"/>
          <w:szCs w:val="22"/>
        </w:rPr>
      </w:pPr>
      <w:r w:rsidRPr="00FC395F">
        <w:rPr>
          <w:rFonts w:ascii="Arial" w:hAnsi="Arial" w:cs="Arial"/>
          <w:b/>
          <w:sz w:val="22"/>
          <w:szCs w:val="22"/>
        </w:rPr>
        <w:t>Addiction</w:t>
      </w:r>
    </w:p>
    <w:p w14:paraId="6EF26547" w14:textId="77777777" w:rsidR="00635B27" w:rsidRPr="00FC395F" w:rsidRDefault="00635B27" w:rsidP="00635B27">
      <w:pPr>
        <w:jc w:val="left"/>
        <w:rPr>
          <w:rFonts w:ascii="Arial" w:hAnsi="Arial" w:cs="Arial"/>
          <w:b/>
          <w:sz w:val="22"/>
          <w:szCs w:val="22"/>
        </w:rPr>
      </w:pPr>
      <w:r w:rsidRPr="00FC395F">
        <w:rPr>
          <w:rFonts w:ascii="Arial" w:hAnsi="Arial" w:cs="Arial"/>
          <w:sz w:val="22"/>
          <w:szCs w:val="22"/>
        </w:rPr>
        <w:t xml:space="preserve">Addiction in the context of the mental health and addiction services relates only to alcohol and other drug use and/or problem gambling. It refers to a maladaptive pattern of substance abuse, or problem gambling leading to significant impairment or distress. </w:t>
      </w:r>
    </w:p>
    <w:p w14:paraId="64244569"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Advocacy</w:t>
      </w:r>
    </w:p>
    <w:p w14:paraId="5E87A748" w14:textId="77777777" w:rsidR="00635B27" w:rsidRPr="00FC395F" w:rsidRDefault="00635B27" w:rsidP="00635B27">
      <w:pPr>
        <w:rPr>
          <w:rFonts w:ascii="Arial" w:hAnsi="Arial" w:cs="Arial"/>
          <w:b/>
          <w:sz w:val="22"/>
          <w:szCs w:val="22"/>
        </w:rPr>
      </w:pPr>
      <w:r w:rsidRPr="00FC395F">
        <w:rPr>
          <w:rFonts w:ascii="Arial" w:hAnsi="Arial" w:cs="Arial"/>
          <w:sz w:val="22"/>
          <w:szCs w:val="22"/>
        </w:rPr>
        <w:t xml:space="preserve">Actively advancing or protecting the rights and interests of people with mental illness and/or addiction. </w:t>
      </w:r>
    </w:p>
    <w:p w14:paraId="152962B4"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AOD</w:t>
      </w:r>
    </w:p>
    <w:p w14:paraId="6FBC5C4B" w14:textId="77777777" w:rsidR="00635B27" w:rsidRPr="00FC395F" w:rsidRDefault="00635B27" w:rsidP="00635B27">
      <w:pPr>
        <w:jc w:val="left"/>
        <w:rPr>
          <w:rFonts w:ascii="Arial" w:hAnsi="Arial" w:cs="Arial"/>
          <w:b/>
          <w:sz w:val="22"/>
          <w:szCs w:val="22"/>
        </w:rPr>
      </w:pPr>
      <w:r w:rsidRPr="00FC395F">
        <w:rPr>
          <w:rFonts w:ascii="Arial" w:hAnsi="Arial" w:cs="Arial"/>
          <w:sz w:val="22"/>
          <w:szCs w:val="22"/>
        </w:rPr>
        <w:t>Alcohol and other drugs.</w:t>
      </w:r>
    </w:p>
    <w:p w14:paraId="282D9F56" w14:textId="77777777" w:rsidR="00635B27" w:rsidRPr="00FC395F" w:rsidRDefault="00635B27" w:rsidP="00635B27">
      <w:pPr>
        <w:spacing w:before="120"/>
        <w:jc w:val="left"/>
        <w:rPr>
          <w:rFonts w:ascii="Arial" w:hAnsi="Arial" w:cs="Arial"/>
          <w:b/>
          <w:sz w:val="22"/>
          <w:szCs w:val="22"/>
        </w:rPr>
      </w:pPr>
      <w:r w:rsidRPr="00FC395F">
        <w:rPr>
          <w:rFonts w:ascii="Arial" w:hAnsi="Arial" w:cs="Arial"/>
          <w:b/>
          <w:sz w:val="22"/>
          <w:szCs w:val="22"/>
        </w:rPr>
        <w:t>Assessment</w:t>
      </w:r>
    </w:p>
    <w:p w14:paraId="794663E8"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 xml:space="preserve">A service provider’s systematic and ongoing collection of information about a consumer to form an understanding of consumer needs. </w:t>
      </w:r>
    </w:p>
    <w:p w14:paraId="1C73A7EE"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Clinical Assessment</w:t>
      </w:r>
      <w:r w:rsidRPr="00FC395F">
        <w:rPr>
          <w:rFonts w:ascii="Arial" w:hAnsi="Arial" w:cs="Arial"/>
          <w:sz w:val="22"/>
          <w:szCs w:val="22"/>
        </w:rPr>
        <w:t xml:space="preserve"> </w:t>
      </w:r>
    </w:p>
    <w:p w14:paraId="1BFE17A0"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Forms the basis for developing a diagnosis and an individualized treatment and support plan with the Service User, their family, whanau and significant others.</w:t>
      </w:r>
    </w:p>
    <w:p w14:paraId="7DDD1782" w14:textId="77777777" w:rsidR="00635B27" w:rsidRPr="00FC395F" w:rsidRDefault="00635B27" w:rsidP="00635B27">
      <w:pPr>
        <w:spacing w:before="120"/>
        <w:jc w:val="left"/>
        <w:rPr>
          <w:rFonts w:ascii="Arial" w:hAnsi="Arial" w:cs="Arial"/>
          <w:b/>
          <w:sz w:val="22"/>
          <w:szCs w:val="22"/>
        </w:rPr>
      </w:pPr>
      <w:r w:rsidRPr="00FC395F">
        <w:rPr>
          <w:rFonts w:ascii="Arial" w:hAnsi="Arial" w:cs="Arial"/>
          <w:b/>
          <w:sz w:val="22"/>
          <w:szCs w:val="22"/>
        </w:rPr>
        <w:t>Community Service</w:t>
      </w:r>
    </w:p>
    <w:p w14:paraId="25DBD3E2"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A service based within the community that maybe delivered in hospital outpatient and/or community settings.</w:t>
      </w:r>
    </w:p>
    <w:p w14:paraId="7D5C501A"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Consultation</w:t>
      </w:r>
      <w:r w:rsidRPr="00FC395F">
        <w:rPr>
          <w:rFonts w:ascii="Arial" w:hAnsi="Arial" w:cs="Arial"/>
          <w:sz w:val="22"/>
          <w:szCs w:val="22"/>
        </w:rPr>
        <w:t xml:space="preserve"> </w:t>
      </w:r>
    </w:p>
    <w:p w14:paraId="5979EED4"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Obtaining opinions and views of people affected by potential or proposed changes or developments, in order to consider those views in the decision making process.</w:t>
      </w:r>
    </w:p>
    <w:p w14:paraId="35CC1EBF"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 xml:space="preserve">Culture </w:t>
      </w:r>
    </w:p>
    <w:p w14:paraId="72C45628"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The beliefs, customs, practices, and social behaviour of a particular nation or people, a group of people whose shared beliefs and practices identify the particular place, class, or time to which they belong.</w:t>
      </w:r>
    </w:p>
    <w:p w14:paraId="712A3563"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Family Inclusiveness</w:t>
      </w:r>
      <w:r w:rsidRPr="00FC395F">
        <w:rPr>
          <w:rFonts w:ascii="Arial" w:hAnsi="Arial" w:cs="Arial"/>
          <w:sz w:val="22"/>
          <w:szCs w:val="22"/>
        </w:rPr>
        <w:t xml:space="preserve"> </w:t>
      </w:r>
    </w:p>
    <w:p w14:paraId="7B4F16B7" w14:textId="77777777" w:rsidR="00635B27" w:rsidRPr="00FC395F" w:rsidRDefault="00635B27" w:rsidP="00635B27">
      <w:pPr>
        <w:jc w:val="left"/>
        <w:rPr>
          <w:rFonts w:ascii="Arial" w:hAnsi="Arial" w:cs="Arial"/>
          <w:b/>
          <w:sz w:val="22"/>
          <w:szCs w:val="22"/>
        </w:rPr>
      </w:pPr>
      <w:r w:rsidRPr="00FC395F">
        <w:rPr>
          <w:rFonts w:ascii="Arial" w:hAnsi="Arial" w:cs="Arial"/>
          <w:sz w:val="22"/>
          <w:szCs w:val="22"/>
        </w:rPr>
        <w:t>Families and whānau have a fundamental role in supporting recovery and wellness and their participation in service planning and delivery will be critical.</w:t>
      </w:r>
    </w:p>
    <w:p w14:paraId="24275F25"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Harm Reduction</w:t>
      </w:r>
      <w:r w:rsidRPr="00FC395F">
        <w:rPr>
          <w:rFonts w:ascii="Arial" w:hAnsi="Arial" w:cs="Arial"/>
          <w:sz w:val="22"/>
          <w:szCs w:val="22"/>
        </w:rPr>
        <w:t xml:space="preserve"> </w:t>
      </w:r>
    </w:p>
    <w:p w14:paraId="1579E13D"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 xml:space="preserve">Harm reduction focuses on reducing harms associated with addiction, including health, social economic and other harms experienced by individuals, families, communities and society. </w:t>
      </w:r>
    </w:p>
    <w:p w14:paraId="7FC2AFFB"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Lived Experience</w:t>
      </w:r>
      <w:r w:rsidRPr="00FC395F">
        <w:rPr>
          <w:rFonts w:ascii="Arial" w:hAnsi="Arial" w:cs="Arial"/>
          <w:sz w:val="22"/>
          <w:szCs w:val="22"/>
        </w:rPr>
        <w:t xml:space="preserve"> </w:t>
      </w:r>
    </w:p>
    <w:p w14:paraId="6AE633AE" w14:textId="77777777" w:rsidR="00635B27" w:rsidRPr="00FC395F" w:rsidRDefault="00635B27" w:rsidP="00635B27">
      <w:pPr>
        <w:jc w:val="left"/>
        <w:rPr>
          <w:rFonts w:ascii="Arial" w:hAnsi="Arial" w:cs="Arial"/>
          <w:b/>
          <w:sz w:val="22"/>
          <w:szCs w:val="22"/>
        </w:rPr>
      </w:pPr>
      <w:r w:rsidRPr="00FC395F">
        <w:rPr>
          <w:rFonts w:ascii="Arial" w:hAnsi="Arial" w:cs="Arial"/>
          <w:sz w:val="22"/>
          <w:szCs w:val="22"/>
        </w:rPr>
        <w:t>The term refers to having experience of mental illness or addiction.</w:t>
      </w:r>
    </w:p>
    <w:p w14:paraId="1C599206"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Natural Supports</w:t>
      </w:r>
      <w:r w:rsidRPr="00FC395F">
        <w:rPr>
          <w:rFonts w:ascii="Arial" w:hAnsi="Arial" w:cs="Arial"/>
          <w:sz w:val="22"/>
          <w:szCs w:val="22"/>
        </w:rPr>
        <w:t xml:space="preserve"> </w:t>
      </w:r>
    </w:p>
    <w:p w14:paraId="3343B4BD" w14:textId="77777777" w:rsidR="00635B27" w:rsidRPr="00FC395F" w:rsidRDefault="00635B27" w:rsidP="00635B27">
      <w:pPr>
        <w:spacing w:after="120"/>
        <w:jc w:val="left"/>
        <w:rPr>
          <w:rFonts w:ascii="Arial" w:hAnsi="Arial" w:cs="Arial"/>
          <w:b/>
          <w:sz w:val="22"/>
          <w:szCs w:val="22"/>
        </w:rPr>
      </w:pPr>
      <w:r w:rsidRPr="00FC395F">
        <w:rPr>
          <w:rFonts w:ascii="Arial" w:hAnsi="Arial" w:cs="Arial"/>
          <w:sz w:val="22"/>
          <w:szCs w:val="22"/>
        </w:rPr>
        <w:t>Natural supports include family whānau, partners, friends, neighbours, colleagues or those from an identified group who help the Service User in his/her recovery</w:t>
      </w:r>
      <w:r>
        <w:rPr>
          <w:rFonts w:ascii="Arial" w:hAnsi="Arial" w:cs="Arial"/>
          <w:sz w:val="22"/>
          <w:szCs w:val="22"/>
        </w:rPr>
        <w:t>.</w:t>
      </w:r>
    </w:p>
    <w:p w14:paraId="47799837" w14:textId="77777777" w:rsidR="00635B27" w:rsidRPr="00FC395F" w:rsidRDefault="00635B27" w:rsidP="00635B27">
      <w:pPr>
        <w:spacing w:before="240"/>
        <w:jc w:val="left"/>
        <w:rPr>
          <w:rFonts w:ascii="Arial" w:hAnsi="Arial" w:cs="Arial"/>
          <w:b/>
          <w:sz w:val="22"/>
          <w:szCs w:val="22"/>
        </w:rPr>
      </w:pPr>
      <w:r w:rsidRPr="00FC395F">
        <w:rPr>
          <w:rFonts w:ascii="Arial" w:hAnsi="Arial" w:cs="Arial"/>
          <w:b/>
          <w:sz w:val="22"/>
          <w:szCs w:val="22"/>
        </w:rPr>
        <w:t>PRIMHD</w:t>
      </w:r>
    </w:p>
    <w:p w14:paraId="1ED162DB"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Programme for the Integration of Mental Health Data; a common code set for the health sector.</w:t>
      </w:r>
    </w:p>
    <w:p w14:paraId="61CA1C1C"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Protective Factors</w:t>
      </w:r>
      <w:r w:rsidRPr="00FC395F">
        <w:rPr>
          <w:rFonts w:ascii="Arial" w:hAnsi="Arial" w:cs="Arial"/>
          <w:sz w:val="22"/>
          <w:szCs w:val="22"/>
        </w:rPr>
        <w:t xml:space="preserve"> </w:t>
      </w:r>
    </w:p>
    <w:p w14:paraId="21A552FD" w14:textId="77777777" w:rsidR="00635B27" w:rsidRPr="00FC395F" w:rsidRDefault="00635B27" w:rsidP="00635B27">
      <w:pPr>
        <w:jc w:val="left"/>
        <w:rPr>
          <w:rFonts w:ascii="Arial" w:hAnsi="Arial" w:cs="Arial"/>
          <w:b/>
          <w:sz w:val="22"/>
          <w:szCs w:val="22"/>
        </w:rPr>
      </w:pPr>
      <w:r w:rsidRPr="00FC395F">
        <w:rPr>
          <w:rFonts w:ascii="Arial" w:hAnsi="Arial" w:cs="Arial"/>
          <w:sz w:val="22"/>
          <w:szCs w:val="22"/>
        </w:rPr>
        <w:t>Supports, strengths and activities that help build resilience.</w:t>
      </w:r>
    </w:p>
    <w:p w14:paraId="5E6D6E34" w14:textId="77777777" w:rsidR="00635B27" w:rsidRDefault="00635B27" w:rsidP="00635B27">
      <w:pPr>
        <w:jc w:val="left"/>
        <w:rPr>
          <w:rFonts w:ascii="Arial" w:hAnsi="Arial" w:cs="Arial"/>
          <w:b/>
          <w:sz w:val="22"/>
          <w:szCs w:val="22"/>
        </w:rPr>
      </w:pPr>
      <w:r>
        <w:rPr>
          <w:rFonts w:ascii="Arial" w:hAnsi="Arial" w:cs="Arial"/>
          <w:b/>
          <w:sz w:val="22"/>
          <w:szCs w:val="22"/>
        </w:rPr>
        <w:br w:type="page"/>
      </w:r>
    </w:p>
    <w:p w14:paraId="2729A6DF"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lastRenderedPageBreak/>
        <w:t>Recovery</w:t>
      </w:r>
      <w:r w:rsidRPr="00FC395F">
        <w:rPr>
          <w:rFonts w:ascii="Arial" w:hAnsi="Arial" w:cs="Arial"/>
          <w:sz w:val="22"/>
          <w:szCs w:val="22"/>
        </w:rPr>
        <w:t xml:space="preserve"> </w:t>
      </w:r>
    </w:p>
    <w:p w14:paraId="03F374A9"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Recovery is defined as the process of change through which people improve their health and wellness, live a self-directed life and strive to reach their full potential.  Recovery in the addiction sector includes a view of both abstinence and harm minimization perspectives that have evolved over time to represent the individual’s view.  There is a long and generally held view that in the addiction field recovery involves an expectation/ hope that people can and will recover from their addiction / unwellness, acceptance that recovery is a process not a state of being, and recognition that the recovery is done by the person addicted/affected, in partnership with the services (in the word’s widest sense) providing help.  Health and Social Services will need to expect recovery and work in a way that will support it and will build future resilience.</w:t>
      </w:r>
    </w:p>
    <w:p w14:paraId="2DCF1AFD" w14:textId="77777777" w:rsidR="00635B27" w:rsidRPr="00FC395F" w:rsidRDefault="00635B27" w:rsidP="00635B27">
      <w:pPr>
        <w:spacing w:before="120"/>
        <w:jc w:val="left"/>
        <w:rPr>
          <w:rFonts w:ascii="Arial" w:hAnsi="Arial" w:cs="Arial"/>
          <w:b/>
          <w:sz w:val="22"/>
          <w:szCs w:val="22"/>
        </w:rPr>
      </w:pPr>
      <w:r w:rsidRPr="00FC395F">
        <w:rPr>
          <w:rFonts w:ascii="Arial" w:hAnsi="Arial" w:cs="Arial"/>
          <w:b/>
          <w:sz w:val="22"/>
          <w:szCs w:val="22"/>
        </w:rPr>
        <w:t>Relapse Prevention Plan</w:t>
      </w:r>
    </w:p>
    <w:p w14:paraId="7D4B1A19" w14:textId="77777777" w:rsidR="00635B27" w:rsidRPr="00FC395F" w:rsidRDefault="00635B27" w:rsidP="00635B27">
      <w:pPr>
        <w:autoSpaceDE w:val="0"/>
        <w:autoSpaceDN w:val="0"/>
        <w:adjustRightInd w:val="0"/>
        <w:jc w:val="left"/>
        <w:rPr>
          <w:rFonts w:ascii="Arial" w:hAnsi="Arial" w:cs="Arial"/>
          <w:color w:val="000000"/>
          <w:sz w:val="22"/>
          <w:szCs w:val="22"/>
          <w:lang w:val="en-GB" w:eastAsia="en-GB"/>
        </w:rPr>
      </w:pPr>
      <w:r w:rsidRPr="00FC395F">
        <w:rPr>
          <w:rFonts w:ascii="Arial" w:hAnsi="Arial" w:cs="Arial"/>
          <w:color w:val="000000"/>
          <w:sz w:val="22"/>
          <w:szCs w:val="22"/>
          <w:lang w:val="en-GB" w:eastAsia="en-GB"/>
        </w:rPr>
        <w:t xml:space="preserve">Relapse prevention plans identify early relapse warning signs of clients.  The plan identifies what the client can do for themselves and what the service will do to support the client. </w:t>
      </w:r>
    </w:p>
    <w:p w14:paraId="45352825" w14:textId="77777777" w:rsidR="00635B27" w:rsidRPr="00FC395F" w:rsidRDefault="00635B27" w:rsidP="00635B27">
      <w:pPr>
        <w:autoSpaceDE w:val="0"/>
        <w:autoSpaceDN w:val="0"/>
        <w:adjustRightInd w:val="0"/>
        <w:spacing w:before="120"/>
        <w:jc w:val="left"/>
        <w:rPr>
          <w:rFonts w:ascii="Arial" w:hAnsi="Arial" w:cs="Arial"/>
          <w:color w:val="000000"/>
          <w:sz w:val="22"/>
          <w:szCs w:val="22"/>
          <w:lang w:val="en-GB" w:eastAsia="en-GB"/>
        </w:rPr>
      </w:pPr>
      <w:r w:rsidRPr="00FC395F">
        <w:rPr>
          <w:rFonts w:ascii="Arial" w:hAnsi="Arial" w:cs="Arial"/>
          <w:color w:val="000000"/>
          <w:sz w:val="22"/>
          <w:szCs w:val="22"/>
          <w:lang w:val="en-GB" w:eastAsia="en-GB"/>
        </w:rPr>
        <w:t>Ideally, each plan will be developed with involvement of clinicians, clients and their significant others.  The plan represents an agreement and ownership between parties.  Each plan will have varying degrees of complexity depending on the individual.  Each client will know of (and ideally have a copy of) their plan.</w:t>
      </w:r>
    </w:p>
    <w:p w14:paraId="2351DF0C" w14:textId="77777777" w:rsidR="00635B27" w:rsidRPr="00FC395F" w:rsidRDefault="00635B27" w:rsidP="00635B27">
      <w:pPr>
        <w:spacing w:before="120"/>
        <w:jc w:val="left"/>
        <w:rPr>
          <w:rFonts w:ascii="Arial" w:hAnsi="Arial" w:cs="Arial"/>
          <w:b/>
          <w:sz w:val="22"/>
          <w:szCs w:val="22"/>
        </w:rPr>
      </w:pPr>
      <w:r w:rsidRPr="00FC395F">
        <w:rPr>
          <w:rFonts w:ascii="Arial" w:hAnsi="Arial" w:cs="Arial"/>
          <w:b/>
          <w:sz w:val="22"/>
          <w:szCs w:val="22"/>
        </w:rPr>
        <w:t>Residential</w:t>
      </w:r>
    </w:p>
    <w:p w14:paraId="16E68D67"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The term residential has been replaced by the terms “housing” or “accommodation” dependant on the type of service.</w:t>
      </w:r>
    </w:p>
    <w:p w14:paraId="25CB6B2E"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Resilience</w:t>
      </w:r>
      <w:r w:rsidRPr="00FC395F">
        <w:rPr>
          <w:rFonts w:ascii="Arial" w:hAnsi="Arial" w:cs="Arial"/>
          <w:sz w:val="22"/>
          <w:szCs w:val="22"/>
        </w:rPr>
        <w:t xml:space="preserve"> </w:t>
      </w:r>
    </w:p>
    <w:p w14:paraId="07DB977C" w14:textId="77777777" w:rsidR="00635B27" w:rsidRPr="00FC395F" w:rsidRDefault="00635B27" w:rsidP="00635B27">
      <w:pPr>
        <w:jc w:val="left"/>
        <w:rPr>
          <w:rFonts w:ascii="Arial" w:hAnsi="Arial" w:cs="Arial"/>
          <w:b/>
          <w:sz w:val="22"/>
          <w:szCs w:val="22"/>
        </w:rPr>
      </w:pPr>
      <w:r w:rsidRPr="00FC395F">
        <w:rPr>
          <w:rFonts w:ascii="Arial" w:hAnsi="Arial" w:cs="Arial"/>
          <w:sz w:val="22"/>
          <w:szCs w:val="22"/>
        </w:rPr>
        <w:t xml:space="preserve">Personal and community strengths or skills that enable people to rebound from adversity, trauma, tragedy, loss or other factors, and go on with life with a sense of control, competence, and hope. </w:t>
      </w:r>
    </w:p>
    <w:p w14:paraId="0E4F2660"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Service User</w:t>
      </w:r>
      <w:r w:rsidRPr="00FC395F">
        <w:rPr>
          <w:rFonts w:ascii="Arial" w:hAnsi="Arial" w:cs="Arial"/>
          <w:sz w:val="22"/>
          <w:szCs w:val="22"/>
        </w:rPr>
        <w:t xml:space="preserve"> </w:t>
      </w:r>
    </w:p>
    <w:p w14:paraId="0D7FD871"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 xml:space="preserve">A person who uses specialist mental health or addiction services regardless of level of need.  This term is often used interchangeably with consumer and/or </w:t>
      </w:r>
      <w:proofErr w:type="spellStart"/>
      <w:r w:rsidRPr="00FC395F">
        <w:rPr>
          <w:rFonts w:ascii="Arial" w:hAnsi="Arial" w:cs="Arial"/>
          <w:sz w:val="22"/>
          <w:szCs w:val="22"/>
        </w:rPr>
        <w:t>tāngata</w:t>
      </w:r>
      <w:proofErr w:type="spellEnd"/>
      <w:r w:rsidRPr="00FC395F">
        <w:rPr>
          <w:rFonts w:ascii="Arial" w:hAnsi="Arial" w:cs="Arial"/>
          <w:sz w:val="22"/>
          <w:szCs w:val="22"/>
        </w:rPr>
        <w:t xml:space="preserve"> </w:t>
      </w:r>
      <w:proofErr w:type="spellStart"/>
      <w:r w:rsidRPr="00FC395F">
        <w:rPr>
          <w:rFonts w:ascii="Arial" w:hAnsi="Arial" w:cs="Arial"/>
          <w:sz w:val="22"/>
          <w:szCs w:val="22"/>
        </w:rPr>
        <w:t>whaiora</w:t>
      </w:r>
      <w:proofErr w:type="spellEnd"/>
      <w:r w:rsidRPr="00FC395F">
        <w:rPr>
          <w:rFonts w:ascii="Arial" w:hAnsi="Arial" w:cs="Arial"/>
          <w:sz w:val="22"/>
          <w:szCs w:val="22"/>
        </w:rPr>
        <w:t xml:space="preserve"> </w:t>
      </w:r>
    </w:p>
    <w:p w14:paraId="7C9F16ED"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Strength based</w:t>
      </w:r>
      <w:r w:rsidRPr="00FC395F">
        <w:rPr>
          <w:rFonts w:ascii="Arial" w:hAnsi="Arial" w:cs="Arial"/>
          <w:sz w:val="22"/>
          <w:szCs w:val="22"/>
        </w:rPr>
        <w:t xml:space="preserve"> </w:t>
      </w:r>
    </w:p>
    <w:p w14:paraId="7E3F84EB" w14:textId="77777777" w:rsidR="00635B27" w:rsidRPr="00FC395F" w:rsidRDefault="00635B27" w:rsidP="00635B27">
      <w:pPr>
        <w:jc w:val="left"/>
        <w:rPr>
          <w:rFonts w:ascii="Arial" w:hAnsi="Arial" w:cs="Arial"/>
          <w:b/>
          <w:sz w:val="22"/>
          <w:szCs w:val="22"/>
        </w:rPr>
      </w:pPr>
      <w:r w:rsidRPr="00FC395F">
        <w:rPr>
          <w:rFonts w:ascii="Arial" w:hAnsi="Arial" w:cs="Arial"/>
          <w:sz w:val="22"/>
          <w:szCs w:val="22"/>
        </w:rPr>
        <w:t>A treatment approach, that focuses on and helps develop the Service User’s strengths.  This approach combines both provision of direct services and treatment, along with helping people define or priorities their needs, navigate the system and link into community resources.</w:t>
      </w:r>
    </w:p>
    <w:p w14:paraId="65DB3144" w14:textId="77777777" w:rsidR="00635B27" w:rsidRPr="00FC395F" w:rsidRDefault="00635B27" w:rsidP="00635B27">
      <w:pPr>
        <w:spacing w:before="120"/>
        <w:jc w:val="left"/>
        <w:rPr>
          <w:rFonts w:ascii="Arial" w:hAnsi="Arial" w:cs="Arial"/>
          <w:sz w:val="22"/>
          <w:szCs w:val="22"/>
        </w:rPr>
      </w:pPr>
      <w:r w:rsidRPr="00FC395F">
        <w:rPr>
          <w:rFonts w:ascii="Arial" w:hAnsi="Arial" w:cs="Arial"/>
          <w:b/>
          <w:sz w:val="22"/>
          <w:szCs w:val="22"/>
        </w:rPr>
        <w:t>Talking Therapies</w:t>
      </w:r>
      <w:r w:rsidRPr="00FC395F">
        <w:rPr>
          <w:rFonts w:ascii="Arial" w:hAnsi="Arial" w:cs="Arial"/>
          <w:sz w:val="22"/>
          <w:szCs w:val="22"/>
        </w:rPr>
        <w:t xml:space="preserve"> </w:t>
      </w:r>
    </w:p>
    <w:p w14:paraId="24FDEE53" w14:textId="77777777" w:rsidR="00635B27" w:rsidRPr="00FC395F" w:rsidRDefault="00635B27" w:rsidP="00635B27">
      <w:pPr>
        <w:spacing w:after="120"/>
        <w:jc w:val="left"/>
        <w:rPr>
          <w:rFonts w:ascii="Arial" w:hAnsi="Arial" w:cs="Arial"/>
          <w:sz w:val="22"/>
          <w:szCs w:val="22"/>
        </w:rPr>
      </w:pPr>
      <w:r w:rsidRPr="00FC395F">
        <w:rPr>
          <w:rFonts w:ascii="Arial" w:hAnsi="Arial" w:cs="Arial"/>
          <w:sz w:val="22"/>
          <w:szCs w:val="22"/>
        </w:rPr>
        <w:t xml:space="preserve">Talking therapies involve people taking about their problems or issues with trained therapists.  They encompass a wide range of psychological and behavioural therapies, including behavioural therapy, cognitive therapy and other types of counselling.  </w:t>
      </w:r>
    </w:p>
    <w:p w14:paraId="3CAC99DA" w14:textId="77777777" w:rsidR="00635B27" w:rsidRPr="00FC395F" w:rsidRDefault="00635B27" w:rsidP="00635B27">
      <w:pPr>
        <w:spacing w:before="120"/>
        <w:jc w:val="left"/>
        <w:rPr>
          <w:rFonts w:ascii="Arial" w:hAnsi="Arial" w:cs="Arial"/>
          <w:sz w:val="22"/>
          <w:szCs w:val="22"/>
        </w:rPr>
      </w:pPr>
      <w:proofErr w:type="spellStart"/>
      <w:r w:rsidRPr="00FC395F">
        <w:rPr>
          <w:rFonts w:ascii="Arial" w:hAnsi="Arial" w:cs="Arial"/>
          <w:b/>
          <w:sz w:val="22"/>
          <w:szCs w:val="22"/>
        </w:rPr>
        <w:t>Whanāu</w:t>
      </w:r>
      <w:proofErr w:type="spellEnd"/>
      <w:r w:rsidRPr="00FC395F">
        <w:rPr>
          <w:rFonts w:ascii="Arial" w:hAnsi="Arial" w:cs="Arial"/>
          <w:b/>
          <w:sz w:val="22"/>
          <w:szCs w:val="22"/>
        </w:rPr>
        <w:t xml:space="preserve"> </w:t>
      </w:r>
    </w:p>
    <w:p w14:paraId="449726C6"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 xml:space="preserve">Kuia, </w:t>
      </w:r>
      <w:proofErr w:type="spellStart"/>
      <w:r w:rsidRPr="00FC395F">
        <w:rPr>
          <w:rFonts w:ascii="Arial" w:hAnsi="Arial" w:cs="Arial"/>
          <w:sz w:val="22"/>
          <w:szCs w:val="22"/>
        </w:rPr>
        <w:t>koroua</w:t>
      </w:r>
      <w:proofErr w:type="spellEnd"/>
      <w:r w:rsidRPr="00FC395F">
        <w:rPr>
          <w:rFonts w:ascii="Arial" w:hAnsi="Arial" w:cs="Arial"/>
          <w:sz w:val="22"/>
          <w:szCs w:val="22"/>
        </w:rPr>
        <w:t xml:space="preserve">, </w:t>
      </w:r>
      <w:proofErr w:type="spellStart"/>
      <w:r w:rsidRPr="00FC395F">
        <w:rPr>
          <w:rFonts w:ascii="Arial" w:hAnsi="Arial" w:cs="Arial"/>
          <w:sz w:val="22"/>
          <w:szCs w:val="22"/>
        </w:rPr>
        <w:t>pakeke</w:t>
      </w:r>
      <w:proofErr w:type="spellEnd"/>
      <w:r w:rsidRPr="00FC395F">
        <w:rPr>
          <w:rFonts w:ascii="Arial" w:hAnsi="Arial" w:cs="Arial"/>
          <w:sz w:val="22"/>
          <w:szCs w:val="22"/>
        </w:rPr>
        <w:t xml:space="preserve">, </w:t>
      </w:r>
      <w:proofErr w:type="spellStart"/>
      <w:r w:rsidRPr="00FC395F">
        <w:rPr>
          <w:rFonts w:ascii="Arial" w:hAnsi="Arial" w:cs="Arial"/>
          <w:sz w:val="22"/>
          <w:szCs w:val="22"/>
        </w:rPr>
        <w:t>rangatahi</w:t>
      </w:r>
      <w:proofErr w:type="spellEnd"/>
      <w:r w:rsidRPr="00FC395F">
        <w:rPr>
          <w:rFonts w:ascii="Arial" w:hAnsi="Arial" w:cs="Arial"/>
          <w:sz w:val="22"/>
          <w:szCs w:val="22"/>
        </w:rPr>
        <w:t xml:space="preserve">, </w:t>
      </w:r>
      <w:proofErr w:type="spellStart"/>
      <w:r w:rsidRPr="00FC395F">
        <w:rPr>
          <w:rFonts w:ascii="Arial" w:hAnsi="Arial" w:cs="Arial"/>
          <w:sz w:val="22"/>
          <w:szCs w:val="22"/>
        </w:rPr>
        <w:t>tamariki</w:t>
      </w:r>
      <w:proofErr w:type="spellEnd"/>
      <w:r w:rsidRPr="00FC395F">
        <w:rPr>
          <w:rFonts w:ascii="Arial" w:hAnsi="Arial" w:cs="Arial"/>
          <w:sz w:val="22"/>
          <w:szCs w:val="22"/>
        </w:rPr>
        <w:t xml:space="preserve">.  The use of the term in this document is not limited to traditional definitions, but recognises the wide diversity of families represented within Māori communities. </w:t>
      </w:r>
    </w:p>
    <w:p w14:paraId="75B746F4" w14:textId="77777777" w:rsidR="00635B27" w:rsidRPr="00FC395F" w:rsidRDefault="00635B27" w:rsidP="00635B27">
      <w:pPr>
        <w:spacing w:before="120"/>
        <w:jc w:val="left"/>
        <w:rPr>
          <w:rFonts w:ascii="Arial" w:hAnsi="Arial" w:cs="Arial"/>
          <w:sz w:val="22"/>
          <w:szCs w:val="22"/>
        </w:rPr>
      </w:pPr>
      <w:proofErr w:type="spellStart"/>
      <w:r w:rsidRPr="00FC395F">
        <w:rPr>
          <w:rFonts w:ascii="Arial" w:hAnsi="Arial" w:cs="Arial"/>
          <w:b/>
          <w:sz w:val="22"/>
          <w:szCs w:val="22"/>
        </w:rPr>
        <w:t>Whanāu</w:t>
      </w:r>
      <w:proofErr w:type="spellEnd"/>
      <w:r w:rsidRPr="00FC395F">
        <w:rPr>
          <w:rFonts w:ascii="Arial" w:hAnsi="Arial" w:cs="Arial"/>
          <w:b/>
          <w:sz w:val="22"/>
          <w:szCs w:val="22"/>
        </w:rPr>
        <w:t xml:space="preserve"> Ora</w:t>
      </w:r>
      <w:r w:rsidRPr="00FC395F">
        <w:rPr>
          <w:rFonts w:ascii="Arial" w:hAnsi="Arial" w:cs="Arial"/>
          <w:sz w:val="22"/>
          <w:szCs w:val="22"/>
        </w:rPr>
        <w:t xml:space="preserve"> </w:t>
      </w:r>
    </w:p>
    <w:p w14:paraId="1329F45B" w14:textId="77777777" w:rsidR="00635B27" w:rsidRPr="00FC395F" w:rsidRDefault="00635B27" w:rsidP="00635B27">
      <w:pPr>
        <w:jc w:val="left"/>
        <w:rPr>
          <w:rFonts w:ascii="Arial" w:hAnsi="Arial" w:cs="Arial"/>
          <w:sz w:val="22"/>
          <w:szCs w:val="22"/>
        </w:rPr>
      </w:pPr>
      <w:r w:rsidRPr="00FC395F">
        <w:rPr>
          <w:rFonts w:ascii="Arial" w:hAnsi="Arial" w:cs="Arial"/>
          <w:sz w:val="22"/>
          <w:szCs w:val="22"/>
        </w:rPr>
        <w:t>Māori families achieving their maximum health and wellbeing, and provides an overarching principle for recovery and maintaining wellness.</w:t>
      </w:r>
    </w:p>
    <w:p w14:paraId="1E392B1A" w14:textId="51AA8352" w:rsidR="00635B27" w:rsidRPr="00251647" w:rsidRDefault="00635B27" w:rsidP="00251647">
      <w:pPr>
        <w:pStyle w:val="Title"/>
        <w:jc w:val="left"/>
        <w:rPr>
          <w:rFonts w:ascii="Arial" w:hAnsi="Arial" w:cs="Arial"/>
          <w:sz w:val="10"/>
        </w:rPr>
      </w:pPr>
    </w:p>
    <w:sectPr w:rsidR="00635B27" w:rsidRPr="00251647" w:rsidSect="00E74B78">
      <w:footerReference w:type="even" r:id="rId10"/>
      <w:footerReference w:type="default" r:id="rId11"/>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B484" w14:textId="77777777" w:rsidR="00BF6D44" w:rsidRDefault="00BF6D44">
      <w:r>
        <w:separator/>
      </w:r>
    </w:p>
  </w:endnote>
  <w:endnote w:type="continuationSeparator" w:id="0">
    <w:p w14:paraId="09EF2646" w14:textId="77777777" w:rsidR="00BF6D44" w:rsidRDefault="00BF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9133" w14:textId="77777777" w:rsidR="00B749FC" w:rsidRDefault="00B749FC" w:rsidP="000A2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1345C" w14:textId="77777777" w:rsidR="00B749FC" w:rsidRDefault="00B749FC" w:rsidP="000A2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A290" w14:textId="77777777" w:rsidR="00B749FC" w:rsidRDefault="00B749FC" w:rsidP="000A2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34F">
      <w:rPr>
        <w:rStyle w:val="PageNumber"/>
        <w:noProof/>
      </w:rPr>
      <w:t>17</w:t>
    </w:r>
    <w:r>
      <w:rPr>
        <w:rStyle w:val="PageNumber"/>
      </w:rPr>
      <w:fldChar w:fldCharType="end"/>
    </w:r>
  </w:p>
  <w:p w14:paraId="1A741CC5" w14:textId="7BD8A30C" w:rsidR="00B749FC" w:rsidRDefault="00B749FC" w:rsidP="003B2D1D">
    <w:pPr>
      <w:pStyle w:val="Header"/>
      <w:pBdr>
        <w:top w:val="single" w:sz="4" w:space="1" w:color="auto"/>
      </w:pBdr>
      <w:tabs>
        <w:tab w:val="clear" w:pos="4153"/>
        <w:tab w:val="clear" w:pos="8306"/>
        <w:tab w:val="center" w:pos="7371"/>
      </w:tabs>
      <w:ind w:right="360"/>
      <w:rPr>
        <w:sz w:val="18"/>
      </w:rPr>
    </w:pPr>
    <w:r>
      <w:rPr>
        <w:sz w:val="18"/>
      </w:rPr>
      <w:t>Mental Health and Addiction Specialist Services tier one service specification April 2017</w:t>
    </w:r>
  </w:p>
  <w:p w14:paraId="73807CB7" w14:textId="77777777" w:rsidR="00B749FC" w:rsidRDefault="00B749FC" w:rsidP="000A2BB7">
    <w:pPr>
      <w:pStyle w:val="Header"/>
      <w:tabs>
        <w:tab w:val="clear" w:pos="4153"/>
        <w:tab w:val="clear" w:pos="8306"/>
        <w:tab w:val="center" w:pos="7371"/>
      </w:tabs>
      <w:rPr>
        <w:rStyle w:val="PageNumber"/>
        <w:b/>
        <w:bCs/>
        <w:sz w:val="18"/>
      </w:rPr>
    </w:pPr>
    <w:r>
      <w:rPr>
        <w:sz w:val="18"/>
      </w:rPr>
      <w:t xml:space="preserve">Nationwide Service Framework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FD86" w14:textId="77777777" w:rsidR="00BF6D44" w:rsidRDefault="00BF6D44">
      <w:r>
        <w:separator/>
      </w:r>
    </w:p>
  </w:footnote>
  <w:footnote w:type="continuationSeparator" w:id="0">
    <w:p w14:paraId="77FB7244" w14:textId="77777777" w:rsidR="00BF6D44" w:rsidRDefault="00BF6D44">
      <w:r>
        <w:continuationSeparator/>
      </w:r>
    </w:p>
  </w:footnote>
  <w:footnote w:id="1">
    <w:p w14:paraId="37E1FA8A" w14:textId="143AE033" w:rsidR="00B749FC" w:rsidRDefault="00B749FC">
      <w:pPr>
        <w:pStyle w:val="FootnoteText"/>
      </w:pPr>
      <w:r>
        <w:rPr>
          <w:rStyle w:val="FootnoteReference"/>
        </w:rPr>
        <w:footnoteRef/>
      </w:r>
      <w:r>
        <w:t xml:space="preserve"> </w:t>
      </w:r>
      <w:r w:rsidRPr="00FA5628">
        <w:t>http://www.health.govt.nz/publication/rising-challenge-mental-health-and-addiction-service-development-plan-2012-2017</w:t>
      </w:r>
    </w:p>
  </w:footnote>
  <w:footnote w:id="2">
    <w:p w14:paraId="133C14EB" w14:textId="3F885637" w:rsidR="00B749FC" w:rsidRDefault="00B749FC" w:rsidP="001153DF">
      <w:pPr>
        <w:spacing w:before="120" w:after="120"/>
        <w:jc w:val="left"/>
      </w:pPr>
      <w:r>
        <w:rPr>
          <w:rStyle w:val="FootnoteReference"/>
        </w:rPr>
        <w:footnoteRef/>
      </w:r>
      <w:r>
        <w:t xml:space="preserve"> </w:t>
      </w:r>
      <w:r w:rsidRPr="00E74B78">
        <w:rPr>
          <w:rFonts w:ascii="Arial" w:hAnsi="Arial" w:cs="Arial"/>
          <w:sz w:val="20"/>
          <w:szCs w:val="20"/>
        </w:rPr>
        <w:t xml:space="preserve">Not all patients who are referred or present to the Service are eligible for publicly funded services.  Refer to </w:t>
      </w:r>
      <w:hyperlink r:id="rId1" w:history="1">
        <w:r w:rsidRPr="00E74B78">
          <w:rPr>
            <w:rStyle w:val="Hyperlink"/>
            <w:rFonts w:cs="Arial"/>
            <w:sz w:val="20"/>
            <w:szCs w:val="20"/>
            <w:lang w:val="en-NZ"/>
          </w:rPr>
          <w:t>www.moh.govt.nz/eligibility</w:t>
        </w:r>
      </w:hyperlink>
      <w:r w:rsidRPr="00E74B78">
        <w:rPr>
          <w:rFonts w:ascii="Arial" w:hAnsi="Arial" w:cs="Arial"/>
          <w:sz w:val="20"/>
          <w:szCs w:val="20"/>
        </w:rPr>
        <w:t xml:space="preserve"> for more eligibility information.</w:t>
      </w:r>
    </w:p>
  </w:footnote>
  <w:footnote w:id="3">
    <w:p w14:paraId="27AC3AFA" w14:textId="0958EF7E" w:rsidR="00B749FC" w:rsidRDefault="00B749FC">
      <w:pPr>
        <w:pStyle w:val="FootnoteText"/>
      </w:pPr>
      <w:r>
        <w:rPr>
          <w:rStyle w:val="FootnoteReference"/>
        </w:rPr>
        <w:footnoteRef/>
      </w:r>
      <w:r>
        <w:t xml:space="preserve"> </w:t>
      </w:r>
      <w:hyperlink r:id="rId2" w:history="1">
        <w:r w:rsidRPr="00481976">
          <w:rPr>
            <w:rStyle w:val="Hyperlink"/>
            <w:rFonts w:ascii="Arial Mäori" w:hAnsi="Arial Mäori"/>
            <w:lang w:val="en-NZ"/>
          </w:rPr>
          <w:t>www.ndi.org.nz/index.php?q=content/welcome</w:t>
        </w:r>
      </w:hyperlink>
    </w:p>
  </w:footnote>
  <w:footnote w:id="4">
    <w:p w14:paraId="3482BA45" w14:textId="44CB62C0" w:rsidR="00B749FC" w:rsidRDefault="00B749FC">
      <w:pPr>
        <w:pStyle w:val="FootnoteText"/>
      </w:pPr>
      <w:r>
        <w:rPr>
          <w:rStyle w:val="FootnoteReference"/>
        </w:rPr>
        <w:footnoteRef/>
      </w:r>
      <w:r w:rsidR="00481976">
        <w:t xml:space="preserve"> </w:t>
      </w:r>
      <w:hyperlink r:id="rId3" w:history="1">
        <w:r w:rsidRPr="00481976">
          <w:rPr>
            <w:rStyle w:val="Hyperlink"/>
            <w:rFonts w:ascii="Arial Mäori" w:hAnsi="Arial Mäori"/>
            <w:lang w:val="en-NZ"/>
          </w:rPr>
          <w:t>www.likeminds.org.nz/</w:t>
        </w:r>
      </w:hyperlink>
    </w:p>
  </w:footnote>
  <w:footnote w:id="5">
    <w:p w14:paraId="7663427F" w14:textId="48F0A144" w:rsidR="00B749FC" w:rsidRDefault="00B749FC">
      <w:pPr>
        <w:pStyle w:val="FootnoteText"/>
      </w:pPr>
      <w:r>
        <w:rPr>
          <w:rStyle w:val="FootnoteReference"/>
        </w:rPr>
        <w:footnoteRef/>
      </w:r>
      <w:r w:rsidRPr="00E74B78">
        <w:rPr>
          <w:rFonts w:ascii="Arial" w:hAnsi="Arial" w:cs="Arial"/>
        </w:rPr>
        <w:t xml:space="preserve"> </w:t>
      </w:r>
      <w:hyperlink r:id="rId4" w:history="1">
        <w:r w:rsidRPr="00E74B78">
          <w:rPr>
            <w:rStyle w:val="Hyperlink"/>
            <w:rFonts w:cs="Arial"/>
            <w:lang w:val="en-NZ"/>
          </w:rPr>
          <w:t>www.nsfl.health.govt.nz/accountability/operational-policy-framework-0</w:t>
        </w:r>
      </w:hyperlink>
    </w:p>
  </w:footnote>
  <w:footnote w:id="6">
    <w:p w14:paraId="030BB5DF" w14:textId="24148C88" w:rsidR="00B749FC" w:rsidRDefault="00B749FC">
      <w:pPr>
        <w:pStyle w:val="FootnoteText"/>
      </w:pPr>
      <w:r>
        <w:rPr>
          <w:rStyle w:val="FootnoteReference"/>
        </w:rPr>
        <w:footnoteRef/>
      </w:r>
      <w:r>
        <w:rPr>
          <w:rFonts w:ascii="Arial" w:hAnsi="Arial" w:cs="Arial"/>
        </w:rPr>
        <w:t xml:space="preserve"> </w:t>
      </w:r>
      <w:r w:rsidRPr="00E74B78">
        <w:rPr>
          <w:rFonts w:ascii="Arial" w:hAnsi="Arial" w:cs="Arial"/>
        </w:rPr>
        <w:t xml:space="preserve">Health and Disability Services Standards: </w:t>
      </w:r>
      <w:hyperlink r:id="rId5" w:history="1">
        <w:r w:rsidRPr="00E74B78">
          <w:rPr>
            <w:rStyle w:val="Hyperlink"/>
            <w:rFonts w:cs="Arial"/>
            <w:lang w:val="en-NZ"/>
          </w:rPr>
          <w:t>www.health.govt.nz/our-work/regulation-health-and-disability-system/certification-health-care-services/health-and-disability-services-standards</w:t>
        </w:r>
      </w:hyperlink>
    </w:p>
  </w:footnote>
  <w:footnote w:id="7">
    <w:p w14:paraId="4E026024" w14:textId="26976026" w:rsidR="00B749FC" w:rsidRPr="00ED267A" w:rsidRDefault="00B749FC" w:rsidP="00E21E84">
      <w:pPr>
        <w:tabs>
          <w:tab w:val="left" w:pos="284"/>
        </w:tabs>
        <w:rPr>
          <w:sz w:val="18"/>
          <w:szCs w:val="18"/>
        </w:rPr>
      </w:pPr>
      <w:r>
        <w:rPr>
          <w:rStyle w:val="FootnoteReference"/>
        </w:rPr>
        <w:footnoteRef/>
      </w:r>
      <w:r>
        <w:t xml:space="preserve"> </w:t>
      </w:r>
      <w:hyperlink r:id="rId6" w:history="1">
        <w:r w:rsidRPr="00E21E84">
          <w:rPr>
            <w:rStyle w:val="Hyperlink"/>
            <w:rFonts w:cs="Arial"/>
            <w:sz w:val="18"/>
            <w:szCs w:val="18"/>
            <w:lang w:val="en-NZ"/>
          </w:rPr>
          <w:t>www.nsfl.health.govt.nz/service-specifications/current-service-specifications/mental-health-and-addiction-services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F87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20B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7C8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4E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CC0C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DCF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091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664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65C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A466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419A"/>
    <w:multiLevelType w:val="hybridMultilevel"/>
    <w:tmpl w:val="EB6AF27C"/>
    <w:lvl w:ilvl="0" w:tplc="04090001">
      <w:start w:val="1"/>
      <w:numFmt w:val="bullet"/>
      <w:lvlText w:val=""/>
      <w:lvlJc w:val="left"/>
      <w:pPr>
        <w:tabs>
          <w:tab w:val="num" w:pos="720"/>
        </w:tabs>
        <w:ind w:left="720" w:hanging="360"/>
      </w:pPr>
      <w:rPr>
        <w:rFonts w:ascii="Symbol" w:hAnsi="Symbol" w:hint="default"/>
      </w:rPr>
    </w:lvl>
    <w:lvl w:ilvl="1" w:tplc="988EF68E">
      <w:start w:val="1"/>
      <w:numFmt w:val="bullet"/>
      <w:lvlText w:val="­"/>
      <w:lvlJc w:val="left"/>
      <w:pPr>
        <w:tabs>
          <w:tab w:val="num" w:pos="1440"/>
        </w:tabs>
        <w:ind w:left="1440" w:hanging="360"/>
      </w:pPr>
      <w:rPr>
        <w:rFonts w:ascii="Courier New" w:hAnsi="Courier New"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5233E2"/>
    <w:multiLevelType w:val="hybridMultilevel"/>
    <w:tmpl w:val="2FA67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D1581"/>
    <w:multiLevelType w:val="hybridMultilevel"/>
    <w:tmpl w:val="C7BE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color w:val="auto"/>
        <w:sz w:val="16"/>
        <w:szCs w:val="16"/>
      </w:rPr>
    </w:lvl>
  </w:abstractNum>
  <w:abstractNum w:abstractNumId="14" w15:restartNumberingAfterBreak="0">
    <w:nsid w:val="08D16185"/>
    <w:multiLevelType w:val="multilevel"/>
    <w:tmpl w:val="3F609E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FD4CFA"/>
    <w:multiLevelType w:val="hybridMultilevel"/>
    <w:tmpl w:val="C7C4471C"/>
    <w:lvl w:ilvl="0" w:tplc="04090001">
      <w:start w:val="1"/>
      <w:numFmt w:val="bullet"/>
      <w:lvlText w:val=""/>
      <w:lvlJc w:val="left"/>
      <w:pPr>
        <w:tabs>
          <w:tab w:val="num" w:pos="720"/>
        </w:tabs>
        <w:ind w:left="720" w:hanging="360"/>
      </w:pPr>
      <w:rPr>
        <w:rFonts w:ascii="Symbol" w:hAnsi="Symbol" w:hint="default"/>
      </w:rPr>
    </w:lvl>
    <w:lvl w:ilvl="1" w:tplc="1F509EEA">
      <w:start w:val="3"/>
      <w:numFmt w:val="bullet"/>
      <w:lvlText w:val="–"/>
      <w:lvlJc w:val="left"/>
      <w:pPr>
        <w:tabs>
          <w:tab w:val="num" w:pos="1650"/>
        </w:tabs>
        <w:ind w:left="1650" w:hanging="570"/>
      </w:pPr>
      <w:rPr>
        <w:rFonts w:ascii="Arial Mäori" w:eastAsia="Times New Roman" w:hAnsi="Arial Mäori" w:cs="Times New Roman"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7E3AB5"/>
    <w:multiLevelType w:val="hybridMultilevel"/>
    <w:tmpl w:val="40789E98"/>
    <w:lvl w:ilvl="0" w:tplc="37D8A93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0F281F58"/>
    <w:multiLevelType w:val="hybridMultilevel"/>
    <w:tmpl w:val="3B021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AC71BC"/>
    <w:multiLevelType w:val="hybridMultilevel"/>
    <w:tmpl w:val="0E3697DA"/>
    <w:lvl w:ilvl="0" w:tplc="4CDE6D6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635817"/>
    <w:multiLevelType w:val="hybridMultilevel"/>
    <w:tmpl w:val="6FEE7A76"/>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07EEB"/>
    <w:multiLevelType w:val="multilevel"/>
    <w:tmpl w:val="C970873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257A97"/>
    <w:multiLevelType w:val="hybridMultilevel"/>
    <w:tmpl w:val="4F70EBB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40587B"/>
    <w:multiLevelType w:val="multilevel"/>
    <w:tmpl w:val="547442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5A320E"/>
    <w:multiLevelType w:val="hybridMultilevel"/>
    <w:tmpl w:val="EB70E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C8368B"/>
    <w:multiLevelType w:val="hybridMultilevel"/>
    <w:tmpl w:val="5FDCD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9391F64"/>
    <w:multiLevelType w:val="hybridMultilevel"/>
    <w:tmpl w:val="D8DAAD30"/>
    <w:lvl w:ilvl="0" w:tplc="FB7A2208">
      <w:start w:val="1"/>
      <w:numFmt w:val="bullet"/>
      <w:lvlText w:val=""/>
      <w:lvlJc w:val="left"/>
      <w:pPr>
        <w:tabs>
          <w:tab w:val="num" w:pos="1102"/>
        </w:tabs>
        <w:ind w:left="1102" w:hanging="360"/>
      </w:pPr>
      <w:rPr>
        <w:rFonts w:ascii="Symbol" w:hAnsi="Symbol" w:hint="default"/>
      </w:rPr>
    </w:lvl>
    <w:lvl w:ilvl="1" w:tplc="04090003" w:tentative="1">
      <w:start w:val="1"/>
      <w:numFmt w:val="bullet"/>
      <w:lvlText w:val="o"/>
      <w:lvlJc w:val="left"/>
      <w:pPr>
        <w:tabs>
          <w:tab w:val="num" w:pos="2182"/>
        </w:tabs>
        <w:ind w:left="2182" w:hanging="360"/>
      </w:pPr>
      <w:rPr>
        <w:rFonts w:ascii="Courier New" w:hAnsi="Courier New" w:cs="Courier New" w:hint="default"/>
      </w:rPr>
    </w:lvl>
    <w:lvl w:ilvl="2" w:tplc="04090005" w:tentative="1">
      <w:start w:val="1"/>
      <w:numFmt w:val="bullet"/>
      <w:lvlText w:val=""/>
      <w:lvlJc w:val="left"/>
      <w:pPr>
        <w:tabs>
          <w:tab w:val="num" w:pos="2902"/>
        </w:tabs>
        <w:ind w:left="2902" w:hanging="360"/>
      </w:pPr>
      <w:rPr>
        <w:rFonts w:ascii="Wingdings" w:hAnsi="Wingdings" w:hint="default"/>
      </w:rPr>
    </w:lvl>
    <w:lvl w:ilvl="3" w:tplc="04090001" w:tentative="1">
      <w:start w:val="1"/>
      <w:numFmt w:val="bullet"/>
      <w:lvlText w:val=""/>
      <w:lvlJc w:val="left"/>
      <w:pPr>
        <w:tabs>
          <w:tab w:val="num" w:pos="3622"/>
        </w:tabs>
        <w:ind w:left="3622" w:hanging="360"/>
      </w:pPr>
      <w:rPr>
        <w:rFonts w:ascii="Symbol" w:hAnsi="Symbol" w:hint="default"/>
      </w:rPr>
    </w:lvl>
    <w:lvl w:ilvl="4" w:tplc="04090003" w:tentative="1">
      <w:start w:val="1"/>
      <w:numFmt w:val="bullet"/>
      <w:lvlText w:val="o"/>
      <w:lvlJc w:val="left"/>
      <w:pPr>
        <w:tabs>
          <w:tab w:val="num" w:pos="4342"/>
        </w:tabs>
        <w:ind w:left="4342" w:hanging="360"/>
      </w:pPr>
      <w:rPr>
        <w:rFonts w:ascii="Courier New" w:hAnsi="Courier New" w:cs="Courier New" w:hint="default"/>
      </w:rPr>
    </w:lvl>
    <w:lvl w:ilvl="5" w:tplc="04090005" w:tentative="1">
      <w:start w:val="1"/>
      <w:numFmt w:val="bullet"/>
      <w:lvlText w:val=""/>
      <w:lvlJc w:val="left"/>
      <w:pPr>
        <w:tabs>
          <w:tab w:val="num" w:pos="5062"/>
        </w:tabs>
        <w:ind w:left="5062" w:hanging="360"/>
      </w:pPr>
      <w:rPr>
        <w:rFonts w:ascii="Wingdings" w:hAnsi="Wingdings" w:hint="default"/>
      </w:rPr>
    </w:lvl>
    <w:lvl w:ilvl="6" w:tplc="04090001" w:tentative="1">
      <w:start w:val="1"/>
      <w:numFmt w:val="bullet"/>
      <w:lvlText w:val=""/>
      <w:lvlJc w:val="left"/>
      <w:pPr>
        <w:tabs>
          <w:tab w:val="num" w:pos="5782"/>
        </w:tabs>
        <w:ind w:left="5782" w:hanging="360"/>
      </w:pPr>
      <w:rPr>
        <w:rFonts w:ascii="Symbol" w:hAnsi="Symbol" w:hint="default"/>
      </w:rPr>
    </w:lvl>
    <w:lvl w:ilvl="7" w:tplc="04090003" w:tentative="1">
      <w:start w:val="1"/>
      <w:numFmt w:val="bullet"/>
      <w:lvlText w:val="o"/>
      <w:lvlJc w:val="left"/>
      <w:pPr>
        <w:tabs>
          <w:tab w:val="num" w:pos="6502"/>
        </w:tabs>
        <w:ind w:left="6502" w:hanging="360"/>
      </w:pPr>
      <w:rPr>
        <w:rFonts w:ascii="Courier New" w:hAnsi="Courier New" w:cs="Courier New" w:hint="default"/>
      </w:rPr>
    </w:lvl>
    <w:lvl w:ilvl="8" w:tplc="04090005" w:tentative="1">
      <w:start w:val="1"/>
      <w:numFmt w:val="bullet"/>
      <w:lvlText w:val=""/>
      <w:lvlJc w:val="left"/>
      <w:pPr>
        <w:tabs>
          <w:tab w:val="num" w:pos="7222"/>
        </w:tabs>
        <w:ind w:left="7222" w:hanging="360"/>
      </w:pPr>
      <w:rPr>
        <w:rFonts w:ascii="Wingdings" w:hAnsi="Wingdings" w:hint="default"/>
      </w:rPr>
    </w:lvl>
  </w:abstractNum>
  <w:abstractNum w:abstractNumId="26" w15:restartNumberingAfterBreak="0">
    <w:nsid w:val="2FE21D97"/>
    <w:multiLevelType w:val="hybridMultilevel"/>
    <w:tmpl w:val="CC5697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304F7F89"/>
    <w:multiLevelType w:val="multilevel"/>
    <w:tmpl w:val="3F609E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EB372A"/>
    <w:multiLevelType w:val="hybridMultilevel"/>
    <w:tmpl w:val="0B120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88D35F7"/>
    <w:multiLevelType w:val="hybridMultilevel"/>
    <w:tmpl w:val="AA50733C"/>
    <w:lvl w:ilvl="0" w:tplc="FFFFFFFF">
      <w:start w:val="1"/>
      <w:numFmt w:val="bullet"/>
      <w:lvlText w:val=""/>
      <w:lvlJc w:val="left"/>
      <w:pPr>
        <w:tabs>
          <w:tab w:val="num" w:pos="1080"/>
        </w:tabs>
        <w:ind w:left="1080" w:hanging="360"/>
      </w:pPr>
      <w:rPr>
        <w:rFonts w:ascii="Symbol" w:hAnsi="Symbol" w:hint="default"/>
      </w:rPr>
    </w:lvl>
    <w:lvl w:ilvl="1" w:tplc="5942BE76">
      <w:start w:val="1"/>
      <w:numFmt w:val="decimal"/>
      <w:lvlText w:val="%2)"/>
      <w:lvlJc w:val="left"/>
      <w:pPr>
        <w:tabs>
          <w:tab w:val="num" w:pos="2007"/>
        </w:tabs>
        <w:ind w:left="2007" w:hanging="567"/>
      </w:pPr>
      <w:rPr>
        <w:rFonts w:ascii="Arial Mäori" w:hAnsi="Arial Mäori" w:hint="default"/>
        <w:sz w:val="18"/>
      </w:rPr>
    </w:lvl>
    <w:lvl w:ilvl="2" w:tplc="82CE9A72">
      <w:start w:val="1"/>
      <w:numFmt w:val="decimal"/>
      <w:lvlText w:val="%3."/>
      <w:lvlJc w:val="left"/>
      <w:pPr>
        <w:tabs>
          <w:tab w:val="num" w:pos="2520"/>
        </w:tabs>
        <w:ind w:left="2520" w:hanging="360"/>
      </w:pPr>
      <w:rPr>
        <w:rFonts w:hint="default"/>
      </w:rPr>
    </w:lvl>
    <w:lvl w:ilvl="3" w:tplc="63DEC582">
      <w:start w:val="4"/>
      <w:numFmt w:val="decimal"/>
      <w:lvlText w:val="%4"/>
      <w:lvlJc w:val="left"/>
      <w:pPr>
        <w:tabs>
          <w:tab w:val="num" w:pos="3240"/>
        </w:tabs>
        <w:ind w:left="3240" w:hanging="360"/>
      </w:pPr>
      <w:rPr>
        <w:rFonts w:hint="default"/>
      </w:rPr>
    </w:lvl>
    <w:lvl w:ilvl="4" w:tplc="554226B6">
      <w:numFmt w:val="bullet"/>
      <w:lvlText w:val="–"/>
      <w:lvlJc w:val="left"/>
      <w:pPr>
        <w:tabs>
          <w:tab w:val="num" w:pos="3960"/>
        </w:tabs>
        <w:ind w:left="3960" w:hanging="360"/>
      </w:pPr>
      <w:rPr>
        <w:rFonts w:ascii="Arial" w:eastAsia="Times New Roman" w:hAnsi="Arial"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9385304"/>
    <w:multiLevelType w:val="hybridMultilevel"/>
    <w:tmpl w:val="FC04EA18"/>
    <w:lvl w:ilvl="0" w:tplc="FB7A2208">
      <w:start w:val="1"/>
      <w:numFmt w:val="bullet"/>
      <w:lvlText w:val=""/>
      <w:lvlJc w:val="left"/>
      <w:pPr>
        <w:tabs>
          <w:tab w:val="num" w:pos="339"/>
        </w:tabs>
        <w:ind w:left="339" w:hanging="360"/>
      </w:pPr>
      <w:rPr>
        <w:rFonts w:ascii="Symbol" w:hAnsi="Symbol" w:hint="default"/>
      </w:rPr>
    </w:lvl>
    <w:lvl w:ilvl="1" w:tplc="04090003" w:tentative="1">
      <w:start w:val="1"/>
      <w:numFmt w:val="bullet"/>
      <w:lvlText w:val="o"/>
      <w:lvlJc w:val="left"/>
      <w:pPr>
        <w:tabs>
          <w:tab w:val="num" w:pos="1419"/>
        </w:tabs>
        <w:ind w:left="1419" w:hanging="360"/>
      </w:pPr>
      <w:rPr>
        <w:rFonts w:ascii="Courier New" w:hAnsi="Courier New" w:cs="Courier New" w:hint="default"/>
      </w:rPr>
    </w:lvl>
    <w:lvl w:ilvl="2" w:tplc="04090005" w:tentative="1">
      <w:start w:val="1"/>
      <w:numFmt w:val="bullet"/>
      <w:lvlText w:val=""/>
      <w:lvlJc w:val="left"/>
      <w:pPr>
        <w:tabs>
          <w:tab w:val="num" w:pos="2139"/>
        </w:tabs>
        <w:ind w:left="2139" w:hanging="360"/>
      </w:pPr>
      <w:rPr>
        <w:rFonts w:ascii="Wingdings" w:hAnsi="Wingdings" w:hint="default"/>
      </w:rPr>
    </w:lvl>
    <w:lvl w:ilvl="3" w:tplc="04090001" w:tentative="1">
      <w:start w:val="1"/>
      <w:numFmt w:val="bullet"/>
      <w:lvlText w:val=""/>
      <w:lvlJc w:val="left"/>
      <w:pPr>
        <w:tabs>
          <w:tab w:val="num" w:pos="2859"/>
        </w:tabs>
        <w:ind w:left="2859" w:hanging="360"/>
      </w:pPr>
      <w:rPr>
        <w:rFonts w:ascii="Symbol" w:hAnsi="Symbol" w:hint="default"/>
      </w:rPr>
    </w:lvl>
    <w:lvl w:ilvl="4" w:tplc="04090003" w:tentative="1">
      <w:start w:val="1"/>
      <w:numFmt w:val="bullet"/>
      <w:lvlText w:val="o"/>
      <w:lvlJc w:val="left"/>
      <w:pPr>
        <w:tabs>
          <w:tab w:val="num" w:pos="3579"/>
        </w:tabs>
        <w:ind w:left="3579" w:hanging="360"/>
      </w:pPr>
      <w:rPr>
        <w:rFonts w:ascii="Courier New" w:hAnsi="Courier New" w:cs="Courier New" w:hint="default"/>
      </w:rPr>
    </w:lvl>
    <w:lvl w:ilvl="5" w:tplc="04090005" w:tentative="1">
      <w:start w:val="1"/>
      <w:numFmt w:val="bullet"/>
      <w:lvlText w:val=""/>
      <w:lvlJc w:val="left"/>
      <w:pPr>
        <w:tabs>
          <w:tab w:val="num" w:pos="4299"/>
        </w:tabs>
        <w:ind w:left="4299" w:hanging="360"/>
      </w:pPr>
      <w:rPr>
        <w:rFonts w:ascii="Wingdings" w:hAnsi="Wingdings" w:hint="default"/>
      </w:rPr>
    </w:lvl>
    <w:lvl w:ilvl="6" w:tplc="04090001" w:tentative="1">
      <w:start w:val="1"/>
      <w:numFmt w:val="bullet"/>
      <w:lvlText w:val=""/>
      <w:lvlJc w:val="left"/>
      <w:pPr>
        <w:tabs>
          <w:tab w:val="num" w:pos="5019"/>
        </w:tabs>
        <w:ind w:left="5019" w:hanging="360"/>
      </w:pPr>
      <w:rPr>
        <w:rFonts w:ascii="Symbol" w:hAnsi="Symbol" w:hint="default"/>
      </w:rPr>
    </w:lvl>
    <w:lvl w:ilvl="7" w:tplc="04090003" w:tentative="1">
      <w:start w:val="1"/>
      <w:numFmt w:val="bullet"/>
      <w:lvlText w:val="o"/>
      <w:lvlJc w:val="left"/>
      <w:pPr>
        <w:tabs>
          <w:tab w:val="num" w:pos="5739"/>
        </w:tabs>
        <w:ind w:left="5739" w:hanging="360"/>
      </w:pPr>
      <w:rPr>
        <w:rFonts w:ascii="Courier New" w:hAnsi="Courier New" w:cs="Courier New" w:hint="default"/>
      </w:rPr>
    </w:lvl>
    <w:lvl w:ilvl="8" w:tplc="04090005" w:tentative="1">
      <w:start w:val="1"/>
      <w:numFmt w:val="bullet"/>
      <w:lvlText w:val=""/>
      <w:lvlJc w:val="left"/>
      <w:pPr>
        <w:tabs>
          <w:tab w:val="num" w:pos="6459"/>
        </w:tabs>
        <w:ind w:left="6459" w:hanging="360"/>
      </w:pPr>
      <w:rPr>
        <w:rFonts w:ascii="Wingdings" w:hAnsi="Wingdings" w:hint="default"/>
      </w:rPr>
    </w:lvl>
  </w:abstractNum>
  <w:abstractNum w:abstractNumId="31" w15:restartNumberingAfterBreak="0">
    <w:nsid w:val="39AF30A6"/>
    <w:multiLevelType w:val="hybridMultilevel"/>
    <w:tmpl w:val="199CDEC2"/>
    <w:lvl w:ilvl="0" w:tplc="A7D2AD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A8F4A14"/>
    <w:multiLevelType w:val="hybridMultilevel"/>
    <w:tmpl w:val="3F609E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2736A"/>
    <w:multiLevelType w:val="hybridMultilevel"/>
    <w:tmpl w:val="E0E8D9BE"/>
    <w:lvl w:ilvl="0" w:tplc="C452F67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676747"/>
    <w:multiLevelType w:val="hybridMultilevel"/>
    <w:tmpl w:val="802C7B0C"/>
    <w:lvl w:ilvl="0" w:tplc="04090001">
      <w:start w:val="1"/>
      <w:numFmt w:val="bullet"/>
      <w:lvlText w:val=""/>
      <w:lvlJc w:val="left"/>
      <w:pPr>
        <w:tabs>
          <w:tab w:val="num" w:pos="720"/>
        </w:tabs>
        <w:ind w:left="720" w:hanging="360"/>
      </w:pPr>
      <w:rPr>
        <w:rFonts w:ascii="Symbol" w:hAnsi="Symbol" w:hint="default"/>
      </w:rPr>
    </w:lvl>
    <w:lvl w:ilvl="1" w:tplc="FB2A4802">
      <w:start w:val="5"/>
      <w:numFmt w:val="bullet"/>
      <w:lvlText w:val="–"/>
      <w:lvlJc w:val="left"/>
      <w:pPr>
        <w:tabs>
          <w:tab w:val="num" w:pos="1620"/>
        </w:tabs>
        <w:ind w:left="1620" w:hanging="540"/>
      </w:pPr>
      <w:rPr>
        <w:rFonts w:ascii="Arial Mäori" w:eastAsia="Times New Roman" w:hAnsi="Arial Mäo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E73446"/>
    <w:multiLevelType w:val="hybridMultilevel"/>
    <w:tmpl w:val="46E65178"/>
    <w:lvl w:ilvl="0" w:tplc="04090001">
      <w:start w:val="1"/>
      <w:numFmt w:val="bullet"/>
      <w:lvlText w:val=""/>
      <w:lvlJc w:val="left"/>
      <w:pPr>
        <w:tabs>
          <w:tab w:val="num" w:pos="720"/>
        </w:tabs>
        <w:ind w:left="720" w:hanging="360"/>
      </w:pPr>
      <w:rPr>
        <w:rFonts w:ascii="Symbol" w:hAnsi="Symbol" w:hint="default"/>
      </w:rPr>
    </w:lvl>
    <w:lvl w:ilvl="1" w:tplc="988EF68E">
      <w:start w:val="1"/>
      <w:numFmt w:val="bullet"/>
      <w:lvlText w:val="­"/>
      <w:lvlJc w:val="left"/>
      <w:pPr>
        <w:tabs>
          <w:tab w:val="num" w:pos="1440"/>
        </w:tabs>
        <w:ind w:left="1440" w:hanging="360"/>
      </w:pPr>
      <w:rPr>
        <w:rFonts w:ascii="Courier New" w:hAnsi="Courier New"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AE6E8B"/>
    <w:multiLevelType w:val="hybridMultilevel"/>
    <w:tmpl w:val="05DAC5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E10517"/>
    <w:multiLevelType w:val="hybridMultilevel"/>
    <w:tmpl w:val="DAE64434"/>
    <w:lvl w:ilvl="0" w:tplc="988EF68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38" w15:restartNumberingAfterBreak="0">
    <w:nsid w:val="4E3341A3"/>
    <w:multiLevelType w:val="hybridMultilevel"/>
    <w:tmpl w:val="39E0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4D7181"/>
    <w:multiLevelType w:val="hybridMultilevel"/>
    <w:tmpl w:val="42984884"/>
    <w:lvl w:ilvl="0" w:tplc="A7D2AD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24D2140"/>
    <w:multiLevelType w:val="hybridMultilevel"/>
    <w:tmpl w:val="A70C0E26"/>
    <w:lvl w:ilvl="0" w:tplc="988EF68E">
      <w:start w:val="1"/>
      <w:numFmt w:val="bullet"/>
      <w:lvlText w:val="­"/>
      <w:lvlJc w:val="left"/>
      <w:pPr>
        <w:tabs>
          <w:tab w:val="num" w:pos="2300"/>
        </w:tabs>
        <w:ind w:left="2300" w:hanging="360"/>
      </w:pPr>
      <w:rPr>
        <w:rFonts w:ascii="Courier New" w:hAnsi="Courier New"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41" w15:restartNumberingAfterBreak="0">
    <w:nsid w:val="56FC3BE5"/>
    <w:multiLevelType w:val="hybridMultilevel"/>
    <w:tmpl w:val="854AD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C37656"/>
    <w:multiLevelType w:val="hybridMultilevel"/>
    <w:tmpl w:val="B48CF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3C2C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1CE73F5"/>
    <w:multiLevelType w:val="hybridMultilevel"/>
    <w:tmpl w:val="B256F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30740BD"/>
    <w:multiLevelType w:val="multilevel"/>
    <w:tmpl w:val="3F609E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A529E5"/>
    <w:multiLevelType w:val="hybridMultilevel"/>
    <w:tmpl w:val="FBF0D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C720CB"/>
    <w:multiLevelType w:val="hybridMultilevel"/>
    <w:tmpl w:val="913AF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96109C1"/>
    <w:multiLevelType w:val="hybridMultilevel"/>
    <w:tmpl w:val="CA28DAFE"/>
    <w:lvl w:ilvl="0" w:tplc="A7D2ADF2">
      <w:start w:val="1"/>
      <w:numFmt w:val="bullet"/>
      <w:lvlText w:val=""/>
      <w:lvlJc w:val="left"/>
      <w:pPr>
        <w:ind w:left="679" w:hanging="360"/>
      </w:pPr>
      <w:rPr>
        <w:rFonts w:ascii="Symbol" w:hAnsi="Symbol" w:hint="default"/>
      </w:rPr>
    </w:lvl>
    <w:lvl w:ilvl="1" w:tplc="14090003" w:tentative="1">
      <w:start w:val="1"/>
      <w:numFmt w:val="bullet"/>
      <w:lvlText w:val="o"/>
      <w:lvlJc w:val="left"/>
      <w:pPr>
        <w:ind w:left="1399" w:hanging="360"/>
      </w:pPr>
      <w:rPr>
        <w:rFonts w:ascii="Courier New" w:hAnsi="Courier New" w:cs="Courier New" w:hint="default"/>
      </w:rPr>
    </w:lvl>
    <w:lvl w:ilvl="2" w:tplc="14090005" w:tentative="1">
      <w:start w:val="1"/>
      <w:numFmt w:val="bullet"/>
      <w:lvlText w:val=""/>
      <w:lvlJc w:val="left"/>
      <w:pPr>
        <w:ind w:left="2119" w:hanging="360"/>
      </w:pPr>
      <w:rPr>
        <w:rFonts w:ascii="Wingdings" w:hAnsi="Wingdings" w:hint="default"/>
      </w:rPr>
    </w:lvl>
    <w:lvl w:ilvl="3" w:tplc="14090001" w:tentative="1">
      <w:start w:val="1"/>
      <w:numFmt w:val="bullet"/>
      <w:lvlText w:val=""/>
      <w:lvlJc w:val="left"/>
      <w:pPr>
        <w:ind w:left="2839" w:hanging="360"/>
      </w:pPr>
      <w:rPr>
        <w:rFonts w:ascii="Symbol" w:hAnsi="Symbol" w:hint="default"/>
      </w:rPr>
    </w:lvl>
    <w:lvl w:ilvl="4" w:tplc="14090003" w:tentative="1">
      <w:start w:val="1"/>
      <w:numFmt w:val="bullet"/>
      <w:lvlText w:val="o"/>
      <w:lvlJc w:val="left"/>
      <w:pPr>
        <w:ind w:left="3559" w:hanging="360"/>
      </w:pPr>
      <w:rPr>
        <w:rFonts w:ascii="Courier New" w:hAnsi="Courier New" w:cs="Courier New" w:hint="default"/>
      </w:rPr>
    </w:lvl>
    <w:lvl w:ilvl="5" w:tplc="14090005" w:tentative="1">
      <w:start w:val="1"/>
      <w:numFmt w:val="bullet"/>
      <w:lvlText w:val=""/>
      <w:lvlJc w:val="left"/>
      <w:pPr>
        <w:ind w:left="4279" w:hanging="360"/>
      </w:pPr>
      <w:rPr>
        <w:rFonts w:ascii="Wingdings" w:hAnsi="Wingdings" w:hint="default"/>
      </w:rPr>
    </w:lvl>
    <w:lvl w:ilvl="6" w:tplc="14090001" w:tentative="1">
      <w:start w:val="1"/>
      <w:numFmt w:val="bullet"/>
      <w:lvlText w:val=""/>
      <w:lvlJc w:val="left"/>
      <w:pPr>
        <w:ind w:left="4999" w:hanging="360"/>
      </w:pPr>
      <w:rPr>
        <w:rFonts w:ascii="Symbol" w:hAnsi="Symbol" w:hint="default"/>
      </w:rPr>
    </w:lvl>
    <w:lvl w:ilvl="7" w:tplc="14090003" w:tentative="1">
      <w:start w:val="1"/>
      <w:numFmt w:val="bullet"/>
      <w:lvlText w:val="o"/>
      <w:lvlJc w:val="left"/>
      <w:pPr>
        <w:ind w:left="5719" w:hanging="360"/>
      </w:pPr>
      <w:rPr>
        <w:rFonts w:ascii="Courier New" w:hAnsi="Courier New" w:cs="Courier New" w:hint="default"/>
      </w:rPr>
    </w:lvl>
    <w:lvl w:ilvl="8" w:tplc="14090005" w:tentative="1">
      <w:start w:val="1"/>
      <w:numFmt w:val="bullet"/>
      <w:lvlText w:val=""/>
      <w:lvlJc w:val="left"/>
      <w:pPr>
        <w:ind w:left="6439" w:hanging="360"/>
      </w:pPr>
      <w:rPr>
        <w:rFonts w:ascii="Wingdings" w:hAnsi="Wingdings" w:hint="default"/>
      </w:rPr>
    </w:lvl>
  </w:abstractNum>
  <w:abstractNum w:abstractNumId="49" w15:restartNumberingAfterBreak="0">
    <w:nsid w:val="6F224D5D"/>
    <w:multiLevelType w:val="hybridMultilevel"/>
    <w:tmpl w:val="71868B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1E93F60"/>
    <w:multiLevelType w:val="hybridMultilevel"/>
    <w:tmpl w:val="1B7E19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775D2D"/>
    <w:multiLevelType w:val="hybridMultilevel"/>
    <w:tmpl w:val="841CB7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74385658"/>
    <w:multiLevelType w:val="multilevel"/>
    <w:tmpl w:val="C7C4471C"/>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tabs>
          <w:tab w:val="num" w:pos="1650"/>
        </w:tabs>
        <w:ind w:left="1650" w:hanging="570"/>
      </w:pPr>
      <w:rPr>
        <w:rFonts w:ascii="Arial Mäori" w:eastAsia="Times New Roman" w:hAnsi="Arial Mäori" w:cs="Times New Roman" w:hint="default"/>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E104EC"/>
    <w:multiLevelType w:val="hybridMultilevel"/>
    <w:tmpl w:val="01103292"/>
    <w:lvl w:ilvl="0" w:tplc="04090001">
      <w:start w:val="1"/>
      <w:numFmt w:val="bullet"/>
      <w:lvlText w:val=""/>
      <w:lvlJc w:val="left"/>
      <w:pPr>
        <w:tabs>
          <w:tab w:val="num" w:pos="1352"/>
        </w:tabs>
        <w:ind w:left="1352" w:hanging="360"/>
      </w:pPr>
      <w:rPr>
        <w:rFonts w:ascii="Symbol" w:hAnsi="Symbol" w:hint="default"/>
      </w:rPr>
    </w:lvl>
    <w:lvl w:ilvl="1" w:tplc="4238EF52">
      <w:numFmt w:val="bullet"/>
      <w:lvlText w:val="-"/>
      <w:lvlJc w:val="left"/>
      <w:pPr>
        <w:tabs>
          <w:tab w:val="num" w:pos="2072"/>
        </w:tabs>
        <w:ind w:left="2072" w:hanging="360"/>
      </w:pPr>
      <w:rPr>
        <w:rFonts w:ascii="Arial Mäori" w:eastAsia="Times New Roman" w:hAnsi="Arial Mäori" w:cs="Arial Mäori"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num w:numId="1">
    <w:abstractNumId w:val="19"/>
  </w:num>
  <w:num w:numId="2">
    <w:abstractNumId w:val="29"/>
  </w:num>
  <w:num w:numId="3">
    <w:abstractNumId w:val="18"/>
  </w:num>
  <w:num w:numId="4">
    <w:abstractNumId w:val="46"/>
  </w:num>
  <w:num w:numId="5">
    <w:abstractNumId w:val="22"/>
  </w:num>
  <w:num w:numId="6">
    <w:abstractNumId w:val="30"/>
  </w:num>
  <w:num w:numId="7">
    <w:abstractNumId w:val="25"/>
  </w:num>
  <w:num w:numId="8">
    <w:abstractNumId w:val="17"/>
  </w:num>
  <w:num w:numId="9">
    <w:abstractNumId w:val="11"/>
  </w:num>
  <w:num w:numId="10">
    <w:abstractNumId w:val="20"/>
  </w:num>
  <w:num w:numId="11">
    <w:abstractNumId w:val="16"/>
  </w:num>
  <w:num w:numId="12">
    <w:abstractNumId w:val="21"/>
  </w:num>
  <w:num w:numId="13">
    <w:abstractNumId w:val="41"/>
  </w:num>
  <w:num w:numId="14">
    <w:abstractNumId w:val="23"/>
  </w:num>
  <w:num w:numId="15">
    <w:abstractNumId w:val="15"/>
  </w:num>
  <w:num w:numId="16">
    <w:abstractNumId w:val="12"/>
  </w:num>
  <w:num w:numId="17">
    <w:abstractNumId w:val="51"/>
  </w:num>
  <w:num w:numId="18">
    <w:abstractNumId w:val="34"/>
  </w:num>
  <w:num w:numId="19">
    <w:abstractNumId w:val="53"/>
  </w:num>
  <w:num w:numId="20">
    <w:abstractNumId w:val="36"/>
  </w:num>
  <w:num w:numId="21">
    <w:abstractNumId w:val="49"/>
  </w:num>
  <w:num w:numId="22">
    <w:abstractNumId w:val="42"/>
  </w:num>
  <w:num w:numId="23">
    <w:abstractNumId w:val="38"/>
  </w:num>
  <w:num w:numId="24">
    <w:abstractNumId w:val="52"/>
  </w:num>
  <w:num w:numId="25">
    <w:abstractNumId w:val="32"/>
  </w:num>
  <w:num w:numId="26">
    <w:abstractNumId w:val="45"/>
  </w:num>
  <w:num w:numId="27">
    <w:abstractNumId w:val="35"/>
  </w:num>
  <w:num w:numId="28">
    <w:abstractNumId w:val="14"/>
  </w:num>
  <w:num w:numId="29">
    <w:abstractNumId w:val="10"/>
  </w:num>
  <w:num w:numId="30">
    <w:abstractNumId w:val="40"/>
  </w:num>
  <w:num w:numId="31">
    <w:abstractNumId w:val="27"/>
  </w:num>
  <w:num w:numId="32">
    <w:abstractNumId w:val="50"/>
  </w:num>
  <w:num w:numId="33">
    <w:abstractNumId w:val="37"/>
  </w:num>
  <w:num w:numId="34">
    <w:abstractNumId w:val="43"/>
  </w:num>
  <w:num w:numId="35">
    <w:abstractNumId w:val="3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4"/>
  </w:num>
  <w:num w:numId="47">
    <w:abstractNumId w:val="44"/>
  </w:num>
  <w:num w:numId="48">
    <w:abstractNumId w:val="13"/>
  </w:num>
  <w:num w:numId="49">
    <w:abstractNumId w:val="26"/>
  </w:num>
  <w:num w:numId="50">
    <w:abstractNumId w:val="39"/>
  </w:num>
  <w:num w:numId="51">
    <w:abstractNumId w:val="47"/>
  </w:num>
  <w:num w:numId="52">
    <w:abstractNumId w:val="48"/>
  </w:num>
  <w:num w:numId="53">
    <w:abstractNumId w:val="31"/>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B7"/>
    <w:rsid w:val="00053921"/>
    <w:rsid w:val="000571FF"/>
    <w:rsid w:val="00071D86"/>
    <w:rsid w:val="00076DE2"/>
    <w:rsid w:val="0009388D"/>
    <w:rsid w:val="000A2BB7"/>
    <w:rsid w:val="000A5E93"/>
    <w:rsid w:val="000D1F6C"/>
    <w:rsid w:val="000D4487"/>
    <w:rsid w:val="000E2B8C"/>
    <w:rsid w:val="000E2FFF"/>
    <w:rsid w:val="000E3134"/>
    <w:rsid w:val="000E49D9"/>
    <w:rsid w:val="00106900"/>
    <w:rsid w:val="00107C0A"/>
    <w:rsid w:val="001153DF"/>
    <w:rsid w:val="00116BE2"/>
    <w:rsid w:val="001352C0"/>
    <w:rsid w:val="00140BF5"/>
    <w:rsid w:val="001412FA"/>
    <w:rsid w:val="00171277"/>
    <w:rsid w:val="00183E62"/>
    <w:rsid w:val="001906CC"/>
    <w:rsid w:val="001969EE"/>
    <w:rsid w:val="001C741E"/>
    <w:rsid w:val="002272C0"/>
    <w:rsid w:val="002414E6"/>
    <w:rsid w:val="002441F3"/>
    <w:rsid w:val="00250E3B"/>
    <w:rsid w:val="00251647"/>
    <w:rsid w:val="0028108B"/>
    <w:rsid w:val="002A5CDB"/>
    <w:rsid w:val="002B1A98"/>
    <w:rsid w:val="002C2F9C"/>
    <w:rsid w:val="002C38F8"/>
    <w:rsid w:val="002D25D4"/>
    <w:rsid w:val="002D649C"/>
    <w:rsid w:val="002E171E"/>
    <w:rsid w:val="002F0A2E"/>
    <w:rsid w:val="003042F8"/>
    <w:rsid w:val="00325FC2"/>
    <w:rsid w:val="003445A1"/>
    <w:rsid w:val="0037768D"/>
    <w:rsid w:val="00391387"/>
    <w:rsid w:val="00397F6B"/>
    <w:rsid w:val="003A57D0"/>
    <w:rsid w:val="003A7BEE"/>
    <w:rsid w:val="003B2D1D"/>
    <w:rsid w:val="003C1818"/>
    <w:rsid w:val="003D5769"/>
    <w:rsid w:val="004017A6"/>
    <w:rsid w:val="004612BD"/>
    <w:rsid w:val="00480B56"/>
    <w:rsid w:val="00481976"/>
    <w:rsid w:val="004925A0"/>
    <w:rsid w:val="004C1A56"/>
    <w:rsid w:val="005401BD"/>
    <w:rsid w:val="00566205"/>
    <w:rsid w:val="00596B10"/>
    <w:rsid w:val="005A7DDA"/>
    <w:rsid w:val="005B1229"/>
    <w:rsid w:val="005B5444"/>
    <w:rsid w:val="005D61AE"/>
    <w:rsid w:val="005E0DEE"/>
    <w:rsid w:val="005F4429"/>
    <w:rsid w:val="0060723E"/>
    <w:rsid w:val="00617B24"/>
    <w:rsid w:val="0063194E"/>
    <w:rsid w:val="00635B27"/>
    <w:rsid w:val="006434BA"/>
    <w:rsid w:val="0065100D"/>
    <w:rsid w:val="006572F7"/>
    <w:rsid w:val="00660BBE"/>
    <w:rsid w:val="006911D0"/>
    <w:rsid w:val="00691271"/>
    <w:rsid w:val="006E7992"/>
    <w:rsid w:val="00707A07"/>
    <w:rsid w:val="00713ABB"/>
    <w:rsid w:val="00715086"/>
    <w:rsid w:val="00727248"/>
    <w:rsid w:val="0074457E"/>
    <w:rsid w:val="00776F42"/>
    <w:rsid w:val="00787979"/>
    <w:rsid w:val="007F39A2"/>
    <w:rsid w:val="00810637"/>
    <w:rsid w:val="00827457"/>
    <w:rsid w:val="00861910"/>
    <w:rsid w:val="00886595"/>
    <w:rsid w:val="008B081A"/>
    <w:rsid w:val="008B3DBD"/>
    <w:rsid w:val="008F7C92"/>
    <w:rsid w:val="00925A76"/>
    <w:rsid w:val="00930394"/>
    <w:rsid w:val="00941D1D"/>
    <w:rsid w:val="00954CD2"/>
    <w:rsid w:val="00970577"/>
    <w:rsid w:val="009756F3"/>
    <w:rsid w:val="009873FA"/>
    <w:rsid w:val="00991260"/>
    <w:rsid w:val="00994889"/>
    <w:rsid w:val="009B7493"/>
    <w:rsid w:val="009D56A2"/>
    <w:rsid w:val="009F0120"/>
    <w:rsid w:val="00A0492F"/>
    <w:rsid w:val="00A06953"/>
    <w:rsid w:val="00A322B5"/>
    <w:rsid w:val="00A36602"/>
    <w:rsid w:val="00A4106A"/>
    <w:rsid w:val="00A54CE2"/>
    <w:rsid w:val="00A7483C"/>
    <w:rsid w:val="00A774FA"/>
    <w:rsid w:val="00AA4C71"/>
    <w:rsid w:val="00AB44A1"/>
    <w:rsid w:val="00AC773C"/>
    <w:rsid w:val="00AE5C91"/>
    <w:rsid w:val="00B01CD9"/>
    <w:rsid w:val="00B01D88"/>
    <w:rsid w:val="00B14A61"/>
    <w:rsid w:val="00B31CDE"/>
    <w:rsid w:val="00B3582D"/>
    <w:rsid w:val="00B405C4"/>
    <w:rsid w:val="00B525FF"/>
    <w:rsid w:val="00B605DD"/>
    <w:rsid w:val="00B71716"/>
    <w:rsid w:val="00B723A9"/>
    <w:rsid w:val="00B73BD5"/>
    <w:rsid w:val="00B749FC"/>
    <w:rsid w:val="00B96C5F"/>
    <w:rsid w:val="00BD15AE"/>
    <w:rsid w:val="00BD4667"/>
    <w:rsid w:val="00BD59EB"/>
    <w:rsid w:val="00BE334F"/>
    <w:rsid w:val="00BF6D44"/>
    <w:rsid w:val="00C00E79"/>
    <w:rsid w:val="00C06568"/>
    <w:rsid w:val="00C34599"/>
    <w:rsid w:val="00C37BFB"/>
    <w:rsid w:val="00C47047"/>
    <w:rsid w:val="00C54AE9"/>
    <w:rsid w:val="00C855DA"/>
    <w:rsid w:val="00C85ED1"/>
    <w:rsid w:val="00C91F6A"/>
    <w:rsid w:val="00C92660"/>
    <w:rsid w:val="00CA770A"/>
    <w:rsid w:val="00CB654C"/>
    <w:rsid w:val="00CC2CCF"/>
    <w:rsid w:val="00CC2F18"/>
    <w:rsid w:val="00CD6DAE"/>
    <w:rsid w:val="00CF3B37"/>
    <w:rsid w:val="00D0309A"/>
    <w:rsid w:val="00D37EC8"/>
    <w:rsid w:val="00D4129F"/>
    <w:rsid w:val="00D42D28"/>
    <w:rsid w:val="00D60509"/>
    <w:rsid w:val="00D61413"/>
    <w:rsid w:val="00D81D04"/>
    <w:rsid w:val="00D81F07"/>
    <w:rsid w:val="00DA4674"/>
    <w:rsid w:val="00DB595D"/>
    <w:rsid w:val="00DD5506"/>
    <w:rsid w:val="00E16B7D"/>
    <w:rsid w:val="00E21737"/>
    <w:rsid w:val="00E21E84"/>
    <w:rsid w:val="00E66767"/>
    <w:rsid w:val="00E74B78"/>
    <w:rsid w:val="00E9166C"/>
    <w:rsid w:val="00E91A6C"/>
    <w:rsid w:val="00E963F2"/>
    <w:rsid w:val="00EA1F7E"/>
    <w:rsid w:val="00EC3E93"/>
    <w:rsid w:val="00ED267A"/>
    <w:rsid w:val="00EE1D6E"/>
    <w:rsid w:val="00EE7021"/>
    <w:rsid w:val="00EF2A63"/>
    <w:rsid w:val="00EF7473"/>
    <w:rsid w:val="00F2202E"/>
    <w:rsid w:val="00F26C7E"/>
    <w:rsid w:val="00F42A94"/>
    <w:rsid w:val="00F439F1"/>
    <w:rsid w:val="00F45E62"/>
    <w:rsid w:val="00F52D61"/>
    <w:rsid w:val="00F654E2"/>
    <w:rsid w:val="00F6790E"/>
    <w:rsid w:val="00F72C5F"/>
    <w:rsid w:val="00F87A29"/>
    <w:rsid w:val="00F900C7"/>
    <w:rsid w:val="00FA5628"/>
    <w:rsid w:val="00FB77C2"/>
    <w:rsid w:val="00FC33EB"/>
    <w:rsid w:val="00FC395F"/>
    <w:rsid w:val="00FC5C41"/>
    <w:rsid w:val="00FD37C8"/>
    <w:rsid w:val="00FD55AE"/>
    <w:rsid w:val="00FF5B17"/>
    <w:rsid w:val="00FF73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82E4E"/>
  <w15:docId w15:val="{A0C4FA1E-9ACA-471F-B740-6A3FEE37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Times New Roman Mäori" w:hAnsi="Times New Roman Mäori"/>
      <w:sz w:val="24"/>
      <w:szCs w:val="24"/>
      <w:lang w:eastAsia="en-US"/>
    </w:rPr>
  </w:style>
  <w:style w:type="paragraph" w:styleId="Heading1">
    <w:name w:val="heading 1"/>
    <w:basedOn w:val="Normal"/>
    <w:next w:val="Normal"/>
    <w:qFormat/>
    <w:rsid w:val="000A2BB7"/>
    <w:pPr>
      <w:keepNext/>
      <w:ind w:left="720" w:hanging="440"/>
      <w:jc w:val="left"/>
      <w:outlineLvl w:val="0"/>
    </w:pPr>
    <w:rPr>
      <w:rFonts w:ascii="Arial Mäori" w:hAnsi="Arial Mäori"/>
      <w:b/>
      <w:sz w:val="22"/>
      <w:lang w:val="en-US"/>
    </w:rPr>
  </w:style>
  <w:style w:type="paragraph" w:styleId="Heading5">
    <w:name w:val="heading 5"/>
    <w:basedOn w:val="Normal"/>
    <w:next w:val="Normal"/>
    <w:qFormat/>
    <w:rsid w:val="000A2BB7"/>
    <w:pPr>
      <w:keepNext/>
      <w:spacing w:before="60" w:after="60"/>
      <w:jc w:val="left"/>
      <w:outlineLvl w:val="4"/>
    </w:pPr>
    <w:rPr>
      <w:rFonts w:ascii="Arial Mäori" w:hAnsi="Arial Mäori"/>
      <w:b/>
      <w:sz w:val="20"/>
    </w:rPr>
  </w:style>
  <w:style w:type="paragraph" w:styleId="Heading8">
    <w:name w:val="heading 8"/>
    <w:basedOn w:val="Normal"/>
    <w:next w:val="Normal"/>
    <w:qFormat/>
    <w:rsid w:val="002414E6"/>
    <w:pPr>
      <w:spacing w:before="240" w:after="60"/>
      <w:outlineLvl w:val="7"/>
    </w:pPr>
    <w:rPr>
      <w:rFonts w:ascii="Times New Roman" w:hAnsi="Times New Roman"/>
      <w:i/>
      <w:iCs/>
    </w:rPr>
  </w:style>
  <w:style w:type="paragraph" w:styleId="Heading9">
    <w:name w:val="heading 9"/>
    <w:basedOn w:val="Normal"/>
    <w:next w:val="Normal"/>
    <w:qFormat/>
    <w:rsid w:val="002414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BB7"/>
    <w:pPr>
      <w:tabs>
        <w:tab w:val="center" w:pos="4153"/>
        <w:tab w:val="right" w:pos="8306"/>
      </w:tabs>
      <w:jc w:val="left"/>
    </w:pPr>
    <w:rPr>
      <w:rFonts w:ascii="Arial Mäori" w:hAnsi="Arial Mäori"/>
    </w:rPr>
  </w:style>
  <w:style w:type="paragraph" w:styleId="Title">
    <w:name w:val="Title"/>
    <w:basedOn w:val="Normal"/>
    <w:qFormat/>
    <w:rsid w:val="000A2BB7"/>
    <w:pPr>
      <w:jc w:val="center"/>
    </w:pPr>
    <w:rPr>
      <w:rFonts w:ascii="Times New Roman" w:hAnsi="Times New Roman"/>
      <w:b/>
      <w:sz w:val="28"/>
      <w:szCs w:val="20"/>
      <w:lang w:val="en-US"/>
    </w:rPr>
  </w:style>
  <w:style w:type="paragraph" w:styleId="BodyText">
    <w:name w:val="Body Text"/>
    <w:basedOn w:val="Normal"/>
    <w:rsid w:val="000A2BB7"/>
    <w:rPr>
      <w:rFonts w:ascii="Times New Roman" w:hAnsi="Times New Roman"/>
      <w:snapToGrid w:val="0"/>
      <w:color w:val="0000FF"/>
      <w:szCs w:val="20"/>
      <w:lang w:val="en-US"/>
    </w:rPr>
  </w:style>
  <w:style w:type="character" w:styleId="PageNumber">
    <w:name w:val="page number"/>
    <w:basedOn w:val="DefaultParagraphFont"/>
    <w:rsid w:val="000A2BB7"/>
  </w:style>
  <w:style w:type="paragraph" w:customStyle="1" w:styleId="xpara">
    <w:name w:val="xpara"/>
    <w:basedOn w:val="Normal"/>
    <w:rsid w:val="000A2BB7"/>
    <w:pPr>
      <w:overflowPunct w:val="0"/>
      <w:autoSpaceDE w:val="0"/>
      <w:autoSpaceDN w:val="0"/>
      <w:adjustRightInd w:val="0"/>
      <w:spacing w:line="360" w:lineRule="auto"/>
      <w:ind w:firstLine="561"/>
      <w:jc w:val="left"/>
      <w:textAlignment w:val="baseline"/>
    </w:pPr>
    <w:rPr>
      <w:rFonts w:ascii="Times New Roman" w:hAnsi="Times New Roman"/>
      <w:szCs w:val="20"/>
      <w:lang w:val="en-AU"/>
    </w:rPr>
  </w:style>
  <w:style w:type="character" w:customStyle="1" w:styleId="id1272">
    <w:name w:val="id1272"/>
    <w:basedOn w:val="DefaultParagraphFont"/>
    <w:rsid w:val="000A2BB7"/>
  </w:style>
  <w:style w:type="paragraph" w:styleId="CommentText">
    <w:name w:val="annotation text"/>
    <w:basedOn w:val="Normal"/>
    <w:link w:val="CommentTextChar"/>
    <w:semiHidden/>
    <w:rsid w:val="000A2BB7"/>
    <w:pPr>
      <w:jc w:val="left"/>
    </w:pPr>
    <w:rPr>
      <w:rFonts w:ascii="Arial" w:hAnsi="Arial"/>
      <w:lang w:val="en-GB" w:eastAsia="en-GB"/>
    </w:rPr>
  </w:style>
  <w:style w:type="paragraph" w:customStyle="1" w:styleId="bulets">
    <w:name w:val="bulets"/>
    <w:basedOn w:val="Normal"/>
    <w:rsid w:val="000A2BB7"/>
    <w:pPr>
      <w:tabs>
        <w:tab w:val="left" w:pos="1080"/>
      </w:tabs>
      <w:overflowPunct w:val="0"/>
      <w:autoSpaceDE w:val="0"/>
      <w:autoSpaceDN w:val="0"/>
      <w:adjustRightInd w:val="0"/>
      <w:ind w:left="1080" w:hanging="360"/>
      <w:jc w:val="left"/>
      <w:textAlignment w:val="baseline"/>
    </w:pPr>
    <w:rPr>
      <w:rFonts w:ascii="Arial" w:hAnsi="Arial"/>
      <w:sz w:val="20"/>
      <w:szCs w:val="20"/>
      <w:lang w:val="en-GB"/>
    </w:rPr>
  </w:style>
  <w:style w:type="character" w:styleId="Emphasis">
    <w:name w:val="Emphasis"/>
    <w:basedOn w:val="DefaultParagraphFont"/>
    <w:qFormat/>
    <w:rsid w:val="000A2BB7"/>
    <w:rPr>
      <w:b/>
      <w:bCs/>
      <w:i w:val="0"/>
      <w:iCs w:val="0"/>
    </w:rPr>
  </w:style>
  <w:style w:type="paragraph" w:styleId="FootnoteText">
    <w:name w:val="footnote text"/>
    <w:basedOn w:val="Normal"/>
    <w:semiHidden/>
    <w:rsid w:val="000A2BB7"/>
    <w:pPr>
      <w:jc w:val="left"/>
    </w:pPr>
    <w:rPr>
      <w:rFonts w:ascii="Arial Mäori" w:hAnsi="Arial Mäori"/>
      <w:sz w:val="20"/>
      <w:szCs w:val="20"/>
    </w:rPr>
  </w:style>
  <w:style w:type="character" w:styleId="FootnoteReference">
    <w:name w:val="footnote reference"/>
    <w:basedOn w:val="DefaultParagraphFont"/>
    <w:semiHidden/>
    <w:rsid w:val="000A2BB7"/>
    <w:rPr>
      <w:vertAlign w:val="superscript"/>
    </w:rPr>
  </w:style>
  <w:style w:type="character" w:customStyle="1" w:styleId="CommentTextChar">
    <w:name w:val="Comment Text Char"/>
    <w:basedOn w:val="DefaultParagraphFont"/>
    <w:link w:val="CommentText"/>
    <w:semiHidden/>
    <w:rsid w:val="000A2BB7"/>
    <w:rPr>
      <w:rFonts w:ascii="Arial" w:hAnsi="Arial"/>
      <w:sz w:val="24"/>
      <w:szCs w:val="24"/>
      <w:lang w:val="en-GB" w:eastAsia="en-GB" w:bidi="ar-SA"/>
    </w:rPr>
  </w:style>
  <w:style w:type="table" w:styleId="TableGrid">
    <w:name w:val="Table Grid"/>
    <w:basedOn w:val="TableNormal"/>
    <w:rsid w:val="000A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2BB7"/>
    <w:rPr>
      <w:sz w:val="16"/>
      <w:szCs w:val="16"/>
    </w:rPr>
  </w:style>
  <w:style w:type="character" w:styleId="Hyperlink">
    <w:name w:val="Hyperlink"/>
    <w:basedOn w:val="DefaultParagraphFont"/>
    <w:rsid w:val="000A2BB7"/>
    <w:rPr>
      <w:rFonts w:ascii="Arial" w:hAnsi="Arial"/>
      <w:b/>
      <w:color w:val="0000FF"/>
      <w:u w:val="single"/>
      <w:lang w:val="en-US" w:eastAsia="en-US" w:bidi="ar-SA"/>
    </w:rPr>
  </w:style>
  <w:style w:type="paragraph" w:styleId="BalloonText">
    <w:name w:val="Balloon Text"/>
    <w:basedOn w:val="Normal"/>
    <w:semiHidden/>
    <w:rsid w:val="000A2BB7"/>
    <w:rPr>
      <w:rFonts w:ascii="Tahoma" w:hAnsi="Tahoma" w:cs="Tahoma"/>
      <w:sz w:val="16"/>
      <w:szCs w:val="16"/>
    </w:rPr>
  </w:style>
  <w:style w:type="paragraph" w:styleId="Footer">
    <w:name w:val="footer"/>
    <w:basedOn w:val="Normal"/>
    <w:rsid w:val="000A2BB7"/>
    <w:pPr>
      <w:tabs>
        <w:tab w:val="center" w:pos="4153"/>
        <w:tab w:val="right" w:pos="8306"/>
      </w:tabs>
    </w:pPr>
  </w:style>
  <w:style w:type="paragraph" w:customStyle="1" w:styleId="a">
    <w:basedOn w:val="Normal"/>
    <w:rsid w:val="00F52D61"/>
    <w:pPr>
      <w:spacing w:after="160" w:line="240" w:lineRule="exact"/>
      <w:jc w:val="left"/>
    </w:pPr>
    <w:rPr>
      <w:rFonts w:ascii="Arial" w:hAnsi="Arial"/>
      <w:sz w:val="20"/>
      <w:szCs w:val="20"/>
      <w:lang w:val="en-US"/>
    </w:rPr>
  </w:style>
  <w:style w:type="paragraph" w:styleId="CommentSubject">
    <w:name w:val="annotation subject"/>
    <w:basedOn w:val="CommentText"/>
    <w:next w:val="CommentText"/>
    <w:semiHidden/>
    <w:rsid w:val="00F52D61"/>
    <w:pPr>
      <w:jc w:val="both"/>
    </w:pPr>
    <w:rPr>
      <w:rFonts w:ascii="Times New Roman Mäori" w:hAnsi="Times New Roman Mäori"/>
      <w:b/>
      <w:bCs/>
      <w:sz w:val="20"/>
      <w:szCs w:val="20"/>
      <w:lang w:val="en-NZ" w:eastAsia="en-US"/>
    </w:rPr>
  </w:style>
  <w:style w:type="paragraph" w:styleId="BodyText3">
    <w:name w:val="Body Text 3"/>
    <w:basedOn w:val="Normal"/>
    <w:rsid w:val="00EF2A63"/>
    <w:pPr>
      <w:spacing w:after="120"/>
      <w:jc w:val="left"/>
    </w:pPr>
    <w:rPr>
      <w:rFonts w:ascii="Times New Roman" w:hAnsi="Times New Roman"/>
      <w:sz w:val="16"/>
      <w:szCs w:val="16"/>
      <w:lang w:val="en-GB"/>
    </w:rPr>
  </w:style>
  <w:style w:type="paragraph" w:styleId="NormalIndent">
    <w:name w:val="Normal Indent"/>
    <w:basedOn w:val="Normal"/>
    <w:rsid w:val="00EF2A63"/>
    <w:pPr>
      <w:tabs>
        <w:tab w:val="left" w:pos="709"/>
        <w:tab w:val="left" w:pos="1418"/>
      </w:tabs>
      <w:ind w:left="720"/>
      <w:jc w:val="left"/>
    </w:pPr>
    <w:rPr>
      <w:rFonts w:ascii="Times New Roman" w:hAnsi="Times New Roman"/>
      <w:szCs w:val="20"/>
      <w:lang w:val="en-AU"/>
    </w:rPr>
  </w:style>
  <w:style w:type="paragraph" w:customStyle="1" w:styleId="Style">
    <w:name w:val="Style"/>
    <w:basedOn w:val="Normal"/>
    <w:next w:val="Normal"/>
    <w:semiHidden/>
    <w:rsid w:val="00970577"/>
    <w:pPr>
      <w:spacing w:after="160" w:line="240" w:lineRule="exact"/>
      <w:jc w:val="left"/>
    </w:pPr>
    <w:rPr>
      <w:rFonts w:ascii="Arial" w:hAnsi="Arial" w:cs="Verdana"/>
    </w:rPr>
  </w:style>
  <w:style w:type="paragraph" w:styleId="BodyTextIndent2">
    <w:name w:val="Body Text Indent 2"/>
    <w:basedOn w:val="Normal"/>
    <w:rsid w:val="002414E6"/>
    <w:pPr>
      <w:spacing w:after="120" w:line="480" w:lineRule="auto"/>
      <w:ind w:left="283"/>
      <w:jc w:val="left"/>
    </w:pPr>
    <w:rPr>
      <w:rFonts w:ascii="Times New Roman" w:hAnsi="Times New Roman"/>
      <w:lang w:val="en-GB" w:eastAsia="en-GB"/>
    </w:rPr>
  </w:style>
  <w:style w:type="paragraph" w:styleId="BodyText2">
    <w:name w:val="Body Text 2"/>
    <w:basedOn w:val="Normal"/>
    <w:rsid w:val="002414E6"/>
    <w:pPr>
      <w:spacing w:after="120" w:line="480" w:lineRule="auto"/>
      <w:jc w:val="left"/>
    </w:pPr>
    <w:rPr>
      <w:rFonts w:ascii="Times New Roman" w:hAnsi="Times New Roman"/>
      <w:lang w:val="en-GB" w:eastAsia="en-GB"/>
    </w:rPr>
  </w:style>
  <w:style w:type="paragraph" w:styleId="BodyTextIndent">
    <w:name w:val="Body Text Indent"/>
    <w:basedOn w:val="Normal"/>
    <w:rsid w:val="002414E6"/>
    <w:pPr>
      <w:spacing w:after="120"/>
      <w:ind w:left="283"/>
      <w:jc w:val="left"/>
    </w:pPr>
    <w:rPr>
      <w:rFonts w:ascii="Times New Roman" w:hAnsi="Times New Roman"/>
      <w:lang w:val="en-GB" w:eastAsia="en-GB"/>
    </w:rPr>
  </w:style>
  <w:style w:type="paragraph" w:customStyle="1" w:styleId="Table">
    <w:name w:val="Table"/>
    <w:basedOn w:val="Normal"/>
    <w:rsid w:val="00116BE2"/>
    <w:pPr>
      <w:keepNext/>
      <w:pBdr>
        <w:top w:val="single" w:sz="18" w:space="6" w:color="auto"/>
      </w:pBdr>
      <w:spacing w:before="120" w:after="120" w:line="264" w:lineRule="auto"/>
      <w:jc w:val="left"/>
    </w:pPr>
    <w:rPr>
      <w:rFonts w:ascii="Georgia" w:hAnsi="Georgia"/>
      <w:b/>
      <w:sz w:val="20"/>
      <w:szCs w:val="20"/>
      <w:lang w:eastAsia="en-GB"/>
    </w:rPr>
  </w:style>
  <w:style w:type="character" w:customStyle="1" w:styleId="TableTextChar">
    <w:name w:val="TableText Char"/>
    <w:basedOn w:val="DefaultParagraphFont"/>
    <w:link w:val="TableText"/>
    <w:locked/>
    <w:rsid w:val="00116BE2"/>
    <w:rPr>
      <w:rFonts w:ascii="Georgia" w:hAnsi="Georgia"/>
      <w:lang w:eastAsia="en-GB"/>
    </w:rPr>
  </w:style>
  <w:style w:type="paragraph" w:customStyle="1" w:styleId="TableText">
    <w:name w:val="TableText"/>
    <w:basedOn w:val="Normal"/>
    <w:link w:val="TableTextChar"/>
    <w:rsid w:val="00116BE2"/>
    <w:pPr>
      <w:spacing w:before="80" w:after="80"/>
      <w:jc w:val="left"/>
    </w:pPr>
    <w:rPr>
      <w:rFonts w:ascii="Georgia" w:hAnsi="Georgia"/>
      <w:sz w:val="20"/>
      <w:szCs w:val="20"/>
      <w:lang w:eastAsia="en-GB"/>
    </w:rPr>
  </w:style>
  <w:style w:type="paragraph" w:customStyle="1" w:styleId="TableBullet">
    <w:name w:val="TableBullet"/>
    <w:basedOn w:val="TableText"/>
    <w:rsid w:val="00116BE2"/>
    <w:pPr>
      <w:numPr>
        <w:numId w:val="48"/>
      </w:numPr>
      <w:tabs>
        <w:tab w:val="clear" w:pos="284"/>
        <w:tab w:val="num" w:pos="360"/>
        <w:tab w:val="num" w:pos="1080"/>
      </w:tabs>
      <w:spacing w:before="0"/>
      <w:ind w:left="0" w:firstLine="0"/>
    </w:pPr>
  </w:style>
  <w:style w:type="paragraph" w:styleId="ListParagraph">
    <w:name w:val="List Paragraph"/>
    <w:basedOn w:val="Normal"/>
    <w:uiPriority w:val="34"/>
    <w:qFormat/>
    <w:rsid w:val="005B1229"/>
    <w:pPr>
      <w:ind w:left="720"/>
      <w:contextualSpacing/>
    </w:pPr>
  </w:style>
  <w:style w:type="paragraph" w:styleId="Revision">
    <w:name w:val="Revision"/>
    <w:hidden/>
    <w:uiPriority w:val="99"/>
    <w:semiHidden/>
    <w:rsid w:val="00A36602"/>
    <w:rPr>
      <w:rFonts w:ascii="Times New Roman Mäori" w:hAnsi="Times New Roman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160">
      <w:bodyDiv w:val="1"/>
      <w:marLeft w:val="0"/>
      <w:marRight w:val="0"/>
      <w:marTop w:val="0"/>
      <w:marBottom w:val="0"/>
      <w:divBdr>
        <w:top w:val="none" w:sz="0" w:space="0" w:color="auto"/>
        <w:left w:val="none" w:sz="0" w:space="0" w:color="auto"/>
        <w:bottom w:val="none" w:sz="0" w:space="0" w:color="auto"/>
        <w:right w:val="none" w:sz="0" w:space="0" w:color="auto"/>
      </w:divBdr>
    </w:div>
    <w:div w:id="217981214">
      <w:bodyDiv w:val="1"/>
      <w:marLeft w:val="0"/>
      <w:marRight w:val="0"/>
      <w:marTop w:val="0"/>
      <w:marBottom w:val="0"/>
      <w:divBdr>
        <w:top w:val="none" w:sz="0" w:space="0" w:color="auto"/>
        <w:left w:val="none" w:sz="0" w:space="0" w:color="auto"/>
        <w:bottom w:val="none" w:sz="0" w:space="0" w:color="auto"/>
        <w:right w:val="none" w:sz="0" w:space="0" w:color="auto"/>
      </w:divBdr>
    </w:div>
    <w:div w:id="569004962">
      <w:bodyDiv w:val="1"/>
      <w:marLeft w:val="0"/>
      <w:marRight w:val="0"/>
      <w:marTop w:val="0"/>
      <w:marBottom w:val="0"/>
      <w:divBdr>
        <w:top w:val="none" w:sz="0" w:space="0" w:color="auto"/>
        <w:left w:val="none" w:sz="0" w:space="0" w:color="auto"/>
        <w:bottom w:val="none" w:sz="0" w:space="0" w:color="auto"/>
        <w:right w:val="none" w:sz="0" w:space="0" w:color="auto"/>
      </w:divBdr>
    </w:div>
    <w:div w:id="710110657">
      <w:bodyDiv w:val="1"/>
      <w:marLeft w:val="0"/>
      <w:marRight w:val="0"/>
      <w:marTop w:val="0"/>
      <w:marBottom w:val="0"/>
      <w:divBdr>
        <w:top w:val="none" w:sz="0" w:space="0" w:color="auto"/>
        <w:left w:val="none" w:sz="0" w:space="0" w:color="auto"/>
        <w:bottom w:val="none" w:sz="0" w:space="0" w:color="auto"/>
        <w:right w:val="none" w:sz="0" w:space="0" w:color="auto"/>
      </w:divBdr>
    </w:div>
    <w:div w:id="1728801429">
      <w:bodyDiv w:val="1"/>
      <w:marLeft w:val="0"/>
      <w:marRight w:val="0"/>
      <w:marTop w:val="0"/>
      <w:marBottom w:val="0"/>
      <w:divBdr>
        <w:top w:val="none" w:sz="0" w:space="0" w:color="auto"/>
        <w:left w:val="none" w:sz="0" w:space="0" w:color="auto"/>
        <w:bottom w:val="none" w:sz="0" w:space="0" w:color="auto"/>
        <w:right w:val="none" w:sz="0" w:space="0" w:color="auto"/>
      </w:divBdr>
    </w:div>
    <w:div w:id="20189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JCRAVEN\AppData\Local\Temp\notes339E40\www.likeminds.org.nz\" TargetMode="External"/><Relationship Id="rId2" Type="http://schemas.openxmlformats.org/officeDocument/2006/relationships/hyperlink" Target="file:///C:\Users\JCRAVEN\AppData\Local\Temp\notes339E40\www.ndi.org.nz\index.php%3fq=content\welcome" TargetMode="External"/><Relationship Id="rId1" Type="http://schemas.openxmlformats.org/officeDocument/2006/relationships/hyperlink" Target="file:///C:\Users\JCRAVEN\AppData\Local\Temp\notes339E40\www.moh.govt.nz\eligibility" TargetMode="External"/><Relationship Id="rId6" Type="http://schemas.openxmlformats.org/officeDocument/2006/relationships/hyperlink" Target="file:///C:\Users\JCRAVEN\AppData\Local\Temp\notes339E40\www.nsfl.health.govt.nz\service-specifications\current-service-specifications\mental-health-and-addiction-services" TargetMode="External"/><Relationship Id="rId5" Type="http://schemas.openxmlformats.org/officeDocument/2006/relationships/hyperlink" Target="file:///C:\Users\JCRAVEN\AppData\Local\Temp\notes339E40\www.health.govt.nz\our-work\regulation-health-and-disability-system\certification-health-care-services\health-and-disability-services-standards" TargetMode="External"/><Relationship Id="rId4" Type="http://schemas.openxmlformats.org/officeDocument/2006/relationships/hyperlink" Target="file:///C:\Users\JCRAVEN\AppData\Local\Temp\notes339E40\www.nsfl.health.govt.nz\accountability\operational-policy-framework-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s\MoH\MoH2000Templates\New%20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642C-E73B-4393-A7E4-346C4921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Document</Template>
  <TotalTime>5</TotalTime>
  <Pages>17</Pages>
  <Words>6586</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45151</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Street Training</dc:creator>
  <cp:lastModifiedBy>Jane Craven</cp:lastModifiedBy>
  <cp:revision>3</cp:revision>
  <cp:lastPrinted>2016-11-24T00:54:00Z</cp:lastPrinted>
  <dcterms:created xsi:type="dcterms:W3CDTF">2019-11-20T01:37:00Z</dcterms:created>
  <dcterms:modified xsi:type="dcterms:W3CDTF">2019-11-20T01:42:00Z</dcterms:modified>
</cp:coreProperties>
</file>