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Look w:val="0000" w:firstRow="0" w:lastRow="0" w:firstColumn="0" w:lastColumn="0" w:noHBand="0" w:noVBand="0"/>
      </w:tblPr>
      <w:tblGrid>
        <w:gridCol w:w="3514"/>
        <w:gridCol w:w="2997"/>
        <w:gridCol w:w="3095"/>
      </w:tblGrid>
      <w:tr w:rsidR="00B05303" w:rsidRPr="00EA541A" w:rsidTr="0061038E">
        <w:trPr>
          <w:cantSplit/>
        </w:trPr>
        <w:tc>
          <w:tcPr>
            <w:tcW w:w="3514" w:type="dxa"/>
            <w:vAlign w:val="center"/>
          </w:tcPr>
          <w:p w:rsidR="00B05303" w:rsidRPr="00EA541A" w:rsidRDefault="00850F6B" w:rsidP="00B05303">
            <w:pPr>
              <w:rPr>
                <w:rFonts w:ascii="Arial" w:hAnsi="Arial" w:cs="Arial"/>
                <w:bCs/>
                <w:sz w:val="34"/>
                <w:szCs w:val="34"/>
              </w:rPr>
            </w:pPr>
            <w:r w:rsidRPr="00EA541A">
              <w:rPr>
                <w:rFonts w:ascii="Arial" w:hAnsi="Arial" w:cs="Arial"/>
                <w:noProof/>
                <w:sz w:val="23"/>
                <w:szCs w:val="23"/>
                <w:lang w:eastAsia="en-NZ"/>
              </w:rPr>
              <w:drawing>
                <wp:inline distT="0" distB="0" distL="0" distR="0" wp14:anchorId="7C7601B1" wp14:editId="562BD44B">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6092" w:type="dxa"/>
            <w:gridSpan w:val="2"/>
            <w:vAlign w:val="center"/>
          </w:tcPr>
          <w:p w:rsidR="00B05303" w:rsidRPr="00EA541A" w:rsidRDefault="00B05303" w:rsidP="00B05303">
            <w:pPr>
              <w:jc w:val="right"/>
              <w:rPr>
                <w:rFonts w:ascii="Arial" w:hAnsi="Arial" w:cs="Arial"/>
                <w:sz w:val="23"/>
                <w:szCs w:val="23"/>
              </w:rPr>
            </w:pPr>
          </w:p>
          <w:p w:rsidR="00B05303" w:rsidRPr="00695340" w:rsidRDefault="00E05493" w:rsidP="00E05493">
            <w:pPr>
              <w:jc w:val="right"/>
              <w:rPr>
                <w:rFonts w:ascii="Arial" w:hAnsi="Arial" w:cs="Arial"/>
                <w:bCs/>
                <w:sz w:val="32"/>
                <w:szCs w:val="32"/>
              </w:rPr>
            </w:pPr>
            <w:r w:rsidRPr="00695340">
              <w:rPr>
                <w:rFonts w:ascii="Arial" w:hAnsi="Arial" w:cs="Arial"/>
                <w:b/>
                <w:sz w:val="32"/>
                <w:szCs w:val="32"/>
              </w:rPr>
              <w:t>All District Health Board</w:t>
            </w:r>
            <w:r w:rsidR="00B05303" w:rsidRPr="00695340">
              <w:rPr>
                <w:rFonts w:ascii="Arial" w:hAnsi="Arial" w:cs="Arial"/>
                <w:b/>
                <w:sz w:val="32"/>
                <w:szCs w:val="32"/>
              </w:rPr>
              <w:t>s</w:t>
            </w:r>
          </w:p>
        </w:tc>
      </w:tr>
      <w:tr w:rsidR="00B05303" w:rsidRPr="00EA541A" w:rsidTr="0061038E">
        <w:tc>
          <w:tcPr>
            <w:tcW w:w="9606" w:type="dxa"/>
            <w:gridSpan w:val="3"/>
            <w:tcBorders>
              <w:bottom w:val="single" w:sz="6" w:space="0" w:color="auto"/>
            </w:tcBorders>
          </w:tcPr>
          <w:p w:rsidR="00B05303" w:rsidRPr="002C3A00" w:rsidRDefault="00B05303" w:rsidP="00C57C8E">
            <w:pPr>
              <w:spacing w:before="1080"/>
              <w:jc w:val="center"/>
              <w:rPr>
                <w:rFonts w:ascii="Arial" w:hAnsi="Arial" w:cs="Arial"/>
                <w:b/>
                <w:sz w:val="36"/>
                <w:szCs w:val="36"/>
              </w:rPr>
            </w:pPr>
            <w:r w:rsidRPr="002C3A00">
              <w:rPr>
                <w:rFonts w:ascii="Arial" w:hAnsi="Arial" w:cs="Arial"/>
                <w:b/>
                <w:sz w:val="36"/>
                <w:szCs w:val="36"/>
              </w:rPr>
              <w:t>INFANT, CHILD, ADOLESCENT, AND YOUTH COMMUNITY SUPPORT SERVICE</w:t>
            </w:r>
          </w:p>
          <w:p w:rsidR="00B05303" w:rsidRPr="00EA541A" w:rsidRDefault="00B05303" w:rsidP="00695340">
            <w:pPr>
              <w:spacing w:before="120"/>
              <w:jc w:val="center"/>
              <w:rPr>
                <w:rFonts w:ascii="Arial" w:hAnsi="Arial" w:cs="Arial"/>
                <w:b/>
                <w:sz w:val="36"/>
                <w:szCs w:val="36"/>
              </w:rPr>
            </w:pPr>
            <w:r w:rsidRPr="002C3A00">
              <w:rPr>
                <w:rFonts w:ascii="Arial" w:hAnsi="Arial" w:cs="Arial"/>
                <w:b/>
                <w:sz w:val="36"/>
                <w:szCs w:val="36"/>
              </w:rPr>
              <w:t>HOME BASED SUPPORT/SUPPORT FOR INDEPENDENCE</w:t>
            </w:r>
          </w:p>
          <w:p w:rsidR="00330C31" w:rsidRPr="00EA541A" w:rsidRDefault="00330C31" w:rsidP="00695340">
            <w:pPr>
              <w:spacing w:before="120"/>
              <w:jc w:val="center"/>
              <w:rPr>
                <w:rFonts w:ascii="Arial" w:hAnsi="Arial" w:cs="Arial"/>
                <w:b/>
                <w:sz w:val="36"/>
                <w:szCs w:val="36"/>
              </w:rPr>
            </w:pPr>
            <w:r w:rsidRPr="00EA541A">
              <w:rPr>
                <w:rFonts w:ascii="Arial" w:hAnsi="Arial" w:cs="Arial"/>
                <w:b/>
                <w:sz w:val="36"/>
                <w:szCs w:val="36"/>
              </w:rPr>
              <w:t>MENTAL HEALTH AND ADDICTION SERVICES</w:t>
            </w:r>
          </w:p>
          <w:p w:rsidR="00B05303" w:rsidRPr="00EA541A" w:rsidRDefault="00B05303" w:rsidP="00695340">
            <w:pPr>
              <w:spacing w:before="120"/>
              <w:jc w:val="center"/>
              <w:rPr>
                <w:rFonts w:ascii="Arial" w:hAnsi="Arial" w:cs="Arial"/>
                <w:b/>
                <w:sz w:val="36"/>
                <w:szCs w:val="36"/>
              </w:rPr>
            </w:pPr>
            <w:r w:rsidRPr="00EA541A">
              <w:rPr>
                <w:rFonts w:ascii="Arial" w:hAnsi="Arial" w:cs="Arial"/>
                <w:b/>
                <w:sz w:val="36"/>
                <w:szCs w:val="36"/>
              </w:rPr>
              <w:t xml:space="preserve">TIER THREE </w:t>
            </w:r>
          </w:p>
          <w:p w:rsidR="00B05303" w:rsidRPr="00EA541A" w:rsidRDefault="00B05303" w:rsidP="00C57C8E">
            <w:pPr>
              <w:spacing w:before="120" w:after="840"/>
              <w:jc w:val="center"/>
              <w:rPr>
                <w:rFonts w:ascii="Arial" w:hAnsi="Arial" w:cs="Arial"/>
                <w:b/>
                <w:sz w:val="36"/>
                <w:szCs w:val="36"/>
              </w:rPr>
            </w:pPr>
            <w:r w:rsidRPr="00EA541A">
              <w:rPr>
                <w:rFonts w:ascii="Arial" w:hAnsi="Arial" w:cs="Arial"/>
                <w:b/>
                <w:sz w:val="36"/>
                <w:szCs w:val="36"/>
              </w:rPr>
              <w:t>SERVICE SPECIFICATION</w:t>
            </w:r>
          </w:p>
          <w:p w:rsidR="00B05303" w:rsidRPr="00EA541A" w:rsidRDefault="00B05303" w:rsidP="00B05303">
            <w:pPr>
              <w:spacing w:before="120" w:after="120"/>
              <w:rPr>
                <w:rFonts w:ascii="Arial" w:hAnsi="Arial" w:cs="Arial"/>
              </w:rPr>
            </w:pPr>
          </w:p>
        </w:tc>
      </w:tr>
      <w:tr w:rsidR="008314D9" w:rsidRPr="00EA541A" w:rsidTr="00CD1E70">
        <w:trPr>
          <w:trHeight w:val="1643"/>
        </w:trPr>
        <w:tc>
          <w:tcPr>
            <w:tcW w:w="6511" w:type="dxa"/>
            <w:gridSpan w:val="2"/>
          </w:tcPr>
          <w:p w:rsidR="008314D9" w:rsidRPr="002C3A00" w:rsidRDefault="008314D9" w:rsidP="008314D9">
            <w:pPr>
              <w:spacing w:before="120" w:after="120"/>
              <w:rPr>
                <w:rFonts w:ascii="Arial" w:hAnsi="Arial" w:cs="Arial"/>
                <w:sz w:val="28"/>
                <w:szCs w:val="28"/>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sidRPr="004E6782">
              <w:rPr>
                <w:b/>
                <w:sz w:val="32"/>
                <w:szCs w:val="32"/>
              </w:rPr>
              <w:t xml:space="preserve">STATUS: </w:t>
            </w:r>
            <w:r w:rsidRPr="004E6782">
              <w:rPr>
                <w:b/>
              </w:rPr>
              <w:t>These service specifications may be amended to meet local agreement needs.</w:t>
            </w:r>
            <w:bookmarkEnd w:id="0"/>
            <w:bookmarkEnd w:id="1"/>
            <w:bookmarkEnd w:id="2"/>
            <w:bookmarkEnd w:id="3"/>
            <w:bookmarkEnd w:id="4"/>
            <w:bookmarkEnd w:id="5"/>
            <w:bookmarkEnd w:id="6"/>
            <w:bookmarkEnd w:id="7"/>
          </w:p>
        </w:tc>
        <w:tc>
          <w:tcPr>
            <w:tcW w:w="3095" w:type="dxa"/>
          </w:tcPr>
          <w:p w:rsidR="008314D9" w:rsidRPr="002C3A00" w:rsidRDefault="008314D9" w:rsidP="008314D9">
            <w:pPr>
              <w:spacing w:before="120" w:after="120"/>
              <w:rPr>
                <w:rFonts w:ascii="Arial" w:hAnsi="Arial" w:cs="Arial"/>
                <w:sz w:val="28"/>
                <w:szCs w:val="28"/>
              </w:rPr>
            </w:pPr>
            <w:bookmarkStart w:id="8" w:name="_Toc206389499"/>
            <w:bookmarkStart w:id="9" w:name="_Toc215319108"/>
            <w:r w:rsidRPr="004E6782">
              <w:rPr>
                <w:b/>
                <w:sz w:val="32"/>
                <w:szCs w:val="32"/>
              </w:rPr>
              <w:t>NON-MANDATORY</w:t>
            </w:r>
            <w:bookmarkEnd w:id="8"/>
            <w:bookmarkEnd w:id="9"/>
          </w:p>
        </w:tc>
      </w:tr>
      <w:tr w:rsidR="00B05303" w:rsidRPr="00EA541A" w:rsidTr="0061038E">
        <w:trPr>
          <w:trHeight w:val="297"/>
        </w:trPr>
        <w:tc>
          <w:tcPr>
            <w:tcW w:w="6511" w:type="dxa"/>
            <w:gridSpan w:val="2"/>
            <w:tcBorders>
              <w:top w:val="single" w:sz="4" w:space="0" w:color="auto"/>
              <w:bottom w:val="single" w:sz="4" w:space="0" w:color="auto"/>
            </w:tcBorders>
            <w:shd w:val="clear" w:color="auto" w:fill="CCCCCC"/>
          </w:tcPr>
          <w:p w:rsidR="00B05303" w:rsidRPr="002C3A00" w:rsidRDefault="00B05303" w:rsidP="00B05303">
            <w:pPr>
              <w:spacing w:before="120" w:after="120"/>
              <w:rPr>
                <w:rFonts w:ascii="Arial" w:hAnsi="Arial" w:cs="Arial"/>
                <w:sz w:val="28"/>
                <w:szCs w:val="28"/>
              </w:rPr>
            </w:pPr>
            <w:r w:rsidRPr="00EA541A">
              <w:rPr>
                <w:rFonts w:ascii="Arial" w:hAnsi="Arial" w:cs="Arial"/>
                <w:sz w:val="28"/>
                <w:szCs w:val="28"/>
              </w:rPr>
              <w:t>Review History</w:t>
            </w:r>
          </w:p>
        </w:tc>
        <w:tc>
          <w:tcPr>
            <w:tcW w:w="3095" w:type="dxa"/>
            <w:tcBorders>
              <w:top w:val="single" w:sz="4" w:space="0" w:color="auto"/>
              <w:bottom w:val="single" w:sz="4" w:space="0" w:color="auto"/>
            </w:tcBorders>
            <w:shd w:val="clear" w:color="auto" w:fill="CCCCCC"/>
          </w:tcPr>
          <w:p w:rsidR="00B05303" w:rsidRPr="002C3A00" w:rsidRDefault="00B05303" w:rsidP="00B05303">
            <w:pPr>
              <w:spacing w:before="120" w:after="120"/>
              <w:rPr>
                <w:rFonts w:ascii="Arial" w:hAnsi="Arial" w:cs="Arial"/>
                <w:sz w:val="28"/>
                <w:szCs w:val="28"/>
              </w:rPr>
            </w:pPr>
            <w:r w:rsidRPr="002C3A00">
              <w:rPr>
                <w:rFonts w:ascii="Arial" w:hAnsi="Arial" w:cs="Arial"/>
                <w:sz w:val="28"/>
                <w:szCs w:val="28"/>
              </w:rPr>
              <w:t>Date</w:t>
            </w:r>
          </w:p>
        </w:tc>
      </w:tr>
      <w:tr w:rsidR="00B05303" w:rsidRPr="00EA541A" w:rsidTr="0061038E">
        <w:tc>
          <w:tcPr>
            <w:tcW w:w="6511" w:type="dxa"/>
            <w:gridSpan w:val="2"/>
            <w:tcBorders>
              <w:top w:val="single" w:sz="4" w:space="0" w:color="auto"/>
              <w:left w:val="single" w:sz="4" w:space="0" w:color="auto"/>
              <w:bottom w:val="single" w:sz="6" w:space="0" w:color="auto"/>
              <w:right w:val="single" w:sz="6" w:space="0" w:color="auto"/>
            </w:tcBorders>
            <w:vAlign w:val="center"/>
          </w:tcPr>
          <w:p w:rsidR="00B05303" w:rsidRPr="002C3A00" w:rsidRDefault="00E05493" w:rsidP="00B05303">
            <w:pPr>
              <w:spacing w:before="120" w:after="120"/>
              <w:rPr>
                <w:rFonts w:ascii="Arial" w:hAnsi="Arial" w:cs="Arial"/>
                <w:sz w:val="28"/>
                <w:szCs w:val="28"/>
              </w:rPr>
            </w:pPr>
            <w:r w:rsidRPr="00EA541A">
              <w:rPr>
                <w:rFonts w:ascii="Arial" w:hAnsi="Arial" w:cs="Arial"/>
                <w:sz w:val="28"/>
                <w:szCs w:val="28"/>
              </w:rPr>
              <w:t xml:space="preserve">First </w:t>
            </w:r>
            <w:r w:rsidR="00B05303" w:rsidRPr="002C3A00">
              <w:rPr>
                <w:rFonts w:ascii="Arial" w:hAnsi="Arial" w:cs="Arial"/>
                <w:sz w:val="28"/>
                <w:szCs w:val="28"/>
              </w:rPr>
              <w:t>Published on NSFL</w:t>
            </w:r>
          </w:p>
        </w:tc>
        <w:tc>
          <w:tcPr>
            <w:tcW w:w="3095" w:type="dxa"/>
            <w:tcBorders>
              <w:top w:val="single" w:sz="4" w:space="0" w:color="auto"/>
              <w:left w:val="single" w:sz="6" w:space="0" w:color="auto"/>
              <w:bottom w:val="single" w:sz="6" w:space="0" w:color="auto"/>
              <w:right w:val="single" w:sz="4" w:space="0" w:color="auto"/>
            </w:tcBorders>
            <w:vAlign w:val="center"/>
          </w:tcPr>
          <w:p w:rsidR="00B05303" w:rsidRPr="002C3A00" w:rsidRDefault="00B05303" w:rsidP="00B05303">
            <w:pPr>
              <w:spacing w:before="120" w:after="120"/>
              <w:rPr>
                <w:rFonts w:ascii="Arial" w:hAnsi="Arial" w:cs="Arial"/>
                <w:sz w:val="28"/>
                <w:szCs w:val="28"/>
              </w:rPr>
            </w:pPr>
            <w:r w:rsidRPr="002C3A00">
              <w:rPr>
                <w:rFonts w:ascii="Arial" w:hAnsi="Arial" w:cs="Arial"/>
                <w:sz w:val="28"/>
                <w:szCs w:val="28"/>
              </w:rPr>
              <w:t>June 2009</w:t>
            </w:r>
          </w:p>
        </w:tc>
      </w:tr>
      <w:tr w:rsidR="00E05493" w:rsidRPr="00EA541A" w:rsidTr="0061038E">
        <w:tc>
          <w:tcPr>
            <w:tcW w:w="6511" w:type="dxa"/>
            <w:gridSpan w:val="2"/>
            <w:tcBorders>
              <w:top w:val="single" w:sz="6" w:space="0" w:color="auto"/>
              <w:left w:val="single" w:sz="4" w:space="0" w:color="auto"/>
              <w:bottom w:val="single" w:sz="6" w:space="0" w:color="auto"/>
              <w:right w:val="single" w:sz="6" w:space="0" w:color="auto"/>
            </w:tcBorders>
            <w:vAlign w:val="center"/>
          </w:tcPr>
          <w:p w:rsidR="00E05493" w:rsidRPr="0061038E" w:rsidRDefault="00E05493" w:rsidP="008314D9">
            <w:pPr>
              <w:spacing w:before="120" w:after="120"/>
              <w:rPr>
                <w:rFonts w:ascii="Arial" w:hAnsi="Arial" w:cs="Arial"/>
              </w:rPr>
            </w:pPr>
            <w:r w:rsidRPr="0061038E">
              <w:rPr>
                <w:rFonts w:ascii="Arial" w:hAnsi="Arial" w:cs="Arial"/>
                <w:b/>
              </w:rPr>
              <w:t>Amendments</w:t>
            </w:r>
            <w:r w:rsidR="008314D9" w:rsidRPr="0061038E">
              <w:rPr>
                <w:rFonts w:ascii="Arial" w:hAnsi="Arial" w:cs="Arial"/>
                <w:b/>
              </w:rPr>
              <w:t>:</w:t>
            </w:r>
            <w:r w:rsidRPr="0061038E">
              <w:rPr>
                <w:rFonts w:ascii="Arial" w:hAnsi="Arial" w:cs="Arial"/>
              </w:rPr>
              <w:t xml:space="preserve"> </w:t>
            </w:r>
            <w:r w:rsidRPr="008314D9">
              <w:rPr>
                <w:rFonts w:ascii="Arial" w:hAnsi="Arial" w:cs="Arial"/>
              </w:rPr>
              <w:t>clarified reporting requirements, completed PU table. Corrected title, edited for consistency</w:t>
            </w:r>
          </w:p>
        </w:tc>
        <w:tc>
          <w:tcPr>
            <w:tcW w:w="3095" w:type="dxa"/>
            <w:tcBorders>
              <w:top w:val="single" w:sz="6" w:space="0" w:color="auto"/>
              <w:left w:val="single" w:sz="6" w:space="0" w:color="auto"/>
              <w:bottom w:val="single" w:sz="6" w:space="0" w:color="auto"/>
              <w:right w:val="single" w:sz="4" w:space="0" w:color="auto"/>
            </w:tcBorders>
            <w:vAlign w:val="center"/>
          </w:tcPr>
          <w:p w:rsidR="00E05493" w:rsidRPr="002C3A00" w:rsidRDefault="00E05493" w:rsidP="00E05493">
            <w:pPr>
              <w:spacing w:before="120" w:after="120"/>
              <w:rPr>
                <w:rFonts w:ascii="Arial" w:hAnsi="Arial" w:cs="Arial"/>
                <w:sz w:val="28"/>
                <w:szCs w:val="28"/>
              </w:rPr>
            </w:pPr>
            <w:r w:rsidRPr="002C3A00">
              <w:rPr>
                <w:rFonts w:ascii="Arial" w:hAnsi="Arial" w:cs="Arial"/>
                <w:sz w:val="28"/>
                <w:szCs w:val="28"/>
              </w:rPr>
              <w:t>April 2013</w:t>
            </w:r>
          </w:p>
        </w:tc>
      </w:tr>
      <w:tr w:rsidR="0075665A" w:rsidRPr="00EA541A" w:rsidTr="0061038E">
        <w:tc>
          <w:tcPr>
            <w:tcW w:w="6511" w:type="dxa"/>
            <w:gridSpan w:val="2"/>
            <w:tcBorders>
              <w:top w:val="single" w:sz="6" w:space="0" w:color="auto"/>
              <w:left w:val="single" w:sz="4" w:space="0" w:color="auto"/>
              <w:bottom w:val="single" w:sz="6" w:space="0" w:color="auto"/>
              <w:right w:val="single" w:sz="6" w:space="0" w:color="auto"/>
            </w:tcBorders>
            <w:vAlign w:val="center"/>
          </w:tcPr>
          <w:p w:rsidR="0075665A" w:rsidRPr="00EA541A" w:rsidRDefault="0075665A" w:rsidP="0075665A">
            <w:pPr>
              <w:spacing w:before="120" w:after="120"/>
              <w:rPr>
                <w:rFonts w:ascii="Arial" w:hAnsi="Arial" w:cs="Arial"/>
                <w:sz w:val="28"/>
                <w:szCs w:val="28"/>
              </w:rPr>
            </w:pPr>
            <w:r w:rsidRPr="0061038E">
              <w:rPr>
                <w:rFonts w:ascii="Arial" w:hAnsi="Arial" w:cs="Arial"/>
                <w:b/>
              </w:rPr>
              <w:t>Amendments</w:t>
            </w:r>
            <w:r w:rsidRPr="006746EF">
              <w:rPr>
                <w:rFonts w:ascii="Arial" w:hAnsi="Arial" w:cs="Arial"/>
              </w:rPr>
              <w:t>: added MHA</w:t>
            </w:r>
            <w:r>
              <w:rPr>
                <w:rFonts w:ascii="Arial" w:hAnsi="Arial" w:cs="Arial"/>
              </w:rPr>
              <w:t>55</w:t>
            </w:r>
            <w:r w:rsidRPr="006746EF">
              <w:rPr>
                <w:rFonts w:ascii="Arial" w:hAnsi="Arial" w:cs="Arial"/>
              </w:rPr>
              <w:t xml:space="preserve">S purchase unit code, removed standard provider </w:t>
            </w:r>
            <w:r>
              <w:rPr>
                <w:rFonts w:ascii="Arial" w:hAnsi="Arial" w:cs="Arial"/>
              </w:rPr>
              <w:t>m</w:t>
            </w:r>
            <w:r w:rsidRPr="006746EF">
              <w:rPr>
                <w:rFonts w:ascii="Arial" w:hAnsi="Arial" w:cs="Arial"/>
              </w:rPr>
              <w:t>onitoring reporting</w:t>
            </w:r>
            <w:r>
              <w:rPr>
                <w:rFonts w:ascii="Arial" w:hAnsi="Arial" w:cs="Arial"/>
              </w:rPr>
              <w:t xml:space="preserve"> tables</w:t>
            </w:r>
            <w:r w:rsidRPr="006746EF">
              <w:rPr>
                <w:rFonts w:ascii="Arial" w:hAnsi="Arial" w:cs="Arial"/>
              </w:rPr>
              <w:t>.</w:t>
            </w:r>
            <w:r>
              <w:rPr>
                <w:rFonts w:ascii="Arial" w:hAnsi="Arial" w:cs="Arial"/>
              </w:rPr>
              <w:t xml:space="preserve"> Minor editing. </w:t>
            </w:r>
          </w:p>
        </w:tc>
        <w:tc>
          <w:tcPr>
            <w:tcW w:w="3095" w:type="dxa"/>
            <w:tcBorders>
              <w:top w:val="single" w:sz="6" w:space="0" w:color="auto"/>
              <w:left w:val="single" w:sz="6" w:space="0" w:color="auto"/>
              <w:bottom w:val="single" w:sz="6" w:space="0" w:color="auto"/>
              <w:right w:val="single" w:sz="4" w:space="0" w:color="auto"/>
            </w:tcBorders>
            <w:vAlign w:val="center"/>
          </w:tcPr>
          <w:p w:rsidR="0075665A" w:rsidRPr="002C3A00" w:rsidRDefault="008314D9" w:rsidP="0075665A">
            <w:pPr>
              <w:spacing w:before="120" w:after="120"/>
              <w:rPr>
                <w:rFonts w:ascii="Arial" w:hAnsi="Arial" w:cs="Arial"/>
                <w:sz w:val="28"/>
                <w:szCs w:val="28"/>
              </w:rPr>
            </w:pPr>
            <w:r>
              <w:rPr>
                <w:rFonts w:ascii="Arial" w:hAnsi="Arial" w:cs="Arial"/>
                <w:sz w:val="28"/>
                <w:szCs w:val="28"/>
              </w:rPr>
              <w:t>April 2017</w:t>
            </w:r>
          </w:p>
        </w:tc>
      </w:tr>
      <w:tr w:rsidR="0075665A" w:rsidRPr="00EA541A" w:rsidTr="0061038E">
        <w:tc>
          <w:tcPr>
            <w:tcW w:w="6511" w:type="dxa"/>
            <w:gridSpan w:val="2"/>
            <w:tcBorders>
              <w:top w:val="single" w:sz="6" w:space="0" w:color="auto"/>
              <w:left w:val="single" w:sz="4" w:space="0" w:color="auto"/>
              <w:bottom w:val="single" w:sz="6" w:space="0" w:color="auto"/>
              <w:right w:val="single" w:sz="6" w:space="0" w:color="auto"/>
            </w:tcBorders>
            <w:vAlign w:val="center"/>
          </w:tcPr>
          <w:p w:rsidR="0075665A" w:rsidRPr="002C3A00" w:rsidRDefault="0075665A" w:rsidP="0075665A">
            <w:pPr>
              <w:spacing w:before="120" w:after="120"/>
              <w:rPr>
                <w:rFonts w:ascii="Arial" w:hAnsi="Arial" w:cs="Arial"/>
                <w:sz w:val="28"/>
                <w:szCs w:val="28"/>
              </w:rPr>
            </w:pPr>
            <w:r w:rsidRPr="00EA541A">
              <w:rPr>
                <w:rFonts w:ascii="Arial" w:hAnsi="Arial" w:cs="Arial"/>
                <w:sz w:val="28"/>
                <w:szCs w:val="28"/>
              </w:rPr>
              <w:t>Consideration for next</w:t>
            </w:r>
            <w:r w:rsidRPr="002C3A00">
              <w:rPr>
                <w:rFonts w:ascii="Arial" w:hAnsi="Arial" w:cs="Arial"/>
                <w:sz w:val="28"/>
                <w:szCs w:val="28"/>
              </w:rPr>
              <w:t xml:space="preserve"> Service Specification Review</w:t>
            </w:r>
          </w:p>
        </w:tc>
        <w:tc>
          <w:tcPr>
            <w:tcW w:w="3095" w:type="dxa"/>
            <w:tcBorders>
              <w:top w:val="single" w:sz="6" w:space="0" w:color="auto"/>
              <w:left w:val="single" w:sz="6" w:space="0" w:color="auto"/>
              <w:bottom w:val="single" w:sz="6" w:space="0" w:color="auto"/>
              <w:right w:val="single" w:sz="4" w:space="0" w:color="auto"/>
            </w:tcBorders>
            <w:vAlign w:val="center"/>
          </w:tcPr>
          <w:p w:rsidR="0075665A" w:rsidRPr="002C3A00" w:rsidRDefault="0075665A" w:rsidP="0075665A">
            <w:pPr>
              <w:spacing w:before="120" w:after="120"/>
              <w:rPr>
                <w:rFonts w:ascii="Arial" w:hAnsi="Arial" w:cs="Arial"/>
                <w:sz w:val="28"/>
                <w:szCs w:val="28"/>
              </w:rPr>
            </w:pPr>
            <w:r w:rsidRPr="002C3A00">
              <w:rPr>
                <w:rFonts w:ascii="Arial" w:hAnsi="Arial" w:cs="Arial"/>
                <w:sz w:val="28"/>
                <w:szCs w:val="28"/>
              </w:rPr>
              <w:t>Within five years</w:t>
            </w:r>
          </w:p>
        </w:tc>
      </w:tr>
    </w:tbl>
    <w:p w:rsidR="00E05493" w:rsidRPr="00EA541A" w:rsidRDefault="00E05493" w:rsidP="00E05493">
      <w:pPr>
        <w:spacing w:before="120"/>
        <w:rPr>
          <w:rFonts w:ascii="Arial" w:hAnsi="Arial" w:cs="Arial"/>
          <w:lang w:val="en-GB" w:eastAsia="en-GB"/>
        </w:rPr>
      </w:pPr>
      <w:bookmarkStart w:id="10" w:name="_Toc215319119"/>
      <w:r w:rsidRPr="00EA541A">
        <w:rPr>
          <w:rFonts w:ascii="Arial" w:hAnsi="Arial" w:cs="Arial"/>
          <w:b/>
          <w:lang w:val="en-GB" w:eastAsia="en-GB"/>
        </w:rPr>
        <w:t>Note:</w:t>
      </w:r>
      <w:r w:rsidRPr="002C3A00">
        <w:rPr>
          <w:rFonts w:ascii="Arial" w:hAnsi="Arial" w:cs="Arial"/>
          <w:lang w:val="en-GB" w:eastAsia="en-GB"/>
        </w:rPr>
        <w:t xml:space="preserve"> Contact the Service Specification Programme Manager,</w:t>
      </w:r>
      <w:r w:rsidR="0075665A">
        <w:rPr>
          <w:rFonts w:ascii="Arial" w:hAnsi="Arial" w:cs="Arial"/>
          <w:lang w:val="en-GB" w:eastAsia="en-GB"/>
        </w:rPr>
        <w:t xml:space="preserve"> Service Commissioning</w:t>
      </w:r>
      <w:r w:rsidRPr="002C3A00">
        <w:rPr>
          <w:rFonts w:ascii="Arial" w:hAnsi="Arial" w:cs="Arial"/>
          <w:lang w:val="en-GB" w:eastAsia="en-GB"/>
        </w:rPr>
        <w:t>, Ministry of Health to discuss proposed amendments to the service specifications and guidance in developing new or updating and revising existing service specificatio</w:t>
      </w:r>
      <w:r w:rsidRPr="00EA541A">
        <w:rPr>
          <w:rFonts w:ascii="Arial" w:hAnsi="Arial" w:cs="Arial"/>
          <w:lang w:val="en-GB" w:eastAsia="en-GB"/>
        </w:rPr>
        <w:t xml:space="preserve">ns. </w:t>
      </w:r>
    </w:p>
    <w:p w:rsidR="008314D9" w:rsidRDefault="00E05493" w:rsidP="00CD1E70">
      <w:pPr>
        <w:spacing w:before="120"/>
        <w:rPr>
          <w:rFonts w:ascii="Arial" w:hAnsi="Arial" w:cs="Arial"/>
          <w:lang w:val="en-GB" w:eastAsia="en-GB"/>
        </w:rPr>
      </w:pPr>
      <w:r w:rsidRPr="00EA541A">
        <w:rPr>
          <w:rFonts w:ascii="Arial" w:hAnsi="Arial" w:cs="Arial"/>
          <w:lang w:val="en-GB" w:eastAsia="en-GB"/>
        </w:rPr>
        <w:t xml:space="preserve">Nationwide Service Framework Library web site </w:t>
      </w:r>
      <w:hyperlink r:id="rId9" w:history="1">
        <w:r w:rsidRPr="00EA541A">
          <w:rPr>
            <w:rFonts w:ascii="Arial" w:hAnsi="Arial" w:cs="Arial"/>
            <w:color w:val="0000FF"/>
            <w:u w:val="single"/>
            <w:lang w:val="en-GB" w:eastAsia="en-GB"/>
          </w:rPr>
          <w:t>http://www.nsfl.health.govt.nz/</w:t>
        </w:r>
      </w:hyperlink>
      <w:r w:rsidRPr="00EA541A">
        <w:rPr>
          <w:rFonts w:ascii="Arial" w:hAnsi="Arial" w:cs="Arial"/>
          <w:lang w:val="en-GB" w:eastAsia="en-GB"/>
        </w:rPr>
        <w:t xml:space="preserve"> </w:t>
      </w:r>
      <w:bookmarkEnd w:id="10"/>
      <w:r w:rsidR="008314D9">
        <w:rPr>
          <w:rFonts w:ascii="Arial" w:hAnsi="Arial" w:cs="Arial"/>
          <w:lang w:val="en-GB" w:eastAsia="en-GB"/>
        </w:rPr>
        <w:br w:type="page"/>
      </w:r>
    </w:p>
    <w:p w:rsidR="00B05303" w:rsidRPr="00EA541A" w:rsidRDefault="00B05303" w:rsidP="0061038E">
      <w:pPr>
        <w:pBdr>
          <w:top w:val="single" w:sz="4" w:space="1" w:color="auto"/>
          <w:left w:val="single" w:sz="4" w:space="4" w:color="auto"/>
          <w:bottom w:val="single" w:sz="4" w:space="1" w:color="auto"/>
          <w:right w:val="single" w:sz="4" w:space="4" w:color="auto"/>
        </w:pBdr>
        <w:rPr>
          <w:rFonts w:ascii="Arial" w:hAnsi="Arial" w:cs="Arial"/>
          <w:b/>
        </w:rPr>
      </w:pPr>
      <w:r w:rsidRPr="00EA541A">
        <w:rPr>
          <w:rFonts w:ascii="Arial" w:hAnsi="Arial" w:cs="Arial"/>
          <w:b/>
        </w:rPr>
        <w:lastRenderedPageBreak/>
        <w:t>INFANT, CHILD, ADOLESCENT, AND YOUTH COMMUNITY SUPPORT SERVICE</w:t>
      </w:r>
    </w:p>
    <w:p w:rsidR="00B05303" w:rsidRPr="00EA541A" w:rsidRDefault="00B05303" w:rsidP="0061038E">
      <w:pPr>
        <w:pBdr>
          <w:top w:val="single" w:sz="4" w:space="1" w:color="auto"/>
          <w:left w:val="single" w:sz="4" w:space="4" w:color="auto"/>
          <w:bottom w:val="single" w:sz="4" w:space="1" w:color="auto"/>
          <w:right w:val="single" w:sz="4" w:space="4" w:color="auto"/>
        </w:pBdr>
        <w:jc w:val="center"/>
        <w:rPr>
          <w:rFonts w:ascii="Arial" w:hAnsi="Arial" w:cs="Arial"/>
          <w:b/>
        </w:rPr>
      </w:pPr>
      <w:r w:rsidRPr="00EA541A">
        <w:rPr>
          <w:rFonts w:ascii="Arial" w:hAnsi="Arial" w:cs="Arial"/>
          <w:b/>
        </w:rPr>
        <w:t xml:space="preserve">HOME BASED SUPPORT/SUPPORT FOR </w:t>
      </w:r>
      <w:smartTag w:uri="urn:schemas-microsoft-com:office:smarttags" w:element="City">
        <w:smartTag w:uri="urn:schemas-microsoft-com:office:smarttags" w:element="place">
          <w:r w:rsidRPr="00EA541A">
            <w:rPr>
              <w:rFonts w:ascii="Arial" w:hAnsi="Arial" w:cs="Arial"/>
              <w:b/>
            </w:rPr>
            <w:t>INDEPENDENCE</w:t>
          </w:r>
        </w:smartTag>
      </w:smartTag>
    </w:p>
    <w:p w:rsidR="00330C31" w:rsidRDefault="00330C31" w:rsidP="0061038E">
      <w:pPr>
        <w:pBdr>
          <w:top w:val="single" w:sz="4" w:space="1" w:color="auto"/>
          <w:left w:val="single" w:sz="4" w:space="4" w:color="auto"/>
          <w:bottom w:val="single" w:sz="4" w:space="1" w:color="auto"/>
          <w:right w:val="single" w:sz="4" w:space="4" w:color="auto"/>
        </w:pBdr>
        <w:jc w:val="center"/>
        <w:rPr>
          <w:rFonts w:ascii="Arial" w:hAnsi="Arial" w:cs="Arial"/>
          <w:b/>
        </w:rPr>
      </w:pPr>
      <w:r w:rsidRPr="00EA541A">
        <w:rPr>
          <w:rFonts w:ascii="Arial" w:hAnsi="Arial" w:cs="Arial"/>
          <w:b/>
        </w:rPr>
        <w:t>MENTAL HEALTH AND ADDICTION SERVICES</w:t>
      </w:r>
    </w:p>
    <w:p w:rsidR="00B05303" w:rsidRPr="00EA541A" w:rsidRDefault="00695340" w:rsidP="0061038E">
      <w:pPr>
        <w:pBdr>
          <w:top w:val="single" w:sz="4" w:space="1" w:color="auto"/>
          <w:left w:val="single" w:sz="4" w:space="4" w:color="auto"/>
          <w:bottom w:val="single" w:sz="4" w:space="1" w:color="auto"/>
          <w:right w:val="single" w:sz="4" w:space="4" w:color="auto"/>
        </w:pBdr>
        <w:jc w:val="center"/>
        <w:rPr>
          <w:rFonts w:ascii="Arial" w:hAnsi="Arial" w:cs="Arial"/>
          <w:b/>
        </w:rPr>
      </w:pPr>
      <w:r w:rsidRPr="00EA541A">
        <w:rPr>
          <w:rFonts w:ascii="Arial" w:hAnsi="Arial" w:cs="Arial"/>
          <w:b/>
        </w:rPr>
        <w:t>TIER THREE</w:t>
      </w:r>
      <w:r w:rsidR="0075665A">
        <w:rPr>
          <w:rFonts w:ascii="Arial" w:hAnsi="Arial" w:cs="Arial"/>
          <w:b/>
        </w:rPr>
        <w:t xml:space="preserve"> </w:t>
      </w:r>
      <w:r w:rsidR="00B05303" w:rsidRPr="00EA541A">
        <w:rPr>
          <w:rFonts w:ascii="Arial" w:hAnsi="Arial" w:cs="Arial"/>
          <w:b/>
        </w:rPr>
        <w:t>SERVICE SPECIFICATION</w:t>
      </w:r>
    </w:p>
    <w:p w:rsidR="00B05303" w:rsidRPr="00EA541A" w:rsidRDefault="00B05303" w:rsidP="00CD1E70">
      <w:pPr>
        <w:pBdr>
          <w:top w:val="single" w:sz="4" w:space="1" w:color="auto"/>
          <w:left w:val="single" w:sz="4" w:space="4" w:color="auto"/>
          <w:bottom w:val="single" w:sz="4" w:space="1" w:color="auto"/>
          <w:right w:val="single" w:sz="4" w:space="4" w:color="auto"/>
        </w:pBdr>
        <w:spacing w:before="120"/>
        <w:jc w:val="center"/>
        <w:rPr>
          <w:rFonts w:ascii="Arial" w:hAnsi="Arial" w:cs="Arial"/>
          <w:b/>
        </w:rPr>
      </w:pPr>
      <w:r w:rsidRPr="00EA541A">
        <w:rPr>
          <w:rFonts w:ascii="Arial" w:hAnsi="Arial" w:cs="Arial"/>
          <w:b/>
        </w:rPr>
        <w:t>MHI55D, MHI55E, MHI55F</w:t>
      </w:r>
      <w:r w:rsidR="0075665A">
        <w:rPr>
          <w:rFonts w:ascii="Arial" w:hAnsi="Arial" w:cs="Arial"/>
          <w:b/>
        </w:rPr>
        <w:t>, MHI55S</w:t>
      </w:r>
    </w:p>
    <w:p w:rsidR="00B05303" w:rsidRPr="00EA541A" w:rsidRDefault="00B05303" w:rsidP="00B05303">
      <w:pPr>
        <w:spacing w:before="120"/>
        <w:rPr>
          <w:rFonts w:ascii="Arial" w:hAnsi="Arial" w:cs="Arial"/>
        </w:rPr>
      </w:pPr>
      <w:r w:rsidRPr="00EA541A">
        <w:rPr>
          <w:rFonts w:ascii="Arial" w:hAnsi="Arial" w:cs="Arial"/>
        </w:rPr>
        <w:t xml:space="preserve">This tier three service specification for Infant, Child, Adolescent and Youth Community Support Service Home Based Support/Support </w:t>
      </w:r>
      <w:r w:rsidR="0075665A">
        <w:rPr>
          <w:rFonts w:ascii="Arial" w:hAnsi="Arial" w:cs="Arial"/>
        </w:rPr>
        <w:t>f</w:t>
      </w:r>
      <w:r w:rsidRPr="00EA541A">
        <w:rPr>
          <w:rFonts w:ascii="Arial" w:hAnsi="Arial" w:cs="Arial"/>
        </w:rPr>
        <w:t>or Independence (the Service)</w:t>
      </w:r>
      <w:r w:rsidR="008314D9" w:rsidRPr="008314D9">
        <w:t xml:space="preserve"> </w:t>
      </w:r>
      <w:r w:rsidR="008314D9" w:rsidRPr="008314D9">
        <w:rPr>
          <w:rFonts w:ascii="Arial" w:hAnsi="Arial" w:cs="Arial"/>
        </w:rPr>
        <w:t xml:space="preserve">must be used in conjunction with </w:t>
      </w:r>
      <w:r w:rsidRPr="00EA541A">
        <w:rPr>
          <w:rFonts w:ascii="Arial" w:hAnsi="Arial" w:cs="Arial"/>
        </w:rPr>
        <w:t>tier one Mental Health and Addiction and tier two Infant, Child, Adolescent and Youth service specifications.</w:t>
      </w:r>
    </w:p>
    <w:p w:rsidR="00B05303" w:rsidRPr="00EA541A" w:rsidRDefault="00B05303" w:rsidP="00B05303">
      <w:pPr>
        <w:tabs>
          <w:tab w:val="left" w:pos="540"/>
        </w:tabs>
        <w:spacing w:before="240" w:after="120"/>
        <w:rPr>
          <w:rFonts w:ascii="Arial" w:hAnsi="Arial" w:cs="Arial"/>
          <w:b/>
        </w:rPr>
      </w:pPr>
      <w:r w:rsidRPr="00EA541A">
        <w:rPr>
          <w:rFonts w:ascii="Arial" w:hAnsi="Arial" w:cs="Arial"/>
          <w:b/>
        </w:rPr>
        <w:t>1.</w:t>
      </w:r>
      <w:r w:rsidRPr="00EA541A">
        <w:rPr>
          <w:rFonts w:ascii="Arial" w:hAnsi="Arial" w:cs="Arial"/>
          <w:b/>
        </w:rPr>
        <w:tab/>
        <w:t>Service Definition</w:t>
      </w:r>
    </w:p>
    <w:p w:rsidR="00B05303" w:rsidRPr="00EA541A" w:rsidRDefault="00B05303" w:rsidP="00B05303">
      <w:pPr>
        <w:spacing w:before="120"/>
        <w:rPr>
          <w:rFonts w:ascii="Arial" w:hAnsi="Arial" w:cs="Arial"/>
        </w:rPr>
      </w:pPr>
      <w:r w:rsidRPr="00EA541A">
        <w:rPr>
          <w:rFonts w:ascii="Arial" w:hAnsi="Arial" w:cs="Arial"/>
        </w:rPr>
        <w:t>The Service will include:</w:t>
      </w:r>
    </w:p>
    <w:p w:rsidR="00B05303" w:rsidRPr="00EA541A" w:rsidRDefault="00B05303" w:rsidP="00B05303">
      <w:pPr>
        <w:numPr>
          <w:ilvl w:val="0"/>
          <w:numId w:val="1"/>
        </w:numPr>
        <w:tabs>
          <w:tab w:val="clear" w:pos="720"/>
          <w:tab w:val="num" w:pos="540"/>
        </w:tabs>
        <w:spacing w:before="120"/>
        <w:ind w:left="539" w:hanging="539"/>
        <w:rPr>
          <w:rFonts w:ascii="Arial" w:hAnsi="Arial" w:cs="Arial"/>
        </w:rPr>
      </w:pPr>
      <w:r w:rsidRPr="00EA541A">
        <w:rPr>
          <w:rFonts w:ascii="Arial" w:hAnsi="Arial" w:cs="Arial"/>
        </w:rPr>
        <w:t>assisting the infant, child, adolescent or youth and their family/whānau in determining their support and cultural needs</w:t>
      </w:r>
    </w:p>
    <w:p w:rsidR="00B05303" w:rsidRPr="00EA541A" w:rsidRDefault="00B05303" w:rsidP="00B05303">
      <w:pPr>
        <w:numPr>
          <w:ilvl w:val="0"/>
          <w:numId w:val="1"/>
        </w:numPr>
        <w:tabs>
          <w:tab w:val="clear" w:pos="720"/>
          <w:tab w:val="num" w:pos="540"/>
        </w:tabs>
        <w:spacing w:before="120"/>
        <w:ind w:left="539" w:hanging="539"/>
        <w:rPr>
          <w:rFonts w:ascii="Arial" w:hAnsi="Arial" w:cs="Arial"/>
        </w:rPr>
      </w:pPr>
      <w:r w:rsidRPr="00EA541A">
        <w:rPr>
          <w:rFonts w:ascii="Arial" w:hAnsi="Arial" w:cs="Arial"/>
        </w:rPr>
        <w:t>co-ordination of access to the support resources and services that the child, adolescent or youth and their family/whānau wish to use</w:t>
      </w:r>
    </w:p>
    <w:p w:rsidR="00B05303" w:rsidRPr="00EA541A" w:rsidRDefault="00B05303" w:rsidP="00B05303">
      <w:pPr>
        <w:numPr>
          <w:ilvl w:val="0"/>
          <w:numId w:val="2"/>
        </w:numPr>
        <w:tabs>
          <w:tab w:val="clear" w:pos="720"/>
          <w:tab w:val="num" w:pos="540"/>
        </w:tabs>
        <w:spacing w:before="120"/>
        <w:ind w:left="539" w:hanging="539"/>
        <w:rPr>
          <w:rFonts w:ascii="Arial" w:hAnsi="Arial" w:cs="Arial"/>
        </w:rPr>
      </w:pPr>
      <w:r w:rsidRPr="00EA541A">
        <w:rPr>
          <w:rFonts w:ascii="Arial" w:hAnsi="Arial" w:cs="Arial"/>
        </w:rPr>
        <w:t>provision of a range of support options, including but not limited to:</w:t>
      </w:r>
    </w:p>
    <w:p w:rsidR="00B05303" w:rsidRPr="00EA541A" w:rsidRDefault="00B05303" w:rsidP="00B05303">
      <w:pPr>
        <w:numPr>
          <w:ilvl w:val="0"/>
          <w:numId w:val="3"/>
        </w:numPr>
        <w:tabs>
          <w:tab w:val="clear" w:pos="720"/>
          <w:tab w:val="num" w:pos="1080"/>
        </w:tabs>
        <w:ind w:left="1080" w:hanging="540"/>
        <w:rPr>
          <w:rFonts w:ascii="Arial" w:hAnsi="Arial" w:cs="Arial"/>
        </w:rPr>
      </w:pPr>
      <w:r w:rsidRPr="00EA541A">
        <w:rPr>
          <w:rFonts w:ascii="Arial" w:hAnsi="Arial" w:cs="Arial"/>
        </w:rPr>
        <w:t>home-based support</w:t>
      </w:r>
    </w:p>
    <w:p w:rsidR="00B05303" w:rsidRPr="00EA541A" w:rsidRDefault="00B05303" w:rsidP="00B05303">
      <w:pPr>
        <w:numPr>
          <w:ilvl w:val="0"/>
          <w:numId w:val="3"/>
        </w:numPr>
        <w:tabs>
          <w:tab w:val="clear" w:pos="720"/>
          <w:tab w:val="num" w:pos="1080"/>
        </w:tabs>
        <w:ind w:left="1080" w:hanging="540"/>
        <w:rPr>
          <w:rFonts w:ascii="Arial" w:hAnsi="Arial" w:cs="Arial"/>
        </w:rPr>
      </w:pPr>
      <w:r w:rsidRPr="00EA541A">
        <w:rPr>
          <w:rFonts w:ascii="Arial" w:hAnsi="Arial" w:cs="Arial"/>
        </w:rPr>
        <w:t xml:space="preserve">community support </w:t>
      </w:r>
    </w:p>
    <w:p w:rsidR="00B05303" w:rsidRPr="00EA541A" w:rsidRDefault="00B05303" w:rsidP="00B05303">
      <w:pPr>
        <w:numPr>
          <w:ilvl w:val="0"/>
          <w:numId w:val="3"/>
        </w:numPr>
        <w:tabs>
          <w:tab w:val="clear" w:pos="720"/>
          <w:tab w:val="num" w:pos="1080"/>
        </w:tabs>
        <w:ind w:left="1080" w:hanging="540"/>
        <w:rPr>
          <w:rFonts w:ascii="Arial" w:hAnsi="Arial" w:cs="Arial"/>
        </w:rPr>
      </w:pPr>
      <w:r w:rsidRPr="00EA541A">
        <w:rPr>
          <w:rFonts w:ascii="Arial" w:hAnsi="Arial" w:cs="Arial"/>
        </w:rPr>
        <w:t>support for independence</w:t>
      </w:r>
    </w:p>
    <w:p w:rsidR="00B05303" w:rsidRPr="00EA541A" w:rsidRDefault="00B05303" w:rsidP="00B05303">
      <w:pPr>
        <w:numPr>
          <w:ilvl w:val="0"/>
          <w:numId w:val="1"/>
        </w:numPr>
        <w:tabs>
          <w:tab w:val="clear" w:pos="720"/>
          <w:tab w:val="num" w:pos="540"/>
        </w:tabs>
        <w:spacing w:before="120"/>
        <w:ind w:left="539" w:hanging="539"/>
        <w:rPr>
          <w:rFonts w:ascii="Arial" w:hAnsi="Arial" w:cs="Arial"/>
        </w:rPr>
      </w:pPr>
      <w:r w:rsidRPr="00EA541A">
        <w:rPr>
          <w:rFonts w:ascii="Arial" w:hAnsi="Arial" w:cs="Arial"/>
        </w:rPr>
        <w:t xml:space="preserve">when required, and in consultation with family/whānau, </w:t>
      </w:r>
      <w:r w:rsidRPr="00EA541A">
        <w:rPr>
          <w:rFonts w:ascii="Arial" w:hAnsi="Arial" w:cs="Arial"/>
          <w:color w:val="000000"/>
        </w:rPr>
        <w:t xml:space="preserve">assisting the </w:t>
      </w:r>
      <w:r w:rsidR="00685BBB" w:rsidRPr="00EA541A">
        <w:rPr>
          <w:rFonts w:ascii="Arial" w:hAnsi="Arial" w:cs="Arial"/>
          <w:color w:val="000000"/>
        </w:rPr>
        <w:t>Service User</w:t>
      </w:r>
      <w:r w:rsidRPr="00EA541A">
        <w:rPr>
          <w:rFonts w:ascii="Arial" w:hAnsi="Arial" w:cs="Arial"/>
          <w:color w:val="000000"/>
        </w:rPr>
        <w:t xml:space="preserve"> to manage the activities of daily living, including personal care</w:t>
      </w:r>
    </w:p>
    <w:p w:rsidR="00B05303" w:rsidRPr="00EA541A" w:rsidRDefault="00B05303" w:rsidP="00B05303">
      <w:pPr>
        <w:numPr>
          <w:ilvl w:val="0"/>
          <w:numId w:val="1"/>
        </w:numPr>
        <w:tabs>
          <w:tab w:val="clear" w:pos="720"/>
          <w:tab w:val="num" w:pos="540"/>
        </w:tabs>
        <w:spacing w:before="120"/>
        <w:ind w:left="539" w:hanging="539"/>
        <w:rPr>
          <w:rFonts w:ascii="Arial" w:hAnsi="Arial" w:cs="Arial"/>
          <w:color w:val="000000"/>
        </w:rPr>
      </w:pPr>
      <w:r w:rsidRPr="00EA541A">
        <w:rPr>
          <w:rFonts w:ascii="Arial" w:hAnsi="Arial" w:cs="Arial"/>
        </w:rPr>
        <w:t>assisting the child, adolescent or youth to maintain connection with or access to community-based activities, health, education, vocational and social services, and collaborate with clinical services.</w:t>
      </w:r>
      <w:r w:rsidRPr="00EA541A">
        <w:rPr>
          <w:rFonts w:ascii="Arial" w:hAnsi="Arial" w:cs="Arial"/>
          <w:color w:val="000000"/>
        </w:rPr>
        <w:t xml:space="preserve"> </w:t>
      </w:r>
    </w:p>
    <w:p w:rsidR="00B05303" w:rsidRPr="00EA541A" w:rsidRDefault="00B05303" w:rsidP="00B05303">
      <w:pPr>
        <w:spacing w:before="120" w:after="120"/>
        <w:rPr>
          <w:rFonts w:ascii="Arial" w:hAnsi="Arial" w:cs="Arial"/>
          <w:color w:val="000000"/>
        </w:rPr>
      </w:pPr>
      <w:r w:rsidRPr="00EA541A">
        <w:rPr>
          <w:rFonts w:ascii="Arial" w:hAnsi="Arial" w:cs="Arial"/>
          <w:color w:val="000000"/>
        </w:rPr>
        <w:t xml:space="preserve">The Service will: </w:t>
      </w:r>
    </w:p>
    <w:p w:rsidR="00B05303" w:rsidRPr="00EA541A" w:rsidRDefault="00B05303" w:rsidP="00B05303">
      <w:pPr>
        <w:numPr>
          <w:ilvl w:val="0"/>
          <w:numId w:val="1"/>
        </w:numPr>
        <w:tabs>
          <w:tab w:val="clear" w:pos="720"/>
          <w:tab w:val="num" w:pos="540"/>
        </w:tabs>
        <w:spacing w:before="120"/>
        <w:ind w:left="539" w:hanging="539"/>
        <w:rPr>
          <w:rFonts w:ascii="Arial" w:hAnsi="Arial" w:cs="Arial"/>
        </w:rPr>
      </w:pPr>
      <w:r w:rsidRPr="00EA541A">
        <w:rPr>
          <w:rFonts w:ascii="Arial" w:hAnsi="Arial" w:cs="Arial"/>
        </w:rPr>
        <w:t xml:space="preserve">be recovery focused </w:t>
      </w:r>
    </w:p>
    <w:p w:rsidR="00B05303" w:rsidRPr="00EA541A" w:rsidRDefault="00B05303" w:rsidP="00B05303">
      <w:pPr>
        <w:numPr>
          <w:ilvl w:val="0"/>
          <w:numId w:val="1"/>
        </w:numPr>
        <w:tabs>
          <w:tab w:val="clear" w:pos="720"/>
          <w:tab w:val="num" w:pos="540"/>
        </w:tabs>
        <w:spacing w:before="120"/>
        <w:ind w:left="540" w:hanging="540"/>
        <w:rPr>
          <w:rFonts w:ascii="Arial" w:hAnsi="Arial" w:cs="Arial"/>
        </w:rPr>
      </w:pPr>
      <w:r w:rsidRPr="00EA541A">
        <w:rPr>
          <w:rFonts w:ascii="Arial" w:hAnsi="Arial" w:cs="Arial"/>
        </w:rPr>
        <w:t>build resilience and connectedness</w:t>
      </w:r>
    </w:p>
    <w:p w:rsidR="00B05303" w:rsidRPr="00EA541A" w:rsidRDefault="00B05303" w:rsidP="00B05303">
      <w:pPr>
        <w:numPr>
          <w:ilvl w:val="0"/>
          <w:numId w:val="1"/>
        </w:numPr>
        <w:tabs>
          <w:tab w:val="clear" w:pos="720"/>
          <w:tab w:val="num" w:pos="540"/>
        </w:tabs>
        <w:spacing w:before="120"/>
        <w:ind w:left="540" w:hanging="540"/>
        <w:rPr>
          <w:rFonts w:ascii="Arial" w:hAnsi="Arial" w:cs="Arial"/>
        </w:rPr>
      </w:pPr>
      <w:r w:rsidRPr="00EA541A">
        <w:rPr>
          <w:rFonts w:ascii="Arial" w:hAnsi="Arial" w:cs="Arial"/>
        </w:rPr>
        <w:t xml:space="preserve">be responsive to individual consumer needs </w:t>
      </w:r>
    </w:p>
    <w:p w:rsidR="00B05303" w:rsidRPr="00EA541A" w:rsidRDefault="00B05303" w:rsidP="00B05303">
      <w:pPr>
        <w:numPr>
          <w:ilvl w:val="0"/>
          <w:numId w:val="1"/>
        </w:numPr>
        <w:tabs>
          <w:tab w:val="clear" w:pos="720"/>
          <w:tab w:val="num" w:pos="540"/>
        </w:tabs>
        <w:spacing w:before="120"/>
        <w:ind w:left="540" w:hanging="540"/>
        <w:rPr>
          <w:rFonts w:ascii="Arial" w:hAnsi="Arial" w:cs="Arial"/>
        </w:rPr>
      </w:pPr>
      <w:r w:rsidRPr="00EA541A">
        <w:rPr>
          <w:rFonts w:ascii="Arial" w:hAnsi="Arial" w:cs="Arial"/>
        </w:rPr>
        <w:t>support family/whānau in their role as parents.</w:t>
      </w:r>
    </w:p>
    <w:p w:rsidR="00B05303" w:rsidRPr="00EA541A" w:rsidRDefault="00B05303" w:rsidP="00B05303">
      <w:pPr>
        <w:spacing w:before="120"/>
        <w:rPr>
          <w:rFonts w:ascii="Arial" w:hAnsi="Arial" w:cs="Arial"/>
        </w:rPr>
      </w:pPr>
      <w:r w:rsidRPr="00EA541A">
        <w:rPr>
          <w:rFonts w:ascii="Arial" w:hAnsi="Arial" w:cs="Arial"/>
        </w:rPr>
        <w:t>Children, adolescents and youth will be given as much responsibility as they are able to take for selecting their supports.</w:t>
      </w:r>
    </w:p>
    <w:p w:rsidR="00B05303" w:rsidRPr="002C3A00" w:rsidRDefault="00B05303" w:rsidP="00695340">
      <w:pPr>
        <w:spacing w:before="240"/>
        <w:rPr>
          <w:rFonts w:ascii="Arial" w:hAnsi="Arial" w:cs="Arial"/>
          <w:b/>
        </w:rPr>
      </w:pPr>
      <w:r w:rsidRPr="002C3A00">
        <w:rPr>
          <w:rFonts w:ascii="Arial" w:hAnsi="Arial" w:cs="Arial"/>
          <w:b/>
        </w:rPr>
        <w:t>2.</w:t>
      </w:r>
      <w:r w:rsidRPr="002C3A00">
        <w:rPr>
          <w:rFonts w:ascii="Arial" w:hAnsi="Arial" w:cs="Arial"/>
          <w:b/>
        </w:rPr>
        <w:tab/>
        <w:t>Service Objectives</w:t>
      </w:r>
    </w:p>
    <w:p w:rsidR="00EA541A" w:rsidRPr="00695340" w:rsidRDefault="00EA541A" w:rsidP="00B05303">
      <w:pPr>
        <w:spacing w:before="120"/>
        <w:rPr>
          <w:rFonts w:ascii="Arial" w:hAnsi="Arial" w:cs="Arial"/>
          <w:b/>
        </w:rPr>
      </w:pPr>
      <w:r w:rsidRPr="00695340">
        <w:rPr>
          <w:rFonts w:ascii="Arial" w:hAnsi="Arial" w:cs="Arial"/>
          <w:b/>
        </w:rPr>
        <w:t>2.1</w:t>
      </w:r>
      <w:r w:rsidRPr="00695340">
        <w:rPr>
          <w:rFonts w:ascii="Arial" w:hAnsi="Arial" w:cs="Arial"/>
          <w:b/>
        </w:rPr>
        <w:tab/>
        <w:t>General</w:t>
      </w:r>
    </w:p>
    <w:p w:rsidR="00B05303" w:rsidRPr="00EA541A" w:rsidRDefault="00B05303" w:rsidP="00B05303">
      <w:pPr>
        <w:spacing w:before="120"/>
        <w:rPr>
          <w:rFonts w:ascii="Arial" w:hAnsi="Arial" w:cs="Arial"/>
        </w:rPr>
      </w:pPr>
      <w:r w:rsidRPr="00EA541A">
        <w:rPr>
          <w:rFonts w:ascii="Arial" w:hAnsi="Arial" w:cs="Arial"/>
        </w:rPr>
        <w:t>To provide flexible mobile individual support services for infants, children, adolescents and youth who are living in the community either with their family/whānau or independently. The service will target infants, children, adolescents and youth who have high and ongoing support needs related to family/whānau and community living, education and/or employment and self-management of their problem.</w:t>
      </w:r>
    </w:p>
    <w:p w:rsidR="00B05303" w:rsidRPr="00EA541A" w:rsidRDefault="00B05303" w:rsidP="0061038E">
      <w:pPr>
        <w:spacing w:before="120"/>
        <w:rPr>
          <w:rFonts w:ascii="Arial" w:hAnsi="Arial" w:cs="Arial"/>
          <w:b/>
        </w:rPr>
      </w:pPr>
      <w:r w:rsidRPr="00EA541A">
        <w:rPr>
          <w:rFonts w:ascii="Arial" w:hAnsi="Arial" w:cs="Arial"/>
          <w:b/>
        </w:rPr>
        <w:t>2.</w:t>
      </w:r>
      <w:r w:rsidR="00EA541A" w:rsidRPr="00EA541A">
        <w:rPr>
          <w:rFonts w:ascii="Arial" w:hAnsi="Arial" w:cs="Arial"/>
          <w:b/>
        </w:rPr>
        <w:t>2</w:t>
      </w:r>
      <w:r w:rsidRPr="00EA541A">
        <w:rPr>
          <w:rFonts w:ascii="Arial" w:hAnsi="Arial" w:cs="Arial"/>
          <w:b/>
        </w:rPr>
        <w:tab/>
        <w:t>Māori Health</w:t>
      </w:r>
    </w:p>
    <w:p w:rsidR="00685BBB" w:rsidRPr="00EA541A" w:rsidRDefault="00685BBB" w:rsidP="00685BBB">
      <w:pPr>
        <w:spacing w:before="120"/>
        <w:rPr>
          <w:rFonts w:ascii="Arial" w:hAnsi="Arial" w:cs="Arial"/>
        </w:rPr>
      </w:pPr>
      <w:r w:rsidRPr="00EA541A">
        <w:rPr>
          <w:rFonts w:ascii="Arial" w:hAnsi="Arial" w:cs="Arial"/>
        </w:rPr>
        <w:t xml:space="preserve">Refer to the tier one Mental Health and Addiction Services service specification. </w:t>
      </w:r>
    </w:p>
    <w:p w:rsidR="00B05303" w:rsidRPr="00EA541A" w:rsidRDefault="00B05303" w:rsidP="00F94EC7">
      <w:pPr>
        <w:tabs>
          <w:tab w:val="left" w:pos="567"/>
        </w:tabs>
        <w:rPr>
          <w:rFonts w:ascii="Arial" w:hAnsi="Arial" w:cs="Arial"/>
          <w:b/>
        </w:rPr>
      </w:pPr>
      <w:r w:rsidRPr="00EA541A">
        <w:rPr>
          <w:rFonts w:ascii="Arial" w:hAnsi="Arial" w:cs="Arial"/>
          <w:b/>
        </w:rPr>
        <w:lastRenderedPageBreak/>
        <w:t>3.</w:t>
      </w:r>
      <w:r w:rsidRPr="00EA541A">
        <w:rPr>
          <w:rFonts w:ascii="Arial" w:hAnsi="Arial" w:cs="Arial"/>
          <w:b/>
        </w:rPr>
        <w:tab/>
        <w:t>Service Users</w:t>
      </w:r>
    </w:p>
    <w:p w:rsidR="00B05303" w:rsidRPr="00EA541A" w:rsidRDefault="00B05303" w:rsidP="00B05303">
      <w:pPr>
        <w:spacing w:before="120"/>
        <w:rPr>
          <w:rFonts w:ascii="Arial" w:hAnsi="Arial" w:cs="Arial"/>
        </w:rPr>
      </w:pPr>
      <w:r w:rsidRPr="00EA541A">
        <w:rPr>
          <w:rFonts w:ascii="Arial" w:hAnsi="Arial" w:cs="Arial"/>
        </w:rPr>
        <w:t xml:space="preserve">The </w:t>
      </w:r>
      <w:r w:rsidR="00685BBB" w:rsidRPr="00EA541A">
        <w:rPr>
          <w:rFonts w:ascii="Arial" w:hAnsi="Arial" w:cs="Arial"/>
        </w:rPr>
        <w:t>Service User</w:t>
      </w:r>
      <w:r w:rsidRPr="00EA541A">
        <w:rPr>
          <w:rFonts w:ascii="Arial" w:hAnsi="Arial" w:cs="Arial"/>
        </w:rPr>
        <w:t>s are eligible children, adolescents and youth.</w:t>
      </w:r>
    </w:p>
    <w:p w:rsidR="00B05303" w:rsidRPr="00EA541A" w:rsidRDefault="00B05303" w:rsidP="00695340">
      <w:pPr>
        <w:tabs>
          <w:tab w:val="left" w:pos="567"/>
        </w:tabs>
        <w:spacing w:before="240"/>
        <w:rPr>
          <w:rFonts w:ascii="Arial" w:hAnsi="Arial" w:cs="Arial"/>
          <w:b/>
        </w:rPr>
      </w:pPr>
      <w:r w:rsidRPr="00EA541A">
        <w:rPr>
          <w:rFonts w:ascii="Arial" w:hAnsi="Arial" w:cs="Arial"/>
          <w:b/>
        </w:rPr>
        <w:t>4.</w:t>
      </w:r>
      <w:r w:rsidRPr="00EA541A">
        <w:rPr>
          <w:rFonts w:ascii="Arial" w:hAnsi="Arial" w:cs="Arial"/>
          <w:b/>
        </w:rPr>
        <w:tab/>
        <w:t>Access</w:t>
      </w:r>
    </w:p>
    <w:p w:rsidR="00B05303" w:rsidRPr="00EA541A" w:rsidRDefault="00B05303" w:rsidP="00695340">
      <w:pPr>
        <w:tabs>
          <w:tab w:val="left" w:pos="567"/>
        </w:tabs>
        <w:spacing w:before="120"/>
        <w:rPr>
          <w:rFonts w:ascii="Arial" w:hAnsi="Arial" w:cs="Arial"/>
          <w:b/>
        </w:rPr>
      </w:pPr>
      <w:r w:rsidRPr="00EA541A">
        <w:rPr>
          <w:rFonts w:ascii="Arial" w:hAnsi="Arial" w:cs="Arial"/>
          <w:b/>
        </w:rPr>
        <w:t>4.1</w:t>
      </w:r>
      <w:r w:rsidRPr="00EA541A">
        <w:rPr>
          <w:rFonts w:ascii="Arial" w:hAnsi="Arial" w:cs="Arial"/>
          <w:b/>
        </w:rPr>
        <w:tab/>
        <w:t xml:space="preserve">Entry and Exit Criteria </w:t>
      </w:r>
    </w:p>
    <w:p w:rsidR="00B05303" w:rsidRPr="00EA541A" w:rsidRDefault="00B05303" w:rsidP="00EA541A">
      <w:pPr>
        <w:spacing w:before="120" w:after="120"/>
        <w:rPr>
          <w:rFonts w:ascii="Arial" w:hAnsi="Arial" w:cs="Arial"/>
        </w:rPr>
      </w:pPr>
      <w:r w:rsidRPr="00EA541A">
        <w:rPr>
          <w:rFonts w:ascii="Arial" w:hAnsi="Arial" w:cs="Arial"/>
        </w:rPr>
        <w:t>Access with referrals from specialist community or inpatient child and adolescent mental health services and/or N</w:t>
      </w:r>
      <w:r w:rsidR="00EA541A" w:rsidRPr="00EA541A">
        <w:rPr>
          <w:rFonts w:ascii="Arial" w:hAnsi="Arial" w:cs="Arial"/>
        </w:rPr>
        <w:t>eeds Assessment Service Coordination (N</w:t>
      </w:r>
      <w:r w:rsidRPr="00EA541A">
        <w:rPr>
          <w:rFonts w:ascii="Arial" w:hAnsi="Arial" w:cs="Arial"/>
        </w:rPr>
        <w:t>ASC</w:t>
      </w:r>
      <w:r w:rsidR="00EA541A" w:rsidRPr="00EA541A">
        <w:rPr>
          <w:rFonts w:ascii="Arial" w:hAnsi="Arial" w:cs="Arial"/>
        </w:rPr>
        <w:t>)</w:t>
      </w:r>
      <w:r w:rsidRPr="00EA541A">
        <w:rPr>
          <w:rFonts w:ascii="Arial" w:hAnsi="Arial" w:cs="Arial"/>
        </w:rPr>
        <w:t>.</w:t>
      </w:r>
    </w:p>
    <w:p w:rsidR="00B05303" w:rsidRPr="00EA541A" w:rsidRDefault="00B05303" w:rsidP="00695340">
      <w:pPr>
        <w:tabs>
          <w:tab w:val="left" w:pos="567"/>
        </w:tabs>
        <w:spacing w:before="240"/>
        <w:rPr>
          <w:rFonts w:ascii="Arial" w:hAnsi="Arial" w:cs="Arial"/>
          <w:b/>
        </w:rPr>
      </w:pPr>
      <w:r w:rsidRPr="00EA541A">
        <w:rPr>
          <w:rFonts w:ascii="Arial" w:hAnsi="Arial" w:cs="Arial"/>
          <w:b/>
        </w:rPr>
        <w:t>5.</w:t>
      </w:r>
      <w:r w:rsidRPr="00EA541A">
        <w:rPr>
          <w:rFonts w:ascii="Arial" w:hAnsi="Arial" w:cs="Arial"/>
          <w:b/>
        </w:rPr>
        <w:tab/>
        <w:t>Service Components</w:t>
      </w:r>
    </w:p>
    <w:p w:rsidR="00B05303" w:rsidRPr="00EA541A" w:rsidRDefault="00B05303" w:rsidP="00695340">
      <w:pPr>
        <w:tabs>
          <w:tab w:val="left" w:pos="567"/>
        </w:tabs>
        <w:spacing w:before="120"/>
        <w:rPr>
          <w:rFonts w:ascii="Arial" w:hAnsi="Arial" w:cs="Arial"/>
          <w:b/>
        </w:rPr>
      </w:pPr>
      <w:r w:rsidRPr="00EA541A">
        <w:rPr>
          <w:rFonts w:ascii="Arial" w:hAnsi="Arial" w:cs="Arial"/>
          <w:b/>
        </w:rPr>
        <w:t>5.1</w:t>
      </w:r>
      <w:r w:rsidRPr="00EA541A">
        <w:rPr>
          <w:rFonts w:ascii="Arial" w:hAnsi="Arial" w:cs="Arial"/>
          <w:b/>
        </w:rPr>
        <w:tab/>
        <w:t>Processes</w:t>
      </w:r>
    </w:p>
    <w:p w:rsidR="00B05303" w:rsidRPr="00EA541A" w:rsidRDefault="00B05303" w:rsidP="00B05303">
      <w:pPr>
        <w:spacing w:before="120"/>
        <w:rPr>
          <w:rFonts w:ascii="Arial" w:hAnsi="Arial" w:cs="Arial"/>
        </w:rPr>
      </w:pPr>
      <w:r w:rsidRPr="00EA541A">
        <w:rPr>
          <w:rFonts w:ascii="Arial" w:hAnsi="Arial" w:cs="Arial"/>
        </w:rPr>
        <w:t xml:space="preserve">The following processes apply but are not limited to: assessment, treatment, intervention and support, review and discharge. </w:t>
      </w:r>
    </w:p>
    <w:p w:rsidR="00B05303" w:rsidRPr="00EA541A" w:rsidRDefault="00B05303" w:rsidP="00695340">
      <w:pPr>
        <w:tabs>
          <w:tab w:val="left" w:pos="567"/>
        </w:tabs>
        <w:spacing w:before="120"/>
        <w:rPr>
          <w:rFonts w:ascii="Arial" w:hAnsi="Arial" w:cs="Arial"/>
          <w:b/>
        </w:rPr>
      </w:pPr>
      <w:r w:rsidRPr="00EA541A">
        <w:rPr>
          <w:rFonts w:ascii="Arial" w:hAnsi="Arial" w:cs="Arial"/>
          <w:b/>
        </w:rPr>
        <w:t>5.2</w:t>
      </w:r>
      <w:r w:rsidRPr="00EA541A">
        <w:rPr>
          <w:rFonts w:ascii="Arial" w:hAnsi="Arial" w:cs="Arial"/>
          <w:b/>
        </w:rPr>
        <w:tab/>
        <w:t>Settings</w:t>
      </w:r>
    </w:p>
    <w:p w:rsidR="00B05303" w:rsidRPr="00EA541A" w:rsidRDefault="00B05303" w:rsidP="00B05303">
      <w:pPr>
        <w:spacing w:before="120"/>
        <w:rPr>
          <w:rFonts w:ascii="Arial" w:hAnsi="Arial" w:cs="Arial"/>
        </w:rPr>
      </w:pPr>
      <w:r w:rsidRPr="00EA541A">
        <w:rPr>
          <w:rFonts w:ascii="Arial" w:hAnsi="Arial" w:cs="Arial"/>
        </w:rPr>
        <w:t>Community based</w:t>
      </w:r>
      <w:r w:rsidR="0075665A">
        <w:rPr>
          <w:rFonts w:ascii="Arial" w:hAnsi="Arial" w:cs="Arial"/>
        </w:rPr>
        <w:t xml:space="preserve"> setting</w:t>
      </w:r>
      <w:r w:rsidRPr="00EA541A">
        <w:rPr>
          <w:rFonts w:ascii="Arial" w:hAnsi="Arial" w:cs="Arial"/>
        </w:rPr>
        <w:t xml:space="preserve">. </w:t>
      </w:r>
    </w:p>
    <w:p w:rsidR="00B05303" w:rsidRPr="00EA541A" w:rsidRDefault="00B05303" w:rsidP="00695340">
      <w:pPr>
        <w:tabs>
          <w:tab w:val="left" w:pos="567"/>
        </w:tabs>
        <w:spacing w:before="120"/>
        <w:rPr>
          <w:rFonts w:ascii="Arial" w:hAnsi="Arial" w:cs="Arial"/>
          <w:b/>
        </w:rPr>
      </w:pPr>
      <w:r w:rsidRPr="00EA541A">
        <w:rPr>
          <w:rFonts w:ascii="Arial" w:hAnsi="Arial" w:cs="Arial"/>
          <w:b/>
        </w:rPr>
        <w:t>5.3</w:t>
      </w:r>
      <w:r w:rsidRPr="00EA541A">
        <w:rPr>
          <w:rFonts w:ascii="Arial" w:hAnsi="Arial" w:cs="Arial"/>
          <w:b/>
        </w:rPr>
        <w:tab/>
        <w:t xml:space="preserve">Key Inputs </w:t>
      </w:r>
    </w:p>
    <w:p w:rsidR="00B05303" w:rsidRPr="00EA541A" w:rsidRDefault="00B05303" w:rsidP="00B05303">
      <w:pPr>
        <w:spacing w:before="120" w:after="120"/>
        <w:rPr>
          <w:rFonts w:ascii="Arial" w:hAnsi="Arial" w:cs="Arial"/>
        </w:rPr>
      </w:pPr>
      <w:r w:rsidRPr="00EA541A">
        <w:rPr>
          <w:rFonts w:ascii="Arial" w:hAnsi="Arial" w:cs="Arial"/>
        </w:rPr>
        <w:t>Services provided by:</w:t>
      </w:r>
    </w:p>
    <w:p w:rsidR="00B05303" w:rsidRPr="00EA541A" w:rsidRDefault="00B05303" w:rsidP="00B05303">
      <w:pPr>
        <w:numPr>
          <w:ilvl w:val="0"/>
          <w:numId w:val="5"/>
        </w:numPr>
        <w:tabs>
          <w:tab w:val="clear" w:pos="1080"/>
        </w:tabs>
        <w:spacing w:after="47"/>
        <w:ind w:left="540" w:hanging="540"/>
        <w:rPr>
          <w:rFonts w:ascii="Arial" w:hAnsi="Arial" w:cs="Arial"/>
        </w:rPr>
      </w:pPr>
      <w:r w:rsidRPr="00EA541A">
        <w:rPr>
          <w:rFonts w:ascii="Arial" w:hAnsi="Arial" w:cs="Arial"/>
        </w:rPr>
        <w:t>people regulated by a health or social service professional body</w:t>
      </w:r>
    </w:p>
    <w:p w:rsidR="00B05303" w:rsidRPr="00EA541A" w:rsidRDefault="00B05303" w:rsidP="00B05303">
      <w:pPr>
        <w:numPr>
          <w:ilvl w:val="0"/>
          <w:numId w:val="5"/>
        </w:numPr>
        <w:tabs>
          <w:tab w:val="clear" w:pos="1080"/>
        </w:tabs>
        <w:spacing w:after="47"/>
        <w:ind w:left="540" w:hanging="540"/>
        <w:rPr>
          <w:rFonts w:ascii="Arial" w:hAnsi="Arial" w:cs="Arial"/>
        </w:rPr>
      </w:pPr>
      <w:proofErr w:type="gramStart"/>
      <w:r w:rsidRPr="00EA541A">
        <w:rPr>
          <w:rFonts w:ascii="Arial" w:hAnsi="Arial" w:cs="Arial"/>
        </w:rPr>
        <w:t>people</w:t>
      </w:r>
      <w:proofErr w:type="gramEnd"/>
      <w:r w:rsidRPr="00EA541A">
        <w:rPr>
          <w:rFonts w:ascii="Arial" w:hAnsi="Arial" w:cs="Arial"/>
        </w:rPr>
        <w:t xml:space="preserve"> who interact with </w:t>
      </w:r>
      <w:r w:rsidR="00685BBB" w:rsidRPr="00EA541A">
        <w:rPr>
          <w:rFonts w:ascii="Arial" w:hAnsi="Arial" w:cs="Arial"/>
        </w:rPr>
        <w:t>Service User</w:t>
      </w:r>
      <w:r w:rsidRPr="00EA541A">
        <w:rPr>
          <w:rFonts w:ascii="Arial" w:hAnsi="Arial" w:cs="Arial"/>
        </w:rPr>
        <w:t xml:space="preserve">s and who are not subjected to regulatory requirements under legislation or by any other means. </w:t>
      </w:r>
    </w:p>
    <w:p w:rsidR="00B05303" w:rsidRPr="00EA541A" w:rsidRDefault="00B05303" w:rsidP="00B05303">
      <w:pPr>
        <w:numPr>
          <w:ilvl w:val="0"/>
          <w:numId w:val="5"/>
        </w:numPr>
        <w:tabs>
          <w:tab w:val="clear" w:pos="1080"/>
        </w:tabs>
        <w:spacing w:after="47"/>
        <w:ind w:left="540" w:hanging="540"/>
        <w:rPr>
          <w:rFonts w:ascii="Arial" w:hAnsi="Arial" w:cs="Arial"/>
        </w:rPr>
      </w:pPr>
      <w:r w:rsidRPr="00EA541A">
        <w:rPr>
          <w:rFonts w:ascii="Arial" w:hAnsi="Arial" w:cs="Arial"/>
        </w:rPr>
        <w:t xml:space="preserve">staff with qualifications and experience to support children, adolescents and youth with serious mental health problems.  Specialist skills in terms of access to education and vocational opportunities will also be needed. </w:t>
      </w:r>
    </w:p>
    <w:p w:rsidR="00B05303" w:rsidRPr="00EA541A" w:rsidRDefault="00B05303" w:rsidP="00695340">
      <w:pPr>
        <w:tabs>
          <w:tab w:val="left" w:pos="567"/>
        </w:tabs>
        <w:spacing w:before="240"/>
        <w:rPr>
          <w:rFonts w:ascii="Arial" w:hAnsi="Arial" w:cs="Arial"/>
          <w:b/>
        </w:rPr>
      </w:pPr>
      <w:r w:rsidRPr="00EA541A">
        <w:rPr>
          <w:rFonts w:ascii="Arial" w:hAnsi="Arial" w:cs="Arial"/>
          <w:b/>
        </w:rPr>
        <w:t>6.</w:t>
      </w:r>
      <w:r w:rsidRPr="00EA541A">
        <w:rPr>
          <w:rFonts w:ascii="Arial" w:hAnsi="Arial" w:cs="Arial"/>
          <w:b/>
        </w:rPr>
        <w:tab/>
        <w:t>Service Linkages</w:t>
      </w:r>
    </w:p>
    <w:p w:rsidR="00B05303" w:rsidRPr="00EA541A" w:rsidRDefault="00B05303" w:rsidP="00B05303">
      <w:pPr>
        <w:spacing w:before="120" w:after="120"/>
        <w:rPr>
          <w:rFonts w:ascii="Arial" w:hAnsi="Arial" w:cs="Arial"/>
        </w:rPr>
      </w:pPr>
      <w:r w:rsidRPr="00EA541A">
        <w:rPr>
          <w:rFonts w:ascii="Arial" w:hAnsi="Arial" w:cs="Arial"/>
        </w:rPr>
        <w:t xml:space="preserve">Linkages include, but are not limited to the following as described in tier one Mental Health and Addiction Specialist Services and tier two Infant, Child, Adolescent and Youth service specifications. </w:t>
      </w:r>
    </w:p>
    <w:p w:rsidR="00B05303" w:rsidRPr="00EA541A" w:rsidRDefault="0075773C" w:rsidP="00695340">
      <w:pPr>
        <w:tabs>
          <w:tab w:val="left" w:pos="567"/>
        </w:tabs>
        <w:spacing w:before="240"/>
        <w:rPr>
          <w:rFonts w:ascii="Arial" w:hAnsi="Arial" w:cs="Arial"/>
          <w:b/>
        </w:rPr>
      </w:pPr>
      <w:r>
        <w:rPr>
          <w:rFonts w:ascii="Arial" w:hAnsi="Arial" w:cs="Arial"/>
          <w:b/>
        </w:rPr>
        <w:t>7</w:t>
      </w:r>
      <w:r w:rsidR="00B05303" w:rsidRPr="00EA541A">
        <w:rPr>
          <w:rFonts w:ascii="Arial" w:hAnsi="Arial" w:cs="Arial"/>
          <w:b/>
        </w:rPr>
        <w:t>.</w:t>
      </w:r>
      <w:r w:rsidR="00B05303" w:rsidRPr="00EA541A">
        <w:rPr>
          <w:rFonts w:ascii="Arial" w:hAnsi="Arial" w:cs="Arial"/>
          <w:b/>
        </w:rPr>
        <w:tab/>
        <w:t>Purchase Units and Reporting Requirements</w:t>
      </w:r>
    </w:p>
    <w:p w:rsidR="00B05303" w:rsidRPr="00EA541A" w:rsidRDefault="0075773C" w:rsidP="00B05303">
      <w:pPr>
        <w:spacing w:before="120" w:after="120"/>
        <w:rPr>
          <w:rFonts w:ascii="Arial" w:hAnsi="Arial" w:cs="Arial"/>
        </w:rPr>
      </w:pPr>
      <w:r>
        <w:rPr>
          <w:rFonts w:ascii="Arial" w:hAnsi="Arial" w:cs="Arial"/>
          <w:b/>
        </w:rPr>
        <w:t>7</w:t>
      </w:r>
      <w:r w:rsidR="00685BBB" w:rsidRPr="00EA541A">
        <w:rPr>
          <w:rFonts w:ascii="Arial" w:hAnsi="Arial" w:cs="Arial"/>
          <w:b/>
        </w:rPr>
        <w:t>.1</w:t>
      </w:r>
      <w:r w:rsidR="00685BBB" w:rsidRPr="00EA541A">
        <w:rPr>
          <w:rFonts w:ascii="Arial" w:hAnsi="Arial" w:cs="Arial"/>
        </w:rPr>
        <w:tab/>
      </w:r>
      <w:r w:rsidR="00B05303" w:rsidRPr="00EA541A">
        <w:rPr>
          <w:rFonts w:ascii="Arial" w:hAnsi="Arial" w:cs="Arial"/>
        </w:rPr>
        <w:t xml:space="preserve">Purchase Units </w:t>
      </w:r>
      <w:r w:rsidR="0075665A">
        <w:rPr>
          <w:rFonts w:ascii="Arial" w:hAnsi="Arial" w:cs="Arial"/>
        </w:rPr>
        <w:t xml:space="preserve">Codes </w:t>
      </w:r>
      <w:r w:rsidR="00B05303" w:rsidRPr="00EA541A">
        <w:rPr>
          <w:rFonts w:ascii="Arial" w:hAnsi="Arial" w:cs="Arial"/>
        </w:rPr>
        <w:t xml:space="preserve">are defined in the DHB and Ministry’s Nationwide Service Framework Purchase Unit Data Dictionary.  The following </w:t>
      </w:r>
      <w:r w:rsidR="0075665A">
        <w:rPr>
          <w:rFonts w:ascii="Arial" w:hAnsi="Arial" w:cs="Arial"/>
        </w:rPr>
        <w:t xml:space="preserve">codes </w:t>
      </w:r>
      <w:r w:rsidR="00B05303" w:rsidRPr="00EA541A">
        <w:rPr>
          <w:rFonts w:ascii="Arial" w:hAnsi="Arial" w:cs="Arial"/>
        </w:rPr>
        <w:t xml:space="preserve">apply to this Service.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
        <w:gridCol w:w="1791"/>
        <w:gridCol w:w="5781"/>
        <w:gridCol w:w="1090"/>
      </w:tblGrid>
      <w:tr w:rsidR="0075665A" w:rsidRPr="00EA541A" w:rsidTr="0061038E">
        <w:trPr>
          <w:cantSplit/>
          <w:trHeight w:val="795"/>
          <w:tblHeader/>
        </w:trPr>
        <w:tc>
          <w:tcPr>
            <w:tcW w:w="551" w:type="pct"/>
            <w:shd w:val="clear" w:color="auto" w:fill="D9D9D9"/>
          </w:tcPr>
          <w:p w:rsidR="0075665A" w:rsidRPr="00695340" w:rsidRDefault="0075665A" w:rsidP="00B05303">
            <w:pPr>
              <w:spacing w:before="120"/>
              <w:rPr>
                <w:rFonts w:ascii="Arial" w:hAnsi="Arial" w:cs="Arial"/>
                <w:b/>
                <w:sz w:val="20"/>
                <w:szCs w:val="20"/>
              </w:rPr>
            </w:pPr>
            <w:r w:rsidRPr="00695340">
              <w:rPr>
                <w:rFonts w:ascii="Arial" w:hAnsi="Arial" w:cs="Arial"/>
                <w:b/>
                <w:sz w:val="20"/>
                <w:szCs w:val="20"/>
              </w:rPr>
              <w:t>PU Code</w:t>
            </w:r>
          </w:p>
        </w:tc>
        <w:tc>
          <w:tcPr>
            <w:tcW w:w="920" w:type="pct"/>
            <w:shd w:val="clear" w:color="auto" w:fill="D9D9D9"/>
          </w:tcPr>
          <w:p w:rsidR="0075665A" w:rsidRPr="00695340" w:rsidRDefault="0075665A" w:rsidP="00B05303">
            <w:pPr>
              <w:spacing w:before="120"/>
              <w:rPr>
                <w:rFonts w:ascii="Arial" w:hAnsi="Arial" w:cs="Arial"/>
                <w:b/>
                <w:sz w:val="20"/>
                <w:szCs w:val="20"/>
              </w:rPr>
            </w:pPr>
            <w:r w:rsidRPr="00695340">
              <w:rPr>
                <w:rFonts w:ascii="Arial" w:hAnsi="Arial" w:cs="Arial"/>
                <w:b/>
                <w:sz w:val="20"/>
                <w:szCs w:val="20"/>
              </w:rPr>
              <w:t>PU Description</w:t>
            </w:r>
          </w:p>
        </w:tc>
        <w:tc>
          <w:tcPr>
            <w:tcW w:w="2969" w:type="pct"/>
            <w:shd w:val="clear" w:color="auto" w:fill="D9D9D9"/>
          </w:tcPr>
          <w:p w:rsidR="0075665A" w:rsidRPr="00695340" w:rsidRDefault="0075665A" w:rsidP="00B05303">
            <w:pPr>
              <w:spacing w:before="120"/>
              <w:rPr>
                <w:rFonts w:ascii="Arial" w:hAnsi="Arial" w:cs="Arial"/>
                <w:b/>
                <w:sz w:val="20"/>
                <w:szCs w:val="20"/>
              </w:rPr>
            </w:pPr>
            <w:r w:rsidRPr="00695340">
              <w:rPr>
                <w:rFonts w:ascii="Arial" w:hAnsi="Arial" w:cs="Arial"/>
                <w:b/>
                <w:sz w:val="20"/>
                <w:szCs w:val="20"/>
              </w:rPr>
              <w:t>PU Definition</w:t>
            </w:r>
          </w:p>
        </w:tc>
        <w:tc>
          <w:tcPr>
            <w:tcW w:w="561" w:type="pct"/>
            <w:shd w:val="clear" w:color="auto" w:fill="D9D9D9"/>
          </w:tcPr>
          <w:p w:rsidR="0075665A" w:rsidRPr="00695340" w:rsidRDefault="0075665A" w:rsidP="00B05303">
            <w:pPr>
              <w:spacing w:before="120"/>
              <w:rPr>
                <w:rFonts w:ascii="Arial" w:hAnsi="Arial" w:cs="Arial"/>
                <w:b/>
                <w:sz w:val="20"/>
                <w:szCs w:val="20"/>
              </w:rPr>
            </w:pPr>
            <w:r>
              <w:rPr>
                <w:rFonts w:ascii="Arial" w:hAnsi="Arial" w:cs="Arial"/>
                <w:b/>
                <w:sz w:val="20"/>
                <w:szCs w:val="20"/>
              </w:rPr>
              <w:t>Unit of</w:t>
            </w:r>
            <w:r w:rsidRPr="00695340">
              <w:rPr>
                <w:rFonts w:ascii="Arial" w:hAnsi="Arial" w:cs="Arial"/>
                <w:b/>
                <w:sz w:val="20"/>
                <w:szCs w:val="20"/>
              </w:rPr>
              <w:t xml:space="preserve"> Measure</w:t>
            </w:r>
          </w:p>
        </w:tc>
      </w:tr>
      <w:tr w:rsidR="0075665A" w:rsidRPr="00EA541A" w:rsidTr="0061038E">
        <w:trPr>
          <w:cantSplit/>
        </w:trPr>
        <w:tc>
          <w:tcPr>
            <w:tcW w:w="551" w:type="pct"/>
            <w:tcBorders>
              <w:top w:val="single" w:sz="4" w:space="0" w:color="auto"/>
              <w:left w:val="single" w:sz="4" w:space="0" w:color="auto"/>
              <w:bottom w:val="single" w:sz="4" w:space="0" w:color="auto"/>
              <w:right w:val="single" w:sz="4" w:space="0" w:color="auto"/>
            </w:tcBorders>
          </w:tcPr>
          <w:p w:rsidR="0075665A" w:rsidRPr="00695340" w:rsidRDefault="0075665A" w:rsidP="00B05303">
            <w:pPr>
              <w:spacing w:before="120"/>
              <w:rPr>
                <w:rFonts w:ascii="Arial" w:hAnsi="Arial" w:cs="Arial"/>
                <w:sz w:val="20"/>
                <w:szCs w:val="20"/>
              </w:rPr>
            </w:pPr>
            <w:r w:rsidRPr="00695340">
              <w:rPr>
                <w:rFonts w:ascii="Arial" w:hAnsi="Arial" w:cs="Arial"/>
                <w:sz w:val="20"/>
                <w:szCs w:val="20"/>
              </w:rPr>
              <w:t>MHI55D</w:t>
            </w:r>
          </w:p>
        </w:tc>
        <w:tc>
          <w:tcPr>
            <w:tcW w:w="920" w:type="pct"/>
            <w:tcBorders>
              <w:top w:val="single" w:sz="4" w:space="0" w:color="auto"/>
              <w:left w:val="single" w:sz="4" w:space="0" w:color="auto"/>
              <w:bottom w:val="single" w:sz="4" w:space="0" w:color="auto"/>
              <w:right w:val="single" w:sz="4" w:space="0" w:color="auto"/>
            </w:tcBorders>
          </w:tcPr>
          <w:p w:rsidR="0075665A" w:rsidRPr="00695340" w:rsidRDefault="0075665A" w:rsidP="00B05303">
            <w:pPr>
              <w:spacing w:before="120"/>
              <w:rPr>
                <w:rFonts w:ascii="Arial" w:hAnsi="Arial" w:cs="Arial"/>
                <w:sz w:val="20"/>
                <w:szCs w:val="20"/>
              </w:rPr>
            </w:pPr>
            <w:r w:rsidRPr="00695340">
              <w:rPr>
                <w:rFonts w:ascii="Arial" w:hAnsi="Arial" w:cs="Arial"/>
                <w:sz w:val="20"/>
                <w:szCs w:val="20"/>
              </w:rPr>
              <w:t>A child, adolescent, and youth community support service - Non-clinical staff</w:t>
            </w:r>
          </w:p>
        </w:tc>
        <w:tc>
          <w:tcPr>
            <w:tcW w:w="2969" w:type="pct"/>
            <w:tcBorders>
              <w:top w:val="single" w:sz="4" w:space="0" w:color="auto"/>
              <w:left w:val="single" w:sz="4" w:space="0" w:color="auto"/>
              <w:bottom w:val="single" w:sz="4" w:space="0" w:color="auto"/>
              <w:right w:val="single" w:sz="4" w:space="0" w:color="auto"/>
            </w:tcBorders>
          </w:tcPr>
          <w:p w:rsidR="0075665A" w:rsidRPr="00695340" w:rsidRDefault="0075665A" w:rsidP="00695340">
            <w:pPr>
              <w:rPr>
                <w:rFonts w:ascii="Arial" w:hAnsi="Arial" w:cs="Arial"/>
                <w:sz w:val="20"/>
                <w:szCs w:val="20"/>
              </w:rPr>
            </w:pPr>
            <w:r w:rsidRPr="00695340">
              <w:rPr>
                <w:rFonts w:ascii="Arial" w:hAnsi="Arial" w:cs="Arial"/>
                <w:color w:val="000000"/>
                <w:sz w:val="20"/>
                <w:szCs w:val="20"/>
              </w:rPr>
              <w:t>A recovery-resilience mobile support service to assist infants, children, adolescent or youth and their family/whanau in determining their support and cultural needs, who are living in the community. The service is to help the user to manage activities of daily living, personal care, help the child, adolescent or youth to maintain connection with community-based activities (health, education, vocational and social services, and collaboration with clinical services). The service is provided by non-clinical support staff who interact with the users and not subjected to regulatory requirements under legislation or by any other means.</w:t>
            </w:r>
          </w:p>
        </w:tc>
        <w:tc>
          <w:tcPr>
            <w:tcW w:w="561" w:type="pct"/>
            <w:tcBorders>
              <w:top w:val="single" w:sz="4" w:space="0" w:color="auto"/>
              <w:left w:val="single" w:sz="4" w:space="0" w:color="auto"/>
              <w:bottom w:val="single" w:sz="4" w:space="0" w:color="auto"/>
              <w:right w:val="single" w:sz="4" w:space="0" w:color="auto"/>
            </w:tcBorders>
          </w:tcPr>
          <w:p w:rsidR="0075665A" w:rsidRPr="00695340" w:rsidRDefault="0075665A" w:rsidP="00B05303">
            <w:pPr>
              <w:spacing w:before="120"/>
              <w:rPr>
                <w:rFonts w:ascii="Arial" w:hAnsi="Arial" w:cs="Arial"/>
                <w:sz w:val="20"/>
                <w:szCs w:val="20"/>
              </w:rPr>
            </w:pPr>
            <w:r w:rsidRPr="00695340">
              <w:rPr>
                <w:rFonts w:ascii="Arial" w:hAnsi="Arial" w:cs="Arial"/>
                <w:sz w:val="20"/>
                <w:szCs w:val="20"/>
              </w:rPr>
              <w:t>FTE</w:t>
            </w:r>
          </w:p>
        </w:tc>
      </w:tr>
      <w:tr w:rsidR="0075665A" w:rsidRPr="00EA541A" w:rsidTr="0061038E">
        <w:trPr>
          <w:cantSplit/>
        </w:trPr>
        <w:tc>
          <w:tcPr>
            <w:tcW w:w="551" w:type="pct"/>
            <w:tcBorders>
              <w:top w:val="single" w:sz="4" w:space="0" w:color="auto"/>
              <w:left w:val="single" w:sz="4" w:space="0" w:color="auto"/>
              <w:bottom w:val="single" w:sz="4" w:space="0" w:color="auto"/>
              <w:right w:val="single" w:sz="4" w:space="0" w:color="auto"/>
            </w:tcBorders>
          </w:tcPr>
          <w:p w:rsidR="0075665A" w:rsidRPr="00695340" w:rsidRDefault="0075665A" w:rsidP="00B05303">
            <w:pPr>
              <w:spacing w:before="120"/>
              <w:rPr>
                <w:rFonts w:ascii="Arial" w:hAnsi="Arial" w:cs="Arial"/>
                <w:sz w:val="20"/>
                <w:szCs w:val="20"/>
              </w:rPr>
            </w:pPr>
            <w:r w:rsidRPr="00695340">
              <w:rPr>
                <w:rFonts w:ascii="Arial" w:hAnsi="Arial" w:cs="Arial"/>
                <w:sz w:val="20"/>
                <w:szCs w:val="20"/>
              </w:rPr>
              <w:lastRenderedPageBreak/>
              <w:t>MHI55E</w:t>
            </w:r>
          </w:p>
        </w:tc>
        <w:tc>
          <w:tcPr>
            <w:tcW w:w="920" w:type="pct"/>
            <w:tcBorders>
              <w:top w:val="single" w:sz="4" w:space="0" w:color="auto"/>
              <w:left w:val="single" w:sz="4" w:space="0" w:color="auto"/>
              <w:bottom w:val="single" w:sz="4" w:space="0" w:color="auto"/>
              <w:right w:val="single" w:sz="4" w:space="0" w:color="auto"/>
            </w:tcBorders>
          </w:tcPr>
          <w:p w:rsidR="0075665A" w:rsidRPr="00695340" w:rsidRDefault="0075665A" w:rsidP="00B05303">
            <w:pPr>
              <w:spacing w:before="120"/>
              <w:rPr>
                <w:rFonts w:ascii="Arial" w:hAnsi="Arial" w:cs="Arial"/>
                <w:sz w:val="20"/>
                <w:szCs w:val="20"/>
              </w:rPr>
            </w:pPr>
            <w:r w:rsidRPr="00695340">
              <w:rPr>
                <w:rFonts w:ascii="Arial" w:hAnsi="Arial" w:cs="Arial"/>
                <w:sz w:val="20"/>
                <w:szCs w:val="20"/>
              </w:rPr>
              <w:t>A child, adolescent, and youth community support service - Cultural staff</w:t>
            </w:r>
          </w:p>
        </w:tc>
        <w:tc>
          <w:tcPr>
            <w:tcW w:w="2969" w:type="pct"/>
            <w:tcBorders>
              <w:top w:val="single" w:sz="4" w:space="0" w:color="auto"/>
              <w:left w:val="single" w:sz="4" w:space="0" w:color="auto"/>
              <w:bottom w:val="single" w:sz="4" w:space="0" w:color="auto"/>
              <w:right w:val="single" w:sz="4" w:space="0" w:color="auto"/>
            </w:tcBorders>
          </w:tcPr>
          <w:p w:rsidR="0075665A" w:rsidRPr="00695340" w:rsidRDefault="0075665A" w:rsidP="00695340">
            <w:pPr>
              <w:rPr>
                <w:rFonts w:ascii="Arial" w:hAnsi="Arial" w:cs="Arial"/>
                <w:sz w:val="20"/>
                <w:szCs w:val="20"/>
              </w:rPr>
            </w:pPr>
            <w:r w:rsidRPr="00695340">
              <w:rPr>
                <w:rFonts w:ascii="Arial" w:hAnsi="Arial" w:cs="Arial"/>
                <w:color w:val="000000"/>
                <w:sz w:val="20"/>
                <w:szCs w:val="20"/>
              </w:rPr>
              <w:t>A recovery-resilience mobile support service to assist infants, children, adolescent or youth and their family/whanau in determining their support and cultural needs, who are living in the community. The service is to help the user to manage activities of daily living, personal care, help the child, adolescent or youth to maintain connection with community-based activities (health, education, vocational and social services, and collaboration with clinical services). The service is provided by support cultural staff who interact with the users and not subjected to regulatory requirements under legislation or by any other means.</w:t>
            </w:r>
          </w:p>
        </w:tc>
        <w:tc>
          <w:tcPr>
            <w:tcW w:w="561" w:type="pct"/>
            <w:tcBorders>
              <w:top w:val="single" w:sz="4" w:space="0" w:color="auto"/>
              <w:left w:val="single" w:sz="4" w:space="0" w:color="auto"/>
              <w:bottom w:val="single" w:sz="4" w:space="0" w:color="auto"/>
              <w:right w:val="single" w:sz="4" w:space="0" w:color="auto"/>
            </w:tcBorders>
          </w:tcPr>
          <w:p w:rsidR="0075665A" w:rsidRPr="00695340" w:rsidRDefault="0075665A" w:rsidP="00B05303">
            <w:pPr>
              <w:spacing w:before="120"/>
              <w:rPr>
                <w:rFonts w:ascii="Arial" w:hAnsi="Arial" w:cs="Arial"/>
                <w:sz w:val="20"/>
                <w:szCs w:val="20"/>
              </w:rPr>
            </w:pPr>
            <w:r w:rsidRPr="00695340">
              <w:rPr>
                <w:rFonts w:ascii="Arial" w:hAnsi="Arial" w:cs="Arial"/>
                <w:sz w:val="20"/>
                <w:szCs w:val="20"/>
              </w:rPr>
              <w:t>FTE</w:t>
            </w:r>
          </w:p>
        </w:tc>
      </w:tr>
      <w:tr w:rsidR="0075665A" w:rsidRPr="00EA541A" w:rsidTr="0061038E">
        <w:trPr>
          <w:cantSplit/>
        </w:trPr>
        <w:tc>
          <w:tcPr>
            <w:tcW w:w="551" w:type="pct"/>
            <w:tcBorders>
              <w:top w:val="single" w:sz="4" w:space="0" w:color="auto"/>
              <w:left w:val="single" w:sz="4" w:space="0" w:color="auto"/>
              <w:bottom w:val="single" w:sz="4" w:space="0" w:color="auto"/>
              <w:right w:val="single" w:sz="4" w:space="0" w:color="auto"/>
            </w:tcBorders>
          </w:tcPr>
          <w:p w:rsidR="0075665A" w:rsidRPr="00695340" w:rsidRDefault="0075665A" w:rsidP="00B05303">
            <w:pPr>
              <w:spacing w:before="120"/>
              <w:rPr>
                <w:rFonts w:ascii="Arial" w:hAnsi="Arial" w:cs="Arial"/>
                <w:sz w:val="20"/>
                <w:szCs w:val="20"/>
              </w:rPr>
            </w:pPr>
            <w:r w:rsidRPr="00695340">
              <w:rPr>
                <w:rFonts w:ascii="Arial" w:hAnsi="Arial" w:cs="Arial"/>
                <w:sz w:val="20"/>
                <w:szCs w:val="20"/>
              </w:rPr>
              <w:t>MHI55F</w:t>
            </w:r>
          </w:p>
        </w:tc>
        <w:tc>
          <w:tcPr>
            <w:tcW w:w="920" w:type="pct"/>
            <w:tcBorders>
              <w:top w:val="single" w:sz="4" w:space="0" w:color="auto"/>
              <w:left w:val="single" w:sz="4" w:space="0" w:color="auto"/>
              <w:bottom w:val="single" w:sz="4" w:space="0" w:color="auto"/>
              <w:right w:val="single" w:sz="4" w:space="0" w:color="auto"/>
            </w:tcBorders>
          </w:tcPr>
          <w:p w:rsidR="0075665A" w:rsidRPr="00695340" w:rsidRDefault="0075665A" w:rsidP="00B05303">
            <w:pPr>
              <w:spacing w:before="120"/>
              <w:rPr>
                <w:rFonts w:ascii="Arial" w:hAnsi="Arial" w:cs="Arial"/>
                <w:sz w:val="20"/>
                <w:szCs w:val="20"/>
              </w:rPr>
            </w:pPr>
            <w:r w:rsidRPr="00695340">
              <w:rPr>
                <w:rFonts w:ascii="Arial" w:hAnsi="Arial" w:cs="Arial"/>
                <w:sz w:val="20"/>
                <w:szCs w:val="20"/>
              </w:rPr>
              <w:t>A child, adolescent, and youth community support service - Peer support staff</w:t>
            </w:r>
          </w:p>
        </w:tc>
        <w:tc>
          <w:tcPr>
            <w:tcW w:w="2969" w:type="pct"/>
            <w:tcBorders>
              <w:top w:val="single" w:sz="4" w:space="0" w:color="auto"/>
              <w:left w:val="single" w:sz="4" w:space="0" w:color="auto"/>
              <w:bottom w:val="single" w:sz="4" w:space="0" w:color="auto"/>
              <w:right w:val="single" w:sz="4" w:space="0" w:color="auto"/>
            </w:tcBorders>
          </w:tcPr>
          <w:p w:rsidR="0075665A" w:rsidRPr="00695340" w:rsidRDefault="0075665A" w:rsidP="00695340">
            <w:pPr>
              <w:rPr>
                <w:rFonts w:ascii="Arial" w:hAnsi="Arial" w:cs="Arial"/>
                <w:sz w:val="20"/>
                <w:szCs w:val="20"/>
              </w:rPr>
            </w:pPr>
            <w:r w:rsidRPr="00695340">
              <w:rPr>
                <w:rFonts w:ascii="Arial" w:hAnsi="Arial" w:cs="Arial"/>
                <w:color w:val="000000"/>
                <w:sz w:val="20"/>
                <w:szCs w:val="20"/>
              </w:rPr>
              <w:t>A recovery-resilience mobile support service to assist infants, children, adolescent or youth and their family/whanau in determining their support and cultural needs, who are living in the community. The service is to help the user to manage activities of daily living, personal care, help the child, adolescent or youth to maintain connection with community-based activities (health, education, vocational and social services, and collaboration with clinical services). The service is provided by peer support groups who interact with the service users and not subjected to regulatory requirements under legislation or by any other means.</w:t>
            </w:r>
          </w:p>
        </w:tc>
        <w:tc>
          <w:tcPr>
            <w:tcW w:w="561" w:type="pct"/>
            <w:tcBorders>
              <w:top w:val="single" w:sz="4" w:space="0" w:color="auto"/>
              <w:left w:val="single" w:sz="4" w:space="0" w:color="auto"/>
              <w:bottom w:val="single" w:sz="4" w:space="0" w:color="auto"/>
              <w:right w:val="single" w:sz="4" w:space="0" w:color="auto"/>
            </w:tcBorders>
          </w:tcPr>
          <w:p w:rsidR="0075665A" w:rsidRPr="00695340" w:rsidRDefault="0075665A" w:rsidP="00B05303">
            <w:pPr>
              <w:spacing w:before="120"/>
              <w:rPr>
                <w:rFonts w:ascii="Arial" w:hAnsi="Arial" w:cs="Arial"/>
                <w:sz w:val="20"/>
                <w:szCs w:val="20"/>
              </w:rPr>
            </w:pPr>
            <w:r w:rsidRPr="00695340">
              <w:rPr>
                <w:rFonts w:ascii="Arial" w:hAnsi="Arial" w:cs="Arial"/>
                <w:sz w:val="20"/>
                <w:szCs w:val="20"/>
              </w:rPr>
              <w:t>FTE</w:t>
            </w:r>
          </w:p>
        </w:tc>
      </w:tr>
      <w:tr w:rsidR="0075665A" w:rsidRPr="00EA541A" w:rsidTr="0075665A">
        <w:trPr>
          <w:cantSplit/>
        </w:trPr>
        <w:tc>
          <w:tcPr>
            <w:tcW w:w="551" w:type="pct"/>
            <w:tcBorders>
              <w:top w:val="single" w:sz="4" w:space="0" w:color="auto"/>
              <w:left w:val="single" w:sz="4" w:space="0" w:color="auto"/>
              <w:bottom w:val="single" w:sz="4" w:space="0" w:color="auto"/>
              <w:right w:val="single" w:sz="4" w:space="0" w:color="auto"/>
            </w:tcBorders>
          </w:tcPr>
          <w:p w:rsidR="0075665A" w:rsidRPr="00695340" w:rsidRDefault="0075665A" w:rsidP="00155181">
            <w:pPr>
              <w:spacing w:before="120"/>
              <w:rPr>
                <w:rFonts w:ascii="Arial" w:hAnsi="Arial" w:cs="Arial"/>
                <w:sz w:val="20"/>
                <w:szCs w:val="20"/>
              </w:rPr>
            </w:pPr>
            <w:r>
              <w:rPr>
                <w:rFonts w:ascii="Arial" w:hAnsi="Arial" w:cs="Arial"/>
                <w:sz w:val="20"/>
                <w:szCs w:val="20"/>
              </w:rPr>
              <w:t>MHI55</w:t>
            </w:r>
            <w:r w:rsidR="000E0819">
              <w:rPr>
                <w:rFonts w:ascii="Arial" w:hAnsi="Arial" w:cs="Arial"/>
                <w:sz w:val="20"/>
                <w:szCs w:val="20"/>
              </w:rPr>
              <w:t>S</w:t>
            </w:r>
          </w:p>
        </w:tc>
        <w:tc>
          <w:tcPr>
            <w:tcW w:w="920" w:type="pct"/>
            <w:tcBorders>
              <w:top w:val="single" w:sz="4" w:space="0" w:color="auto"/>
              <w:left w:val="single" w:sz="4" w:space="0" w:color="auto"/>
              <w:bottom w:val="single" w:sz="4" w:space="0" w:color="auto"/>
              <w:right w:val="single" w:sz="4" w:space="0" w:color="auto"/>
            </w:tcBorders>
          </w:tcPr>
          <w:p w:rsidR="0075665A" w:rsidRPr="00695340" w:rsidRDefault="0075665A" w:rsidP="00B05303">
            <w:pPr>
              <w:spacing w:before="120"/>
              <w:rPr>
                <w:rFonts w:ascii="Arial" w:hAnsi="Arial" w:cs="Arial"/>
                <w:sz w:val="20"/>
                <w:szCs w:val="20"/>
              </w:rPr>
            </w:pPr>
            <w:r w:rsidRPr="00695340">
              <w:rPr>
                <w:rFonts w:ascii="Arial" w:hAnsi="Arial" w:cs="Arial"/>
                <w:sz w:val="20"/>
                <w:szCs w:val="20"/>
              </w:rPr>
              <w:t>A child, adolescent, and youth community support service</w:t>
            </w:r>
          </w:p>
        </w:tc>
        <w:tc>
          <w:tcPr>
            <w:tcW w:w="2969" w:type="pct"/>
            <w:tcBorders>
              <w:top w:val="single" w:sz="4" w:space="0" w:color="auto"/>
              <w:left w:val="single" w:sz="4" w:space="0" w:color="auto"/>
              <w:bottom w:val="single" w:sz="4" w:space="0" w:color="auto"/>
              <w:right w:val="single" w:sz="4" w:space="0" w:color="auto"/>
            </w:tcBorders>
          </w:tcPr>
          <w:p w:rsidR="0075665A" w:rsidRPr="00695340" w:rsidRDefault="0075665A" w:rsidP="00695340">
            <w:pPr>
              <w:rPr>
                <w:rFonts w:ascii="Arial" w:hAnsi="Arial" w:cs="Arial"/>
                <w:color w:val="000000"/>
                <w:sz w:val="20"/>
                <w:szCs w:val="20"/>
              </w:rPr>
            </w:pPr>
            <w:r w:rsidRPr="00695340">
              <w:rPr>
                <w:rFonts w:ascii="Arial" w:hAnsi="Arial" w:cs="Arial"/>
                <w:color w:val="000000"/>
                <w:sz w:val="20"/>
                <w:szCs w:val="20"/>
              </w:rPr>
              <w:t>A recovery-resilience mobile support service to assist infants, children, adolescent or youth and their family/whanau in determining their support and cultural needs, who are living in the community. The service is to help the user to manage activities of daily living, personal care, help the child, adolescent or youth to maintain connection with community-based activities (health, education, vocational and social services, and collaboration with clinical services).</w:t>
            </w:r>
          </w:p>
        </w:tc>
        <w:tc>
          <w:tcPr>
            <w:tcW w:w="561" w:type="pct"/>
            <w:tcBorders>
              <w:top w:val="single" w:sz="4" w:space="0" w:color="auto"/>
              <w:left w:val="single" w:sz="4" w:space="0" w:color="auto"/>
              <w:bottom w:val="single" w:sz="4" w:space="0" w:color="auto"/>
              <w:right w:val="single" w:sz="4" w:space="0" w:color="auto"/>
            </w:tcBorders>
          </w:tcPr>
          <w:p w:rsidR="0075665A" w:rsidRPr="00695340" w:rsidRDefault="0075665A" w:rsidP="00B05303">
            <w:pPr>
              <w:spacing w:before="120"/>
              <w:rPr>
                <w:rFonts w:ascii="Arial" w:hAnsi="Arial" w:cs="Arial"/>
                <w:sz w:val="20"/>
                <w:szCs w:val="20"/>
              </w:rPr>
            </w:pPr>
            <w:r>
              <w:rPr>
                <w:rFonts w:ascii="Arial" w:hAnsi="Arial" w:cs="Arial"/>
                <w:sz w:val="20"/>
                <w:szCs w:val="20"/>
              </w:rPr>
              <w:t>Service</w:t>
            </w:r>
          </w:p>
        </w:tc>
      </w:tr>
    </w:tbl>
    <w:p w:rsidR="0075665A" w:rsidRDefault="0075665A" w:rsidP="00EA541A">
      <w:pPr>
        <w:spacing w:before="120"/>
        <w:rPr>
          <w:rFonts w:ascii="Arial" w:hAnsi="Arial" w:cs="Arial"/>
          <w:b/>
        </w:rPr>
      </w:pPr>
    </w:p>
    <w:tbl>
      <w:tblPr>
        <w:tblStyle w:val="TableGrid"/>
        <w:tblW w:w="9776" w:type="dxa"/>
        <w:tblLook w:val="04A0" w:firstRow="1" w:lastRow="0" w:firstColumn="1" w:lastColumn="0" w:noHBand="0" w:noVBand="1"/>
      </w:tblPr>
      <w:tblGrid>
        <w:gridCol w:w="1413"/>
        <w:gridCol w:w="8363"/>
      </w:tblGrid>
      <w:tr w:rsidR="0075665A" w:rsidRPr="00D40348" w:rsidTr="0061038E">
        <w:tc>
          <w:tcPr>
            <w:tcW w:w="1413" w:type="dxa"/>
            <w:shd w:val="clear" w:color="auto" w:fill="D9D9D9" w:themeFill="background1" w:themeFillShade="D9"/>
          </w:tcPr>
          <w:p w:rsidR="0075665A" w:rsidRPr="0061038E" w:rsidRDefault="0075665A" w:rsidP="00F16D5C">
            <w:pPr>
              <w:spacing w:before="120"/>
              <w:rPr>
                <w:rFonts w:ascii="Arial" w:hAnsi="Arial" w:cs="Arial"/>
                <w:b/>
                <w:sz w:val="20"/>
                <w:szCs w:val="20"/>
                <w:lang w:val="en-GB" w:eastAsia="en-GB"/>
              </w:rPr>
            </w:pPr>
            <w:bookmarkStart w:id="11" w:name="_GoBack"/>
            <w:bookmarkEnd w:id="11"/>
            <w:r w:rsidRPr="0061038E">
              <w:rPr>
                <w:rFonts w:ascii="Arial" w:hAnsi="Arial" w:cs="Arial"/>
                <w:b/>
                <w:sz w:val="20"/>
                <w:szCs w:val="20"/>
                <w:lang w:val="en-GB" w:eastAsia="en-GB"/>
              </w:rPr>
              <w:t>Unit of Measure</w:t>
            </w:r>
          </w:p>
        </w:tc>
        <w:tc>
          <w:tcPr>
            <w:tcW w:w="8363" w:type="dxa"/>
            <w:shd w:val="clear" w:color="auto" w:fill="D9D9D9" w:themeFill="background1" w:themeFillShade="D9"/>
          </w:tcPr>
          <w:p w:rsidR="0075665A" w:rsidRPr="0061038E" w:rsidRDefault="0075665A" w:rsidP="00F16D5C">
            <w:pPr>
              <w:spacing w:before="120"/>
              <w:rPr>
                <w:rFonts w:ascii="Arial" w:hAnsi="Arial" w:cs="Arial"/>
                <w:b/>
                <w:sz w:val="20"/>
                <w:szCs w:val="20"/>
                <w:lang w:val="en-GB" w:eastAsia="en-GB"/>
              </w:rPr>
            </w:pPr>
            <w:r w:rsidRPr="0061038E">
              <w:rPr>
                <w:rFonts w:ascii="Arial" w:hAnsi="Arial" w:cs="Arial"/>
                <w:b/>
                <w:sz w:val="20"/>
                <w:szCs w:val="20"/>
                <w:lang w:val="en-GB" w:eastAsia="en-GB"/>
              </w:rPr>
              <w:t>Unit of Measure Definition</w:t>
            </w:r>
          </w:p>
        </w:tc>
      </w:tr>
      <w:tr w:rsidR="0075665A" w:rsidRPr="00485D19" w:rsidTr="0061038E">
        <w:tc>
          <w:tcPr>
            <w:tcW w:w="1413" w:type="dxa"/>
          </w:tcPr>
          <w:p w:rsidR="0075665A" w:rsidRPr="00485D19" w:rsidRDefault="0075665A" w:rsidP="00F16D5C">
            <w:pPr>
              <w:spacing w:before="120"/>
              <w:jc w:val="both"/>
              <w:rPr>
                <w:rFonts w:ascii="Arial" w:hAnsi="Arial" w:cs="Arial"/>
                <w:sz w:val="20"/>
                <w:szCs w:val="20"/>
                <w:lang w:val="en-GB" w:eastAsia="en-GB"/>
              </w:rPr>
            </w:pPr>
            <w:r w:rsidRPr="00485D19">
              <w:rPr>
                <w:rFonts w:ascii="Arial" w:hAnsi="Arial" w:cs="Arial"/>
                <w:sz w:val="20"/>
                <w:szCs w:val="20"/>
                <w:lang w:val="en-GB" w:eastAsia="en-GB"/>
              </w:rPr>
              <w:t>FTE</w:t>
            </w:r>
          </w:p>
        </w:tc>
        <w:tc>
          <w:tcPr>
            <w:tcW w:w="8363" w:type="dxa"/>
          </w:tcPr>
          <w:p w:rsidR="0075665A" w:rsidRPr="00485D19" w:rsidRDefault="0075665A" w:rsidP="00F16D5C">
            <w:pPr>
              <w:spacing w:before="120"/>
              <w:jc w:val="both"/>
              <w:rPr>
                <w:rFonts w:ascii="Arial" w:hAnsi="Arial" w:cs="Arial"/>
                <w:sz w:val="20"/>
                <w:szCs w:val="20"/>
                <w:lang w:val="en-GB" w:eastAsia="en-GB"/>
              </w:rPr>
            </w:pPr>
            <w:r w:rsidRPr="00485D19">
              <w:rPr>
                <w:rFonts w:ascii="Arial" w:hAnsi="Arial" w:cs="Arial"/>
                <w:sz w:val="20"/>
                <w:szCs w:val="20"/>
                <w:lang w:val="en-GB" w:eastAsia="en-GB"/>
              </w:rPr>
              <w:t>Full-time equivalent staff member (clinical or non-clinical) involved in direct delivery of services to consumers.  Exclude time that is formally devoted to administrative or management functions e.g. half-time coordination of a community team.</w:t>
            </w:r>
          </w:p>
        </w:tc>
      </w:tr>
      <w:tr w:rsidR="0075665A" w:rsidRPr="00485D19" w:rsidTr="0061038E">
        <w:tc>
          <w:tcPr>
            <w:tcW w:w="1413" w:type="dxa"/>
          </w:tcPr>
          <w:p w:rsidR="0075665A" w:rsidRPr="00485D19" w:rsidRDefault="0075665A" w:rsidP="00F16D5C">
            <w:pPr>
              <w:spacing w:before="120"/>
              <w:jc w:val="both"/>
              <w:rPr>
                <w:rFonts w:ascii="Arial" w:hAnsi="Arial" w:cs="Arial"/>
                <w:sz w:val="20"/>
                <w:szCs w:val="20"/>
                <w:lang w:val="en-GB" w:eastAsia="en-GB"/>
              </w:rPr>
            </w:pPr>
            <w:r w:rsidRPr="00485D19">
              <w:rPr>
                <w:rFonts w:ascii="Arial" w:hAnsi="Arial" w:cs="Arial"/>
                <w:sz w:val="20"/>
                <w:szCs w:val="20"/>
                <w:lang w:val="en-GB" w:eastAsia="en-GB"/>
              </w:rPr>
              <w:t>Client</w:t>
            </w:r>
          </w:p>
        </w:tc>
        <w:tc>
          <w:tcPr>
            <w:tcW w:w="8363" w:type="dxa"/>
          </w:tcPr>
          <w:p w:rsidR="0075665A" w:rsidRPr="00485D19" w:rsidRDefault="0075665A" w:rsidP="00F16D5C">
            <w:pPr>
              <w:spacing w:before="120"/>
              <w:jc w:val="both"/>
              <w:rPr>
                <w:rFonts w:ascii="Arial" w:hAnsi="Arial" w:cs="Arial"/>
                <w:sz w:val="20"/>
                <w:szCs w:val="20"/>
                <w:lang w:val="en-GB" w:eastAsia="en-GB"/>
              </w:rPr>
            </w:pPr>
            <w:r w:rsidRPr="00485D19">
              <w:rPr>
                <w:rFonts w:ascii="Arial" w:hAnsi="Arial" w:cs="Arial"/>
                <w:sz w:val="20"/>
                <w:szCs w:val="20"/>
              </w:rPr>
              <w:t>Number of clients managed by the service in the reporting period (period is annual 1st July - 30th June) i.e. caseload at the beginning of the plus all new cases in the period. 'Client' and 'Service User' are interchangeable.</w:t>
            </w:r>
          </w:p>
        </w:tc>
      </w:tr>
      <w:tr w:rsidR="0075665A" w:rsidRPr="00485D19" w:rsidTr="0061038E">
        <w:tc>
          <w:tcPr>
            <w:tcW w:w="1413" w:type="dxa"/>
          </w:tcPr>
          <w:p w:rsidR="0075665A" w:rsidRPr="00485D19" w:rsidRDefault="0075665A" w:rsidP="00F16D5C">
            <w:pPr>
              <w:spacing w:before="120"/>
              <w:jc w:val="both"/>
              <w:rPr>
                <w:rFonts w:ascii="Arial" w:hAnsi="Arial" w:cs="Arial"/>
                <w:sz w:val="20"/>
                <w:szCs w:val="20"/>
                <w:lang w:val="en-GB" w:eastAsia="en-GB"/>
              </w:rPr>
            </w:pPr>
            <w:r w:rsidRPr="00485D19">
              <w:rPr>
                <w:rFonts w:ascii="Arial" w:hAnsi="Arial" w:cs="Arial"/>
                <w:sz w:val="20"/>
                <w:szCs w:val="20"/>
                <w:lang w:val="en-GB" w:eastAsia="en-GB"/>
              </w:rPr>
              <w:t>Service</w:t>
            </w:r>
          </w:p>
        </w:tc>
        <w:tc>
          <w:tcPr>
            <w:tcW w:w="8363" w:type="dxa"/>
          </w:tcPr>
          <w:p w:rsidR="0075665A" w:rsidRPr="00485D19" w:rsidRDefault="0075665A" w:rsidP="00F16D5C">
            <w:pPr>
              <w:spacing w:before="120"/>
              <w:jc w:val="both"/>
              <w:rPr>
                <w:rFonts w:ascii="Arial" w:hAnsi="Arial" w:cs="Arial"/>
                <w:sz w:val="20"/>
                <w:szCs w:val="20"/>
                <w:lang w:val="en-GB" w:eastAsia="en-GB"/>
              </w:rPr>
            </w:pPr>
            <w:r w:rsidRPr="00485D19">
              <w:rPr>
                <w:rFonts w:ascii="Arial" w:hAnsi="Arial" w:cs="Arial"/>
                <w:sz w:val="20"/>
                <w:szCs w:val="20"/>
                <w:lang w:val="en-GB" w:eastAsia="en-GB"/>
              </w:rPr>
              <w:t>Service purchased in a block arrangement uniquely agreed between the parties to the agreement</w:t>
            </w:r>
          </w:p>
        </w:tc>
      </w:tr>
    </w:tbl>
    <w:p w:rsidR="00685BBB" w:rsidRPr="00EA541A" w:rsidRDefault="0075773C" w:rsidP="0075665A">
      <w:pPr>
        <w:spacing w:before="120"/>
        <w:rPr>
          <w:rFonts w:ascii="Arial" w:hAnsi="Arial" w:cs="Arial"/>
          <w:b/>
        </w:rPr>
      </w:pPr>
      <w:r>
        <w:rPr>
          <w:rFonts w:ascii="Arial" w:hAnsi="Arial" w:cs="Arial"/>
          <w:b/>
        </w:rPr>
        <w:t>7</w:t>
      </w:r>
      <w:r w:rsidR="00685BBB" w:rsidRPr="00EA541A">
        <w:rPr>
          <w:rFonts w:ascii="Arial" w:hAnsi="Arial" w:cs="Arial"/>
          <w:b/>
        </w:rPr>
        <w:t>.2</w:t>
      </w:r>
      <w:r w:rsidR="00685BBB" w:rsidRPr="00EA541A">
        <w:rPr>
          <w:rFonts w:ascii="Arial" w:hAnsi="Arial" w:cs="Arial"/>
          <w:b/>
        </w:rPr>
        <w:tab/>
        <w:t>Reporting</w:t>
      </w:r>
    </w:p>
    <w:p w:rsidR="008314D9" w:rsidRPr="00BF4DAC" w:rsidRDefault="008314D9" w:rsidP="008314D9">
      <w:pPr>
        <w:spacing w:before="120"/>
        <w:rPr>
          <w:rFonts w:ascii="Arial" w:hAnsi="Arial" w:cs="Arial"/>
          <w:lang w:val="en-GB" w:eastAsia="en-GB"/>
        </w:rPr>
      </w:pPr>
      <w:r w:rsidRPr="00BF4DAC">
        <w:rPr>
          <w:rFonts w:ascii="Arial" w:hAnsi="Arial" w:cs="Arial"/>
          <w:lang w:val="en-GB" w:eastAsia="en-GB"/>
        </w:rPr>
        <w:t>The Provider must comply with the requirements of national data collections: PRIMHD.</w:t>
      </w:r>
    </w:p>
    <w:p w:rsidR="008314D9" w:rsidRPr="00BF4DAC" w:rsidRDefault="008314D9" w:rsidP="008314D9">
      <w:pPr>
        <w:spacing w:before="120" w:after="120"/>
        <w:rPr>
          <w:rFonts w:ascii="Arial" w:hAnsi="Arial" w:cs="Arial"/>
          <w:lang w:val="en-GB" w:eastAsia="en-GB"/>
        </w:rPr>
      </w:pPr>
      <w:r w:rsidRPr="00BF4DAC">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486C99" w:rsidRDefault="00486C99">
      <w:pPr>
        <w:rPr>
          <w:rFonts w:ascii="Arial" w:hAnsi="Arial" w:cs="Arial"/>
          <w:lang w:val="en-GB" w:eastAsia="en-GB"/>
        </w:rPr>
      </w:pPr>
      <w:r>
        <w:rPr>
          <w:rFonts w:ascii="Arial" w:hAnsi="Arial" w:cs="Arial"/>
          <w:lang w:val="en-GB" w:eastAsia="en-GB"/>
        </w:rPr>
        <w:br w:type="page"/>
      </w:r>
    </w:p>
    <w:p w:rsidR="008314D9" w:rsidRPr="00BF4DAC" w:rsidRDefault="008314D9" w:rsidP="008314D9">
      <w:pPr>
        <w:spacing w:before="120"/>
        <w:rPr>
          <w:rFonts w:ascii="Arial" w:hAnsi="Arial" w:cs="Arial"/>
          <w:lang w:val="en-GB" w:eastAsia="en-GB"/>
        </w:rPr>
      </w:pPr>
      <w:r w:rsidRPr="00BF4DAC">
        <w:rPr>
          <w:rFonts w:ascii="Arial" w:hAnsi="Arial" w:cs="Arial"/>
          <w:lang w:val="en-GB" w:eastAsia="en-GB"/>
        </w:rPr>
        <w:lastRenderedPageBreak/>
        <w:t>The information required by the Funder will be sent to:</w:t>
      </w:r>
    </w:p>
    <w:p w:rsidR="008314D9" w:rsidRPr="00BF4DAC" w:rsidRDefault="008314D9" w:rsidP="008314D9">
      <w:pPr>
        <w:spacing w:before="120"/>
        <w:ind w:left="720"/>
        <w:rPr>
          <w:rFonts w:ascii="Arial" w:hAnsi="Arial"/>
          <w:szCs w:val="20"/>
          <w:lang w:val="en-GB" w:eastAsia="en-GB"/>
        </w:rPr>
      </w:pPr>
      <w:r w:rsidRPr="00BF4DAC">
        <w:rPr>
          <w:rFonts w:ascii="Arial" w:hAnsi="Arial"/>
          <w:szCs w:val="20"/>
          <w:lang w:val="en-GB" w:eastAsia="en-GB"/>
        </w:rPr>
        <w:t>Performance Reporting</w:t>
      </w:r>
    </w:p>
    <w:p w:rsidR="008314D9" w:rsidRPr="00BF4DAC" w:rsidRDefault="008314D9" w:rsidP="008314D9">
      <w:pPr>
        <w:spacing w:before="120"/>
        <w:ind w:left="720"/>
        <w:rPr>
          <w:rFonts w:ascii="Arial" w:hAnsi="Arial"/>
          <w:szCs w:val="20"/>
          <w:lang w:val="en-GB" w:eastAsia="en-GB"/>
        </w:rPr>
      </w:pPr>
      <w:r w:rsidRPr="00BF4DAC">
        <w:rPr>
          <w:rFonts w:ascii="Arial" w:hAnsi="Arial"/>
          <w:szCs w:val="20"/>
          <w:lang w:val="en-GB" w:eastAsia="en-GB"/>
        </w:rPr>
        <w:t>Sector Operations</w:t>
      </w:r>
    </w:p>
    <w:p w:rsidR="008314D9" w:rsidRPr="00BF4DAC" w:rsidRDefault="008314D9" w:rsidP="008314D9">
      <w:pPr>
        <w:spacing w:before="120"/>
        <w:ind w:left="720"/>
        <w:rPr>
          <w:rFonts w:ascii="Arial" w:hAnsi="Arial"/>
          <w:szCs w:val="20"/>
          <w:lang w:val="en-GB" w:eastAsia="en-GB"/>
        </w:rPr>
      </w:pPr>
      <w:r w:rsidRPr="00BF4DAC">
        <w:rPr>
          <w:rFonts w:ascii="Arial" w:hAnsi="Arial"/>
          <w:szCs w:val="20"/>
          <w:lang w:val="en-GB" w:eastAsia="en-GB"/>
        </w:rPr>
        <w:t>Ministry of Health</w:t>
      </w:r>
    </w:p>
    <w:p w:rsidR="008314D9" w:rsidRPr="00BF4DAC" w:rsidRDefault="008314D9" w:rsidP="008314D9">
      <w:pPr>
        <w:spacing w:before="120"/>
        <w:ind w:left="720"/>
        <w:rPr>
          <w:rFonts w:ascii="Arial" w:hAnsi="Arial"/>
          <w:szCs w:val="20"/>
          <w:lang w:val="en-GB" w:eastAsia="en-GB"/>
        </w:rPr>
      </w:pPr>
      <w:r w:rsidRPr="00BF4DAC">
        <w:rPr>
          <w:rFonts w:ascii="Arial" w:hAnsi="Arial"/>
          <w:szCs w:val="20"/>
          <w:lang w:val="en-GB" w:eastAsia="en-GB"/>
        </w:rPr>
        <w:t>Private Bag 1942</w:t>
      </w:r>
    </w:p>
    <w:p w:rsidR="008314D9" w:rsidRPr="00BF4DAC" w:rsidRDefault="008314D9" w:rsidP="008314D9">
      <w:pPr>
        <w:spacing w:before="120"/>
        <w:ind w:left="720"/>
        <w:rPr>
          <w:rFonts w:ascii="Arial" w:hAnsi="Arial"/>
          <w:szCs w:val="20"/>
          <w:lang w:val="en-GB" w:eastAsia="en-GB"/>
        </w:rPr>
      </w:pPr>
      <w:r w:rsidRPr="00BF4DAC">
        <w:rPr>
          <w:rFonts w:ascii="Arial" w:hAnsi="Arial"/>
          <w:szCs w:val="20"/>
          <w:lang w:val="en-GB" w:eastAsia="en-GB"/>
        </w:rPr>
        <w:t>Dunedin 9054</w:t>
      </w:r>
    </w:p>
    <w:p w:rsidR="008314D9" w:rsidRPr="00BF4DAC" w:rsidRDefault="008314D9" w:rsidP="008314D9">
      <w:pPr>
        <w:spacing w:before="120"/>
        <w:rPr>
          <w:rFonts w:ascii="Arial" w:hAnsi="Arial" w:cs="Arial"/>
          <w:lang w:val="en-GB" w:eastAsia="en-GB"/>
        </w:rPr>
      </w:pPr>
      <w:r w:rsidRPr="00BF4DAC">
        <w:rPr>
          <w:rFonts w:ascii="Arial" w:hAnsi="Arial" w:cs="Arial"/>
          <w:lang w:val="en-GB" w:eastAsia="en-GB"/>
        </w:rPr>
        <w:t xml:space="preserve">Email </w:t>
      </w:r>
      <w:hyperlink r:id="rId10" w:history="1">
        <w:r w:rsidRPr="00BF4DAC">
          <w:rPr>
            <w:rFonts w:ascii="Arial" w:hAnsi="Arial" w:cs="Arial"/>
            <w:color w:val="0000FF"/>
            <w:u w:val="single"/>
            <w:lang w:val="en-GB" w:eastAsia="en-GB"/>
          </w:rPr>
          <w:t>performance_reporting@moh.govt.nz</w:t>
        </w:r>
      </w:hyperlink>
    </w:p>
    <w:p w:rsidR="008314D9" w:rsidRPr="00BF4DAC" w:rsidRDefault="008314D9" w:rsidP="008314D9">
      <w:pPr>
        <w:spacing w:before="120" w:after="120"/>
        <w:rPr>
          <w:rFonts w:ascii="Arial" w:hAnsi="Arial"/>
          <w:sz w:val="22"/>
          <w:szCs w:val="20"/>
          <w:lang w:val="en-GB" w:eastAsia="en-GB"/>
        </w:rPr>
      </w:pPr>
      <w:r w:rsidRPr="00BF4DAC">
        <w:rPr>
          <w:rFonts w:ascii="Arial" w:hAnsi="Arial" w:cs="Arial"/>
          <w:color w:val="000000"/>
          <w:lang w:eastAsia="en-NZ"/>
        </w:rPr>
        <w:t xml:space="preserve">The Performance Monitoring </w:t>
      </w:r>
      <w:r w:rsidRPr="00BF4DAC">
        <w:rPr>
          <w:rFonts w:ascii="Arial" w:hAnsi="Arial" w:cs="Arial"/>
          <w:lang w:val="en-AU"/>
        </w:rPr>
        <w:t>Reporting tables for the Mental Health and Addiction Service Specifications</w:t>
      </w:r>
      <w:r w:rsidRPr="00BF4DAC">
        <w:rPr>
          <w:rFonts w:ascii="Arial" w:hAnsi="Arial" w:cs="Arial"/>
          <w:vertAlign w:val="superscript"/>
          <w:lang w:val="en-GB" w:eastAsia="en-GB"/>
        </w:rPr>
        <w:footnoteReference w:id="1"/>
      </w:r>
      <w:r w:rsidRPr="00BF4DAC">
        <w:rPr>
          <w:rFonts w:ascii="Arial" w:hAnsi="Arial" w:cs="Arial"/>
          <w:lang w:val="en-GB" w:eastAsia="en-GB"/>
        </w:rPr>
        <w:t xml:space="preserve"> may be used for performance monitoring if specified as agreed with the Funder.</w:t>
      </w:r>
    </w:p>
    <w:p w:rsidR="00155181" w:rsidRPr="00695340" w:rsidRDefault="00155181" w:rsidP="00695340">
      <w:pPr>
        <w:spacing w:after="120"/>
        <w:ind w:left="720"/>
        <w:rPr>
          <w:rFonts w:ascii="Arial" w:hAnsi="Arial" w:cs="Arial"/>
        </w:rPr>
      </w:pPr>
    </w:p>
    <w:sectPr w:rsidR="00155181" w:rsidRPr="00695340" w:rsidSect="00695340">
      <w:footerReference w:type="even" r:id="rId11"/>
      <w:footerReference w:type="default" r:id="rId12"/>
      <w:type w:val="continuous"/>
      <w:pgSz w:w="11906" w:h="16838"/>
      <w:pgMar w:top="1440" w:right="1080" w:bottom="1440" w:left="108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8B5" w:rsidRDefault="004A38B5">
      <w:r>
        <w:separator/>
      </w:r>
    </w:p>
  </w:endnote>
  <w:endnote w:type="continuationSeparator" w:id="0">
    <w:p w:rsidR="004A38B5" w:rsidRDefault="004A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03" w:rsidRDefault="00B05303" w:rsidP="00B05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5303" w:rsidRDefault="00B05303" w:rsidP="00B053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340" w:rsidRPr="00695340" w:rsidRDefault="00330C31" w:rsidP="00695340">
    <w:pPr>
      <w:pStyle w:val="Footer"/>
      <w:pBdr>
        <w:top w:val="single" w:sz="4" w:space="1" w:color="auto"/>
      </w:pBdr>
      <w:rPr>
        <w:rFonts w:ascii="Arial" w:hAnsi="Arial" w:cs="Arial"/>
        <w:sz w:val="20"/>
        <w:szCs w:val="20"/>
      </w:rPr>
    </w:pPr>
    <w:r w:rsidRPr="00695340">
      <w:rPr>
        <w:rFonts w:ascii="Arial" w:hAnsi="Arial" w:cs="Arial"/>
        <w:sz w:val="20"/>
        <w:szCs w:val="20"/>
      </w:rPr>
      <w:t xml:space="preserve">Infant Child Adolescent and Youth Community Support Service Home-Based Support/Support for Independence Mental Health and Addiction Services Tier Three Service Specification </w:t>
    </w:r>
    <w:r w:rsidR="008314D9">
      <w:rPr>
        <w:rFonts w:ascii="Arial" w:hAnsi="Arial" w:cs="Arial"/>
        <w:sz w:val="20"/>
        <w:szCs w:val="20"/>
      </w:rPr>
      <w:t>April 2017</w:t>
    </w:r>
    <w:r w:rsidRPr="00695340">
      <w:rPr>
        <w:rFonts w:ascii="Arial" w:hAnsi="Arial" w:cs="Arial"/>
        <w:sz w:val="20"/>
        <w:szCs w:val="20"/>
      </w:rPr>
      <w:t xml:space="preserve"> </w:t>
    </w:r>
  </w:p>
  <w:p w:rsidR="00B05303" w:rsidRPr="00695340" w:rsidRDefault="00330C31" w:rsidP="00695340">
    <w:pPr>
      <w:pStyle w:val="Footer"/>
      <w:pBdr>
        <w:top w:val="single" w:sz="4" w:space="1" w:color="auto"/>
      </w:pBdr>
      <w:rPr>
        <w:sz w:val="20"/>
        <w:szCs w:val="20"/>
      </w:rPr>
    </w:pPr>
    <w:r w:rsidRPr="00695340">
      <w:rPr>
        <w:rFonts w:ascii="Arial" w:hAnsi="Arial" w:cs="Arial"/>
        <w:sz w:val="20"/>
        <w:szCs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8B5" w:rsidRDefault="004A38B5">
      <w:r>
        <w:separator/>
      </w:r>
    </w:p>
  </w:footnote>
  <w:footnote w:type="continuationSeparator" w:id="0">
    <w:p w:rsidR="004A38B5" w:rsidRDefault="004A38B5">
      <w:r>
        <w:continuationSeparator/>
      </w:r>
    </w:p>
  </w:footnote>
  <w:footnote w:id="1">
    <w:p w:rsidR="008314D9" w:rsidRPr="006F249C" w:rsidRDefault="008314D9" w:rsidP="008314D9">
      <w:pPr>
        <w:pStyle w:val="FootnoteText"/>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81A73"/>
    <w:multiLevelType w:val="hybridMultilevel"/>
    <w:tmpl w:val="C520E0EC"/>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
    <w:nsid w:val="6E672314"/>
    <w:multiLevelType w:val="hybridMultilevel"/>
    <w:tmpl w:val="C03C5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D10A1F"/>
    <w:multiLevelType w:val="hybridMultilevel"/>
    <w:tmpl w:val="06B6C2F6"/>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5">
    <w:nsid w:val="7F652754"/>
    <w:multiLevelType w:val="hybridMultilevel"/>
    <w:tmpl w:val="B136FB5C"/>
    <w:lvl w:ilvl="0" w:tplc="8880191A">
      <w:start w:val="1"/>
      <w:numFmt w:val="bullet"/>
      <w:lvlText w:val="-"/>
      <w:lvlJc w:val="left"/>
      <w:pPr>
        <w:tabs>
          <w:tab w:val="num" w:pos="720"/>
        </w:tabs>
        <w:ind w:left="720" w:hanging="360"/>
      </w:pPr>
      <w:rPr>
        <w:rFonts w:ascii="Sylfaen" w:hAnsi="Sylfae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C2"/>
    <w:rsid w:val="00013764"/>
    <w:rsid w:val="00060DE1"/>
    <w:rsid w:val="000E0819"/>
    <w:rsid w:val="00142C1B"/>
    <w:rsid w:val="00155181"/>
    <w:rsid w:val="001846C2"/>
    <w:rsid w:val="002B63D0"/>
    <w:rsid w:val="002C3A00"/>
    <w:rsid w:val="00327310"/>
    <w:rsid w:val="00330C31"/>
    <w:rsid w:val="00353D57"/>
    <w:rsid w:val="00455DCC"/>
    <w:rsid w:val="00486C99"/>
    <w:rsid w:val="004A38B5"/>
    <w:rsid w:val="004F2C8F"/>
    <w:rsid w:val="005C6B6E"/>
    <w:rsid w:val="006061B5"/>
    <w:rsid w:val="0061038E"/>
    <w:rsid w:val="006535BE"/>
    <w:rsid w:val="00685BBB"/>
    <w:rsid w:val="00695340"/>
    <w:rsid w:val="006F2201"/>
    <w:rsid w:val="00726964"/>
    <w:rsid w:val="00734FB0"/>
    <w:rsid w:val="0075665A"/>
    <w:rsid w:val="0075773C"/>
    <w:rsid w:val="007E1602"/>
    <w:rsid w:val="008314D9"/>
    <w:rsid w:val="00850F6B"/>
    <w:rsid w:val="008716A5"/>
    <w:rsid w:val="00887C4D"/>
    <w:rsid w:val="009865F0"/>
    <w:rsid w:val="009D3851"/>
    <w:rsid w:val="009F345E"/>
    <w:rsid w:val="00A47347"/>
    <w:rsid w:val="00B05303"/>
    <w:rsid w:val="00B44765"/>
    <w:rsid w:val="00B61D80"/>
    <w:rsid w:val="00C57C8E"/>
    <w:rsid w:val="00C64CCC"/>
    <w:rsid w:val="00CC48F6"/>
    <w:rsid w:val="00CD1E70"/>
    <w:rsid w:val="00E05493"/>
    <w:rsid w:val="00EA541A"/>
    <w:rsid w:val="00EA6F50"/>
    <w:rsid w:val="00F94EC7"/>
    <w:rsid w:val="00FE36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1CD5E733-8ACB-4D23-A86E-53C339EE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303"/>
    <w:rPr>
      <w:rFonts w:ascii="Arial Mäori" w:hAnsi="Arial Mäo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5303"/>
    <w:pPr>
      <w:tabs>
        <w:tab w:val="center" w:pos="4153"/>
        <w:tab w:val="right" w:pos="8306"/>
      </w:tabs>
    </w:pPr>
  </w:style>
  <w:style w:type="character" w:styleId="PageNumber">
    <w:name w:val="page number"/>
    <w:basedOn w:val="DefaultParagraphFont"/>
    <w:rsid w:val="00B05303"/>
  </w:style>
  <w:style w:type="paragraph" w:styleId="BalloonText">
    <w:name w:val="Balloon Text"/>
    <w:basedOn w:val="Normal"/>
    <w:link w:val="BalloonTextChar"/>
    <w:uiPriority w:val="99"/>
    <w:semiHidden/>
    <w:unhideWhenUsed/>
    <w:rsid w:val="006535BE"/>
    <w:rPr>
      <w:rFonts w:ascii="Tahoma" w:hAnsi="Tahoma" w:cs="Tahoma"/>
      <w:sz w:val="16"/>
      <w:szCs w:val="16"/>
    </w:rPr>
  </w:style>
  <w:style w:type="character" w:customStyle="1" w:styleId="BalloonTextChar">
    <w:name w:val="Balloon Text Char"/>
    <w:basedOn w:val="DefaultParagraphFont"/>
    <w:link w:val="BalloonText"/>
    <w:uiPriority w:val="99"/>
    <w:semiHidden/>
    <w:rsid w:val="006535BE"/>
    <w:rPr>
      <w:rFonts w:ascii="Tahoma" w:hAnsi="Tahoma" w:cs="Tahoma"/>
      <w:sz w:val="16"/>
      <w:szCs w:val="16"/>
      <w:lang w:eastAsia="en-US"/>
    </w:rPr>
  </w:style>
  <w:style w:type="paragraph" w:styleId="Revision">
    <w:name w:val="Revision"/>
    <w:hidden/>
    <w:uiPriority w:val="99"/>
    <w:semiHidden/>
    <w:rsid w:val="00E05493"/>
    <w:rPr>
      <w:rFonts w:ascii="Arial Mäori" w:hAnsi="Arial Mäori"/>
      <w:sz w:val="24"/>
      <w:szCs w:val="24"/>
      <w:lang w:eastAsia="en-US"/>
    </w:rPr>
  </w:style>
  <w:style w:type="paragraph" w:styleId="Header">
    <w:name w:val="header"/>
    <w:basedOn w:val="Normal"/>
    <w:link w:val="HeaderChar"/>
    <w:uiPriority w:val="99"/>
    <w:unhideWhenUsed/>
    <w:rsid w:val="00330C31"/>
    <w:pPr>
      <w:tabs>
        <w:tab w:val="center" w:pos="4513"/>
        <w:tab w:val="right" w:pos="9026"/>
      </w:tabs>
    </w:pPr>
  </w:style>
  <w:style w:type="character" w:customStyle="1" w:styleId="HeaderChar">
    <w:name w:val="Header Char"/>
    <w:basedOn w:val="DefaultParagraphFont"/>
    <w:link w:val="Header"/>
    <w:uiPriority w:val="99"/>
    <w:rsid w:val="00330C31"/>
    <w:rPr>
      <w:rFonts w:ascii="Arial Mäori" w:hAnsi="Arial Mäori"/>
      <w:sz w:val="24"/>
      <w:szCs w:val="24"/>
      <w:lang w:eastAsia="en-US"/>
    </w:rPr>
  </w:style>
  <w:style w:type="character" w:customStyle="1" w:styleId="FooterChar">
    <w:name w:val="Footer Char"/>
    <w:basedOn w:val="DefaultParagraphFont"/>
    <w:link w:val="Footer"/>
    <w:uiPriority w:val="99"/>
    <w:rsid w:val="00330C31"/>
    <w:rPr>
      <w:rFonts w:ascii="Arial Mäori" w:hAnsi="Arial Mäori"/>
      <w:sz w:val="24"/>
      <w:szCs w:val="24"/>
      <w:lang w:eastAsia="en-US"/>
    </w:rPr>
  </w:style>
  <w:style w:type="table" w:styleId="TableGrid">
    <w:name w:val="Table Grid"/>
    <w:basedOn w:val="TableNormal"/>
    <w:rsid w:val="00756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55181"/>
    <w:rPr>
      <w:rFonts w:ascii="Arial" w:hAnsi="Arial"/>
      <w:sz w:val="20"/>
      <w:szCs w:val="20"/>
      <w:lang w:val="en-GB" w:eastAsia="en-GB"/>
    </w:rPr>
  </w:style>
  <w:style w:type="character" w:customStyle="1" w:styleId="FootnoteTextChar">
    <w:name w:val="Footnote Text Char"/>
    <w:basedOn w:val="DefaultParagraphFont"/>
    <w:link w:val="FootnoteText"/>
    <w:uiPriority w:val="99"/>
    <w:semiHidden/>
    <w:rsid w:val="00155181"/>
    <w:rPr>
      <w:rFonts w:ascii="Arial" w:hAnsi="Arial"/>
      <w:lang w:val="en-GB" w:eastAsia="en-GB"/>
    </w:rPr>
  </w:style>
  <w:style w:type="character" w:styleId="FootnoteReference">
    <w:name w:val="footnote reference"/>
    <w:basedOn w:val="DefaultParagraphFont"/>
    <w:uiPriority w:val="99"/>
    <w:unhideWhenUsed/>
    <w:rsid w:val="00155181"/>
    <w:rPr>
      <w:vertAlign w:val="superscript"/>
    </w:rPr>
  </w:style>
  <w:style w:type="character" w:styleId="Hyperlink">
    <w:name w:val="Hyperlink"/>
    <w:basedOn w:val="DefaultParagraphFont"/>
    <w:uiPriority w:val="99"/>
    <w:semiHidden/>
    <w:unhideWhenUsed/>
    <w:rsid w:val="00B61D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968695">
      <w:bodyDiv w:val="1"/>
      <w:marLeft w:val="0"/>
      <w:marRight w:val="0"/>
      <w:marTop w:val="0"/>
      <w:marBottom w:val="0"/>
      <w:divBdr>
        <w:top w:val="none" w:sz="0" w:space="0" w:color="auto"/>
        <w:left w:val="none" w:sz="0" w:space="0" w:color="auto"/>
        <w:bottom w:val="none" w:sz="0" w:space="0" w:color="auto"/>
        <w:right w:val="none" w:sz="0" w:space="0" w:color="auto"/>
      </w:divBdr>
    </w:div>
    <w:div w:id="782305694">
      <w:bodyDiv w:val="1"/>
      <w:marLeft w:val="0"/>
      <w:marRight w:val="0"/>
      <w:marTop w:val="0"/>
      <w:marBottom w:val="0"/>
      <w:divBdr>
        <w:top w:val="none" w:sz="0" w:space="0" w:color="auto"/>
        <w:left w:val="none" w:sz="0" w:space="0" w:color="auto"/>
        <w:bottom w:val="none" w:sz="0" w:space="0" w:color="auto"/>
        <w:right w:val="none" w:sz="0" w:space="0" w:color="auto"/>
      </w:divBdr>
    </w:div>
    <w:div w:id="1613391961">
      <w:bodyDiv w:val="1"/>
      <w:marLeft w:val="0"/>
      <w:marRight w:val="0"/>
      <w:marTop w:val="0"/>
      <w:marBottom w:val="0"/>
      <w:divBdr>
        <w:top w:val="none" w:sz="0" w:space="0" w:color="auto"/>
        <w:left w:val="none" w:sz="0" w:space="0" w:color="auto"/>
        <w:bottom w:val="none" w:sz="0" w:space="0" w:color="auto"/>
        <w:right w:val="none" w:sz="0" w:space="0" w:color="auto"/>
      </w:divBdr>
    </w:div>
    <w:div w:id="173889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1A219-25C7-4BCF-8EB3-5365CFBF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C8FF99EB</Template>
  <TotalTime>1</TotalTime>
  <Pages>1</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6</cp:revision>
  <dcterms:created xsi:type="dcterms:W3CDTF">2017-04-13T00:07:00Z</dcterms:created>
  <dcterms:modified xsi:type="dcterms:W3CDTF">2017-05-01T22:45:00Z</dcterms:modified>
</cp:coreProperties>
</file>