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3" w:type="dxa"/>
        <w:tblInd w:w="35" w:type="dxa"/>
        <w:tblLayout w:type="fixed"/>
        <w:tblLook w:val="0000" w:firstRow="0" w:lastRow="0" w:firstColumn="0" w:lastColumn="0" w:noHBand="0" w:noVBand="0"/>
      </w:tblPr>
      <w:tblGrid>
        <w:gridCol w:w="3973"/>
        <w:gridCol w:w="2796"/>
        <w:gridCol w:w="2854"/>
      </w:tblGrid>
      <w:tr w:rsidR="001C2E67" w:rsidRPr="003F4672" w:rsidTr="000D5502">
        <w:trPr>
          <w:cantSplit/>
        </w:trPr>
        <w:tc>
          <w:tcPr>
            <w:tcW w:w="3973" w:type="dxa"/>
            <w:vAlign w:val="center"/>
          </w:tcPr>
          <w:p w:rsidR="001C2E67" w:rsidRPr="003F4672" w:rsidRDefault="00EE2C64" w:rsidP="001C2E67">
            <w:pPr>
              <w:ind w:right="-442"/>
              <w:rPr>
                <w:rFonts w:ascii="Arial" w:hAnsi="Arial" w:cs="Arial"/>
                <w:bCs/>
                <w:sz w:val="34"/>
                <w:szCs w:val="34"/>
              </w:rPr>
            </w:pPr>
            <w:r w:rsidRPr="003F4672">
              <w:rPr>
                <w:rFonts w:ascii="Arial" w:hAnsi="Arial" w:cs="Arial"/>
                <w:noProof/>
                <w:sz w:val="23"/>
                <w:szCs w:val="23"/>
                <w:lang w:eastAsia="en-NZ"/>
              </w:rPr>
              <w:drawing>
                <wp:inline distT="0" distB="0" distL="0" distR="0" wp14:anchorId="66A84A05" wp14:editId="612CA277">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650" w:type="dxa"/>
            <w:gridSpan w:val="2"/>
            <w:vAlign w:val="center"/>
          </w:tcPr>
          <w:p w:rsidR="00B60A39" w:rsidRPr="00555942" w:rsidRDefault="00B60A39" w:rsidP="00B60A39">
            <w:pPr>
              <w:jc w:val="right"/>
              <w:rPr>
                <w:rFonts w:ascii="Arial" w:hAnsi="Arial" w:cs="Arial"/>
                <w:b/>
                <w:sz w:val="23"/>
                <w:szCs w:val="23"/>
              </w:rPr>
            </w:pPr>
            <w:r w:rsidRPr="00555942">
              <w:rPr>
                <w:rFonts w:ascii="Arial" w:hAnsi="Arial" w:cs="Arial"/>
                <w:b/>
                <w:sz w:val="36"/>
                <w:szCs w:val="36"/>
              </w:rPr>
              <w:t>All District Health Boards</w:t>
            </w:r>
          </w:p>
          <w:p w:rsidR="001C2E67" w:rsidRPr="003F4672" w:rsidRDefault="001C2E67" w:rsidP="001C2E67">
            <w:pPr>
              <w:ind w:right="-442"/>
              <w:jc w:val="center"/>
              <w:rPr>
                <w:rFonts w:ascii="Arial" w:hAnsi="Arial" w:cs="Arial"/>
                <w:bCs/>
                <w:sz w:val="34"/>
                <w:szCs w:val="34"/>
              </w:rPr>
            </w:pPr>
          </w:p>
        </w:tc>
      </w:tr>
      <w:tr w:rsidR="001C2E67" w:rsidRPr="003F4672" w:rsidTr="000D5502">
        <w:tc>
          <w:tcPr>
            <w:tcW w:w="9623" w:type="dxa"/>
            <w:gridSpan w:val="3"/>
            <w:tcBorders>
              <w:bottom w:val="single" w:sz="4" w:space="0" w:color="auto"/>
            </w:tcBorders>
          </w:tcPr>
          <w:p w:rsidR="00B60A39" w:rsidRPr="003F4672" w:rsidRDefault="00B60A39" w:rsidP="000D5502">
            <w:pPr>
              <w:spacing w:before="1080"/>
              <w:ind w:right="-442"/>
              <w:jc w:val="center"/>
              <w:rPr>
                <w:rFonts w:ascii="Arial" w:hAnsi="Arial" w:cs="Arial"/>
                <w:b/>
                <w:sz w:val="36"/>
                <w:szCs w:val="36"/>
              </w:rPr>
            </w:pPr>
            <w:r w:rsidRPr="003F4672">
              <w:rPr>
                <w:rFonts w:ascii="Arial" w:hAnsi="Arial" w:cs="Arial"/>
                <w:b/>
                <w:sz w:val="36"/>
                <w:szCs w:val="36"/>
              </w:rPr>
              <w:t>INFANT CHILD ADOLESCENT AND YOUTH -</w:t>
            </w:r>
          </w:p>
          <w:p w:rsidR="001C2E67" w:rsidRPr="003F4672" w:rsidRDefault="001C2E67" w:rsidP="00B60A39">
            <w:pPr>
              <w:spacing w:before="120"/>
              <w:ind w:right="-442"/>
              <w:jc w:val="center"/>
              <w:rPr>
                <w:rFonts w:ascii="Arial" w:hAnsi="Arial" w:cs="Arial"/>
                <w:b/>
                <w:sz w:val="36"/>
                <w:szCs w:val="36"/>
              </w:rPr>
            </w:pPr>
            <w:r w:rsidRPr="003F4672">
              <w:rPr>
                <w:rFonts w:ascii="Arial" w:hAnsi="Arial" w:cs="Arial"/>
                <w:b/>
                <w:sz w:val="36"/>
                <w:szCs w:val="36"/>
              </w:rPr>
              <w:t>MENTAL HEALTH INFANT, CHILD, ADOLESCENT</w:t>
            </w:r>
          </w:p>
          <w:p w:rsidR="001C2E67" w:rsidRPr="003F4672" w:rsidRDefault="001C2E67" w:rsidP="00B60A39">
            <w:pPr>
              <w:spacing w:before="120"/>
              <w:ind w:right="-442"/>
              <w:jc w:val="center"/>
              <w:rPr>
                <w:rFonts w:ascii="Arial" w:hAnsi="Arial" w:cs="Arial"/>
                <w:b/>
                <w:sz w:val="36"/>
                <w:szCs w:val="36"/>
              </w:rPr>
            </w:pPr>
            <w:r w:rsidRPr="003F4672">
              <w:rPr>
                <w:rFonts w:ascii="Arial" w:hAnsi="Arial" w:cs="Arial"/>
                <w:b/>
                <w:sz w:val="36"/>
                <w:szCs w:val="36"/>
              </w:rPr>
              <w:t>AND YOUTH CRISIS RESPITE</w:t>
            </w:r>
          </w:p>
          <w:p w:rsidR="00B60A39" w:rsidRPr="003F4672" w:rsidRDefault="00B60A39" w:rsidP="00B60A39">
            <w:pPr>
              <w:spacing w:before="120"/>
              <w:jc w:val="center"/>
              <w:rPr>
                <w:rFonts w:ascii="Arial" w:hAnsi="Arial" w:cs="Arial"/>
                <w:b/>
                <w:sz w:val="36"/>
                <w:szCs w:val="36"/>
              </w:rPr>
            </w:pPr>
            <w:r w:rsidRPr="003F4672">
              <w:rPr>
                <w:rFonts w:ascii="Arial" w:hAnsi="Arial" w:cs="Arial"/>
                <w:b/>
                <w:sz w:val="36"/>
                <w:szCs w:val="36"/>
              </w:rPr>
              <w:t xml:space="preserve">MENTAL HEALTH </w:t>
            </w:r>
            <w:smartTag w:uri="urn:schemas-microsoft-com:office:smarttags" w:element="stockticker">
              <w:r w:rsidRPr="003F4672">
                <w:rPr>
                  <w:rFonts w:ascii="Arial" w:hAnsi="Arial" w:cs="Arial"/>
                  <w:b/>
                  <w:sz w:val="36"/>
                  <w:szCs w:val="36"/>
                </w:rPr>
                <w:t>AND</w:t>
              </w:r>
            </w:smartTag>
            <w:r w:rsidRPr="003F4672">
              <w:rPr>
                <w:rFonts w:ascii="Arial" w:hAnsi="Arial" w:cs="Arial"/>
                <w:b/>
                <w:sz w:val="36"/>
                <w:szCs w:val="36"/>
              </w:rPr>
              <w:t xml:space="preserve"> ADDICTION SERVICES</w:t>
            </w:r>
          </w:p>
          <w:p w:rsidR="001C2E67" w:rsidRPr="003F4672" w:rsidRDefault="001C2E67" w:rsidP="00B60A39">
            <w:pPr>
              <w:spacing w:before="120"/>
              <w:ind w:right="-442"/>
              <w:jc w:val="center"/>
              <w:rPr>
                <w:rFonts w:ascii="Arial" w:hAnsi="Arial" w:cs="Arial"/>
                <w:b/>
                <w:sz w:val="36"/>
                <w:szCs w:val="36"/>
              </w:rPr>
            </w:pPr>
            <w:r w:rsidRPr="003F4672">
              <w:rPr>
                <w:rFonts w:ascii="Arial" w:hAnsi="Arial" w:cs="Arial"/>
                <w:b/>
                <w:sz w:val="36"/>
                <w:szCs w:val="36"/>
              </w:rPr>
              <w:t xml:space="preserve">TIER THREE </w:t>
            </w:r>
          </w:p>
          <w:p w:rsidR="001C2E67" w:rsidRPr="003F4672" w:rsidRDefault="001C2E67" w:rsidP="000D5502">
            <w:pPr>
              <w:spacing w:before="120" w:after="1080"/>
              <w:ind w:right="-442"/>
              <w:jc w:val="center"/>
              <w:rPr>
                <w:rFonts w:ascii="Arial" w:hAnsi="Arial" w:cs="Arial"/>
                <w:b/>
                <w:sz w:val="36"/>
                <w:szCs w:val="36"/>
              </w:rPr>
            </w:pPr>
            <w:r w:rsidRPr="003F4672">
              <w:rPr>
                <w:rFonts w:ascii="Arial" w:hAnsi="Arial" w:cs="Arial"/>
                <w:b/>
                <w:sz w:val="36"/>
                <w:szCs w:val="36"/>
              </w:rPr>
              <w:t>SERVICE SPECIFICATION</w:t>
            </w:r>
          </w:p>
          <w:p w:rsidR="001C2E67" w:rsidRPr="003F4672" w:rsidRDefault="001C2E67" w:rsidP="001C2E67">
            <w:pPr>
              <w:spacing w:before="120" w:after="120"/>
              <w:ind w:right="-442"/>
              <w:rPr>
                <w:rFonts w:ascii="Arial" w:hAnsi="Arial" w:cs="Arial"/>
              </w:rPr>
            </w:pPr>
          </w:p>
        </w:tc>
      </w:tr>
      <w:tr w:rsidR="00555942" w:rsidRPr="003F4672" w:rsidTr="000D5502">
        <w:trPr>
          <w:trHeight w:val="1654"/>
        </w:trPr>
        <w:tc>
          <w:tcPr>
            <w:tcW w:w="6769" w:type="dxa"/>
            <w:gridSpan w:val="2"/>
          </w:tcPr>
          <w:p w:rsidR="00555942" w:rsidRPr="003F4672" w:rsidRDefault="00555942" w:rsidP="00555942">
            <w:pPr>
              <w:spacing w:before="120" w:after="120"/>
              <w:ind w:right="-442"/>
              <w:rPr>
                <w:rFonts w:ascii="Arial" w:hAnsi="Arial" w:cs="Arial"/>
                <w:sz w:val="32"/>
                <w:szCs w:val="32"/>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sidRPr="004E6782">
              <w:rPr>
                <w:b/>
                <w:sz w:val="32"/>
                <w:szCs w:val="32"/>
              </w:rPr>
              <w:t xml:space="preserve">STATUS: </w:t>
            </w:r>
            <w:r w:rsidRPr="004E6782">
              <w:rPr>
                <w:b/>
              </w:rPr>
              <w:t>These service specifications may be amended to meet local agreement needs.</w:t>
            </w:r>
            <w:bookmarkEnd w:id="0"/>
            <w:bookmarkEnd w:id="1"/>
            <w:bookmarkEnd w:id="2"/>
            <w:bookmarkEnd w:id="3"/>
            <w:bookmarkEnd w:id="4"/>
            <w:bookmarkEnd w:id="5"/>
            <w:bookmarkEnd w:id="6"/>
            <w:bookmarkEnd w:id="7"/>
          </w:p>
        </w:tc>
        <w:tc>
          <w:tcPr>
            <w:tcW w:w="2854" w:type="dxa"/>
          </w:tcPr>
          <w:p w:rsidR="00555942" w:rsidRPr="003F4672" w:rsidRDefault="00555942" w:rsidP="00555942">
            <w:pPr>
              <w:spacing w:before="120" w:after="120"/>
              <w:rPr>
                <w:rFonts w:ascii="Arial" w:hAnsi="Arial" w:cs="Arial"/>
                <w:sz w:val="32"/>
                <w:szCs w:val="32"/>
              </w:rPr>
            </w:pPr>
            <w:bookmarkStart w:id="8" w:name="_Toc206389499"/>
            <w:bookmarkStart w:id="9" w:name="_Toc215319108"/>
            <w:r w:rsidRPr="004E6782">
              <w:rPr>
                <w:b/>
                <w:sz w:val="32"/>
                <w:szCs w:val="32"/>
              </w:rPr>
              <w:t>NON-MANDATORY</w:t>
            </w:r>
            <w:bookmarkEnd w:id="8"/>
            <w:bookmarkEnd w:id="9"/>
          </w:p>
        </w:tc>
      </w:tr>
      <w:tr w:rsidR="00555942" w:rsidRPr="003F4672" w:rsidTr="000D5502">
        <w:trPr>
          <w:trHeight w:val="297"/>
        </w:trPr>
        <w:tc>
          <w:tcPr>
            <w:tcW w:w="6769" w:type="dxa"/>
            <w:gridSpan w:val="2"/>
            <w:tcBorders>
              <w:top w:val="single" w:sz="4" w:space="0" w:color="auto"/>
              <w:bottom w:val="single" w:sz="4" w:space="0" w:color="auto"/>
            </w:tcBorders>
            <w:shd w:val="clear" w:color="auto" w:fill="CCCCCC"/>
          </w:tcPr>
          <w:p w:rsidR="00555942" w:rsidRPr="00555942" w:rsidRDefault="00555942" w:rsidP="00555942">
            <w:pPr>
              <w:spacing w:before="120" w:after="120"/>
              <w:ind w:right="-442"/>
              <w:rPr>
                <w:rFonts w:ascii="Arial" w:hAnsi="Arial" w:cs="Arial"/>
                <w:b/>
                <w:sz w:val="28"/>
                <w:szCs w:val="28"/>
              </w:rPr>
            </w:pPr>
            <w:r w:rsidRPr="00555942">
              <w:rPr>
                <w:rFonts w:ascii="Arial" w:hAnsi="Arial" w:cs="Arial"/>
                <w:b/>
                <w:sz w:val="28"/>
                <w:szCs w:val="28"/>
              </w:rPr>
              <w:t>Review History</w:t>
            </w:r>
          </w:p>
        </w:tc>
        <w:tc>
          <w:tcPr>
            <w:tcW w:w="2854" w:type="dxa"/>
            <w:tcBorders>
              <w:top w:val="single" w:sz="4" w:space="0" w:color="auto"/>
              <w:bottom w:val="single" w:sz="4" w:space="0" w:color="auto"/>
            </w:tcBorders>
            <w:shd w:val="clear" w:color="auto" w:fill="CCCCCC"/>
          </w:tcPr>
          <w:p w:rsidR="00555942" w:rsidRPr="00555942" w:rsidRDefault="00555942" w:rsidP="00555942">
            <w:pPr>
              <w:spacing w:before="120" w:after="120"/>
              <w:ind w:right="-442"/>
              <w:rPr>
                <w:rFonts w:ascii="Arial" w:hAnsi="Arial" w:cs="Arial"/>
                <w:b/>
                <w:sz w:val="28"/>
                <w:szCs w:val="28"/>
              </w:rPr>
            </w:pPr>
            <w:r w:rsidRPr="00555942">
              <w:rPr>
                <w:rFonts w:ascii="Arial" w:hAnsi="Arial" w:cs="Arial"/>
                <w:b/>
                <w:sz w:val="28"/>
                <w:szCs w:val="28"/>
              </w:rPr>
              <w:t>Date</w:t>
            </w:r>
          </w:p>
        </w:tc>
      </w:tr>
      <w:tr w:rsidR="00555942" w:rsidRPr="003F4672" w:rsidTr="000D5502">
        <w:tc>
          <w:tcPr>
            <w:tcW w:w="6769" w:type="dxa"/>
            <w:gridSpan w:val="2"/>
            <w:tcBorders>
              <w:top w:val="single" w:sz="4" w:space="0" w:color="auto"/>
              <w:left w:val="single" w:sz="4" w:space="0" w:color="auto"/>
              <w:bottom w:val="single" w:sz="6" w:space="0" w:color="auto"/>
              <w:right w:val="single" w:sz="6" w:space="0" w:color="auto"/>
            </w:tcBorders>
            <w:vAlign w:val="center"/>
          </w:tcPr>
          <w:p w:rsidR="00555942" w:rsidRPr="003F4672" w:rsidRDefault="00555942" w:rsidP="00555942">
            <w:pPr>
              <w:spacing w:before="120" w:after="120"/>
              <w:ind w:right="-442"/>
              <w:rPr>
                <w:rFonts w:ascii="Arial" w:hAnsi="Arial" w:cs="Arial"/>
                <w:sz w:val="28"/>
                <w:szCs w:val="28"/>
              </w:rPr>
            </w:pPr>
            <w:r w:rsidRPr="003F4672">
              <w:rPr>
                <w:rFonts w:ascii="Arial" w:hAnsi="Arial" w:cs="Arial"/>
                <w:sz w:val="28"/>
                <w:szCs w:val="28"/>
              </w:rPr>
              <w:t>First Published on NSFL</w:t>
            </w:r>
          </w:p>
        </w:tc>
        <w:tc>
          <w:tcPr>
            <w:tcW w:w="2854" w:type="dxa"/>
            <w:tcBorders>
              <w:top w:val="single" w:sz="4" w:space="0" w:color="auto"/>
              <w:left w:val="single" w:sz="6" w:space="0" w:color="auto"/>
              <w:bottom w:val="single" w:sz="6" w:space="0" w:color="auto"/>
              <w:right w:val="single" w:sz="4" w:space="0" w:color="auto"/>
            </w:tcBorders>
            <w:vAlign w:val="center"/>
          </w:tcPr>
          <w:p w:rsidR="00555942" w:rsidRPr="00555942" w:rsidRDefault="00555942" w:rsidP="00555942">
            <w:pPr>
              <w:spacing w:before="120" w:after="120"/>
              <w:ind w:right="-442"/>
              <w:rPr>
                <w:rFonts w:ascii="Arial" w:hAnsi="Arial" w:cs="Arial"/>
                <w:sz w:val="32"/>
                <w:szCs w:val="32"/>
              </w:rPr>
            </w:pPr>
            <w:r w:rsidRPr="00555942">
              <w:rPr>
                <w:rFonts w:ascii="Arial" w:hAnsi="Arial" w:cs="Arial"/>
                <w:sz w:val="32"/>
                <w:szCs w:val="32"/>
              </w:rPr>
              <w:t>June 2009</w:t>
            </w:r>
          </w:p>
        </w:tc>
      </w:tr>
      <w:tr w:rsidR="00555942" w:rsidRPr="003F4672" w:rsidTr="000D5502">
        <w:tc>
          <w:tcPr>
            <w:tcW w:w="6769" w:type="dxa"/>
            <w:gridSpan w:val="2"/>
            <w:tcBorders>
              <w:top w:val="single" w:sz="6" w:space="0" w:color="auto"/>
              <w:left w:val="single" w:sz="4" w:space="0" w:color="auto"/>
              <w:bottom w:val="single" w:sz="6" w:space="0" w:color="auto"/>
              <w:right w:val="single" w:sz="6" w:space="0" w:color="auto"/>
            </w:tcBorders>
            <w:vAlign w:val="center"/>
          </w:tcPr>
          <w:p w:rsidR="00555942" w:rsidRPr="000D5502" w:rsidRDefault="00555942" w:rsidP="00555942">
            <w:pPr>
              <w:spacing w:before="120" w:after="120"/>
              <w:ind w:right="34"/>
              <w:rPr>
                <w:rFonts w:ascii="Arial" w:hAnsi="Arial" w:cs="Arial"/>
              </w:rPr>
            </w:pPr>
            <w:r w:rsidRPr="000D5502">
              <w:rPr>
                <w:rFonts w:ascii="Arial" w:hAnsi="Arial" w:cs="Arial"/>
                <w:b/>
              </w:rPr>
              <w:t>Amendments-</w:t>
            </w:r>
            <w:r w:rsidRPr="000D5502">
              <w:rPr>
                <w:rFonts w:ascii="Arial" w:hAnsi="Arial" w:cs="Arial"/>
              </w:rPr>
              <w:t xml:space="preserve"> clarified reporting requirements, completed PU table. Corrected title, edited for consistency </w:t>
            </w:r>
          </w:p>
        </w:tc>
        <w:tc>
          <w:tcPr>
            <w:tcW w:w="2854" w:type="dxa"/>
            <w:tcBorders>
              <w:top w:val="single" w:sz="6" w:space="0" w:color="auto"/>
              <w:left w:val="single" w:sz="6" w:space="0" w:color="auto"/>
              <w:bottom w:val="single" w:sz="6" w:space="0" w:color="auto"/>
              <w:right w:val="single" w:sz="4" w:space="0" w:color="auto"/>
            </w:tcBorders>
            <w:vAlign w:val="center"/>
          </w:tcPr>
          <w:p w:rsidR="00555942" w:rsidRPr="00555942" w:rsidRDefault="00555942" w:rsidP="00555942">
            <w:pPr>
              <w:spacing w:before="120" w:after="120"/>
              <w:ind w:right="-442"/>
              <w:rPr>
                <w:rFonts w:ascii="Arial" w:hAnsi="Arial" w:cs="Arial"/>
                <w:sz w:val="32"/>
                <w:szCs w:val="32"/>
              </w:rPr>
            </w:pPr>
            <w:r w:rsidRPr="00555942">
              <w:rPr>
                <w:rFonts w:ascii="Arial" w:hAnsi="Arial" w:cs="Arial"/>
                <w:sz w:val="32"/>
                <w:szCs w:val="32"/>
              </w:rPr>
              <w:t>March 2013</w:t>
            </w:r>
          </w:p>
        </w:tc>
      </w:tr>
      <w:tr w:rsidR="00555942" w:rsidRPr="003F4672" w:rsidTr="000D5502">
        <w:tc>
          <w:tcPr>
            <w:tcW w:w="6769" w:type="dxa"/>
            <w:gridSpan w:val="2"/>
            <w:tcBorders>
              <w:top w:val="single" w:sz="6" w:space="0" w:color="auto"/>
              <w:left w:val="single" w:sz="4" w:space="0" w:color="auto"/>
              <w:bottom w:val="single" w:sz="6" w:space="0" w:color="auto"/>
              <w:right w:val="single" w:sz="6" w:space="0" w:color="auto"/>
            </w:tcBorders>
            <w:vAlign w:val="center"/>
          </w:tcPr>
          <w:p w:rsidR="00555942" w:rsidRPr="000D5502" w:rsidRDefault="00555942" w:rsidP="00555942">
            <w:pPr>
              <w:spacing w:before="120" w:after="120"/>
              <w:ind w:right="-442"/>
              <w:rPr>
                <w:rFonts w:ascii="Arial" w:hAnsi="Arial" w:cs="Arial"/>
              </w:rPr>
            </w:pPr>
            <w:r w:rsidRPr="000D5502">
              <w:rPr>
                <w:rFonts w:ascii="Arial" w:hAnsi="Arial" w:cs="Arial"/>
                <w:b/>
              </w:rPr>
              <w:t>Amendments</w:t>
            </w:r>
            <w:r w:rsidRPr="000D5502">
              <w:rPr>
                <w:rFonts w:ascii="Arial" w:hAnsi="Arial" w:cs="Arial"/>
              </w:rPr>
              <w:t xml:space="preserve">: added MHI42S purchase unit code, removed standard provider monitoring reporting tables. Minor editing. </w:t>
            </w:r>
          </w:p>
        </w:tc>
        <w:tc>
          <w:tcPr>
            <w:tcW w:w="2854" w:type="dxa"/>
            <w:tcBorders>
              <w:top w:val="single" w:sz="6" w:space="0" w:color="auto"/>
              <w:left w:val="single" w:sz="6" w:space="0" w:color="auto"/>
              <w:bottom w:val="single" w:sz="6" w:space="0" w:color="auto"/>
              <w:right w:val="single" w:sz="4" w:space="0" w:color="auto"/>
            </w:tcBorders>
            <w:vAlign w:val="center"/>
          </w:tcPr>
          <w:p w:rsidR="00555942" w:rsidRPr="00555942" w:rsidRDefault="00934143" w:rsidP="00555942">
            <w:pPr>
              <w:spacing w:before="120" w:after="120"/>
              <w:ind w:right="-442"/>
              <w:rPr>
                <w:rFonts w:ascii="Arial" w:hAnsi="Arial" w:cs="Arial"/>
                <w:sz w:val="32"/>
                <w:szCs w:val="32"/>
              </w:rPr>
            </w:pPr>
            <w:r>
              <w:rPr>
                <w:rFonts w:ascii="Arial" w:hAnsi="Arial" w:cs="Arial"/>
                <w:sz w:val="32"/>
                <w:szCs w:val="32"/>
              </w:rPr>
              <w:t>April 2017</w:t>
            </w:r>
          </w:p>
        </w:tc>
      </w:tr>
      <w:tr w:rsidR="00555942" w:rsidRPr="003F4672" w:rsidTr="000D5502">
        <w:tc>
          <w:tcPr>
            <w:tcW w:w="6769" w:type="dxa"/>
            <w:gridSpan w:val="2"/>
            <w:tcBorders>
              <w:top w:val="single" w:sz="6" w:space="0" w:color="auto"/>
              <w:left w:val="single" w:sz="4" w:space="0" w:color="auto"/>
              <w:bottom w:val="single" w:sz="6" w:space="0" w:color="auto"/>
              <w:right w:val="single" w:sz="6" w:space="0" w:color="auto"/>
            </w:tcBorders>
            <w:vAlign w:val="center"/>
          </w:tcPr>
          <w:p w:rsidR="00555942" w:rsidRPr="00555942" w:rsidRDefault="00555942" w:rsidP="00555942">
            <w:pPr>
              <w:spacing w:before="120" w:after="120"/>
              <w:ind w:right="-442"/>
              <w:rPr>
                <w:rFonts w:ascii="Arial" w:hAnsi="Arial" w:cs="Arial"/>
                <w:sz w:val="32"/>
                <w:szCs w:val="32"/>
              </w:rPr>
            </w:pPr>
            <w:r w:rsidRPr="00555942">
              <w:rPr>
                <w:rFonts w:ascii="Arial" w:hAnsi="Arial" w:cs="Arial"/>
                <w:sz w:val="32"/>
                <w:szCs w:val="32"/>
              </w:rPr>
              <w:t>Consideration for next Service Specification Review</w:t>
            </w:r>
          </w:p>
        </w:tc>
        <w:tc>
          <w:tcPr>
            <w:tcW w:w="2854" w:type="dxa"/>
            <w:tcBorders>
              <w:top w:val="single" w:sz="6" w:space="0" w:color="auto"/>
              <w:left w:val="single" w:sz="6" w:space="0" w:color="auto"/>
              <w:bottom w:val="single" w:sz="6" w:space="0" w:color="auto"/>
              <w:right w:val="single" w:sz="4" w:space="0" w:color="auto"/>
            </w:tcBorders>
            <w:vAlign w:val="center"/>
          </w:tcPr>
          <w:p w:rsidR="00555942" w:rsidRPr="00555942" w:rsidRDefault="00555942" w:rsidP="00555942">
            <w:pPr>
              <w:spacing w:before="120" w:after="120"/>
              <w:ind w:right="-442"/>
              <w:rPr>
                <w:rFonts w:ascii="Arial" w:hAnsi="Arial" w:cs="Arial"/>
                <w:sz w:val="32"/>
                <w:szCs w:val="32"/>
              </w:rPr>
            </w:pPr>
            <w:r w:rsidRPr="00555942">
              <w:rPr>
                <w:rFonts w:ascii="Arial" w:hAnsi="Arial" w:cs="Arial"/>
                <w:sz w:val="32"/>
                <w:szCs w:val="32"/>
              </w:rPr>
              <w:t>Within five years</w:t>
            </w:r>
          </w:p>
        </w:tc>
      </w:tr>
    </w:tbl>
    <w:p w:rsidR="00B60A39" w:rsidRDefault="00B60A39" w:rsidP="00B60A39">
      <w:pPr>
        <w:spacing w:before="120"/>
        <w:rPr>
          <w:rFonts w:ascii="Arial" w:hAnsi="Arial" w:cs="Arial"/>
          <w:lang w:val="en-GB" w:eastAsia="en-GB"/>
        </w:rPr>
      </w:pPr>
      <w:r w:rsidRPr="003F4672">
        <w:rPr>
          <w:rFonts w:ascii="Arial" w:hAnsi="Arial" w:cs="Arial"/>
          <w:b/>
          <w:lang w:val="en-GB" w:eastAsia="en-GB"/>
        </w:rPr>
        <w:t>Note:</w:t>
      </w:r>
      <w:r w:rsidRPr="003F4672">
        <w:rPr>
          <w:rFonts w:ascii="Arial" w:hAnsi="Arial" w:cs="Arial"/>
          <w:lang w:val="en-GB" w:eastAsia="en-GB"/>
        </w:rPr>
        <w:t xml:space="preserve"> Contact the Service Specification Programme Manager, </w:t>
      </w:r>
      <w:r w:rsidR="00700972">
        <w:rPr>
          <w:rFonts w:ascii="Arial" w:hAnsi="Arial" w:cs="Arial"/>
          <w:lang w:val="en-GB" w:eastAsia="en-GB"/>
        </w:rPr>
        <w:t>Service Commissioning</w:t>
      </w:r>
      <w:r w:rsidRPr="003F4672">
        <w:rPr>
          <w:rFonts w:ascii="Arial" w:hAnsi="Arial" w:cs="Arial"/>
          <w:lang w:val="en-GB" w:eastAsia="en-GB"/>
        </w:rPr>
        <w:t xml:space="preserve">, Ministry of Health to discuss proposed amendments to the service specifications and guidance in developing new or updating and revising existing service specifications. </w:t>
      </w:r>
    </w:p>
    <w:p w:rsidR="001C2E67" w:rsidRPr="003F4672" w:rsidRDefault="00B60A39" w:rsidP="009341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Arial" w:hAnsi="Arial" w:cs="Arial"/>
          <w:b/>
          <w:sz w:val="20"/>
        </w:rPr>
      </w:pPr>
      <w:r w:rsidRPr="003F4672">
        <w:rPr>
          <w:rFonts w:ascii="Arial" w:hAnsi="Arial" w:cs="Arial"/>
          <w:lang w:val="en-GB" w:eastAsia="en-GB"/>
        </w:rPr>
        <w:t xml:space="preserve">Nationwide Service Framework Library web site </w:t>
      </w:r>
      <w:hyperlink r:id="rId9" w:history="1">
        <w:r w:rsidRPr="003F4672">
          <w:rPr>
            <w:rFonts w:ascii="Arial" w:hAnsi="Arial" w:cs="Arial"/>
            <w:color w:val="0000FF"/>
            <w:u w:val="single"/>
            <w:lang w:val="en-GB" w:eastAsia="en-GB"/>
          </w:rPr>
          <w:t>http://www.nsfl.health.govt.nz/</w:t>
        </w:r>
      </w:hyperlink>
      <w:r w:rsidRPr="003F4672">
        <w:rPr>
          <w:rFonts w:ascii="Arial" w:hAnsi="Arial" w:cs="Arial"/>
          <w:lang w:val="en-GB" w:eastAsia="en-GB"/>
        </w:rPr>
        <w:t xml:space="preserve"> </w:t>
      </w:r>
      <w:r w:rsidR="001C2E67" w:rsidRPr="003F4672">
        <w:rPr>
          <w:rFonts w:ascii="Arial" w:hAnsi="Arial" w:cs="Arial"/>
        </w:rPr>
        <w:br w:type="page"/>
      </w:r>
    </w:p>
    <w:p w:rsidR="00B60A39" w:rsidRPr="003F4672" w:rsidRDefault="00B60A39" w:rsidP="00B60A39">
      <w:pPr>
        <w:pBdr>
          <w:top w:val="single" w:sz="4" w:space="1" w:color="auto"/>
          <w:left w:val="single" w:sz="4" w:space="4" w:color="auto"/>
          <w:bottom w:val="single" w:sz="4" w:space="1" w:color="auto"/>
          <w:right w:val="single" w:sz="4" w:space="4" w:color="auto"/>
        </w:pBdr>
        <w:jc w:val="center"/>
        <w:rPr>
          <w:rFonts w:ascii="Arial" w:hAnsi="Arial" w:cs="Arial"/>
          <w:b/>
        </w:rPr>
      </w:pPr>
      <w:r w:rsidRPr="003F4672">
        <w:rPr>
          <w:rFonts w:ascii="Arial" w:hAnsi="Arial" w:cs="Arial"/>
          <w:b/>
        </w:rPr>
        <w:lastRenderedPageBreak/>
        <w:t>INFANT, CHILD, ADOLESCENT AND YOUTH -</w:t>
      </w:r>
    </w:p>
    <w:p w:rsidR="00B60A39" w:rsidRPr="003F4672" w:rsidRDefault="001C2E67" w:rsidP="00B60A39">
      <w:pPr>
        <w:pBdr>
          <w:top w:val="single" w:sz="4" w:space="1" w:color="auto"/>
          <w:left w:val="single" w:sz="4" w:space="4" w:color="auto"/>
          <w:bottom w:val="single" w:sz="4" w:space="1" w:color="auto"/>
          <w:right w:val="single" w:sz="4" w:space="4" w:color="auto"/>
        </w:pBdr>
        <w:jc w:val="center"/>
        <w:rPr>
          <w:rFonts w:ascii="Arial" w:hAnsi="Arial" w:cs="Arial"/>
        </w:rPr>
      </w:pPr>
      <w:r w:rsidRPr="003F4672">
        <w:rPr>
          <w:rFonts w:ascii="Arial" w:hAnsi="Arial" w:cs="Arial"/>
          <w:b/>
        </w:rPr>
        <w:t>MENTAL HEALTH CRISIS RESPITE</w:t>
      </w:r>
      <w:r w:rsidRPr="003F4672">
        <w:rPr>
          <w:rFonts w:ascii="Arial" w:hAnsi="Arial" w:cs="Arial"/>
        </w:rPr>
        <w:t xml:space="preserve"> </w:t>
      </w:r>
    </w:p>
    <w:p w:rsidR="00B60A39" w:rsidRPr="003F4672" w:rsidRDefault="00B60A39" w:rsidP="00B60A39">
      <w:pPr>
        <w:pBdr>
          <w:top w:val="single" w:sz="4" w:space="1" w:color="auto"/>
          <w:left w:val="single" w:sz="4" w:space="4" w:color="auto"/>
          <w:bottom w:val="single" w:sz="4" w:space="1" w:color="auto"/>
          <w:right w:val="single" w:sz="4" w:space="4" w:color="auto"/>
        </w:pBdr>
        <w:jc w:val="center"/>
        <w:rPr>
          <w:rFonts w:ascii="Arial" w:hAnsi="Arial" w:cs="Arial"/>
          <w:b/>
        </w:rPr>
      </w:pPr>
      <w:r w:rsidRPr="003F4672">
        <w:rPr>
          <w:rFonts w:ascii="Arial" w:hAnsi="Arial" w:cs="Arial"/>
          <w:b/>
        </w:rPr>
        <w:t>MENTAL HEALTH AND ADDICTION SERVICES</w:t>
      </w:r>
    </w:p>
    <w:p w:rsidR="001C2E67" w:rsidRPr="003F4672" w:rsidRDefault="001C2E67" w:rsidP="001C2E67">
      <w:pPr>
        <w:pBdr>
          <w:top w:val="single" w:sz="4" w:space="1" w:color="auto"/>
          <w:left w:val="single" w:sz="4" w:space="4" w:color="auto"/>
          <w:bottom w:val="single" w:sz="4" w:space="1" w:color="auto"/>
          <w:right w:val="single" w:sz="4" w:space="4" w:color="auto"/>
        </w:pBdr>
        <w:jc w:val="center"/>
        <w:rPr>
          <w:rFonts w:ascii="Arial" w:hAnsi="Arial" w:cs="Arial"/>
          <w:b/>
        </w:rPr>
      </w:pPr>
      <w:r w:rsidRPr="003F4672">
        <w:rPr>
          <w:rFonts w:ascii="Arial" w:hAnsi="Arial" w:cs="Arial"/>
          <w:b/>
        </w:rPr>
        <w:t>TIER THREE</w:t>
      </w:r>
      <w:r w:rsidR="00700972">
        <w:rPr>
          <w:rFonts w:ascii="Arial" w:hAnsi="Arial" w:cs="Arial"/>
          <w:b/>
        </w:rPr>
        <w:t xml:space="preserve"> </w:t>
      </w:r>
      <w:r w:rsidRPr="003F4672">
        <w:rPr>
          <w:rFonts w:ascii="Arial" w:hAnsi="Arial" w:cs="Arial"/>
          <w:b/>
        </w:rPr>
        <w:t>SERVICE SPECIFICATION</w:t>
      </w:r>
    </w:p>
    <w:p w:rsidR="001C2E67" w:rsidRPr="003F4672" w:rsidRDefault="001C2E67" w:rsidP="000D5502">
      <w:pPr>
        <w:pBdr>
          <w:top w:val="single" w:sz="4" w:space="1" w:color="auto"/>
          <w:left w:val="single" w:sz="4" w:space="4" w:color="auto"/>
          <w:bottom w:val="single" w:sz="4" w:space="1" w:color="auto"/>
          <w:right w:val="single" w:sz="4" w:space="4" w:color="auto"/>
        </w:pBdr>
        <w:spacing w:before="120"/>
        <w:jc w:val="center"/>
        <w:rPr>
          <w:rFonts w:ascii="Arial" w:hAnsi="Arial" w:cs="Arial"/>
          <w:b/>
        </w:rPr>
      </w:pPr>
      <w:r w:rsidRPr="003F4672">
        <w:rPr>
          <w:rFonts w:ascii="Arial" w:hAnsi="Arial" w:cs="Arial"/>
          <w:b/>
        </w:rPr>
        <w:t>MHI42, MHI42C, MHI42D, MHI42E, MHI42F</w:t>
      </w:r>
      <w:r w:rsidR="00700972">
        <w:rPr>
          <w:rFonts w:ascii="Arial" w:hAnsi="Arial" w:cs="Arial"/>
          <w:b/>
        </w:rPr>
        <w:t>, MHI42S</w:t>
      </w:r>
    </w:p>
    <w:p w:rsidR="001C2E67" w:rsidRPr="003F4672" w:rsidRDefault="001C2E67" w:rsidP="001C2E67">
      <w:pPr>
        <w:spacing w:before="120"/>
        <w:rPr>
          <w:rFonts w:ascii="Arial" w:hAnsi="Arial" w:cs="Arial"/>
        </w:rPr>
      </w:pPr>
      <w:r w:rsidRPr="003F4672">
        <w:rPr>
          <w:rFonts w:ascii="Arial" w:hAnsi="Arial" w:cs="Arial"/>
        </w:rPr>
        <w:t xml:space="preserve">This tier three service specification for Mental Health Infant, Child, Adolescent and Youth </w:t>
      </w:r>
      <w:r w:rsidR="00B60A39" w:rsidRPr="003F4672">
        <w:rPr>
          <w:rFonts w:ascii="Arial" w:hAnsi="Arial" w:cs="Arial"/>
        </w:rPr>
        <w:t xml:space="preserve">- </w:t>
      </w:r>
      <w:r w:rsidRPr="003F4672">
        <w:rPr>
          <w:rFonts w:ascii="Arial" w:hAnsi="Arial" w:cs="Arial"/>
        </w:rPr>
        <w:t xml:space="preserve">Crisis Respite (the Service) </w:t>
      </w:r>
      <w:r w:rsidR="00B93EFE">
        <w:rPr>
          <w:rFonts w:cs="Arial"/>
        </w:rPr>
        <w:t>) must be used in conjunction with</w:t>
      </w:r>
      <w:r w:rsidR="00B93EFE" w:rsidRPr="003F4672">
        <w:rPr>
          <w:rFonts w:ascii="Arial" w:hAnsi="Arial" w:cs="Arial"/>
        </w:rPr>
        <w:t xml:space="preserve"> </w:t>
      </w:r>
      <w:r w:rsidRPr="003F4672">
        <w:rPr>
          <w:rFonts w:ascii="Arial" w:hAnsi="Arial" w:cs="Arial"/>
        </w:rPr>
        <w:t>tier one Mental Health and Addiction Services and tier two Infant, Child, Adolescent and Youth service specifications.</w:t>
      </w:r>
    </w:p>
    <w:p w:rsidR="001C2E67" w:rsidRPr="003F4672" w:rsidRDefault="001C2E67" w:rsidP="001C2E67">
      <w:pPr>
        <w:tabs>
          <w:tab w:val="left" w:pos="540"/>
        </w:tabs>
        <w:spacing w:before="240" w:after="120"/>
        <w:rPr>
          <w:rFonts w:ascii="Arial" w:hAnsi="Arial" w:cs="Arial"/>
          <w:b/>
        </w:rPr>
      </w:pPr>
      <w:r w:rsidRPr="003F4672">
        <w:rPr>
          <w:rFonts w:ascii="Arial" w:hAnsi="Arial" w:cs="Arial"/>
          <w:b/>
        </w:rPr>
        <w:t>1.</w:t>
      </w:r>
      <w:r w:rsidRPr="003F4672">
        <w:rPr>
          <w:rFonts w:ascii="Arial" w:hAnsi="Arial" w:cs="Arial"/>
          <w:b/>
        </w:rPr>
        <w:tab/>
        <w:t>Service Definition</w:t>
      </w:r>
    </w:p>
    <w:p w:rsidR="001C2E67" w:rsidRPr="003F4672" w:rsidRDefault="001C2E67" w:rsidP="00700972">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3F4672">
        <w:rPr>
          <w:rFonts w:ascii="Arial" w:hAnsi="Arial" w:cs="Arial"/>
        </w:rPr>
        <w:t xml:space="preserve">The Service will include a range of crisis respite options developed and maintained for infant, children, adolescents and youth in crisis requiring an alternative to an acute inpatient setting. </w:t>
      </w:r>
    </w:p>
    <w:p w:rsidR="001C2E67" w:rsidRPr="003F4672" w:rsidRDefault="001C2E67" w:rsidP="001C2E67">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3F4672">
        <w:rPr>
          <w:rFonts w:ascii="Arial" w:hAnsi="Arial" w:cs="Arial"/>
        </w:rPr>
        <w:t xml:space="preserve">The crisis respite options aim to provide a place of safety for the </w:t>
      </w:r>
      <w:r w:rsidR="00B60A39" w:rsidRPr="003F4672">
        <w:rPr>
          <w:rFonts w:ascii="Arial" w:hAnsi="Arial" w:cs="Arial"/>
        </w:rPr>
        <w:t>Service User</w:t>
      </w:r>
      <w:r w:rsidRPr="003F4672">
        <w:rPr>
          <w:rFonts w:ascii="Arial" w:hAnsi="Arial" w:cs="Arial"/>
        </w:rPr>
        <w:t xml:space="preserve"> and their family/whānau, provide stability and achieve crisis resolution.  These will be implemented in accordance with the particular requirements of the </w:t>
      </w:r>
      <w:r w:rsidR="00B60A39" w:rsidRPr="003F4672">
        <w:rPr>
          <w:rFonts w:ascii="Arial" w:hAnsi="Arial" w:cs="Arial"/>
        </w:rPr>
        <w:t>Service User</w:t>
      </w:r>
      <w:r w:rsidRPr="003F4672">
        <w:rPr>
          <w:rFonts w:ascii="Arial" w:hAnsi="Arial" w:cs="Arial"/>
        </w:rPr>
        <w:t xml:space="preserve"> and their family/whānau or carers.</w:t>
      </w:r>
    </w:p>
    <w:p w:rsidR="001C2E67" w:rsidRPr="003F4672" w:rsidRDefault="001C2E67" w:rsidP="001C2E67">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after="120"/>
        <w:rPr>
          <w:rFonts w:ascii="Arial" w:hAnsi="Arial" w:cs="Arial"/>
        </w:rPr>
      </w:pPr>
      <w:r w:rsidRPr="003F4672">
        <w:rPr>
          <w:rFonts w:ascii="Arial" w:hAnsi="Arial" w:cs="Arial"/>
        </w:rPr>
        <w:t>Options will include, but not be limited to:</w:t>
      </w:r>
    </w:p>
    <w:p w:rsidR="001C2E67" w:rsidRPr="003F4672" w:rsidRDefault="001C2E67" w:rsidP="00677B1E">
      <w:pPr>
        <w:numPr>
          <w:ilvl w:val="0"/>
          <w:numId w:val="1"/>
        </w:num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3F4672">
        <w:rPr>
          <w:rFonts w:ascii="Arial" w:hAnsi="Arial" w:cs="Arial"/>
        </w:rPr>
        <w:t>provision of staff with skills and experience appropriate to the circumstances to supervise the person in crisis whether in their own home or elsewhere</w:t>
      </w:r>
    </w:p>
    <w:p w:rsidR="001C2E67" w:rsidRPr="003F4672" w:rsidRDefault="001C2E67" w:rsidP="00677B1E">
      <w:pPr>
        <w:numPr>
          <w:ilvl w:val="0"/>
          <w:numId w:val="1"/>
        </w:num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3F4672">
        <w:rPr>
          <w:rFonts w:ascii="Arial" w:hAnsi="Arial" w:cs="Arial"/>
        </w:rPr>
        <w:t>short-term care in supervised accommodation</w:t>
      </w:r>
    </w:p>
    <w:p w:rsidR="001C2E67" w:rsidRPr="003F4672" w:rsidRDefault="001C2E67" w:rsidP="00677B1E">
      <w:pPr>
        <w:numPr>
          <w:ilvl w:val="0"/>
          <w:numId w:val="1"/>
        </w:num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3F4672">
        <w:rPr>
          <w:rFonts w:ascii="Arial" w:hAnsi="Arial" w:cs="Arial"/>
        </w:rPr>
        <w:t>short-term care in a specifically dedicated safe respite facility</w:t>
      </w:r>
    </w:p>
    <w:p w:rsidR="001C2E67" w:rsidRPr="003F4672" w:rsidRDefault="001C2E67" w:rsidP="00677B1E">
      <w:pPr>
        <w:numPr>
          <w:ilvl w:val="0"/>
          <w:numId w:val="1"/>
        </w:num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3F4672">
        <w:rPr>
          <w:rFonts w:ascii="Arial" w:hAnsi="Arial" w:cs="Arial"/>
        </w:rPr>
        <w:t>age-appropriate environments.</w:t>
      </w:r>
    </w:p>
    <w:p w:rsidR="001C2E67" w:rsidRPr="003F4672" w:rsidRDefault="001C2E67" w:rsidP="001C2E67">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3F4672">
        <w:rPr>
          <w:rFonts w:ascii="Arial" w:hAnsi="Arial" w:cs="Arial"/>
        </w:rPr>
        <w:t>The use of respite services will be for as short a period as possible during the crisis period.</w:t>
      </w:r>
    </w:p>
    <w:p w:rsidR="001C2E67" w:rsidRPr="003F4672" w:rsidRDefault="001C2E67" w:rsidP="001C2E67">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3F4672">
        <w:rPr>
          <w:rFonts w:ascii="Arial" w:hAnsi="Arial" w:cs="Arial"/>
        </w:rPr>
        <w:t>Cultural expertise is to be available in these situations to ensure satisfactory options are considered, and to assist with crisis resolution.</w:t>
      </w:r>
    </w:p>
    <w:p w:rsidR="001C2E67" w:rsidRPr="003F4672" w:rsidRDefault="001C2E67" w:rsidP="001C2E67">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3F4672">
        <w:rPr>
          <w:rFonts w:ascii="Arial" w:hAnsi="Arial" w:cs="Arial"/>
        </w:rPr>
        <w:t>Treatment will be provided as required during the period of respite care with the aim of quickly resolving the need for the crisis service.</w:t>
      </w:r>
    </w:p>
    <w:p w:rsidR="001C2E67" w:rsidRPr="003F4672" w:rsidRDefault="001C2E67" w:rsidP="001C2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rPr>
      </w:pPr>
      <w:r w:rsidRPr="003F4672">
        <w:rPr>
          <w:rFonts w:ascii="Arial" w:hAnsi="Arial" w:cs="Arial"/>
        </w:rPr>
        <w:t xml:space="preserve">There will be co-ordination and liaison with the DHB Provider Arm and CAMHS services. </w:t>
      </w:r>
    </w:p>
    <w:p w:rsidR="001C2E67" w:rsidRPr="003F4672" w:rsidRDefault="001C2E67" w:rsidP="001C2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rPr>
      </w:pPr>
      <w:r w:rsidRPr="003F4672">
        <w:rPr>
          <w:rFonts w:ascii="Arial" w:hAnsi="Arial" w:cs="Arial"/>
        </w:rPr>
        <w:t>It is expected that there will be resolution of the crisis period without the individual requiring an inpatient admission.  The infant, child, adolescent or youth is linked with appropriate ongoing supports.</w:t>
      </w:r>
    </w:p>
    <w:p w:rsidR="001C2E67" w:rsidRPr="003F4672" w:rsidRDefault="001C2E67" w:rsidP="001C2E67">
      <w:pPr>
        <w:tabs>
          <w:tab w:val="left" w:pos="540"/>
        </w:tabs>
        <w:spacing w:before="240" w:after="120"/>
        <w:rPr>
          <w:rFonts w:ascii="Arial" w:hAnsi="Arial" w:cs="Arial"/>
          <w:b/>
        </w:rPr>
      </w:pPr>
      <w:r w:rsidRPr="003F4672">
        <w:rPr>
          <w:rFonts w:ascii="Arial" w:hAnsi="Arial" w:cs="Arial"/>
          <w:b/>
        </w:rPr>
        <w:t>2.</w:t>
      </w:r>
      <w:r w:rsidRPr="003F4672">
        <w:rPr>
          <w:rFonts w:ascii="Arial" w:hAnsi="Arial" w:cs="Arial"/>
          <w:b/>
        </w:rPr>
        <w:tab/>
        <w:t>Service Objectives</w:t>
      </w:r>
    </w:p>
    <w:p w:rsidR="00677B1E" w:rsidRPr="003F4672" w:rsidRDefault="00677B1E" w:rsidP="00700972">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120"/>
        <w:rPr>
          <w:rFonts w:ascii="Arial" w:hAnsi="Arial" w:cs="Arial"/>
          <w:b/>
        </w:rPr>
      </w:pPr>
      <w:r w:rsidRPr="003F4672">
        <w:rPr>
          <w:rFonts w:ascii="Arial" w:hAnsi="Arial" w:cs="Arial"/>
          <w:b/>
        </w:rPr>
        <w:t>2.1</w:t>
      </w:r>
      <w:r w:rsidRPr="003F4672">
        <w:rPr>
          <w:rFonts w:ascii="Arial" w:hAnsi="Arial" w:cs="Arial"/>
          <w:b/>
        </w:rPr>
        <w:tab/>
        <w:t>General</w:t>
      </w:r>
    </w:p>
    <w:p w:rsidR="001C2E67" w:rsidRPr="003F4672" w:rsidRDefault="001C2E67" w:rsidP="00700972">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120"/>
        <w:rPr>
          <w:rFonts w:ascii="Arial" w:hAnsi="Arial" w:cs="Arial"/>
        </w:rPr>
      </w:pPr>
      <w:r w:rsidRPr="003F4672">
        <w:rPr>
          <w:rFonts w:ascii="Arial" w:hAnsi="Arial" w:cs="Arial"/>
        </w:rPr>
        <w:t xml:space="preserve">To provide a home-based service or a service with accommodation as an option for </w:t>
      </w:r>
      <w:r w:rsidR="00B60A39" w:rsidRPr="003F4672">
        <w:rPr>
          <w:rFonts w:ascii="Arial" w:hAnsi="Arial" w:cs="Arial"/>
        </w:rPr>
        <w:t>Service User</w:t>
      </w:r>
      <w:r w:rsidRPr="003F4672">
        <w:rPr>
          <w:rFonts w:ascii="Arial" w:hAnsi="Arial" w:cs="Arial"/>
        </w:rPr>
        <w:t>s who would otherwise require admission to acute inpatient mental health services.</w:t>
      </w:r>
    </w:p>
    <w:p w:rsidR="001C2E67" w:rsidRPr="003F4672" w:rsidRDefault="001C2E67" w:rsidP="001C2E67">
      <w:pPr>
        <w:tabs>
          <w:tab w:val="left" w:pos="540"/>
        </w:tabs>
        <w:spacing w:before="120"/>
        <w:rPr>
          <w:rFonts w:ascii="Arial" w:hAnsi="Arial" w:cs="Arial"/>
          <w:b/>
        </w:rPr>
      </w:pPr>
      <w:r w:rsidRPr="003F4672">
        <w:rPr>
          <w:rFonts w:ascii="Arial" w:hAnsi="Arial" w:cs="Arial"/>
          <w:b/>
        </w:rPr>
        <w:t>2.</w:t>
      </w:r>
      <w:r w:rsidR="00677B1E" w:rsidRPr="003F4672">
        <w:rPr>
          <w:rFonts w:ascii="Arial" w:hAnsi="Arial" w:cs="Arial"/>
          <w:b/>
        </w:rPr>
        <w:t>2</w:t>
      </w:r>
      <w:r w:rsidRPr="003F4672">
        <w:rPr>
          <w:rFonts w:ascii="Arial" w:hAnsi="Arial" w:cs="Arial"/>
          <w:b/>
        </w:rPr>
        <w:tab/>
        <w:t>Māori Health</w:t>
      </w:r>
    </w:p>
    <w:p w:rsidR="00B60A39" w:rsidRPr="003F4672" w:rsidRDefault="00B60A39" w:rsidP="00B60A39">
      <w:pPr>
        <w:spacing w:before="120"/>
        <w:rPr>
          <w:rFonts w:ascii="Arial" w:hAnsi="Arial" w:cs="Arial"/>
        </w:rPr>
      </w:pPr>
      <w:r w:rsidRPr="003F4672">
        <w:rPr>
          <w:rFonts w:ascii="Arial" w:hAnsi="Arial" w:cs="Arial"/>
        </w:rPr>
        <w:t xml:space="preserve">Refer to the tier one Mental Health and Addiction Services service specification. </w:t>
      </w:r>
    </w:p>
    <w:p w:rsidR="00677B1E" w:rsidRPr="003F4672" w:rsidRDefault="00677B1E">
      <w:pPr>
        <w:rPr>
          <w:rFonts w:ascii="Arial" w:hAnsi="Arial" w:cs="Arial"/>
        </w:rPr>
      </w:pPr>
      <w:r w:rsidRPr="003F4672">
        <w:rPr>
          <w:rFonts w:ascii="Arial" w:hAnsi="Arial" w:cs="Arial"/>
        </w:rPr>
        <w:br w:type="page"/>
      </w:r>
    </w:p>
    <w:p w:rsidR="001C2E67" w:rsidRPr="003F4672" w:rsidRDefault="001C2E67" w:rsidP="00677B1E">
      <w:pPr>
        <w:tabs>
          <w:tab w:val="left" w:pos="540"/>
        </w:tabs>
        <w:spacing w:after="120"/>
        <w:rPr>
          <w:rFonts w:ascii="Arial" w:hAnsi="Arial" w:cs="Arial"/>
          <w:b/>
        </w:rPr>
      </w:pPr>
      <w:r w:rsidRPr="003F4672">
        <w:rPr>
          <w:rFonts w:ascii="Arial" w:hAnsi="Arial" w:cs="Arial"/>
          <w:b/>
        </w:rPr>
        <w:lastRenderedPageBreak/>
        <w:t>3.</w:t>
      </w:r>
      <w:r w:rsidRPr="003F4672">
        <w:rPr>
          <w:rFonts w:ascii="Arial" w:hAnsi="Arial" w:cs="Arial"/>
          <w:b/>
        </w:rPr>
        <w:tab/>
      </w:r>
      <w:r w:rsidR="00B60A39" w:rsidRPr="003F4672">
        <w:rPr>
          <w:rFonts w:ascii="Arial" w:hAnsi="Arial" w:cs="Arial"/>
          <w:b/>
        </w:rPr>
        <w:t>Service User</w:t>
      </w:r>
      <w:r w:rsidRPr="003F4672">
        <w:rPr>
          <w:rFonts w:ascii="Arial" w:hAnsi="Arial" w:cs="Arial"/>
          <w:b/>
        </w:rPr>
        <w:t>s</w:t>
      </w:r>
    </w:p>
    <w:p w:rsidR="00B60A39" w:rsidRPr="003F4672" w:rsidRDefault="001C2E67" w:rsidP="001C2E67">
      <w:pPr>
        <w:spacing w:before="120"/>
        <w:rPr>
          <w:rFonts w:ascii="Arial" w:hAnsi="Arial" w:cs="Arial"/>
        </w:rPr>
      </w:pPr>
      <w:r w:rsidRPr="003F4672">
        <w:rPr>
          <w:rFonts w:ascii="Arial" w:hAnsi="Arial" w:cs="Arial"/>
        </w:rPr>
        <w:t xml:space="preserve">The </w:t>
      </w:r>
      <w:r w:rsidR="00B60A39" w:rsidRPr="003F4672">
        <w:rPr>
          <w:rFonts w:ascii="Arial" w:hAnsi="Arial" w:cs="Arial"/>
        </w:rPr>
        <w:t>Service User</w:t>
      </w:r>
      <w:r w:rsidRPr="003F4672">
        <w:rPr>
          <w:rFonts w:ascii="Arial" w:hAnsi="Arial" w:cs="Arial"/>
        </w:rPr>
        <w:t xml:space="preserve">s are eligible infants, children, adolescents and youth. </w:t>
      </w:r>
    </w:p>
    <w:p w:rsidR="001C2E67" w:rsidRPr="003F4672" w:rsidRDefault="001C2E67" w:rsidP="00677B1E">
      <w:pPr>
        <w:tabs>
          <w:tab w:val="left" w:pos="540"/>
        </w:tabs>
        <w:spacing w:before="240" w:after="120"/>
        <w:rPr>
          <w:rFonts w:ascii="Arial" w:hAnsi="Arial" w:cs="Arial"/>
          <w:b/>
        </w:rPr>
      </w:pPr>
      <w:r w:rsidRPr="003F4672">
        <w:rPr>
          <w:rFonts w:ascii="Arial" w:hAnsi="Arial" w:cs="Arial"/>
          <w:b/>
        </w:rPr>
        <w:t>4.</w:t>
      </w:r>
      <w:r w:rsidRPr="003F4672">
        <w:rPr>
          <w:rFonts w:ascii="Arial" w:hAnsi="Arial" w:cs="Arial"/>
          <w:b/>
        </w:rPr>
        <w:tab/>
        <w:t>Access</w:t>
      </w:r>
    </w:p>
    <w:p w:rsidR="001C2E67" w:rsidRPr="003F4672" w:rsidRDefault="001C2E67" w:rsidP="001C2E67">
      <w:pPr>
        <w:tabs>
          <w:tab w:val="left" w:pos="540"/>
        </w:tabs>
        <w:spacing w:before="120"/>
        <w:rPr>
          <w:rFonts w:ascii="Arial" w:hAnsi="Arial" w:cs="Arial"/>
          <w:b/>
        </w:rPr>
      </w:pPr>
      <w:r w:rsidRPr="003F4672">
        <w:rPr>
          <w:rFonts w:ascii="Arial" w:hAnsi="Arial" w:cs="Arial"/>
          <w:b/>
        </w:rPr>
        <w:t>4.1</w:t>
      </w:r>
      <w:r w:rsidRPr="003F4672">
        <w:rPr>
          <w:rFonts w:ascii="Arial" w:hAnsi="Arial" w:cs="Arial"/>
          <w:b/>
        </w:rPr>
        <w:tab/>
        <w:t xml:space="preserve">Entry and Exit Criteria </w:t>
      </w:r>
    </w:p>
    <w:p w:rsidR="001C2E67" w:rsidRPr="003F4672" w:rsidRDefault="001C2E67" w:rsidP="001C2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rPr>
      </w:pPr>
      <w:r w:rsidRPr="003F4672">
        <w:rPr>
          <w:rFonts w:ascii="Arial" w:hAnsi="Arial" w:cs="Arial"/>
        </w:rPr>
        <w:t>Referrals received from community child and adolescent mental health services or crisis services.</w:t>
      </w:r>
    </w:p>
    <w:p w:rsidR="001C2E67" w:rsidRPr="003F4672" w:rsidRDefault="001C2E67" w:rsidP="001C2E67">
      <w:pPr>
        <w:spacing w:before="240" w:after="120"/>
        <w:rPr>
          <w:rFonts w:ascii="Arial" w:hAnsi="Arial" w:cs="Arial"/>
          <w:b/>
        </w:rPr>
      </w:pPr>
      <w:r w:rsidRPr="003F4672">
        <w:rPr>
          <w:rFonts w:ascii="Arial" w:hAnsi="Arial" w:cs="Arial"/>
          <w:b/>
        </w:rPr>
        <w:t>5.</w:t>
      </w:r>
      <w:r w:rsidRPr="003F4672">
        <w:rPr>
          <w:rFonts w:ascii="Arial" w:hAnsi="Arial" w:cs="Arial"/>
          <w:b/>
        </w:rPr>
        <w:tab/>
        <w:t>Service Components</w:t>
      </w:r>
    </w:p>
    <w:p w:rsidR="001C2E67" w:rsidRPr="003F4672" w:rsidRDefault="001C2E67" w:rsidP="001C2E67">
      <w:pPr>
        <w:spacing w:before="120"/>
        <w:rPr>
          <w:rFonts w:ascii="Arial" w:hAnsi="Arial" w:cs="Arial"/>
          <w:b/>
        </w:rPr>
      </w:pPr>
      <w:r w:rsidRPr="003F4672">
        <w:rPr>
          <w:rFonts w:ascii="Arial" w:hAnsi="Arial" w:cs="Arial"/>
          <w:b/>
        </w:rPr>
        <w:t>5.1</w:t>
      </w:r>
      <w:r w:rsidRPr="003F4672">
        <w:rPr>
          <w:rFonts w:ascii="Arial" w:hAnsi="Arial" w:cs="Arial"/>
          <w:b/>
        </w:rPr>
        <w:tab/>
        <w:t>Processes</w:t>
      </w:r>
    </w:p>
    <w:p w:rsidR="001C2E67" w:rsidRPr="003F4672" w:rsidRDefault="001C2E67" w:rsidP="001C2E67">
      <w:pPr>
        <w:spacing w:before="120"/>
        <w:rPr>
          <w:rFonts w:ascii="Arial" w:hAnsi="Arial" w:cs="Arial"/>
        </w:rPr>
      </w:pPr>
      <w:r w:rsidRPr="003F4672">
        <w:rPr>
          <w:rFonts w:ascii="Arial" w:hAnsi="Arial" w:cs="Arial"/>
        </w:rPr>
        <w:t xml:space="preserve">The following processes apply but are not limited to: assessment, treatment, intervention and support, review and discharge. </w:t>
      </w:r>
    </w:p>
    <w:p w:rsidR="001C2E67" w:rsidRPr="003F4672" w:rsidRDefault="001C2E67" w:rsidP="001C2E67">
      <w:pPr>
        <w:spacing w:before="120"/>
        <w:rPr>
          <w:rFonts w:ascii="Arial" w:hAnsi="Arial" w:cs="Arial"/>
          <w:b/>
        </w:rPr>
      </w:pPr>
      <w:r w:rsidRPr="003F4672">
        <w:rPr>
          <w:rFonts w:ascii="Arial" w:hAnsi="Arial" w:cs="Arial"/>
          <w:b/>
        </w:rPr>
        <w:t>5.2</w:t>
      </w:r>
      <w:r w:rsidRPr="003F4672">
        <w:rPr>
          <w:rFonts w:ascii="Arial" w:hAnsi="Arial" w:cs="Arial"/>
          <w:b/>
        </w:rPr>
        <w:tab/>
        <w:t>Settings</w:t>
      </w:r>
    </w:p>
    <w:p w:rsidR="001C2E67" w:rsidRPr="003F4672" w:rsidRDefault="00700972" w:rsidP="001C2E67">
      <w:pPr>
        <w:spacing w:before="120"/>
        <w:rPr>
          <w:rFonts w:ascii="Arial" w:hAnsi="Arial" w:cs="Arial"/>
        </w:rPr>
      </w:pPr>
      <w:r w:rsidRPr="002E705D">
        <w:rPr>
          <w:rFonts w:ascii="Arial" w:hAnsi="Arial" w:cs="Arial"/>
        </w:rPr>
        <w:t xml:space="preserve">The Service is provided in a </w:t>
      </w:r>
      <w:r>
        <w:rPr>
          <w:rFonts w:ascii="Arial" w:hAnsi="Arial" w:cs="Arial"/>
        </w:rPr>
        <w:t>c</w:t>
      </w:r>
      <w:r w:rsidR="001C2E67" w:rsidRPr="003F4672">
        <w:rPr>
          <w:rFonts w:ascii="Arial" w:hAnsi="Arial" w:cs="Arial"/>
        </w:rPr>
        <w:t>ommunity base</w:t>
      </w:r>
      <w:r>
        <w:rPr>
          <w:rFonts w:ascii="Arial" w:hAnsi="Arial" w:cs="Arial"/>
        </w:rPr>
        <w:t>d setting</w:t>
      </w:r>
      <w:r w:rsidR="001C2E67" w:rsidRPr="003F4672">
        <w:rPr>
          <w:rFonts w:ascii="Arial" w:hAnsi="Arial" w:cs="Arial"/>
        </w:rPr>
        <w:t>.</w:t>
      </w:r>
    </w:p>
    <w:p w:rsidR="001C2E67" w:rsidRPr="003F4672" w:rsidRDefault="001C2E67" w:rsidP="001C2E67">
      <w:pPr>
        <w:spacing w:before="120"/>
        <w:rPr>
          <w:rFonts w:ascii="Arial" w:hAnsi="Arial" w:cs="Arial"/>
          <w:b/>
        </w:rPr>
      </w:pPr>
      <w:r w:rsidRPr="003F4672">
        <w:rPr>
          <w:rFonts w:ascii="Arial" w:hAnsi="Arial" w:cs="Arial"/>
          <w:b/>
        </w:rPr>
        <w:t>5.3</w:t>
      </w:r>
      <w:r w:rsidRPr="003F4672">
        <w:rPr>
          <w:rFonts w:ascii="Arial" w:hAnsi="Arial" w:cs="Arial"/>
          <w:b/>
        </w:rPr>
        <w:tab/>
        <w:t>Key Inputs</w:t>
      </w:r>
    </w:p>
    <w:p w:rsidR="001C2E67" w:rsidRPr="003F4672" w:rsidRDefault="001C2E67" w:rsidP="001C2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rPr>
      </w:pPr>
      <w:r w:rsidRPr="003F4672">
        <w:rPr>
          <w:rFonts w:ascii="Arial" w:hAnsi="Arial" w:cs="Arial"/>
        </w:rPr>
        <w:t>The Service is provided by:</w:t>
      </w:r>
    </w:p>
    <w:p w:rsidR="001C2E67" w:rsidRPr="003F4672" w:rsidRDefault="001C2E67" w:rsidP="001C2E67">
      <w:pPr>
        <w:numPr>
          <w:ilvl w:val="0"/>
          <w:numId w:val="2"/>
        </w:numPr>
        <w:tabs>
          <w:tab w:val="clear" w:pos="720"/>
          <w:tab w:val="num" w:pos="540"/>
        </w:tabs>
        <w:spacing w:before="120"/>
        <w:ind w:left="540" w:hanging="540"/>
        <w:rPr>
          <w:rFonts w:ascii="Arial" w:hAnsi="Arial" w:cs="Arial"/>
        </w:rPr>
      </w:pPr>
      <w:r w:rsidRPr="003F4672">
        <w:rPr>
          <w:rFonts w:ascii="Arial" w:hAnsi="Arial" w:cs="Arial"/>
        </w:rPr>
        <w:t>people regulated by a health or social service professional body</w:t>
      </w:r>
    </w:p>
    <w:p w:rsidR="001C2E67" w:rsidRPr="003F4672" w:rsidRDefault="001C2E67" w:rsidP="001C2E67">
      <w:pPr>
        <w:numPr>
          <w:ilvl w:val="0"/>
          <w:numId w:val="2"/>
        </w:numPr>
        <w:tabs>
          <w:tab w:val="clear" w:pos="720"/>
          <w:tab w:val="num" w:pos="540"/>
        </w:tabs>
        <w:spacing w:before="120"/>
        <w:ind w:left="540" w:hanging="540"/>
        <w:rPr>
          <w:rFonts w:ascii="Arial" w:hAnsi="Arial" w:cs="Arial"/>
        </w:rPr>
      </w:pPr>
      <w:r w:rsidRPr="003F4672">
        <w:rPr>
          <w:rFonts w:ascii="Arial" w:hAnsi="Arial" w:cs="Arial"/>
        </w:rPr>
        <w:t xml:space="preserve">people who interact with </w:t>
      </w:r>
      <w:r w:rsidR="00B60A39" w:rsidRPr="003F4672">
        <w:rPr>
          <w:rFonts w:ascii="Arial" w:hAnsi="Arial" w:cs="Arial"/>
        </w:rPr>
        <w:t>Service User</w:t>
      </w:r>
      <w:r w:rsidRPr="003F4672">
        <w:rPr>
          <w:rFonts w:ascii="Arial" w:hAnsi="Arial" w:cs="Arial"/>
        </w:rPr>
        <w:t xml:space="preserve">s and who are not subjected to regulatory requirements under legislation or by any other means.  </w:t>
      </w:r>
    </w:p>
    <w:p w:rsidR="001C2E67" w:rsidRPr="003F4672" w:rsidRDefault="001C2E67" w:rsidP="001C2E67">
      <w:pPr>
        <w:numPr>
          <w:ilvl w:val="0"/>
          <w:numId w:val="2"/>
        </w:numPr>
        <w:tabs>
          <w:tab w:val="clear" w:pos="720"/>
          <w:tab w:val="num" w:pos="540"/>
        </w:tabs>
        <w:spacing w:before="120"/>
        <w:ind w:left="540" w:hanging="540"/>
        <w:rPr>
          <w:rFonts w:ascii="Arial" w:hAnsi="Arial" w:cs="Arial"/>
          <w:color w:val="000000"/>
        </w:rPr>
      </w:pPr>
      <w:r w:rsidRPr="003F4672">
        <w:rPr>
          <w:rFonts w:ascii="Arial" w:hAnsi="Arial" w:cs="Arial"/>
        </w:rPr>
        <w:t xml:space="preserve">staff with suitable child and youth training and expertise in crisis and the ability to recognise underlying mental health and developmental issues. </w:t>
      </w:r>
    </w:p>
    <w:p w:rsidR="001C2E67" w:rsidRPr="003F4672" w:rsidRDefault="001C2E67" w:rsidP="001C2E67">
      <w:pPr>
        <w:tabs>
          <w:tab w:val="left" w:pos="540"/>
        </w:tabs>
        <w:spacing w:before="240" w:after="120"/>
        <w:rPr>
          <w:rFonts w:ascii="Arial" w:hAnsi="Arial" w:cs="Arial"/>
          <w:b/>
        </w:rPr>
      </w:pPr>
      <w:r w:rsidRPr="003F4672">
        <w:rPr>
          <w:rFonts w:ascii="Arial" w:hAnsi="Arial" w:cs="Arial"/>
          <w:b/>
        </w:rPr>
        <w:t>6.</w:t>
      </w:r>
      <w:r w:rsidRPr="003F4672">
        <w:rPr>
          <w:rFonts w:ascii="Arial" w:hAnsi="Arial" w:cs="Arial"/>
          <w:b/>
        </w:rPr>
        <w:tab/>
        <w:t>Service Linkages</w:t>
      </w:r>
    </w:p>
    <w:p w:rsidR="00B60A39" w:rsidRPr="003F4672" w:rsidRDefault="001C2E67" w:rsidP="00847E99">
      <w:pPr>
        <w:spacing w:before="120"/>
        <w:rPr>
          <w:rFonts w:ascii="Arial" w:hAnsi="Arial" w:cs="Arial"/>
        </w:rPr>
      </w:pPr>
      <w:r w:rsidRPr="003F4672">
        <w:rPr>
          <w:rFonts w:ascii="Arial" w:hAnsi="Arial" w:cs="Arial"/>
        </w:rPr>
        <w:t xml:space="preserve">Linkages include, but are not limited to the following described in tier one Mental Health and Addiction Services and tier two Infant, Child, Adolescent and Youth service specifications. </w:t>
      </w:r>
    </w:p>
    <w:p w:rsidR="001C2E67" w:rsidRPr="003F4672" w:rsidRDefault="00847E99" w:rsidP="00564CBA">
      <w:pPr>
        <w:tabs>
          <w:tab w:val="left" w:pos="540"/>
        </w:tabs>
        <w:spacing w:before="240" w:after="120"/>
        <w:rPr>
          <w:rFonts w:ascii="Arial" w:hAnsi="Arial" w:cs="Arial"/>
          <w:b/>
        </w:rPr>
      </w:pPr>
      <w:r>
        <w:rPr>
          <w:rFonts w:ascii="Arial" w:hAnsi="Arial" w:cs="Arial"/>
          <w:b/>
        </w:rPr>
        <w:t>7</w:t>
      </w:r>
      <w:r w:rsidR="001C2E67" w:rsidRPr="003F4672">
        <w:rPr>
          <w:rFonts w:ascii="Arial" w:hAnsi="Arial" w:cs="Arial"/>
          <w:b/>
        </w:rPr>
        <w:t>.</w:t>
      </w:r>
      <w:r w:rsidR="001C2E67" w:rsidRPr="003F4672">
        <w:rPr>
          <w:rFonts w:ascii="Arial" w:hAnsi="Arial" w:cs="Arial"/>
          <w:b/>
        </w:rPr>
        <w:tab/>
        <w:t>Purchase Units and Reporting Requirements</w:t>
      </w:r>
    </w:p>
    <w:p w:rsidR="001C2E67" w:rsidRPr="003F4672" w:rsidRDefault="00847E99" w:rsidP="001C2E67">
      <w:pPr>
        <w:spacing w:before="120" w:after="120"/>
        <w:rPr>
          <w:rFonts w:ascii="Arial" w:hAnsi="Arial" w:cs="Arial"/>
        </w:rPr>
      </w:pPr>
      <w:r>
        <w:rPr>
          <w:rFonts w:ascii="Arial" w:hAnsi="Arial" w:cs="Arial"/>
          <w:b/>
        </w:rPr>
        <w:t>7</w:t>
      </w:r>
      <w:r w:rsidR="00B60A39" w:rsidRPr="003F4672">
        <w:rPr>
          <w:rFonts w:ascii="Arial" w:hAnsi="Arial" w:cs="Arial"/>
          <w:b/>
        </w:rPr>
        <w:t>.1</w:t>
      </w:r>
      <w:r w:rsidR="00B60A39" w:rsidRPr="003F4672">
        <w:rPr>
          <w:rFonts w:ascii="Arial" w:hAnsi="Arial" w:cs="Arial"/>
          <w:b/>
        </w:rPr>
        <w:tab/>
      </w:r>
      <w:r w:rsidR="001C2E67" w:rsidRPr="003F4672">
        <w:rPr>
          <w:rFonts w:ascii="Arial" w:hAnsi="Arial" w:cs="Arial"/>
        </w:rPr>
        <w:t>Purchase Unit</w:t>
      </w:r>
      <w:r>
        <w:rPr>
          <w:rFonts w:ascii="Arial" w:hAnsi="Arial" w:cs="Arial"/>
        </w:rPr>
        <w:t xml:space="preserve"> (PU) Code</w:t>
      </w:r>
      <w:r w:rsidR="001C2E67" w:rsidRPr="003F4672">
        <w:rPr>
          <w:rFonts w:ascii="Arial" w:hAnsi="Arial" w:cs="Arial"/>
        </w:rPr>
        <w:t xml:space="preserve">s are defined in the DHB and Ministry’s Nationwide Service Framework Purchase Unit Data Dictionary.  The following </w:t>
      </w:r>
      <w:r>
        <w:rPr>
          <w:rFonts w:ascii="Arial" w:hAnsi="Arial" w:cs="Arial"/>
        </w:rPr>
        <w:t>codes</w:t>
      </w:r>
      <w:r w:rsidR="001C2E67" w:rsidRPr="003F4672">
        <w:rPr>
          <w:rFonts w:ascii="Arial" w:hAnsi="Arial" w:cs="Arial"/>
        </w:rPr>
        <w:t xml:space="preserve"> apply to this Service.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1"/>
        <w:gridCol w:w="1598"/>
        <w:gridCol w:w="5813"/>
        <w:gridCol w:w="1126"/>
      </w:tblGrid>
      <w:tr w:rsidR="00847E99" w:rsidRPr="003F4672" w:rsidTr="00847E99">
        <w:trPr>
          <w:cantSplit/>
          <w:trHeight w:val="795"/>
          <w:tblHeader/>
        </w:trPr>
        <w:tc>
          <w:tcPr>
            <w:tcW w:w="566" w:type="pct"/>
            <w:shd w:val="clear" w:color="auto" w:fill="D9D9D9"/>
          </w:tcPr>
          <w:p w:rsidR="00847E99" w:rsidRPr="003F4672" w:rsidRDefault="00847E99" w:rsidP="001C2E67">
            <w:pPr>
              <w:spacing w:before="120"/>
              <w:rPr>
                <w:rFonts w:ascii="Arial" w:hAnsi="Arial" w:cs="Arial"/>
                <w:b/>
                <w:sz w:val="20"/>
                <w:szCs w:val="20"/>
              </w:rPr>
            </w:pPr>
            <w:r w:rsidRPr="003F4672">
              <w:rPr>
                <w:rFonts w:ascii="Arial" w:hAnsi="Arial" w:cs="Arial"/>
                <w:b/>
                <w:sz w:val="20"/>
                <w:szCs w:val="20"/>
              </w:rPr>
              <w:t>PU Code</w:t>
            </w:r>
          </w:p>
        </w:tc>
        <w:tc>
          <w:tcPr>
            <w:tcW w:w="830" w:type="pct"/>
            <w:shd w:val="clear" w:color="auto" w:fill="D9D9D9"/>
          </w:tcPr>
          <w:p w:rsidR="00847E99" w:rsidRPr="003F4672" w:rsidRDefault="00847E99" w:rsidP="001C2E67">
            <w:pPr>
              <w:spacing w:before="120"/>
              <w:rPr>
                <w:rFonts w:ascii="Arial" w:hAnsi="Arial" w:cs="Arial"/>
                <w:b/>
                <w:sz w:val="20"/>
                <w:szCs w:val="20"/>
              </w:rPr>
            </w:pPr>
            <w:r w:rsidRPr="003F4672">
              <w:rPr>
                <w:rFonts w:ascii="Arial" w:hAnsi="Arial" w:cs="Arial"/>
                <w:b/>
                <w:sz w:val="20"/>
                <w:szCs w:val="20"/>
              </w:rPr>
              <w:t>PU Description</w:t>
            </w:r>
          </w:p>
        </w:tc>
        <w:tc>
          <w:tcPr>
            <w:tcW w:w="3019" w:type="pct"/>
            <w:shd w:val="clear" w:color="auto" w:fill="D9D9D9"/>
          </w:tcPr>
          <w:p w:rsidR="00847E99" w:rsidRPr="003F4672" w:rsidRDefault="00847E99" w:rsidP="001C2E67">
            <w:pPr>
              <w:spacing w:before="120"/>
              <w:rPr>
                <w:rFonts w:ascii="Arial" w:hAnsi="Arial" w:cs="Arial"/>
                <w:b/>
                <w:sz w:val="20"/>
                <w:szCs w:val="20"/>
              </w:rPr>
            </w:pPr>
            <w:r w:rsidRPr="003F4672">
              <w:rPr>
                <w:rFonts w:ascii="Arial" w:hAnsi="Arial" w:cs="Arial"/>
                <w:b/>
                <w:sz w:val="20"/>
                <w:szCs w:val="20"/>
              </w:rPr>
              <w:t>PU Definition</w:t>
            </w:r>
          </w:p>
        </w:tc>
        <w:tc>
          <w:tcPr>
            <w:tcW w:w="585" w:type="pct"/>
            <w:shd w:val="clear" w:color="auto" w:fill="D9D9D9"/>
          </w:tcPr>
          <w:p w:rsidR="00847E99" w:rsidRPr="003F4672" w:rsidRDefault="00847E99" w:rsidP="001C2E67">
            <w:pPr>
              <w:spacing w:before="120"/>
              <w:rPr>
                <w:rFonts w:ascii="Arial" w:hAnsi="Arial" w:cs="Arial"/>
                <w:b/>
                <w:sz w:val="20"/>
                <w:szCs w:val="20"/>
              </w:rPr>
            </w:pPr>
            <w:r>
              <w:rPr>
                <w:rFonts w:ascii="Arial" w:hAnsi="Arial" w:cs="Arial"/>
                <w:b/>
                <w:sz w:val="20"/>
                <w:szCs w:val="20"/>
              </w:rPr>
              <w:t>Unit of</w:t>
            </w:r>
            <w:r w:rsidRPr="003F4672">
              <w:rPr>
                <w:rFonts w:ascii="Arial" w:hAnsi="Arial" w:cs="Arial"/>
                <w:b/>
                <w:sz w:val="20"/>
                <w:szCs w:val="20"/>
              </w:rPr>
              <w:t xml:space="preserve"> Measure</w:t>
            </w:r>
          </w:p>
        </w:tc>
      </w:tr>
      <w:tr w:rsidR="00847E99" w:rsidRPr="003F4672" w:rsidTr="00847E99">
        <w:trPr>
          <w:cantSplit/>
        </w:trPr>
        <w:tc>
          <w:tcPr>
            <w:tcW w:w="566" w:type="pct"/>
            <w:tcBorders>
              <w:top w:val="single" w:sz="4" w:space="0" w:color="auto"/>
              <w:left w:val="single" w:sz="4" w:space="0" w:color="auto"/>
              <w:bottom w:val="single" w:sz="4" w:space="0" w:color="auto"/>
              <w:right w:val="single" w:sz="4" w:space="0" w:color="auto"/>
            </w:tcBorders>
          </w:tcPr>
          <w:p w:rsidR="00847E99" w:rsidRPr="003F4672" w:rsidRDefault="00847E99" w:rsidP="00B60A39">
            <w:pPr>
              <w:spacing w:before="120" w:after="120"/>
              <w:rPr>
                <w:rFonts w:ascii="Arial" w:hAnsi="Arial" w:cs="Arial"/>
                <w:sz w:val="20"/>
                <w:szCs w:val="20"/>
              </w:rPr>
            </w:pPr>
            <w:r w:rsidRPr="003F4672">
              <w:rPr>
                <w:rFonts w:ascii="Arial" w:hAnsi="Arial" w:cs="Arial"/>
                <w:sz w:val="20"/>
                <w:szCs w:val="20"/>
              </w:rPr>
              <w:t>MHI42</w:t>
            </w:r>
          </w:p>
        </w:tc>
        <w:tc>
          <w:tcPr>
            <w:tcW w:w="830" w:type="pct"/>
            <w:tcBorders>
              <w:top w:val="single" w:sz="4" w:space="0" w:color="auto"/>
              <w:left w:val="single" w:sz="4" w:space="0" w:color="auto"/>
              <w:bottom w:val="single" w:sz="4" w:space="0" w:color="auto"/>
              <w:right w:val="single" w:sz="4" w:space="0" w:color="auto"/>
            </w:tcBorders>
          </w:tcPr>
          <w:p w:rsidR="00847E99" w:rsidRPr="003F4672" w:rsidRDefault="00847E99" w:rsidP="001C2E67">
            <w:pPr>
              <w:spacing w:before="120" w:after="120"/>
              <w:rPr>
                <w:rFonts w:ascii="Arial" w:hAnsi="Arial" w:cs="Arial"/>
                <w:sz w:val="20"/>
                <w:szCs w:val="20"/>
              </w:rPr>
            </w:pPr>
            <w:r w:rsidRPr="003F4672">
              <w:rPr>
                <w:rFonts w:ascii="Arial" w:hAnsi="Arial" w:cs="Arial"/>
                <w:sz w:val="20"/>
                <w:szCs w:val="20"/>
              </w:rPr>
              <w:t>Infant, child, adolescent and youth crisis respite</w:t>
            </w:r>
          </w:p>
        </w:tc>
        <w:tc>
          <w:tcPr>
            <w:tcW w:w="3019" w:type="pct"/>
            <w:tcBorders>
              <w:top w:val="single" w:sz="4" w:space="0" w:color="auto"/>
              <w:left w:val="single" w:sz="4" w:space="0" w:color="auto"/>
              <w:bottom w:val="single" w:sz="4" w:space="0" w:color="auto"/>
              <w:right w:val="single" w:sz="4" w:space="0" w:color="auto"/>
            </w:tcBorders>
          </w:tcPr>
          <w:p w:rsidR="00847E99" w:rsidRPr="003F4672" w:rsidRDefault="00847E99" w:rsidP="00922F9C">
            <w:pPr>
              <w:rPr>
                <w:rFonts w:ascii="Arial" w:hAnsi="Arial" w:cs="Arial"/>
                <w:b/>
                <w:sz w:val="20"/>
                <w:szCs w:val="20"/>
              </w:rPr>
            </w:pPr>
            <w:r w:rsidRPr="003F4672">
              <w:rPr>
                <w:rFonts w:ascii="Arial" w:hAnsi="Arial" w:cs="Arial"/>
                <w:color w:val="000000"/>
                <w:sz w:val="20"/>
                <w:szCs w:val="20"/>
              </w:rPr>
              <w:t>A home-based crisis respite service with accommodation for infants, children adolescents and youth who would otherwise require admission to acute inpatient mental health services. The crisis respite option aims to provide a place of safety for the patient and their family/</w:t>
            </w:r>
            <w:proofErr w:type="spellStart"/>
            <w:r w:rsidRPr="003F4672">
              <w:rPr>
                <w:rFonts w:ascii="Arial" w:hAnsi="Arial" w:cs="Arial"/>
                <w:color w:val="000000"/>
                <w:sz w:val="20"/>
                <w:szCs w:val="20"/>
              </w:rPr>
              <w:t>whanau</w:t>
            </w:r>
            <w:proofErr w:type="spellEnd"/>
            <w:r w:rsidRPr="003F4672">
              <w:rPr>
                <w:rFonts w:ascii="Arial" w:hAnsi="Arial" w:cs="Arial"/>
                <w:color w:val="000000"/>
                <w:sz w:val="20"/>
                <w:szCs w:val="20"/>
              </w:rPr>
              <w:t>, provide stability and achieve crisis resolution.</w:t>
            </w:r>
          </w:p>
        </w:tc>
        <w:tc>
          <w:tcPr>
            <w:tcW w:w="585" w:type="pct"/>
            <w:tcBorders>
              <w:top w:val="single" w:sz="4" w:space="0" w:color="auto"/>
              <w:left w:val="single" w:sz="4" w:space="0" w:color="auto"/>
              <w:bottom w:val="single" w:sz="4" w:space="0" w:color="auto"/>
              <w:right w:val="single" w:sz="4" w:space="0" w:color="auto"/>
            </w:tcBorders>
          </w:tcPr>
          <w:p w:rsidR="00847E99" w:rsidRPr="003F4672" w:rsidRDefault="00847E99" w:rsidP="001C2E67">
            <w:pPr>
              <w:spacing w:before="120" w:after="120"/>
              <w:rPr>
                <w:rFonts w:ascii="Arial" w:hAnsi="Arial" w:cs="Arial"/>
                <w:sz w:val="20"/>
                <w:szCs w:val="20"/>
              </w:rPr>
            </w:pPr>
            <w:r w:rsidRPr="003F4672">
              <w:rPr>
                <w:rFonts w:ascii="Arial" w:hAnsi="Arial" w:cs="Arial"/>
                <w:sz w:val="20"/>
                <w:szCs w:val="20"/>
              </w:rPr>
              <w:t>Occupied bed day</w:t>
            </w:r>
          </w:p>
        </w:tc>
      </w:tr>
      <w:tr w:rsidR="00847E99" w:rsidRPr="003F4672" w:rsidTr="00847E99">
        <w:trPr>
          <w:cantSplit/>
        </w:trPr>
        <w:tc>
          <w:tcPr>
            <w:tcW w:w="566" w:type="pct"/>
            <w:tcBorders>
              <w:top w:val="single" w:sz="4" w:space="0" w:color="auto"/>
              <w:left w:val="single" w:sz="4" w:space="0" w:color="auto"/>
              <w:bottom w:val="single" w:sz="4" w:space="0" w:color="auto"/>
              <w:right w:val="single" w:sz="4" w:space="0" w:color="auto"/>
            </w:tcBorders>
          </w:tcPr>
          <w:p w:rsidR="00847E99" w:rsidRPr="003F4672" w:rsidRDefault="00847E99" w:rsidP="001C2E67">
            <w:pPr>
              <w:spacing w:before="120" w:after="120"/>
              <w:rPr>
                <w:rFonts w:ascii="Arial" w:hAnsi="Arial" w:cs="Arial"/>
                <w:sz w:val="20"/>
                <w:szCs w:val="20"/>
              </w:rPr>
            </w:pPr>
            <w:r w:rsidRPr="003F4672">
              <w:rPr>
                <w:rFonts w:ascii="Arial" w:hAnsi="Arial" w:cs="Arial"/>
                <w:sz w:val="20"/>
                <w:szCs w:val="20"/>
              </w:rPr>
              <w:lastRenderedPageBreak/>
              <w:t>MHI42C</w:t>
            </w:r>
          </w:p>
        </w:tc>
        <w:tc>
          <w:tcPr>
            <w:tcW w:w="830" w:type="pct"/>
            <w:tcBorders>
              <w:top w:val="single" w:sz="4" w:space="0" w:color="auto"/>
              <w:left w:val="single" w:sz="4" w:space="0" w:color="auto"/>
              <w:bottom w:val="single" w:sz="4" w:space="0" w:color="auto"/>
              <w:right w:val="single" w:sz="4" w:space="0" w:color="auto"/>
            </w:tcBorders>
          </w:tcPr>
          <w:p w:rsidR="00847E99" w:rsidRPr="003F4672" w:rsidRDefault="00847E99" w:rsidP="001C2E67">
            <w:pPr>
              <w:spacing w:before="120" w:after="120"/>
              <w:rPr>
                <w:rFonts w:ascii="Arial" w:hAnsi="Arial" w:cs="Arial"/>
                <w:sz w:val="20"/>
                <w:szCs w:val="20"/>
              </w:rPr>
            </w:pPr>
            <w:r w:rsidRPr="003F4672">
              <w:rPr>
                <w:rFonts w:ascii="Arial" w:hAnsi="Arial" w:cs="Arial"/>
                <w:sz w:val="20"/>
                <w:szCs w:val="20"/>
              </w:rPr>
              <w:t>Infant, child, adolescent and youth crisis respite – Nursing and/ or allied health staff</w:t>
            </w:r>
          </w:p>
        </w:tc>
        <w:tc>
          <w:tcPr>
            <w:tcW w:w="3019" w:type="pct"/>
            <w:tcBorders>
              <w:top w:val="single" w:sz="4" w:space="0" w:color="auto"/>
              <w:left w:val="single" w:sz="4" w:space="0" w:color="auto"/>
              <w:bottom w:val="single" w:sz="4" w:space="0" w:color="auto"/>
              <w:right w:val="single" w:sz="4" w:space="0" w:color="auto"/>
            </w:tcBorders>
          </w:tcPr>
          <w:p w:rsidR="00847E99" w:rsidRPr="003F4672" w:rsidRDefault="00847E99" w:rsidP="00677B1E">
            <w:pPr>
              <w:rPr>
                <w:rFonts w:ascii="Arial" w:hAnsi="Arial" w:cs="Arial"/>
                <w:sz w:val="20"/>
                <w:szCs w:val="20"/>
              </w:rPr>
            </w:pPr>
            <w:r w:rsidRPr="003F4672">
              <w:rPr>
                <w:rFonts w:ascii="Arial" w:hAnsi="Arial" w:cs="Arial"/>
                <w:color w:val="000000"/>
                <w:sz w:val="20"/>
                <w:szCs w:val="20"/>
              </w:rPr>
              <w:t>A home-based crisis respite service with accommodation for infants, children adolescents and youth who would otherwise require admission to acute inpatient mental health services. The crisis respite option aims to provide a place of safety for the patient and their family/</w:t>
            </w:r>
            <w:proofErr w:type="spellStart"/>
            <w:r w:rsidRPr="003F4672">
              <w:rPr>
                <w:rFonts w:ascii="Arial" w:hAnsi="Arial" w:cs="Arial"/>
                <w:color w:val="000000"/>
                <w:sz w:val="20"/>
                <w:szCs w:val="20"/>
              </w:rPr>
              <w:t>whanau</w:t>
            </w:r>
            <w:proofErr w:type="spellEnd"/>
            <w:r w:rsidRPr="003F4672">
              <w:rPr>
                <w:rFonts w:ascii="Arial" w:hAnsi="Arial" w:cs="Arial"/>
                <w:color w:val="000000"/>
                <w:sz w:val="20"/>
                <w:szCs w:val="20"/>
              </w:rPr>
              <w:t>, provide stability and achieve crisis resolution. The service to be delivered by nurses and/or allied health staff regulated by health or social professional body.</w:t>
            </w:r>
          </w:p>
        </w:tc>
        <w:tc>
          <w:tcPr>
            <w:tcW w:w="585" w:type="pct"/>
            <w:tcBorders>
              <w:top w:val="single" w:sz="4" w:space="0" w:color="auto"/>
              <w:left w:val="single" w:sz="4" w:space="0" w:color="auto"/>
              <w:bottom w:val="single" w:sz="4" w:space="0" w:color="auto"/>
              <w:right w:val="single" w:sz="4" w:space="0" w:color="auto"/>
            </w:tcBorders>
          </w:tcPr>
          <w:p w:rsidR="00847E99" w:rsidRPr="003F4672" w:rsidRDefault="00847E99" w:rsidP="001C2E67">
            <w:pPr>
              <w:spacing w:before="120" w:after="120"/>
              <w:rPr>
                <w:rFonts w:ascii="Arial" w:hAnsi="Arial" w:cs="Arial"/>
                <w:sz w:val="20"/>
                <w:szCs w:val="20"/>
              </w:rPr>
            </w:pPr>
            <w:r w:rsidRPr="003F4672">
              <w:rPr>
                <w:rFonts w:ascii="Arial" w:hAnsi="Arial" w:cs="Arial"/>
                <w:sz w:val="20"/>
                <w:szCs w:val="20"/>
              </w:rPr>
              <w:t>FTE</w:t>
            </w:r>
          </w:p>
        </w:tc>
      </w:tr>
      <w:tr w:rsidR="00847E99" w:rsidRPr="003F4672" w:rsidTr="00847E99">
        <w:trPr>
          <w:cantSplit/>
        </w:trPr>
        <w:tc>
          <w:tcPr>
            <w:tcW w:w="566" w:type="pct"/>
            <w:tcBorders>
              <w:top w:val="single" w:sz="4" w:space="0" w:color="auto"/>
              <w:left w:val="single" w:sz="4" w:space="0" w:color="auto"/>
              <w:bottom w:val="single" w:sz="4" w:space="0" w:color="auto"/>
              <w:right w:val="single" w:sz="4" w:space="0" w:color="auto"/>
            </w:tcBorders>
          </w:tcPr>
          <w:p w:rsidR="00847E99" w:rsidRPr="003F4672" w:rsidRDefault="00847E99" w:rsidP="001C2E67">
            <w:pPr>
              <w:spacing w:before="120" w:after="120"/>
              <w:rPr>
                <w:rFonts w:ascii="Arial" w:hAnsi="Arial" w:cs="Arial"/>
                <w:sz w:val="20"/>
                <w:szCs w:val="20"/>
              </w:rPr>
            </w:pPr>
            <w:r w:rsidRPr="003F4672">
              <w:rPr>
                <w:rFonts w:ascii="Arial" w:hAnsi="Arial" w:cs="Arial"/>
                <w:sz w:val="20"/>
                <w:szCs w:val="20"/>
              </w:rPr>
              <w:t>MHI42D</w:t>
            </w:r>
          </w:p>
        </w:tc>
        <w:tc>
          <w:tcPr>
            <w:tcW w:w="830" w:type="pct"/>
            <w:tcBorders>
              <w:top w:val="single" w:sz="4" w:space="0" w:color="auto"/>
              <w:left w:val="single" w:sz="4" w:space="0" w:color="auto"/>
              <w:bottom w:val="single" w:sz="4" w:space="0" w:color="auto"/>
              <w:right w:val="single" w:sz="4" w:space="0" w:color="auto"/>
            </w:tcBorders>
          </w:tcPr>
          <w:p w:rsidR="00847E99" w:rsidRPr="003F4672" w:rsidRDefault="00847E99" w:rsidP="001C2E67">
            <w:pPr>
              <w:spacing w:before="120" w:after="120"/>
              <w:rPr>
                <w:rFonts w:ascii="Arial" w:hAnsi="Arial" w:cs="Arial"/>
                <w:sz w:val="20"/>
                <w:szCs w:val="20"/>
              </w:rPr>
            </w:pPr>
            <w:r w:rsidRPr="003F4672">
              <w:rPr>
                <w:rFonts w:ascii="Arial" w:hAnsi="Arial" w:cs="Arial"/>
                <w:sz w:val="20"/>
                <w:szCs w:val="20"/>
              </w:rPr>
              <w:t>Infant, child, adolescent and youth crisis respite - Non-clinical staff</w:t>
            </w:r>
          </w:p>
        </w:tc>
        <w:tc>
          <w:tcPr>
            <w:tcW w:w="3019" w:type="pct"/>
            <w:tcBorders>
              <w:top w:val="single" w:sz="4" w:space="0" w:color="auto"/>
              <w:left w:val="single" w:sz="4" w:space="0" w:color="auto"/>
              <w:bottom w:val="single" w:sz="4" w:space="0" w:color="auto"/>
              <w:right w:val="single" w:sz="4" w:space="0" w:color="auto"/>
            </w:tcBorders>
          </w:tcPr>
          <w:p w:rsidR="00847E99" w:rsidRPr="003F4672" w:rsidRDefault="00847E99" w:rsidP="00922F9C">
            <w:pPr>
              <w:rPr>
                <w:rFonts w:ascii="Arial" w:hAnsi="Arial" w:cs="Arial"/>
                <w:sz w:val="20"/>
                <w:szCs w:val="20"/>
              </w:rPr>
            </w:pPr>
            <w:r w:rsidRPr="003F4672">
              <w:rPr>
                <w:rFonts w:ascii="Arial" w:hAnsi="Arial" w:cs="Arial"/>
                <w:color w:val="000000"/>
                <w:sz w:val="20"/>
                <w:szCs w:val="20"/>
              </w:rPr>
              <w:t>A home-based crisis respite service with accommodation for infants, children adolescents and youth who would otherwise require admission to acute inpatient mental health services. The crisis respite option aims to provide a place of safety for the patient and their family/</w:t>
            </w:r>
            <w:proofErr w:type="spellStart"/>
            <w:r w:rsidRPr="003F4672">
              <w:rPr>
                <w:rFonts w:ascii="Arial" w:hAnsi="Arial" w:cs="Arial"/>
                <w:color w:val="000000"/>
                <w:sz w:val="20"/>
                <w:szCs w:val="20"/>
              </w:rPr>
              <w:t>whanau</w:t>
            </w:r>
            <w:proofErr w:type="spellEnd"/>
            <w:r w:rsidRPr="003F4672">
              <w:rPr>
                <w:rFonts w:ascii="Arial" w:hAnsi="Arial" w:cs="Arial"/>
                <w:color w:val="000000"/>
                <w:sz w:val="20"/>
                <w:szCs w:val="20"/>
              </w:rPr>
              <w:t>, provide stability and achieve crisis resolution. The service to be delivered by non-clinical support staff regulated by health or social professional body.</w:t>
            </w:r>
          </w:p>
        </w:tc>
        <w:tc>
          <w:tcPr>
            <w:tcW w:w="585" w:type="pct"/>
            <w:tcBorders>
              <w:top w:val="single" w:sz="4" w:space="0" w:color="auto"/>
              <w:left w:val="single" w:sz="4" w:space="0" w:color="auto"/>
              <w:bottom w:val="single" w:sz="4" w:space="0" w:color="auto"/>
              <w:right w:val="single" w:sz="4" w:space="0" w:color="auto"/>
            </w:tcBorders>
          </w:tcPr>
          <w:p w:rsidR="00847E99" w:rsidRPr="003F4672" w:rsidRDefault="00847E99" w:rsidP="001C2E67">
            <w:pPr>
              <w:spacing w:before="120" w:after="120"/>
              <w:rPr>
                <w:rFonts w:ascii="Arial" w:hAnsi="Arial" w:cs="Arial"/>
                <w:sz w:val="20"/>
                <w:szCs w:val="20"/>
              </w:rPr>
            </w:pPr>
            <w:r w:rsidRPr="003F4672">
              <w:rPr>
                <w:rFonts w:ascii="Arial" w:hAnsi="Arial" w:cs="Arial"/>
                <w:sz w:val="20"/>
                <w:szCs w:val="20"/>
              </w:rPr>
              <w:t>FTE</w:t>
            </w:r>
          </w:p>
        </w:tc>
      </w:tr>
      <w:tr w:rsidR="00847E99" w:rsidRPr="003F4672" w:rsidTr="00847E99">
        <w:trPr>
          <w:cantSplit/>
        </w:trPr>
        <w:tc>
          <w:tcPr>
            <w:tcW w:w="566" w:type="pct"/>
            <w:tcBorders>
              <w:top w:val="single" w:sz="4" w:space="0" w:color="auto"/>
              <w:left w:val="single" w:sz="4" w:space="0" w:color="auto"/>
              <w:bottom w:val="single" w:sz="4" w:space="0" w:color="auto"/>
              <w:right w:val="single" w:sz="4" w:space="0" w:color="auto"/>
            </w:tcBorders>
          </w:tcPr>
          <w:p w:rsidR="00847E99" w:rsidRPr="003F4672" w:rsidRDefault="00847E99" w:rsidP="001C2E67">
            <w:pPr>
              <w:spacing w:before="120" w:after="120"/>
              <w:rPr>
                <w:rFonts w:ascii="Arial" w:hAnsi="Arial" w:cs="Arial"/>
                <w:sz w:val="20"/>
                <w:szCs w:val="20"/>
              </w:rPr>
            </w:pPr>
            <w:r w:rsidRPr="003F4672">
              <w:rPr>
                <w:rFonts w:ascii="Arial" w:hAnsi="Arial" w:cs="Arial"/>
                <w:sz w:val="20"/>
                <w:szCs w:val="20"/>
              </w:rPr>
              <w:t>MHI42E</w:t>
            </w:r>
          </w:p>
        </w:tc>
        <w:tc>
          <w:tcPr>
            <w:tcW w:w="830" w:type="pct"/>
            <w:tcBorders>
              <w:top w:val="single" w:sz="4" w:space="0" w:color="auto"/>
              <w:left w:val="single" w:sz="4" w:space="0" w:color="auto"/>
              <w:bottom w:val="single" w:sz="4" w:space="0" w:color="auto"/>
              <w:right w:val="single" w:sz="4" w:space="0" w:color="auto"/>
            </w:tcBorders>
          </w:tcPr>
          <w:p w:rsidR="00847E99" w:rsidRPr="003F4672" w:rsidRDefault="00847E99" w:rsidP="001C2E67">
            <w:pPr>
              <w:spacing w:before="120" w:after="120"/>
              <w:rPr>
                <w:rFonts w:ascii="Arial" w:hAnsi="Arial" w:cs="Arial"/>
                <w:sz w:val="20"/>
                <w:szCs w:val="20"/>
              </w:rPr>
            </w:pPr>
            <w:r w:rsidRPr="003F4672">
              <w:rPr>
                <w:rFonts w:ascii="Arial" w:hAnsi="Arial" w:cs="Arial"/>
                <w:sz w:val="20"/>
                <w:szCs w:val="20"/>
              </w:rPr>
              <w:t>Infant, child, adolescent and youth crisis respite - Cultural staff</w:t>
            </w:r>
          </w:p>
        </w:tc>
        <w:tc>
          <w:tcPr>
            <w:tcW w:w="3019" w:type="pct"/>
            <w:tcBorders>
              <w:top w:val="single" w:sz="4" w:space="0" w:color="auto"/>
              <w:left w:val="single" w:sz="4" w:space="0" w:color="auto"/>
              <w:bottom w:val="single" w:sz="4" w:space="0" w:color="auto"/>
              <w:right w:val="single" w:sz="4" w:space="0" w:color="auto"/>
            </w:tcBorders>
          </w:tcPr>
          <w:p w:rsidR="00847E99" w:rsidRPr="003F4672" w:rsidRDefault="00847E99" w:rsidP="00677B1E">
            <w:pPr>
              <w:rPr>
                <w:rFonts w:ascii="Arial" w:hAnsi="Arial" w:cs="Arial"/>
                <w:sz w:val="20"/>
                <w:szCs w:val="20"/>
              </w:rPr>
            </w:pPr>
            <w:r w:rsidRPr="003F4672">
              <w:rPr>
                <w:rFonts w:ascii="Arial" w:hAnsi="Arial" w:cs="Arial"/>
                <w:color w:val="000000"/>
                <w:sz w:val="20"/>
                <w:szCs w:val="20"/>
              </w:rPr>
              <w:t>A home-based crisis respite service with accommodation for infants, children adolescents and youth who would otherwise require admission to acute inpatient mental health services. The crisis respite option aims to provide a place of safety for the patient and their family/</w:t>
            </w:r>
            <w:proofErr w:type="spellStart"/>
            <w:r w:rsidRPr="003F4672">
              <w:rPr>
                <w:rFonts w:ascii="Arial" w:hAnsi="Arial" w:cs="Arial"/>
                <w:color w:val="000000"/>
                <w:sz w:val="20"/>
                <w:szCs w:val="20"/>
              </w:rPr>
              <w:t>whanau</w:t>
            </w:r>
            <w:proofErr w:type="spellEnd"/>
            <w:r w:rsidRPr="003F4672">
              <w:rPr>
                <w:rFonts w:ascii="Arial" w:hAnsi="Arial" w:cs="Arial"/>
                <w:color w:val="000000"/>
                <w:sz w:val="20"/>
                <w:szCs w:val="20"/>
              </w:rPr>
              <w:t>, provide stability and achieve crisis resolution. The service to be delivered by cultural support staff regulated by health or social professional body within the appropriate cultural setting.</w:t>
            </w:r>
          </w:p>
        </w:tc>
        <w:tc>
          <w:tcPr>
            <w:tcW w:w="585" w:type="pct"/>
            <w:tcBorders>
              <w:top w:val="single" w:sz="4" w:space="0" w:color="auto"/>
              <w:left w:val="single" w:sz="4" w:space="0" w:color="auto"/>
              <w:bottom w:val="single" w:sz="4" w:space="0" w:color="auto"/>
              <w:right w:val="single" w:sz="4" w:space="0" w:color="auto"/>
            </w:tcBorders>
          </w:tcPr>
          <w:p w:rsidR="00847E99" w:rsidRPr="003F4672" w:rsidRDefault="00847E99" w:rsidP="001C2E67">
            <w:pPr>
              <w:spacing w:before="120" w:after="120"/>
              <w:rPr>
                <w:rFonts w:ascii="Arial" w:hAnsi="Arial" w:cs="Arial"/>
                <w:sz w:val="20"/>
                <w:szCs w:val="20"/>
              </w:rPr>
            </w:pPr>
            <w:r w:rsidRPr="003F4672">
              <w:rPr>
                <w:rFonts w:ascii="Arial" w:hAnsi="Arial" w:cs="Arial"/>
                <w:sz w:val="20"/>
                <w:szCs w:val="20"/>
              </w:rPr>
              <w:t>FTE</w:t>
            </w:r>
          </w:p>
        </w:tc>
      </w:tr>
      <w:tr w:rsidR="00847E99" w:rsidRPr="003F4672" w:rsidTr="00847E99">
        <w:trPr>
          <w:cantSplit/>
        </w:trPr>
        <w:tc>
          <w:tcPr>
            <w:tcW w:w="566" w:type="pct"/>
            <w:tcBorders>
              <w:top w:val="single" w:sz="4" w:space="0" w:color="auto"/>
              <w:left w:val="single" w:sz="4" w:space="0" w:color="auto"/>
              <w:bottom w:val="single" w:sz="4" w:space="0" w:color="auto"/>
              <w:right w:val="single" w:sz="4" w:space="0" w:color="auto"/>
            </w:tcBorders>
          </w:tcPr>
          <w:p w:rsidR="00847E99" w:rsidRPr="003F4672" w:rsidRDefault="00847E99" w:rsidP="001C2E67">
            <w:pPr>
              <w:spacing w:before="120" w:after="120"/>
              <w:rPr>
                <w:rFonts w:ascii="Arial" w:hAnsi="Arial" w:cs="Arial"/>
                <w:sz w:val="20"/>
                <w:szCs w:val="20"/>
              </w:rPr>
            </w:pPr>
            <w:r w:rsidRPr="003F4672">
              <w:rPr>
                <w:rFonts w:ascii="Arial" w:hAnsi="Arial" w:cs="Arial"/>
                <w:sz w:val="20"/>
                <w:szCs w:val="20"/>
              </w:rPr>
              <w:t>MHI42F</w:t>
            </w:r>
          </w:p>
        </w:tc>
        <w:tc>
          <w:tcPr>
            <w:tcW w:w="830" w:type="pct"/>
            <w:tcBorders>
              <w:top w:val="single" w:sz="4" w:space="0" w:color="auto"/>
              <w:left w:val="single" w:sz="4" w:space="0" w:color="auto"/>
              <w:bottom w:val="single" w:sz="4" w:space="0" w:color="auto"/>
              <w:right w:val="single" w:sz="4" w:space="0" w:color="auto"/>
            </w:tcBorders>
          </w:tcPr>
          <w:p w:rsidR="00847E99" w:rsidRPr="003F4672" w:rsidRDefault="00847E99" w:rsidP="001C2E67">
            <w:pPr>
              <w:spacing w:before="120" w:after="120"/>
              <w:rPr>
                <w:rFonts w:ascii="Arial" w:hAnsi="Arial" w:cs="Arial"/>
                <w:sz w:val="20"/>
                <w:szCs w:val="20"/>
              </w:rPr>
            </w:pPr>
            <w:r w:rsidRPr="003F4672">
              <w:rPr>
                <w:rFonts w:ascii="Arial" w:hAnsi="Arial" w:cs="Arial"/>
                <w:sz w:val="20"/>
                <w:szCs w:val="20"/>
              </w:rPr>
              <w:t>Infant, child, adolescent and youth crisis respite - Peer support staff</w:t>
            </w:r>
          </w:p>
        </w:tc>
        <w:tc>
          <w:tcPr>
            <w:tcW w:w="3019" w:type="pct"/>
            <w:tcBorders>
              <w:top w:val="single" w:sz="4" w:space="0" w:color="auto"/>
              <w:left w:val="single" w:sz="4" w:space="0" w:color="auto"/>
              <w:bottom w:val="single" w:sz="4" w:space="0" w:color="auto"/>
              <w:right w:val="single" w:sz="4" w:space="0" w:color="auto"/>
            </w:tcBorders>
          </w:tcPr>
          <w:p w:rsidR="00847E99" w:rsidRPr="003F4672" w:rsidRDefault="00847E99" w:rsidP="00677B1E">
            <w:pPr>
              <w:rPr>
                <w:rFonts w:ascii="Arial" w:hAnsi="Arial" w:cs="Arial"/>
                <w:sz w:val="20"/>
                <w:szCs w:val="20"/>
              </w:rPr>
            </w:pPr>
            <w:r w:rsidRPr="003F4672">
              <w:rPr>
                <w:rFonts w:ascii="Arial" w:hAnsi="Arial" w:cs="Arial"/>
                <w:color w:val="000000"/>
                <w:sz w:val="20"/>
                <w:szCs w:val="20"/>
              </w:rPr>
              <w:t>A home-based crisis respite service with accommodation for infants, children adolescents and youth who would otherwise require admission to acute inpatient mental health services. The crisis respite option aims to provide a place of safety for the patient and their family/</w:t>
            </w:r>
            <w:proofErr w:type="spellStart"/>
            <w:r w:rsidRPr="003F4672">
              <w:rPr>
                <w:rFonts w:ascii="Arial" w:hAnsi="Arial" w:cs="Arial"/>
                <w:color w:val="000000"/>
                <w:sz w:val="20"/>
                <w:szCs w:val="20"/>
              </w:rPr>
              <w:t>whanau</w:t>
            </w:r>
            <w:proofErr w:type="spellEnd"/>
            <w:r w:rsidRPr="003F4672">
              <w:rPr>
                <w:rFonts w:ascii="Arial" w:hAnsi="Arial" w:cs="Arial"/>
                <w:color w:val="000000"/>
                <w:sz w:val="20"/>
                <w:szCs w:val="20"/>
              </w:rPr>
              <w:t>, provide stability and achieve crisis resolution. The service to be delivered by peer support groups regulated by health or social professional body.</w:t>
            </w:r>
          </w:p>
        </w:tc>
        <w:tc>
          <w:tcPr>
            <w:tcW w:w="585" w:type="pct"/>
            <w:tcBorders>
              <w:top w:val="single" w:sz="4" w:space="0" w:color="auto"/>
              <w:left w:val="single" w:sz="4" w:space="0" w:color="auto"/>
              <w:bottom w:val="single" w:sz="4" w:space="0" w:color="auto"/>
              <w:right w:val="single" w:sz="4" w:space="0" w:color="auto"/>
            </w:tcBorders>
          </w:tcPr>
          <w:p w:rsidR="00847E99" w:rsidRPr="003F4672" w:rsidRDefault="00847E99" w:rsidP="001C2E67">
            <w:pPr>
              <w:spacing w:before="120" w:after="120"/>
              <w:rPr>
                <w:rFonts w:ascii="Arial" w:hAnsi="Arial" w:cs="Arial"/>
                <w:sz w:val="20"/>
                <w:szCs w:val="20"/>
              </w:rPr>
            </w:pPr>
            <w:r w:rsidRPr="003F4672">
              <w:rPr>
                <w:rFonts w:ascii="Arial" w:hAnsi="Arial" w:cs="Arial"/>
                <w:sz w:val="20"/>
                <w:szCs w:val="20"/>
              </w:rPr>
              <w:t>FTE</w:t>
            </w:r>
          </w:p>
        </w:tc>
      </w:tr>
    </w:tbl>
    <w:p w:rsidR="00677B1E" w:rsidRPr="003F4672" w:rsidRDefault="00677B1E">
      <w:pPr>
        <w:rPr>
          <w:rFonts w:ascii="Arial" w:hAnsi="Arial" w:cs="Arial"/>
          <w:b/>
        </w:rPr>
      </w:pPr>
    </w:p>
    <w:tbl>
      <w:tblPr>
        <w:tblStyle w:val="TableGrid"/>
        <w:tblW w:w="0" w:type="auto"/>
        <w:tblLook w:val="04A0" w:firstRow="1" w:lastRow="0" w:firstColumn="1" w:lastColumn="0" w:noHBand="0" w:noVBand="1"/>
      </w:tblPr>
      <w:tblGrid>
        <w:gridCol w:w="1980"/>
        <w:gridCol w:w="7648"/>
      </w:tblGrid>
      <w:tr w:rsidR="00847E99" w:rsidRPr="00D40348" w:rsidTr="00CC03BA">
        <w:tc>
          <w:tcPr>
            <w:tcW w:w="1980" w:type="dxa"/>
            <w:shd w:val="clear" w:color="auto" w:fill="D9D9D9" w:themeFill="background1" w:themeFillShade="D9"/>
          </w:tcPr>
          <w:p w:rsidR="00847E99" w:rsidRPr="00CC03BA" w:rsidRDefault="00847E99" w:rsidP="00F16D5C">
            <w:pPr>
              <w:spacing w:before="120"/>
              <w:rPr>
                <w:rFonts w:ascii="Arial" w:hAnsi="Arial" w:cs="Arial"/>
                <w:b/>
                <w:sz w:val="20"/>
                <w:szCs w:val="20"/>
                <w:lang w:val="en-GB" w:eastAsia="en-GB"/>
              </w:rPr>
            </w:pPr>
            <w:bookmarkStart w:id="10" w:name="_GoBack"/>
            <w:bookmarkEnd w:id="10"/>
            <w:r w:rsidRPr="00CC03BA">
              <w:rPr>
                <w:rFonts w:ascii="Arial" w:hAnsi="Arial" w:cs="Arial"/>
                <w:b/>
                <w:sz w:val="20"/>
                <w:szCs w:val="20"/>
                <w:lang w:val="en-GB" w:eastAsia="en-GB"/>
              </w:rPr>
              <w:t>Unit of Measure</w:t>
            </w:r>
          </w:p>
        </w:tc>
        <w:tc>
          <w:tcPr>
            <w:tcW w:w="7648" w:type="dxa"/>
            <w:shd w:val="clear" w:color="auto" w:fill="D9D9D9" w:themeFill="background1" w:themeFillShade="D9"/>
          </w:tcPr>
          <w:p w:rsidR="00847E99" w:rsidRPr="00CC03BA" w:rsidRDefault="00847E99" w:rsidP="00F16D5C">
            <w:pPr>
              <w:spacing w:before="120"/>
              <w:rPr>
                <w:rFonts w:ascii="Arial" w:hAnsi="Arial" w:cs="Arial"/>
                <w:b/>
                <w:sz w:val="20"/>
                <w:szCs w:val="20"/>
                <w:lang w:val="en-GB" w:eastAsia="en-GB"/>
              </w:rPr>
            </w:pPr>
            <w:r w:rsidRPr="00CC03BA">
              <w:rPr>
                <w:rFonts w:ascii="Arial" w:hAnsi="Arial" w:cs="Arial"/>
                <w:b/>
                <w:sz w:val="20"/>
                <w:szCs w:val="20"/>
                <w:lang w:val="en-GB" w:eastAsia="en-GB"/>
              </w:rPr>
              <w:t>Unit of Measure Definition</w:t>
            </w:r>
          </w:p>
        </w:tc>
      </w:tr>
      <w:tr w:rsidR="00847E99" w:rsidRPr="00485D19" w:rsidTr="00F974DE">
        <w:tc>
          <w:tcPr>
            <w:tcW w:w="1980" w:type="dxa"/>
          </w:tcPr>
          <w:p w:rsidR="00847E99" w:rsidRPr="00485D19" w:rsidRDefault="00847E99" w:rsidP="00F16D5C">
            <w:pPr>
              <w:spacing w:before="120"/>
              <w:jc w:val="both"/>
              <w:rPr>
                <w:rFonts w:ascii="Arial" w:hAnsi="Arial" w:cs="Arial"/>
                <w:sz w:val="20"/>
                <w:szCs w:val="20"/>
                <w:lang w:val="en-GB" w:eastAsia="en-GB"/>
              </w:rPr>
            </w:pPr>
            <w:r w:rsidRPr="00485D19">
              <w:rPr>
                <w:rFonts w:ascii="Arial" w:hAnsi="Arial" w:cs="Arial"/>
                <w:sz w:val="20"/>
                <w:szCs w:val="20"/>
                <w:lang w:val="en-GB" w:eastAsia="en-GB"/>
              </w:rPr>
              <w:t>FTE</w:t>
            </w:r>
          </w:p>
        </w:tc>
        <w:tc>
          <w:tcPr>
            <w:tcW w:w="7648" w:type="dxa"/>
          </w:tcPr>
          <w:p w:rsidR="00847E99" w:rsidRPr="00485D19" w:rsidRDefault="00847E99" w:rsidP="00F16D5C">
            <w:pPr>
              <w:spacing w:before="120"/>
              <w:jc w:val="both"/>
              <w:rPr>
                <w:rFonts w:ascii="Arial" w:hAnsi="Arial" w:cs="Arial"/>
                <w:sz w:val="20"/>
                <w:szCs w:val="20"/>
                <w:lang w:val="en-GB" w:eastAsia="en-GB"/>
              </w:rPr>
            </w:pPr>
            <w:r w:rsidRPr="00485D19">
              <w:rPr>
                <w:rFonts w:ascii="Arial" w:hAnsi="Arial" w:cs="Arial"/>
                <w:sz w:val="20"/>
                <w:szCs w:val="20"/>
                <w:lang w:val="en-GB" w:eastAsia="en-GB"/>
              </w:rPr>
              <w:t>Full-time equivalent staff member (clinical or non-clinical) involved in direct delivery of services to consumers.  Exclude time that is formally devoted to administrative or management functions e.g. half-time coordination of a community team.</w:t>
            </w:r>
          </w:p>
        </w:tc>
      </w:tr>
      <w:tr w:rsidR="00847E99" w:rsidRPr="00485D19" w:rsidTr="00F974DE">
        <w:tc>
          <w:tcPr>
            <w:tcW w:w="1980" w:type="dxa"/>
            <w:tcBorders>
              <w:top w:val="single" w:sz="4" w:space="0" w:color="auto"/>
              <w:left w:val="single" w:sz="4" w:space="0" w:color="auto"/>
              <w:bottom w:val="single" w:sz="4" w:space="0" w:color="auto"/>
              <w:right w:val="single" w:sz="4" w:space="0" w:color="auto"/>
            </w:tcBorders>
          </w:tcPr>
          <w:p w:rsidR="00847E99" w:rsidRPr="00485D19" w:rsidRDefault="00847E99" w:rsidP="00847E99">
            <w:pPr>
              <w:spacing w:before="120"/>
              <w:jc w:val="both"/>
              <w:rPr>
                <w:rFonts w:ascii="Arial" w:hAnsi="Arial" w:cs="Arial"/>
                <w:sz w:val="20"/>
                <w:szCs w:val="20"/>
                <w:lang w:val="en-GB" w:eastAsia="en-GB"/>
              </w:rPr>
            </w:pPr>
            <w:r w:rsidRPr="003F4672">
              <w:rPr>
                <w:rFonts w:ascii="Arial" w:hAnsi="Arial" w:cs="Arial"/>
                <w:sz w:val="20"/>
                <w:szCs w:val="20"/>
              </w:rPr>
              <w:t>Occupied bed day</w:t>
            </w:r>
          </w:p>
        </w:tc>
        <w:tc>
          <w:tcPr>
            <w:tcW w:w="7648" w:type="dxa"/>
            <w:tcBorders>
              <w:top w:val="single" w:sz="4" w:space="0" w:color="auto"/>
              <w:left w:val="single" w:sz="4" w:space="0" w:color="auto"/>
              <w:bottom w:val="single" w:sz="4" w:space="0" w:color="auto"/>
              <w:right w:val="single" w:sz="4" w:space="0" w:color="auto"/>
            </w:tcBorders>
          </w:tcPr>
          <w:p w:rsidR="00847E99" w:rsidRPr="00485D19" w:rsidRDefault="00847E99" w:rsidP="00847E99">
            <w:pPr>
              <w:spacing w:before="120"/>
              <w:jc w:val="both"/>
              <w:rPr>
                <w:rFonts w:ascii="Arial" w:hAnsi="Arial" w:cs="Arial"/>
                <w:sz w:val="20"/>
                <w:szCs w:val="20"/>
                <w:lang w:val="en-GB" w:eastAsia="en-GB"/>
              </w:rPr>
            </w:pPr>
            <w:r w:rsidRPr="003F4672">
              <w:rPr>
                <w:rFonts w:ascii="Arial" w:hAnsi="Arial" w:cs="Arial"/>
                <w:sz w:val="20"/>
                <w:szCs w:val="20"/>
              </w:rPr>
              <w:t>Total number of beds that are occupied each day over a designated period.  For reporting purposes, count beds occupied as at 12 midnight of each day. Leave days, when the bed is not occupied at midnight are not counted. Counting formula is discharge date less admission date less leave days.</w:t>
            </w:r>
          </w:p>
        </w:tc>
      </w:tr>
      <w:tr w:rsidR="00847E99" w:rsidRPr="00485D19" w:rsidTr="00F974DE">
        <w:tc>
          <w:tcPr>
            <w:tcW w:w="1980" w:type="dxa"/>
          </w:tcPr>
          <w:p w:rsidR="00847E99" w:rsidRPr="00485D19" w:rsidRDefault="00847E99" w:rsidP="00847E99">
            <w:pPr>
              <w:spacing w:before="120"/>
              <w:jc w:val="both"/>
              <w:rPr>
                <w:rFonts w:ascii="Arial" w:hAnsi="Arial" w:cs="Arial"/>
                <w:sz w:val="20"/>
                <w:szCs w:val="20"/>
                <w:lang w:val="en-GB" w:eastAsia="en-GB"/>
              </w:rPr>
            </w:pPr>
            <w:r w:rsidRPr="00485D19">
              <w:rPr>
                <w:rFonts w:ascii="Arial" w:hAnsi="Arial" w:cs="Arial"/>
                <w:sz w:val="20"/>
                <w:szCs w:val="20"/>
                <w:lang w:val="en-GB" w:eastAsia="en-GB"/>
              </w:rPr>
              <w:t>Service</w:t>
            </w:r>
          </w:p>
        </w:tc>
        <w:tc>
          <w:tcPr>
            <w:tcW w:w="7648" w:type="dxa"/>
          </w:tcPr>
          <w:p w:rsidR="00847E99" w:rsidRPr="00485D19" w:rsidRDefault="00847E99" w:rsidP="00847E99">
            <w:pPr>
              <w:spacing w:before="120"/>
              <w:jc w:val="both"/>
              <w:rPr>
                <w:rFonts w:ascii="Arial" w:hAnsi="Arial" w:cs="Arial"/>
                <w:sz w:val="20"/>
                <w:szCs w:val="20"/>
                <w:lang w:val="en-GB" w:eastAsia="en-GB"/>
              </w:rPr>
            </w:pPr>
            <w:r w:rsidRPr="00485D19">
              <w:rPr>
                <w:rFonts w:ascii="Arial" w:hAnsi="Arial" w:cs="Arial"/>
                <w:sz w:val="20"/>
                <w:szCs w:val="20"/>
                <w:lang w:val="en-GB" w:eastAsia="en-GB"/>
              </w:rPr>
              <w:t>Service purchased in a block arrangement uniquely agreed between the parties to the agreement</w:t>
            </w:r>
          </w:p>
        </w:tc>
      </w:tr>
    </w:tbl>
    <w:p w:rsidR="00B60A39" w:rsidRPr="003F4672" w:rsidRDefault="00847E99" w:rsidP="00571DDE">
      <w:pPr>
        <w:spacing w:before="240"/>
        <w:rPr>
          <w:rFonts w:ascii="Arial" w:hAnsi="Arial" w:cs="Arial"/>
          <w:b/>
        </w:rPr>
      </w:pPr>
      <w:r>
        <w:rPr>
          <w:rFonts w:ascii="Arial" w:hAnsi="Arial" w:cs="Arial"/>
          <w:b/>
        </w:rPr>
        <w:t>7</w:t>
      </w:r>
      <w:r w:rsidR="00B60A39" w:rsidRPr="003F4672">
        <w:rPr>
          <w:rFonts w:ascii="Arial" w:hAnsi="Arial" w:cs="Arial"/>
          <w:b/>
        </w:rPr>
        <w:t>.2</w:t>
      </w:r>
      <w:r w:rsidR="00B60A39" w:rsidRPr="003F4672">
        <w:rPr>
          <w:rFonts w:ascii="Arial" w:hAnsi="Arial" w:cs="Arial"/>
          <w:b/>
        </w:rPr>
        <w:tab/>
        <w:t>Reporting</w:t>
      </w:r>
    </w:p>
    <w:p w:rsidR="00F974DE" w:rsidRPr="00F974DE" w:rsidRDefault="00F974DE" w:rsidP="00F974DE">
      <w:pPr>
        <w:spacing w:before="120"/>
        <w:rPr>
          <w:rFonts w:ascii="Arial" w:hAnsi="Arial" w:cs="Arial"/>
          <w:lang w:val="en-GB" w:eastAsia="en-GB"/>
        </w:rPr>
      </w:pPr>
      <w:r w:rsidRPr="00F974DE">
        <w:rPr>
          <w:rFonts w:ascii="Arial" w:hAnsi="Arial" w:cs="Arial"/>
          <w:lang w:val="en-GB" w:eastAsia="en-GB"/>
        </w:rPr>
        <w:t>The Provider must comply with the requirements of national data collections: PRIMHD.</w:t>
      </w:r>
    </w:p>
    <w:p w:rsidR="00F974DE" w:rsidRPr="00F974DE" w:rsidRDefault="00F974DE" w:rsidP="00F974DE">
      <w:pPr>
        <w:spacing w:before="120" w:after="120"/>
        <w:rPr>
          <w:rFonts w:ascii="Arial" w:hAnsi="Arial" w:cs="Arial"/>
          <w:lang w:val="en-GB" w:eastAsia="en-GB"/>
        </w:rPr>
      </w:pPr>
      <w:r w:rsidRPr="00F974DE">
        <w:rPr>
          <w:rFonts w:ascii="Arial" w:hAnsi="Arial" w:cs="Arial"/>
          <w:lang w:val="en-GB" w:eastAsia="en-GB"/>
        </w:rPr>
        <w:t xml:space="preserve">Additional information to be reported and the frequency of collection are specified by the Funder in the Provider Specific Terms and Conditions as agreed with the Service Provider. </w:t>
      </w:r>
    </w:p>
    <w:p w:rsidR="00CC03BA" w:rsidRDefault="00CC03BA">
      <w:pPr>
        <w:rPr>
          <w:rFonts w:ascii="Arial" w:hAnsi="Arial" w:cs="Arial"/>
          <w:lang w:val="en-GB" w:eastAsia="en-GB"/>
        </w:rPr>
      </w:pPr>
      <w:r>
        <w:rPr>
          <w:rFonts w:ascii="Arial" w:hAnsi="Arial" w:cs="Arial"/>
          <w:lang w:val="en-GB" w:eastAsia="en-GB"/>
        </w:rPr>
        <w:br w:type="page"/>
      </w:r>
    </w:p>
    <w:p w:rsidR="00F974DE" w:rsidRPr="00F974DE" w:rsidRDefault="00F974DE" w:rsidP="00F974DE">
      <w:pPr>
        <w:spacing w:before="120"/>
        <w:rPr>
          <w:rFonts w:ascii="Arial" w:hAnsi="Arial" w:cs="Arial"/>
          <w:lang w:val="en-GB" w:eastAsia="en-GB"/>
        </w:rPr>
      </w:pPr>
      <w:r w:rsidRPr="00F974DE">
        <w:rPr>
          <w:rFonts w:ascii="Arial" w:hAnsi="Arial" w:cs="Arial"/>
          <w:lang w:val="en-GB" w:eastAsia="en-GB"/>
        </w:rPr>
        <w:lastRenderedPageBreak/>
        <w:t>The information required by the Funder will be sent to:</w:t>
      </w:r>
    </w:p>
    <w:p w:rsidR="00F974DE" w:rsidRPr="00F974DE" w:rsidRDefault="00F974DE" w:rsidP="00F974DE">
      <w:pPr>
        <w:spacing w:before="120"/>
        <w:ind w:left="720"/>
        <w:rPr>
          <w:rFonts w:ascii="Arial" w:hAnsi="Arial"/>
          <w:szCs w:val="20"/>
          <w:lang w:val="en-GB" w:eastAsia="en-GB"/>
        </w:rPr>
      </w:pPr>
      <w:r w:rsidRPr="00F974DE">
        <w:rPr>
          <w:rFonts w:ascii="Arial" w:hAnsi="Arial"/>
          <w:szCs w:val="20"/>
          <w:lang w:val="en-GB" w:eastAsia="en-GB"/>
        </w:rPr>
        <w:t>Performance Reporting</w:t>
      </w:r>
    </w:p>
    <w:p w:rsidR="00F974DE" w:rsidRPr="00F974DE" w:rsidRDefault="00F974DE" w:rsidP="00F974DE">
      <w:pPr>
        <w:spacing w:before="120"/>
        <w:ind w:left="720"/>
        <w:rPr>
          <w:rFonts w:ascii="Arial" w:hAnsi="Arial"/>
          <w:szCs w:val="20"/>
          <w:lang w:val="en-GB" w:eastAsia="en-GB"/>
        </w:rPr>
      </w:pPr>
      <w:r w:rsidRPr="00F974DE">
        <w:rPr>
          <w:rFonts w:ascii="Arial" w:hAnsi="Arial"/>
          <w:szCs w:val="20"/>
          <w:lang w:val="en-GB" w:eastAsia="en-GB"/>
        </w:rPr>
        <w:t>Sector Operations</w:t>
      </w:r>
    </w:p>
    <w:p w:rsidR="00F974DE" w:rsidRPr="00F974DE" w:rsidRDefault="00F974DE" w:rsidP="00F974DE">
      <w:pPr>
        <w:spacing w:before="120"/>
        <w:ind w:left="720"/>
        <w:rPr>
          <w:rFonts w:ascii="Arial" w:hAnsi="Arial"/>
          <w:szCs w:val="20"/>
          <w:lang w:val="en-GB" w:eastAsia="en-GB"/>
        </w:rPr>
      </w:pPr>
      <w:r w:rsidRPr="00F974DE">
        <w:rPr>
          <w:rFonts w:ascii="Arial" w:hAnsi="Arial"/>
          <w:szCs w:val="20"/>
          <w:lang w:val="en-GB" w:eastAsia="en-GB"/>
        </w:rPr>
        <w:t>Ministry of Health</w:t>
      </w:r>
    </w:p>
    <w:p w:rsidR="00F974DE" w:rsidRPr="00F974DE" w:rsidRDefault="00F974DE" w:rsidP="00F974DE">
      <w:pPr>
        <w:spacing w:before="120"/>
        <w:ind w:left="720"/>
        <w:rPr>
          <w:rFonts w:ascii="Arial" w:hAnsi="Arial"/>
          <w:szCs w:val="20"/>
          <w:lang w:val="en-GB" w:eastAsia="en-GB"/>
        </w:rPr>
      </w:pPr>
      <w:r w:rsidRPr="00F974DE">
        <w:rPr>
          <w:rFonts w:ascii="Arial" w:hAnsi="Arial"/>
          <w:szCs w:val="20"/>
          <w:lang w:val="en-GB" w:eastAsia="en-GB"/>
        </w:rPr>
        <w:t>Private Bag 1942</w:t>
      </w:r>
    </w:p>
    <w:p w:rsidR="00F974DE" w:rsidRPr="00F974DE" w:rsidRDefault="00F974DE" w:rsidP="00F974DE">
      <w:pPr>
        <w:spacing w:before="120"/>
        <w:ind w:left="720"/>
        <w:rPr>
          <w:rFonts w:ascii="Arial" w:hAnsi="Arial"/>
          <w:szCs w:val="20"/>
          <w:lang w:val="en-GB" w:eastAsia="en-GB"/>
        </w:rPr>
      </w:pPr>
      <w:r w:rsidRPr="00F974DE">
        <w:rPr>
          <w:rFonts w:ascii="Arial" w:hAnsi="Arial"/>
          <w:szCs w:val="20"/>
          <w:lang w:val="en-GB" w:eastAsia="en-GB"/>
        </w:rPr>
        <w:t>Dunedin 9054</w:t>
      </w:r>
    </w:p>
    <w:p w:rsidR="00F974DE" w:rsidRPr="00F974DE" w:rsidRDefault="00F974DE" w:rsidP="00F974DE">
      <w:pPr>
        <w:spacing w:before="120"/>
        <w:rPr>
          <w:rFonts w:ascii="Arial" w:hAnsi="Arial" w:cs="Arial"/>
          <w:lang w:val="en-GB" w:eastAsia="en-GB"/>
        </w:rPr>
      </w:pPr>
      <w:r w:rsidRPr="00F974DE">
        <w:rPr>
          <w:rFonts w:ascii="Arial" w:hAnsi="Arial" w:cs="Arial"/>
          <w:lang w:val="en-GB" w:eastAsia="en-GB"/>
        </w:rPr>
        <w:t xml:space="preserve">Email </w:t>
      </w:r>
      <w:hyperlink r:id="rId10" w:history="1">
        <w:r w:rsidRPr="00F974DE">
          <w:rPr>
            <w:rFonts w:ascii="Arial" w:hAnsi="Arial" w:cs="Arial"/>
            <w:color w:val="0000FF"/>
            <w:u w:val="single"/>
            <w:lang w:val="en-GB" w:eastAsia="en-GB"/>
          </w:rPr>
          <w:t>performance_reporting@moh.govt.nz</w:t>
        </w:r>
      </w:hyperlink>
    </w:p>
    <w:p w:rsidR="00F974DE" w:rsidRPr="00F974DE" w:rsidRDefault="00F974DE" w:rsidP="00F974DE">
      <w:pPr>
        <w:spacing w:before="120" w:after="120"/>
        <w:rPr>
          <w:rFonts w:ascii="Arial" w:hAnsi="Arial"/>
          <w:sz w:val="22"/>
          <w:szCs w:val="20"/>
          <w:lang w:val="en-GB" w:eastAsia="en-GB"/>
        </w:rPr>
      </w:pPr>
      <w:r w:rsidRPr="00F974DE">
        <w:rPr>
          <w:rFonts w:ascii="Arial" w:hAnsi="Arial" w:cs="Arial"/>
          <w:color w:val="000000"/>
          <w:lang w:eastAsia="en-NZ"/>
        </w:rPr>
        <w:t xml:space="preserve">The Performance Monitoring </w:t>
      </w:r>
      <w:r w:rsidRPr="00F974DE">
        <w:rPr>
          <w:rFonts w:ascii="Arial" w:hAnsi="Arial" w:cs="Arial"/>
          <w:lang w:val="en-AU"/>
        </w:rPr>
        <w:t>Reporting tables for the Mental Health and Addiction Service Specifications</w:t>
      </w:r>
      <w:r w:rsidRPr="00F974DE">
        <w:rPr>
          <w:rFonts w:ascii="Arial" w:hAnsi="Arial" w:cs="Arial"/>
          <w:vertAlign w:val="superscript"/>
          <w:lang w:val="en-GB" w:eastAsia="en-GB"/>
        </w:rPr>
        <w:footnoteReference w:id="1"/>
      </w:r>
      <w:r w:rsidRPr="00F974DE">
        <w:rPr>
          <w:rFonts w:ascii="Arial" w:hAnsi="Arial" w:cs="Arial"/>
          <w:lang w:val="en-GB" w:eastAsia="en-GB"/>
        </w:rPr>
        <w:t xml:space="preserve"> may be used for performance monitoring if specified as agreed with the Funder.</w:t>
      </w:r>
    </w:p>
    <w:p w:rsidR="00B60A39" w:rsidRPr="003F4672" w:rsidRDefault="00B60A39" w:rsidP="00571DDE">
      <w:pPr>
        <w:spacing w:before="120"/>
        <w:jc w:val="both"/>
        <w:rPr>
          <w:rFonts w:ascii="Arial" w:hAnsi="Arial" w:cs="Arial"/>
        </w:rPr>
      </w:pPr>
    </w:p>
    <w:sectPr w:rsidR="00B60A39" w:rsidRPr="003F4672" w:rsidSect="00DC213C">
      <w:footerReference w:type="even" r:id="rId11"/>
      <w:footerReference w:type="default" r:id="rId12"/>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A98" w:rsidRDefault="00455A98">
      <w:r>
        <w:separator/>
      </w:r>
    </w:p>
  </w:endnote>
  <w:endnote w:type="continuationSeparator" w:id="0">
    <w:p w:rsidR="00455A98" w:rsidRDefault="0045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13C" w:rsidRDefault="00DC213C" w:rsidP="00DC21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213C" w:rsidRDefault="00DC213C" w:rsidP="00DC21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13C" w:rsidRPr="00B60A39" w:rsidRDefault="00DC213C" w:rsidP="00DC213C">
    <w:pPr>
      <w:pStyle w:val="Footer"/>
      <w:framePr w:wrap="around" w:vAnchor="text" w:hAnchor="margin" w:xAlign="right" w:y="1"/>
      <w:rPr>
        <w:rStyle w:val="PageNumber"/>
        <w:rFonts w:ascii="Arial" w:hAnsi="Arial" w:cs="Arial"/>
        <w:sz w:val="18"/>
        <w:szCs w:val="18"/>
      </w:rPr>
    </w:pPr>
    <w:r w:rsidRPr="00B60A39">
      <w:rPr>
        <w:rStyle w:val="PageNumber"/>
        <w:rFonts w:ascii="Arial" w:hAnsi="Arial" w:cs="Arial"/>
        <w:sz w:val="18"/>
        <w:szCs w:val="18"/>
      </w:rPr>
      <w:fldChar w:fldCharType="begin"/>
    </w:r>
    <w:r w:rsidRPr="00B60A39">
      <w:rPr>
        <w:rStyle w:val="PageNumber"/>
        <w:rFonts w:ascii="Arial" w:hAnsi="Arial" w:cs="Arial"/>
        <w:sz w:val="18"/>
        <w:szCs w:val="18"/>
      </w:rPr>
      <w:instrText xml:space="preserve">PAGE  </w:instrText>
    </w:r>
    <w:r w:rsidRPr="00B60A39">
      <w:rPr>
        <w:rStyle w:val="PageNumber"/>
        <w:rFonts w:ascii="Arial" w:hAnsi="Arial" w:cs="Arial"/>
        <w:sz w:val="18"/>
        <w:szCs w:val="18"/>
      </w:rPr>
      <w:fldChar w:fldCharType="separate"/>
    </w:r>
    <w:r w:rsidR="000D5502">
      <w:rPr>
        <w:rStyle w:val="PageNumber"/>
        <w:rFonts w:ascii="Arial" w:hAnsi="Arial" w:cs="Arial"/>
        <w:noProof/>
        <w:sz w:val="18"/>
        <w:szCs w:val="18"/>
      </w:rPr>
      <w:t>5</w:t>
    </w:r>
    <w:r w:rsidRPr="00B60A39">
      <w:rPr>
        <w:rStyle w:val="PageNumber"/>
        <w:rFonts w:ascii="Arial" w:hAnsi="Arial" w:cs="Arial"/>
        <w:sz w:val="18"/>
        <w:szCs w:val="18"/>
      </w:rPr>
      <w:fldChar w:fldCharType="end"/>
    </w:r>
  </w:p>
  <w:p w:rsidR="00DC213C" w:rsidRPr="003F4672" w:rsidRDefault="00DC213C" w:rsidP="00B60A39">
    <w:pPr>
      <w:pStyle w:val="Header"/>
      <w:pBdr>
        <w:top w:val="single" w:sz="4" w:space="1" w:color="auto"/>
      </w:pBdr>
      <w:tabs>
        <w:tab w:val="clear" w:pos="4153"/>
        <w:tab w:val="center" w:pos="7371"/>
      </w:tabs>
      <w:ind w:right="360"/>
      <w:rPr>
        <w:rFonts w:ascii="Arial" w:hAnsi="Arial" w:cs="Arial"/>
        <w:sz w:val="20"/>
        <w:szCs w:val="20"/>
      </w:rPr>
    </w:pPr>
    <w:r w:rsidRPr="003F4672">
      <w:rPr>
        <w:rFonts w:ascii="Arial" w:hAnsi="Arial" w:cs="Arial"/>
        <w:sz w:val="20"/>
        <w:szCs w:val="20"/>
      </w:rPr>
      <w:t xml:space="preserve">Mental Health Infant, Child, Adolescent and Youth Crisis Respite </w:t>
    </w:r>
    <w:r w:rsidR="002E431E" w:rsidRPr="003F4672">
      <w:rPr>
        <w:rFonts w:ascii="Arial" w:hAnsi="Arial" w:cs="Arial"/>
        <w:sz w:val="18"/>
      </w:rPr>
      <w:t>Intervention Mental H</w:t>
    </w:r>
    <w:r w:rsidR="00B60A39" w:rsidRPr="003F4672">
      <w:rPr>
        <w:rFonts w:ascii="Arial" w:hAnsi="Arial" w:cs="Arial"/>
        <w:sz w:val="18"/>
      </w:rPr>
      <w:t xml:space="preserve">ealth and Addiction Services </w:t>
    </w:r>
    <w:r w:rsidRPr="003F4672">
      <w:rPr>
        <w:rFonts w:ascii="Arial" w:hAnsi="Arial" w:cs="Arial"/>
        <w:sz w:val="20"/>
        <w:szCs w:val="20"/>
      </w:rPr>
      <w:t>Tier Three Service Specification</w:t>
    </w:r>
    <w:r w:rsidR="00934143">
      <w:rPr>
        <w:rFonts w:ascii="Arial" w:hAnsi="Arial" w:cs="Arial"/>
        <w:caps/>
        <w:sz w:val="20"/>
        <w:szCs w:val="20"/>
      </w:rPr>
      <w:t xml:space="preserve"> </w:t>
    </w:r>
    <w:r w:rsidR="00564CBA">
      <w:rPr>
        <w:rFonts w:ascii="Arial" w:hAnsi="Arial" w:cs="Arial"/>
        <w:sz w:val="20"/>
        <w:szCs w:val="20"/>
      </w:rPr>
      <w:t>April</w:t>
    </w:r>
    <w:r w:rsidR="00934143">
      <w:rPr>
        <w:rFonts w:ascii="Arial" w:hAnsi="Arial" w:cs="Arial"/>
        <w:caps/>
        <w:sz w:val="20"/>
        <w:szCs w:val="20"/>
      </w:rPr>
      <w:t xml:space="preserve"> 2017</w:t>
    </w:r>
    <w:r w:rsidRPr="003F4672">
      <w:rPr>
        <w:rFonts w:ascii="Arial" w:hAnsi="Arial" w:cs="Arial"/>
        <w:sz w:val="20"/>
        <w:szCs w:val="20"/>
      </w:rPr>
      <w:t xml:space="preserve"> </w:t>
    </w:r>
  </w:p>
  <w:p w:rsidR="00DC213C" w:rsidRPr="003F4672" w:rsidRDefault="00DC213C" w:rsidP="00B60A39">
    <w:pPr>
      <w:pStyle w:val="Header"/>
      <w:tabs>
        <w:tab w:val="clear" w:pos="4153"/>
        <w:tab w:val="center" w:pos="7371"/>
      </w:tabs>
      <w:ind w:right="360"/>
      <w:rPr>
        <w:rFonts w:ascii="Arial" w:hAnsi="Arial" w:cs="Arial"/>
      </w:rPr>
    </w:pPr>
    <w:r w:rsidRPr="003F4672">
      <w:rPr>
        <w:rFonts w:ascii="Arial" w:hAnsi="Arial" w:cs="Arial"/>
        <w:sz w:val="20"/>
        <w:szCs w:val="20"/>
      </w:rPr>
      <w:t>Nationwide Service Framework</w:t>
    </w:r>
    <w:r w:rsidRPr="003F4672">
      <w:rPr>
        <w:rFonts w:ascii="Arial" w:hAnsi="Arial" w:cs="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A98" w:rsidRDefault="00455A98">
      <w:r>
        <w:separator/>
      </w:r>
    </w:p>
  </w:footnote>
  <w:footnote w:type="continuationSeparator" w:id="0">
    <w:p w:rsidR="00455A98" w:rsidRDefault="00455A98">
      <w:r>
        <w:continuationSeparator/>
      </w:r>
    </w:p>
  </w:footnote>
  <w:footnote w:id="1">
    <w:p w:rsidR="00F974DE" w:rsidRPr="006F249C" w:rsidRDefault="00F974DE" w:rsidP="00F974DE">
      <w:pPr>
        <w:pStyle w:val="FootnoteText"/>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12B36"/>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
    <w:nsid w:val="5C1730FB"/>
    <w:multiLevelType w:val="hybridMultilevel"/>
    <w:tmpl w:val="8C6EF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133BC"/>
    <w:rsid w:val="00034E2E"/>
    <w:rsid w:val="00096231"/>
    <w:rsid w:val="000D5502"/>
    <w:rsid w:val="001C2E67"/>
    <w:rsid w:val="00237759"/>
    <w:rsid w:val="00296C2D"/>
    <w:rsid w:val="002E431E"/>
    <w:rsid w:val="002F29F5"/>
    <w:rsid w:val="003F4672"/>
    <w:rsid w:val="00444C6E"/>
    <w:rsid w:val="00455A98"/>
    <w:rsid w:val="00555942"/>
    <w:rsid w:val="00564CBA"/>
    <w:rsid w:val="00571DDE"/>
    <w:rsid w:val="00594F3E"/>
    <w:rsid w:val="00677B1E"/>
    <w:rsid w:val="006C72F6"/>
    <w:rsid w:val="006F523F"/>
    <w:rsid w:val="00700972"/>
    <w:rsid w:val="00715BA0"/>
    <w:rsid w:val="007E477E"/>
    <w:rsid w:val="00847E99"/>
    <w:rsid w:val="008E06F8"/>
    <w:rsid w:val="00922F9C"/>
    <w:rsid w:val="00934143"/>
    <w:rsid w:val="009C54F3"/>
    <w:rsid w:val="00A10055"/>
    <w:rsid w:val="00A44145"/>
    <w:rsid w:val="00A66222"/>
    <w:rsid w:val="00B0567A"/>
    <w:rsid w:val="00B305C6"/>
    <w:rsid w:val="00B52E67"/>
    <w:rsid w:val="00B60A39"/>
    <w:rsid w:val="00B93EFE"/>
    <w:rsid w:val="00C068CB"/>
    <w:rsid w:val="00C1321D"/>
    <w:rsid w:val="00CC03BA"/>
    <w:rsid w:val="00D55E51"/>
    <w:rsid w:val="00D62D40"/>
    <w:rsid w:val="00D719C6"/>
    <w:rsid w:val="00D83FF8"/>
    <w:rsid w:val="00D97AE8"/>
    <w:rsid w:val="00DC213C"/>
    <w:rsid w:val="00DD7677"/>
    <w:rsid w:val="00E169B7"/>
    <w:rsid w:val="00E728B0"/>
    <w:rsid w:val="00E97FE6"/>
    <w:rsid w:val="00EE2C64"/>
    <w:rsid w:val="00EE381E"/>
    <w:rsid w:val="00F156A0"/>
    <w:rsid w:val="00F47688"/>
    <w:rsid w:val="00F974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29721BEC-967B-42DC-936A-04F99004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E67"/>
    <w:rPr>
      <w:rFonts w:ascii="Arial Mäori" w:hAnsi="Arial Mäori"/>
      <w:sz w:val="24"/>
      <w:szCs w:val="24"/>
      <w:lang w:eastAsia="en-US"/>
    </w:rPr>
  </w:style>
  <w:style w:type="paragraph" w:styleId="Heading5">
    <w:name w:val="heading 5"/>
    <w:basedOn w:val="Normal"/>
    <w:next w:val="Normal"/>
    <w:qFormat/>
    <w:rsid w:val="001C2E67"/>
    <w:pPr>
      <w:keepNext/>
      <w:jc w:val="center"/>
      <w:outlineLvl w:val="4"/>
    </w:pPr>
    <w:rPr>
      <w:rFonts w:ascii="Arial" w:hAnsi="Arial" w:cs="Arial"/>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C2E67"/>
    <w:rPr>
      <w:rFonts w:ascii="Arial" w:hAnsi="Arial"/>
      <w:sz w:val="20"/>
      <w:szCs w:val="20"/>
      <w:lang w:val="en-AU"/>
    </w:rPr>
  </w:style>
  <w:style w:type="paragraph" w:styleId="CommentText">
    <w:name w:val="annotation text"/>
    <w:basedOn w:val="Normal"/>
    <w:semiHidden/>
    <w:rsid w:val="001C2E67"/>
    <w:rPr>
      <w:sz w:val="20"/>
      <w:szCs w:val="20"/>
    </w:rPr>
  </w:style>
  <w:style w:type="paragraph" w:styleId="Header">
    <w:name w:val="header"/>
    <w:basedOn w:val="Normal"/>
    <w:rsid w:val="00DC213C"/>
    <w:pPr>
      <w:tabs>
        <w:tab w:val="center" w:pos="4153"/>
        <w:tab w:val="right" w:pos="8306"/>
      </w:tabs>
    </w:pPr>
  </w:style>
  <w:style w:type="paragraph" w:styleId="Footer">
    <w:name w:val="footer"/>
    <w:basedOn w:val="Normal"/>
    <w:rsid w:val="00DC213C"/>
    <w:pPr>
      <w:tabs>
        <w:tab w:val="center" w:pos="4153"/>
        <w:tab w:val="right" w:pos="8306"/>
      </w:tabs>
    </w:pPr>
  </w:style>
  <w:style w:type="character" w:styleId="PageNumber">
    <w:name w:val="page number"/>
    <w:basedOn w:val="DefaultParagraphFont"/>
    <w:rsid w:val="00DC213C"/>
  </w:style>
  <w:style w:type="paragraph" w:customStyle="1" w:styleId="Char1CharChar">
    <w:name w:val="Char1 Char Char"/>
    <w:basedOn w:val="Normal"/>
    <w:rsid w:val="00DC213C"/>
    <w:pPr>
      <w:spacing w:after="160" w:line="240" w:lineRule="exact"/>
    </w:pPr>
    <w:rPr>
      <w:rFonts w:ascii="Arial" w:hAnsi="Arial"/>
      <w:sz w:val="20"/>
      <w:szCs w:val="20"/>
      <w:lang w:val="en-US"/>
    </w:rPr>
  </w:style>
  <w:style w:type="paragraph" w:styleId="BalloonText">
    <w:name w:val="Balloon Text"/>
    <w:basedOn w:val="Normal"/>
    <w:link w:val="BalloonTextChar"/>
    <w:uiPriority w:val="99"/>
    <w:semiHidden/>
    <w:unhideWhenUsed/>
    <w:rsid w:val="00B60A39"/>
    <w:rPr>
      <w:rFonts w:ascii="Tahoma" w:hAnsi="Tahoma" w:cs="Tahoma"/>
      <w:sz w:val="16"/>
      <w:szCs w:val="16"/>
    </w:rPr>
  </w:style>
  <w:style w:type="character" w:customStyle="1" w:styleId="BalloonTextChar">
    <w:name w:val="Balloon Text Char"/>
    <w:basedOn w:val="DefaultParagraphFont"/>
    <w:link w:val="BalloonText"/>
    <w:uiPriority w:val="99"/>
    <w:semiHidden/>
    <w:rsid w:val="00B60A39"/>
    <w:rPr>
      <w:rFonts w:ascii="Tahoma" w:hAnsi="Tahoma" w:cs="Tahoma"/>
      <w:sz w:val="16"/>
      <w:szCs w:val="16"/>
      <w:lang w:eastAsia="en-US"/>
    </w:rPr>
  </w:style>
  <w:style w:type="table" w:styleId="TableGrid">
    <w:name w:val="Table Grid"/>
    <w:basedOn w:val="TableNormal"/>
    <w:rsid w:val="00847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sid w:val="00847E99"/>
    <w:rPr>
      <w:rFonts w:ascii="Arial" w:hAnsi="Arial"/>
      <w:lang w:val="en-AU" w:eastAsia="en-US"/>
    </w:rPr>
  </w:style>
  <w:style w:type="character" w:styleId="FootnoteReference">
    <w:name w:val="footnote reference"/>
    <w:basedOn w:val="DefaultParagraphFont"/>
    <w:uiPriority w:val="99"/>
    <w:unhideWhenUsed/>
    <w:rsid w:val="00847E99"/>
    <w:rPr>
      <w:vertAlign w:val="superscript"/>
    </w:rPr>
  </w:style>
  <w:style w:type="character" w:styleId="Hyperlink">
    <w:name w:val="Hyperlink"/>
    <w:basedOn w:val="DefaultParagraphFont"/>
    <w:uiPriority w:val="99"/>
    <w:semiHidden/>
    <w:unhideWhenUsed/>
    <w:rsid w:val="00C068CB"/>
    <w:rPr>
      <w:color w:val="0000FF" w:themeColor="hyperlink"/>
      <w:u w:val="single"/>
    </w:rPr>
  </w:style>
  <w:style w:type="paragraph" w:styleId="Revision">
    <w:name w:val="Revision"/>
    <w:hidden/>
    <w:uiPriority w:val="99"/>
    <w:semiHidden/>
    <w:rsid w:val="00C068CB"/>
    <w:rPr>
      <w:rFonts w:ascii="Arial Mäori" w:hAnsi="Arial Mäo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546152">
      <w:bodyDiv w:val="1"/>
      <w:marLeft w:val="0"/>
      <w:marRight w:val="0"/>
      <w:marTop w:val="0"/>
      <w:marBottom w:val="0"/>
      <w:divBdr>
        <w:top w:val="none" w:sz="0" w:space="0" w:color="auto"/>
        <w:left w:val="none" w:sz="0" w:space="0" w:color="auto"/>
        <w:bottom w:val="none" w:sz="0" w:space="0" w:color="auto"/>
        <w:right w:val="none" w:sz="0" w:space="0" w:color="auto"/>
      </w:divBdr>
    </w:div>
    <w:div w:id="1526208746">
      <w:bodyDiv w:val="1"/>
      <w:marLeft w:val="0"/>
      <w:marRight w:val="0"/>
      <w:marTop w:val="0"/>
      <w:marBottom w:val="0"/>
      <w:divBdr>
        <w:top w:val="none" w:sz="0" w:space="0" w:color="auto"/>
        <w:left w:val="none" w:sz="0" w:space="0" w:color="auto"/>
        <w:bottom w:val="none" w:sz="0" w:space="0" w:color="auto"/>
        <w:right w:val="none" w:sz="0" w:space="0" w:color="auto"/>
      </w:divBdr>
    </w:div>
    <w:div w:id="1535850893">
      <w:bodyDiv w:val="1"/>
      <w:marLeft w:val="0"/>
      <w:marRight w:val="0"/>
      <w:marTop w:val="0"/>
      <w:marBottom w:val="0"/>
      <w:divBdr>
        <w:top w:val="none" w:sz="0" w:space="0" w:color="auto"/>
        <w:left w:val="none" w:sz="0" w:space="0" w:color="auto"/>
        <w:bottom w:val="none" w:sz="0" w:space="0" w:color="auto"/>
        <w:right w:val="none" w:sz="0" w:space="0" w:color="auto"/>
      </w:divBdr>
    </w:div>
    <w:div w:id="1623071774">
      <w:bodyDiv w:val="1"/>
      <w:marLeft w:val="0"/>
      <w:marRight w:val="0"/>
      <w:marTop w:val="0"/>
      <w:marBottom w:val="0"/>
      <w:divBdr>
        <w:top w:val="none" w:sz="0" w:space="0" w:color="auto"/>
        <w:left w:val="none" w:sz="0" w:space="0" w:color="auto"/>
        <w:bottom w:val="none" w:sz="0" w:space="0" w:color="auto"/>
        <w:right w:val="none" w:sz="0" w:space="0" w:color="auto"/>
      </w:divBdr>
    </w:div>
    <w:div w:id="2026050048">
      <w:bodyDiv w:val="1"/>
      <w:marLeft w:val="0"/>
      <w:marRight w:val="0"/>
      <w:marTop w:val="0"/>
      <w:marBottom w:val="0"/>
      <w:divBdr>
        <w:top w:val="none" w:sz="0" w:space="0" w:color="auto"/>
        <w:left w:val="none" w:sz="0" w:space="0" w:color="auto"/>
        <w:bottom w:val="none" w:sz="0" w:space="0" w:color="auto"/>
        <w:right w:val="none" w:sz="0" w:space="0" w:color="auto"/>
      </w:divBdr>
    </w:div>
    <w:div w:id="207042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2C634-46FA-4005-8622-460BFCCC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1D32AB7C</Template>
  <TotalTime>5</TotalTime>
  <Pages>1</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7</cp:revision>
  <dcterms:created xsi:type="dcterms:W3CDTF">2017-04-12T22:53:00Z</dcterms:created>
  <dcterms:modified xsi:type="dcterms:W3CDTF">2017-05-01T22:58:00Z</dcterms:modified>
</cp:coreProperties>
</file>