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7" w:type="dxa"/>
        <w:tblLook w:val="0000" w:firstRow="0" w:lastRow="0" w:firstColumn="0" w:lastColumn="0" w:noHBand="0" w:noVBand="0"/>
      </w:tblPr>
      <w:tblGrid>
        <w:gridCol w:w="4428"/>
        <w:gridCol w:w="1893"/>
        <w:gridCol w:w="3306"/>
      </w:tblGrid>
      <w:tr w:rsidR="00027868" w:rsidRPr="00FD4E91">
        <w:trPr>
          <w:cantSplit/>
        </w:trPr>
        <w:tc>
          <w:tcPr>
            <w:tcW w:w="4428" w:type="dxa"/>
            <w:vAlign w:val="center"/>
          </w:tcPr>
          <w:p w:rsidR="00027868" w:rsidRPr="00FD4E91" w:rsidRDefault="001B6B42" w:rsidP="00027868">
            <w:pPr>
              <w:rPr>
                <w:rFonts w:cs="Arial"/>
                <w:bCs/>
                <w:sz w:val="34"/>
                <w:szCs w:val="34"/>
                <w:lang w:val="en-NZ"/>
              </w:rPr>
            </w:pPr>
            <w:r w:rsidRPr="00FD4E91">
              <w:rPr>
                <w:rFonts w:cs="Arial"/>
                <w:noProof/>
                <w:sz w:val="23"/>
                <w:szCs w:val="23"/>
                <w:lang w:val="en-NZ" w:eastAsia="en-NZ"/>
              </w:rPr>
              <w:drawing>
                <wp:inline distT="0" distB="0" distL="0" distR="0" wp14:anchorId="06CD25D6" wp14:editId="07314894">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99" w:type="dxa"/>
            <w:gridSpan w:val="2"/>
            <w:vAlign w:val="center"/>
          </w:tcPr>
          <w:p w:rsidR="00027868" w:rsidRPr="00FD4E91" w:rsidRDefault="001C5247" w:rsidP="00027868">
            <w:pPr>
              <w:jc w:val="right"/>
              <w:rPr>
                <w:rFonts w:cs="Arial"/>
                <w:bCs/>
                <w:sz w:val="34"/>
                <w:szCs w:val="34"/>
                <w:lang w:val="en-NZ"/>
              </w:rPr>
            </w:pPr>
            <w:bookmarkStart w:id="0" w:name="_GoBack"/>
            <w:bookmarkEnd w:id="0"/>
            <w:r w:rsidRPr="001C6CAE">
              <w:rPr>
                <w:rFonts w:cs="Arial"/>
                <w:b/>
                <w:sz w:val="32"/>
                <w:szCs w:val="32"/>
                <w:lang w:val="en-NZ"/>
              </w:rPr>
              <w:t>All District Health Boards</w:t>
            </w:r>
          </w:p>
        </w:tc>
      </w:tr>
      <w:tr w:rsidR="00027868" w:rsidRPr="00FD4E91" w:rsidTr="001C6CAE">
        <w:tc>
          <w:tcPr>
            <w:tcW w:w="9627" w:type="dxa"/>
            <w:gridSpan w:val="3"/>
            <w:tcBorders>
              <w:bottom w:val="single" w:sz="4" w:space="0" w:color="auto"/>
            </w:tcBorders>
          </w:tcPr>
          <w:p w:rsidR="00027868" w:rsidRPr="00FD4E91" w:rsidRDefault="00B510DF" w:rsidP="00252EDF">
            <w:pPr>
              <w:spacing w:before="1000" w:after="120"/>
              <w:jc w:val="center"/>
              <w:rPr>
                <w:rFonts w:cs="Arial"/>
                <w:b/>
                <w:bCs/>
                <w:sz w:val="36"/>
                <w:szCs w:val="36"/>
                <w:lang w:val="en-NZ"/>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sidRPr="00FD4E91">
              <w:rPr>
                <w:rFonts w:cs="Arial"/>
                <w:b/>
                <w:bCs/>
                <w:sz w:val="36"/>
                <w:szCs w:val="36"/>
                <w:lang w:val="en-NZ"/>
              </w:rPr>
              <w:t xml:space="preserve">YOUTH FORENSIC </w:t>
            </w:r>
            <w:r w:rsidR="003F5D25" w:rsidRPr="00FD4E91">
              <w:rPr>
                <w:rFonts w:cs="Arial"/>
                <w:b/>
                <w:bCs/>
                <w:sz w:val="36"/>
                <w:szCs w:val="36"/>
                <w:lang w:val="en-NZ"/>
              </w:rPr>
              <w:t>SERVICE</w:t>
            </w:r>
            <w:r w:rsidR="009610B8" w:rsidRPr="00FD4E91">
              <w:rPr>
                <w:rFonts w:cs="Arial"/>
                <w:b/>
                <w:bCs/>
                <w:sz w:val="36"/>
                <w:szCs w:val="36"/>
                <w:lang w:val="en-NZ"/>
              </w:rPr>
              <w:t>S</w:t>
            </w:r>
            <w:r w:rsidR="003F5D25" w:rsidRPr="00FD4E91" w:rsidDel="003F5D25">
              <w:rPr>
                <w:rFonts w:cs="Arial"/>
                <w:b/>
                <w:bCs/>
                <w:sz w:val="36"/>
                <w:szCs w:val="36"/>
                <w:lang w:val="en-NZ"/>
              </w:rPr>
              <w:t xml:space="preserve"> </w:t>
            </w:r>
            <w:r w:rsidR="00CA5156" w:rsidRPr="00FD4E91">
              <w:rPr>
                <w:rFonts w:cs="Arial"/>
                <w:b/>
                <w:bCs/>
                <w:sz w:val="36"/>
                <w:szCs w:val="36"/>
                <w:lang w:val="en-NZ"/>
              </w:rPr>
              <w:t>-</w:t>
            </w:r>
          </w:p>
          <w:p w:rsidR="00B510DF" w:rsidRPr="00FD4E91" w:rsidRDefault="00B510DF" w:rsidP="00027868">
            <w:pPr>
              <w:spacing w:before="120" w:after="120"/>
              <w:jc w:val="center"/>
              <w:rPr>
                <w:rFonts w:cs="Arial"/>
                <w:b/>
                <w:sz w:val="36"/>
                <w:szCs w:val="36"/>
              </w:rPr>
            </w:pPr>
            <w:r w:rsidRPr="00FD4E91">
              <w:rPr>
                <w:rFonts w:cs="Arial"/>
                <w:b/>
                <w:bCs/>
                <w:sz w:val="36"/>
                <w:szCs w:val="36"/>
                <w:lang w:val="en-NZ"/>
              </w:rPr>
              <w:t>MENTAL HEALTH AND ADDICTION SERVICES</w:t>
            </w:r>
          </w:p>
          <w:bookmarkEnd w:id="1"/>
          <w:bookmarkEnd w:id="2"/>
          <w:bookmarkEnd w:id="3"/>
          <w:bookmarkEnd w:id="4"/>
          <w:bookmarkEnd w:id="5"/>
          <w:bookmarkEnd w:id="6"/>
          <w:bookmarkEnd w:id="7"/>
          <w:bookmarkEnd w:id="8"/>
          <w:bookmarkEnd w:id="9"/>
          <w:p w:rsidR="00027868" w:rsidRPr="00FD4E91" w:rsidRDefault="00027868" w:rsidP="00027868">
            <w:pPr>
              <w:spacing w:after="120"/>
              <w:jc w:val="center"/>
              <w:rPr>
                <w:rFonts w:cs="Arial"/>
                <w:b/>
                <w:sz w:val="36"/>
                <w:szCs w:val="36"/>
              </w:rPr>
            </w:pPr>
            <w:smartTag w:uri="urn:schemas-microsoft-com:office:smarttags" w:element="stockticker">
              <w:r w:rsidRPr="00FD4E91">
                <w:rPr>
                  <w:rFonts w:cs="Arial"/>
                  <w:b/>
                  <w:sz w:val="36"/>
                  <w:szCs w:val="36"/>
                </w:rPr>
                <w:t>TIER</w:t>
              </w:r>
            </w:smartTag>
            <w:r w:rsidRPr="00FD4E91">
              <w:rPr>
                <w:rFonts w:cs="Arial"/>
                <w:b/>
                <w:sz w:val="36"/>
                <w:szCs w:val="36"/>
              </w:rPr>
              <w:t xml:space="preserve"> TWO</w:t>
            </w:r>
          </w:p>
          <w:p w:rsidR="003F5D25" w:rsidRPr="00FD4E91" w:rsidRDefault="00027868" w:rsidP="00252EDF">
            <w:pPr>
              <w:spacing w:before="120" w:after="800"/>
              <w:jc w:val="center"/>
              <w:rPr>
                <w:rFonts w:cs="Arial"/>
              </w:rPr>
            </w:pPr>
            <w:bookmarkStart w:id="10" w:name="_Toc206406492"/>
            <w:bookmarkStart w:id="11" w:name="_Toc215319103"/>
            <w:r w:rsidRPr="00FD4E91">
              <w:rPr>
                <w:rFonts w:cs="Arial"/>
                <w:b/>
                <w:sz w:val="36"/>
                <w:szCs w:val="36"/>
              </w:rPr>
              <w:t>SERVICE SPECIFICATION</w:t>
            </w:r>
            <w:bookmarkEnd w:id="10"/>
            <w:bookmarkEnd w:id="11"/>
          </w:p>
        </w:tc>
      </w:tr>
      <w:tr w:rsidR="00027868" w:rsidRPr="00FD4E91" w:rsidTr="00266F19">
        <w:trPr>
          <w:trHeight w:val="1435"/>
        </w:trPr>
        <w:tc>
          <w:tcPr>
            <w:tcW w:w="6321" w:type="dxa"/>
            <w:gridSpan w:val="2"/>
            <w:tcBorders>
              <w:top w:val="single" w:sz="4" w:space="0" w:color="auto"/>
              <w:left w:val="single" w:sz="4" w:space="0" w:color="auto"/>
              <w:bottom w:val="single" w:sz="4" w:space="0" w:color="auto"/>
              <w:right w:val="single" w:sz="4" w:space="0" w:color="auto"/>
            </w:tcBorders>
          </w:tcPr>
          <w:p w:rsidR="00027868" w:rsidRPr="001C6CAE" w:rsidRDefault="00027868" w:rsidP="00266F19">
            <w:pPr>
              <w:pStyle w:val="Heading1"/>
              <w:spacing w:before="120" w:after="120"/>
              <w:ind w:left="357"/>
              <w:rPr>
                <w:rFonts w:cs="Arial"/>
                <w:caps/>
                <w:sz w:val="36"/>
                <w:szCs w:val="36"/>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1C6CAE">
              <w:rPr>
                <w:rFonts w:cs="Arial"/>
                <w:caps/>
                <w:sz w:val="36"/>
                <w:szCs w:val="36"/>
              </w:rPr>
              <w:t>STatus:</w:t>
            </w:r>
          </w:p>
          <w:p w:rsidR="00027868" w:rsidRPr="00FD4E91" w:rsidRDefault="001C5247" w:rsidP="00027868">
            <w:pPr>
              <w:spacing w:before="120" w:after="120"/>
              <w:rPr>
                <w:rFonts w:cs="Arial"/>
                <w:sz w:val="32"/>
                <w:szCs w:val="32"/>
              </w:rPr>
            </w:pPr>
            <w:r w:rsidRPr="00266F19">
              <w:rPr>
                <w:rFonts w:cs="Arial"/>
                <w:sz w:val="28"/>
                <w:szCs w:val="32"/>
                <w:lang w:eastAsia="en-NZ"/>
              </w:rPr>
              <w:t>It is compulsory to use this nationwide service specification when purchasing this service.</w:t>
            </w:r>
            <w:bookmarkEnd w:id="12"/>
            <w:bookmarkEnd w:id="13"/>
            <w:bookmarkEnd w:id="14"/>
            <w:bookmarkEnd w:id="15"/>
            <w:bookmarkEnd w:id="16"/>
            <w:bookmarkEnd w:id="17"/>
            <w:bookmarkEnd w:id="18"/>
            <w:bookmarkEnd w:id="19"/>
          </w:p>
        </w:tc>
        <w:tc>
          <w:tcPr>
            <w:tcW w:w="3306" w:type="dxa"/>
            <w:tcBorders>
              <w:top w:val="single" w:sz="4" w:space="0" w:color="auto"/>
              <w:left w:val="single" w:sz="4" w:space="0" w:color="auto"/>
              <w:bottom w:val="single" w:sz="4" w:space="0" w:color="auto"/>
              <w:right w:val="single" w:sz="4" w:space="0" w:color="auto"/>
            </w:tcBorders>
          </w:tcPr>
          <w:p w:rsidR="00027868" w:rsidRPr="00FD4E91" w:rsidRDefault="001C5247">
            <w:pPr>
              <w:spacing w:before="120" w:after="120"/>
              <w:rPr>
                <w:rFonts w:cs="Arial"/>
                <w:sz w:val="32"/>
                <w:szCs w:val="32"/>
              </w:rPr>
            </w:pPr>
            <w:bookmarkStart w:id="20" w:name="_Toc206389499"/>
            <w:bookmarkStart w:id="21" w:name="_Toc215319108"/>
            <w:r w:rsidRPr="001C6CAE">
              <w:rPr>
                <w:rFonts w:cs="Arial"/>
                <w:b/>
                <w:caps/>
                <w:kern w:val="28"/>
                <w:sz w:val="36"/>
                <w:szCs w:val="36"/>
                <w:lang w:val="en-NZ"/>
              </w:rPr>
              <w:t xml:space="preserve">MANDATORY </w:t>
            </w:r>
            <w:bookmarkEnd w:id="20"/>
            <w:bookmarkEnd w:id="21"/>
          </w:p>
        </w:tc>
      </w:tr>
      <w:tr w:rsidR="00027868" w:rsidRPr="00FD4E91" w:rsidTr="001C6CAE">
        <w:trPr>
          <w:trHeight w:val="297"/>
        </w:trPr>
        <w:tc>
          <w:tcPr>
            <w:tcW w:w="6321" w:type="dxa"/>
            <w:gridSpan w:val="2"/>
            <w:tcBorders>
              <w:top w:val="single" w:sz="4" w:space="0" w:color="auto"/>
              <w:bottom w:val="single" w:sz="4" w:space="0" w:color="auto"/>
            </w:tcBorders>
            <w:shd w:val="clear" w:color="auto" w:fill="CCCCCC"/>
          </w:tcPr>
          <w:p w:rsidR="00027868" w:rsidRPr="00FD4E91" w:rsidRDefault="00027868" w:rsidP="00027868">
            <w:pPr>
              <w:spacing w:before="120" w:after="120"/>
              <w:rPr>
                <w:rFonts w:cs="Arial"/>
                <w:b/>
                <w:sz w:val="32"/>
                <w:szCs w:val="32"/>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FD4E91">
              <w:rPr>
                <w:rFonts w:cs="Arial"/>
                <w:b/>
                <w:sz w:val="32"/>
                <w:szCs w:val="32"/>
              </w:rPr>
              <w:t>Review History</w:t>
            </w:r>
            <w:bookmarkEnd w:id="22"/>
            <w:bookmarkEnd w:id="23"/>
            <w:bookmarkEnd w:id="24"/>
            <w:bookmarkEnd w:id="25"/>
            <w:bookmarkEnd w:id="26"/>
            <w:bookmarkEnd w:id="27"/>
            <w:bookmarkEnd w:id="28"/>
            <w:bookmarkEnd w:id="29"/>
          </w:p>
        </w:tc>
        <w:tc>
          <w:tcPr>
            <w:tcW w:w="3306" w:type="dxa"/>
            <w:tcBorders>
              <w:top w:val="single" w:sz="4" w:space="0" w:color="auto"/>
              <w:bottom w:val="single" w:sz="4" w:space="0" w:color="auto"/>
            </w:tcBorders>
            <w:shd w:val="clear" w:color="auto" w:fill="CCCCCC"/>
          </w:tcPr>
          <w:p w:rsidR="00027868" w:rsidRPr="00FD4E91" w:rsidRDefault="00027868" w:rsidP="00027868">
            <w:pPr>
              <w:spacing w:before="120" w:after="120"/>
              <w:rPr>
                <w:rFonts w:cs="Arial"/>
                <w:b/>
                <w:sz w:val="32"/>
                <w:szCs w:val="32"/>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FD4E91">
              <w:rPr>
                <w:rFonts w:cs="Arial"/>
                <w:b/>
                <w:sz w:val="32"/>
                <w:szCs w:val="32"/>
              </w:rPr>
              <w:t>Date</w:t>
            </w:r>
            <w:bookmarkEnd w:id="30"/>
            <w:bookmarkEnd w:id="31"/>
            <w:bookmarkEnd w:id="32"/>
            <w:bookmarkEnd w:id="33"/>
            <w:bookmarkEnd w:id="34"/>
            <w:bookmarkEnd w:id="35"/>
            <w:bookmarkEnd w:id="36"/>
            <w:bookmarkEnd w:id="37"/>
            <w:bookmarkEnd w:id="38"/>
          </w:p>
        </w:tc>
      </w:tr>
      <w:tr w:rsidR="00027868" w:rsidRPr="00FD4E91">
        <w:tc>
          <w:tcPr>
            <w:tcW w:w="6321" w:type="dxa"/>
            <w:gridSpan w:val="2"/>
            <w:tcBorders>
              <w:top w:val="single" w:sz="4" w:space="0" w:color="auto"/>
              <w:left w:val="single" w:sz="4" w:space="0" w:color="auto"/>
              <w:bottom w:val="single" w:sz="6" w:space="0" w:color="auto"/>
              <w:right w:val="single" w:sz="6" w:space="0" w:color="auto"/>
            </w:tcBorders>
            <w:vAlign w:val="center"/>
          </w:tcPr>
          <w:p w:rsidR="00027868" w:rsidRPr="00FD4E91" w:rsidRDefault="001C5247" w:rsidP="00027868">
            <w:pPr>
              <w:spacing w:before="120" w:after="120"/>
              <w:rPr>
                <w:rFonts w:cs="Arial"/>
                <w:sz w:val="32"/>
                <w:szCs w:val="32"/>
              </w:rPr>
            </w:pPr>
            <w:bookmarkStart w:id="39" w:name="_Toc215319113"/>
            <w:r w:rsidRPr="00FD4E91">
              <w:rPr>
                <w:rFonts w:cs="Arial"/>
                <w:sz w:val="32"/>
                <w:szCs w:val="32"/>
              </w:rPr>
              <w:t xml:space="preserve">First </w:t>
            </w:r>
            <w:r w:rsidR="00027868" w:rsidRPr="00FD4E91">
              <w:rPr>
                <w:rFonts w:cs="Arial"/>
                <w:sz w:val="32"/>
                <w:szCs w:val="32"/>
              </w:rPr>
              <w:t>Published on NSFL</w:t>
            </w:r>
            <w:bookmarkEnd w:id="39"/>
          </w:p>
        </w:tc>
        <w:tc>
          <w:tcPr>
            <w:tcW w:w="3306" w:type="dxa"/>
            <w:tcBorders>
              <w:top w:val="single" w:sz="4" w:space="0" w:color="auto"/>
              <w:left w:val="single" w:sz="6" w:space="0" w:color="auto"/>
              <w:bottom w:val="single" w:sz="6" w:space="0" w:color="auto"/>
              <w:right w:val="single" w:sz="4" w:space="0" w:color="auto"/>
            </w:tcBorders>
            <w:vAlign w:val="center"/>
          </w:tcPr>
          <w:p w:rsidR="00027868" w:rsidRPr="00E05AA0" w:rsidRDefault="00D95DE0" w:rsidP="00027868">
            <w:pPr>
              <w:spacing w:before="120" w:after="120"/>
              <w:rPr>
                <w:rFonts w:cs="Arial"/>
                <w:sz w:val="32"/>
                <w:szCs w:val="32"/>
              </w:rPr>
            </w:pPr>
            <w:r w:rsidRPr="00E05AA0">
              <w:rPr>
                <w:rFonts w:cs="Arial"/>
                <w:sz w:val="32"/>
                <w:szCs w:val="32"/>
              </w:rPr>
              <w:t>June 2010</w:t>
            </w:r>
          </w:p>
        </w:tc>
      </w:tr>
      <w:tr w:rsidR="009B63F7" w:rsidRPr="00FD4E91">
        <w:tc>
          <w:tcPr>
            <w:tcW w:w="6321" w:type="dxa"/>
            <w:gridSpan w:val="2"/>
            <w:tcBorders>
              <w:top w:val="single" w:sz="6" w:space="0" w:color="auto"/>
              <w:left w:val="single" w:sz="4" w:space="0" w:color="auto"/>
              <w:bottom w:val="single" w:sz="6" w:space="0" w:color="auto"/>
              <w:right w:val="single" w:sz="6" w:space="0" w:color="auto"/>
            </w:tcBorders>
            <w:vAlign w:val="center"/>
          </w:tcPr>
          <w:p w:rsidR="009B63F7" w:rsidRPr="00E05AA0" w:rsidRDefault="009B63F7" w:rsidP="00E05AA0">
            <w:pPr>
              <w:spacing w:before="120" w:after="120"/>
              <w:rPr>
                <w:rFonts w:cs="Arial"/>
                <w:sz w:val="24"/>
                <w:szCs w:val="24"/>
              </w:rPr>
            </w:pPr>
            <w:bookmarkStart w:id="40" w:name="_Toc215319116"/>
            <w:r w:rsidRPr="00E05AA0">
              <w:rPr>
                <w:rFonts w:cs="Arial"/>
                <w:b/>
                <w:sz w:val="24"/>
                <w:szCs w:val="24"/>
              </w:rPr>
              <w:t>Amend</w:t>
            </w:r>
            <w:r w:rsidR="00E05AA0" w:rsidRPr="00E05AA0">
              <w:rPr>
                <w:rFonts w:cs="Arial"/>
                <w:b/>
                <w:sz w:val="24"/>
                <w:szCs w:val="24"/>
              </w:rPr>
              <w:t>ed:</w:t>
            </w:r>
            <w:r w:rsidR="00E05AA0" w:rsidRPr="00E05AA0">
              <w:rPr>
                <w:rFonts w:cs="Arial"/>
                <w:sz w:val="24"/>
                <w:szCs w:val="24"/>
              </w:rPr>
              <w:t xml:space="preserve"> </w:t>
            </w:r>
            <w:r w:rsidRPr="00E05AA0">
              <w:rPr>
                <w:rFonts w:cs="Arial"/>
                <w:sz w:val="24"/>
                <w:szCs w:val="24"/>
              </w:rPr>
              <w:t xml:space="preserve">Removal of </w:t>
            </w:r>
            <w:r w:rsidR="00DE0803" w:rsidRPr="00E05AA0">
              <w:rPr>
                <w:rFonts w:cs="Arial"/>
                <w:sz w:val="24"/>
                <w:szCs w:val="24"/>
              </w:rPr>
              <w:t>u</w:t>
            </w:r>
            <w:r w:rsidRPr="00E05AA0">
              <w:rPr>
                <w:rFonts w:cs="Arial"/>
                <w:sz w:val="24"/>
                <w:szCs w:val="24"/>
              </w:rPr>
              <w:t>napproved Purchase Unit MHIYK87C</w:t>
            </w:r>
            <w:bookmarkEnd w:id="40"/>
            <w:r w:rsidR="0004067E" w:rsidRPr="00E05AA0">
              <w:rPr>
                <w:rFonts w:cs="Arial"/>
                <w:sz w:val="24"/>
                <w:szCs w:val="24"/>
              </w:rPr>
              <w:t>. Minor editing changes for consistency.</w:t>
            </w:r>
          </w:p>
        </w:tc>
        <w:tc>
          <w:tcPr>
            <w:tcW w:w="3306" w:type="dxa"/>
            <w:tcBorders>
              <w:top w:val="single" w:sz="6" w:space="0" w:color="auto"/>
              <w:left w:val="single" w:sz="6" w:space="0" w:color="auto"/>
              <w:bottom w:val="single" w:sz="6" w:space="0" w:color="auto"/>
              <w:right w:val="single" w:sz="4" w:space="0" w:color="auto"/>
            </w:tcBorders>
            <w:vAlign w:val="center"/>
          </w:tcPr>
          <w:p w:rsidR="009B63F7" w:rsidRPr="00E05AA0" w:rsidRDefault="009B63F7" w:rsidP="00027868">
            <w:pPr>
              <w:spacing w:before="120" w:after="120"/>
              <w:rPr>
                <w:rFonts w:cs="Arial"/>
                <w:sz w:val="32"/>
                <w:szCs w:val="32"/>
              </w:rPr>
            </w:pPr>
            <w:r w:rsidRPr="00E05AA0">
              <w:rPr>
                <w:rFonts w:cs="Arial"/>
                <w:sz w:val="32"/>
                <w:szCs w:val="32"/>
              </w:rPr>
              <w:t>February 2011</w:t>
            </w:r>
          </w:p>
        </w:tc>
      </w:tr>
      <w:tr w:rsidR="001C5247" w:rsidRPr="00FD4E91">
        <w:tc>
          <w:tcPr>
            <w:tcW w:w="6321" w:type="dxa"/>
            <w:gridSpan w:val="2"/>
            <w:tcBorders>
              <w:top w:val="single" w:sz="6" w:space="0" w:color="auto"/>
              <w:left w:val="single" w:sz="4" w:space="0" w:color="auto"/>
              <w:bottom w:val="single" w:sz="6" w:space="0" w:color="auto"/>
              <w:right w:val="single" w:sz="6" w:space="0" w:color="auto"/>
            </w:tcBorders>
            <w:vAlign w:val="center"/>
          </w:tcPr>
          <w:p w:rsidR="001C5247" w:rsidRPr="00E05AA0" w:rsidRDefault="001C5247" w:rsidP="00027868">
            <w:pPr>
              <w:spacing w:before="120" w:after="120"/>
              <w:rPr>
                <w:rFonts w:cs="Arial"/>
                <w:sz w:val="24"/>
                <w:szCs w:val="24"/>
              </w:rPr>
            </w:pPr>
            <w:r w:rsidRPr="00E05AA0">
              <w:rPr>
                <w:rFonts w:cs="Arial"/>
                <w:b/>
                <w:sz w:val="24"/>
                <w:szCs w:val="24"/>
              </w:rPr>
              <w:t>Amended:</w:t>
            </w:r>
            <w:r w:rsidRPr="00E05AA0">
              <w:rPr>
                <w:rFonts w:cs="Arial"/>
                <w:sz w:val="24"/>
                <w:szCs w:val="24"/>
              </w:rPr>
              <w:t xml:space="preserve"> clarified reporting requirements</w:t>
            </w:r>
          </w:p>
        </w:tc>
        <w:tc>
          <w:tcPr>
            <w:tcW w:w="3306" w:type="dxa"/>
            <w:tcBorders>
              <w:top w:val="single" w:sz="6" w:space="0" w:color="auto"/>
              <w:left w:val="single" w:sz="6" w:space="0" w:color="auto"/>
              <w:bottom w:val="single" w:sz="6" w:space="0" w:color="auto"/>
              <w:right w:val="single" w:sz="4" w:space="0" w:color="auto"/>
            </w:tcBorders>
            <w:vAlign w:val="center"/>
          </w:tcPr>
          <w:p w:rsidR="001C5247" w:rsidRPr="00E05AA0" w:rsidRDefault="001C5247" w:rsidP="00027868">
            <w:pPr>
              <w:spacing w:before="120" w:after="120"/>
              <w:rPr>
                <w:rFonts w:cs="Arial"/>
                <w:sz w:val="32"/>
                <w:szCs w:val="32"/>
              </w:rPr>
            </w:pPr>
            <w:r w:rsidRPr="00E05AA0">
              <w:rPr>
                <w:rFonts w:cs="Arial"/>
                <w:sz w:val="32"/>
                <w:szCs w:val="32"/>
              </w:rPr>
              <w:t>February 2013</w:t>
            </w:r>
          </w:p>
        </w:tc>
      </w:tr>
      <w:tr w:rsidR="0017773E" w:rsidRPr="00FD4E91">
        <w:tc>
          <w:tcPr>
            <w:tcW w:w="6321" w:type="dxa"/>
            <w:gridSpan w:val="2"/>
            <w:tcBorders>
              <w:top w:val="single" w:sz="6" w:space="0" w:color="auto"/>
              <w:left w:val="single" w:sz="4" w:space="0" w:color="auto"/>
              <w:bottom w:val="single" w:sz="6" w:space="0" w:color="auto"/>
              <w:right w:val="single" w:sz="6" w:space="0" w:color="auto"/>
            </w:tcBorders>
            <w:vAlign w:val="center"/>
          </w:tcPr>
          <w:p w:rsidR="0017773E" w:rsidRPr="00E05AA0" w:rsidRDefault="0017773E" w:rsidP="00443143">
            <w:pPr>
              <w:spacing w:before="120" w:after="120"/>
              <w:rPr>
                <w:rFonts w:cs="Arial"/>
                <w:sz w:val="24"/>
                <w:szCs w:val="24"/>
              </w:rPr>
            </w:pPr>
            <w:r w:rsidRPr="00E05AA0">
              <w:rPr>
                <w:rFonts w:cs="Arial"/>
                <w:b/>
                <w:sz w:val="24"/>
                <w:szCs w:val="24"/>
              </w:rPr>
              <w:t>Amended:</w:t>
            </w:r>
            <w:r w:rsidRPr="00E05AA0">
              <w:rPr>
                <w:rFonts w:cs="Arial"/>
                <w:sz w:val="24"/>
                <w:szCs w:val="24"/>
              </w:rPr>
              <w:t xml:space="preserve"> Minor editing for clarification</w:t>
            </w:r>
          </w:p>
        </w:tc>
        <w:tc>
          <w:tcPr>
            <w:tcW w:w="3306" w:type="dxa"/>
            <w:tcBorders>
              <w:top w:val="single" w:sz="6" w:space="0" w:color="auto"/>
              <w:left w:val="single" w:sz="6" w:space="0" w:color="auto"/>
              <w:bottom w:val="single" w:sz="6" w:space="0" w:color="auto"/>
              <w:right w:val="single" w:sz="4" w:space="0" w:color="auto"/>
            </w:tcBorders>
            <w:vAlign w:val="center"/>
          </w:tcPr>
          <w:p w:rsidR="0017773E" w:rsidRPr="00E05AA0" w:rsidRDefault="0017773E" w:rsidP="00027868">
            <w:pPr>
              <w:spacing w:before="120" w:after="120"/>
              <w:rPr>
                <w:rFonts w:cs="Arial"/>
                <w:sz w:val="32"/>
                <w:szCs w:val="32"/>
              </w:rPr>
            </w:pPr>
            <w:r w:rsidRPr="00E05AA0">
              <w:rPr>
                <w:rFonts w:cs="Arial"/>
                <w:sz w:val="32"/>
                <w:szCs w:val="32"/>
              </w:rPr>
              <w:t>September 2014</w:t>
            </w:r>
          </w:p>
        </w:tc>
      </w:tr>
      <w:tr w:rsidR="00974E71" w:rsidRPr="00FD4E91">
        <w:tc>
          <w:tcPr>
            <w:tcW w:w="6321" w:type="dxa"/>
            <w:gridSpan w:val="2"/>
            <w:tcBorders>
              <w:top w:val="single" w:sz="6" w:space="0" w:color="auto"/>
              <w:left w:val="single" w:sz="4" w:space="0" w:color="auto"/>
              <w:bottom w:val="single" w:sz="6" w:space="0" w:color="auto"/>
              <w:right w:val="single" w:sz="6" w:space="0" w:color="auto"/>
            </w:tcBorders>
            <w:vAlign w:val="center"/>
          </w:tcPr>
          <w:p w:rsidR="00974E71" w:rsidRPr="00E05AA0" w:rsidRDefault="00974E71">
            <w:pPr>
              <w:spacing w:before="120" w:after="120"/>
              <w:rPr>
                <w:rFonts w:cs="Arial"/>
                <w:sz w:val="24"/>
                <w:szCs w:val="24"/>
              </w:rPr>
            </w:pPr>
            <w:r w:rsidRPr="00E05AA0">
              <w:rPr>
                <w:rFonts w:cs="Arial"/>
                <w:b/>
                <w:sz w:val="24"/>
                <w:szCs w:val="24"/>
              </w:rPr>
              <w:t>Amended:</w:t>
            </w:r>
            <w:r w:rsidRPr="00E05AA0">
              <w:rPr>
                <w:sz w:val="24"/>
                <w:szCs w:val="24"/>
              </w:rPr>
              <w:t xml:space="preserve"> </w:t>
            </w:r>
            <w:r w:rsidRPr="00E05AA0">
              <w:rPr>
                <w:rFonts w:cs="Arial"/>
                <w:sz w:val="24"/>
                <w:szCs w:val="24"/>
              </w:rPr>
              <w:t xml:space="preserve">added purchase unit </w:t>
            </w:r>
            <w:r w:rsidR="00FB5E5D" w:rsidRPr="00E05AA0">
              <w:rPr>
                <w:rFonts w:cs="Arial"/>
                <w:sz w:val="24"/>
                <w:szCs w:val="24"/>
              </w:rPr>
              <w:t xml:space="preserve">MHIY87S </w:t>
            </w:r>
          </w:p>
        </w:tc>
        <w:tc>
          <w:tcPr>
            <w:tcW w:w="3306" w:type="dxa"/>
            <w:tcBorders>
              <w:top w:val="single" w:sz="6" w:space="0" w:color="auto"/>
              <w:left w:val="single" w:sz="6" w:space="0" w:color="auto"/>
              <w:bottom w:val="single" w:sz="6" w:space="0" w:color="auto"/>
              <w:right w:val="single" w:sz="4" w:space="0" w:color="auto"/>
            </w:tcBorders>
            <w:vAlign w:val="center"/>
          </w:tcPr>
          <w:p w:rsidR="00974E71" w:rsidRPr="00E05AA0" w:rsidRDefault="00E17B99" w:rsidP="00027868">
            <w:pPr>
              <w:spacing w:before="120" w:after="120"/>
              <w:rPr>
                <w:rFonts w:cs="Arial"/>
                <w:sz w:val="32"/>
                <w:szCs w:val="32"/>
              </w:rPr>
            </w:pPr>
            <w:r w:rsidRPr="00E05AA0">
              <w:rPr>
                <w:rFonts w:cs="Arial"/>
                <w:sz w:val="32"/>
                <w:szCs w:val="32"/>
              </w:rPr>
              <w:t>April 2017</w:t>
            </w:r>
          </w:p>
        </w:tc>
      </w:tr>
      <w:tr w:rsidR="00266F19" w:rsidRPr="00FD4E91">
        <w:tc>
          <w:tcPr>
            <w:tcW w:w="6321" w:type="dxa"/>
            <w:gridSpan w:val="2"/>
            <w:tcBorders>
              <w:top w:val="single" w:sz="6" w:space="0" w:color="auto"/>
              <w:left w:val="single" w:sz="4" w:space="0" w:color="auto"/>
              <w:bottom w:val="single" w:sz="6" w:space="0" w:color="auto"/>
              <w:right w:val="single" w:sz="6" w:space="0" w:color="auto"/>
            </w:tcBorders>
            <w:vAlign w:val="center"/>
          </w:tcPr>
          <w:p w:rsidR="00266F19" w:rsidRPr="00E05AA0" w:rsidRDefault="00266F19">
            <w:pPr>
              <w:spacing w:before="120" w:after="120"/>
              <w:rPr>
                <w:rFonts w:cs="Arial"/>
                <w:b/>
                <w:sz w:val="24"/>
                <w:szCs w:val="24"/>
              </w:rPr>
            </w:pPr>
            <w:r>
              <w:rPr>
                <w:rFonts w:cs="Arial"/>
                <w:b/>
                <w:sz w:val="24"/>
                <w:szCs w:val="24"/>
              </w:rPr>
              <w:t xml:space="preserve">Amended: </w:t>
            </w:r>
            <w:r w:rsidRPr="00252EDF">
              <w:rPr>
                <w:rFonts w:cs="Arial"/>
                <w:sz w:val="24"/>
                <w:szCs w:val="24"/>
              </w:rPr>
              <w:t xml:space="preserve">updated Child, Youth and Family (CYF) and Department of Corrections to Oranga Tamariki and Ara </w:t>
            </w:r>
            <w:proofErr w:type="spellStart"/>
            <w:r w:rsidRPr="00252EDF">
              <w:rPr>
                <w:rFonts w:cs="Arial"/>
                <w:sz w:val="24"/>
                <w:szCs w:val="24"/>
              </w:rPr>
              <w:t>Poutama</w:t>
            </w:r>
            <w:proofErr w:type="spellEnd"/>
            <w:r w:rsidRPr="00252EDF">
              <w:rPr>
                <w:rFonts w:cs="Arial"/>
                <w:sz w:val="24"/>
                <w:szCs w:val="24"/>
              </w:rPr>
              <w:t xml:space="preserve"> Aotearoa respectively.</w:t>
            </w:r>
          </w:p>
        </w:tc>
        <w:tc>
          <w:tcPr>
            <w:tcW w:w="3306" w:type="dxa"/>
            <w:tcBorders>
              <w:top w:val="single" w:sz="6" w:space="0" w:color="auto"/>
              <w:left w:val="single" w:sz="6" w:space="0" w:color="auto"/>
              <w:bottom w:val="single" w:sz="6" w:space="0" w:color="auto"/>
              <w:right w:val="single" w:sz="4" w:space="0" w:color="auto"/>
            </w:tcBorders>
            <w:vAlign w:val="center"/>
          </w:tcPr>
          <w:p w:rsidR="00266F19" w:rsidRPr="00E05AA0" w:rsidRDefault="00790385" w:rsidP="00027868">
            <w:pPr>
              <w:spacing w:before="120" w:after="120"/>
              <w:rPr>
                <w:rFonts w:cs="Arial"/>
                <w:sz w:val="32"/>
                <w:szCs w:val="32"/>
              </w:rPr>
            </w:pPr>
            <w:r>
              <w:rPr>
                <w:rFonts w:cs="Arial"/>
                <w:sz w:val="32"/>
                <w:szCs w:val="32"/>
              </w:rPr>
              <w:t>March</w:t>
            </w:r>
            <w:r w:rsidR="00266F19">
              <w:rPr>
                <w:rFonts w:cs="Arial"/>
                <w:sz w:val="32"/>
                <w:szCs w:val="32"/>
              </w:rPr>
              <w:t xml:space="preserve"> 2020</w:t>
            </w:r>
          </w:p>
        </w:tc>
      </w:tr>
      <w:tr w:rsidR="001C5247" w:rsidRPr="00FD4E91">
        <w:tc>
          <w:tcPr>
            <w:tcW w:w="6321" w:type="dxa"/>
            <w:gridSpan w:val="2"/>
            <w:tcBorders>
              <w:top w:val="single" w:sz="6" w:space="0" w:color="auto"/>
              <w:left w:val="single" w:sz="4" w:space="0" w:color="auto"/>
              <w:bottom w:val="single" w:sz="6" w:space="0" w:color="auto"/>
              <w:right w:val="single" w:sz="6" w:space="0" w:color="auto"/>
            </w:tcBorders>
            <w:vAlign w:val="center"/>
          </w:tcPr>
          <w:p w:rsidR="001C5247" w:rsidRPr="00FD4E91" w:rsidRDefault="001C5247" w:rsidP="00027868">
            <w:pPr>
              <w:spacing w:before="120" w:after="120"/>
              <w:rPr>
                <w:rFonts w:cs="Arial"/>
                <w:sz w:val="32"/>
                <w:szCs w:val="32"/>
              </w:rPr>
            </w:pPr>
            <w:r w:rsidRPr="00FD4E91">
              <w:rPr>
                <w:rFonts w:cs="Arial"/>
                <w:sz w:val="32"/>
                <w:szCs w:val="32"/>
              </w:rPr>
              <w:t>Consideration for next Service Specification Review</w:t>
            </w:r>
          </w:p>
        </w:tc>
        <w:tc>
          <w:tcPr>
            <w:tcW w:w="3306" w:type="dxa"/>
            <w:tcBorders>
              <w:top w:val="single" w:sz="6" w:space="0" w:color="auto"/>
              <w:left w:val="single" w:sz="6" w:space="0" w:color="auto"/>
              <w:bottom w:val="single" w:sz="6" w:space="0" w:color="auto"/>
              <w:right w:val="single" w:sz="4" w:space="0" w:color="auto"/>
            </w:tcBorders>
            <w:vAlign w:val="center"/>
          </w:tcPr>
          <w:p w:rsidR="001C5247" w:rsidRPr="00FD4E91" w:rsidRDefault="001C5247" w:rsidP="00027868">
            <w:pPr>
              <w:spacing w:before="120" w:after="120"/>
              <w:rPr>
                <w:rFonts w:cs="Arial"/>
                <w:sz w:val="32"/>
                <w:szCs w:val="32"/>
              </w:rPr>
            </w:pPr>
            <w:r w:rsidRPr="00FD4E91">
              <w:rPr>
                <w:rFonts w:cs="Arial"/>
                <w:sz w:val="32"/>
                <w:szCs w:val="32"/>
              </w:rPr>
              <w:t>Within five years</w:t>
            </w:r>
          </w:p>
        </w:tc>
      </w:tr>
    </w:tbl>
    <w:p w:rsidR="00E17B99" w:rsidRDefault="001C5247">
      <w:pPr>
        <w:spacing w:before="120"/>
        <w:rPr>
          <w:rFonts w:cs="Arial"/>
          <w:sz w:val="24"/>
          <w:szCs w:val="24"/>
        </w:rPr>
      </w:pPr>
      <w:bookmarkStart w:id="41" w:name="_Toc215319119"/>
      <w:r w:rsidRPr="000F2FA8">
        <w:rPr>
          <w:rFonts w:cs="Arial"/>
          <w:b/>
          <w:sz w:val="24"/>
          <w:szCs w:val="24"/>
        </w:rPr>
        <w:t>Note:</w:t>
      </w:r>
      <w:r w:rsidRPr="000F2FA8">
        <w:rPr>
          <w:rFonts w:cs="Arial"/>
          <w:sz w:val="24"/>
          <w:szCs w:val="24"/>
        </w:rPr>
        <w:t xml:space="preserve"> </w:t>
      </w:r>
      <w:r w:rsidR="00266F19" w:rsidRPr="00266F19">
        <w:rPr>
          <w:rFonts w:cs="Arial"/>
          <w:sz w:val="24"/>
          <w:szCs w:val="24"/>
        </w:rPr>
        <w:t>Contact the Service Specification Programme Manager, Ministry of Health nsfl@health.govt.nz for queries about this service specification.</w:t>
      </w:r>
    </w:p>
    <w:p w:rsidR="00FD4E91" w:rsidRPr="00FD4E91" w:rsidRDefault="001C5247">
      <w:pPr>
        <w:spacing w:before="120"/>
        <w:rPr>
          <w:rFonts w:cs="Arial"/>
        </w:rPr>
      </w:pPr>
      <w:r w:rsidRPr="000F2FA8">
        <w:rPr>
          <w:rFonts w:cs="Arial"/>
          <w:sz w:val="24"/>
          <w:szCs w:val="24"/>
        </w:rPr>
        <w:t xml:space="preserve">Nationwide Service Framework Library web site </w:t>
      </w:r>
      <w:hyperlink r:id="rId8" w:history="1">
        <w:r w:rsidRPr="000F2FA8">
          <w:rPr>
            <w:rFonts w:cs="Arial"/>
            <w:color w:val="0000FF"/>
            <w:sz w:val="24"/>
            <w:szCs w:val="24"/>
            <w:u w:val="single"/>
          </w:rPr>
          <w:t>http://www.nsfl.health.govt.nz/</w:t>
        </w:r>
      </w:hyperlink>
      <w:bookmarkEnd w:id="41"/>
      <w:r w:rsidR="00FD4E91" w:rsidRPr="00FD4E91">
        <w:rPr>
          <w:rFonts w:cs="Arial"/>
          <w:sz w:val="24"/>
          <w:szCs w:val="24"/>
        </w:rPr>
        <w:t xml:space="preserve"> </w:t>
      </w:r>
    </w:p>
    <w:p w:rsidR="00B510DF" w:rsidRPr="00FD4E91" w:rsidRDefault="00027868" w:rsidP="001C6CAE">
      <w:pPr>
        <w:pBdr>
          <w:top w:val="single" w:sz="4" w:space="1" w:color="auto"/>
          <w:left w:val="single" w:sz="4" w:space="1" w:color="auto"/>
          <w:bottom w:val="single" w:sz="4" w:space="1" w:color="auto"/>
          <w:right w:val="single" w:sz="4" w:space="1" w:color="auto"/>
        </w:pBdr>
        <w:jc w:val="center"/>
        <w:rPr>
          <w:rFonts w:cs="Arial"/>
          <w:b/>
          <w:sz w:val="24"/>
          <w:lang w:val="en-NZ"/>
        </w:rPr>
      </w:pPr>
      <w:r w:rsidRPr="00FD4E91">
        <w:rPr>
          <w:rFonts w:cs="Arial"/>
          <w:sz w:val="20"/>
        </w:rPr>
        <w:br w:type="page"/>
      </w:r>
      <w:bookmarkStart w:id="42" w:name="_Toc215319122"/>
      <w:r w:rsidR="00B510DF" w:rsidRPr="00FD4E91">
        <w:rPr>
          <w:rFonts w:cs="Arial"/>
          <w:b/>
          <w:sz w:val="24"/>
          <w:lang w:val="en-NZ"/>
        </w:rPr>
        <w:lastRenderedPageBreak/>
        <w:t xml:space="preserve">YOUTH FORENSIC </w:t>
      </w:r>
      <w:r w:rsidR="003F5D25" w:rsidRPr="00FD4E91">
        <w:rPr>
          <w:rFonts w:cs="Arial"/>
          <w:b/>
          <w:sz w:val="24"/>
          <w:lang w:val="en-NZ"/>
        </w:rPr>
        <w:t>SERVICE</w:t>
      </w:r>
      <w:r w:rsidR="00175235" w:rsidRPr="00FD4E91">
        <w:rPr>
          <w:rFonts w:cs="Arial"/>
          <w:b/>
          <w:sz w:val="24"/>
          <w:lang w:val="en-NZ"/>
        </w:rPr>
        <w:t>S</w:t>
      </w:r>
      <w:r w:rsidR="00DE0803" w:rsidRPr="00FD4E91">
        <w:rPr>
          <w:rFonts w:cs="Arial"/>
          <w:b/>
          <w:sz w:val="24"/>
          <w:lang w:val="en-NZ"/>
        </w:rPr>
        <w:t xml:space="preserve"> -</w:t>
      </w:r>
    </w:p>
    <w:p w:rsidR="00DF7973" w:rsidRPr="00FD4E91" w:rsidRDefault="00027868" w:rsidP="001C6CAE">
      <w:pPr>
        <w:pBdr>
          <w:top w:val="single" w:sz="4" w:space="1" w:color="auto"/>
          <w:left w:val="single" w:sz="4" w:space="1" w:color="auto"/>
          <w:bottom w:val="single" w:sz="4" w:space="1" w:color="auto"/>
          <w:right w:val="single" w:sz="4" w:space="1" w:color="auto"/>
        </w:pBdr>
        <w:jc w:val="center"/>
        <w:rPr>
          <w:rFonts w:cs="Arial"/>
          <w:b/>
          <w:sz w:val="24"/>
          <w:lang w:val="en-NZ"/>
        </w:rPr>
      </w:pPr>
      <w:r w:rsidRPr="00FD4E91">
        <w:rPr>
          <w:rFonts w:cs="Arial"/>
          <w:b/>
          <w:sz w:val="24"/>
          <w:lang w:val="en-NZ"/>
        </w:rPr>
        <w:t xml:space="preserve">MENTAL HEALTH </w:t>
      </w:r>
      <w:smartTag w:uri="urn:schemas-microsoft-com:office:smarttags" w:element="stockticker">
        <w:r w:rsidR="00B510DF" w:rsidRPr="00FD4E91">
          <w:rPr>
            <w:rFonts w:cs="Arial"/>
            <w:b/>
            <w:sz w:val="24"/>
            <w:lang w:val="en-NZ"/>
          </w:rPr>
          <w:t>AND</w:t>
        </w:r>
      </w:smartTag>
      <w:r w:rsidR="00B510DF" w:rsidRPr="00FD4E91">
        <w:rPr>
          <w:rFonts w:cs="Arial"/>
          <w:b/>
          <w:sz w:val="24"/>
          <w:lang w:val="en-NZ"/>
        </w:rPr>
        <w:t xml:space="preserve"> ADDICTION</w:t>
      </w:r>
      <w:r w:rsidR="007D4677" w:rsidRPr="00FD4E91">
        <w:rPr>
          <w:rFonts w:cs="Arial"/>
          <w:b/>
          <w:sz w:val="24"/>
          <w:lang w:val="en-NZ"/>
        </w:rPr>
        <w:t xml:space="preserve"> SERVICES</w:t>
      </w:r>
    </w:p>
    <w:p w:rsidR="001C6CAE" w:rsidRDefault="000A3A3B" w:rsidP="001C6CAE">
      <w:pPr>
        <w:pBdr>
          <w:top w:val="single" w:sz="4" w:space="1" w:color="auto"/>
          <w:left w:val="single" w:sz="4" w:space="1" w:color="auto"/>
          <w:bottom w:val="single" w:sz="4" w:space="1" w:color="auto"/>
          <w:right w:val="single" w:sz="4" w:space="1" w:color="auto"/>
        </w:pBdr>
        <w:jc w:val="center"/>
        <w:rPr>
          <w:rFonts w:cs="Arial"/>
          <w:b/>
          <w:sz w:val="24"/>
          <w:lang w:val="en-NZ"/>
        </w:rPr>
      </w:pPr>
      <w:r w:rsidRPr="00FD4E91">
        <w:rPr>
          <w:rFonts w:cs="Arial"/>
          <w:b/>
          <w:sz w:val="24"/>
          <w:szCs w:val="24"/>
        </w:rPr>
        <w:t>TIER TWO</w:t>
      </w:r>
      <w:r w:rsidR="00974E71">
        <w:rPr>
          <w:rFonts w:cs="Arial"/>
          <w:b/>
          <w:sz w:val="24"/>
          <w:szCs w:val="24"/>
        </w:rPr>
        <w:t xml:space="preserve"> </w:t>
      </w:r>
      <w:r w:rsidR="001C6CAE" w:rsidRPr="00FD4E91">
        <w:rPr>
          <w:rFonts w:cs="Arial"/>
          <w:b/>
          <w:sz w:val="24"/>
          <w:lang w:val="en-NZ"/>
        </w:rPr>
        <w:t>SERVICE SPECIFICATION</w:t>
      </w:r>
    </w:p>
    <w:p w:rsidR="00E17B99" w:rsidRDefault="00027868" w:rsidP="00E17B99">
      <w:pPr>
        <w:spacing w:before="120"/>
        <w:rPr>
          <w:rFonts w:cs="Arial"/>
          <w:sz w:val="24"/>
          <w:szCs w:val="24"/>
          <w:lang w:val="en-NZ"/>
        </w:rPr>
      </w:pPr>
      <w:bookmarkStart w:id="43" w:name="_Toc215319123"/>
      <w:bookmarkEnd w:id="42"/>
      <w:r w:rsidRPr="00FD4E91">
        <w:rPr>
          <w:rFonts w:cs="Arial"/>
          <w:sz w:val="24"/>
          <w:szCs w:val="24"/>
        </w:rPr>
        <w:t xml:space="preserve">This tier two service specification for </w:t>
      </w:r>
      <w:r w:rsidR="00B510DF" w:rsidRPr="00FD4E91">
        <w:rPr>
          <w:rFonts w:cs="Arial"/>
          <w:sz w:val="24"/>
          <w:szCs w:val="24"/>
        </w:rPr>
        <w:t>Youth Forensic</w:t>
      </w:r>
      <w:r w:rsidRPr="00FD4E91">
        <w:rPr>
          <w:rFonts w:cs="Arial"/>
          <w:sz w:val="24"/>
          <w:szCs w:val="24"/>
        </w:rPr>
        <w:t xml:space="preserve"> </w:t>
      </w:r>
      <w:r w:rsidR="003F5D25" w:rsidRPr="00FD4E91">
        <w:rPr>
          <w:rFonts w:cs="Arial"/>
          <w:sz w:val="24"/>
          <w:szCs w:val="24"/>
        </w:rPr>
        <w:t>Service</w:t>
      </w:r>
      <w:r w:rsidR="009610B8" w:rsidRPr="00FD4E91">
        <w:rPr>
          <w:rFonts w:cs="Arial"/>
          <w:sz w:val="24"/>
          <w:szCs w:val="24"/>
        </w:rPr>
        <w:t>s</w:t>
      </w:r>
      <w:r w:rsidR="003F5D25" w:rsidRPr="00FD4E91">
        <w:rPr>
          <w:rFonts w:cs="Arial"/>
          <w:sz w:val="24"/>
          <w:szCs w:val="24"/>
        </w:rPr>
        <w:t xml:space="preserve"> </w:t>
      </w:r>
      <w:r w:rsidRPr="00FD4E91">
        <w:rPr>
          <w:rFonts w:cs="Arial"/>
          <w:sz w:val="24"/>
          <w:szCs w:val="24"/>
        </w:rPr>
        <w:t>Mental Health</w:t>
      </w:r>
      <w:r w:rsidR="00B510DF" w:rsidRPr="00FD4E91">
        <w:rPr>
          <w:rFonts w:cs="Arial"/>
          <w:sz w:val="24"/>
          <w:szCs w:val="24"/>
        </w:rPr>
        <w:t xml:space="preserve"> and Addiction</w:t>
      </w:r>
      <w:r w:rsidRPr="00FD4E91">
        <w:rPr>
          <w:rFonts w:cs="Arial"/>
          <w:sz w:val="24"/>
          <w:szCs w:val="24"/>
        </w:rPr>
        <w:t xml:space="preserve"> </w:t>
      </w:r>
      <w:r w:rsidR="001466FD" w:rsidRPr="00FD4E91">
        <w:rPr>
          <w:rFonts w:cs="Arial"/>
          <w:sz w:val="24"/>
          <w:szCs w:val="24"/>
        </w:rPr>
        <w:t xml:space="preserve">(the Service) </w:t>
      </w:r>
      <w:r w:rsidR="00E17B99" w:rsidRPr="00D502C2">
        <w:rPr>
          <w:rFonts w:cs="Arial"/>
          <w:sz w:val="24"/>
          <w:szCs w:val="24"/>
        </w:rPr>
        <w:t>is</w:t>
      </w:r>
      <w:r w:rsidR="00E17B99" w:rsidRPr="00D502C2">
        <w:rPr>
          <w:rFonts w:cs="Arial"/>
          <w:sz w:val="24"/>
          <w:szCs w:val="24"/>
          <w:lang w:val="en-NZ"/>
        </w:rPr>
        <w:t xml:space="preserve"> the overarching document </w:t>
      </w:r>
      <w:r w:rsidR="00E17B99">
        <w:rPr>
          <w:rFonts w:cs="Arial"/>
          <w:sz w:val="24"/>
          <w:szCs w:val="24"/>
          <w:lang w:val="en-NZ"/>
        </w:rPr>
        <w:t>for the</w:t>
      </w:r>
      <w:r w:rsidR="00E17B99" w:rsidRPr="00816750">
        <w:rPr>
          <w:rFonts w:cs="Arial"/>
          <w:sz w:val="24"/>
          <w:szCs w:val="24"/>
          <w:lang w:val="en-NZ"/>
        </w:rPr>
        <w:t xml:space="preserve"> range of tier three</w:t>
      </w:r>
      <w:r w:rsidR="00E17B99">
        <w:rPr>
          <w:rFonts w:cs="Arial"/>
          <w:sz w:val="24"/>
          <w:szCs w:val="24"/>
          <w:lang w:val="en-NZ"/>
        </w:rPr>
        <w:t xml:space="preserve"> </w:t>
      </w:r>
      <w:r w:rsidR="00E17B99" w:rsidRPr="00FD4E91">
        <w:rPr>
          <w:rFonts w:cs="Arial"/>
          <w:sz w:val="24"/>
          <w:szCs w:val="24"/>
        </w:rPr>
        <w:t>Youth Forensic Mental Health and Addiction</w:t>
      </w:r>
      <w:r w:rsidR="00E17B99" w:rsidRPr="00816750">
        <w:rPr>
          <w:rFonts w:cs="Arial"/>
          <w:sz w:val="24"/>
          <w:szCs w:val="24"/>
          <w:lang w:val="en-NZ"/>
        </w:rPr>
        <w:t xml:space="preserve"> service specifications</w:t>
      </w:r>
      <w:r w:rsidR="00E17B99">
        <w:rPr>
          <w:rFonts w:cs="Arial"/>
          <w:sz w:val="24"/>
          <w:szCs w:val="24"/>
          <w:lang w:val="en-NZ"/>
        </w:rPr>
        <w:t xml:space="preserve">. </w:t>
      </w:r>
      <w:r w:rsidR="00E17B99" w:rsidRPr="00FD4E91">
        <w:rPr>
          <w:rFonts w:cs="Arial"/>
          <w:sz w:val="24"/>
          <w:szCs w:val="24"/>
          <w:lang w:val="en-NZ"/>
        </w:rPr>
        <w:t>The service specification defines Youth Forensic Services M</w:t>
      </w:r>
      <w:r w:rsidR="00E17B99" w:rsidRPr="00FD4E91">
        <w:rPr>
          <w:rFonts w:cs="Arial"/>
          <w:bCs/>
          <w:sz w:val="24"/>
          <w:szCs w:val="24"/>
          <w:lang w:val="en-NZ"/>
        </w:rPr>
        <w:t>ental Health and Addiction S</w:t>
      </w:r>
      <w:r w:rsidR="00E17B99" w:rsidRPr="00FD4E91">
        <w:rPr>
          <w:rFonts w:cs="Arial"/>
          <w:sz w:val="24"/>
          <w:szCs w:val="24"/>
          <w:lang w:val="en-NZ"/>
        </w:rPr>
        <w:t>ervices and their objectives in the delivery of the Service.</w:t>
      </w:r>
    </w:p>
    <w:p w:rsidR="00027868" w:rsidRPr="00FD4E91" w:rsidRDefault="00E17B99" w:rsidP="00027868">
      <w:pPr>
        <w:spacing w:before="120"/>
        <w:rPr>
          <w:rFonts w:cs="Arial"/>
          <w:sz w:val="24"/>
          <w:szCs w:val="24"/>
        </w:rPr>
      </w:pPr>
      <w:r w:rsidRPr="00D502C2">
        <w:rPr>
          <w:rFonts w:cs="Arial"/>
          <w:sz w:val="24"/>
          <w:szCs w:val="24"/>
          <w:lang w:val="en-NZ"/>
        </w:rPr>
        <w:t xml:space="preserve">This service specification </w:t>
      </w:r>
      <w:r w:rsidR="0015297A" w:rsidRPr="00FD4E91">
        <w:rPr>
          <w:rFonts w:cs="Arial"/>
          <w:sz w:val="24"/>
          <w:szCs w:val="24"/>
        </w:rPr>
        <w:t xml:space="preserve">must be used in conjunction with </w:t>
      </w:r>
      <w:bookmarkEnd w:id="43"/>
      <w:r w:rsidR="00E816B0" w:rsidRPr="00FD4E91">
        <w:rPr>
          <w:rFonts w:cs="Arial"/>
          <w:sz w:val="24"/>
          <w:szCs w:val="24"/>
        </w:rPr>
        <w:t xml:space="preserve">the tier one Mental Health and Addiction </w:t>
      </w:r>
      <w:r w:rsidR="00DE0803" w:rsidRPr="00FD4E91">
        <w:rPr>
          <w:rFonts w:cs="Arial"/>
          <w:sz w:val="24"/>
          <w:szCs w:val="24"/>
        </w:rPr>
        <w:t xml:space="preserve">Services </w:t>
      </w:r>
      <w:r w:rsidR="00E816B0" w:rsidRPr="00FD4E91">
        <w:rPr>
          <w:rFonts w:cs="Arial"/>
          <w:sz w:val="24"/>
          <w:szCs w:val="24"/>
        </w:rPr>
        <w:t xml:space="preserve">service specification, </w:t>
      </w:r>
      <w:r w:rsidRPr="00FD4E91">
        <w:rPr>
          <w:rFonts w:cs="Arial"/>
          <w:sz w:val="24"/>
          <w:szCs w:val="24"/>
        </w:rPr>
        <w:t xml:space="preserve">tier two Infant, Child, Adolescent and Youth Mental Health service specification </w:t>
      </w:r>
      <w:r w:rsidR="00E816B0" w:rsidRPr="00FD4E91">
        <w:rPr>
          <w:rFonts w:cs="Arial"/>
          <w:sz w:val="24"/>
          <w:szCs w:val="24"/>
        </w:rPr>
        <w:t xml:space="preserve">and one of </w:t>
      </w:r>
      <w:r w:rsidR="00027868" w:rsidRPr="00FD4E91">
        <w:rPr>
          <w:rFonts w:cs="Arial"/>
          <w:sz w:val="24"/>
          <w:szCs w:val="24"/>
        </w:rPr>
        <w:t xml:space="preserve">a range of tier three </w:t>
      </w:r>
      <w:r w:rsidR="00B510DF" w:rsidRPr="00FD4E91">
        <w:rPr>
          <w:rFonts w:cs="Arial"/>
          <w:sz w:val="24"/>
          <w:szCs w:val="24"/>
        </w:rPr>
        <w:t>Youth Forensic</w:t>
      </w:r>
      <w:r w:rsidR="00027868" w:rsidRPr="00FD4E91">
        <w:rPr>
          <w:rFonts w:cs="Arial"/>
          <w:sz w:val="24"/>
          <w:szCs w:val="24"/>
        </w:rPr>
        <w:t xml:space="preserve"> Mental Health </w:t>
      </w:r>
      <w:r w:rsidR="00B510DF" w:rsidRPr="00FD4E91">
        <w:rPr>
          <w:rFonts w:cs="Arial"/>
          <w:sz w:val="24"/>
          <w:szCs w:val="24"/>
        </w:rPr>
        <w:t xml:space="preserve">and Addiction </w:t>
      </w:r>
      <w:r w:rsidR="00027868" w:rsidRPr="00FD4E91">
        <w:rPr>
          <w:rFonts w:cs="Arial"/>
          <w:sz w:val="24"/>
          <w:szCs w:val="24"/>
        </w:rPr>
        <w:t>service specifications</w:t>
      </w:r>
      <w:r w:rsidR="00AB061A">
        <w:rPr>
          <w:rFonts w:cs="Arial"/>
          <w:sz w:val="24"/>
          <w:szCs w:val="24"/>
        </w:rPr>
        <w:t xml:space="preserve"> listed in section 10 below</w:t>
      </w:r>
      <w:r w:rsidR="00027868" w:rsidRPr="00FD4E91">
        <w:rPr>
          <w:rFonts w:cs="Arial"/>
          <w:sz w:val="24"/>
          <w:szCs w:val="24"/>
        </w:rPr>
        <w:t>.</w:t>
      </w:r>
      <w:r w:rsidR="00563AED" w:rsidRPr="00563AED">
        <w:rPr>
          <w:rFonts w:cs="Arial"/>
          <w:sz w:val="24"/>
          <w:szCs w:val="24"/>
        </w:rPr>
        <w:t xml:space="preserve"> </w:t>
      </w:r>
      <w:r w:rsidR="00563AED">
        <w:rPr>
          <w:rFonts w:cs="Arial"/>
          <w:sz w:val="24"/>
          <w:szCs w:val="24"/>
        </w:rPr>
        <w:t>Local DHB service specifications may also be included under this service specification as appropriate.</w:t>
      </w:r>
    </w:p>
    <w:p w:rsidR="00027868" w:rsidRPr="00FD4E91" w:rsidRDefault="00B510DF" w:rsidP="00DE0803">
      <w:pPr>
        <w:spacing w:before="240"/>
        <w:rPr>
          <w:rFonts w:cs="Arial"/>
          <w:b/>
          <w:sz w:val="24"/>
          <w:szCs w:val="24"/>
        </w:rPr>
      </w:pPr>
      <w:bookmarkStart w:id="44" w:name="_Toc215319135"/>
      <w:r w:rsidRPr="00FD4E91">
        <w:rPr>
          <w:rFonts w:cs="Arial"/>
          <w:b/>
          <w:sz w:val="24"/>
          <w:szCs w:val="24"/>
        </w:rPr>
        <w:t>1.</w:t>
      </w:r>
      <w:r w:rsidR="001466FD" w:rsidRPr="00FD4E91">
        <w:rPr>
          <w:rFonts w:cs="Arial"/>
          <w:b/>
          <w:sz w:val="24"/>
          <w:szCs w:val="24"/>
        </w:rPr>
        <w:tab/>
      </w:r>
      <w:r w:rsidR="00027868" w:rsidRPr="00FD4E91">
        <w:rPr>
          <w:rFonts w:cs="Arial"/>
          <w:b/>
          <w:sz w:val="24"/>
          <w:szCs w:val="24"/>
        </w:rPr>
        <w:t>Service Definition</w:t>
      </w:r>
      <w:bookmarkEnd w:id="44"/>
    </w:p>
    <w:p w:rsidR="00A2293F" w:rsidRPr="00FD4E91" w:rsidRDefault="00A2293F" w:rsidP="00D13F0B">
      <w:pPr>
        <w:spacing w:before="120" w:after="120"/>
        <w:rPr>
          <w:rFonts w:cs="Arial"/>
          <w:sz w:val="24"/>
          <w:szCs w:val="24"/>
        </w:rPr>
      </w:pPr>
      <w:r w:rsidRPr="00FD4E91">
        <w:rPr>
          <w:rFonts w:cs="Arial"/>
          <w:sz w:val="24"/>
          <w:szCs w:val="24"/>
        </w:rPr>
        <w:t>Youth forensic services are specialist mental health and addiction services that exist to respond to the needs of young people who</w:t>
      </w:r>
      <w:r w:rsidR="00A23718" w:rsidRPr="00FD4E91">
        <w:rPr>
          <w:rFonts w:cs="Arial"/>
          <w:sz w:val="24"/>
          <w:szCs w:val="24"/>
        </w:rPr>
        <w:t xml:space="preserve"> </w:t>
      </w:r>
      <w:r w:rsidRPr="00FD4E91">
        <w:rPr>
          <w:rFonts w:cs="Arial"/>
          <w:sz w:val="24"/>
          <w:szCs w:val="24"/>
        </w:rPr>
        <w:t>are or may be severely affected by mental health and</w:t>
      </w:r>
      <w:r w:rsidR="00A23718" w:rsidRPr="00FD4E91">
        <w:rPr>
          <w:rFonts w:cs="Arial"/>
          <w:sz w:val="24"/>
          <w:szCs w:val="24"/>
        </w:rPr>
        <w:t xml:space="preserve"> </w:t>
      </w:r>
      <w:r w:rsidRPr="00FD4E91">
        <w:rPr>
          <w:rFonts w:cs="Arial"/>
          <w:sz w:val="24"/>
          <w:szCs w:val="24"/>
        </w:rPr>
        <w:t xml:space="preserve">or alcohol and other drug (AOD) problems and have </w:t>
      </w:r>
      <w:r w:rsidR="00CE24EB" w:rsidRPr="00FD4E91">
        <w:rPr>
          <w:rFonts w:cs="Arial"/>
          <w:sz w:val="24"/>
          <w:szCs w:val="24"/>
        </w:rPr>
        <w:t xml:space="preserve">seriously </w:t>
      </w:r>
      <w:r w:rsidRPr="00FD4E91">
        <w:rPr>
          <w:rFonts w:cs="Arial"/>
          <w:sz w:val="24"/>
          <w:szCs w:val="24"/>
        </w:rPr>
        <w:t xml:space="preserve">offended, </w:t>
      </w:r>
      <w:r w:rsidR="00CE24EB" w:rsidRPr="00FD4E91">
        <w:rPr>
          <w:rFonts w:cs="Arial"/>
          <w:sz w:val="24"/>
          <w:szCs w:val="24"/>
        </w:rPr>
        <w:t xml:space="preserve">or </w:t>
      </w:r>
      <w:r w:rsidRPr="00FD4E91">
        <w:rPr>
          <w:rFonts w:cs="Arial"/>
          <w:sz w:val="24"/>
          <w:szCs w:val="24"/>
        </w:rPr>
        <w:t xml:space="preserve">are alleged to have </w:t>
      </w:r>
      <w:r w:rsidR="00CE24EB" w:rsidRPr="00FD4E91">
        <w:rPr>
          <w:rFonts w:cs="Arial"/>
          <w:sz w:val="24"/>
          <w:szCs w:val="24"/>
        </w:rPr>
        <w:t xml:space="preserve">seriously </w:t>
      </w:r>
      <w:r w:rsidRPr="00FD4E91">
        <w:rPr>
          <w:rFonts w:cs="Arial"/>
          <w:sz w:val="24"/>
          <w:szCs w:val="24"/>
        </w:rPr>
        <w:t>offended</w:t>
      </w:r>
      <w:r w:rsidR="00CE24EB" w:rsidRPr="00FD4E91">
        <w:rPr>
          <w:rFonts w:cs="Arial"/>
          <w:sz w:val="24"/>
          <w:szCs w:val="24"/>
        </w:rPr>
        <w:t>.</w:t>
      </w:r>
      <w:r w:rsidRPr="00FD4E91">
        <w:rPr>
          <w:rFonts w:cs="Arial"/>
          <w:sz w:val="24"/>
          <w:szCs w:val="24"/>
        </w:rPr>
        <w:t xml:space="preserve"> </w:t>
      </w:r>
      <w:r w:rsidR="009610B8" w:rsidRPr="00FD4E91">
        <w:rPr>
          <w:rFonts w:cs="Arial"/>
          <w:sz w:val="24"/>
          <w:szCs w:val="24"/>
        </w:rPr>
        <w:t xml:space="preserve"> </w:t>
      </w:r>
      <w:r w:rsidRPr="00FD4E91">
        <w:rPr>
          <w:rFonts w:cs="Arial"/>
          <w:sz w:val="24"/>
          <w:szCs w:val="24"/>
        </w:rPr>
        <w:t xml:space="preserve">More specifically youth forensic services have a core responsibility to </w:t>
      </w:r>
      <w:r w:rsidR="00CE24EB" w:rsidRPr="00FD4E91">
        <w:rPr>
          <w:rFonts w:cs="Arial"/>
          <w:sz w:val="24"/>
          <w:szCs w:val="24"/>
        </w:rPr>
        <w:t>provide in a developmental</w:t>
      </w:r>
      <w:r w:rsidR="006778B0" w:rsidRPr="00FD4E91">
        <w:rPr>
          <w:rFonts w:cs="Arial"/>
          <w:sz w:val="24"/>
          <w:szCs w:val="24"/>
        </w:rPr>
        <w:t>ly</w:t>
      </w:r>
      <w:r w:rsidR="00CE24EB" w:rsidRPr="00FD4E91">
        <w:rPr>
          <w:rFonts w:cs="Arial"/>
          <w:sz w:val="24"/>
          <w:szCs w:val="24"/>
        </w:rPr>
        <w:t xml:space="preserve"> and culturally appropriate way</w:t>
      </w:r>
      <w:r w:rsidR="006778B0" w:rsidRPr="00FD4E91">
        <w:rPr>
          <w:rFonts w:cs="Arial"/>
          <w:sz w:val="24"/>
          <w:szCs w:val="24"/>
        </w:rPr>
        <w:t xml:space="preserve"> the following</w:t>
      </w:r>
      <w:r w:rsidRPr="00FD4E91">
        <w:rPr>
          <w:rFonts w:cs="Arial"/>
          <w:sz w:val="24"/>
          <w:szCs w:val="24"/>
        </w:rPr>
        <w:t>:</w:t>
      </w:r>
    </w:p>
    <w:p w:rsidR="00A23718" w:rsidRPr="00FD4E91" w:rsidRDefault="00A2293F" w:rsidP="005F44E0">
      <w:pPr>
        <w:numPr>
          <w:ilvl w:val="0"/>
          <w:numId w:val="13"/>
        </w:numPr>
        <w:tabs>
          <w:tab w:val="clear" w:pos="360"/>
          <w:tab w:val="num" w:pos="540"/>
        </w:tabs>
        <w:spacing w:before="120"/>
        <w:ind w:left="539" w:hanging="539"/>
        <w:rPr>
          <w:rFonts w:cs="Arial"/>
          <w:sz w:val="24"/>
          <w:szCs w:val="24"/>
        </w:rPr>
      </w:pPr>
      <w:r w:rsidRPr="00FD4E91">
        <w:rPr>
          <w:rFonts w:cs="Arial"/>
          <w:sz w:val="24"/>
          <w:szCs w:val="24"/>
        </w:rPr>
        <w:t>the triage</w:t>
      </w:r>
      <w:r w:rsidR="00F51EC3" w:rsidRPr="00FD4E91">
        <w:rPr>
          <w:rFonts w:cs="Arial"/>
          <w:sz w:val="24"/>
          <w:szCs w:val="24"/>
        </w:rPr>
        <w:t>,</w:t>
      </w:r>
      <w:r w:rsidRPr="00FD4E91">
        <w:rPr>
          <w:rFonts w:cs="Arial"/>
          <w:sz w:val="24"/>
          <w:szCs w:val="24"/>
        </w:rPr>
        <w:t xml:space="preserve"> assessment </w:t>
      </w:r>
      <w:r w:rsidR="00F51EC3" w:rsidRPr="00FD4E91">
        <w:rPr>
          <w:rFonts w:cs="Arial"/>
          <w:sz w:val="24"/>
          <w:szCs w:val="24"/>
        </w:rPr>
        <w:t xml:space="preserve">and where appropriate treatment </w:t>
      </w:r>
      <w:r w:rsidRPr="00FD4E91">
        <w:rPr>
          <w:rFonts w:cs="Arial"/>
          <w:sz w:val="24"/>
          <w:szCs w:val="24"/>
        </w:rPr>
        <w:t xml:space="preserve">of those </w:t>
      </w:r>
      <w:r w:rsidR="00CE24EB" w:rsidRPr="00FD4E91">
        <w:rPr>
          <w:rFonts w:cs="Arial"/>
          <w:sz w:val="24"/>
          <w:szCs w:val="24"/>
        </w:rPr>
        <w:t xml:space="preserve">serious </w:t>
      </w:r>
      <w:r w:rsidRPr="00FD4E91">
        <w:rPr>
          <w:rFonts w:cs="Arial"/>
          <w:sz w:val="24"/>
          <w:szCs w:val="24"/>
        </w:rPr>
        <w:t>young offenders  who may be severely affected by mental health and/or AOD problems</w:t>
      </w:r>
    </w:p>
    <w:p w:rsidR="008C2EAC" w:rsidRPr="00FD4E91" w:rsidRDefault="008C2EAC" w:rsidP="005F44E0">
      <w:pPr>
        <w:numPr>
          <w:ilvl w:val="0"/>
          <w:numId w:val="13"/>
        </w:numPr>
        <w:tabs>
          <w:tab w:val="clear" w:pos="360"/>
          <w:tab w:val="num" w:pos="540"/>
        </w:tabs>
        <w:spacing w:before="120"/>
        <w:ind w:left="539" w:hanging="539"/>
        <w:rPr>
          <w:rFonts w:cs="Arial"/>
          <w:sz w:val="24"/>
          <w:szCs w:val="24"/>
        </w:rPr>
      </w:pPr>
      <w:r w:rsidRPr="00FD4E91">
        <w:rPr>
          <w:rFonts w:cs="Arial"/>
          <w:sz w:val="24"/>
          <w:szCs w:val="24"/>
        </w:rPr>
        <w:t>consultation and liaison service to adult forensic services for</w:t>
      </w:r>
      <w:r w:rsidR="00CE24EB" w:rsidRPr="00FD4E91">
        <w:rPr>
          <w:rFonts w:cs="Arial"/>
          <w:sz w:val="24"/>
          <w:szCs w:val="24"/>
        </w:rPr>
        <w:t xml:space="preserve"> </w:t>
      </w:r>
      <w:r w:rsidRPr="00FD4E91">
        <w:rPr>
          <w:rFonts w:cs="Arial"/>
          <w:sz w:val="24"/>
          <w:szCs w:val="24"/>
        </w:rPr>
        <w:t xml:space="preserve">young </w:t>
      </w:r>
      <w:r w:rsidR="00CE24EB" w:rsidRPr="00FD4E91">
        <w:rPr>
          <w:rFonts w:cs="Arial"/>
          <w:sz w:val="24"/>
          <w:szCs w:val="24"/>
        </w:rPr>
        <w:t xml:space="preserve">serious </w:t>
      </w:r>
      <w:r w:rsidRPr="00FD4E91">
        <w:rPr>
          <w:rFonts w:cs="Arial"/>
          <w:sz w:val="24"/>
          <w:szCs w:val="24"/>
        </w:rPr>
        <w:t xml:space="preserve">offenders </w:t>
      </w:r>
    </w:p>
    <w:p w:rsidR="008C2EAC" w:rsidRPr="00FD4E91" w:rsidRDefault="008C2EAC" w:rsidP="005F44E0">
      <w:pPr>
        <w:numPr>
          <w:ilvl w:val="0"/>
          <w:numId w:val="13"/>
        </w:numPr>
        <w:tabs>
          <w:tab w:val="clear" w:pos="360"/>
          <w:tab w:val="num" w:pos="540"/>
        </w:tabs>
        <w:spacing w:before="120"/>
        <w:ind w:left="539" w:hanging="539"/>
        <w:rPr>
          <w:rFonts w:cs="Arial"/>
          <w:sz w:val="24"/>
          <w:szCs w:val="24"/>
        </w:rPr>
      </w:pPr>
      <w:r w:rsidRPr="00FD4E91">
        <w:rPr>
          <w:rFonts w:cs="Arial"/>
          <w:sz w:val="24"/>
          <w:szCs w:val="24"/>
        </w:rPr>
        <w:t xml:space="preserve">service provision to young </w:t>
      </w:r>
      <w:r w:rsidR="00CE24EB" w:rsidRPr="00FD4E91">
        <w:rPr>
          <w:rFonts w:cs="Arial"/>
          <w:sz w:val="24"/>
          <w:szCs w:val="24"/>
        </w:rPr>
        <w:t xml:space="preserve">serious </w:t>
      </w:r>
      <w:r w:rsidRPr="00FD4E91">
        <w:rPr>
          <w:rFonts w:cs="Arial"/>
          <w:sz w:val="24"/>
          <w:szCs w:val="24"/>
        </w:rPr>
        <w:t>offenders detained</w:t>
      </w:r>
      <w:r w:rsidR="00804E71" w:rsidRPr="00FD4E91">
        <w:rPr>
          <w:rFonts w:cs="Arial"/>
          <w:sz w:val="24"/>
          <w:szCs w:val="24"/>
        </w:rPr>
        <w:t xml:space="preserve"> for </w:t>
      </w:r>
      <w:r w:rsidR="004E2BE9" w:rsidRPr="00FD4E91">
        <w:rPr>
          <w:rFonts w:cs="Arial"/>
          <w:sz w:val="24"/>
          <w:szCs w:val="24"/>
        </w:rPr>
        <w:t>purely indictable</w:t>
      </w:r>
      <w:r w:rsidR="00804E71" w:rsidRPr="00FD4E91">
        <w:rPr>
          <w:rFonts w:cs="Arial"/>
          <w:sz w:val="24"/>
          <w:szCs w:val="24"/>
        </w:rPr>
        <w:t xml:space="preserve"> offences</w:t>
      </w:r>
      <w:r w:rsidR="003F5D25" w:rsidRPr="00FD4E91">
        <w:rPr>
          <w:rStyle w:val="FootnoteReference"/>
          <w:rFonts w:cs="Arial"/>
          <w:sz w:val="24"/>
          <w:szCs w:val="24"/>
        </w:rPr>
        <w:footnoteReference w:id="1"/>
      </w:r>
      <w:r w:rsidRPr="00FD4E91">
        <w:rPr>
          <w:rFonts w:cs="Arial"/>
          <w:sz w:val="24"/>
          <w:szCs w:val="24"/>
        </w:rPr>
        <w:t xml:space="preserve"> and or </w:t>
      </w:r>
      <w:r w:rsidR="00CE24EB" w:rsidRPr="00FD4E91">
        <w:rPr>
          <w:rFonts w:cs="Arial"/>
          <w:sz w:val="24"/>
          <w:szCs w:val="24"/>
        </w:rPr>
        <w:t xml:space="preserve">who </w:t>
      </w:r>
      <w:r w:rsidRPr="00FD4E91">
        <w:rPr>
          <w:rFonts w:cs="Arial"/>
          <w:sz w:val="24"/>
          <w:szCs w:val="24"/>
        </w:rPr>
        <w:t>need secure inpatient treatment.</w:t>
      </w:r>
      <w:r w:rsidR="0015297A" w:rsidRPr="00FD4E91">
        <w:rPr>
          <w:rFonts w:cs="Arial"/>
          <w:sz w:val="24"/>
          <w:szCs w:val="24"/>
        </w:rPr>
        <w:t xml:space="preserve"> </w:t>
      </w:r>
      <w:r w:rsidR="00F150A8" w:rsidRPr="00FD4E91">
        <w:rPr>
          <w:rFonts w:cs="Arial"/>
          <w:sz w:val="24"/>
          <w:szCs w:val="24"/>
        </w:rPr>
        <w:t xml:space="preserve"> </w:t>
      </w:r>
      <w:r w:rsidR="0015297A" w:rsidRPr="00FD4E91">
        <w:rPr>
          <w:rFonts w:cs="Arial"/>
          <w:sz w:val="24"/>
          <w:szCs w:val="24"/>
        </w:rPr>
        <w:t>This will include a point of contact, triage and shared care a</w:t>
      </w:r>
      <w:r w:rsidR="00477CE7" w:rsidRPr="00FD4E91">
        <w:rPr>
          <w:rFonts w:cs="Arial"/>
          <w:sz w:val="24"/>
          <w:szCs w:val="24"/>
        </w:rPr>
        <w:t>rrangements</w:t>
      </w:r>
    </w:p>
    <w:p w:rsidR="00664AAE" w:rsidRPr="00FD4E91" w:rsidRDefault="00D13F0B" w:rsidP="005F44E0">
      <w:pPr>
        <w:numPr>
          <w:ilvl w:val="0"/>
          <w:numId w:val="13"/>
        </w:numPr>
        <w:tabs>
          <w:tab w:val="clear" w:pos="360"/>
          <w:tab w:val="num" w:pos="540"/>
        </w:tabs>
        <w:spacing w:before="120"/>
        <w:ind w:left="539" w:hanging="539"/>
        <w:rPr>
          <w:rFonts w:cs="Arial"/>
          <w:sz w:val="24"/>
          <w:szCs w:val="24"/>
        </w:rPr>
      </w:pPr>
      <w:r w:rsidRPr="00FD4E91">
        <w:rPr>
          <w:rFonts w:cs="Arial"/>
          <w:sz w:val="24"/>
          <w:szCs w:val="24"/>
        </w:rPr>
        <w:t>e</w:t>
      </w:r>
      <w:r w:rsidR="00664AAE" w:rsidRPr="00FD4E91">
        <w:rPr>
          <w:rFonts w:cs="Arial"/>
          <w:sz w:val="24"/>
          <w:szCs w:val="24"/>
        </w:rPr>
        <w:t>ducation to other agencies and groups about youth offending pertaining to mental health and alcohol and other drug issues, and about court processes</w:t>
      </w:r>
    </w:p>
    <w:p w:rsidR="005F44E0" w:rsidRPr="00FD4E91" w:rsidRDefault="005F44E0" w:rsidP="005F44E0">
      <w:pPr>
        <w:numPr>
          <w:ilvl w:val="0"/>
          <w:numId w:val="13"/>
        </w:numPr>
        <w:tabs>
          <w:tab w:val="clear" w:pos="360"/>
          <w:tab w:val="num" w:pos="540"/>
        </w:tabs>
        <w:spacing w:before="120"/>
        <w:ind w:left="540" w:hanging="540"/>
        <w:rPr>
          <w:rFonts w:cs="Arial"/>
          <w:sz w:val="24"/>
          <w:szCs w:val="24"/>
        </w:rPr>
      </w:pPr>
      <w:r w:rsidRPr="00FD4E91">
        <w:rPr>
          <w:rFonts w:cs="Arial"/>
          <w:sz w:val="24"/>
          <w:szCs w:val="24"/>
        </w:rPr>
        <w:t xml:space="preserve">a comprehensive system of risk management that promotes and protects the safety of the </w:t>
      </w:r>
      <w:r w:rsidR="007E218A" w:rsidRPr="00FD4E91">
        <w:rPr>
          <w:rFonts w:cs="Arial"/>
          <w:sz w:val="24"/>
          <w:szCs w:val="24"/>
        </w:rPr>
        <w:t>Service User</w:t>
      </w:r>
      <w:r w:rsidRPr="00FD4E91">
        <w:rPr>
          <w:rFonts w:cs="Arial"/>
          <w:sz w:val="24"/>
          <w:szCs w:val="24"/>
        </w:rPr>
        <w:t xml:space="preserve">s, staff and the community, reflecting that some </w:t>
      </w:r>
      <w:r w:rsidR="007E218A" w:rsidRPr="00FD4E91">
        <w:rPr>
          <w:rFonts w:cs="Arial"/>
          <w:sz w:val="24"/>
          <w:szCs w:val="24"/>
        </w:rPr>
        <w:t>Service User</w:t>
      </w:r>
      <w:r w:rsidRPr="00FD4E91">
        <w:rPr>
          <w:rFonts w:cs="Arial"/>
          <w:sz w:val="24"/>
          <w:szCs w:val="24"/>
        </w:rPr>
        <w:t>s may present a risk of suicide</w:t>
      </w:r>
      <w:r w:rsidR="003C081C" w:rsidRPr="00FD4E91">
        <w:rPr>
          <w:rFonts w:cs="Arial"/>
          <w:sz w:val="24"/>
          <w:szCs w:val="24"/>
        </w:rPr>
        <w:t xml:space="preserve">, </w:t>
      </w:r>
      <w:r w:rsidR="000A3A3B" w:rsidRPr="00FD4E91">
        <w:rPr>
          <w:rFonts w:cs="Arial"/>
          <w:sz w:val="24"/>
          <w:szCs w:val="24"/>
        </w:rPr>
        <w:t>self-harm</w:t>
      </w:r>
      <w:r w:rsidR="003C081C" w:rsidRPr="00FD4E91">
        <w:rPr>
          <w:rFonts w:cs="Arial"/>
          <w:sz w:val="24"/>
          <w:szCs w:val="24"/>
        </w:rPr>
        <w:t xml:space="preserve"> or danger to others.</w:t>
      </w:r>
    </w:p>
    <w:p w:rsidR="006624C9" w:rsidRPr="00FD4E91" w:rsidRDefault="008C2EAC" w:rsidP="00D13F0B">
      <w:pPr>
        <w:tabs>
          <w:tab w:val="left" w:pos="570"/>
        </w:tabs>
        <w:spacing w:before="120" w:after="120"/>
        <w:rPr>
          <w:rFonts w:cs="Arial"/>
          <w:sz w:val="24"/>
          <w:szCs w:val="24"/>
        </w:rPr>
      </w:pPr>
      <w:r w:rsidRPr="00FD4E91">
        <w:rPr>
          <w:rFonts w:cs="Arial"/>
          <w:sz w:val="24"/>
          <w:szCs w:val="24"/>
        </w:rPr>
        <w:t xml:space="preserve">Operating protocols </w:t>
      </w:r>
      <w:r w:rsidR="00804E71" w:rsidRPr="00FD4E91">
        <w:rPr>
          <w:rFonts w:cs="Arial"/>
          <w:sz w:val="24"/>
          <w:szCs w:val="24"/>
        </w:rPr>
        <w:t xml:space="preserve">and service level agreements (SLAs) </w:t>
      </w:r>
      <w:r w:rsidRPr="00FD4E91">
        <w:rPr>
          <w:rFonts w:cs="Arial"/>
          <w:sz w:val="24"/>
          <w:szCs w:val="24"/>
        </w:rPr>
        <w:t xml:space="preserve">will support </w:t>
      </w:r>
      <w:r w:rsidR="00F51EC3" w:rsidRPr="00FD4E91">
        <w:rPr>
          <w:rFonts w:cs="Arial"/>
          <w:sz w:val="24"/>
          <w:szCs w:val="24"/>
        </w:rPr>
        <w:t>collaboration across</w:t>
      </w:r>
      <w:r w:rsidRPr="00FD4E91">
        <w:rPr>
          <w:rFonts w:cs="Arial"/>
          <w:sz w:val="24"/>
          <w:szCs w:val="24"/>
        </w:rPr>
        <w:t xml:space="preserve"> youth forensic services, </w:t>
      </w:r>
      <w:r w:rsidR="003F5D25" w:rsidRPr="00FD4E91">
        <w:rPr>
          <w:rFonts w:cs="Arial"/>
          <w:sz w:val="24"/>
          <w:szCs w:val="24"/>
        </w:rPr>
        <w:t>Child and Adolescent Mental Health Service (</w:t>
      </w:r>
      <w:r w:rsidRPr="00FD4E91">
        <w:rPr>
          <w:rFonts w:cs="Arial"/>
          <w:sz w:val="24"/>
          <w:szCs w:val="24"/>
        </w:rPr>
        <w:t>CAMHS</w:t>
      </w:r>
      <w:r w:rsidR="003F5D25" w:rsidRPr="00FD4E91">
        <w:rPr>
          <w:rFonts w:cs="Arial"/>
          <w:sz w:val="24"/>
          <w:szCs w:val="24"/>
        </w:rPr>
        <w:t>)</w:t>
      </w:r>
      <w:r w:rsidR="00CE24EB" w:rsidRPr="00FD4E91">
        <w:rPr>
          <w:rFonts w:cs="Arial"/>
          <w:sz w:val="24"/>
          <w:szCs w:val="24"/>
        </w:rPr>
        <w:t>,</w:t>
      </w:r>
      <w:r w:rsidRPr="00FD4E91">
        <w:rPr>
          <w:rFonts w:cs="Arial"/>
          <w:sz w:val="24"/>
          <w:szCs w:val="24"/>
        </w:rPr>
        <w:t xml:space="preserve"> yout</w:t>
      </w:r>
      <w:r w:rsidR="003F5D25" w:rsidRPr="00FD4E91">
        <w:rPr>
          <w:rFonts w:cs="Arial"/>
          <w:sz w:val="24"/>
          <w:szCs w:val="24"/>
        </w:rPr>
        <w:t xml:space="preserve">h </w:t>
      </w:r>
      <w:r w:rsidRPr="00FD4E91">
        <w:rPr>
          <w:rFonts w:cs="Arial"/>
          <w:sz w:val="24"/>
          <w:szCs w:val="24"/>
        </w:rPr>
        <w:t>AOD services</w:t>
      </w:r>
      <w:r w:rsidR="00CE24EB" w:rsidRPr="00FD4E91">
        <w:rPr>
          <w:rFonts w:cs="Arial"/>
          <w:sz w:val="24"/>
          <w:szCs w:val="24"/>
        </w:rPr>
        <w:t xml:space="preserve">, </w:t>
      </w:r>
      <w:proofErr w:type="spellStart"/>
      <w:r w:rsidR="001857A7">
        <w:rPr>
          <w:rFonts w:cs="Arial"/>
          <w:sz w:val="24"/>
          <w:szCs w:val="24"/>
        </w:rPr>
        <w:t>Oranga</w:t>
      </w:r>
      <w:proofErr w:type="spellEnd"/>
      <w:r w:rsidR="001857A7">
        <w:rPr>
          <w:rFonts w:cs="Arial"/>
          <w:sz w:val="24"/>
          <w:szCs w:val="24"/>
        </w:rPr>
        <w:t xml:space="preserve"> Tamariki</w:t>
      </w:r>
      <w:r w:rsidR="00CE24EB" w:rsidRPr="00FD4E91">
        <w:rPr>
          <w:rFonts w:cs="Arial"/>
          <w:sz w:val="24"/>
          <w:szCs w:val="24"/>
        </w:rPr>
        <w:t xml:space="preserve">, </w:t>
      </w:r>
      <w:r w:rsidR="00B648E5">
        <w:rPr>
          <w:rFonts w:cs="Arial"/>
          <w:sz w:val="24"/>
          <w:szCs w:val="24"/>
        </w:rPr>
        <w:t xml:space="preserve">Ara </w:t>
      </w:r>
      <w:proofErr w:type="spellStart"/>
      <w:r w:rsidR="00B648E5">
        <w:rPr>
          <w:rFonts w:cs="Arial"/>
          <w:sz w:val="24"/>
          <w:szCs w:val="24"/>
        </w:rPr>
        <w:t>Poutama</w:t>
      </w:r>
      <w:proofErr w:type="spellEnd"/>
      <w:r w:rsidR="00B648E5">
        <w:rPr>
          <w:rFonts w:cs="Arial"/>
          <w:sz w:val="24"/>
          <w:szCs w:val="24"/>
        </w:rPr>
        <w:t xml:space="preserve"> Aotearoa</w:t>
      </w:r>
      <w:r w:rsidR="00CE24EB" w:rsidRPr="00FD4E91">
        <w:rPr>
          <w:rFonts w:cs="Arial"/>
          <w:sz w:val="24"/>
          <w:szCs w:val="24"/>
        </w:rPr>
        <w:t xml:space="preserve">, </w:t>
      </w:r>
      <w:r w:rsidR="003F5D25" w:rsidRPr="00FD4E91">
        <w:rPr>
          <w:rFonts w:cs="Arial"/>
          <w:sz w:val="24"/>
          <w:szCs w:val="24"/>
        </w:rPr>
        <w:t xml:space="preserve">the Ministry of </w:t>
      </w:r>
      <w:r w:rsidR="00CE24EB" w:rsidRPr="00FD4E91">
        <w:rPr>
          <w:rFonts w:cs="Arial"/>
          <w:sz w:val="24"/>
          <w:szCs w:val="24"/>
        </w:rPr>
        <w:t>Justice and the Courts</w:t>
      </w:r>
      <w:r w:rsidRPr="00FD4E91">
        <w:rPr>
          <w:rFonts w:cs="Arial"/>
          <w:sz w:val="24"/>
          <w:szCs w:val="24"/>
        </w:rPr>
        <w:t xml:space="preserve"> </w:t>
      </w:r>
      <w:r w:rsidR="003F5D25" w:rsidRPr="00FD4E91">
        <w:rPr>
          <w:rFonts w:cs="Arial"/>
          <w:sz w:val="24"/>
          <w:szCs w:val="24"/>
        </w:rPr>
        <w:t xml:space="preserve">of New Zealand </w:t>
      </w:r>
      <w:r w:rsidRPr="00FD4E91">
        <w:rPr>
          <w:rFonts w:cs="Arial"/>
          <w:sz w:val="24"/>
          <w:szCs w:val="24"/>
        </w:rPr>
        <w:t xml:space="preserve">in order to meet the needs of the youth </w:t>
      </w:r>
      <w:r w:rsidR="00CE24EB" w:rsidRPr="00FD4E91">
        <w:rPr>
          <w:rFonts w:cs="Arial"/>
          <w:sz w:val="24"/>
          <w:szCs w:val="24"/>
        </w:rPr>
        <w:t xml:space="preserve">serious </w:t>
      </w:r>
      <w:r w:rsidRPr="00FD4E91">
        <w:rPr>
          <w:rFonts w:cs="Arial"/>
          <w:sz w:val="24"/>
          <w:szCs w:val="24"/>
        </w:rPr>
        <w:t xml:space="preserve">offender. </w:t>
      </w:r>
    </w:p>
    <w:p w:rsidR="00027868" w:rsidRPr="00FD4E91" w:rsidRDefault="00B51975" w:rsidP="001C6CAE">
      <w:pPr>
        <w:spacing w:before="240" w:after="120"/>
        <w:ind w:left="567" w:hanging="567"/>
        <w:rPr>
          <w:rFonts w:cs="Arial"/>
          <w:b/>
          <w:sz w:val="24"/>
          <w:szCs w:val="24"/>
        </w:rPr>
      </w:pPr>
      <w:bookmarkStart w:id="45" w:name="_Toc215319136"/>
      <w:r w:rsidRPr="00FD4E91">
        <w:rPr>
          <w:rFonts w:cs="Arial"/>
          <w:b/>
          <w:sz w:val="24"/>
          <w:szCs w:val="24"/>
        </w:rPr>
        <w:t>2.</w:t>
      </w:r>
      <w:r w:rsidR="00D13F0B" w:rsidRPr="00FD4E91">
        <w:rPr>
          <w:rFonts w:cs="Arial"/>
          <w:b/>
          <w:sz w:val="24"/>
          <w:szCs w:val="24"/>
        </w:rPr>
        <w:tab/>
      </w:r>
      <w:r w:rsidR="00027868" w:rsidRPr="00FD4E91">
        <w:rPr>
          <w:rFonts w:cs="Arial"/>
          <w:b/>
          <w:sz w:val="24"/>
          <w:szCs w:val="24"/>
        </w:rPr>
        <w:t>Service Objectives</w:t>
      </w:r>
      <w:bookmarkEnd w:id="45"/>
    </w:p>
    <w:p w:rsidR="00F150A8" w:rsidRPr="00FD4E91" w:rsidRDefault="00F150A8" w:rsidP="00F85AAC">
      <w:pPr>
        <w:spacing w:before="120"/>
        <w:rPr>
          <w:rFonts w:cs="Arial"/>
          <w:sz w:val="24"/>
          <w:szCs w:val="24"/>
        </w:rPr>
      </w:pPr>
      <w:r w:rsidRPr="00FD4E91">
        <w:rPr>
          <w:rFonts w:cs="Arial"/>
          <w:b/>
          <w:sz w:val="24"/>
          <w:szCs w:val="24"/>
        </w:rPr>
        <w:t>2.1</w:t>
      </w:r>
      <w:r w:rsidRPr="00FD4E91">
        <w:rPr>
          <w:rFonts w:cs="Arial"/>
          <w:b/>
          <w:sz w:val="24"/>
          <w:szCs w:val="24"/>
        </w:rPr>
        <w:tab/>
        <w:t>General</w:t>
      </w:r>
      <w:r w:rsidRPr="00FD4E91">
        <w:rPr>
          <w:rFonts w:cs="Arial"/>
          <w:sz w:val="24"/>
          <w:szCs w:val="24"/>
        </w:rPr>
        <w:t xml:space="preserve"> </w:t>
      </w:r>
    </w:p>
    <w:p w:rsidR="00B51975" w:rsidRPr="00FD4E91" w:rsidRDefault="00F51EC3" w:rsidP="00F85AAC">
      <w:pPr>
        <w:spacing w:before="120"/>
        <w:rPr>
          <w:rFonts w:cs="Arial"/>
          <w:sz w:val="24"/>
          <w:szCs w:val="24"/>
          <w:lang w:val="en-NZ"/>
        </w:rPr>
      </w:pPr>
      <w:r w:rsidRPr="00FD4E91">
        <w:rPr>
          <w:rFonts w:cs="Arial"/>
          <w:sz w:val="24"/>
          <w:szCs w:val="24"/>
        </w:rPr>
        <w:t xml:space="preserve">The objective of the </w:t>
      </w:r>
      <w:r w:rsidR="003F5D25" w:rsidRPr="00FD4E91">
        <w:rPr>
          <w:rFonts w:cs="Arial"/>
          <w:sz w:val="24"/>
          <w:szCs w:val="24"/>
        </w:rPr>
        <w:t>S</w:t>
      </w:r>
      <w:r w:rsidRPr="00FD4E91">
        <w:rPr>
          <w:rFonts w:cs="Arial"/>
          <w:sz w:val="24"/>
          <w:szCs w:val="24"/>
        </w:rPr>
        <w:t xml:space="preserve">ervice </w:t>
      </w:r>
      <w:r w:rsidR="006778B0" w:rsidRPr="00FD4E91">
        <w:rPr>
          <w:rFonts w:cs="Arial"/>
          <w:sz w:val="24"/>
          <w:szCs w:val="24"/>
        </w:rPr>
        <w:t>is t</w:t>
      </w:r>
      <w:r w:rsidRPr="00FD4E91">
        <w:rPr>
          <w:rFonts w:cs="Arial"/>
          <w:sz w:val="24"/>
          <w:szCs w:val="24"/>
        </w:rPr>
        <w:t>o provide a multidisciplinary</w:t>
      </w:r>
      <w:r w:rsidR="006778B0" w:rsidRPr="00FD4E91">
        <w:rPr>
          <w:rFonts w:cs="Arial"/>
          <w:sz w:val="24"/>
          <w:szCs w:val="24"/>
        </w:rPr>
        <w:t xml:space="preserve"> mental health and addiction service for serious youth offenders who are or may be severely affected by mental health disorders and or alcohol and other drug disorders. </w:t>
      </w:r>
    </w:p>
    <w:p w:rsidR="00A56419" w:rsidRPr="00FD4E91" w:rsidRDefault="006778B0" w:rsidP="00F85AAC">
      <w:pPr>
        <w:spacing w:before="120"/>
        <w:rPr>
          <w:rFonts w:cs="Arial"/>
          <w:sz w:val="24"/>
          <w:szCs w:val="24"/>
          <w:lang w:val="en-NZ"/>
        </w:rPr>
      </w:pPr>
      <w:r w:rsidRPr="00FD4E91">
        <w:rPr>
          <w:rFonts w:cs="Arial"/>
          <w:sz w:val="24"/>
          <w:szCs w:val="24"/>
          <w:lang w:val="en-NZ"/>
        </w:rPr>
        <w:t xml:space="preserve">The </w:t>
      </w:r>
      <w:r w:rsidR="001466FD" w:rsidRPr="00FD4E91">
        <w:rPr>
          <w:rFonts w:cs="Arial"/>
          <w:sz w:val="24"/>
          <w:szCs w:val="24"/>
          <w:lang w:val="en-NZ"/>
        </w:rPr>
        <w:t>S</w:t>
      </w:r>
      <w:r w:rsidRPr="00FD4E91">
        <w:rPr>
          <w:rFonts w:cs="Arial"/>
          <w:sz w:val="24"/>
          <w:szCs w:val="24"/>
          <w:lang w:val="en-NZ"/>
        </w:rPr>
        <w:t xml:space="preserve">ervice will be </w:t>
      </w:r>
      <w:r w:rsidR="00B51975" w:rsidRPr="00FD4E91">
        <w:rPr>
          <w:rFonts w:cs="Arial"/>
          <w:sz w:val="24"/>
          <w:szCs w:val="24"/>
          <w:lang w:val="en-NZ"/>
        </w:rPr>
        <w:t>inclusive</w:t>
      </w:r>
      <w:r w:rsidR="008C2EAC" w:rsidRPr="00FD4E91">
        <w:rPr>
          <w:rFonts w:cs="Arial"/>
          <w:sz w:val="24"/>
          <w:szCs w:val="24"/>
          <w:lang w:val="en-NZ"/>
        </w:rPr>
        <w:t xml:space="preserve"> of </w:t>
      </w:r>
      <w:r w:rsidR="007E218A" w:rsidRPr="00FD4E91">
        <w:rPr>
          <w:rFonts w:cs="Arial"/>
          <w:sz w:val="24"/>
          <w:szCs w:val="24"/>
          <w:lang w:val="en-NZ"/>
        </w:rPr>
        <w:t>Service User</w:t>
      </w:r>
      <w:r w:rsidR="008C2EAC" w:rsidRPr="00FD4E91">
        <w:rPr>
          <w:rFonts w:cs="Arial"/>
          <w:sz w:val="24"/>
          <w:szCs w:val="24"/>
          <w:lang w:val="en-NZ"/>
        </w:rPr>
        <w:t>s’ families and wh</w:t>
      </w:r>
      <w:r w:rsidR="00F85AAC" w:rsidRPr="00FD4E91">
        <w:rPr>
          <w:rFonts w:cs="Arial"/>
          <w:sz w:val="24"/>
          <w:szCs w:val="24"/>
          <w:lang w:val="en-NZ"/>
        </w:rPr>
        <w:t>ā</w:t>
      </w:r>
      <w:r w:rsidR="008C2EAC" w:rsidRPr="00FD4E91">
        <w:rPr>
          <w:rFonts w:cs="Arial"/>
          <w:sz w:val="24"/>
          <w:szCs w:val="24"/>
          <w:lang w:val="en-NZ"/>
        </w:rPr>
        <w:t>nau</w:t>
      </w:r>
      <w:r w:rsidRPr="00FD4E91">
        <w:rPr>
          <w:rFonts w:cs="Arial"/>
          <w:sz w:val="24"/>
          <w:szCs w:val="24"/>
          <w:lang w:val="en-NZ"/>
        </w:rPr>
        <w:t>, and will</w:t>
      </w:r>
      <w:r w:rsidR="00A56419" w:rsidRPr="00FD4E91">
        <w:rPr>
          <w:rFonts w:cs="Arial"/>
          <w:sz w:val="24"/>
          <w:szCs w:val="24"/>
          <w:lang w:val="en-NZ"/>
        </w:rPr>
        <w:t xml:space="preserve"> enhanc</w:t>
      </w:r>
      <w:r w:rsidR="00284EA9" w:rsidRPr="00FD4E91">
        <w:rPr>
          <w:rFonts w:cs="Arial"/>
          <w:sz w:val="24"/>
          <w:szCs w:val="24"/>
          <w:lang w:val="en-NZ"/>
        </w:rPr>
        <w:t xml:space="preserve">e </w:t>
      </w:r>
      <w:r w:rsidR="00A56419" w:rsidRPr="00FD4E91">
        <w:rPr>
          <w:rFonts w:cs="Arial"/>
          <w:sz w:val="24"/>
          <w:szCs w:val="24"/>
          <w:lang w:val="en-NZ"/>
        </w:rPr>
        <w:t>wellbeing and preserv</w:t>
      </w:r>
      <w:r w:rsidR="00284EA9" w:rsidRPr="00FD4E91">
        <w:rPr>
          <w:rFonts w:cs="Arial"/>
          <w:sz w:val="24"/>
          <w:szCs w:val="24"/>
          <w:lang w:val="en-NZ"/>
        </w:rPr>
        <w:t>e</w:t>
      </w:r>
      <w:r w:rsidRPr="00FD4E91">
        <w:rPr>
          <w:rFonts w:cs="Arial"/>
          <w:sz w:val="24"/>
          <w:szCs w:val="24"/>
          <w:lang w:val="en-NZ"/>
        </w:rPr>
        <w:t xml:space="preserve"> the individual </w:t>
      </w:r>
      <w:r w:rsidR="007E218A" w:rsidRPr="00FD4E91">
        <w:rPr>
          <w:rFonts w:cs="Arial"/>
          <w:sz w:val="24"/>
          <w:szCs w:val="24"/>
          <w:lang w:val="en-NZ"/>
        </w:rPr>
        <w:t>Service User</w:t>
      </w:r>
      <w:r w:rsidRPr="00FD4E91">
        <w:rPr>
          <w:rFonts w:cs="Arial"/>
          <w:sz w:val="24"/>
          <w:szCs w:val="24"/>
          <w:lang w:val="en-NZ"/>
        </w:rPr>
        <w:t>’s</w:t>
      </w:r>
      <w:r w:rsidR="00A56419" w:rsidRPr="00FD4E91">
        <w:rPr>
          <w:rFonts w:cs="Arial"/>
          <w:sz w:val="24"/>
          <w:szCs w:val="24"/>
          <w:lang w:val="en-NZ"/>
        </w:rPr>
        <w:t xml:space="preserve"> dignity</w:t>
      </w:r>
      <w:r w:rsidRPr="00FD4E91">
        <w:rPr>
          <w:rFonts w:cs="Arial"/>
          <w:sz w:val="24"/>
          <w:szCs w:val="24"/>
          <w:lang w:val="en-NZ"/>
        </w:rPr>
        <w:t>.</w:t>
      </w:r>
    </w:p>
    <w:p w:rsidR="00F150A8" w:rsidRPr="00FD4E91" w:rsidRDefault="000A3D49" w:rsidP="00F150A8">
      <w:pPr>
        <w:spacing w:after="120"/>
        <w:rPr>
          <w:rFonts w:cs="Arial"/>
          <w:sz w:val="24"/>
          <w:szCs w:val="24"/>
          <w:lang w:val="en-NZ"/>
        </w:rPr>
      </w:pPr>
      <w:r w:rsidRPr="00FD4E91">
        <w:rPr>
          <w:rFonts w:cs="Arial"/>
          <w:sz w:val="24"/>
          <w:szCs w:val="24"/>
          <w:lang w:val="en-NZ"/>
        </w:rPr>
        <w:lastRenderedPageBreak/>
        <w:t xml:space="preserve">The fundamental principle for forensic mental health services is that all people have the right to expect the same level of mental health services, based on need, as others in the general population.  </w:t>
      </w:r>
    </w:p>
    <w:p w:rsidR="000A3D49" w:rsidRPr="00FD4E91" w:rsidRDefault="000A3D49" w:rsidP="00F150A8">
      <w:pPr>
        <w:spacing w:after="120"/>
        <w:rPr>
          <w:rFonts w:cs="Arial"/>
          <w:sz w:val="24"/>
          <w:szCs w:val="24"/>
        </w:rPr>
      </w:pPr>
      <w:r w:rsidRPr="00FD4E91">
        <w:rPr>
          <w:rFonts w:cs="Arial"/>
          <w:sz w:val="24"/>
          <w:szCs w:val="24"/>
          <w:lang w:val="en-NZ"/>
        </w:rPr>
        <w:t xml:space="preserve">People accessing forensic mental health services may present with </w:t>
      </w:r>
      <w:r w:rsidRPr="00FD4E91">
        <w:rPr>
          <w:rFonts w:cs="Arial"/>
          <w:sz w:val="24"/>
          <w:szCs w:val="24"/>
        </w:rPr>
        <w:t>complex issues due to socio-economic determinants, trauma, violence, alcohol and other substance misuse, offending and their illness.  Services will assist them to meet these challenges establishing a sense of purpose and hope.</w:t>
      </w:r>
    </w:p>
    <w:p w:rsidR="00027868" w:rsidRPr="00FD4E91" w:rsidRDefault="00027868" w:rsidP="00027868">
      <w:pPr>
        <w:tabs>
          <w:tab w:val="left" w:pos="570"/>
        </w:tabs>
        <w:spacing w:before="120" w:after="60"/>
        <w:rPr>
          <w:rFonts w:cs="Arial"/>
          <w:b/>
          <w:sz w:val="24"/>
          <w:szCs w:val="24"/>
        </w:rPr>
      </w:pPr>
      <w:bookmarkStart w:id="46" w:name="_Toc215319138"/>
      <w:r w:rsidRPr="00FD4E91">
        <w:rPr>
          <w:rFonts w:cs="Arial"/>
          <w:b/>
          <w:sz w:val="24"/>
          <w:szCs w:val="24"/>
        </w:rPr>
        <w:t>2.</w:t>
      </w:r>
      <w:r w:rsidR="00F150A8" w:rsidRPr="00FD4E91">
        <w:rPr>
          <w:rFonts w:cs="Arial"/>
          <w:b/>
          <w:sz w:val="24"/>
          <w:szCs w:val="24"/>
        </w:rPr>
        <w:t>2</w:t>
      </w:r>
      <w:r w:rsidRPr="00FD4E91">
        <w:rPr>
          <w:rFonts w:cs="Arial"/>
          <w:b/>
          <w:sz w:val="24"/>
          <w:szCs w:val="24"/>
        </w:rPr>
        <w:tab/>
        <w:t>M</w:t>
      </w:r>
      <w:r w:rsidR="001466FD" w:rsidRPr="00FD4E91">
        <w:rPr>
          <w:rFonts w:cs="Arial"/>
          <w:b/>
          <w:sz w:val="24"/>
          <w:szCs w:val="24"/>
        </w:rPr>
        <w:t>ā</w:t>
      </w:r>
      <w:r w:rsidRPr="00FD4E91">
        <w:rPr>
          <w:rFonts w:cs="Arial"/>
          <w:b/>
          <w:sz w:val="24"/>
          <w:szCs w:val="24"/>
        </w:rPr>
        <w:t>ori Health</w:t>
      </w:r>
      <w:bookmarkEnd w:id="46"/>
    </w:p>
    <w:p w:rsidR="00027868" w:rsidRPr="00FD4E91" w:rsidRDefault="00117CF8" w:rsidP="00027868">
      <w:pPr>
        <w:spacing w:before="120"/>
        <w:rPr>
          <w:rFonts w:cs="Arial"/>
          <w:sz w:val="24"/>
          <w:szCs w:val="24"/>
        </w:rPr>
      </w:pPr>
      <w:bookmarkStart w:id="47" w:name="_Toc215319139"/>
      <w:r w:rsidRPr="00FD4E91">
        <w:rPr>
          <w:rFonts w:cs="Arial"/>
          <w:sz w:val="24"/>
          <w:szCs w:val="24"/>
        </w:rPr>
        <w:t xml:space="preserve">Refer to </w:t>
      </w:r>
      <w:r w:rsidR="003C081C" w:rsidRPr="00FD4E91">
        <w:rPr>
          <w:rFonts w:cs="Arial"/>
          <w:sz w:val="24"/>
          <w:szCs w:val="24"/>
        </w:rPr>
        <w:t xml:space="preserve">the </w:t>
      </w:r>
      <w:r w:rsidRPr="00FD4E91">
        <w:rPr>
          <w:rFonts w:cs="Arial"/>
          <w:sz w:val="24"/>
          <w:szCs w:val="24"/>
        </w:rPr>
        <w:t xml:space="preserve">tier one Mental Health and Addiction </w:t>
      </w:r>
      <w:r w:rsidR="00AA525C" w:rsidRPr="00FD4E91">
        <w:rPr>
          <w:rFonts w:cs="Arial"/>
          <w:sz w:val="24"/>
          <w:szCs w:val="24"/>
        </w:rPr>
        <w:t xml:space="preserve">Services </w:t>
      </w:r>
      <w:r w:rsidRPr="00FD4E91">
        <w:rPr>
          <w:rFonts w:cs="Arial"/>
          <w:sz w:val="24"/>
          <w:szCs w:val="24"/>
        </w:rPr>
        <w:t>service specification</w:t>
      </w:r>
      <w:r w:rsidR="00027868" w:rsidRPr="00FD4E91">
        <w:rPr>
          <w:rFonts w:cs="Arial"/>
          <w:sz w:val="24"/>
          <w:szCs w:val="24"/>
        </w:rPr>
        <w:t>.</w:t>
      </w:r>
      <w:bookmarkEnd w:id="47"/>
    </w:p>
    <w:p w:rsidR="00B51975" w:rsidRPr="00FD4E91" w:rsidRDefault="00B51975" w:rsidP="00027868">
      <w:pPr>
        <w:spacing w:before="120"/>
        <w:rPr>
          <w:rFonts w:cs="Arial"/>
          <w:sz w:val="24"/>
          <w:szCs w:val="24"/>
        </w:rPr>
      </w:pPr>
      <w:r w:rsidRPr="00FD4E91">
        <w:rPr>
          <w:rFonts w:cs="Arial"/>
          <w:sz w:val="24"/>
          <w:szCs w:val="24"/>
        </w:rPr>
        <w:t>Additionally</w:t>
      </w:r>
      <w:r w:rsidR="00F3454A" w:rsidRPr="00FD4E91">
        <w:rPr>
          <w:rFonts w:cs="Arial"/>
          <w:sz w:val="24"/>
          <w:szCs w:val="24"/>
        </w:rPr>
        <w:t>, DHBs will identify the local and regional needs of their population and apply specific service models that reflect that</w:t>
      </w:r>
      <w:r w:rsidR="0004067E" w:rsidRPr="00FD4E91">
        <w:rPr>
          <w:rFonts w:cs="Arial"/>
          <w:sz w:val="24"/>
          <w:szCs w:val="24"/>
        </w:rPr>
        <w:t>,</w:t>
      </w:r>
      <w:r w:rsidR="00F3454A" w:rsidRPr="00FD4E91">
        <w:rPr>
          <w:rFonts w:cs="Arial"/>
          <w:sz w:val="24"/>
          <w:szCs w:val="24"/>
        </w:rPr>
        <w:t xml:space="preserve"> for example </w:t>
      </w:r>
      <w:r w:rsidR="00EC3522">
        <w:rPr>
          <w:rFonts w:cs="Arial"/>
          <w:sz w:val="24"/>
          <w:szCs w:val="24"/>
        </w:rPr>
        <w:t>a k</w:t>
      </w:r>
      <w:r w:rsidR="00F3454A" w:rsidRPr="00FD4E91">
        <w:rPr>
          <w:rFonts w:cs="Arial"/>
          <w:sz w:val="24"/>
          <w:szCs w:val="24"/>
        </w:rPr>
        <w:t>aupapa M</w:t>
      </w:r>
      <w:r w:rsidR="001466FD" w:rsidRPr="00FD4E91">
        <w:rPr>
          <w:rFonts w:cs="Arial"/>
          <w:sz w:val="24"/>
          <w:szCs w:val="24"/>
        </w:rPr>
        <w:t>ā</w:t>
      </w:r>
      <w:r w:rsidR="00F3454A" w:rsidRPr="00FD4E91">
        <w:rPr>
          <w:rFonts w:cs="Arial"/>
          <w:sz w:val="24"/>
          <w:szCs w:val="24"/>
        </w:rPr>
        <w:t>ori service model</w:t>
      </w:r>
      <w:r w:rsidR="00EC3522">
        <w:rPr>
          <w:rFonts w:cs="Arial"/>
          <w:sz w:val="24"/>
          <w:szCs w:val="24"/>
        </w:rPr>
        <w:t xml:space="preserve"> given that the majority of Service Users in all regions are </w:t>
      </w:r>
      <w:r w:rsidR="00EC3522" w:rsidRPr="00FD4E91">
        <w:rPr>
          <w:rFonts w:cs="Arial"/>
          <w:sz w:val="24"/>
          <w:szCs w:val="24"/>
        </w:rPr>
        <w:t>Māori</w:t>
      </w:r>
      <w:r w:rsidR="00F3454A" w:rsidRPr="00FD4E91">
        <w:rPr>
          <w:rFonts w:cs="Arial"/>
          <w:sz w:val="24"/>
          <w:szCs w:val="24"/>
        </w:rPr>
        <w:t>.</w:t>
      </w:r>
    </w:p>
    <w:p w:rsidR="00027868" w:rsidRPr="00FD4E91" w:rsidRDefault="00027868" w:rsidP="005F44E0">
      <w:pPr>
        <w:tabs>
          <w:tab w:val="left" w:pos="570"/>
        </w:tabs>
        <w:spacing w:before="120" w:after="120"/>
        <w:rPr>
          <w:rFonts w:cs="Arial"/>
          <w:b/>
          <w:sz w:val="24"/>
          <w:szCs w:val="24"/>
        </w:rPr>
      </w:pPr>
      <w:bookmarkStart w:id="48" w:name="_Toc215319140"/>
      <w:r w:rsidRPr="00FD4E91">
        <w:rPr>
          <w:rFonts w:cs="Arial"/>
          <w:b/>
          <w:sz w:val="24"/>
          <w:szCs w:val="24"/>
        </w:rPr>
        <w:t>3.</w:t>
      </w:r>
      <w:r w:rsidRPr="00FD4E91">
        <w:rPr>
          <w:rFonts w:cs="Arial"/>
          <w:b/>
          <w:sz w:val="24"/>
          <w:szCs w:val="24"/>
        </w:rPr>
        <w:tab/>
      </w:r>
      <w:r w:rsidR="007E218A" w:rsidRPr="00FD4E91">
        <w:rPr>
          <w:rFonts w:cs="Arial"/>
          <w:b/>
          <w:sz w:val="24"/>
          <w:szCs w:val="24"/>
        </w:rPr>
        <w:t>Service User</w:t>
      </w:r>
      <w:r w:rsidRPr="00FD4E91">
        <w:rPr>
          <w:rFonts w:cs="Arial"/>
          <w:b/>
          <w:sz w:val="24"/>
          <w:szCs w:val="24"/>
        </w:rPr>
        <w:t>s</w:t>
      </w:r>
      <w:bookmarkEnd w:id="48"/>
    </w:p>
    <w:p w:rsidR="00F51EC3" w:rsidRPr="00FD4E91" w:rsidRDefault="00F51EC3" w:rsidP="00F51EC3">
      <w:pPr>
        <w:spacing w:before="120"/>
        <w:rPr>
          <w:rFonts w:cs="Arial"/>
          <w:sz w:val="24"/>
          <w:szCs w:val="24"/>
        </w:rPr>
      </w:pPr>
      <w:r w:rsidRPr="00FD4E91">
        <w:rPr>
          <w:rFonts w:cs="Arial"/>
          <w:sz w:val="24"/>
          <w:szCs w:val="24"/>
        </w:rPr>
        <w:t xml:space="preserve">The </w:t>
      </w:r>
      <w:r w:rsidR="007E218A" w:rsidRPr="00FD4E91">
        <w:rPr>
          <w:rFonts w:cs="Arial"/>
          <w:sz w:val="24"/>
          <w:szCs w:val="24"/>
        </w:rPr>
        <w:t>Service User</w:t>
      </w:r>
      <w:r w:rsidRPr="00FD4E91">
        <w:rPr>
          <w:rFonts w:cs="Arial"/>
          <w:sz w:val="24"/>
          <w:szCs w:val="24"/>
        </w:rPr>
        <w:t>s are eligible youth from the age of 10 years and up until the 18</w:t>
      </w:r>
      <w:r w:rsidRPr="00FD4E91">
        <w:rPr>
          <w:rFonts w:cs="Arial"/>
          <w:sz w:val="24"/>
          <w:szCs w:val="24"/>
          <w:vertAlign w:val="superscript"/>
        </w:rPr>
        <w:t>th</w:t>
      </w:r>
      <w:r w:rsidRPr="00FD4E91">
        <w:rPr>
          <w:rFonts w:cs="Arial"/>
          <w:sz w:val="24"/>
          <w:szCs w:val="24"/>
        </w:rPr>
        <w:t xml:space="preserve"> birthday</w:t>
      </w:r>
      <w:r w:rsidR="009B63F7" w:rsidRPr="00FD4E91">
        <w:rPr>
          <w:rFonts w:cs="Arial"/>
          <w:sz w:val="24"/>
          <w:szCs w:val="24"/>
        </w:rPr>
        <w:t>;</w:t>
      </w:r>
      <w:r w:rsidRPr="00FD4E91">
        <w:rPr>
          <w:rFonts w:cs="Arial"/>
          <w:sz w:val="24"/>
          <w:szCs w:val="24"/>
        </w:rPr>
        <w:t xml:space="preserve"> and beyond until the twentieth birthday if developmentally appropriate, who meet the entry criteria.</w:t>
      </w:r>
    </w:p>
    <w:p w:rsidR="00027868" w:rsidRPr="00FD4E91" w:rsidRDefault="00027868" w:rsidP="003F5D25">
      <w:pPr>
        <w:tabs>
          <w:tab w:val="left" w:pos="570"/>
        </w:tabs>
        <w:spacing w:before="120" w:after="120"/>
        <w:rPr>
          <w:rFonts w:cs="Arial"/>
          <w:b/>
          <w:sz w:val="24"/>
          <w:szCs w:val="24"/>
        </w:rPr>
      </w:pPr>
      <w:bookmarkStart w:id="49" w:name="_Toc215319141"/>
      <w:r w:rsidRPr="00FD4E91">
        <w:rPr>
          <w:rFonts w:cs="Arial"/>
          <w:b/>
          <w:sz w:val="24"/>
          <w:szCs w:val="24"/>
        </w:rPr>
        <w:t>4.</w:t>
      </w:r>
      <w:r w:rsidRPr="00FD4E91">
        <w:rPr>
          <w:rFonts w:cs="Arial"/>
          <w:b/>
          <w:sz w:val="24"/>
          <w:szCs w:val="24"/>
        </w:rPr>
        <w:tab/>
        <w:t>Access</w:t>
      </w:r>
      <w:bookmarkEnd w:id="49"/>
    </w:p>
    <w:p w:rsidR="00027868" w:rsidRPr="00FD4E91" w:rsidRDefault="00027868" w:rsidP="00027868">
      <w:pPr>
        <w:tabs>
          <w:tab w:val="left" w:pos="570"/>
        </w:tabs>
        <w:spacing w:after="60"/>
        <w:rPr>
          <w:rFonts w:cs="Arial"/>
          <w:b/>
          <w:sz w:val="24"/>
          <w:szCs w:val="24"/>
        </w:rPr>
      </w:pPr>
      <w:bookmarkStart w:id="50" w:name="_Toc215319142"/>
      <w:r w:rsidRPr="00FD4E91">
        <w:rPr>
          <w:rFonts w:cs="Arial"/>
          <w:b/>
          <w:sz w:val="24"/>
          <w:szCs w:val="24"/>
        </w:rPr>
        <w:t>4.1</w:t>
      </w:r>
      <w:r w:rsidRPr="00FD4E91">
        <w:rPr>
          <w:rFonts w:cs="Arial"/>
          <w:b/>
          <w:sz w:val="24"/>
          <w:szCs w:val="24"/>
        </w:rPr>
        <w:tab/>
        <w:t>Entry and Exit Criteria</w:t>
      </w:r>
      <w:bookmarkEnd w:id="50"/>
      <w:r w:rsidRPr="00FD4E91">
        <w:rPr>
          <w:rFonts w:cs="Arial"/>
          <w:b/>
          <w:sz w:val="24"/>
          <w:szCs w:val="24"/>
        </w:rPr>
        <w:t xml:space="preserve"> </w:t>
      </w:r>
    </w:p>
    <w:p w:rsidR="00484810" w:rsidRPr="00FD4E91" w:rsidRDefault="00484810" w:rsidP="00484810">
      <w:pPr>
        <w:spacing w:before="120"/>
        <w:rPr>
          <w:rFonts w:cs="Arial"/>
          <w:sz w:val="24"/>
          <w:szCs w:val="24"/>
        </w:rPr>
      </w:pPr>
      <w:r w:rsidRPr="00FD4E91">
        <w:rPr>
          <w:rFonts w:cs="Arial"/>
          <w:sz w:val="24"/>
          <w:szCs w:val="24"/>
        </w:rPr>
        <w:t xml:space="preserve">Entry into and discharge or exit from the Service is determined on the basis of comprehensive assessment of need </w:t>
      </w:r>
      <w:r w:rsidR="008A58AF">
        <w:rPr>
          <w:rFonts w:cs="Arial"/>
          <w:sz w:val="24"/>
          <w:szCs w:val="24"/>
        </w:rPr>
        <w:t xml:space="preserve">(and may be court ordered) </w:t>
      </w:r>
      <w:r w:rsidR="002C152E">
        <w:rPr>
          <w:rFonts w:cs="Arial"/>
          <w:sz w:val="24"/>
          <w:szCs w:val="24"/>
        </w:rPr>
        <w:t>(</w:t>
      </w:r>
      <w:r w:rsidRPr="00FD4E91">
        <w:rPr>
          <w:rFonts w:cs="Arial"/>
          <w:sz w:val="24"/>
          <w:szCs w:val="24"/>
        </w:rPr>
        <w:t>ie</w:t>
      </w:r>
      <w:r w:rsidR="00DE0803" w:rsidRPr="00FD4E91">
        <w:rPr>
          <w:rFonts w:cs="Arial"/>
          <w:sz w:val="24"/>
          <w:szCs w:val="24"/>
        </w:rPr>
        <w:t>,</w:t>
      </w:r>
      <w:r w:rsidRPr="00FD4E91">
        <w:rPr>
          <w:rFonts w:cs="Arial"/>
          <w:sz w:val="24"/>
          <w:szCs w:val="24"/>
        </w:rPr>
        <w:t xml:space="preserve"> being a young offender who is severely affected by a mental health and or addiction problem</w:t>
      </w:r>
      <w:r w:rsidR="002C152E">
        <w:rPr>
          <w:rFonts w:cs="Arial"/>
          <w:sz w:val="24"/>
          <w:szCs w:val="24"/>
        </w:rPr>
        <w:t>)</w:t>
      </w:r>
      <w:r w:rsidRPr="00FD4E91">
        <w:rPr>
          <w:rFonts w:cs="Arial"/>
          <w:sz w:val="24"/>
          <w:szCs w:val="24"/>
        </w:rPr>
        <w:t xml:space="preserve">. </w:t>
      </w:r>
    </w:p>
    <w:p w:rsidR="00027868" w:rsidRPr="00FD4E91" w:rsidRDefault="00027868" w:rsidP="00484810">
      <w:pPr>
        <w:spacing w:before="120"/>
        <w:rPr>
          <w:rFonts w:cs="Arial"/>
          <w:sz w:val="24"/>
          <w:szCs w:val="24"/>
        </w:rPr>
      </w:pPr>
      <w:r w:rsidRPr="00FD4E91">
        <w:rPr>
          <w:rFonts w:cs="Arial"/>
          <w:sz w:val="24"/>
          <w:szCs w:val="24"/>
        </w:rPr>
        <w:t xml:space="preserve">Entry and exit criteria specific to the </w:t>
      </w:r>
      <w:r w:rsidR="00D13F0B" w:rsidRPr="00FD4E91">
        <w:rPr>
          <w:rFonts w:cs="Arial"/>
          <w:sz w:val="24"/>
          <w:szCs w:val="24"/>
        </w:rPr>
        <w:t>S</w:t>
      </w:r>
      <w:r w:rsidRPr="00FD4E91">
        <w:rPr>
          <w:rFonts w:cs="Arial"/>
          <w:sz w:val="24"/>
          <w:szCs w:val="24"/>
        </w:rPr>
        <w:t xml:space="preserve">ervice are described in </w:t>
      </w:r>
      <w:r w:rsidR="004A5523" w:rsidRPr="00FD4E91">
        <w:rPr>
          <w:rFonts w:cs="Arial"/>
          <w:sz w:val="24"/>
          <w:szCs w:val="24"/>
        </w:rPr>
        <w:t xml:space="preserve">the </w:t>
      </w:r>
      <w:r w:rsidRPr="00FD4E91">
        <w:rPr>
          <w:rFonts w:cs="Arial"/>
          <w:sz w:val="24"/>
          <w:szCs w:val="24"/>
        </w:rPr>
        <w:t xml:space="preserve">tier three service specifications. </w:t>
      </w:r>
    </w:p>
    <w:p w:rsidR="009610B8" w:rsidRPr="00FD4E91" w:rsidRDefault="009610B8" w:rsidP="00484810">
      <w:pPr>
        <w:spacing w:before="120"/>
        <w:rPr>
          <w:rFonts w:cs="Arial"/>
          <w:sz w:val="24"/>
          <w:szCs w:val="24"/>
        </w:rPr>
      </w:pPr>
      <w:r w:rsidRPr="00FD4E91">
        <w:rPr>
          <w:rFonts w:cs="Arial"/>
          <w:sz w:val="24"/>
          <w:szCs w:val="24"/>
        </w:rPr>
        <w:t>DHBs will develop their own local policies and protocols for entry and exit.</w:t>
      </w:r>
    </w:p>
    <w:p w:rsidR="00027868" w:rsidRPr="00FD4E91" w:rsidRDefault="00027868" w:rsidP="00027868">
      <w:pPr>
        <w:tabs>
          <w:tab w:val="left" w:pos="570"/>
        </w:tabs>
        <w:spacing w:before="240"/>
        <w:rPr>
          <w:rFonts w:cs="Arial"/>
          <w:b/>
          <w:sz w:val="24"/>
          <w:szCs w:val="24"/>
        </w:rPr>
      </w:pPr>
      <w:bookmarkStart w:id="51" w:name="_Toc215319145"/>
      <w:r w:rsidRPr="00FD4E91">
        <w:rPr>
          <w:rFonts w:cs="Arial"/>
          <w:b/>
          <w:sz w:val="24"/>
          <w:szCs w:val="24"/>
        </w:rPr>
        <w:t>5.</w:t>
      </w:r>
      <w:r w:rsidRPr="00FD4E91">
        <w:rPr>
          <w:rFonts w:cs="Arial"/>
          <w:b/>
          <w:sz w:val="24"/>
          <w:szCs w:val="24"/>
        </w:rPr>
        <w:tab/>
        <w:t>Service Components</w:t>
      </w:r>
      <w:bookmarkEnd w:id="51"/>
    </w:p>
    <w:p w:rsidR="00027868" w:rsidRPr="00FD4E91" w:rsidRDefault="00027868" w:rsidP="00027868">
      <w:pPr>
        <w:tabs>
          <w:tab w:val="left" w:pos="570"/>
        </w:tabs>
        <w:spacing w:before="120" w:after="60"/>
        <w:rPr>
          <w:rFonts w:cs="Arial"/>
          <w:b/>
          <w:sz w:val="24"/>
          <w:szCs w:val="24"/>
        </w:rPr>
      </w:pPr>
      <w:bookmarkStart w:id="52" w:name="_Toc215319146"/>
      <w:r w:rsidRPr="00FD4E91">
        <w:rPr>
          <w:rFonts w:cs="Arial"/>
          <w:b/>
          <w:sz w:val="24"/>
          <w:szCs w:val="24"/>
        </w:rPr>
        <w:t>5.1</w:t>
      </w:r>
      <w:r w:rsidRPr="00FD4E91">
        <w:rPr>
          <w:rFonts w:cs="Arial"/>
          <w:b/>
          <w:sz w:val="24"/>
          <w:szCs w:val="24"/>
        </w:rPr>
        <w:tab/>
        <w:t>Processes</w:t>
      </w:r>
      <w:bookmarkEnd w:id="52"/>
    </w:p>
    <w:p w:rsidR="00D13F0B" w:rsidRPr="00FD4E91" w:rsidRDefault="00027868" w:rsidP="00D13F0B">
      <w:pPr>
        <w:spacing w:after="60"/>
        <w:rPr>
          <w:rFonts w:cs="Arial"/>
          <w:sz w:val="24"/>
          <w:szCs w:val="24"/>
        </w:rPr>
      </w:pPr>
      <w:r w:rsidRPr="00FD4E91">
        <w:rPr>
          <w:rFonts w:cs="Arial"/>
          <w:sz w:val="24"/>
          <w:szCs w:val="24"/>
        </w:rPr>
        <w:t>The processes include but are not limited to the following:</w:t>
      </w:r>
      <w:r w:rsidR="00D13F0B" w:rsidRPr="00FD4E91">
        <w:rPr>
          <w:rFonts w:cs="Arial"/>
          <w:sz w:val="24"/>
          <w:szCs w:val="24"/>
        </w:rPr>
        <w:t xml:space="preserve"> t</w:t>
      </w:r>
      <w:r w:rsidR="00E66C66" w:rsidRPr="00FD4E91">
        <w:rPr>
          <w:rFonts w:cs="Arial"/>
          <w:sz w:val="24"/>
          <w:szCs w:val="24"/>
        </w:rPr>
        <w:t>riage (may be via court liaison)</w:t>
      </w:r>
      <w:r w:rsidR="00756333" w:rsidRPr="00FD4E91">
        <w:rPr>
          <w:rFonts w:cs="Arial"/>
          <w:sz w:val="24"/>
          <w:szCs w:val="24"/>
        </w:rPr>
        <w:t xml:space="preserve"> </w:t>
      </w:r>
      <w:r w:rsidR="006778B0" w:rsidRPr="00FD4E91">
        <w:rPr>
          <w:rFonts w:cs="Arial"/>
          <w:sz w:val="24"/>
          <w:szCs w:val="24"/>
        </w:rPr>
        <w:t>a</w:t>
      </w:r>
      <w:r w:rsidR="00756333" w:rsidRPr="00FD4E91">
        <w:rPr>
          <w:rFonts w:cs="Arial"/>
          <w:sz w:val="24"/>
          <w:szCs w:val="24"/>
        </w:rPr>
        <w:t xml:space="preserve">ssessment, </w:t>
      </w:r>
      <w:r w:rsidRPr="00FD4E91">
        <w:rPr>
          <w:rFonts w:cs="Arial"/>
          <w:sz w:val="24"/>
          <w:szCs w:val="24"/>
        </w:rPr>
        <w:t>treatment, intervention</w:t>
      </w:r>
      <w:r w:rsidR="00484810" w:rsidRPr="00FD4E91">
        <w:rPr>
          <w:rFonts w:cs="Arial"/>
          <w:sz w:val="24"/>
          <w:szCs w:val="24"/>
        </w:rPr>
        <w:t>,</w:t>
      </w:r>
      <w:r w:rsidRPr="00FD4E91">
        <w:rPr>
          <w:rFonts w:cs="Arial"/>
          <w:sz w:val="24"/>
          <w:szCs w:val="24"/>
        </w:rPr>
        <w:t xml:space="preserve"> </w:t>
      </w:r>
      <w:r w:rsidR="00484810" w:rsidRPr="00FD4E91">
        <w:rPr>
          <w:rFonts w:cs="Arial"/>
          <w:sz w:val="24"/>
          <w:szCs w:val="24"/>
        </w:rPr>
        <w:t xml:space="preserve">advocacy </w:t>
      </w:r>
      <w:r w:rsidRPr="00FD4E91">
        <w:rPr>
          <w:rFonts w:cs="Arial"/>
          <w:sz w:val="24"/>
          <w:szCs w:val="24"/>
        </w:rPr>
        <w:t>and support</w:t>
      </w:r>
      <w:r w:rsidR="00756333" w:rsidRPr="00FD4E91">
        <w:rPr>
          <w:rFonts w:cs="Arial"/>
          <w:sz w:val="24"/>
          <w:szCs w:val="24"/>
        </w:rPr>
        <w:t xml:space="preserve">, </w:t>
      </w:r>
      <w:r w:rsidRPr="00FD4E91">
        <w:rPr>
          <w:rFonts w:cs="Arial"/>
          <w:sz w:val="24"/>
          <w:szCs w:val="24"/>
        </w:rPr>
        <w:t>review process</w:t>
      </w:r>
      <w:r w:rsidR="00756333" w:rsidRPr="00FD4E91">
        <w:rPr>
          <w:rFonts w:cs="Arial"/>
          <w:sz w:val="24"/>
          <w:szCs w:val="24"/>
        </w:rPr>
        <w:t xml:space="preserve">, </w:t>
      </w:r>
      <w:r w:rsidR="00454583" w:rsidRPr="00FD4E91">
        <w:rPr>
          <w:rFonts w:cs="Arial"/>
          <w:sz w:val="24"/>
          <w:szCs w:val="24"/>
        </w:rPr>
        <w:t xml:space="preserve">wellness </w:t>
      </w:r>
      <w:r w:rsidR="00484810" w:rsidRPr="00FD4E91">
        <w:rPr>
          <w:rFonts w:cs="Arial"/>
          <w:sz w:val="24"/>
          <w:szCs w:val="24"/>
        </w:rPr>
        <w:t>management</w:t>
      </w:r>
      <w:r w:rsidR="00454583" w:rsidRPr="00FD4E91">
        <w:rPr>
          <w:rFonts w:cs="Arial"/>
          <w:sz w:val="24"/>
          <w:szCs w:val="24"/>
        </w:rPr>
        <w:t>,</w:t>
      </w:r>
      <w:r w:rsidR="00484810" w:rsidRPr="00FD4E91">
        <w:rPr>
          <w:rFonts w:cs="Arial"/>
          <w:sz w:val="24"/>
          <w:szCs w:val="24"/>
        </w:rPr>
        <w:t xml:space="preserve"> </w:t>
      </w:r>
      <w:r w:rsidR="00454583" w:rsidRPr="00FD4E91">
        <w:rPr>
          <w:rFonts w:cs="Arial"/>
          <w:sz w:val="24"/>
          <w:szCs w:val="24"/>
        </w:rPr>
        <w:t xml:space="preserve">rehabilitation, </w:t>
      </w:r>
      <w:r w:rsidR="00484810" w:rsidRPr="00FD4E91">
        <w:rPr>
          <w:rFonts w:cs="Arial"/>
          <w:sz w:val="24"/>
          <w:szCs w:val="24"/>
        </w:rPr>
        <w:t xml:space="preserve">consultation, liaison and education, </w:t>
      </w:r>
      <w:r w:rsidR="00F51EC3" w:rsidRPr="00FD4E91">
        <w:rPr>
          <w:rFonts w:cs="Arial"/>
          <w:sz w:val="24"/>
          <w:szCs w:val="24"/>
        </w:rPr>
        <w:t xml:space="preserve">transitional planning and </w:t>
      </w:r>
      <w:r w:rsidRPr="00FD4E91">
        <w:rPr>
          <w:rFonts w:cs="Arial"/>
          <w:sz w:val="24"/>
          <w:szCs w:val="24"/>
        </w:rPr>
        <w:t>discharge.</w:t>
      </w:r>
      <w:r w:rsidR="00315090" w:rsidRPr="00FD4E91">
        <w:rPr>
          <w:rFonts w:cs="Arial"/>
          <w:sz w:val="24"/>
          <w:szCs w:val="24"/>
        </w:rPr>
        <w:t xml:space="preserve"> </w:t>
      </w:r>
    </w:p>
    <w:p w:rsidR="00027868" w:rsidRPr="00FD4E91" w:rsidRDefault="00027868" w:rsidP="00027868">
      <w:pPr>
        <w:tabs>
          <w:tab w:val="left" w:pos="570"/>
        </w:tabs>
        <w:spacing w:before="120" w:after="60"/>
        <w:rPr>
          <w:rFonts w:cs="Arial"/>
          <w:b/>
          <w:sz w:val="24"/>
          <w:szCs w:val="24"/>
        </w:rPr>
      </w:pPr>
      <w:bookmarkStart w:id="53" w:name="_Toc215319147"/>
      <w:r w:rsidRPr="00FD4E91">
        <w:rPr>
          <w:rFonts w:cs="Arial"/>
          <w:b/>
          <w:sz w:val="24"/>
          <w:szCs w:val="24"/>
        </w:rPr>
        <w:t>5.2</w:t>
      </w:r>
      <w:r w:rsidRPr="00FD4E91">
        <w:rPr>
          <w:rFonts w:cs="Arial"/>
          <w:b/>
          <w:sz w:val="24"/>
          <w:szCs w:val="24"/>
        </w:rPr>
        <w:tab/>
        <w:t>Settings</w:t>
      </w:r>
      <w:bookmarkEnd w:id="53"/>
    </w:p>
    <w:p w:rsidR="00E66C66" w:rsidRPr="00FD4E91" w:rsidRDefault="00027868" w:rsidP="00027868">
      <w:pPr>
        <w:spacing w:before="120"/>
        <w:rPr>
          <w:rFonts w:cs="Arial"/>
          <w:sz w:val="24"/>
          <w:szCs w:val="24"/>
        </w:rPr>
      </w:pPr>
      <w:r w:rsidRPr="00FD4E91">
        <w:rPr>
          <w:rFonts w:cs="Arial"/>
          <w:sz w:val="24"/>
          <w:szCs w:val="24"/>
        </w:rPr>
        <w:t>The Service is provided in</w:t>
      </w:r>
      <w:r w:rsidR="00F3454A" w:rsidRPr="00FD4E91">
        <w:rPr>
          <w:rFonts w:cs="Arial"/>
          <w:sz w:val="24"/>
          <w:szCs w:val="24"/>
        </w:rPr>
        <w:t xml:space="preserve"> a variety of settings including </w:t>
      </w:r>
      <w:r w:rsidR="00E66C66" w:rsidRPr="00FD4E91">
        <w:rPr>
          <w:rFonts w:cs="Arial"/>
          <w:sz w:val="24"/>
          <w:szCs w:val="24"/>
        </w:rPr>
        <w:t xml:space="preserve">hospital </w:t>
      </w:r>
      <w:r w:rsidR="00286BFD">
        <w:rPr>
          <w:rFonts w:cs="Arial"/>
          <w:sz w:val="24"/>
          <w:szCs w:val="24"/>
        </w:rPr>
        <w:t>(generic mental health or secure forensic settings</w:t>
      </w:r>
      <w:r w:rsidR="00066E9A">
        <w:rPr>
          <w:rFonts w:cs="Arial"/>
          <w:sz w:val="24"/>
          <w:szCs w:val="24"/>
        </w:rPr>
        <w:t>,</w:t>
      </w:r>
      <w:r w:rsidR="00286BFD">
        <w:rPr>
          <w:rFonts w:cs="Arial"/>
          <w:sz w:val="24"/>
          <w:szCs w:val="24"/>
        </w:rPr>
        <w:t xml:space="preserve"> when so ordered by the court) </w:t>
      </w:r>
      <w:r w:rsidR="00E66C66" w:rsidRPr="00FD4E91">
        <w:rPr>
          <w:rFonts w:cs="Arial"/>
          <w:sz w:val="24"/>
          <w:szCs w:val="24"/>
        </w:rPr>
        <w:t xml:space="preserve">and </w:t>
      </w:r>
      <w:proofErr w:type="gramStart"/>
      <w:r w:rsidR="00E66C66" w:rsidRPr="00FD4E91">
        <w:rPr>
          <w:rFonts w:cs="Arial"/>
          <w:sz w:val="24"/>
          <w:szCs w:val="24"/>
        </w:rPr>
        <w:t>facility based</w:t>
      </w:r>
      <w:proofErr w:type="gramEnd"/>
      <w:r w:rsidR="00E66C66" w:rsidRPr="00FD4E91">
        <w:rPr>
          <w:rFonts w:cs="Arial"/>
          <w:sz w:val="24"/>
          <w:szCs w:val="24"/>
        </w:rPr>
        <w:t xml:space="preserve"> settings including </w:t>
      </w:r>
      <w:proofErr w:type="spellStart"/>
      <w:r w:rsidR="002C152E">
        <w:rPr>
          <w:rFonts w:cs="Arial"/>
          <w:sz w:val="24"/>
          <w:szCs w:val="24"/>
        </w:rPr>
        <w:t>Oranga</w:t>
      </w:r>
      <w:proofErr w:type="spellEnd"/>
      <w:r w:rsidR="002C152E">
        <w:rPr>
          <w:rFonts w:cs="Arial"/>
          <w:sz w:val="24"/>
          <w:szCs w:val="24"/>
        </w:rPr>
        <w:t xml:space="preserve"> Tamariki</w:t>
      </w:r>
      <w:r w:rsidR="00E66C66" w:rsidRPr="00FD4E91">
        <w:rPr>
          <w:rFonts w:cs="Arial"/>
          <w:sz w:val="24"/>
          <w:szCs w:val="24"/>
        </w:rPr>
        <w:t xml:space="preserve"> Youth Justice residences and in youth wings/units of adult prisons</w:t>
      </w:r>
      <w:r w:rsidR="00F3454A" w:rsidRPr="00FD4E91">
        <w:rPr>
          <w:rFonts w:cs="Arial"/>
          <w:sz w:val="24"/>
          <w:szCs w:val="24"/>
        </w:rPr>
        <w:t>,</w:t>
      </w:r>
      <w:r w:rsidR="00E66C66" w:rsidRPr="00FD4E91">
        <w:rPr>
          <w:rFonts w:cs="Arial"/>
          <w:sz w:val="24"/>
          <w:szCs w:val="24"/>
        </w:rPr>
        <w:t xml:space="preserve"> and </w:t>
      </w:r>
      <w:r w:rsidR="00664AAE" w:rsidRPr="00FD4E91">
        <w:rPr>
          <w:rFonts w:cs="Arial"/>
          <w:sz w:val="24"/>
          <w:szCs w:val="24"/>
        </w:rPr>
        <w:t>in the community including an assertive outreach service</w:t>
      </w:r>
      <w:r w:rsidR="00E66C66" w:rsidRPr="00FD4E91">
        <w:rPr>
          <w:rFonts w:cs="Arial"/>
          <w:sz w:val="24"/>
          <w:szCs w:val="24"/>
        </w:rPr>
        <w:t>.</w:t>
      </w:r>
    </w:p>
    <w:p w:rsidR="00F51EC3" w:rsidRPr="00FD4E91" w:rsidRDefault="00F51EC3" w:rsidP="001466FD">
      <w:pPr>
        <w:spacing w:before="120"/>
        <w:rPr>
          <w:rFonts w:cs="Arial"/>
          <w:b/>
          <w:bCs/>
          <w:sz w:val="24"/>
          <w:szCs w:val="24"/>
          <w:lang w:val="en-NZ"/>
        </w:rPr>
      </w:pPr>
      <w:r w:rsidRPr="00FD4E91">
        <w:rPr>
          <w:rFonts w:cs="Arial"/>
          <w:sz w:val="24"/>
          <w:szCs w:val="24"/>
          <w:lang w:val="en-NZ"/>
        </w:rPr>
        <w:t>The Service settings and facilities will be age appropriate and, where possible, separated from adult services in accordance with United Nations Co</w:t>
      </w:r>
      <w:r w:rsidR="009610B8" w:rsidRPr="00FD4E91">
        <w:rPr>
          <w:rFonts w:cs="Arial"/>
          <w:sz w:val="24"/>
          <w:szCs w:val="24"/>
          <w:lang w:val="en-NZ"/>
        </w:rPr>
        <w:t>nvention</w:t>
      </w:r>
      <w:r w:rsidRPr="00FD4E91">
        <w:rPr>
          <w:rFonts w:cs="Arial"/>
          <w:sz w:val="24"/>
          <w:szCs w:val="24"/>
          <w:lang w:val="en-NZ"/>
        </w:rPr>
        <w:t xml:space="preserve"> on the Rights of the Child (UNCROC) recommendations.</w:t>
      </w:r>
      <w:r w:rsidRPr="00FD4E91">
        <w:rPr>
          <w:rFonts w:cs="Arial"/>
          <w:bCs/>
          <w:sz w:val="24"/>
          <w:szCs w:val="24"/>
          <w:lang w:val="en-NZ"/>
        </w:rPr>
        <w:t xml:space="preserve"> </w:t>
      </w:r>
      <w:r w:rsidR="001466FD" w:rsidRPr="00FD4E91">
        <w:rPr>
          <w:rFonts w:cs="Arial"/>
          <w:bCs/>
          <w:sz w:val="24"/>
          <w:szCs w:val="24"/>
          <w:lang w:val="en-NZ"/>
        </w:rPr>
        <w:t xml:space="preserve"> </w:t>
      </w:r>
      <w:r w:rsidRPr="00FD4E91">
        <w:rPr>
          <w:rFonts w:cs="Arial"/>
          <w:color w:val="000000"/>
          <w:sz w:val="24"/>
          <w:szCs w:val="24"/>
          <w:lang w:val="en-NZ"/>
        </w:rPr>
        <w:t>Residential services for adolescents and youth will meet the Approval Standards for Child and Family Support Services and Community Services and relevant legislation.</w:t>
      </w:r>
    </w:p>
    <w:p w:rsidR="00F51EC3" w:rsidRPr="00FD4E91" w:rsidRDefault="00F51EC3" w:rsidP="001466FD">
      <w:pPr>
        <w:tabs>
          <w:tab w:val="left" w:pos="0"/>
          <w:tab w:val="num" w:pos="513"/>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cs="Arial"/>
          <w:sz w:val="24"/>
          <w:szCs w:val="24"/>
          <w:lang w:val="en-NZ"/>
        </w:rPr>
      </w:pPr>
      <w:r w:rsidRPr="00FD4E91">
        <w:rPr>
          <w:rFonts w:cs="Arial"/>
          <w:sz w:val="24"/>
          <w:szCs w:val="24"/>
          <w:lang w:val="en-NZ"/>
        </w:rPr>
        <w:t xml:space="preserve">Agreements for, and consent to, out-of-home care </w:t>
      </w:r>
      <w:r w:rsidR="008A58AF">
        <w:rPr>
          <w:rFonts w:cs="Arial"/>
          <w:sz w:val="24"/>
          <w:szCs w:val="24"/>
          <w:lang w:val="en-NZ"/>
        </w:rPr>
        <w:t xml:space="preserve">of </w:t>
      </w:r>
      <w:r w:rsidRPr="00FD4E91">
        <w:rPr>
          <w:rFonts w:cs="Arial"/>
          <w:sz w:val="24"/>
          <w:szCs w:val="24"/>
          <w:lang w:val="en-NZ"/>
        </w:rPr>
        <w:t xml:space="preserve">adolescents and youth will be consistent with the requirements of the </w:t>
      </w:r>
      <w:proofErr w:type="spellStart"/>
      <w:r w:rsidR="009601F7">
        <w:rPr>
          <w:rFonts w:cs="Arial"/>
          <w:color w:val="000000"/>
          <w:sz w:val="24"/>
          <w:szCs w:val="24"/>
          <w:lang w:val="en-NZ"/>
        </w:rPr>
        <w:t>Oranga</w:t>
      </w:r>
      <w:proofErr w:type="spellEnd"/>
      <w:r w:rsidR="009601F7">
        <w:rPr>
          <w:rFonts w:cs="Arial"/>
          <w:color w:val="000000"/>
          <w:sz w:val="24"/>
          <w:szCs w:val="24"/>
          <w:lang w:val="en-NZ"/>
        </w:rPr>
        <w:t xml:space="preserve"> Tamariki</w:t>
      </w:r>
      <w:r w:rsidRPr="00FD4E91">
        <w:rPr>
          <w:rFonts w:cs="Arial"/>
          <w:color w:val="000000"/>
          <w:sz w:val="24"/>
          <w:szCs w:val="24"/>
          <w:lang w:val="en-NZ"/>
        </w:rPr>
        <w:t xml:space="preserve"> Act 1989 including any legislation that supersedes, substitutes or amends this Act.</w:t>
      </w:r>
    </w:p>
    <w:p w:rsidR="00027868" w:rsidRPr="00FD4E91" w:rsidRDefault="00454583" w:rsidP="00DE0803">
      <w:pPr>
        <w:tabs>
          <w:tab w:val="left" w:pos="570"/>
        </w:tabs>
        <w:rPr>
          <w:rFonts w:cs="Arial"/>
          <w:b/>
          <w:sz w:val="24"/>
          <w:szCs w:val="24"/>
        </w:rPr>
      </w:pPr>
      <w:bookmarkStart w:id="54" w:name="_Toc215319151"/>
      <w:r w:rsidRPr="00FD4E91">
        <w:rPr>
          <w:rFonts w:cs="Arial"/>
          <w:b/>
          <w:sz w:val="24"/>
          <w:szCs w:val="24"/>
        </w:rPr>
        <w:br w:type="page"/>
      </w:r>
      <w:r w:rsidR="00027868" w:rsidRPr="00FD4E91">
        <w:rPr>
          <w:rFonts w:cs="Arial"/>
          <w:b/>
          <w:sz w:val="24"/>
          <w:szCs w:val="24"/>
        </w:rPr>
        <w:lastRenderedPageBreak/>
        <w:t>5.3</w:t>
      </w:r>
      <w:r w:rsidR="00027868" w:rsidRPr="00FD4E91">
        <w:rPr>
          <w:rFonts w:cs="Arial"/>
          <w:b/>
          <w:sz w:val="24"/>
          <w:szCs w:val="24"/>
        </w:rPr>
        <w:tab/>
        <w:t xml:space="preserve">Key Inputs </w:t>
      </w:r>
      <w:bookmarkStart w:id="55" w:name="_Toc215319152"/>
      <w:bookmarkEnd w:id="54"/>
    </w:p>
    <w:p w:rsidR="00484810" w:rsidRPr="00FD4E91" w:rsidRDefault="00484810" w:rsidP="00484810">
      <w:pPr>
        <w:spacing w:before="120"/>
        <w:rPr>
          <w:rFonts w:cs="Arial"/>
          <w:sz w:val="24"/>
          <w:szCs w:val="24"/>
        </w:rPr>
      </w:pPr>
      <w:r w:rsidRPr="00FD4E91">
        <w:rPr>
          <w:rFonts w:cs="Arial"/>
          <w:sz w:val="24"/>
          <w:szCs w:val="24"/>
        </w:rPr>
        <w:t xml:space="preserve">The Service is provided by a </w:t>
      </w:r>
      <w:r w:rsidR="000A3A3B" w:rsidRPr="00FD4E91">
        <w:rPr>
          <w:rFonts w:cs="Arial"/>
          <w:sz w:val="24"/>
          <w:szCs w:val="24"/>
        </w:rPr>
        <w:t>multi-disciplinary</w:t>
      </w:r>
      <w:r w:rsidRPr="00FD4E91">
        <w:rPr>
          <w:rFonts w:cs="Arial"/>
          <w:sz w:val="24"/>
          <w:szCs w:val="24"/>
        </w:rPr>
        <w:t xml:space="preserve"> team of people with skills and experience in identifying and responding to the needs of young offenders affected by mental health and addiction disorders, including an appropriate balance of: </w:t>
      </w:r>
    </w:p>
    <w:p w:rsidR="00484810" w:rsidRPr="00FD4E91" w:rsidRDefault="00484810" w:rsidP="00484810">
      <w:pPr>
        <w:numPr>
          <w:ilvl w:val="0"/>
          <w:numId w:val="18"/>
        </w:numPr>
        <w:tabs>
          <w:tab w:val="clear" w:pos="720"/>
          <w:tab w:val="num" w:pos="540"/>
        </w:tabs>
        <w:spacing w:before="120"/>
        <w:ind w:left="540" w:hanging="540"/>
        <w:rPr>
          <w:rFonts w:cs="Arial"/>
          <w:sz w:val="24"/>
          <w:szCs w:val="24"/>
        </w:rPr>
      </w:pPr>
      <w:r w:rsidRPr="00FD4E91">
        <w:rPr>
          <w:rFonts w:cs="Arial"/>
          <w:sz w:val="24"/>
          <w:szCs w:val="24"/>
        </w:rPr>
        <w:t>health professionals regulated by the Health Practitioners Competence Assurance Act 2003</w:t>
      </w:r>
    </w:p>
    <w:p w:rsidR="00484810" w:rsidRPr="00FD4E91" w:rsidRDefault="00484810" w:rsidP="00484810">
      <w:pPr>
        <w:numPr>
          <w:ilvl w:val="0"/>
          <w:numId w:val="17"/>
        </w:numPr>
        <w:tabs>
          <w:tab w:val="clear" w:pos="720"/>
          <w:tab w:val="num" w:pos="540"/>
        </w:tabs>
        <w:spacing w:before="120"/>
        <w:ind w:left="540" w:hanging="540"/>
        <w:rPr>
          <w:rFonts w:cs="Arial"/>
          <w:sz w:val="24"/>
          <w:szCs w:val="24"/>
        </w:rPr>
      </w:pPr>
      <w:r w:rsidRPr="00FD4E91">
        <w:rPr>
          <w:rFonts w:cs="Arial"/>
          <w:sz w:val="24"/>
          <w:szCs w:val="24"/>
        </w:rPr>
        <w:t>people regulated by a recognised health or social service professional body</w:t>
      </w:r>
    </w:p>
    <w:p w:rsidR="00484810" w:rsidRPr="00FD4E91" w:rsidRDefault="00484810" w:rsidP="00484810">
      <w:pPr>
        <w:numPr>
          <w:ilvl w:val="0"/>
          <w:numId w:val="17"/>
        </w:numPr>
        <w:tabs>
          <w:tab w:val="clear" w:pos="720"/>
          <w:tab w:val="num" w:pos="540"/>
        </w:tabs>
        <w:spacing w:before="120"/>
        <w:ind w:left="540" w:hanging="540"/>
        <w:rPr>
          <w:rFonts w:cs="Arial"/>
          <w:sz w:val="24"/>
          <w:szCs w:val="24"/>
        </w:rPr>
      </w:pPr>
      <w:r w:rsidRPr="00FD4E91">
        <w:rPr>
          <w:rFonts w:cs="Arial"/>
          <w:sz w:val="24"/>
          <w:szCs w:val="24"/>
        </w:rPr>
        <w:t xml:space="preserve">people who support </w:t>
      </w:r>
      <w:r w:rsidR="007E218A" w:rsidRPr="00FD4E91">
        <w:rPr>
          <w:rFonts w:cs="Arial"/>
          <w:sz w:val="24"/>
          <w:szCs w:val="24"/>
        </w:rPr>
        <w:t>Service User</w:t>
      </w:r>
      <w:r w:rsidRPr="00FD4E91">
        <w:rPr>
          <w:rFonts w:cs="Arial"/>
          <w:sz w:val="24"/>
          <w:szCs w:val="24"/>
        </w:rPr>
        <w:t>s and are supervised by appropriately trained and regulated health professionals.</w:t>
      </w:r>
    </w:p>
    <w:p w:rsidR="00484810" w:rsidRPr="00FD4E91" w:rsidRDefault="00484810" w:rsidP="00484810">
      <w:pPr>
        <w:spacing w:before="120"/>
        <w:rPr>
          <w:rFonts w:cs="Arial"/>
          <w:sz w:val="24"/>
          <w:szCs w:val="24"/>
        </w:rPr>
      </w:pPr>
      <w:r w:rsidRPr="00FD4E91">
        <w:rPr>
          <w:rFonts w:cs="Arial"/>
          <w:sz w:val="24"/>
          <w:szCs w:val="24"/>
        </w:rPr>
        <w:t xml:space="preserve">The team must have competence in child </w:t>
      </w:r>
      <w:r w:rsidR="003943DD">
        <w:rPr>
          <w:rFonts w:cs="Arial"/>
          <w:sz w:val="24"/>
          <w:szCs w:val="24"/>
        </w:rPr>
        <w:t xml:space="preserve">and </w:t>
      </w:r>
      <w:r w:rsidRPr="00FD4E91">
        <w:rPr>
          <w:rFonts w:cs="Arial"/>
          <w:sz w:val="24"/>
          <w:szCs w:val="24"/>
        </w:rPr>
        <w:t xml:space="preserve">adolescent </w:t>
      </w:r>
      <w:r w:rsidR="003943DD">
        <w:rPr>
          <w:rFonts w:cs="Arial"/>
          <w:sz w:val="24"/>
          <w:szCs w:val="24"/>
        </w:rPr>
        <w:t>mental health (including lifespan development, engagement with young people and their families and whanau and understanding of youth culture)</w:t>
      </w:r>
      <w:r w:rsidRPr="00FD4E91">
        <w:rPr>
          <w:rFonts w:cs="Arial"/>
          <w:sz w:val="24"/>
          <w:szCs w:val="24"/>
        </w:rPr>
        <w:t xml:space="preserve">, alcohol and other drug identification and management, and youth forensic triage and assessment, interventions and treatment.  They must also have competence in the identification and treatment of co-existing disorders, and the identification and referral of other potentially unmet need such as: intellectual disability, other disabilities and physical health problems. </w:t>
      </w:r>
    </w:p>
    <w:p w:rsidR="00484810" w:rsidRPr="00FD4E91" w:rsidRDefault="00484810" w:rsidP="00484810">
      <w:pPr>
        <w:spacing w:before="120"/>
        <w:rPr>
          <w:rFonts w:cs="Arial"/>
          <w:sz w:val="24"/>
          <w:szCs w:val="24"/>
        </w:rPr>
      </w:pPr>
      <w:r w:rsidRPr="00FD4E91">
        <w:rPr>
          <w:rFonts w:cs="Arial"/>
          <w:sz w:val="24"/>
          <w:szCs w:val="24"/>
        </w:rPr>
        <w:t>Requirements of youth drug court and other jurisdictions must be met.</w:t>
      </w:r>
    </w:p>
    <w:p w:rsidR="00484810" w:rsidRPr="00FD4E91" w:rsidRDefault="00484810" w:rsidP="00484810">
      <w:pPr>
        <w:spacing w:before="120"/>
        <w:rPr>
          <w:rFonts w:cs="Arial"/>
          <w:sz w:val="24"/>
          <w:szCs w:val="24"/>
        </w:rPr>
      </w:pPr>
      <w:r w:rsidRPr="00FD4E91">
        <w:rPr>
          <w:rFonts w:cs="Arial"/>
          <w:sz w:val="24"/>
          <w:szCs w:val="24"/>
        </w:rPr>
        <w:t>In addition, all staff will have an understanding of the legislative framework in which y</w:t>
      </w:r>
      <w:r w:rsidR="00454583" w:rsidRPr="00FD4E91">
        <w:rPr>
          <w:rFonts w:cs="Arial"/>
          <w:sz w:val="24"/>
          <w:szCs w:val="24"/>
        </w:rPr>
        <w:t>outh forensic services operate.</w:t>
      </w:r>
    </w:p>
    <w:p w:rsidR="00804E71" w:rsidRPr="00FD4E91" w:rsidRDefault="00804E71" w:rsidP="00027868">
      <w:pPr>
        <w:spacing w:before="120"/>
        <w:rPr>
          <w:rFonts w:cs="Arial"/>
          <w:sz w:val="24"/>
          <w:szCs w:val="24"/>
        </w:rPr>
      </w:pPr>
      <w:r w:rsidRPr="00FD4E91">
        <w:rPr>
          <w:rFonts w:cs="Arial"/>
          <w:sz w:val="24"/>
          <w:szCs w:val="24"/>
        </w:rPr>
        <w:t xml:space="preserve">Cultural competency is also a requirement of staff working in this </w:t>
      </w:r>
      <w:r w:rsidR="006162AE" w:rsidRPr="00FD4E91">
        <w:rPr>
          <w:rFonts w:cs="Arial"/>
          <w:sz w:val="24"/>
          <w:szCs w:val="24"/>
        </w:rPr>
        <w:t>Service</w:t>
      </w:r>
      <w:r w:rsidRPr="00FD4E91">
        <w:rPr>
          <w:rFonts w:cs="Arial"/>
          <w:sz w:val="24"/>
          <w:szCs w:val="24"/>
        </w:rPr>
        <w:t>.</w:t>
      </w:r>
      <w:r w:rsidR="005E38B2" w:rsidRPr="00FD4E91">
        <w:rPr>
          <w:rFonts w:cs="Arial"/>
          <w:sz w:val="24"/>
          <w:szCs w:val="24"/>
        </w:rPr>
        <w:t xml:space="preserve"> </w:t>
      </w:r>
      <w:r w:rsidR="00484810" w:rsidRPr="00FD4E91">
        <w:rPr>
          <w:rFonts w:cs="Arial"/>
          <w:sz w:val="24"/>
          <w:szCs w:val="24"/>
        </w:rPr>
        <w:t xml:space="preserve"> </w:t>
      </w:r>
      <w:r w:rsidR="00315090" w:rsidRPr="00FD4E91">
        <w:rPr>
          <w:rFonts w:cs="Arial"/>
          <w:sz w:val="24"/>
          <w:szCs w:val="24"/>
        </w:rPr>
        <w:t xml:space="preserve">Further information in relation to cultural competency and other requisite skills are outlined in relevant professional codes of practice </w:t>
      </w:r>
      <w:r w:rsidR="005E38B2" w:rsidRPr="00FD4E91">
        <w:rPr>
          <w:rFonts w:cs="Arial"/>
          <w:sz w:val="24"/>
          <w:szCs w:val="24"/>
        </w:rPr>
        <w:t xml:space="preserve">and </w:t>
      </w:r>
      <w:r w:rsidR="000A3A3B" w:rsidRPr="00FD4E91">
        <w:rPr>
          <w:rFonts w:cs="Arial"/>
          <w:sz w:val="24"/>
          <w:szCs w:val="24"/>
        </w:rPr>
        <w:t>Let’s</w:t>
      </w:r>
      <w:r w:rsidR="005E38B2" w:rsidRPr="00FD4E91">
        <w:rPr>
          <w:rFonts w:cs="Arial"/>
          <w:sz w:val="24"/>
          <w:szCs w:val="24"/>
        </w:rPr>
        <w:t xml:space="preserve"> Get Real Plus</w:t>
      </w:r>
      <w:r w:rsidR="003F5D25" w:rsidRPr="00FD4E91">
        <w:rPr>
          <w:rStyle w:val="FootnoteReference"/>
          <w:rFonts w:cs="Arial"/>
          <w:sz w:val="24"/>
          <w:szCs w:val="24"/>
        </w:rPr>
        <w:footnoteReference w:id="2"/>
      </w:r>
      <w:r w:rsidR="005E38B2" w:rsidRPr="00FD4E91">
        <w:rPr>
          <w:rFonts w:cs="Arial"/>
          <w:sz w:val="24"/>
          <w:szCs w:val="24"/>
        </w:rPr>
        <w:t>.</w:t>
      </w:r>
    </w:p>
    <w:p w:rsidR="00027868" w:rsidRPr="00FD4E91" w:rsidRDefault="00027868" w:rsidP="00027868">
      <w:pPr>
        <w:tabs>
          <w:tab w:val="left" w:pos="570"/>
        </w:tabs>
        <w:spacing w:before="120" w:after="60"/>
        <w:rPr>
          <w:rFonts w:cs="Arial"/>
          <w:b/>
          <w:sz w:val="24"/>
          <w:szCs w:val="24"/>
        </w:rPr>
      </w:pPr>
      <w:r w:rsidRPr="00FD4E91">
        <w:rPr>
          <w:rFonts w:cs="Arial"/>
          <w:b/>
          <w:sz w:val="24"/>
          <w:szCs w:val="24"/>
        </w:rPr>
        <w:t>5.4.</w:t>
      </w:r>
      <w:r w:rsidRPr="00FD4E91">
        <w:rPr>
          <w:rFonts w:cs="Arial"/>
          <w:b/>
          <w:sz w:val="24"/>
          <w:szCs w:val="24"/>
        </w:rPr>
        <w:tab/>
        <w:t xml:space="preserve">Pacific Health </w:t>
      </w:r>
      <w:bookmarkEnd w:id="55"/>
    </w:p>
    <w:p w:rsidR="00027868" w:rsidRPr="00FD4E91" w:rsidRDefault="00117CF8" w:rsidP="00027868">
      <w:pPr>
        <w:spacing w:after="120"/>
        <w:rPr>
          <w:rFonts w:cs="Arial"/>
          <w:sz w:val="24"/>
          <w:szCs w:val="24"/>
        </w:rPr>
      </w:pPr>
      <w:r w:rsidRPr="00FD4E91">
        <w:rPr>
          <w:rFonts w:cs="Arial"/>
          <w:sz w:val="24"/>
          <w:szCs w:val="24"/>
        </w:rPr>
        <w:t xml:space="preserve">Refer to </w:t>
      </w:r>
      <w:r w:rsidR="003C081C" w:rsidRPr="00FD4E91">
        <w:rPr>
          <w:rFonts w:cs="Arial"/>
          <w:sz w:val="24"/>
          <w:szCs w:val="24"/>
        </w:rPr>
        <w:t xml:space="preserve">the </w:t>
      </w:r>
      <w:r w:rsidR="00D13F0B" w:rsidRPr="00FD4E91">
        <w:rPr>
          <w:rFonts w:cs="Arial"/>
          <w:sz w:val="24"/>
          <w:szCs w:val="24"/>
        </w:rPr>
        <w:t>t</w:t>
      </w:r>
      <w:r w:rsidRPr="00FD4E91">
        <w:rPr>
          <w:rFonts w:cs="Arial"/>
          <w:sz w:val="24"/>
          <w:szCs w:val="24"/>
        </w:rPr>
        <w:t xml:space="preserve">ier one Mental Health and Addiction </w:t>
      </w:r>
      <w:r w:rsidR="00AA525C" w:rsidRPr="00FD4E91">
        <w:rPr>
          <w:rFonts w:cs="Arial"/>
          <w:sz w:val="24"/>
          <w:szCs w:val="24"/>
        </w:rPr>
        <w:t xml:space="preserve">Services </w:t>
      </w:r>
      <w:r w:rsidRPr="00FD4E91">
        <w:rPr>
          <w:rFonts w:cs="Arial"/>
          <w:sz w:val="24"/>
          <w:szCs w:val="24"/>
        </w:rPr>
        <w:t>service specification</w:t>
      </w:r>
      <w:r w:rsidR="003F5D25" w:rsidRPr="00FD4E91">
        <w:rPr>
          <w:rFonts w:cs="Arial"/>
          <w:sz w:val="24"/>
          <w:szCs w:val="24"/>
        </w:rPr>
        <w:t>.</w:t>
      </w:r>
    </w:p>
    <w:p w:rsidR="00027868" w:rsidRPr="00FD4E91" w:rsidRDefault="00027868" w:rsidP="003F5D25">
      <w:pPr>
        <w:tabs>
          <w:tab w:val="left" w:pos="570"/>
        </w:tabs>
        <w:spacing w:after="120"/>
        <w:rPr>
          <w:rFonts w:cs="Arial"/>
          <w:b/>
          <w:sz w:val="24"/>
          <w:szCs w:val="24"/>
        </w:rPr>
      </w:pPr>
      <w:bookmarkStart w:id="56" w:name="_Toc215319155"/>
      <w:r w:rsidRPr="00FD4E91">
        <w:rPr>
          <w:rFonts w:cs="Arial"/>
          <w:b/>
          <w:sz w:val="24"/>
          <w:szCs w:val="24"/>
        </w:rPr>
        <w:t>6.</w:t>
      </w:r>
      <w:r w:rsidRPr="00FD4E91">
        <w:rPr>
          <w:rFonts w:cs="Arial"/>
          <w:b/>
          <w:sz w:val="24"/>
          <w:szCs w:val="24"/>
        </w:rPr>
        <w:tab/>
        <w:t>Service Linkages</w:t>
      </w:r>
      <w:bookmarkEnd w:id="56"/>
    </w:p>
    <w:p w:rsidR="00027868" w:rsidRPr="00FD4E91" w:rsidRDefault="00027868" w:rsidP="00027868">
      <w:pPr>
        <w:spacing w:before="120" w:after="120"/>
        <w:rPr>
          <w:rFonts w:cs="Arial"/>
          <w:sz w:val="24"/>
          <w:szCs w:val="24"/>
        </w:rPr>
      </w:pPr>
      <w:bookmarkStart w:id="57" w:name="_Toc215319158"/>
      <w:r w:rsidRPr="00FD4E91">
        <w:rPr>
          <w:rFonts w:cs="Arial"/>
          <w:sz w:val="24"/>
          <w:szCs w:val="24"/>
        </w:rPr>
        <w:t>Linkages include, but are not limited to the following:</w:t>
      </w:r>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3"/>
        <w:gridCol w:w="1843"/>
        <w:gridCol w:w="4672"/>
      </w:tblGrid>
      <w:tr w:rsidR="004A5523" w:rsidRPr="00FD4E91" w:rsidTr="00E17B99">
        <w:tc>
          <w:tcPr>
            <w:tcW w:w="1617" w:type="pct"/>
            <w:tcBorders>
              <w:top w:val="single" w:sz="4" w:space="0" w:color="auto"/>
              <w:left w:val="single" w:sz="4" w:space="0" w:color="auto"/>
              <w:bottom w:val="single" w:sz="4" w:space="0" w:color="auto"/>
              <w:right w:val="single" w:sz="4" w:space="0" w:color="auto"/>
            </w:tcBorders>
            <w:shd w:val="clear" w:color="auto" w:fill="D9D9D9"/>
          </w:tcPr>
          <w:p w:rsidR="00315090" w:rsidRPr="00FD4E91" w:rsidRDefault="00315090" w:rsidP="004A5523">
            <w:pPr>
              <w:spacing w:before="120"/>
              <w:rPr>
                <w:rFonts w:cs="Arial"/>
                <w:b/>
                <w:sz w:val="24"/>
                <w:szCs w:val="24"/>
              </w:rPr>
            </w:pPr>
            <w:r w:rsidRPr="00FD4E91">
              <w:rPr>
                <w:rFonts w:cs="Arial"/>
                <w:b/>
                <w:sz w:val="24"/>
                <w:szCs w:val="24"/>
              </w:rPr>
              <w:t>Service Provider</w:t>
            </w:r>
          </w:p>
        </w:tc>
        <w:tc>
          <w:tcPr>
            <w:tcW w:w="957" w:type="pct"/>
            <w:tcBorders>
              <w:top w:val="single" w:sz="4" w:space="0" w:color="auto"/>
              <w:left w:val="single" w:sz="4" w:space="0" w:color="auto"/>
              <w:bottom w:val="single" w:sz="4" w:space="0" w:color="auto"/>
              <w:right w:val="single" w:sz="4" w:space="0" w:color="auto"/>
            </w:tcBorders>
            <w:shd w:val="clear" w:color="auto" w:fill="D9D9D9"/>
          </w:tcPr>
          <w:p w:rsidR="00315090" w:rsidRPr="00FD4E91" w:rsidRDefault="00315090" w:rsidP="004A5523">
            <w:pPr>
              <w:spacing w:before="120"/>
              <w:rPr>
                <w:rFonts w:cs="Arial"/>
                <w:b/>
                <w:sz w:val="24"/>
                <w:szCs w:val="24"/>
              </w:rPr>
            </w:pPr>
            <w:r w:rsidRPr="00FD4E91">
              <w:rPr>
                <w:rFonts w:cs="Arial"/>
                <w:b/>
                <w:sz w:val="24"/>
                <w:szCs w:val="24"/>
              </w:rPr>
              <w:t>Nature of Linkage</w:t>
            </w:r>
          </w:p>
        </w:tc>
        <w:tc>
          <w:tcPr>
            <w:tcW w:w="2426" w:type="pct"/>
            <w:tcBorders>
              <w:top w:val="single" w:sz="4" w:space="0" w:color="auto"/>
              <w:left w:val="single" w:sz="4" w:space="0" w:color="auto"/>
              <w:bottom w:val="single" w:sz="4" w:space="0" w:color="auto"/>
              <w:right w:val="single" w:sz="4" w:space="0" w:color="auto"/>
            </w:tcBorders>
            <w:shd w:val="clear" w:color="auto" w:fill="D9D9D9"/>
          </w:tcPr>
          <w:p w:rsidR="00315090" w:rsidRPr="00FD4E91" w:rsidRDefault="00315090" w:rsidP="004A5523">
            <w:pPr>
              <w:spacing w:before="120"/>
              <w:rPr>
                <w:rFonts w:cs="Arial"/>
                <w:b/>
                <w:sz w:val="24"/>
                <w:szCs w:val="24"/>
              </w:rPr>
            </w:pPr>
            <w:r w:rsidRPr="00FD4E91">
              <w:rPr>
                <w:rFonts w:cs="Arial"/>
                <w:b/>
                <w:sz w:val="24"/>
                <w:szCs w:val="24"/>
              </w:rPr>
              <w:t>Accountabilities</w:t>
            </w:r>
          </w:p>
        </w:tc>
      </w:tr>
      <w:tr w:rsidR="00315090" w:rsidRPr="00FD4E91" w:rsidTr="00E17B99">
        <w:tc>
          <w:tcPr>
            <w:tcW w:w="1617" w:type="pct"/>
            <w:tcBorders>
              <w:top w:val="single" w:sz="4" w:space="0" w:color="auto"/>
              <w:left w:val="single" w:sz="4" w:space="0" w:color="auto"/>
              <w:bottom w:val="single" w:sz="4" w:space="0" w:color="auto"/>
              <w:right w:val="single" w:sz="4" w:space="0" w:color="auto"/>
            </w:tcBorders>
            <w:shd w:val="clear" w:color="auto" w:fill="auto"/>
          </w:tcPr>
          <w:p w:rsidR="003943DD" w:rsidRPr="00E17B99" w:rsidRDefault="00315090" w:rsidP="00E17B99">
            <w:pPr>
              <w:rPr>
                <w:rFonts w:cs="Arial"/>
                <w:szCs w:val="22"/>
              </w:rPr>
            </w:pPr>
            <w:r w:rsidRPr="00E17B99">
              <w:rPr>
                <w:rFonts w:cs="Arial"/>
                <w:szCs w:val="22"/>
              </w:rPr>
              <w:t>Other providers of Mental Health and addiction services (particularly CAMHS, Youth A</w:t>
            </w:r>
            <w:r w:rsidR="0004067E" w:rsidRPr="00E17B99">
              <w:rPr>
                <w:rFonts w:cs="Arial"/>
                <w:szCs w:val="22"/>
              </w:rPr>
              <w:t>O</w:t>
            </w:r>
            <w:r w:rsidRPr="00E17B99">
              <w:rPr>
                <w:rFonts w:cs="Arial"/>
                <w:szCs w:val="22"/>
              </w:rPr>
              <w:t>D and Adult Forensic services</w:t>
            </w:r>
            <w:r w:rsidR="005A222D">
              <w:rPr>
                <w:rFonts w:cs="Arial"/>
                <w:szCs w:val="22"/>
              </w:rPr>
              <w:t>)</w:t>
            </w:r>
            <w:r w:rsidRPr="00E17B99">
              <w:rPr>
                <w:rFonts w:cs="Arial"/>
                <w:szCs w:val="22"/>
              </w:rPr>
              <w:t xml:space="preserve">. </w:t>
            </w:r>
          </w:p>
          <w:p w:rsidR="00315090" w:rsidRPr="00E17B99" w:rsidRDefault="003943DD" w:rsidP="00E17B99">
            <w:pPr>
              <w:rPr>
                <w:rFonts w:cs="Arial"/>
                <w:szCs w:val="22"/>
              </w:rPr>
            </w:pPr>
            <w:r w:rsidRPr="00E17B99">
              <w:rPr>
                <w:rFonts w:cs="Arial"/>
                <w:szCs w:val="22"/>
              </w:rPr>
              <w:t>Other health, disability and rehabilitation providers eg</w:t>
            </w:r>
            <w:r w:rsidR="00066E9A" w:rsidRPr="00E17B99">
              <w:rPr>
                <w:rFonts w:cs="Arial"/>
                <w:szCs w:val="22"/>
              </w:rPr>
              <w:t>.</w:t>
            </w:r>
            <w:r w:rsidR="006753C7">
              <w:rPr>
                <w:rFonts w:cs="Arial"/>
                <w:szCs w:val="22"/>
              </w:rPr>
              <w:t xml:space="preserve"> </w:t>
            </w:r>
            <w:r w:rsidRPr="00E17B99">
              <w:rPr>
                <w:rFonts w:cs="Arial"/>
                <w:szCs w:val="22"/>
              </w:rPr>
              <w:t>sexual health</w:t>
            </w:r>
            <w:r w:rsidR="00315090" w:rsidRPr="00E17B99">
              <w:rPr>
                <w:rFonts w:cs="Arial"/>
                <w:szCs w:val="22"/>
              </w:rPr>
              <w:t xml:space="preserve"> </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477CE7" w:rsidP="00E17B99">
            <w:pPr>
              <w:rPr>
                <w:rFonts w:cs="Arial"/>
                <w:szCs w:val="22"/>
              </w:rPr>
            </w:pPr>
            <w:r w:rsidRPr="00E17B99">
              <w:rPr>
                <w:rFonts w:cs="Arial"/>
                <w:szCs w:val="22"/>
              </w:rPr>
              <w:t>Referral, liaison, consultation</w:t>
            </w:r>
            <w:r w:rsidR="00D13F0B" w:rsidRPr="00E17B99">
              <w:rPr>
                <w:rFonts w:cs="Arial"/>
                <w:szCs w:val="22"/>
              </w:rPr>
              <w:t xml:space="preserve"> </w:t>
            </w:r>
            <w:r w:rsidR="00315090" w:rsidRPr="00E17B99">
              <w:rPr>
                <w:rFonts w:cs="Arial"/>
                <w:szCs w:val="22"/>
              </w:rPr>
              <w:t xml:space="preserve">and collaboration </w:t>
            </w:r>
          </w:p>
        </w:tc>
        <w:tc>
          <w:tcPr>
            <w:tcW w:w="2426"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 xml:space="preserve">Work with other relevant professionals and agencies in the care of the </w:t>
            </w:r>
            <w:r w:rsidR="007E218A" w:rsidRPr="00E17B99">
              <w:rPr>
                <w:rFonts w:cs="Arial"/>
                <w:szCs w:val="22"/>
              </w:rPr>
              <w:t>Service User</w:t>
            </w:r>
          </w:p>
          <w:p w:rsidR="00315090" w:rsidRPr="00E17B99" w:rsidRDefault="00315090" w:rsidP="00E17B99">
            <w:pPr>
              <w:rPr>
                <w:rFonts w:cs="Arial"/>
                <w:szCs w:val="22"/>
              </w:rPr>
            </w:pPr>
            <w:r w:rsidRPr="00E17B99">
              <w:rPr>
                <w:rFonts w:cs="Arial"/>
                <w:szCs w:val="22"/>
              </w:rPr>
              <w:t xml:space="preserve">Support effective transfer of </w:t>
            </w:r>
            <w:r w:rsidR="007E218A" w:rsidRPr="00E17B99">
              <w:rPr>
                <w:rFonts w:cs="Arial"/>
                <w:szCs w:val="22"/>
              </w:rPr>
              <w:t>Service User</w:t>
            </w:r>
            <w:r w:rsidRPr="00E17B99">
              <w:rPr>
                <w:rFonts w:cs="Arial"/>
                <w:szCs w:val="22"/>
              </w:rPr>
              <w:t>s from one service to another</w:t>
            </w:r>
          </w:p>
          <w:p w:rsidR="00315090" w:rsidRPr="00E17B99" w:rsidRDefault="00315090" w:rsidP="00E17B99">
            <w:pPr>
              <w:rPr>
                <w:rFonts w:cs="Arial"/>
                <w:szCs w:val="22"/>
              </w:rPr>
            </w:pPr>
            <w:r w:rsidRPr="00E17B99">
              <w:rPr>
                <w:rFonts w:cs="Arial"/>
                <w:szCs w:val="22"/>
              </w:rPr>
              <w:t>In the case of youth high tariff offending, work with Adult Forensic Mental Health services to ensure youth clinical and developmental needs are understood and are met</w:t>
            </w:r>
          </w:p>
        </w:tc>
      </w:tr>
      <w:tr w:rsidR="00315090" w:rsidRPr="00FD4E91" w:rsidTr="00E17B99">
        <w:tc>
          <w:tcPr>
            <w:tcW w:w="1617"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General health services including primary care</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Referral</w:t>
            </w:r>
          </w:p>
          <w:p w:rsidR="00315090" w:rsidRPr="00E17B99" w:rsidRDefault="00315090" w:rsidP="00E17B99">
            <w:pPr>
              <w:rPr>
                <w:rFonts w:cs="Arial"/>
                <w:szCs w:val="22"/>
              </w:rPr>
            </w:pPr>
            <w:r w:rsidRPr="00E17B99">
              <w:rPr>
                <w:rFonts w:cs="Arial"/>
                <w:szCs w:val="22"/>
              </w:rPr>
              <w:t>Liaison</w:t>
            </w:r>
          </w:p>
          <w:p w:rsidR="00315090" w:rsidRPr="00E17B99" w:rsidRDefault="00315090" w:rsidP="00E17B99">
            <w:pPr>
              <w:rPr>
                <w:rFonts w:cs="Arial"/>
                <w:szCs w:val="22"/>
              </w:rPr>
            </w:pPr>
            <w:r w:rsidRPr="00E17B99">
              <w:rPr>
                <w:rFonts w:cs="Arial"/>
                <w:szCs w:val="22"/>
              </w:rPr>
              <w:t>Collaboration</w:t>
            </w:r>
          </w:p>
        </w:tc>
        <w:tc>
          <w:tcPr>
            <w:tcW w:w="2426"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 xml:space="preserve">Work with relevant primary and secondary care services who are (or need to be) involved in the care of the </w:t>
            </w:r>
            <w:r w:rsidR="007E218A" w:rsidRPr="00E17B99">
              <w:rPr>
                <w:rFonts w:cs="Arial"/>
                <w:szCs w:val="22"/>
              </w:rPr>
              <w:t>Service User</w:t>
            </w:r>
          </w:p>
          <w:p w:rsidR="00315090" w:rsidRPr="00E17B99" w:rsidRDefault="00315090" w:rsidP="00E17B99">
            <w:pPr>
              <w:rPr>
                <w:rFonts w:cs="Arial"/>
                <w:szCs w:val="22"/>
              </w:rPr>
            </w:pPr>
            <w:r w:rsidRPr="00E17B99">
              <w:rPr>
                <w:rFonts w:cs="Arial"/>
                <w:szCs w:val="22"/>
              </w:rPr>
              <w:t xml:space="preserve">Support effective transfer of </w:t>
            </w:r>
            <w:r w:rsidR="007E218A" w:rsidRPr="00E17B99">
              <w:rPr>
                <w:rFonts w:cs="Arial"/>
                <w:szCs w:val="22"/>
              </w:rPr>
              <w:t>Service User</w:t>
            </w:r>
            <w:r w:rsidRPr="00E17B99">
              <w:rPr>
                <w:rFonts w:cs="Arial"/>
                <w:szCs w:val="22"/>
              </w:rPr>
              <w:t>s from one service to another</w:t>
            </w:r>
          </w:p>
        </w:tc>
      </w:tr>
      <w:tr w:rsidR="00315090" w:rsidRPr="00FD4E91" w:rsidTr="00E17B99">
        <w:tc>
          <w:tcPr>
            <w:tcW w:w="1617"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NGO Providers</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Referral Liaison</w:t>
            </w:r>
          </w:p>
          <w:p w:rsidR="00315090" w:rsidRPr="00E17B99" w:rsidRDefault="00315090" w:rsidP="00E17B99">
            <w:pPr>
              <w:rPr>
                <w:rFonts w:cs="Arial"/>
                <w:szCs w:val="22"/>
              </w:rPr>
            </w:pPr>
            <w:r w:rsidRPr="00E17B99">
              <w:rPr>
                <w:rFonts w:cs="Arial"/>
                <w:szCs w:val="22"/>
              </w:rPr>
              <w:t>Collaboration</w:t>
            </w:r>
          </w:p>
        </w:tc>
        <w:tc>
          <w:tcPr>
            <w:tcW w:w="2426"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 xml:space="preserve">Work with NGOs to support the </w:t>
            </w:r>
            <w:r w:rsidR="007E218A" w:rsidRPr="00E17B99">
              <w:rPr>
                <w:rFonts w:cs="Arial"/>
                <w:szCs w:val="22"/>
              </w:rPr>
              <w:t>Service User</w:t>
            </w:r>
            <w:r w:rsidRPr="00E17B99">
              <w:rPr>
                <w:rFonts w:cs="Arial"/>
                <w:szCs w:val="22"/>
              </w:rPr>
              <w:t xml:space="preserve"> in functioning (eg housing, income support </w:t>
            </w:r>
            <w:r w:rsidRPr="00E17B99">
              <w:rPr>
                <w:rFonts w:cs="Arial"/>
                <w:szCs w:val="22"/>
              </w:rPr>
              <w:lastRenderedPageBreak/>
              <w:t xml:space="preserve">entitlements, and education and employment opportunities. </w:t>
            </w:r>
          </w:p>
        </w:tc>
      </w:tr>
      <w:tr w:rsidR="00315090" w:rsidRPr="00FD4E91" w:rsidTr="00E17B99">
        <w:tc>
          <w:tcPr>
            <w:tcW w:w="1617"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lastRenderedPageBreak/>
              <w:t xml:space="preserve">Providers of Disability </w:t>
            </w:r>
            <w:r w:rsidR="003F5D25" w:rsidRPr="00E17B99">
              <w:rPr>
                <w:rFonts w:cs="Arial"/>
                <w:szCs w:val="22"/>
              </w:rPr>
              <w:t xml:space="preserve">Support </w:t>
            </w:r>
            <w:r w:rsidRPr="00E17B99">
              <w:rPr>
                <w:rFonts w:cs="Arial"/>
                <w:szCs w:val="22"/>
              </w:rPr>
              <w:t xml:space="preserve">Services </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Referral</w:t>
            </w:r>
          </w:p>
          <w:p w:rsidR="00315090" w:rsidRPr="00E17B99" w:rsidRDefault="00315090" w:rsidP="00E17B99">
            <w:pPr>
              <w:rPr>
                <w:rFonts w:cs="Arial"/>
                <w:szCs w:val="22"/>
              </w:rPr>
            </w:pPr>
            <w:r w:rsidRPr="00E17B99">
              <w:rPr>
                <w:rFonts w:cs="Arial"/>
                <w:szCs w:val="22"/>
              </w:rPr>
              <w:t>Liaison</w:t>
            </w:r>
          </w:p>
          <w:p w:rsidR="00315090" w:rsidRPr="00E17B99" w:rsidRDefault="00315090" w:rsidP="00E17B99">
            <w:pPr>
              <w:rPr>
                <w:rFonts w:cs="Arial"/>
                <w:szCs w:val="22"/>
              </w:rPr>
            </w:pPr>
            <w:r w:rsidRPr="00E17B99">
              <w:rPr>
                <w:rFonts w:cs="Arial"/>
                <w:szCs w:val="22"/>
              </w:rPr>
              <w:t>Collaboration</w:t>
            </w:r>
          </w:p>
        </w:tc>
        <w:tc>
          <w:tcPr>
            <w:tcW w:w="2426"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Work collaboratively with intellectual</w:t>
            </w:r>
            <w:r w:rsidR="003F5D25" w:rsidRPr="00E17B99">
              <w:rPr>
                <w:rFonts w:cs="Arial"/>
                <w:szCs w:val="22"/>
              </w:rPr>
              <w:t xml:space="preserve"> and other </w:t>
            </w:r>
            <w:r w:rsidRPr="00E17B99">
              <w:rPr>
                <w:rFonts w:cs="Arial"/>
                <w:szCs w:val="22"/>
              </w:rPr>
              <w:t xml:space="preserve">disability </w:t>
            </w:r>
            <w:r w:rsidR="003F5D25" w:rsidRPr="00E17B99">
              <w:rPr>
                <w:rFonts w:cs="Arial"/>
                <w:szCs w:val="22"/>
              </w:rPr>
              <w:t xml:space="preserve">support </w:t>
            </w:r>
            <w:r w:rsidRPr="00E17B99">
              <w:rPr>
                <w:rFonts w:cs="Arial"/>
                <w:szCs w:val="22"/>
              </w:rPr>
              <w:t>services and facilitate access to those services when needed.</w:t>
            </w:r>
          </w:p>
        </w:tc>
      </w:tr>
      <w:tr w:rsidR="00315090" w:rsidRPr="00FD4E91" w:rsidTr="00E17B99">
        <w:tc>
          <w:tcPr>
            <w:tcW w:w="1617"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Education services</w:t>
            </w:r>
          </w:p>
          <w:p w:rsidR="00315090" w:rsidRPr="00E17B99" w:rsidRDefault="00315090" w:rsidP="00E17B99">
            <w:pPr>
              <w:rPr>
                <w:rFonts w:cs="Arial"/>
                <w:szCs w:val="22"/>
              </w:rPr>
            </w:pPr>
            <w:r w:rsidRPr="00E17B99">
              <w:rPr>
                <w:rFonts w:cs="Arial"/>
                <w:szCs w:val="22"/>
              </w:rPr>
              <w:t xml:space="preserve">Group </w:t>
            </w:r>
            <w:r w:rsidR="003F5D25" w:rsidRPr="00E17B99">
              <w:rPr>
                <w:rFonts w:cs="Arial"/>
                <w:szCs w:val="22"/>
              </w:rPr>
              <w:t>S</w:t>
            </w:r>
            <w:r w:rsidRPr="00E17B99">
              <w:rPr>
                <w:rFonts w:cs="Arial"/>
                <w:szCs w:val="22"/>
              </w:rPr>
              <w:t xml:space="preserve">pecial </w:t>
            </w:r>
            <w:r w:rsidR="003F5D25" w:rsidRPr="00E17B99">
              <w:rPr>
                <w:rFonts w:cs="Arial"/>
                <w:szCs w:val="22"/>
              </w:rPr>
              <w:t>E</w:t>
            </w:r>
            <w:r w:rsidRPr="00E17B99">
              <w:rPr>
                <w:rFonts w:cs="Arial"/>
                <w:szCs w:val="22"/>
              </w:rPr>
              <w:t>ducation</w:t>
            </w:r>
          </w:p>
          <w:p w:rsidR="00315090" w:rsidRPr="00E17B99" w:rsidRDefault="00315090" w:rsidP="00E17B99">
            <w:pPr>
              <w:rPr>
                <w:rFonts w:cs="Arial"/>
                <w:szCs w:val="22"/>
              </w:rPr>
            </w:pPr>
            <w:r w:rsidRPr="00E17B99">
              <w:rPr>
                <w:rFonts w:cs="Arial"/>
                <w:szCs w:val="22"/>
              </w:rPr>
              <w:t>(GSE) services</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Consultation</w:t>
            </w:r>
          </w:p>
          <w:p w:rsidR="00315090" w:rsidRPr="00E17B99" w:rsidRDefault="00315090" w:rsidP="00E17B99">
            <w:pPr>
              <w:rPr>
                <w:rFonts w:cs="Arial"/>
                <w:szCs w:val="22"/>
              </w:rPr>
            </w:pPr>
            <w:r w:rsidRPr="00E17B99">
              <w:rPr>
                <w:rFonts w:cs="Arial"/>
                <w:szCs w:val="22"/>
              </w:rPr>
              <w:t>Liaison</w:t>
            </w:r>
          </w:p>
          <w:p w:rsidR="00315090" w:rsidRPr="00E17B99" w:rsidRDefault="00315090" w:rsidP="00E17B99">
            <w:pPr>
              <w:rPr>
                <w:rFonts w:cs="Arial"/>
                <w:szCs w:val="22"/>
              </w:rPr>
            </w:pPr>
            <w:r w:rsidRPr="00E17B99">
              <w:rPr>
                <w:rFonts w:cs="Arial"/>
                <w:szCs w:val="22"/>
              </w:rPr>
              <w:t>Collaboration</w:t>
            </w:r>
          </w:p>
        </w:tc>
        <w:tc>
          <w:tcPr>
            <w:tcW w:w="2426"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Work collaboratively with educational services and facilitate access to those services when needed.</w:t>
            </w:r>
          </w:p>
        </w:tc>
      </w:tr>
      <w:tr w:rsidR="00315090" w:rsidRPr="00FD4E91" w:rsidTr="00E17B99">
        <w:tc>
          <w:tcPr>
            <w:tcW w:w="1617"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5A222D" w:rsidP="00E17B99">
            <w:pPr>
              <w:rPr>
                <w:rFonts w:cs="Arial"/>
                <w:szCs w:val="22"/>
              </w:rPr>
            </w:pPr>
            <w:proofErr w:type="spellStart"/>
            <w:r>
              <w:rPr>
                <w:rFonts w:cs="Arial"/>
                <w:szCs w:val="22"/>
              </w:rPr>
              <w:t>Oranga</w:t>
            </w:r>
            <w:proofErr w:type="spellEnd"/>
            <w:r>
              <w:rPr>
                <w:rFonts w:cs="Arial"/>
                <w:szCs w:val="22"/>
              </w:rPr>
              <w:t xml:space="preserve"> Tamariki</w:t>
            </w:r>
          </w:p>
          <w:p w:rsidR="00315090" w:rsidRPr="00E17B99" w:rsidRDefault="00315090" w:rsidP="00E17B99">
            <w:pPr>
              <w:rPr>
                <w:rFonts w:cs="Arial"/>
                <w:szCs w:val="22"/>
              </w:rPr>
            </w:pPr>
            <w:r w:rsidRPr="00E17B99">
              <w:rPr>
                <w:rFonts w:cs="Arial"/>
                <w:szCs w:val="22"/>
              </w:rPr>
              <w:t>Youth Transition Services</w:t>
            </w:r>
          </w:p>
          <w:p w:rsidR="00315090" w:rsidRPr="00E17B99" w:rsidRDefault="00315090" w:rsidP="00E17B99">
            <w:pPr>
              <w:rPr>
                <w:rFonts w:cs="Arial"/>
                <w:szCs w:val="22"/>
              </w:rPr>
            </w:pPr>
            <w:r w:rsidRPr="00E17B99">
              <w:rPr>
                <w:rFonts w:cs="Arial"/>
                <w:szCs w:val="22"/>
              </w:rPr>
              <w:t>Police</w:t>
            </w:r>
          </w:p>
          <w:p w:rsidR="00315090" w:rsidRPr="00E17B99" w:rsidRDefault="005A222D" w:rsidP="00E17B99">
            <w:pPr>
              <w:rPr>
                <w:rFonts w:cs="Arial"/>
                <w:szCs w:val="22"/>
              </w:rPr>
            </w:pPr>
            <w:r>
              <w:rPr>
                <w:rFonts w:cs="Arial"/>
                <w:szCs w:val="22"/>
              </w:rPr>
              <w:t xml:space="preserve">Ara </w:t>
            </w:r>
            <w:proofErr w:type="spellStart"/>
            <w:r>
              <w:rPr>
                <w:rFonts w:cs="Arial"/>
                <w:szCs w:val="22"/>
              </w:rPr>
              <w:t>Poutama</w:t>
            </w:r>
            <w:proofErr w:type="spellEnd"/>
            <w:r>
              <w:rPr>
                <w:rFonts w:cs="Arial"/>
                <w:szCs w:val="22"/>
              </w:rPr>
              <w:t xml:space="preserve"> Aotearoa</w:t>
            </w:r>
          </w:p>
          <w:p w:rsidR="00315090" w:rsidRPr="00E17B99" w:rsidRDefault="00315090" w:rsidP="00E17B99">
            <w:pPr>
              <w:rPr>
                <w:rFonts w:cs="Arial"/>
                <w:szCs w:val="22"/>
              </w:rPr>
            </w:pPr>
            <w:r w:rsidRPr="00E17B99">
              <w:rPr>
                <w:rFonts w:cs="Arial"/>
                <w:szCs w:val="22"/>
              </w:rPr>
              <w:t>Courts</w:t>
            </w:r>
          </w:p>
          <w:p w:rsidR="003943DD" w:rsidRPr="00E17B99" w:rsidRDefault="007403FD" w:rsidP="00E17B99">
            <w:pPr>
              <w:rPr>
                <w:rFonts w:cs="Arial"/>
                <w:szCs w:val="22"/>
              </w:rPr>
            </w:pPr>
            <w:r w:rsidRPr="00E17B99">
              <w:rPr>
                <w:rFonts w:cs="Arial"/>
                <w:szCs w:val="22"/>
              </w:rPr>
              <w:t xml:space="preserve">Other health services </w:t>
            </w:r>
          </w:p>
        </w:tc>
        <w:tc>
          <w:tcPr>
            <w:tcW w:w="957"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Consultation</w:t>
            </w:r>
          </w:p>
          <w:p w:rsidR="00315090" w:rsidRPr="00E17B99" w:rsidRDefault="00315090" w:rsidP="00E17B99">
            <w:pPr>
              <w:rPr>
                <w:rFonts w:cs="Arial"/>
                <w:szCs w:val="22"/>
              </w:rPr>
            </w:pPr>
            <w:r w:rsidRPr="00E17B99">
              <w:rPr>
                <w:rFonts w:cs="Arial"/>
                <w:szCs w:val="22"/>
              </w:rPr>
              <w:t>Liaison</w:t>
            </w:r>
          </w:p>
          <w:p w:rsidR="00315090" w:rsidRPr="00E17B99" w:rsidRDefault="00315090" w:rsidP="00E17B99">
            <w:pPr>
              <w:rPr>
                <w:rFonts w:cs="Arial"/>
                <w:szCs w:val="22"/>
              </w:rPr>
            </w:pPr>
            <w:r w:rsidRPr="00E17B99">
              <w:rPr>
                <w:rFonts w:cs="Arial"/>
                <w:szCs w:val="22"/>
              </w:rPr>
              <w:t>Collaboration</w:t>
            </w:r>
          </w:p>
        </w:tc>
        <w:tc>
          <w:tcPr>
            <w:tcW w:w="2426" w:type="pct"/>
            <w:tcBorders>
              <w:top w:val="single" w:sz="4" w:space="0" w:color="auto"/>
              <w:left w:val="single" w:sz="4" w:space="0" w:color="auto"/>
              <w:bottom w:val="single" w:sz="4" w:space="0" w:color="auto"/>
              <w:right w:val="single" w:sz="4" w:space="0" w:color="auto"/>
            </w:tcBorders>
            <w:shd w:val="clear" w:color="auto" w:fill="auto"/>
          </w:tcPr>
          <w:p w:rsidR="00315090" w:rsidRPr="00E17B99" w:rsidRDefault="00315090" w:rsidP="00E17B99">
            <w:pPr>
              <w:rPr>
                <w:rFonts w:cs="Arial"/>
                <w:szCs w:val="22"/>
              </w:rPr>
            </w:pPr>
            <w:r w:rsidRPr="00E17B99">
              <w:rPr>
                <w:rFonts w:cs="Arial"/>
                <w:szCs w:val="22"/>
              </w:rPr>
              <w:t>Work collaboratively</w:t>
            </w:r>
          </w:p>
          <w:p w:rsidR="00315090" w:rsidRPr="00E17B99" w:rsidRDefault="00315090" w:rsidP="00E17B99">
            <w:pPr>
              <w:rPr>
                <w:rFonts w:cs="Arial"/>
                <w:szCs w:val="22"/>
              </w:rPr>
            </w:pPr>
            <w:r w:rsidRPr="00E17B99">
              <w:rPr>
                <w:rFonts w:cs="Arial"/>
                <w:szCs w:val="22"/>
              </w:rPr>
              <w:t>Provide advice</w:t>
            </w:r>
          </w:p>
          <w:p w:rsidR="00315090" w:rsidRPr="00E17B99" w:rsidRDefault="00315090" w:rsidP="00E17B99">
            <w:pPr>
              <w:rPr>
                <w:rFonts w:cs="Arial"/>
                <w:szCs w:val="22"/>
              </w:rPr>
            </w:pPr>
            <w:r w:rsidRPr="00E17B99">
              <w:rPr>
                <w:rFonts w:cs="Arial"/>
                <w:szCs w:val="22"/>
              </w:rPr>
              <w:t>Receive referrals</w:t>
            </w:r>
          </w:p>
          <w:p w:rsidR="003943DD" w:rsidRPr="00E17B99" w:rsidRDefault="003943DD" w:rsidP="00E17B99">
            <w:pPr>
              <w:rPr>
                <w:rFonts w:cs="Arial"/>
                <w:szCs w:val="22"/>
              </w:rPr>
            </w:pPr>
            <w:r w:rsidRPr="00E17B99">
              <w:rPr>
                <w:rFonts w:cs="Arial"/>
                <w:szCs w:val="22"/>
              </w:rPr>
              <w:t>Develop joint intervention and transition plans with partner agencies</w:t>
            </w:r>
          </w:p>
        </w:tc>
      </w:tr>
    </w:tbl>
    <w:p w:rsidR="00027868" w:rsidRPr="00FD4E91" w:rsidRDefault="00027868" w:rsidP="00027868">
      <w:pPr>
        <w:tabs>
          <w:tab w:val="left" w:pos="570"/>
        </w:tabs>
        <w:spacing w:before="240" w:after="120"/>
        <w:rPr>
          <w:rFonts w:cs="Arial"/>
          <w:b/>
          <w:sz w:val="24"/>
          <w:szCs w:val="24"/>
        </w:rPr>
      </w:pPr>
      <w:bookmarkStart w:id="58" w:name="_Toc215319164"/>
      <w:r w:rsidRPr="00FD4E91">
        <w:rPr>
          <w:rFonts w:cs="Arial"/>
          <w:b/>
          <w:sz w:val="24"/>
          <w:szCs w:val="24"/>
        </w:rPr>
        <w:t>7.</w:t>
      </w:r>
      <w:r w:rsidRPr="00FD4E91">
        <w:rPr>
          <w:rFonts w:cs="Arial"/>
          <w:b/>
          <w:sz w:val="24"/>
          <w:szCs w:val="24"/>
        </w:rPr>
        <w:tab/>
        <w:t>Exclusions</w:t>
      </w:r>
    </w:p>
    <w:p w:rsidR="00027868" w:rsidRPr="00FD4E91" w:rsidRDefault="00027868" w:rsidP="001466FD">
      <w:pPr>
        <w:tabs>
          <w:tab w:val="left" w:pos="570"/>
        </w:tabs>
        <w:spacing w:before="120" w:after="120"/>
        <w:rPr>
          <w:rFonts w:cs="Arial"/>
          <w:sz w:val="24"/>
          <w:szCs w:val="24"/>
        </w:rPr>
      </w:pPr>
      <w:r w:rsidRPr="00FD4E91">
        <w:rPr>
          <w:rFonts w:cs="Arial"/>
          <w:sz w:val="24"/>
          <w:szCs w:val="24"/>
        </w:rPr>
        <w:t>Refer to tier one Mental Health and Addiction Services</w:t>
      </w:r>
      <w:r w:rsidR="00AA525C" w:rsidRPr="00FD4E91">
        <w:rPr>
          <w:rFonts w:cs="Arial"/>
          <w:sz w:val="24"/>
          <w:szCs w:val="24"/>
        </w:rPr>
        <w:t xml:space="preserve"> </w:t>
      </w:r>
      <w:r w:rsidR="00DE0803" w:rsidRPr="00FD4E91">
        <w:rPr>
          <w:rFonts w:cs="Arial"/>
          <w:sz w:val="24"/>
          <w:szCs w:val="24"/>
        </w:rPr>
        <w:t xml:space="preserve">service </w:t>
      </w:r>
      <w:r w:rsidR="00AA525C" w:rsidRPr="00FD4E91">
        <w:rPr>
          <w:rFonts w:cs="Arial"/>
          <w:sz w:val="24"/>
          <w:szCs w:val="24"/>
        </w:rPr>
        <w:t>specification</w:t>
      </w:r>
      <w:r w:rsidRPr="00FD4E91">
        <w:rPr>
          <w:rFonts w:cs="Arial"/>
          <w:sz w:val="24"/>
          <w:szCs w:val="24"/>
        </w:rPr>
        <w:t>.</w:t>
      </w:r>
    </w:p>
    <w:p w:rsidR="00027868" w:rsidRPr="00FD4E91" w:rsidRDefault="00027868" w:rsidP="00477CE7">
      <w:pPr>
        <w:tabs>
          <w:tab w:val="left" w:pos="570"/>
        </w:tabs>
        <w:spacing w:after="120"/>
        <w:rPr>
          <w:rFonts w:cs="Arial"/>
          <w:b/>
          <w:sz w:val="24"/>
          <w:szCs w:val="24"/>
          <w:lang w:eastAsia="en-US"/>
        </w:rPr>
      </w:pPr>
      <w:r w:rsidRPr="00FD4E91">
        <w:rPr>
          <w:rFonts w:cs="Arial"/>
          <w:b/>
          <w:sz w:val="24"/>
          <w:szCs w:val="24"/>
        </w:rPr>
        <w:t>8.</w:t>
      </w:r>
      <w:r w:rsidRPr="00FD4E91">
        <w:rPr>
          <w:rFonts w:cs="Arial"/>
          <w:b/>
          <w:sz w:val="24"/>
          <w:szCs w:val="24"/>
        </w:rPr>
        <w:tab/>
        <w:t>Quality Requirements</w:t>
      </w:r>
      <w:bookmarkEnd w:id="58"/>
    </w:p>
    <w:p w:rsidR="00027868" w:rsidRPr="00FD4E91" w:rsidRDefault="00027868" w:rsidP="00027868">
      <w:pPr>
        <w:spacing w:before="120"/>
        <w:rPr>
          <w:rFonts w:cs="Arial"/>
          <w:sz w:val="24"/>
          <w:szCs w:val="24"/>
        </w:rPr>
      </w:pPr>
      <w:bookmarkStart w:id="59" w:name="_Toc215319165"/>
      <w:r w:rsidRPr="00FD4E91">
        <w:rPr>
          <w:rFonts w:cs="Arial"/>
          <w:sz w:val="24"/>
          <w:szCs w:val="24"/>
        </w:rPr>
        <w:t xml:space="preserve">The Service must comply with the Provider Quality Standards described in the </w:t>
      </w:r>
      <w:r w:rsidR="006753C7" w:rsidRPr="00F80AAF">
        <w:rPr>
          <w:rFonts w:cs="Arial"/>
          <w:sz w:val="24"/>
          <w:szCs w:val="24"/>
        </w:rPr>
        <w:t>Operational Policy Framework</w:t>
      </w:r>
      <w:r w:rsidR="006753C7" w:rsidRPr="00F06546">
        <w:rPr>
          <w:rFonts w:cs="Arial"/>
          <w:sz w:val="24"/>
          <w:szCs w:val="24"/>
          <w:vertAlign w:val="superscript"/>
        </w:rPr>
        <w:footnoteReference w:id="3"/>
      </w:r>
      <w:r w:rsidR="006753C7" w:rsidRPr="00F80AAF">
        <w:rPr>
          <w:rFonts w:cs="Arial"/>
          <w:sz w:val="24"/>
          <w:szCs w:val="24"/>
        </w:rPr>
        <w:t xml:space="preserve"> </w:t>
      </w:r>
      <w:r w:rsidRPr="00FD4E91">
        <w:rPr>
          <w:rFonts w:cs="Arial"/>
          <w:sz w:val="24"/>
          <w:szCs w:val="24"/>
        </w:rPr>
        <w:t>or, as applicable, Crown Funding Agreement Variations, contracts or service leve</w:t>
      </w:r>
      <w:r w:rsidR="009610B8" w:rsidRPr="00FD4E91">
        <w:rPr>
          <w:rFonts w:cs="Arial"/>
          <w:sz w:val="24"/>
          <w:szCs w:val="24"/>
        </w:rPr>
        <w:t>l</w:t>
      </w:r>
      <w:r w:rsidR="000A18E9">
        <w:rPr>
          <w:rFonts w:cs="Arial"/>
          <w:sz w:val="24"/>
          <w:szCs w:val="24"/>
        </w:rPr>
        <w:t xml:space="preserve"> agreements.</w:t>
      </w:r>
      <w:bookmarkEnd w:id="59"/>
    </w:p>
    <w:p w:rsidR="00027868" w:rsidRPr="00FD4E91" w:rsidRDefault="00027868" w:rsidP="00027868">
      <w:pPr>
        <w:tabs>
          <w:tab w:val="left" w:pos="570"/>
        </w:tabs>
        <w:spacing w:before="240" w:after="120"/>
        <w:rPr>
          <w:rFonts w:cs="Arial"/>
          <w:b/>
          <w:sz w:val="24"/>
          <w:szCs w:val="24"/>
        </w:rPr>
      </w:pPr>
      <w:bookmarkStart w:id="60" w:name="_Toc215319172"/>
      <w:r w:rsidRPr="00FD4E91">
        <w:rPr>
          <w:rFonts w:cs="Arial"/>
          <w:b/>
          <w:sz w:val="24"/>
          <w:szCs w:val="24"/>
        </w:rPr>
        <w:t>9.</w:t>
      </w:r>
      <w:r w:rsidRPr="00FD4E91">
        <w:rPr>
          <w:rFonts w:cs="Arial"/>
          <w:b/>
          <w:sz w:val="24"/>
          <w:szCs w:val="24"/>
        </w:rPr>
        <w:tab/>
        <w:t>Purchase Units and Reporting Requirements</w:t>
      </w:r>
      <w:bookmarkEnd w:id="60"/>
    </w:p>
    <w:p w:rsidR="00A81535" w:rsidRDefault="00A81535" w:rsidP="00027868">
      <w:pPr>
        <w:tabs>
          <w:tab w:val="left" w:pos="567"/>
          <w:tab w:val="left" w:pos="709"/>
          <w:tab w:val="left" w:pos="1701"/>
          <w:tab w:val="left" w:pos="2693"/>
        </w:tabs>
        <w:rPr>
          <w:rFonts w:cs="Arial"/>
          <w:sz w:val="24"/>
          <w:szCs w:val="24"/>
        </w:rPr>
      </w:pPr>
      <w:bookmarkStart w:id="61" w:name="_Toc215319173"/>
      <w:r>
        <w:rPr>
          <w:rFonts w:cs="Arial"/>
          <w:sz w:val="24"/>
          <w:szCs w:val="24"/>
        </w:rPr>
        <w:t>Purchase Unit (PU) Codes</w:t>
      </w:r>
      <w:r w:rsidR="00027868" w:rsidRPr="00FD4E91">
        <w:rPr>
          <w:rFonts w:cs="Arial"/>
          <w:sz w:val="24"/>
          <w:szCs w:val="24"/>
        </w:rPr>
        <w:t xml:space="preserve"> are defined in the joint DHB and Ministry’s Nationwide Service Framework Purchase Unit Data Dictionary.  </w:t>
      </w:r>
    </w:p>
    <w:p w:rsidR="00027868" w:rsidRPr="00FD4E91" w:rsidRDefault="00027868" w:rsidP="00027868">
      <w:pPr>
        <w:tabs>
          <w:tab w:val="left" w:pos="567"/>
          <w:tab w:val="left" w:pos="709"/>
          <w:tab w:val="left" w:pos="1701"/>
          <w:tab w:val="left" w:pos="2693"/>
        </w:tabs>
        <w:rPr>
          <w:rFonts w:cs="Arial"/>
          <w:sz w:val="24"/>
          <w:szCs w:val="24"/>
        </w:rPr>
      </w:pPr>
      <w:r w:rsidRPr="00FD4E91">
        <w:rPr>
          <w:rFonts w:cs="Arial"/>
          <w:sz w:val="24"/>
          <w:szCs w:val="24"/>
        </w:rPr>
        <w:t>Specific reporting requirements apply at tier three service specifications.</w:t>
      </w:r>
      <w:bookmarkEnd w:id="61"/>
    </w:p>
    <w:p w:rsidR="00027868" w:rsidRPr="00FD4E91" w:rsidRDefault="00027868" w:rsidP="00E17B99">
      <w:pPr>
        <w:tabs>
          <w:tab w:val="left" w:pos="567"/>
          <w:tab w:val="left" w:pos="709"/>
          <w:tab w:val="left" w:pos="1701"/>
          <w:tab w:val="left" w:pos="2693"/>
        </w:tabs>
        <w:spacing w:before="240"/>
        <w:rPr>
          <w:rFonts w:cs="Arial"/>
          <w:b/>
          <w:sz w:val="24"/>
          <w:szCs w:val="24"/>
        </w:rPr>
      </w:pPr>
      <w:r w:rsidRPr="00FD4E91">
        <w:rPr>
          <w:rFonts w:cs="Arial"/>
          <w:b/>
          <w:sz w:val="24"/>
          <w:szCs w:val="24"/>
        </w:rPr>
        <w:t>10.</w:t>
      </w:r>
      <w:r w:rsidRPr="00FD4E91">
        <w:rPr>
          <w:rFonts w:cs="Arial"/>
          <w:b/>
          <w:sz w:val="24"/>
          <w:szCs w:val="24"/>
        </w:rPr>
        <w:tab/>
        <w:t>Tier Three Service Specifications</w:t>
      </w:r>
    </w:p>
    <w:p w:rsidR="00A81535" w:rsidRDefault="00A81535" w:rsidP="00F150A8">
      <w:pPr>
        <w:tabs>
          <w:tab w:val="left" w:pos="1701"/>
          <w:tab w:val="left" w:pos="2693"/>
        </w:tabs>
        <w:spacing w:before="120"/>
        <w:rPr>
          <w:rFonts w:cs="Arial"/>
          <w:sz w:val="24"/>
          <w:szCs w:val="24"/>
        </w:rPr>
      </w:pPr>
      <w:r w:rsidRPr="00FD337E">
        <w:rPr>
          <w:rFonts w:cs="Arial"/>
          <w:sz w:val="24"/>
          <w:szCs w:val="24"/>
        </w:rPr>
        <w:t>Th</w:t>
      </w:r>
      <w:r>
        <w:rPr>
          <w:rFonts w:cs="Arial"/>
          <w:sz w:val="24"/>
          <w:szCs w:val="24"/>
        </w:rPr>
        <w:t>e</w:t>
      </w:r>
      <w:r w:rsidRPr="00FD337E">
        <w:rPr>
          <w:rFonts w:cs="Arial"/>
          <w:sz w:val="24"/>
          <w:szCs w:val="24"/>
        </w:rPr>
        <w:t xml:space="preserve"> tier three service specifications for </w:t>
      </w:r>
      <w:r w:rsidRPr="00FD4E91">
        <w:rPr>
          <w:rFonts w:cs="Arial"/>
          <w:sz w:val="24"/>
          <w:szCs w:val="24"/>
        </w:rPr>
        <w:t xml:space="preserve">youth forensic mental health services </w:t>
      </w:r>
      <w:r>
        <w:rPr>
          <w:rFonts w:cs="Arial"/>
          <w:sz w:val="24"/>
          <w:szCs w:val="24"/>
        </w:rPr>
        <w:t xml:space="preserve">below </w:t>
      </w:r>
      <w:r w:rsidRPr="00FD337E">
        <w:rPr>
          <w:rFonts w:cs="Arial"/>
          <w:sz w:val="24"/>
          <w:szCs w:val="24"/>
        </w:rPr>
        <w:t>ha</w:t>
      </w:r>
      <w:r>
        <w:rPr>
          <w:rFonts w:cs="Arial"/>
          <w:sz w:val="24"/>
          <w:szCs w:val="24"/>
        </w:rPr>
        <w:t>ve</w:t>
      </w:r>
      <w:r w:rsidRPr="00FD337E">
        <w:rPr>
          <w:rFonts w:cs="Arial"/>
          <w:sz w:val="24"/>
          <w:szCs w:val="24"/>
        </w:rPr>
        <w:t xml:space="preserve"> been develop</w:t>
      </w:r>
      <w:r>
        <w:rPr>
          <w:rFonts w:cs="Arial"/>
          <w:sz w:val="24"/>
          <w:szCs w:val="24"/>
        </w:rPr>
        <w:t>ed to meet varied service needs.</w:t>
      </w:r>
    </w:p>
    <w:p w:rsidR="00D54A69" w:rsidRPr="00FD4E91" w:rsidRDefault="00D54A69" w:rsidP="00D54A69">
      <w:pPr>
        <w:tabs>
          <w:tab w:val="left" w:pos="1701"/>
          <w:tab w:val="left" w:pos="2693"/>
        </w:tabs>
        <w:rPr>
          <w:rFonts w:cs="Arial"/>
        </w:rPr>
      </w:pPr>
    </w:p>
    <w:tbl>
      <w:tblPr>
        <w:tblStyle w:val="TableGrid"/>
        <w:tblW w:w="0" w:type="auto"/>
        <w:tblLook w:val="01E0" w:firstRow="1" w:lastRow="1" w:firstColumn="1" w:lastColumn="1" w:noHBand="0" w:noVBand="0"/>
      </w:tblPr>
      <w:tblGrid>
        <w:gridCol w:w="4621"/>
        <w:gridCol w:w="4621"/>
      </w:tblGrid>
      <w:tr w:rsidR="00027868" w:rsidRPr="00FD4E91">
        <w:tc>
          <w:tcPr>
            <w:tcW w:w="4621" w:type="dxa"/>
            <w:shd w:val="clear" w:color="auto" w:fill="D9D9D9"/>
          </w:tcPr>
          <w:p w:rsidR="00027868" w:rsidRPr="00FD4E91" w:rsidRDefault="00027868" w:rsidP="00027868">
            <w:pPr>
              <w:tabs>
                <w:tab w:val="left" w:pos="567"/>
                <w:tab w:val="left" w:pos="709"/>
                <w:tab w:val="left" w:pos="1701"/>
                <w:tab w:val="left" w:pos="2693"/>
              </w:tabs>
              <w:spacing w:before="60" w:after="60"/>
              <w:rPr>
                <w:rFonts w:cs="Arial"/>
                <w:b/>
              </w:rPr>
            </w:pPr>
            <w:r w:rsidRPr="00FD4E91">
              <w:rPr>
                <w:rFonts w:cs="Arial"/>
                <w:b/>
              </w:rPr>
              <w:t>Title</w:t>
            </w:r>
          </w:p>
        </w:tc>
        <w:tc>
          <w:tcPr>
            <w:tcW w:w="4621" w:type="dxa"/>
            <w:shd w:val="clear" w:color="auto" w:fill="D9D9D9"/>
          </w:tcPr>
          <w:p w:rsidR="00027868" w:rsidRPr="00FD4E91" w:rsidRDefault="00027868" w:rsidP="00027868">
            <w:pPr>
              <w:tabs>
                <w:tab w:val="left" w:pos="567"/>
                <w:tab w:val="left" w:pos="709"/>
                <w:tab w:val="left" w:pos="1701"/>
                <w:tab w:val="left" w:pos="2693"/>
              </w:tabs>
              <w:spacing w:before="60" w:after="60"/>
              <w:rPr>
                <w:rFonts w:cs="Arial"/>
                <w:b/>
              </w:rPr>
            </w:pPr>
            <w:r w:rsidRPr="00FD4E91">
              <w:rPr>
                <w:rFonts w:cs="Arial"/>
                <w:b/>
              </w:rPr>
              <w:t>PU Code</w:t>
            </w:r>
          </w:p>
        </w:tc>
      </w:tr>
      <w:tr w:rsidR="00027868" w:rsidRPr="00FD4E91">
        <w:tc>
          <w:tcPr>
            <w:tcW w:w="4621" w:type="dxa"/>
          </w:tcPr>
          <w:p w:rsidR="00027868" w:rsidRPr="00FD4E91" w:rsidRDefault="004A5523" w:rsidP="00027868">
            <w:pPr>
              <w:tabs>
                <w:tab w:val="left" w:pos="567"/>
                <w:tab w:val="left" w:pos="709"/>
                <w:tab w:val="left" w:pos="1701"/>
                <w:tab w:val="left" w:pos="2693"/>
              </w:tabs>
              <w:rPr>
                <w:rFonts w:cs="Arial"/>
                <w:sz w:val="24"/>
                <w:szCs w:val="24"/>
              </w:rPr>
            </w:pPr>
            <w:r w:rsidRPr="00FD4E91">
              <w:rPr>
                <w:rFonts w:cs="Arial"/>
                <w:sz w:val="24"/>
                <w:szCs w:val="24"/>
              </w:rPr>
              <w:t xml:space="preserve">Youth Forensic </w:t>
            </w:r>
            <w:r w:rsidR="006407DF" w:rsidRPr="00FD4E91">
              <w:rPr>
                <w:rFonts w:cs="Arial"/>
                <w:sz w:val="24"/>
                <w:szCs w:val="24"/>
              </w:rPr>
              <w:t xml:space="preserve">Inpatient </w:t>
            </w:r>
            <w:r w:rsidRPr="00FD4E91">
              <w:rPr>
                <w:rFonts w:cs="Arial"/>
                <w:sz w:val="24"/>
                <w:szCs w:val="24"/>
              </w:rPr>
              <w:t>Service</w:t>
            </w:r>
          </w:p>
        </w:tc>
        <w:tc>
          <w:tcPr>
            <w:tcW w:w="4621" w:type="dxa"/>
          </w:tcPr>
          <w:p w:rsidR="00027868" w:rsidRPr="00FD4E91" w:rsidRDefault="004A5523" w:rsidP="00027868">
            <w:pPr>
              <w:tabs>
                <w:tab w:val="left" w:pos="567"/>
                <w:tab w:val="left" w:pos="709"/>
                <w:tab w:val="left" w:pos="1701"/>
                <w:tab w:val="left" w:pos="2693"/>
              </w:tabs>
              <w:rPr>
                <w:rFonts w:cs="Arial"/>
                <w:sz w:val="24"/>
                <w:szCs w:val="24"/>
              </w:rPr>
            </w:pPr>
            <w:r w:rsidRPr="00FD4E91">
              <w:rPr>
                <w:rFonts w:cs="Arial"/>
                <w:sz w:val="24"/>
                <w:szCs w:val="24"/>
              </w:rPr>
              <w:t>MH</w:t>
            </w:r>
            <w:r w:rsidR="006F40A2" w:rsidRPr="00FD4E91">
              <w:rPr>
                <w:rFonts w:cs="Arial"/>
                <w:sz w:val="24"/>
                <w:szCs w:val="24"/>
              </w:rPr>
              <w:t>I</w:t>
            </w:r>
            <w:r w:rsidRPr="00FD4E91">
              <w:rPr>
                <w:rFonts w:cs="Arial"/>
                <w:sz w:val="24"/>
                <w:szCs w:val="24"/>
              </w:rPr>
              <w:t>Y88</w:t>
            </w:r>
          </w:p>
        </w:tc>
      </w:tr>
      <w:tr w:rsidR="00027868" w:rsidRPr="00FD4E91">
        <w:tc>
          <w:tcPr>
            <w:tcW w:w="4621" w:type="dxa"/>
          </w:tcPr>
          <w:p w:rsidR="00027868" w:rsidRPr="00FD4E91" w:rsidRDefault="00F150A8" w:rsidP="00027868">
            <w:pPr>
              <w:tabs>
                <w:tab w:val="left" w:pos="567"/>
                <w:tab w:val="left" w:pos="709"/>
                <w:tab w:val="left" w:pos="1701"/>
                <w:tab w:val="left" w:pos="2693"/>
              </w:tabs>
              <w:rPr>
                <w:rFonts w:cs="Arial"/>
                <w:sz w:val="24"/>
                <w:szCs w:val="24"/>
              </w:rPr>
            </w:pPr>
            <w:r w:rsidRPr="00FD4E91">
              <w:rPr>
                <w:rFonts w:cs="Arial"/>
                <w:sz w:val="24"/>
                <w:szCs w:val="24"/>
              </w:rPr>
              <w:t xml:space="preserve">Youth Forensic </w:t>
            </w:r>
            <w:r w:rsidR="004A5523" w:rsidRPr="00FD4E91">
              <w:rPr>
                <w:rFonts w:cs="Arial"/>
                <w:sz w:val="24"/>
                <w:szCs w:val="24"/>
              </w:rPr>
              <w:t xml:space="preserve">Specialist </w:t>
            </w:r>
            <w:r w:rsidR="006407DF" w:rsidRPr="00FD4E91">
              <w:rPr>
                <w:rFonts w:cs="Arial"/>
                <w:sz w:val="24"/>
                <w:szCs w:val="24"/>
              </w:rPr>
              <w:t xml:space="preserve">Community </w:t>
            </w:r>
            <w:r w:rsidR="004A5523" w:rsidRPr="00FD4E91">
              <w:rPr>
                <w:rFonts w:cs="Arial"/>
                <w:sz w:val="24"/>
                <w:szCs w:val="24"/>
              </w:rPr>
              <w:t>Service</w:t>
            </w:r>
          </w:p>
        </w:tc>
        <w:tc>
          <w:tcPr>
            <w:tcW w:w="4621" w:type="dxa"/>
          </w:tcPr>
          <w:p w:rsidR="00027868" w:rsidRPr="00FD4E91" w:rsidRDefault="004A5523" w:rsidP="00027868">
            <w:pPr>
              <w:tabs>
                <w:tab w:val="left" w:pos="567"/>
                <w:tab w:val="left" w:pos="709"/>
                <w:tab w:val="left" w:pos="1701"/>
                <w:tab w:val="left" w:pos="2693"/>
              </w:tabs>
              <w:rPr>
                <w:rFonts w:cs="Arial"/>
                <w:sz w:val="24"/>
                <w:szCs w:val="24"/>
              </w:rPr>
            </w:pPr>
            <w:r w:rsidRPr="00FD4E91">
              <w:rPr>
                <w:rFonts w:cs="Arial"/>
                <w:sz w:val="24"/>
                <w:szCs w:val="24"/>
              </w:rPr>
              <w:t>MH</w:t>
            </w:r>
            <w:r w:rsidR="006F40A2" w:rsidRPr="00FD4E91">
              <w:rPr>
                <w:rFonts w:cs="Arial"/>
                <w:sz w:val="24"/>
                <w:szCs w:val="24"/>
              </w:rPr>
              <w:t>I</w:t>
            </w:r>
            <w:r w:rsidRPr="00FD4E91">
              <w:rPr>
                <w:rFonts w:cs="Arial"/>
                <w:sz w:val="24"/>
                <w:szCs w:val="24"/>
              </w:rPr>
              <w:t>Y87A</w:t>
            </w:r>
          </w:p>
          <w:p w:rsidR="004A5523" w:rsidRPr="00FD4E91" w:rsidRDefault="004A5523" w:rsidP="00027868">
            <w:pPr>
              <w:tabs>
                <w:tab w:val="left" w:pos="567"/>
                <w:tab w:val="left" w:pos="709"/>
                <w:tab w:val="left" w:pos="1701"/>
                <w:tab w:val="left" w:pos="2693"/>
              </w:tabs>
              <w:rPr>
                <w:rFonts w:cs="Arial"/>
                <w:sz w:val="24"/>
                <w:szCs w:val="24"/>
              </w:rPr>
            </w:pPr>
            <w:r w:rsidRPr="00FD4E91">
              <w:rPr>
                <w:rFonts w:cs="Arial"/>
                <w:sz w:val="24"/>
                <w:szCs w:val="24"/>
              </w:rPr>
              <w:t>MH</w:t>
            </w:r>
            <w:r w:rsidR="006F40A2" w:rsidRPr="00FD4E91">
              <w:rPr>
                <w:rFonts w:cs="Arial"/>
                <w:sz w:val="24"/>
                <w:szCs w:val="24"/>
              </w:rPr>
              <w:t>I</w:t>
            </w:r>
            <w:r w:rsidRPr="00FD4E91">
              <w:rPr>
                <w:rFonts w:cs="Arial"/>
                <w:sz w:val="24"/>
                <w:szCs w:val="24"/>
              </w:rPr>
              <w:t>Y87B</w:t>
            </w:r>
          </w:p>
          <w:p w:rsidR="004A5523" w:rsidRPr="00FD4E91" w:rsidRDefault="004A5523" w:rsidP="00027868">
            <w:pPr>
              <w:tabs>
                <w:tab w:val="left" w:pos="567"/>
                <w:tab w:val="left" w:pos="709"/>
                <w:tab w:val="left" w:pos="1701"/>
                <w:tab w:val="left" w:pos="2693"/>
              </w:tabs>
              <w:rPr>
                <w:rFonts w:cs="Arial"/>
                <w:sz w:val="24"/>
                <w:szCs w:val="24"/>
              </w:rPr>
            </w:pPr>
            <w:r w:rsidRPr="00FD4E91">
              <w:rPr>
                <w:rFonts w:cs="Arial"/>
                <w:sz w:val="24"/>
                <w:szCs w:val="24"/>
              </w:rPr>
              <w:t>MH</w:t>
            </w:r>
            <w:r w:rsidR="006F40A2" w:rsidRPr="00FD4E91">
              <w:rPr>
                <w:rFonts w:cs="Arial"/>
                <w:sz w:val="24"/>
                <w:szCs w:val="24"/>
              </w:rPr>
              <w:t>I</w:t>
            </w:r>
            <w:r w:rsidRPr="00FD4E91">
              <w:rPr>
                <w:rFonts w:cs="Arial"/>
                <w:sz w:val="24"/>
                <w:szCs w:val="24"/>
              </w:rPr>
              <w:t>Y87C</w:t>
            </w:r>
          </w:p>
          <w:p w:rsidR="004A5523" w:rsidRPr="00FD4E91" w:rsidRDefault="004A5523" w:rsidP="00027868">
            <w:pPr>
              <w:tabs>
                <w:tab w:val="left" w:pos="567"/>
                <w:tab w:val="left" w:pos="709"/>
                <w:tab w:val="left" w:pos="1701"/>
                <w:tab w:val="left" w:pos="2693"/>
              </w:tabs>
              <w:rPr>
                <w:rFonts w:cs="Arial"/>
                <w:sz w:val="24"/>
                <w:szCs w:val="24"/>
              </w:rPr>
            </w:pPr>
            <w:r w:rsidRPr="00FD4E91">
              <w:rPr>
                <w:rFonts w:cs="Arial"/>
                <w:sz w:val="24"/>
                <w:szCs w:val="24"/>
              </w:rPr>
              <w:t>MH</w:t>
            </w:r>
            <w:r w:rsidR="006F40A2" w:rsidRPr="00FD4E91">
              <w:rPr>
                <w:rFonts w:cs="Arial"/>
                <w:sz w:val="24"/>
                <w:szCs w:val="24"/>
              </w:rPr>
              <w:t>I</w:t>
            </w:r>
            <w:r w:rsidRPr="00FD4E91">
              <w:rPr>
                <w:rFonts w:cs="Arial"/>
                <w:sz w:val="24"/>
                <w:szCs w:val="24"/>
              </w:rPr>
              <w:t>Y87D</w:t>
            </w:r>
          </w:p>
          <w:p w:rsidR="00053377" w:rsidRDefault="004A5523" w:rsidP="00027868">
            <w:pPr>
              <w:tabs>
                <w:tab w:val="left" w:pos="567"/>
                <w:tab w:val="left" w:pos="709"/>
                <w:tab w:val="left" w:pos="1701"/>
                <w:tab w:val="left" w:pos="2693"/>
              </w:tabs>
              <w:rPr>
                <w:rFonts w:cs="Arial"/>
                <w:sz w:val="24"/>
                <w:szCs w:val="24"/>
              </w:rPr>
            </w:pPr>
            <w:r w:rsidRPr="00FD4E91">
              <w:rPr>
                <w:rFonts w:cs="Arial"/>
                <w:sz w:val="24"/>
                <w:szCs w:val="24"/>
              </w:rPr>
              <w:t>MH</w:t>
            </w:r>
            <w:r w:rsidR="006F40A2" w:rsidRPr="00FD4E91">
              <w:rPr>
                <w:rFonts w:cs="Arial"/>
                <w:sz w:val="24"/>
                <w:szCs w:val="24"/>
              </w:rPr>
              <w:t>I</w:t>
            </w:r>
            <w:r w:rsidRPr="00FD4E91">
              <w:rPr>
                <w:rFonts w:cs="Arial"/>
                <w:sz w:val="24"/>
                <w:szCs w:val="24"/>
              </w:rPr>
              <w:t>Y87E</w:t>
            </w:r>
          </w:p>
          <w:p w:rsidR="006753C7" w:rsidRPr="001C6CAE" w:rsidRDefault="006753C7" w:rsidP="00027868">
            <w:pPr>
              <w:tabs>
                <w:tab w:val="left" w:pos="567"/>
                <w:tab w:val="left" w:pos="709"/>
                <w:tab w:val="left" w:pos="1701"/>
                <w:tab w:val="left" w:pos="2693"/>
              </w:tabs>
              <w:rPr>
                <w:rFonts w:cs="Arial"/>
                <w:b/>
                <w:sz w:val="24"/>
                <w:szCs w:val="24"/>
              </w:rPr>
            </w:pPr>
            <w:r>
              <w:rPr>
                <w:rFonts w:cs="Arial"/>
                <w:sz w:val="24"/>
                <w:szCs w:val="24"/>
              </w:rPr>
              <w:t>MHIY87S</w:t>
            </w:r>
          </w:p>
        </w:tc>
      </w:tr>
    </w:tbl>
    <w:p w:rsidR="00477CE7" w:rsidRPr="00FD4E91" w:rsidRDefault="00477CE7" w:rsidP="00477CE7">
      <w:pPr>
        <w:spacing w:before="120"/>
        <w:rPr>
          <w:rFonts w:cs="Arial"/>
          <w:sz w:val="24"/>
          <w:szCs w:val="24"/>
        </w:rPr>
      </w:pPr>
      <w:r w:rsidRPr="00FD4E91">
        <w:rPr>
          <w:rFonts w:cs="Arial"/>
          <w:sz w:val="24"/>
          <w:szCs w:val="24"/>
        </w:rPr>
        <w:t>The Service must comply with the requirements of national data collections PRIMHD.</w:t>
      </w:r>
    </w:p>
    <w:p w:rsidR="00027868" w:rsidRPr="00FD4E91" w:rsidRDefault="00027868" w:rsidP="00027868">
      <w:pPr>
        <w:tabs>
          <w:tab w:val="left" w:pos="567"/>
          <w:tab w:val="left" w:pos="709"/>
          <w:tab w:val="left" w:pos="1701"/>
          <w:tab w:val="left" w:pos="2693"/>
        </w:tabs>
        <w:rPr>
          <w:rFonts w:cs="Arial"/>
        </w:rPr>
      </w:pPr>
    </w:p>
    <w:sectPr w:rsidR="00027868" w:rsidRPr="00FD4E91" w:rsidSect="00477CE7">
      <w:footerReference w:type="even" r:id="rId9"/>
      <w:footerReference w:type="default" r:id="rId10"/>
      <w:pgSz w:w="11906" w:h="16838" w:code="9"/>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19C" w:rsidRDefault="00D8519C" w:rsidP="00DE0803">
      <w:r>
        <w:separator/>
      </w:r>
    </w:p>
  </w:endnote>
  <w:endnote w:type="continuationSeparator" w:id="0">
    <w:p w:rsidR="00D8519C" w:rsidRDefault="00D8519C" w:rsidP="00DE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2E" w:rsidRDefault="002C152E"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152E" w:rsidRDefault="002C152E" w:rsidP="000278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52E" w:rsidRDefault="002C152E" w:rsidP="00027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C152E" w:rsidRPr="00D95DE0" w:rsidRDefault="002C152E" w:rsidP="00D13F0B">
    <w:pPr>
      <w:pStyle w:val="Footer"/>
      <w:pBdr>
        <w:top w:val="single" w:sz="4" w:space="1" w:color="auto"/>
      </w:pBdr>
      <w:tabs>
        <w:tab w:val="center" w:pos="4536"/>
      </w:tabs>
      <w:ind w:right="360"/>
      <w:jc w:val="left"/>
      <w:rPr>
        <w:rFonts w:ascii="Arial" w:hAnsi="Arial" w:cs="Arial"/>
        <w:sz w:val="20"/>
      </w:rPr>
    </w:pPr>
    <w:r w:rsidRPr="00D95DE0">
      <w:rPr>
        <w:rFonts w:ascii="Arial" w:hAnsi="Arial" w:cs="Arial"/>
        <w:sz w:val="20"/>
      </w:rPr>
      <w:t xml:space="preserve">Youth Forensic Services </w:t>
    </w:r>
    <w:r>
      <w:rPr>
        <w:rFonts w:ascii="Arial" w:hAnsi="Arial" w:cs="Arial"/>
        <w:sz w:val="20"/>
      </w:rPr>
      <w:t xml:space="preserve">- </w:t>
    </w:r>
    <w:r w:rsidRPr="00D95DE0">
      <w:rPr>
        <w:rFonts w:ascii="Arial" w:hAnsi="Arial" w:cs="Arial"/>
        <w:sz w:val="20"/>
      </w:rPr>
      <w:t xml:space="preserve">Mental Health and Addiction Services </w:t>
    </w:r>
    <w:r>
      <w:rPr>
        <w:rFonts w:ascii="Arial" w:hAnsi="Arial" w:cs="Arial"/>
        <w:sz w:val="20"/>
      </w:rPr>
      <w:t>t</w:t>
    </w:r>
    <w:r w:rsidRPr="00D95DE0">
      <w:rPr>
        <w:rFonts w:ascii="Arial" w:hAnsi="Arial" w:cs="Arial"/>
        <w:sz w:val="20"/>
      </w:rPr>
      <w:t xml:space="preserve">ier two </w:t>
    </w:r>
    <w:r>
      <w:rPr>
        <w:rFonts w:ascii="Arial" w:hAnsi="Arial" w:cs="Arial"/>
        <w:sz w:val="20"/>
      </w:rPr>
      <w:t>s</w:t>
    </w:r>
    <w:r w:rsidRPr="00D95DE0">
      <w:rPr>
        <w:rFonts w:ascii="Arial" w:hAnsi="Arial" w:cs="Arial"/>
        <w:sz w:val="20"/>
      </w:rPr>
      <w:t xml:space="preserve">ervice </w:t>
    </w:r>
    <w:r>
      <w:rPr>
        <w:rFonts w:ascii="Arial" w:hAnsi="Arial" w:cs="Arial"/>
        <w:sz w:val="20"/>
      </w:rPr>
      <w:t>s</w:t>
    </w:r>
    <w:r w:rsidRPr="00D95DE0">
      <w:rPr>
        <w:rFonts w:ascii="Arial" w:hAnsi="Arial" w:cs="Arial"/>
        <w:sz w:val="20"/>
      </w:rPr>
      <w:t>pecification</w:t>
    </w:r>
    <w:r>
      <w:rPr>
        <w:rFonts w:ascii="Arial" w:hAnsi="Arial" w:cs="Arial"/>
        <w:sz w:val="20"/>
      </w:rPr>
      <w:t xml:space="preserve"> February 2020</w:t>
    </w:r>
  </w:p>
  <w:p w:rsidR="002C152E" w:rsidRPr="00D95DE0" w:rsidRDefault="002C152E" w:rsidP="00027868">
    <w:pPr>
      <w:pStyle w:val="Footer"/>
      <w:tabs>
        <w:tab w:val="center" w:pos="4536"/>
      </w:tabs>
      <w:jc w:val="left"/>
      <w:rPr>
        <w:rStyle w:val="PageNumber"/>
        <w:rFonts w:ascii="Arial" w:hAnsi="Arial" w:cs="Arial"/>
        <w:sz w:val="20"/>
      </w:rPr>
    </w:pPr>
    <w:r w:rsidRPr="00D95DE0">
      <w:rPr>
        <w:rFonts w:ascii="Arial" w:hAnsi="Arial" w:cs="Arial"/>
        <w:sz w:val="20"/>
      </w:rPr>
      <w:t>Nationwide Service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19C" w:rsidRDefault="00D8519C" w:rsidP="00DE0803">
      <w:r>
        <w:separator/>
      </w:r>
    </w:p>
  </w:footnote>
  <w:footnote w:type="continuationSeparator" w:id="0">
    <w:p w:rsidR="00D8519C" w:rsidRDefault="00D8519C" w:rsidP="00DE0803">
      <w:r>
        <w:continuationSeparator/>
      </w:r>
    </w:p>
  </w:footnote>
  <w:footnote w:id="1">
    <w:p w:rsidR="002C152E" w:rsidRPr="003F5D25" w:rsidRDefault="002C152E">
      <w:pPr>
        <w:pStyle w:val="FootnoteText"/>
        <w:rPr>
          <w:lang w:val="en-NZ"/>
        </w:rPr>
      </w:pPr>
      <w:r>
        <w:rPr>
          <w:rStyle w:val="FootnoteReference"/>
        </w:rPr>
        <w:footnoteRef/>
      </w:r>
      <w:r>
        <w:t xml:space="preserve"> Serious offences such as murder or manslaughter, referred to the District or High Court</w:t>
      </w:r>
    </w:p>
  </w:footnote>
  <w:footnote w:id="2">
    <w:p w:rsidR="002C152E" w:rsidRPr="003F5D25" w:rsidRDefault="002C152E">
      <w:pPr>
        <w:pStyle w:val="FootnoteText"/>
        <w:rPr>
          <w:lang w:val="en-NZ"/>
        </w:rPr>
      </w:pPr>
      <w:r>
        <w:rPr>
          <w:rStyle w:val="FootnoteReference"/>
        </w:rPr>
        <w:footnoteRef/>
      </w:r>
      <w:r>
        <w:t xml:space="preserve"> A mental health workforce document developed specifically for </w:t>
      </w:r>
      <w:r>
        <w:rPr>
          <w:rFonts w:cs="Arial"/>
          <w:sz w:val="24"/>
          <w:szCs w:val="24"/>
        </w:rPr>
        <w:t>CAMHS.</w:t>
      </w:r>
    </w:p>
  </w:footnote>
  <w:footnote w:id="3">
    <w:p w:rsidR="002C152E" w:rsidRDefault="002C152E" w:rsidP="006753C7">
      <w:pPr>
        <w:pStyle w:val="FootnoteText"/>
      </w:pPr>
      <w:r>
        <w:rPr>
          <w:rStyle w:val="FootnoteReference"/>
        </w:rPr>
        <w:footnoteRef/>
      </w:r>
      <w:r>
        <w:t xml:space="preserve"> </w:t>
      </w:r>
      <w:r w:rsidRPr="002C333D">
        <w:t>http://nsfl.health.govt.nz/accountability/operational-policy-framework-0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611E"/>
    <w:multiLevelType w:val="hybridMultilevel"/>
    <w:tmpl w:val="9E86081E"/>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287"/>
        </w:tabs>
        <w:ind w:left="1287" w:hanging="360"/>
      </w:pPr>
      <w:rPr>
        <w:rFonts w:ascii="Courier New" w:hAnsi="Courier New" w:cs="Courier New" w:hint="default"/>
      </w:rPr>
    </w:lvl>
    <w:lvl w:ilvl="2" w:tplc="08090005" w:tentative="1">
      <w:start w:val="1"/>
      <w:numFmt w:val="bullet"/>
      <w:lvlText w:val=""/>
      <w:lvlJc w:val="left"/>
      <w:pPr>
        <w:tabs>
          <w:tab w:val="num" w:pos="2007"/>
        </w:tabs>
        <w:ind w:left="2007" w:hanging="360"/>
      </w:pPr>
      <w:rPr>
        <w:rFonts w:ascii="Wingdings" w:hAnsi="Wingdings" w:hint="default"/>
      </w:rPr>
    </w:lvl>
    <w:lvl w:ilvl="3" w:tplc="08090001" w:tentative="1">
      <w:start w:val="1"/>
      <w:numFmt w:val="bullet"/>
      <w:lvlText w:val=""/>
      <w:lvlJc w:val="left"/>
      <w:pPr>
        <w:tabs>
          <w:tab w:val="num" w:pos="2727"/>
        </w:tabs>
        <w:ind w:left="2727" w:hanging="360"/>
      </w:pPr>
      <w:rPr>
        <w:rFonts w:ascii="Symbol" w:hAnsi="Symbol" w:hint="default"/>
      </w:rPr>
    </w:lvl>
    <w:lvl w:ilvl="4" w:tplc="08090003" w:tentative="1">
      <w:start w:val="1"/>
      <w:numFmt w:val="bullet"/>
      <w:lvlText w:val="o"/>
      <w:lvlJc w:val="left"/>
      <w:pPr>
        <w:tabs>
          <w:tab w:val="num" w:pos="3447"/>
        </w:tabs>
        <w:ind w:left="3447" w:hanging="360"/>
      </w:pPr>
      <w:rPr>
        <w:rFonts w:ascii="Courier New" w:hAnsi="Courier New" w:cs="Courier New" w:hint="default"/>
      </w:rPr>
    </w:lvl>
    <w:lvl w:ilvl="5" w:tplc="08090005" w:tentative="1">
      <w:start w:val="1"/>
      <w:numFmt w:val="bullet"/>
      <w:lvlText w:val=""/>
      <w:lvlJc w:val="left"/>
      <w:pPr>
        <w:tabs>
          <w:tab w:val="num" w:pos="4167"/>
        </w:tabs>
        <w:ind w:left="4167" w:hanging="360"/>
      </w:pPr>
      <w:rPr>
        <w:rFonts w:ascii="Wingdings" w:hAnsi="Wingdings" w:hint="default"/>
      </w:rPr>
    </w:lvl>
    <w:lvl w:ilvl="6" w:tplc="08090001" w:tentative="1">
      <w:start w:val="1"/>
      <w:numFmt w:val="bullet"/>
      <w:lvlText w:val=""/>
      <w:lvlJc w:val="left"/>
      <w:pPr>
        <w:tabs>
          <w:tab w:val="num" w:pos="4887"/>
        </w:tabs>
        <w:ind w:left="4887" w:hanging="360"/>
      </w:pPr>
      <w:rPr>
        <w:rFonts w:ascii="Symbol" w:hAnsi="Symbol" w:hint="default"/>
      </w:rPr>
    </w:lvl>
    <w:lvl w:ilvl="7" w:tplc="08090003" w:tentative="1">
      <w:start w:val="1"/>
      <w:numFmt w:val="bullet"/>
      <w:lvlText w:val="o"/>
      <w:lvlJc w:val="left"/>
      <w:pPr>
        <w:tabs>
          <w:tab w:val="num" w:pos="5607"/>
        </w:tabs>
        <w:ind w:left="5607" w:hanging="360"/>
      </w:pPr>
      <w:rPr>
        <w:rFonts w:ascii="Courier New" w:hAnsi="Courier New" w:cs="Courier New" w:hint="default"/>
      </w:rPr>
    </w:lvl>
    <w:lvl w:ilvl="8" w:tplc="08090005" w:tentative="1">
      <w:start w:val="1"/>
      <w:numFmt w:val="bullet"/>
      <w:lvlText w:val=""/>
      <w:lvlJc w:val="left"/>
      <w:pPr>
        <w:tabs>
          <w:tab w:val="num" w:pos="6327"/>
        </w:tabs>
        <w:ind w:left="6327" w:hanging="360"/>
      </w:pPr>
      <w:rPr>
        <w:rFonts w:ascii="Wingdings" w:hAnsi="Wingdings" w:hint="default"/>
      </w:rPr>
    </w:lvl>
  </w:abstractNum>
  <w:abstractNum w:abstractNumId="1" w15:restartNumberingAfterBreak="0">
    <w:nsid w:val="35455549"/>
    <w:multiLevelType w:val="hybridMultilevel"/>
    <w:tmpl w:val="99A860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101D99"/>
    <w:multiLevelType w:val="hybridMultilevel"/>
    <w:tmpl w:val="401E3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F2630"/>
    <w:multiLevelType w:val="hybridMultilevel"/>
    <w:tmpl w:val="E8CA3EC2"/>
    <w:lvl w:ilvl="0" w:tplc="04090001">
      <w:start w:val="1"/>
      <w:numFmt w:val="bullet"/>
      <w:lvlText w:val=""/>
      <w:lvlJc w:val="left"/>
      <w:pPr>
        <w:tabs>
          <w:tab w:val="num" w:pos="720"/>
        </w:tabs>
        <w:ind w:left="720" w:hanging="360"/>
      </w:pPr>
      <w:rPr>
        <w:rFonts w:ascii="Symbol" w:hAnsi="Symbol" w:hint="default"/>
      </w:rPr>
    </w:lvl>
    <w:lvl w:ilvl="1" w:tplc="B3D2F18E">
      <w:start w:val="7"/>
      <w:numFmt w:val="decimal"/>
      <w:lvlText w:val="%2."/>
      <w:lvlJc w:val="left"/>
      <w:pPr>
        <w:tabs>
          <w:tab w:val="num" w:pos="1650"/>
        </w:tabs>
        <w:ind w:left="1650" w:hanging="57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57FCF"/>
    <w:multiLevelType w:val="hybridMultilevel"/>
    <w:tmpl w:val="00ECCC4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85EB2"/>
    <w:multiLevelType w:val="hybridMultilevel"/>
    <w:tmpl w:val="2D1A8B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B41A3"/>
    <w:multiLevelType w:val="hybridMultilevel"/>
    <w:tmpl w:val="9BB88A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0146F2"/>
    <w:multiLevelType w:val="hybridMultilevel"/>
    <w:tmpl w:val="C55AB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16160"/>
    <w:multiLevelType w:val="hybridMultilevel"/>
    <w:tmpl w:val="B93601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3A0950"/>
    <w:multiLevelType w:val="hybridMultilevel"/>
    <w:tmpl w:val="93A243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F73A47"/>
    <w:multiLevelType w:val="hybridMultilevel"/>
    <w:tmpl w:val="6DAE424A"/>
    <w:lvl w:ilvl="0" w:tplc="76786CF4">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BC430FF"/>
    <w:multiLevelType w:val="hybridMultilevel"/>
    <w:tmpl w:val="DD1899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BD0861"/>
    <w:multiLevelType w:val="hybridMultilevel"/>
    <w:tmpl w:val="142C4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B0420E"/>
    <w:multiLevelType w:val="hybridMultilevel"/>
    <w:tmpl w:val="A4A834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8F30B59"/>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5" w15:restartNumberingAfterBreak="0">
    <w:nsid w:val="69F35693"/>
    <w:multiLevelType w:val="hybridMultilevel"/>
    <w:tmpl w:val="157CAE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5F1099"/>
    <w:multiLevelType w:val="hybridMultilevel"/>
    <w:tmpl w:val="FCC481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8"/>
  </w:num>
  <w:num w:numId="6">
    <w:abstractNumId w:val="7"/>
  </w:num>
  <w:num w:numId="7">
    <w:abstractNumId w:val="2"/>
  </w:num>
  <w:num w:numId="8">
    <w:abstractNumId w:val="10"/>
  </w:num>
  <w:num w:numId="9">
    <w:abstractNumId w:val="17"/>
  </w:num>
  <w:num w:numId="10">
    <w:abstractNumId w:val="9"/>
  </w:num>
  <w:num w:numId="11">
    <w:abstractNumId w:val="13"/>
  </w:num>
  <w:num w:numId="12">
    <w:abstractNumId w:val="12"/>
  </w:num>
  <w:num w:numId="13">
    <w:abstractNumId w:val="16"/>
  </w:num>
  <w:num w:numId="14">
    <w:abstractNumId w:val="11"/>
  </w:num>
  <w:num w:numId="15">
    <w:abstractNumId w:val="3"/>
  </w:num>
  <w:num w:numId="16">
    <w:abstractNumId w:val="1"/>
  </w:num>
  <w:num w:numId="17">
    <w:abstractNumId w:val="5"/>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B0"/>
    <w:rsid w:val="00023B8E"/>
    <w:rsid w:val="00027868"/>
    <w:rsid w:val="000367ED"/>
    <w:rsid w:val="0004067E"/>
    <w:rsid w:val="00053377"/>
    <w:rsid w:val="00066E9A"/>
    <w:rsid w:val="000A18E9"/>
    <w:rsid w:val="000A3A3B"/>
    <w:rsid w:val="000A3D49"/>
    <w:rsid w:val="000F2FA8"/>
    <w:rsid w:val="00100601"/>
    <w:rsid w:val="00117CF8"/>
    <w:rsid w:val="001466FD"/>
    <w:rsid w:val="0015297A"/>
    <w:rsid w:val="00175235"/>
    <w:rsid w:val="0017773E"/>
    <w:rsid w:val="001857A7"/>
    <w:rsid w:val="001B654D"/>
    <w:rsid w:val="001B6B42"/>
    <w:rsid w:val="001C2003"/>
    <w:rsid w:val="001C5247"/>
    <w:rsid w:val="001C6CAE"/>
    <w:rsid w:val="001E0503"/>
    <w:rsid w:val="0022753E"/>
    <w:rsid w:val="00252EDF"/>
    <w:rsid w:val="0026662C"/>
    <w:rsid w:val="00266F19"/>
    <w:rsid w:val="00284EA9"/>
    <w:rsid w:val="00286BFD"/>
    <w:rsid w:val="00291B7D"/>
    <w:rsid w:val="002C152E"/>
    <w:rsid w:val="002D5594"/>
    <w:rsid w:val="002D64FD"/>
    <w:rsid w:val="00315090"/>
    <w:rsid w:val="00350E06"/>
    <w:rsid w:val="003731AD"/>
    <w:rsid w:val="003943DD"/>
    <w:rsid w:val="003B163C"/>
    <w:rsid w:val="003C081C"/>
    <w:rsid w:val="003F099F"/>
    <w:rsid w:val="003F5D25"/>
    <w:rsid w:val="004250E6"/>
    <w:rsid w:val="00443143"/>
    <w:rsid w:val="0044600E"/>
    <w:rsid w:val="00454583"/>
    <w:rsid w:val="00474E6A"/>
    <w:rsid w:val="00477CE7"/>
    <w:rsid w:val="00484810"/>
    <w:rsid w:val="004852B1"/>
    <w:rsid w:val="004900E2"/>
    <w:rsid w:val="004A5523"/>
    <w:rsid w:val="004C4CE2"/>
    <w:rsid w:val="004E2BE9"/>
    <w:rsid w:val="00563AED"/>
    <w:rsid w:val="005A222D"/>
    <w:rsid w:val="005C2FAF"/>
    <w:rsid w:val="005E38B2"/>
    <w:rsid w:val="005F44E0"/>
    <w:rsid w:val="006162AE"/>
    <w:rsid w:val="0062151E"/>
    <w:rsid w:val="006407DF"/>
    <w:rsid w:val="00657DDB"/>
    <w:rsid w:val="006624C9"/>
    <w:rsid w:val="00664AAE"/>
    <w:rsid w:val="006753C7"/>
    <w:rsid w:val="006778B0"/>
    <w:rsid w:val="00695506"/>
    <w:rsid w:val="006B5ED3"/>
    <w:rsid w:val="006B783C"/>
    <w:rsid w:val="006E1EE3"/>
    <w:rsid w:val="006F40A2"/>
    <w:rsid w:val="007403FD"/>
    <w:rsid w:val="007515BC"/>
    <w:rsid w:val="00756333"/>
    <w:rsid w:val="00787584"/>
    <w:rsid w:val="00790385"/>
    <w:rsid w:val="007942B6"/>
    <w:rsid w:val="007B3397"/>
    <w:rsid w:val="007C582F"/>
    <w:rsid w:val="007C61A2"/>
    <w:rsid w:val="007D4677"/>
    <w:rsid w:val="007E218A"/>
    <w:rsid w:val="00804E71"/>
    <w:rsid w:val="008535B1"/>
    <w:rsid w:val="00881F60"/>
    <w:rsid w:val="008A58AF"/>
    <w:rsid w:val="008B7975"/>
    <w:rsid w:val="008C2EAC"/>
    <w:rsid w:val="008E2BA5"/>
    <w:rsid w:val="009601F7"/>
    <w:rsid w:val="009610B8"/>
    <w:rsid w:val="00962114"/>
    <w:rsid w:val="00974E71"/>
    <w:rsid w:val="009B63F7"/>
    <w:rsid w:val="009E5113"/>
    <w:rsid w:val="00A01C1F"/>
    <w:rsid w:val="00A2293F"/>
    <w:rsid w:val="00A23718"/>
    <w:rsid w:val="00A55051"/>
    <w:rsid w:val="00A56419"/>
    <w:rsid w:val="00A81535"/>
    <w:rsid w:val="00AA525C"/>
    <w:rsid w:val="00AB061A"/>
    <w:rsid w:val="00AC5EBB"/>
    <w:rsid w:val="00AF0E4A"/>
    <w:rsid w:val="00B23655"/>
    <w:rsid w:val="00B510DF"/>
    <w:rsid w:val="00B51975"/>
    <w:rsid w:val="00B52E67"/>
    <w:rsid w:val="00B648E5"/>
    <w:rsid w:val="00B74629"/>
    <w:rsid w:val="00B97702"/>
    <w:rsid w:val="00C11CAC"/>
    <w:rsid w:val="00C43965"/>
    <w:rsid w:val="00C670EB"/>
    <w:rsid w:val="00CA3AFC"/>
    <w:rsid w:val="00CA5156"/>
    <w:rsid w:val="00CC4876"/>
    <w:rsid w:val="00CD2920"/>
    <w:rsid w:val="00CE24EB"/>
    <w:rsid w:val="00D13F0B"/>
    <w:rsid w:val="00D365E2"/>
    <w:rsid w:val="00D45178"/>
    <w:rsid w:val="00D54A69"/>
    <w:rsid w:val="00D62D40"/>
    <w:rsid w:val="00D719C6"/>
    <w:rsid w:val="00D8519C"/>
    <w:rsid w:val="00D95DE0"/>
    <w:rsid w:val="00DE0803"/>
    <w:rsid w:val="00DF7973"/>
    <w:rsid w:val="00E05AA0"/>
    <w:rsid w:val="00E17B99"/>
    <w:rsid w:val="00E20DAF"/>
    <w:rsid w:val="00E47614"/>
    <w:rsid w:val="00E66C66"/>
    <w:rsid w:val="00E728B0"/>
    <w:rsid w:val="00E80684"/>
    <w:rsid w:val="00E816B0"/>
    <w:rsid w:val="00E975D7"/>
    <w:rsid w:val="00EC3522"/>
    <w:rsid w:val="00EC4AD0"/>
    <w:rsid w:val="00EE32FA"/>
    <w:rsid w:val="00EF32B9"/>
    <w:rsid w:val="00F06A5F"/>
    <w:rsid w:val="00F150A8"/>
    <w:rsid w:val="00F3454A"/>
    <w:rsid w:val="00F51EC3"/>
    <w:rsid w:val="00F770B0"/>
    <w:rsid w:val="00F85AAC"/>
    <w:rsid w:val="00FB16D8"/>
    <w:rsid w:val="00FB5E5D"/>
    <w:rsid w:val="00FD4E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F170420E-54FC-4627-BFB8-FDCE8B4B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7868"/>
    <w:rPr>
      <w:rFonts w:ascii="Arial" w:hAnsi="Arial"/>
      <w:sz w:val="22"/>
      <w:lang w:val="en-GB" w:eastAsia="en-GB"/>
    </w:rPr>
  </w:style>
  <w:style w:type="paragraph" w:styleId="Heading1">
    <w:name w:val="heading 1"/>
    <w:basedOn w:val="Normal"/>
    <w:next w:val="Normal"/>
    <w:qFormat/>
    <w:rsid w:val="00027868"/>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868"/>
    <w:pPr>
      <w:jc w:val="center"/>
    </w:pPr>
    <w:rPr>
      <w:b/>
      <w:sz w:val="32"/>
      <w:lang w:val="en-NZ"/>
    </w:rPr>
  </w:style>
  <w:style w:type="paragraph" w:customStyle="1" w:styleId="MoHHeading2">
    <w:name w:val="MoH Heading2"/>
    <w:basedOn w:val="Normal"/>
    <w:rsid w:val="00027868"/>
    <w:rPr>
      <w:rFonts w:ascii="Arial Mäori" w:hAnsi="Arial Mäori"/>
      <w:b/>
    </w:rPr>
  </w:style>
  <w:style w:type="paragraph" w:styleId="Footer">
    <w:name w:val="footer"/>
    <w:basedOn w:val="Normal"/>
    <w:rsid w:val="00027868"/>
    <w:pPr>
      <w:tabs>
        <w:tab w:val="center" w:pos="4153"/>
        <w:tab w:val="right" w:pos="8306"/>
      </w:tabs>
      <w:jc w:val="both"/>
    </w:pPr>
    <w:rPr>
      <w:rFonts w:ascii="Times New Roman" w:hAnsi="Times New Roman"/>
      <w:lang w:val="en-NZ"/>
    </w:rPr>
  </w:style>
  <w:style w:type="character" w:styleId="PageNumber">
    <w:name w:val="page number"/>
    <w:basedOn w:val="DefaultParagraphFont"/>
    <w:rsid w:val="00027868"/>
  </w:style>
  <w:style w:type="paragraph" w:customStyle="1" w:styleId="a">
    <w:basedOn w:val="Normal"/>
    <w:rsid w:val="00027868"/>
    <w:pPr>
      <w:spacing w:after="160" w:line="240" w:lineRule="exact"/>
    </w:pPr>
    <w:rPr>
      <w:sz w:val="20"/>
      <w:lang w:val="en-US" w:eastAsia="en-US"/>
    </w:rPr>
  </w:style>
  <w:style w:type="table" w:styleId="TableGrid">
    <w:name w:val="Table Grid"/>
    <w:basedOn w:val="TableNormal"/>
    <w:rsid w:val="00027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7973"/>
    <w:pPr>
      <w:tabs>
        <w:tab w:val="center" w:pos="4153"/>
        <w:tab w:val="right" w:pos="8306"/>
      </w:tabs>
    </w:pPr>
  </w:style>
  <w:style w:type="paragraph" w:styleId="BalloonText">
    <w:name w:val="Balloon Text"/>
    <w:basedOn w:val="Normal"/>
    <w:semiHidden/>
    <w:rsid w:val="00117CF8"/>
    <w:rPr>
      <w:rFonts w:ascii="Tahoma" w:hAnsi="Tahoma" w:cs="Tahoma"/>
      <w:sz w:val="16"/>
      <w:szCs w:val="16"/>
    </w:rPr>
  </w:style>
  <w:style w:type="paragraph" w:styleId="FootnoteText">
    <w:name w:val="footnote text"/>
    <w:basedOn w:val="Normal"/>
    <w:semiHidden/>
    <w:rsid w:val="003F5D25"/>
    <w:rPr>
      <w:sz w:val="20"/>
    </w:rPr>
  </w:style>
  <w:style w:type="character" w:styleId="FootnoteReference">
    <w:name w:val="footnote reference"/>
    <w:basedOn w:val="DefaultParagraphFont"/>
    <w:semiHidden/>
    <w:rsid w:val="003F5D25"/>
    <w:rPr>
      <w:vertAlign w:val="superscript"/>
    </w:rPr>
  </w:style>
  <w:style w:type="paragraph" w:styleId="Revision">
    <w:name w:val="Revision"/>
    <w:hidden/>
    <w:uiPriority w:val="99"/>
    <w:semiHidden/>
    <w:rsid w:val="001C5247"/>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37D38D5B</Template>
  <TotalTime>11</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12</cp:revision>
  <dcterms:created xsi:type="dcterms:W3CDTF">2020-02-18T22:34:00Z</dcterms:created>
  <dcterms:modified xsi:type="dcterms:W3CDTF">2020-04-01T02:14:00Z</dcterms:modified>
</cp:coreProperties>
</file>