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ook w:val="0000" w:firstRow="0" w:lastRow="0" w:firstColumn="0" w:lastColumn="0" w:noHBand="0" w:noVBand="0"/>
      </w:tblPr>
      <w:tblGrid>
        <w:gridCol w:w="4428"/>
        <w:gridCol w:w="1893"/>
        <w:gridCol w:w="3306"/>
      </w:tblGrid>
      <w:tr w:rsidR="00027868" w:rsidRPr="00673255">
        <w:trPr>
          <w:cantSplit/>
        </w:trPr>
        <w:tc>
          <w:tcPr>
            <w:tcW w:w="4428" w:type="dxa"/>
            <w:vAlign w:val="center"/>
          </w:tcPr>
          <w:p w:rsidR="00027868" w:rsidRPr="00673255" w:rsidRDefault="00F950C7" w:rsidP="00553507">
            <w:pPr>
              <w:pStyle w:val="Heading1"/>
              <w:rPr>
                <w:sz w:val="34"/>
                <w:szCs w:val="34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 wp14:anchorId="76C5FCF7" wp14:editId="2486987A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027868" w:rsidRPr="00542B2C" w:rsidRDefault="00856446" w:rsidP="00027868">
            <w:pPr>
              <w:jc w:val="right"/>
              <w:rPr>
                <w:bCs/>
                <w:sz w:val="32"/>
                <w:szCs w:val="32"/>
                <w:lang w:val="en-NZ"/>
              </w:rPr>
            </w:pPr>
            <w:r w:rsidRPr="00542B2C">
              <w:rPr>
                <w:sz w:val="32"/>
                <w:szCs w:val="32"/>
                <w:lang w:val="en-NZ"/>
              </w:rPr>
              <w:t>All District Health Boards</w:t>
            </w:r>
          </w:p>
        </w:tc>
      </w:tr>
      <w:tr w:rsidR="00027868" w:rsidRPr="00F42628" w:rsidTr="00542B2C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856446" w:rsidRDefault="00856446" w:rsidP="006B6F66">
            <w:pPr>
              <w:pStyle w:val="Title"/>
              <w:spacing w:before="1680"/>
              <w:ind w:left="2880" w:hanging="288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PACIFIC MENTAL HEALTH- </w:t>
            </w:r>
          </w:p>
          <w:p w:rsidR="00DF0E8A" w:rsidRDefault="00456E5B" w:rsidP="002E0C3B">
            <w:pPr>
              <w:pStyle w:val="Title"/>
              <w:spacing w:before="120"/>
              <w:ind w:left="2880" w:hanging="288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PACIFIC FAMILY ADVISORY SERVICE</w:t>
            </w:r>
            <w:r w:rsidR="00856446">
              <w:rPr>
                <w:rFonts w:cs="Arial"/>
                <w:sz w:val="36"/>
                <w:szCs w:val="36"/>
              </w:rPr>
              <w:t xml:space="preserve"> -</w:t>
            </w:r>
          </w:p>
          <w:p w:rsidR="00856446" w:rsidRPr="00DF0E8A" w:rsidRDefault="00856446" w:rsidP="002E0C3B">
            <w:pPr>
              <w:pStyle w:val="Title"/>
              <w:spacing w:before="120"/>
              <w:ind w:left="2880" w:hanging="288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MENTAL HEALTH AND ADDICTION SERVICES</w:t>
            </w:r>
          </w:p>
          <w:p w:rsidR="00027868" w:rsidRPr="00C6268B" w:rsidRDefault="00027868" w:rsidP="002E0C3B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C6268B"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DF0E8A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Default="00027868" w:rsidP="006B6F66">
            <w:pPr>
              <w:spacing w:before="120" w:after="360"/>
              <w:jc w:val="center"/>
              <w:rPr>
                <w:rFonts w:cs="Arial"/>
                <w:b/>
                <w:sz w:val="36"/>
                <w:szCs w:val="36"/>
              </w:rPr>
            </w:pPr>
            <w:bookmarkStart w:id="1" w:name="_Toc206406492"/>
            <w:bookmarkStart w:id="2" w:name="_Toc215319103"/>
            <w:r w:rsidRPr="00C6268B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"/>
            <w:bookmarkEnd w:id="2"/>
          </w:p>
          <w:p w:rsidR="00C4105B" w:rsidRPr="00855E18" w:rsidRDefault="00C4105B" w:rsidP="00027868">
            <w:pPr>
              <w:spacing w:before="120" w:after="120"/>
              <w:jc w:val="center"/>
              <w:rPr>
                <w:rFonts w:ascii="Arial Mäori" w:hAnsi="Arial Mäori"/>
              </w:rPr>
            </w:pPr>
          </w:p>
        </w:tc>
      </w:tr>
      <w:tr w:rsidR="006B6F66" w:rsidRPr="00F42628" w:rsidTr="00535C27">
        <w:trPr>
          <w:trHeight w:val="1401"/>
        </w:trPr>
        <w:tc>
          <w:tcPr>
            <w:tcW w:w="6321" w:type="dxa"/>
            <w:gridSpan w:val="2"/>
          </w:tcPr>
          <w:p w:rsidR="006B6F66" w:rsidRPr="00542B2C" w:rsidRDefault="006B6F66" w:rsidP="006B6F66">
            <w:pPr>
              <w:spacing w:before="480" w:after="240"/>
              <w:rPr>
                <w:sz w:val="36"/>
                <w:szCs w:val="36"/>
              </w:rPr>
            </w:pPr>
            <w:bookmarkStart w:id="3" w:name="_Toc206389498"/>
            <w:bookmarkStart w:id="4" w:name="_Toc206401874"/>
            <w:bookmarkStart w:id="5" w:name="_Toc206403843"/>
            <w:bookmarkStart w:id="6" w:name="_Toc206404571"/>
            <w:bookmarkStart w:id="7" w:name="_Toc206405301"/>
            <w:bookmarkStart w:id="8" w:name="_Toc206405337"/>
            <w:bookmarkStart w:id="9" w:name="_Toc206406064"/>
            <w:bookmarkStart w:id="10" w:name="_Toc215319104"/>
            <w:r w:rsidRPr="00192CCA">
              <w:rPr>
                <w:b/>
                <w:sz w:val="32"/>
                <w:szCs w:val="32"/>
              </w:rPr>
              <w:t xml:space="preserve">STATUS: </w:t>
            </w:r>
            <w:r w:rsidRPr="00192CCA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306" w:type="dxa"/>
          </w:tcPr>
          <w:p w:rsidR="006B6F66" w:rsidRPr="00542B2C" w:rsidRDefault="006B6F66" w:rsidP="006B6F66">
            <w:pPr>
              <w:spacing w:before="480" w:after="240"/>
              <w:rPr>
                <w:sz w:val="36"/>
                <w:szCs w:val="36"/>
              </w:rPr>
            </w:pPr>
            <w:bookmarkStart w:id="11" w:name="_Toc206389499"/>
            <w:bookmarkStart w:id="12" w:name="_Toc215319108"/>
            <w:r w:rsidRPr="00EC3E69">
              <w:rPr>
                <w:b/>
                <w:sz w:val="32"/>
                <w:szCs w:val="32"/>
              </w:rPr>
              <w:t>NON-MANDATORY</w:t>
            </w:r>
            <w:bookmarkEnd w:id="11"/>
            <w:bookmarkEnd w:id="12"/>
          </w:p>
        </w:tc>
      </w:tr>
      <w:tr w:rsidR="00027868" w:rsidRPr="00F42628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C6268B" w:rsidRDefault="00027868" w:rsidP="00027868">
            <w:pPr>
              <w:spacing w:before="120" w:after="120"/>
              <w:rPr>
                <w:b/>
                <w:sz w:val="32"/>
                <w:szCs w:val="32"/>
              </w:rPr>
            </w:pPr>
            <w:bookmarkStart w:id="13" w:name="_Toc206389500"/>
            <w:bookmarkStart w:id="14" w:name="_Toc206401875"/>
            <w:bookmarkStart w:id="15" w:name="_Toc206403844"/>
            <w:bookmarkStart w:id="16" w:name="_Toc206404572"/>
            <w:bookmarkStart w:id="17" w:name="_Toc206405302"/>
            <w:bookmarkStart w:id="18" w:name="_Toc206405338"/>
            <w:bookmarkStart w:id="19" w:name="_Toc206406065"/>
            <w:bookmarkStart w:id="20" w:name="_Toc215319110"/>
            <w:r w:rsidRPr="00C6268B">
              <w:rPr>
                <w:b/>
                <w:sz w:val="32"/>
                <w:szCs w:val="32"/>
              </w:rPr>
              <w:t>Review History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C6268B" w:rsidRDefault="00027868" w:rsidP="00027868">
            <w:pPr>
              <w:spacing w:before="120" w:after="120"/>
              <w:rPr>
                <w:b/>
                <w:sz w:val="32"/>
                <w:szCs w:val="32"/>
              </w:rPr>
            </w:pPr>
            <w:bookmarkStart w:id="21" w:name="_Toc206389501"/>
            <w:bookmarkStart w:id="22" w:name="_Toc206401876"/>
            <w:bookmarkStart w:id="23" w:name="_Toc206403845"/>
            <w:bookmarkStart w:id="24" w:name="_Toc206404573"/>
            <w:bookmarkStart w:id="25" w:name="_Toc206405303"/>
            <w:bookmarkStart w:id="26" w:name="_Toc206405339"/>
            <w:bookmarkStart w:id="27" w:name="_Toc206406066"/>
            <w:bookmarkStart w:id="28" w:name="_Toc206406493"/>
            <w:bookmarkStart w:id="29" w:name="_Toc215319111"/>
            <w:r w:rsidRPr="00C6268B">
              <w:rPr>
                <w:b/>
                <w:sz w:val="32"/>
                <w:szCs w:val="32"/>
              </w:rPr>
              <w:t>Date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tr w:rsidR="00027868" w:rsidRPr="00F42628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E165B5" w:rsidRDefault="00856446" w:rsidP="00027868">
            <w:pPr>
              <w:spacing w:before="120" w:after="120"/>
              <w:rPr>
                <w:sz w:val="28"/>
                <w:szCs w:val="28"/>
              </w:rPr>
            </w:pPr>
            <w:bookmarkStart w:id="30" w:name="_Toc215319113"/>
            <w:r w:rsidRPr="00E165B5">
              <w:rPr>
                <w:sz w:val="28"/>
                <w:szCs w:val="28"/>
              </w:rPr>
              <w:t xml:space="preserve">First </w:t>
            </w:r>
            <w:r w:rsidR="00027868" w:rsidRPr="00E165B5">
              <w:rPr>
                <w:sz w:val="28"/>
                <w:szCs w:val="28"/>
              </w:rPr>
              <w:t>Published on NSFL</w:t>
            </w:r>
            <w:bookmarkEnd w:id="30"/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C6268B" w:rsidRDefault="008659B5" w:rsidP="00027868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2010</w:t>
            </w:r>
          </w:p>
        </w:tc>
      </w:tr>
      <w:tr w:rsidR="00856446" w:rsidRPr="00F4262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6" w:rsidRPr="002E0C3B" w:rsidRDefault="00856446" w:rsidP="00027868">
            <w:pPr>
              <w:spacing w:before="120" w:after="120"/>
              <w:rPr>
                <w:sz w:val="24"/>
                <w:szCs w:val="24"/>
              </w:rPr>
            </w:pPr>
            <w:r w:rsidRPr="00E165B5">
              <w:rPr>
                <w:b/>
                <w:sz w:val="24"/>
                <w:szCs w:val="24"/>
              </w:rPr>
              <w:t>Amended</w:t>
            </w:r>
            <w:r w:rsidRPr="002E0C3B">
              <w:rPr>
                <w:sz w:val="24"/>
                <w:szCs w:val="24"/>
              </w:rPr>
              <w:t>: clarified reporting requirements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46" w:rsidRDefault="00ED3F40" w:rsidP="00027868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March</w:t>
            </w:r>
            <w:r w:rsidR="00856446" w:rsidRPr="00803155">
              <w:rPr>
                <w:sz w:val="28"/>
                <w:szCs w:val="28"/>
              </w:rPr>
              <w:t xml:space="preserve"> 2013</w:t>
            </w:r>
          </w:p>
        </w:tc>
      </w:tr>
      <w:tr w:rsidR="0094793C" w:rsidRPr="00C73B3D" w:rsidTr="0094793C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C" w:rsidRPr="002E0C3B" w:rsidRDefault="0094793C" w:rsidP="00E165B5">
            <w:pPr>
              <w:spacing w:before="120"/>
              <w:rPr>
                <w:sz w:val="24"/>
                <w:szCs w:val="24"/>
              </w:rPr>
            </w:pPr>
            <w:r w:rsidRPr="00E165B5">
              <w:rPr>
                <w:b/>
                <w:sz w:val="24"/>
                <w:szCs w:val="24"/>
              </w:rPr>
              <w:t>Amend</w:t>
            </w:r>
            <w:r w:rsidR="00E165B5" w:rsidRPr="00E165B5">
              <w:rPr>
                <w:b/>
                <w:sz w:val="24"/>
                <w:szCs w:val="24"/>
              </w:rPr>
              <w:t>ed</w:t>
            </w:r>
            <w:r w:rsidRPr="002E0C3B">
              <w:rPr>
                <w:sz w:val="24"/>
                <w:szCs w:val="24"/>
              </w:rPr>
              <w:t>: added MHP66S purchase unit code, removed standard provider monitoring reporting tables. Minor editing.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793C" w:rsidRPr="0094793C" w:rsidRDefault="006B6F66" w:rsidP="0094793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2017</w:t>
            </w:r>
          </w:p>
        </w:tc>
      </w:tr>
      <w:tr w:rsidR="00856446" w:rsidRPr="00F4262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6" w:rsidRPr="00C6268B" w:rsidRDefault="00856446" w:rsidP="00027868">
            <w:pPr>
              <w:spacing w:before="120" w:after="120"/>
              <w:rPr>
                <w:sz w:val="32"/>
                <w:szCs w:val="32"/>
              </w:rPr>
            </w:pPr>
            <w:bookmarkStart w:id="31" w:name="_Toc215319116"/>
            <w:r w:rsidRPr="00C6268B">
              <w:rPr>
                <w:sz w:val="32"/>
                <w:szCs w:val="32"/>
              </w:rPr>
              <w:t>Consideration for next Service Specification Review</w:t>
            </w:r>
            <w:bookmarkEnd w:id="31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46" w:rsidRPr="00C6268B" w:rsidRDefault="00856446" w:rsidP="00856446">
            <w:pPr>
              <w:spacing w:before="120" w:after="120"/>
              <w:rPr>
                <w:sz w:val="32"/>
                <w:szCs w:val="32"/>
              </w:rPr>
            </w:pPr>
            <w:bookmarkStart w:id="32" w:name="_Toc215319117"/>
            <w:r w:rsidRPr="00C6268B">
              <w:rPr>
                <w:sz w:val="32"/>
                <w:szCs w:val="32"/>
              </w:rPr>
              <w:t xml:space="preserve">Within </w:t>
            </w:r>
            <w:r>
              <w:rPr>
                <w:sz w:val="32"/>
                <w:szCs w:val="32"/>
              </w:rPr>
              <w:t>five</w:t>
            </w:r>
            <w:r w:rsidRPr="00C6268B">
              <w:rPr>
                <w:sz w:val="32"/>
                <w:szCs w:val="32"/>
              </w:rPr>
              <w:t xml:space="preserve"> years</w:t>
            </w:r>
            <w:bookmarkEnd w:id="32"/>
          </w:p>
        </w:tc>
      </w:tr>
    </w:tbl>
    <w:p w:rsidR="00856446" w:rsidRDefault="00856446" w:rsidP="00856446">
      <w:pPr>
        <w:spacing w:before="120"/>
        <w:rPr>
          <w:sz w:val="24"/>
          <w:szCs w:val="24"/>
        </w:rPr>
      </w:pPr>
      <w:bookmarkStart w:id="33" w:name="_Toc215319119"/>
      <w:r w:rsidRPr="00856446">
        <w:rPr>
          <w:b/>
          <w:sz w:val="24"/>
          <w:szCs w:val="24"/>
        </w:rPr>
        <w:t>Note:</w:t>
      </w:r>
      <w:r w:rsidRPr="00856446">
        <w:rPr>
          <w:sz w:val="24"/>
          <w:szCs w:val="24"/>
        </w:rPr>
        <w:t xml:space="preserve"> Contact the Service Specification Programme Manager, </w:t>
      </w:r>
      <w:r w:rsidR="0094793C">
        <w:rPr>
          <w:sz w:val="24"/>
          <w:szCs w:val="24"/>
        </w:rPr>
        <w:t>Service Commissioning</w:t>
      </w:r>
      <w:r w:rsidRPr="00856446">
        <w:rPr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856446" w:rsidRPr="00856446" w:rsidRDefault="00856446" w:rsidP="00856446">
      <w:pPr>
        <w:spacing w:before="120"/>
        <w:rPr>
          <w:rFonts w:cs="Arial"/>
          <w:sz w:val="24"/>
          <w:szCs w:val="24"/>
          <w:lang w:val="en-NZ" w:eastAsia="en-US"/>
        </w:rPr>
      </w:pPr>
      <w:r w:rsidRPr="00856446">
        <w:rPr>
          <w:sz w:val="24"/>
          <w:szCs w:val="24"/>
        </w:rPr>
        <w:t xml:space="preserve">Nationwide Service Framework Library web site </w:t>
      </w:r>
      <w:hyperlink r:id="rId9" w:history="1">
        <w:r w:rsidRPr="00856446">
          <w:rPr>
            <w:color w:val="0000FF"/>
            <w:sz w:val="24"/>
            <w:szCs w:val="24"/>
            <w:u w:val="single"/>
          </w:rPr>
          <w:t>http://www.nsfl.health.govt.nz/</w:t>
        </w:r>
      </w:hyperlink>
    </w:p>
    <w:bookmarkEnd w:id="33"/>
    <w:p w:rsidR="00615ABC" w:rsidRDefault="00027868" w:rsidP="00E2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b/>
          <w:caps/>
          <w:color w:val="000000"/>
          <w:sz w:val="24"/>
          <w:szCs w:val="24"/>
          <w:lang w:val="en-AU"/>
        </w:rPr>
      </w:pPr>
      <w:r w:rsidRPr="003039C2">
        <w:rPr>
          <w:sz w:val="20"/>
        </w:rPr>
        <w:br w:type="page"/>
      </w:r>
      <w:bookmarkStart w:id="34" w:name="_Toc215319122"/>
      <w:r w:rsidR="00856446" w:rsidRPr="00542B2C">
        <w:rPr>
          <w:b/>
          <w:caps/>
          <w:color w:val="000000"/>
          <w:sz w:val="24"/>
          <w:szCs w:val="24"/>
          <w:lang w:val="en-AU"/>
        </w:rPr>
        <w:lastRenderedPageBreak/>
        <w:t xml:space="preserve">PACIFIC MENTAL HEALTH- </w:t>
      </w:r>
      <w:r w:rsidR="00E24031" w:rsidRPr="009F7DAE">
        <w:rPr>
          <w:b/>
          <w:caps/>
          <w:color w:val="000000"/>
          <w:sz w:val="24"/>
          <w:szCs w:val="24"/>
          <w:lang w:val="en-AU"/>
        </w:rPr>
        <w:t>PACIFIC</w:t>
      </w:r>
      <w:r w:rsidR="00615ABC" w:rsidRPr="009F7DAE">
        <w:rPr>
          <w:b/>
          <w:caps/>
          <w:color w:val="000000"/>
          <w:sz w:val="24"/>
          <w:szCs w:val="24"/>
          <w:lang w:val="en-AU"/>
        </w:rPr>
        <w:t xml:space="preserve"> </w:t>
      </w:r>
      <w:r w:rsidR="00AA1607" w:rsidRPr="009F7DAE">
        <w:rPr>
          <w:b/>
          <w:caps/>
          <w:color w:val="000000"/>
          <w:sz w:val="24"/>
          <w:szCs w:val="24"/>
          <w:lang w:val="en-AU"/>
        </w:rPr>
        <w:t>family advisory</w:t>
      </w:r>
      <w:r w:rsidR="00953E89" w:rsidRPr="009F7DAE">
        <w:rPr>
          <w:b/>
          <w:caps/>
          <w:color w:val="000000"/>
          <w:sz w:val="24"/>
          <w:szCs w:val="24"/>
          <w:lang w:val="en-AU"/>
        </w:rPr>
        <w:t xml:space="preserve"> SERVICE</w:t>
      </w:r>
    </w:p>
    <w:p w:rsidR="00B704DA" w:rsidRDefault="00856446" w:rsidP="00E2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color w:val="000000"/>
          <w:sz w:val="24"/>
          <w:szCs w:val="24"/>
          <w:lang w:val="en-AU"/>
        </w:rPr>
      </w:pPr>
      <w:r>
        <w:rPr>
          <w:b/>
          <w:caps/>
          <w:color w:val="000000"/>
          <w:sz w:val="24"/>
          <w:szCs w:val="24"/>
          <w:lang w:val="en-AU"/>
        </w:rPr>
        <w:t>MENTAL HEALTH AND ADDICTION SERVICES</w:t>
      </w:r>
    </w:p>
    <w:p w:rsidR="00856446" w:rsidRPr="00803155" w:rsidRDefault="00027868" w:rsidP="0085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color w:val="000000"/>
          <w:sz w:val="24"/>
          <w:szCs w:val="24"/>
          <w:lang w:val="en-AU"/>
        </w:rPr>
      </w:pPr>
      <w:r w:rsidRPr="00542B2C">
        <w:rPr>
          <w:b/>
          <w:caps/>
          <w:color w:val="000000"/>
          <w:sz w:val="24"/>
          <w:szCs w:val="24"/>
          <w:lang w:val="en-AU"/>
        </w:rPr>
        <w:t xml:space="preserve">TIER </w:t>
      </w:r>
      <w:bookmarkEnd w:id="34"/>
      <w:r w:rsidR="00DF0E8A" w:rsidRPr="00542B2C">
        <w:rPr>
          <w:b/>
          <w:caps/>
          <w:color w:val="000000"/>
          <w:sz w:val="24"/>
          <w:szCs w:val="24"/>
          <w:lang w:val="en-AU"/>
        </w:rPr>
        <w:t>THREE</w:t>
      </w:r>
      <w:r w:rsidR="002E0C3B">
        <w:rPr>
          <w:b/>
          <w:caps/>
          <w:color w:val="000000"/>
          <w:sz w:val="24"/>
          <w:szCs w:val="24"/>
          <w:lang w:val="en-AU"/>
        </w:rPr>
        <w:t xml:space="preserve"> </w:t>
      </w:r>
      <w:r w:rsidR="00856446" w:rsidRPr="00803155">
        <w:rPr>
          <w:b/>
          <w:caps/>
          <w:color w:val="000000"/>
          <w:sz w:val="24"/>
          <w:szCs w:val="24"/>
          <w:lang w:val="en-AU"/>
        </w:rPr>
        <w:t>SERVICE SPECIFICATION</w:t>
      </w:r>
    </w:p>
    <w:p w:rsidR="00B4361E" w:rsidRPr="00637E53" w:rsidRDefault="00AA1607" w:rsidP="00AA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Mäori" w:hAnsi="Arial Mäori" w:cs="Arial Mäori"/>
          <w:b/>
          <w:sz w:val="24"/>
          <w:szCs w:val="24"/>
        </w:rPr>
      </w:pPr>
      <w:smartTag w:uri="urn:schemas-microsoft-com:office:smarttags" w:element="stockticker">
        <w:r w:rsidRPr="00637E53">
          <w:rPr>
            <w:b/>
            <w:sz w:val="24"/>
            <w:szCs w:val="24"/>
          </w:rPr>
          <w:t>MHP</w:t>
        </w:r>
      </w:smartTag>
      <w:r w:rsidRPr="00637E53">
        <w:rPr>
          <w:b/>
          <w:sz w:val="24"/>
          <w:szCs w:val="24"/>
        </w:rPr>
        <w:t>66</w:t>
      </w:r>
      <w:r w:rsidR="00954CE7" w:rsidRPr="00637E53">
        <w:rPr>
          <w:b/>
          <w:sz w:val="24"/>
          <w:szCs w:val="24"/>
        </w:rPr>
        <w:t>F</w:t>
      </w:r>
      <w:r w:rsidR="0094793C">
        <w:rPr>
          <w:b/>
          <w:sz w:val="24"/>
          <w:szCs w:val="24"/>
        </w:rPr>
        <w:t>, MHP66S</w:t>
      </w:r>
    </w:p>
    <w:p w:rsidR="002A1E63" w:rsidRDefault="00027868" w:rsidP="00027868">
      <w:pPr>
        <w:spacing w:before="120"/>
        <w:rPr>
          <w:rFonts w:cs="Arial"/>
          <w:sz w:val="24"/>
          <w:szCs w:val="24"/>
        </w:rPr>
      </w:pPr>
      <w:bookmarkStart w:id="35" w:name="_Toc215319123"/>
      <w:r w:rsidRPr="00C46192">
        <w:rPr>
          <w:rFonts w:cs="Arial"/>
          <w:sz w:val="24"/>
          <w:szCs w:val="24"/>
        </w:rPr>
        <w:t>Th</w:t>
      </w:r>
      <w:r w:rsidR="00200734">
        <w:rPr>
          <w:rFonts w:cs="Arial"/>
          <w:sz w:val="24"/>
          <w:szCs w:val="24"/>
        </w:rPr>
        <w:t>e</w:t>
      </w:r>
      <w:r w:rsidRPr="00C461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Pr="00C46192">
        <w:rPr>
          <w:rFonts w:cs="Arial"/>
          <w:sz w:val="24"/>
          <w:szCs w:val="24"/>
        </w:rPr>
        <w:t xml:space="preserve">ier </w:t>
      </w:r>
      <w:r w:rsidR="002A1E63">
        <w:rPr>
          <w:rFonts w:cs="Arial"/>
          <w:sz w:val="24"/>
          <w:szCs w:val="24"/>
        </w:rPr>
        <w:t>three</w:t>
      </w:r>
      <w:r w:rsidRPr="00C46192">
        <w:rPr>
          <w:rFonts w:cs="Arial"/>
          <w:sz w:val="24"/>
          <w:szCs w:val="24"/>
        </w:rPr>
        <w:t xml:space="preserve"> service specification for </w:t>
      </w:r>
      <w:r w:rsidR="00E24031">
        <w:rPr>
          <w:rFonts w:cs="Arial"/>
          <w:sz w:val="24"/>
          <w:szCs w:val="24"/>
        </w:rPr>
        <w:t xml:space="preserve">Pacific </w:t>
      </w:r>
      <w:r w:rsidR="00AA1607">
        <w:rPr>
          <w:rFonts w:cs="Arial"/>
          <w:sz w:val="24"/>
          <w:szCs w:val="24"/>
        </w:rPr>
        <w:t>Family Advisory</w:t>
      </w:r>
      <w:r w:rsidR="000F1D73">
        <w:rPr>
          <w:rFonts w:cs="Arial"/>
          <w:sz w:val="24"/>
          <w:szCs w:val="24"/>
        </w:rPr>
        <w:t xml:space="preserve"> </w:t>
      </w:r>
      <w:r w:rsidR="00615ABC">
        <w:rPr>
          <w:rFonts w:cs="Arial"/>
          <w:sz w:val="24"/>
          <w:szCs w:val="24"/>
        </w:rPr>
        <w:t>Service</w:t>
      </w:r>
      <w:r w:rsidR="003863E2">
        <w:rPr>
          <w:rFonts w:cs="Arial"/>
          <w:sz w:val="24"/>
          <w:szCs w:val="24"/>
        </w:rPr>
        <w:t xml:space="preserve"> </w:t>
      </w:r>
      <w:r w:rsidR="00200734">
        <w:rPr>
          <w:rFonts w:cs="Arial"/>
          <w:sz w:val="24"/>
          <w:szCs w:val="24"/>
        </w:rPr>
        <w:t xml:space="preserve">(the Service) </w:t>
      </w:r>
      <w:r w:rsidR="009F7DAE">
        <w:rPr>
          <w:rFonts w:cs="Arial"/>
          <w:sz w:val="24"/>
          <w:szCs w:val="24"/>
        </w:rPr>
        <w:t xml:space="preserve">must be </w:t>
      </w:r>
      <w:r w:rsidR="00B77597">
        <w:rPr>
          <w:rFonts w:cs="Arial"/>
          <w:sz w:val="24"/>
          <w:szCs w:val="24"/>
        </w:rPr>
        <w:t>used</w:t>
      </w:r>
      <w:r w:rsidR="009F7DAE">
        <w:rPr>
          <w:rFonts w:cs="Arial"/>
          <w:sz w:val="24"/>
          <w:szCs w:val="24"/>
        </w:rPr>
        <w:t xml:space="preserve"> in conjunction with the</w:t>
      </w:r>
      <w:r w:rsidRPr="00C46192">
        <w:rPr>
          <w:rFonts w:cs="Arial"/>
          <w:sz w:val="24"/>
          <w:szCs w:val="24"/>
        </w:rPr>
        <w:t xml:space="preserve"> </w:t>
      </w:r>
      <w:bookmarkEnd w:id="35"/>
      <w:r>
        <w:rPr>
          <w:rFonts w:cs="Arial"/>
          <w:sz w:val="24"/>
          <w:szCs w:val="24"/>
        </w:rPr>
        <w:t>t</w:t>
      </w:r>
      <w:r w:rsidRPr="00C46192">
        <w:rPr>
          <w:rFonts w:cs="Arial"/>
          <w:sz w:val="24"/>
          <w:szCs w:val="24"/>
        </w:rPr>
        <w:t xml:space="preserve">ier </w:t>
      </w:r>
      <w:r>
        <w:rPr>
          <w:rFonts w:cs="Arial"/>
          <w:sz w:val="24"/>
          <w:szCs w:val="24"/>
        </w:rPr>
        <w:t>one</w:t>
      </w:r>
      <w:r w:rsidRPr="00C46192">
        <w:rPr>
          <w:rFonts w:cs="Arial"/>
          <w:sz w:val="24"/>
          <w:szCs w:val="24"/>
        </w:rPr>
        <w:t xml:space="preserve"> Mental Health and Addiction </w:t>
      </w:r>
      <w:r w:rsidR="006B6F66">
        <w:rPr>
          <w:rFonts w:cs="Arial"/>
          <w:sz w:val="24"/>
          <w:szCs w:val="24"/>
        </w:rPr>
        <w:t xml:space="preserve">Services </w:t>
      </w:r>
      <w:r w:rsidRPr="00C46192">
        <w:rPr>
          <w:rFonts w:cs="Arial"/>
          <w:sz w:val="24"/>
          <w:szCs w:val="24"/>
        </w:rPr>
        <w:t xml:space="preserve">and </w:t>
      </w:r>
      <w:r w:rsidR="009F7DAE">
        <w:rPr>
          <w:rFonts w:cs="Arial"/>
          <w:sz w:val="24"/>
          <w:szCs w:val="24"/>
        </w:rPr>
        <w:t xml:space="preserve">the </w:t>
      </w:r>
      <w:r w:rsidR="002A1E63">
        <w:rPr>
          <w:rFonts w:cs="Arial"/>
          <w:sz w:val="24"/>
          <w:szCs w:val="24"/>
        </w:rPr>
        <w:t xml:space="preserve">tier two </w:t>
      </w:r>
      <w:r w:rsidR="00E24031">
        <w:rPr>
          <w:rFonts w:cs="Arial"/>
          <w:sz w:val="24"/>
          <w:szCs w:val="24"/>
        </w:rPr>
        <w:t xml:space="preserve">Pacific </w:t>
      </w:r>
      <w:r w:rsidR="002A1E63">
        <w:rPr>
          <w:rFonts w:cs="Arial"/>
          <w:sz w:val="24"/>
          <w:szCs w:val="24"/>
        </w:rPr>
        <w:t>Mental Health and Addiction services</w:t>
      </w:r>
      <w:r w:rsidR="009F7DAE" w:rsidRPr="009F7DAE">
        <w:rPr>
          <w:rFonts w:cs="Arial"/>
          <w:sz w:val="24"/>
          <w:szCs w:val="24"/>
        </w:rPr>
        <w:t xml:space="preserve"> </w:t>
      </w:r>
      <w:r w:rsidR="009F7DAE" w:rsidRPr="00C46192">
        <w:rPr>
          <w:rFonts w:cs="Arial"/>
          <w:sz w:val="24"/>
          <w:szCs w:val="24"/>
        </w:rPr>
        <w:t>service specification</w:t>
      </w:r>
      <w:r w:rsidR="006B6F66">
        <w:rPr>
          <w:rFonts w:cs="Arial"/>
          <w:sz w:val="24"/>
          <w:szCs w:val="24"/>
        </w:rPr>
        <w:t>s</w:t>
      </w:r>
      <w:r w:rsidR="002A1E63">
        <w:rPr>
          <w:rFonts w:cs="Arial"/>
          <w:sz w:val="24"/>
          <w:szCs w:val="24"/>
        </w:rPr>
        <w:t xml:space="preserve">. </w:t>
      </w:r>
    </w:p>
    <w:p w:rsidR="00027868" w:rsidRDefault="00027868" w:rsidP="00C4105B">
      <w:pPr>
        <w:numPr>
          <w:ilvl w:val="0"/>
          <w:numId w:val="2"/>
        </w:numPr>
        <w:tabs>
          <w:tab w:val="left" w:pos="570"/>
        </w:tabs>
        <w:spacing w:before="240" w:after="120"/>
        <w:ind w:hanging="1080"/>
        <w:rPr>
          <w:rFonts w:cs="Arial"/>
          <w:b/>
          <w:sz w:val="24"/>
          <w:szCs w:val="24"/>
        </w:rPr>
      </w:pPr>
      <w:bookmarkStart w:id="36" w:name="_Toc215319135"/>
      <w:r w:rsidRPr="00C46192">
        <w:rPr>
          <w:rFonts w:cs="Arial"/>
          <w:b/>
          <w:sz w:val="24"/>
          <w:szCs w:val="24"/>
        </w:rPr>
        <w:t>Service Definition</w:t>
      </w:r>
      <w:bookmarkEnd w:id="36"/>
    </w:p>
    <w:p w:rsidR="00AA1607" w:rsidRPr="00AA1607" w:rsidRDefault="00AA1607" w:rsidP="00AA160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2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after="58"/>
        <w:ind w:left="2" w:hanging="2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The Pacific Family Advisory Service practises in accordance with Pacific values in particularly where collective responsibility is concerned as well as adopting a holistic treatment approach. </w:t>
      </w:r>
      <w:r w:rsidR="00C4105B">
        <w:rPr>
          <w:color w:val="000000"/>
          <w:sz w:val="24"/>
          <w:szCs w:val="24"/>
          <w:lang w:val="en-NZ"/>
        </w:rPr>
        <w:t xml:space="preserve"> </w:t>
      </w:r>
      <w:r w:rsidRPr="00AA1607">
        <w:rPr>
          <w:color w:val="000000"/>
          <w:sz w:val="24"/>
          <w:szCs w:val="24"/>
          <w:lang w:val="en-NZ"/>
        </w:rPr>
        <w:t xml:space="preserve">Key tasks of this </w:t>
      </w:r>
      <w:r w:rsidR="001058E4">
        <w:rPr>
          <w:color w:val="000000"/>
          <w:sz w:val="24"/>
          <w:szCs w:val="24"/>
          <w:lang w:val="en-NZ"/>
        </w:rPr>
        <w:t>S</w:t>
      </w:r>
      <w:r w:rsidR="00D532DB">
        <w:rPr>
          <w:color w:val="000000"/>
          <w:sz w:val="24"/>
          <w:szCs w:val="24"/>
          <w:lang w:val="en-NZ"/>
        </w:rPr>
        <w:t>ervice</w:t>
      </w:r>
      <w:r w:rsidR="00D532DB" w:rsidRPr="00AA1607">
        <w:rPr>
          <w:color w:val="000000"/>
          <w:sz w:val="24"/>
          <w:szCs w:val="24"/>
          <w:lang w:val="en-NZ"/>
        </w:rPr>
        <w:t xml:space="preserve"> </w:t>
      </w:r>
      <w:r w:rsidRPr="00AA1607">
        <w:rPr>
          <w:color w:val="000000"/>
          <w:sz w:val="24"/>
          <w:szCs w:val="24"/>
          <w:lang w:val="en-NZ"/>
        </w:rPr>
        <w:t>will include:</w:t>
      </w:r>
    </w:p>
    <w:p w:rsidR="00D532DB" w:rsidRPr="00542B2C" w:rsidRDefault="00D532DB" w:rsidP="00D532D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after="58"/>
        <w:rPr>
          <w:i/>
          <w:color w:val="000000"/>
          <w:sz w:val="24"/>
          <w:szCs w:val="24"/>
          <w:lang w:val="en-NZ"/>
        </w:rPr>
      </w:pPr>
      <w:r w:rsidRPr="00542B2C">
        <w:rPr>
          <w:i/>
          <w:color w:val="000000"/>
          <w:sz w:val="24"/>
          <w:szCs w:val="24"/>
          <w:lang w:val="en-NZ"/>
        </w:rPr>
        <w:t>Organisational leadership and management</w:t>
      </w:r>
    </w:p>
    <w:p w:rsidR="00D532DB" w:rsidRDefault="00D532DB" w:rsidP="00542B2C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provide effective leadership in cultural competence </w:t>
      </w:r>
      <w:r>
        <w:rPr>
          <w:color w:val="000000"/>
          <w:sz w:val="24"/>
          <w:szCs w:val="24"/>
          <w:lang w:val="en-NZ"/>
        </w:rPr>
        <w:t xml:space="preserve">and </w:t>
      </w:r>
      <w:r w:rsidRPr="00AA1607">
        <w:rPr>
          <w:color w:val="000000"/>
          <w:sz w:val="24"/>
          <w:szCs w:val="24"/>
          <w:lang w:val="en-NZ"/>
        </w:rPr>
        <w:t>promoting family inclusive practices</w:t>
      </w:r>
    </w:p>
    <w:p w:rsidR="00AA1607" w:rsidRPr="00AA1607" w:rsidRDefault="00D532DB" w:rsidP="00542B2C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NZ"/>
        </w:rPr>
      </w:pPr>
      <w:r>
        <w:rPr>
          <w:color w:val="000000"/>
          <w:sz w:val="24"/>
          <w:szCs w:val="24"/>
          <w:lang w:val="en-NZ"/>
        </w:rPr>
        <w:t>p</w:t>
      </w:r>
      <w:r w:rsidRPr="00AA1607">
        <w:rPr>
          <w:color w:val="000000"/>
          <w:sz w:val="24"/>
          <w:szCs w:val="24"/>
          <w:lang w:val="en-NZ"/>
        </w:rPr>
        <w:t>roactive</w:t>
      </w:r>
      <w:r>
        <w:rPr>
          <w:color w:val="000000"/>
          <w:sz w:val="24"/>
          <w:szCs w:val="24"/>
          <w:lang w:val="en-NZ"/>
        </w:rPr>
        <w:t xml:space="preserve"> participation</w:t>
      </w:r>
      <w:r w:rsidR="00AA1607" w:rsidRPr="00AA1607">
        <w:rPr>
          <w:color w:val="000000"/>
          <w:sz w:val="24"/>
          <w:szCs w:val="24"/>
          <w:lang w:val="en-NZ"/>
        </w:rPr>
        <w:t xml:space="preserve"> in strategic planning processes</w:t>
      </w:r>
    </w:p>
    <w:p w:rsidR="00AA1607" w:rsidRPr="00AA1607" w:rsidRDefault="00AA1607" w:rsidP="00542B2C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proactive </w:t>
      </w:r>
      <w:r w:rsidR="00D532DB">
        <w:rPr>
          <w:color w:val="000000"/>
          <w:sz w:val="24"/>
          <w:szCs w:val="24"/>
          <w:lang w:val="en-NZ"/>
        </w:rPr>
        <w:t xml:space="preserve">participation </w:t>
      </w:r>
      <w:r w:rsidRPr="00AA1607">
        <w:rPr>
          <w:color w:val="000000"/>
          <w:sz w:val="24"/>
          <w:szCs w:val="24"/>
          <w:lang w:val="en-NZ"/>
        </w:rPr>
        <w:t>in annual service planning and annual quality plan processes</w:t>
      </w:r>
    </w:p>
    <w:p w:rsidR="00AA1607" w:rsidRDefault="00AA1607" w:rsidP="00542B2C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>advocat</w:t>
      </w:r>
      <w:r w:rsidR="00200734">
        <w:rPr>
          <w:color w:val="000000"/>
          <w:sz w:val="24"/>
          <w:szCs w:val="24"/>
          <w:lang w:val="en-NZ"/>
        </w:rPr>
        <w:t>ing</w:t>
      </w:r>
      <w:r w:rsidRPr="00AA1607">
        <w:rPr>
          <w:color w:val="000000"/>
          <w:sz w:val="24"/>
          <w:szCs w:val="24"/>
          <w:lang w:val="en-NZ"/>
        </w:rPr>
        <w:t xml:space="preserve"> for the implementation of family participation policies and associated procedures</w:t>
      </w:r>
    </w:p>
    <w:p w:rsidR="00D532DB" w:rsidRPr="00AA1607" w:rsidRDefault="00D532DB" w:rsidP="00542B2C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>participation in evaluation and monitoring processes of mental health and addiction services</w:t>
      </w:r>
      <w:r>
        <w:rPr>
          <w:color w:val="000000"/>
          <w:sz w:val="24"/>
          <w:szCs w:val="24"/>
          <w:lang w:val="en-NZ"/>
        </w:rPr>
        <w:t>.</w:t>
      </w:r>
    </w:p>
    <w:p w:rsidR="00D532DB" w:rsidRPr="00542B2C" w:rsidRDefault="00D532DB" w:rsidP="001058E4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i/>
          <w:color w:val="000000"/>
          <w:sz w:val="24"/>
          <w:szCs w:val="24"/>
          <w:lang w:val="en-NZ"/>
        </w:rPr>
      </w:pPr>
      <w:r w:rsidRPr="00542B2C">
        <w:rPr>
          <w:i/>
          <w:color w:val="000000"/>
          <w:sz w:val="24"/>
          <w:szCs w:val="24"/>
          <w:lang w:val="en-NZ"/>
        </w:rPr>
        <w:t>Relationships</w:t>
      </w:r>
    </w:p>
    <w:p w:rsidR="00AA1607" w:rsidRPr="00AA1607" w:rsidRDefault="00AA1607" w:rsidP="001058E4">
      <w:pPr>
        <w:numPr>
          <w:ilvl w:val="0"/>
          <w:numId w:val="30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development of relationships and linkages with family advisors </w:t>
      </w:r>
      <w:r w:rsidR="00D532DB">
        <w:rPr>
          <w:color w:val="000000"/>
          <w:sz w:val="24"/>
          <w:szCs w:val="24"/>
          <w:lang w:val="en-NZ"/>
        </w:rPr>
        <w:t xml:space="preserve">and family networks </w:t>
      </w:r>
      <w:r w:rsidRPr="00AA1607">
        <w:rPr>
          <w:color w:val="000000"/>
          <w:sz w:val="24"/>
          <w:szCs w:val="24"/>
          <w:lang w:val="en-NZ"/>
        </w:rPr>
        <w:t>across other mental health, addiction and personal health services</w:t>
      </w:r>
      <w:r w:rsidR="00D532DB">
        <w:rPr>
          <w:color w:val="000000"/>
          <w:sz w:val="24"/>
          <w:szCs w:val="24"/>
          <w:lang w:val="en-NZ"/>
        </w:rPr>
        <w:t xml:space="preserve"> in DHB and NGO.</w:t>
      </w:r>
    </w:p>
    <w:p w:rsidR="00AA1607" w:rsidRPr="00AA1607" w:rsidRDefault="00AA1607" w:rsidP="001058E4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2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>The Service will work in collaboration with other health and cultural professionals and community members, in a range of settings</w:t>
      </w:r>
      <w:r w:rsidR="00D532DB">
        <w:rPr>
          <w:color w:val="000000"/>
          <w:sz w:val="24"/>
          <w:szCs w:val="24"/>
          <w:lang w:val="en-NZ"/>
        </w:rPr>
        <w:t>,</w:t>
      </w:r>
      <w:r w:rsidRPr="00AA1607">
        <w:rPr>
          <w:color w:val="000000"/>
          <w:sz w:val="24"/>
          <w:szCs w:val="24"/>
          <w:lang w:val="en-NZ"/>
        </w:rPr>
        <w:t xml:space="preserve"> in partnership with families, individuals and communities. </w:t>
      </w:r>
      <w:r w:rsidR="00200734">
        <w:rPr>
          <w:color w:val="000000"/>
          <w:sz w:val="24"/>
          <w:szCs w:val="24"/>
          <w:lang w:val="en-NZ"/>
        </w:rPr>
        <w:t xml:space="preserve"> </w:t>
      </w:r>
      <w:r w:rsidRPr="00AA1607">
        <w:rPr>
          <w:color w:val="000000"/>
          <w:sz w:val="24"/>
          <w:szCs w:val="24"/>
          <w:lang w:val="en-NZ"/>
        </w:rPr>
        <w:t>Approaches will be based on Pacific frameworks and models of health that promote clinical and cultural competence.</w:t>
      </w:r>
    </w:p>
    <w:p w:rsidR="00027868" w:rsidRPr="00C46192" w:rsidRDefault="00027868" w:rsidP="00027868">
      <w:pPr>
        <w:numPr>
          <w:ilvl w:val="0"/>
          <w:numId w:val="2"/>
        </w:numPr>
        <w:tabs>
          <w:tab w:val="clear" w:pos="1080"/>
          <w:tab w:val="num" w:pos="570"/>
        </w:tabs>
        <w:spacing w:before="240" w:after="120"/>
        <w:ind w:left="0" w:firstLine="0"/>
        <w:rPr>
          <w:rFonts w:cs="Arial"/>
          <w:b/>
          <w:sz w:val="24"/>
          <w:szCs w:val="24"/>
        </w:rPr>
      </w:pPr>
      <w:bookmarkStart w:id="37" w:name="_Toc215319136"/>
      <w:r w:rsidRPr="00C46192">
        <w:rPr>
          <w:rFonts w:cs="Arial"/>
          <w:b/>
          <w:sz w:val="24"/>
          <w:szCs w:val="24"/>
        </w:rPr>
        <w:t>Service Objectives</w:t>
      </w:r>
      <w:bookmarkEnd w:id="37"/>
    </w:p>
    <w:p w:rsidR="00AA1607" w:rsidRPr="00AA1607" w:rsidRDefault="00AA1607" w:rsidP="00AA160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000000"/>
          <w:sz w:val="24"/>
          <w:szCs w:val="24"/>
          <w:lang w:val="en-NZ"/>
        </w:rPr>
      </w:pPr>
      <w:bookmarkStart w:id="38" w:name="_Toc215319138"/>
      <w:r w:rsidRPr="00AA1607">
        <w:rPr>
          <w:color w:val="000000"/>
          <w:sz w:val="24"/>
          <w:szCs w:val="24"/>
          <w:lang w:val="en-NZ"/>
        </w:rPr>
        <w:t>Th</w:t>
      </w:r>
      <w:r w:rsidR="00D532DB">
        <w:rPr>
          <w:color w:val="000000"/>
          <w:sz w:val="24"/>
          <w:szCs w:val="24"/>
          <w:lang w:val="en-NZ"/>
        </w:rPr>
        <w:t>is</w:t>
      </w:r>
      <w:r w:rsidRPr="00AA1607">
        <w:rPr>
          <w:color w:val="000000"/>
          <w:sz w:val="24"/>
          <w:szCs w:val="24"/>
          <w:lang w:val="en-NZ"/>
        </w:rPr>
        <w:t xml:space="preserve"> Service represents the interests of the Pacific families within mental health and addiction services</w:t>
      </w:r>
      <w:r w:rsidR="00D532DB">
        <w:rPr>
          <w:color w:val="000000"/>
          <w:sz w:val="24"/>
          <w:szCs w:val="24"/>
          <w:lang w:val="en-NZ"/>
        </w:rPr>
        <w:t xml:space="preserve">. </w:t>
      </w:r>
      <w:r w:rsidR="001058E4">
        <w:rPr>
          <w:color w:val="000000"/>
          <w:sz w:val="24"/>
          <w:szCs w:val="24"/>
          <w:lang w:val="en-NZ"/>
        </w:rPr>
        <w:t xml:space="preserve"> </w:t>
      </w:r>
      <w:r w:rsidR="00D532DB">
        <w:rPr>
          <w:color w:val="000000"/>
          <w:sz w:val="24"/>
          <w:szCs w:val="24"/>
          <w:lang w:val="en-NZ"/>
        </w:rPr>
        <w:t xml:space="preserve">The </w:t>
      </w:r>
      <w:r w:rsidR="001058E4">
        <w:rPr>
          <w:color w:val="000000"/>
          <w:sz w:val="24"/>
          <w:szCs w:val="24"/>
          <w:lang w:val="en-NZ"/>
        </w:rPr>
        <w:t>S</w:t>
      </w:r>
      <w:r w:rsidR="00D532DB">
        <w:rPr>
          <w:color w:val="000000"/>
          <w:sz w:val="24"/>
          <w:szCs w:val="24"/>
          <w:lang w:val="en-NZ"/>
        </w:rPr>
        <w:t>ervice objectives are to provide</w:t>
      </w:r>
      <w:r w:rsidRPr="00AA1607">
        <w:rPr>
          <w:color w:val="000000"/>
          <w:sz w:val="24"/>
          <w:szCs w:val="24"/>
          <w:lang w:val="en-NZ"/>
        </w:rPr>
        <w:t xml:space="preserve"> a family paradigm in policy, planning, implementation and evaluation, and to advise on current issues affecting family inclusion</w:t>
      </w:r>
      <w:r w:rsidR="00D532DB">
        <w:rPr>
          <w:color w:val="000000"/>
          <w:sz w:val="24"/>
          <w:szCs w:val="24"/>
          <w:lang w:val="en-NZ"/>
        </w:rPr>
        <w:t xml:space="preserve"> and service access for Pacific people</w:t>
      </w:r>
      <w:r w:rsidRPr="00AA1607">
        <w:rPr>
          <w:color w:val="000000"/>
          <w:sz w:val="24"/>
          <w:szCs w:val="24"/>
          <w:lang w:val="en-NZ"/>
        </w:rPr>
        <w:t>.</w:t>
      </w:r>
    </w:p>
    <w:p w:rsidR="00027868" w:rsidRPr="00C46192" w:rsidRDefault="00027868" w:rsidP="00C4105B">
      <w:pPr>
        <w:spacing w:before="120"/>
        <w:rPr>
          <w:rFonts w:cs="Arial"/>
          <w:b/>
          <w:sz w:val="24"/>
          <w:szCs w:val="24"/>
        </w:rPr>
      </w:pPr>
      <w:bookmarkStart w:id="39" w:name="_Toc215319140"/>
      <w:bookmarkEnd w:id="38"/>
      <w:r w:rsidRPr="00C46192">
        <w:rPr>
          <w:rFonts w:cs="Arial"/>
          <w:b/>
          <w:sz w:val="24"/>
          <w:szCs w:val="24"/>
        </w:rPr>
        <w:t>3.</w:t>
      </w:r>
      <w:r w:rsidRPr="00C46192">
        <w:rPr>
          <w:rFonts w:cs="Arial"/>
          <w:b/>
          <w:sz w:val="24"/>
          <w:szCs w:val="24"/>
        </w:rPr>
        <w:tab/>
        <w:t>Service Users</w:t>
      </w:r>
      <w:bookmarkEnd w:id="39"/>
    </w:p>
    <w:p w:rsidR="00BE0E29" w:rsidRPr="00953E89" w:rsidRDefault="00027868" w:rsidP="00BE0E29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color w:val="000000"/>
          <w:sz w:val="24"/>
          <w:szCs w:val="24"/>
          <w:lang w:val="en-NZ"/>
        </w:rPr>
      </w:pPr>
      <w:r>
        <w:rPr>
          <w:rFonts w:cs="Arial"/>
          <w:sz w:val="24"/>
          <w:szCs w:val="24"/>
        </w:rPr>
        <w:t>The S</w:t>
      </w:r>
      <w:r w:rsidRPr="00C46192">
        <w:rPr>
          <w:rFonts w:cs="Arial"/>
          <w:sz w:val="24"/>
          <w:szCs w:val="24"/>
        </w:rPr>
        <w:t xml:space="preserve">ervice users will be </w:t>
      </w:r>
      <w:r w:rsidR="00200734">
        <w:rPr>
          <w:rFonts w:cs="Arial"/>
          <w:sz w:val="24"/>
          <w:szCs w:val="24"/>
        </w:rPr>
        <w:t>E</w:t>
      </w:r>
      <w:r w:rsidRPr="00C46192">
        <w:rPr>
          <w:rFonts w:cs="Arial"/>
          <w:sz w:val="24"/>
          <w:szCs w:val="24"/>
        </w:rPr>
        <w:t xml:space="preserve">ligible </w:t>
      </w:r>
      <w:r w:rsidR="00637E53">
        <w:rPr>
          <w:rFonts w:cs="Arial"/>
          <w:sz w:val="24"/>
          <w:szCs w:val="24"/>
        </w:rPr>
        <w:t>P</w:t>
      </w:r>
      <w:r w:rsidR="007D1681">
        <w:rPr>
          <w:rFonts w:cs="Arial"/>
          <w:sz w:val="24"/>
          <w:szCs w:val="24"/>
        </w:rPr>
        <w:t>eople</w:t>
      </w:r>
      <w:r w:rsidR="00C4105B">
        <w:rPr>
          <w:rFonts w:cs="Arial"/>
          <w:sz w:val="24"/>
          <w:szCs w:val="24"/>
        </w:rPr>
        <w:t>.</w:t>
      </w:r>
      <w:r w:rsidR="00BE0E29">
        <w:rPr>
          <w:rFonts w:cs="Arial"/>
          <w:sz w:val="24"/>
          <w:szCs w:val="24"/>
        </w:rPr>
        <w:t xml:space="preserve"> </w:t>
      </w:r>
      <w:r w:rsidRPr="00C46192">
        <w:rPr>
          <w:rFonts w:cs="Arial"/>
          <w:sz w:val="24"/>
          <w:szCs w:val="24"/>
        </w:rPr>
        <w:t xml:space="preserve"> </w:t>
      </w:r>
      <w:r w:rsidR="00BE0E29">
        <w:rPr>
          <w:color w:val="000000"/>
          <w:sz w:val="24"/>
          <w:szCs w:val="24"/>
          <w:lang w:val="en-NZ"/>
        </w:rPr>
        <w:t>The Service has been developed specifically for Pacific people but not exclusively for Pacific people.</w:t>
      </w:r>
    </w:p>
    <w:p w:rsidR="00027868" w:rsidRPr="00C46192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0" w:name="_Toc215319141"/>
      <w:r w:rsidRPr="00C46192">
        <w:rPr>
          <w:rFonts w:cs="Arial"/>
          <w:b/>
          <w:sz w:val="24"/>
          <w:szCs w:val="24"/>
        </w:rPr>
        <w:t>4.</w:t>
      </w:r>
      <w:r w:rsidRPr="00C46192">
        <w:rPr>
          <w:rFonts w:cs="Arial"/>
          <w:b/>
          <w:sz w:val="24"/>
          <w:szCs w:val="24"/>
        </w:rPr>
        <w:tab/>
        <w:t>Access</w:t>
      </w:r>
      <w:bookmarkEnd w:id="40"/>
    </w:p>
    <w:p w:rsidR="00027868" w:rsidRDefault="00027868" w:rsidP="00027868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41" w:name="_Toc215319142"/>
      <w:r w:rsidRPr="00C46192">
        <w:rPr>
          <w:rFonts w:cs="Arial"/>
          <w:b/>
          <w:sz w:val="24"/>
          <w:szCs w:val="24"/>
        </w:rPr>
        <w:t>4.1</w:t>
      </w:r>
      <w:r w:rsidRPr="00C46192">
        <w:rPr>
          <w:rFonts w:cs="Arial"/>
          <w:b/>
          <w:sz w:val="24"/>
          <w:szCs w:val="24"/>
        </w:rPr>
        <w:tab/>
        <w:t xml:space="preserve">Entry </w:t>
      </w:r>
      <w:r>
        <w:rPr>
          <w:rFonts w:cs="Arial"/>
          <w:b/>
          <w:sz w:val="24"/>
          <w:szCs w:val="24"/>
        </w:rPr>
        <w:t>C</w:t>
      </w:r>
      <w:r w:rsidRPr="00C46192">
        <w:rPr>
          <w:rFonts w:cs="Arial"/>
          <w:b/>
          <w:sz w:val="24"/>
          <w:szCs w:val="24"/>
        </w:rPr>
        <w:t>riteria</w:t>
      </w:r>
      <w:bookmarkEnd w:id="41"/>
      <w:r w:rsidRPr="00C46192">
        <w:rPr>
          <w:rFonts w:cs="Arial"/>
          <w:b/>
          <w:sz w:val="24"/>
          <w:szCs w:val="24"/>
        </w:rPr>
        <w:t xml:space="preserve"> </w:t>
      </w:r>
    </w:p>
    <w:p w:rsidR="00AA1607" w:rsidRDefault="00AA1607" w:rsidP="00AA160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Access may be from any source, including referral by Service </w:t>
      </w:r>
      <w:r w:rsidR="00C4105B">
        <w:rPr>
          <w:color w:val="000000"/>
          <w:sz w:val="24"/>
          <w:szCs w:val="24"/>
          <w:lang w:val="en-NZ"/>
        </w:rPr>
        <w:t>u</w:t>
      </w:r>
      <w:r w:rsidRPr="00AA1607">
        <w:rPr>
          <w:color w:val="000000"/>
          <w:sz w:val="24"/>
          <w:szCs w:val="24"/>
          <w:lang w:val="en-NZ"/>
        </w:rPr>
        <w:t xml:space="preserve">sers directly or upon referral from primary </w:t>
      </w:r>
      <w:r w:rsidR="00D532DB">
        <w:rPr>
          <w:color w:val="000000"/>
          <w:sz w:val="24"/>
          <w:szCs w:val="24"/>
          <w:lang w:val="en-NZ"/>
        </w:rPr>
        <w:t xml:space="preserve">and </w:t>
      </w:r>
      <w:r w:rsidR="00BE0E29">
        <w:rPr>
          <w:color w:val="000000"/>
          <w:sz w:val="24"/>
          <w:szCs w:val="24"/>
          <w:lang w:val="en-NZ"/>
        </w:rPr>
        <w:t xml:space="preserve">or </w:t>
      </w:r>
      <w:r w:rsidR="00D532DB">
        <w:rPr>
          <w:color w:val="000000"/>
          <w:sz w:val="24"/>
          <w:szCs w:val="24"/>
          <w:lang w:val="en-NZ"/>
        </w:rPr>
        <w:t>secondary service</w:t>
      </w:r>
      <w:r w:rsidR="00BE0E29">
        <w:rPr>
          <w:color w:val="000000"/>
          <w:sz w:val="24"/>
          <w:szCs w:val="24"/>
          <w:lang w:val="en-NZ"/>
        </w:rPr>
        <w:t>s</w:t>
      </w:r>
      <w:r w:rsidRPr="00AA1607">
        <w:rPr>
          <w:color w:val="000000"/>
          <w:sz w:val="24"/>
          <w:szCs w:val="24"/>
          <w:lang w:val="en-NZ"/>
        </w:rPr>
        <w:t>, family, carers, and community members</w:t>
      </w:r>
      <w:r w:rsidR="00D532DB">
        <w:rPr>
          <w:color w:val="000000"/>
          <w:sz w:val="24"/>
          <w:szCs w:val="24"/>
          <w:lang w:val="en-NZ"/>
        </w:rPr>
        <w:t>.</w:t>
      </w:r>
      <w:r w:rsidR="00BE0E29">
        <w:rPr>
          <w:color w:val="000000"/>
          <w:sz w:val="24"/>
          <w:szCs w:val="24"/>
          <w:lang w:val="en-NZ"/>
        </w:rPr>
        <w:t xml:space="preserve"> </w:t>
      </w:r>
      <w:r w:rsidRPr="00AA1607">
        <w:rPr>
          <w:color w:val="000000"/>
          <w:sz w:val="24"/>
          <w:szCs w:val="24"/>
          <w:lang w:val="en-NZ"/>
        </w:rPr>
        <w:t xml:space="preserve"> </w:t>
      </w:r>
    </w:p>
    <w:p w:rsidR="00D532DB" w:rsidRPr="00AA1607" w:rsidRDefault="00D532DB" w:rsidP="00AA160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rPr>
          <w:color w:val="000000"/>
          <w:sz w:val="24"/>
          <w:szCs w:val="24"/>
          <w:lang w:val="en-NZ"/>
        </w:rPr>
      </w:pPr>
      <w:r>
        <w:rPr>
          <w:color w:val="000000"/>
          <w:sz w:val="24"/>
          <w:szCs w:val="24"/>
          <w:lang w:val="en-NZ"/>
        </w:rPr>
        <w:t xml:space="preserve">DHBs will determine local entry criteria. </w:t>
      </w:r>
    </w:p>
    <w:p w:rsidR="00027868" w:rsidRPr="00C46192" w:rsidRDefault="00C4105B" w:rsidP="008659B5">
      <w:pPr>
        <w:tabs>
          <w:tab w:val="left" w:pos="570"/>
        </w:tabs>
        <w:rPr>
          <w:rFonts w:cs="Arial"/>
          <w:b/>
          <w:sz w:val="24"/>
          <w:szCs w:val="24"/>
        </w:rPr>
      </w:pPr>
      <w:bookmarkStart w:id="42" w:name="_Toc215319145"/>
      <w:r>
        <w:rPr>
          <w:rFonts w:cs="Arial"/>
          <w:b/>
          <w:sz w:val="24"/>
          <w:szCs w:val="24"/>
        </w:rPr>
        <w:br w:type="page"/>
      </w:r>
      <w:r w:rsidR="00027868" w:rsidRPr="00C46192">
        <w:rPr>
          <w:rFonts w:cs="Arial"/>
          <w:b/>
          <w:sz w:val="24"/>
          <w:szCs w:val="24"/>
        </w:rPr>
        <w:lastRenderedPageBreak/>
        <w:t>5.</w:t>
      </w:r>
      <w:r w:rsidR="00027868" w:rsidRPr="00C46192">
        <w:rPr>
          <w:rFonts w:cs="Arial"/>
          <w:b/>
          <w:sz w:val="24"/>
          <w:szCs w:val="24"/>
        </w:rPr>
        <w:tab/>
        <w:t>Service Components</w:t>
      </w:r>
      <w:bookmarkEnd w:id="42"/>
    </w:p>
    <w:p w:rsidR="00027868" w:rsidRPr="00C46192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3" w:name="_Toc215319146"/>
      <w:r w:rsidRPr="00C46192">
        <w:rPr>
          <w:rFonts w:cs="Arial"/>
          <w:b/>
          <w:sz w:val="24"/>
          <w:szCs w:val="24"/>
        </w:rPr>
        <w:t>5.1</w:t>
      </w:r>
      <w:r w:rsidRPr="00C46192">
        <w:rPr>
          <w:rFonts w:cs="Arial"/>
          <w:b/>
          <w:sz w:val="24"/>
          <w:szCs w:val="24"/>
        </w:rPr>
        <w:tab/>
        <w:t>Processes</w:t>
      </w:r>
      <w:bookmarkEnd w:id="43"/>
    </w:p>
    <w:p w:rsidR="00402D83" w:rsidRPr="00C46192" w:rsidRDefault="00027868" w:rsidP="00C4105B">
      <w:pPr>
        <w:spacing w:after="60"/>
        <w:rPr>
          <w:rFonts w:cs="Arial"/>
          <w:sz w:val="24"/>
          <w:szCs w:val="24"/>
        </w:rPr>
      </w:pPr>
      <w:r w:rsidRPr="00C46192">
        <w:rPr>
          <w:rFonts w:cs="Arial"/>
          <w:sz w:val="24"/>
          <w:szCs w:val="24"/>
        </w:rPr>
        <w:t>The processes include but are not limited to the following:</w:t>
      </w:r>
      <w:r w:rsidR="00C4105B">
        <w:rPr>
          <w:rFonts w:cs="Arial"/>
          <w:sz w:val="24"/>
          <w:szCs w:val="24"/>
        </w:rPr>
        <w:t xml:space="preserve"> e</w:t>
      </w:r>
      <w:r w:rsidR="00402D83">
        <w:rPr>
          <w:rFonts w:cs="Arial"/>
          <w:sz w:val="24"/>
          <w:szCs w:val="24"/>
        </w:rPr>
        <w:t>ngagement; a</w:t>
      </w:r>
      <w:r w:rsidR="00402D83" w:rsidRPr="00C46192">
        <w:rPr>
          <w:rFonts w:cs="Arial"/>
          <w:sz w:val="24"/>
          <w:szCs w:val="24"/>
        </w:rPr>
        <w:t>ssessment</w:t>
      </w:r>
      <w:r w:rsidR="00402D83">
        <w:rPr>
          <w:rFonts w:cs="Arial"/>
          <w:sz w:val="24"/>
          <w:szCs w:val="24"/>
        </w:rPr>
        <w:t xml:space="preserve"> including cultural assessment</w:t>
      </w:r>
      <w:r w:rsidR="00402D83" w:rsidRPr="00C46192">
        <w:rPr>
          <w:rFonts w:cs="Arial"/>
          <w:sz w:val="24"/>
          <w:szCs w:val="24"/>
        </w:rPr>
        <w:t xml:space="preserve">; </w:t>
      </w:r>
      <w:r w:rsidR="00402D83">
        <w:rPr>
          <w:rFonts w:cs="Arial"/>
          <w:sz w:val="24"/>
          <w:szCs w:val="24"/>
        </w:rPr>
        <w:t xml:space="preserve">cultural guidance and </w:t>
      </w:r>
      <w:r w:rsidR="00402D83" w:rsidRPr="00C46192">
        <w:rPr>
          <w:rFonts w:cs="Arial"/>
          <w:sz w:val="24"/>
          <w:szCs w:val="24"/>
        </w:rPr>
        <w:t>support; review process</w:t>
      </w:r>
      <w:r w:rsidR="00200734">
        <w:rPr>
          <w:rFonts w:cs="Arial"/>
          <w:sz w:val="24"/>
          <w:szCs w:val="24"/>
        </w:rPr>
        <w:t xml:space="preserve"> and </w:t>
      </w:r>
      <w:r w:rsidR="00402D83" w:rsidRPr="00C46192">
        <w:rPr>
          <w:rFonts w:cs="Arial"/>
          <w:sz w:val="24"/>
          <w:szCs w:val="24"/>
        </w:rPr>
        <w:t>discharge</w:t>
      </w:r>
      <w:r w:rsidR="00402D83">
        <w:rPr>
          <w:rFonts w:cs="Arial"/>
          <w:sz w:val="24"/>
          <w:szCs w:val="24"/>
        </w:rPr>
        <w:t>.</w:t>
      </w:r>
    </w:p>
    <w:p w:rsidR="00027868" w:rsidRPr="00C46192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4" w:name="_Toc215319147"/>
      <w:r w:rsidRPr="00C46192">
        <w:rPr>
          <w:rFonts w:cs="Arial"/>
          <w:b/>
          <w:sz w:val="24"/>
          <w:szCs w:val="24"/>
        </w:rPr>
        <w:t>5.2</w:t>
      </w:r>
      <w:r w:rsidRPr="00C46192">
        <w:rPr>
          <w:rFonts w:cs="Arial"/>
          <w:b/>
          <w:sz w:val="24"/>
          <w:szCs w:val="24"/>
        </w:rPr>
        <w:tab/>
        <w:t>Settings</w:t>
      </w:r>
      <w:bookmarkEnd w:id="44"/>
    </w:p>
    <w:p w:rsidR="00027868" w:rsidRPr="00C46192" w:rsidRDefault="00027868" w:rsidP="00027868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Service </w:t>
      </w:r>
      <w:r w:rsidR="00D2418D">
        <w:rPr>
          <w:rFonts w:cs="Arial"/>
          <w:sz w:val="24"/>
          <w:szCs w:val="24"/>
        </w:rPr>
        <w:t>may be</w:t>
      </w:r>
      <w:r>
        <w:rPr>
          <w:rFonts w:cs="Arial"/>
          <w:sz w:val="24"/>
          <w:szCs w:val="24"/>
        </w:rPr>
        <w:t xml:space="preserve"> provided in </w:t>
      </w:r>
      <w:r w:rsidR="00AD0C9B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c</w:t>
      </w:r>
      <w:r w:rsidRPr="00C46192">
        <w:rPr>
          <w:rFonts w:cs="Arial"/>
          <w:sz w:val="24"/>
          <w:szCs w:val="24"/>
        </w:rPr>
        <w:t>ommunity</w:t>
      </w:r>
      <w:r w:rsidR="00D2418D">
        <w:rPr>
          <w:rFonts w:cs="Arial"/>
          <w:sz w:val="24"/>
          <w:szCs w:val="24"/>
        </w:rPr>
        <w:t xml:space="preserve"> including </w:t>
      </w:r>
      <w:r w:rsidR="007D1681">
        <w:rPr>
          <w:rFonts w:cs="Arial"/>
          <w:sz w:val="24"/>
          <w:szCs w:val="24"/>
        </w:rPr>
        <w:t>church</w:t>
      </w:r>
      <w:r w:rsidR="00DD602D">
        <w:rPr>
          <w:rFonts w:cs="Arial"/>
          <w:sz w:val="24"/>
          <w:szCs w:val="24"/>
        </w:rPr>
        <w:t>,</w:t>
      </w:r>
      <w:r w:rsidRPr="00C46192">
        <w:rPr>
          <w:rFonts w:cs="Arial"/>
          <w:sz w:val="24"/>
          <w:szCs w:val="24"/>
        </w:rPr>
        <w:t xml:space="preserve"> </w:t>
      </w:r>
      <w:r w:rsidR="002F0C78">
        <w:rPr>
          <w:rFonts w:cs="Arial"/>
          <w:sz w:val="24"/>
          <w:szCs w:val="24"/>
        </w:rPr>
        <w:t xml:space="preserve">home </w:t>
      </w:r>
      <w:r w:rsidR="00DD602D">
        <w:rPr>
          <w:rFonts w:cs="Arial"/>
          <w:sz w:val="24"/>
          <w:szCs w:val="24"/>
        </w:rPr>
        <w:t xml:space="preserve">and hospital based </w:t>
      </w:r>
      <w:r>
        <w:rPr>
          <w:rFonts w:cs="Arial"/>
          <w:sz w:val="24"/>
          <w:szCs w:val="24"/>
        </w:rPr>
        <w:t>settings.</w:t>
      </w:r>
      <w:r w:rsidRPr="00C46192">
        <w:rPr>
          <w:rFonts w:cs="Arial"/>
          <w:sz w:val="24"/>
          <w:szCs w:val="24"/>
        </w:rPr>
        <w:t xml:space="preserve"> </w:t>
      </w:r>
    </w:p>
    <w:p w:rsidR="00027868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5" w:name="_Toc215319151"/>
      <w:r w:rsidRPr="00C46192">
        <w:rPr>
          <w:rFonts w:cs="Arial"/>
          <w:b/>
          <w:sz w:val="24"/>
          <w:szCs w:val="24"/>
        </w:rPr>
        <w:t>5.3</w:t>
      </w:r>
      <w:r w:rsidRPr="00C46192">
        <w:rPr>
          <w:rFonts w:cs="Arial"/>
          <w:b/>
          <w:sz w:val="24"/>
          <w:szCs w:val="24"/>
        </w:rPr>
        <w:tab/>
        <w:t xml:space="preserve">Key </w:t>
      </w:r>
      <w:r>
        <w:rPr>
          <w:rFonts w:cs="Arial"/>
          <w:b/>
          <w:sz w:val="24"/>
          <w:szCs w:val="24"/>
        </w:rPr>
        <w:t>I</w:t>
      </w:r>
      <w:r w:rsidRPr="00C46192">
        <w:rPr>
          <w:rFonts w:cs="Arial"/>
          <w:b/>
          <w:sz w:val="24"/>
          <w:szCs w:val="24"/>
        </w:rPr>
        <w:t xml:space="preserve">nputs </w:t>
      </w:r>
      <w:bookmarkStart w:id="46" w:name="_Toc215319152"/>
      <w:bookmarkEnd w:id="45"/>
    </w:p>
    <w:p w:rsidR="00AA1607" w:rsidRPr="00AA1607" w:rsidRDefault="00AA1607" w:rsidP="00AA160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>Pacific Family Advisors must demonstrate specialist competencies as defined within Seitapu Pacific Mental Health and Addictions Cultural and Clinical Competencies Framework</w:t>
      </w:r>
      <w:r w:rsidR="00353250">
        <w:rPr>
          <w:color w:val="000000"/>
          <w:sz w:val="24"/>
          <w:szCs w:val="24"/>
          <w:lang w:val="en-NZ"/>
        </w:rPr>
        <w:t xml:space="preserve">, </w:t>
      </w:r>
      <w:r w:rsidR="00353250" w:rsidRPr="000F1D73">
        <w:rPr>
          <w:color w:val="000000"/>
          <w:sz w:val="24"/>
          <w:szCs w:val="24"/>
          <w:lang w:val="en-NZ"/>
        </w:rPr>
        <w:t>Polutu-Endemann et al</w:t>
      </w:r>
      <w:r w:rsidRPr="00AA1607">
        <w:rPr>
          <w:color w:val="000000"/>
          <w:sz w:val="24"/>
          <w:szCs w:val="24"/>
          <w:lang w:val="en-NZ"/>
        </w:rPr>
        <w:t xml:space="preserve"> (2007) and essential competencies outlined in Let’s Get Real: Real Skills for Real People Working in Mental Health and Addiction</w:t>
      </w:r>
      <w:r w:rsidR="00353250">
        <w:rPr>
          <w:color w:val="000000"/>
          <w:sz w:val="24"/>
          <w:szCs w:val="24"/>
          <w:lang w:val="en-NZ"/>
        </w:rPr>
        <w:t>, Ministry of Health</w:t>
      </w:r>
      <w:r w:rsidRPr="00AA1607">
        <w:rPr>
          <w:color w:val="000000"/>
          <w:sz w:val="24"/>
          <w:szCs w:val="24"/>
          <w:lang w:val="en-NZ"/>
        </w:rPr>
        <w:t xml:space="preserve"> (2007). </w:t>
      </w:r>
    </w:p>
    <w:p w:rsidR="00AA1607" w:rsidRPr="00AA1607" w:rsidRDefault="00AA1607" w:rsidP="00C4105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rPr>
          <w:color w:val="000000"/>
          <w:sz w:val="24"/>
          <w:szCs w:val="24"/>
          <w:lang w:val="en-NZ"/>
        </w:rPr>
      </w:pPr>
      <w:r w:rsidRPr="00AA1607">
        <w:rPr>
          <w:color w:val="000000"/>
          <w:sz w:val="24"/>
          <w:szCs w:val="24"/>
          <w:lang w:val="en-NZ"/>
        </w:rPr>
        <w:t xml:space="preserve">The typical minimum qualification set of a Pacific Family Advisor </w:t>
      </w:r>
      <w:r w:rsidR="00D532DB">
        <w:rPr>
          <w:color w:val="000000"/>
          <w:sz w:val="24"/>
          <w:szCs w:val="24"/>
          <w:lang w:val="en-NZ"/>
        </w:rPr>
        <w:t xml:space="preserve">who will provide this service, </w:t>
      </w:r>
      <w:r w:rsidRPr="00AA1607">
        <w:rPr>
          <w:color w:val="000000"/>
          <w:sz w:val="24"/>
          <w:szCs w:val="24"/>
          <w:lang w:val="en-NZ"/>
        </w:rPr>
        <w:t>will include extensive lived experience of one or more Pacific cultures and a minimum level 6 health related qualification on NZQA framework, and a lived experience of living with someone who has experienced mental illness.</w:t>
      </w:r>
    </w:p>
    <w:p w:rsidR="007D1681" w:rsidRPr="00C46192" w:rsidRDefault="007D1681" w:rsidP="007D1681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C46192">
        <w:rPr>
          <w:rFonts w:cs="Arial"/>
          <w:b/>
          <w:sz w:val="24"/>
          <w:szCs w:val="24"/>
        </w:rPr>
        <w:t>5.4.</w:t>
      </w:r>
      <w:r w:rsidRPr="00C46192">
        <w:rPr>
          <w:rFonts w:cs="Arial"/>
          <w:b/>
          <w:sz w:val="24"/>
          <w:szCs w:val="24"/>
        </w:rPr>
        <w:tab/>
        <w:t xml:space="preserve">Pacific Health </w:t>
      </w:r>
    </w:p>
    <w:p w:rsidR="007D1681" w:rsidRPr="00C46192" w:rsidRDefault="007D1681" w:rsidP="007D1681">
      <w:pPr>
        <w:spacing w:after="120"/>
        <w:rPr>
          <w:rFonts w:cs="Arial"/>
          <w:sz w:val="24"/>
          <w:szCs w:val="24"/>
        </w:rPr>
      </w:pPr>
      <w:bookmarkStart w:id="47" w:name="_Toc215318968"/>
      <w:r w:rsidRPr="00C4619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S</w:t>
      </w:r>
      <w:r w:rsidRPr="00C46192">
        <w:rPr>
          <w:rFonts w:cs="Arial"/>
          <w:sz w:val="24"/>
          <w:szCs w:val="24"/>
        </w:rPr>
        <w:t xml:space="preserve">ervice must take account of key strategic frameworks, principles and be relevant to Pacific health needs and identified concerns. </w:t>
      </w:r>
      <w:r>
        <w:rPr>
          <w:rFonts w:cs="Arial"/>
          <w:sz w:val="24"/>
          <w:szCs w:val="24"/>
        </w:rPr>
        <w:t xml:space="preserve"> </w:t>
      </w:r>
      <w:r w:rsidRPr="00C46192">
        <w:rPr>
          <w:rFonts w:cs="Arial"/>
          <w:sz w:val="24"/>
          <w:szCs w:val="24"/>
        </w:rPr>
        <w:t>For regions that have significant Pacific populations, the service must link service delivery to the improvement of Pacific health outcomes.</w:t>
      </w:r>
      <w:r>
        <w:rPr>
          <w:rFonts w:cs="Arial"/>
          <w:sz w:val="24"/>
          <w:szCs w:val="24"/>
        </w:rPr>
        <w:t xml:space="preserve"> </w:t>
      </w:r>
      <w:r w:rsidRPr="00C46192">
        <w:rPr>
          <w:rFonts w:cs="Arial"/>
          <w:sz w:val="24"/>
          <w:szCs w:val="24"/>
        </w:rPr>
        <w:t xml:space="preserve"> Overall, the </w:t>
      </w:r>
      <w:r w:rsidR="00200734">
        <w:rPr>
          <w:rFonts w:cs="Arial"/>
          <w:sz w:val="24"/>
          <w:szCs w:val="24"/>
        </w:rPr>
        <w:t>S</w:t>
      </w:r>
      <w:r w:rsidRPr="00C46192">
        <w:rPr>
          <w:rFonts w:cs="Arial"/>
          <w:sz w:val="24"/>
          <w:szCs w:val="24"/>
        </w:rPr>
        <w:t>ervice activity should contribute to reducing inequalities</w:t>
      </w:r>
      <w:bookmarkEnd w:id="47"/>
      <w:r w:rsidRPr="00C46192">
        <w:rPr>
          <w:rFonts w:cs="Arial"/>
          <w:sz w:val="24"/>
          <w:szCs w:val="24"/>
        </w:rPr>
        <w:t>.</w:t>
      </w:r>
    </w:p>
    <w:p w:rsidR="00027868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55"/>
      <w:bookmarkEnd w:id="46"/>
      <w:r w:rsidRPr="00C46192">
        <w:rPr>
          <w:rFonts w:cs="Arial"/>
          <w:b/>
          <w:sz w:val="24"/>
          <w:szCs w:val="24"/>
        </w:rPr>
        <w:t>6.</w:t>
      </w:r>
      <w:r w:rsidRPr="00C46192">
        <w:rPr>
          <w:rFonts w:cs="Arial"/>
          <w:b/>
          <w:sz w:val="24"/>
          <w:szCs w:val="24"/>
        </w:rPr>
        <w:tab/>
        <w:t xml:space="preserve">Service </w:t>
      </w:r>
      <w:r>
        <w:rPr>
          <w:rFonts w:cs="Arial"/>
          <w:b/>
          <w:sz w:val="24"/>
          <w:szCs w:val="24"/>
        </w:rPr>
        <w:t>L</w:t>
      </w:r>
      <w:r w:rsidRPr="00C46192">
        <w:rPr>
          <w:rFonts w:cs="Arial"/>
          <w:b/>
          <w:sz w:val="24"/>
          <w:szCs w:val="24"/>
        </w:rPr>
        <w:t>inkages</w:t>
      </w:r>
      <w:bookmarkEnd w:id="48"/>
    </w:p>
    <w:p w:rsidR="004805E4" w:rsidRPr="00C46192" w:rsidRDefault="004805E4" w:rsidP="004805E4">
      <w:pPr>
        <w:spacing w:before="120" w:after="120"/>
        <w:rPr>
          <w:rFonts w:cs="Arial"/>
          <w:sz w:val="24"/>
          <w:szCs w:val="24"/>
        </w:rPr>
      </w:pPr>
      <w:bookmarkStart w:id="49" w:name="_Toc215319158"/>
      <w:r w:rsidRPr="00C46192">
        <w:rPr>
          <w:rFonts w:cs="Arial"/>
          <w:sz w:val="24"/>
          <w:szCs w:val="24"/>
        </w:rPr>
        <w:t>Linkages include, but are not limited to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758"/>
        <w:gridCol w:w="4502"/>
      </w:tblGrid>
      <w:tr w:rsidR="004805E4" w:rsidRPr="00C46192">
        <w:trPr>
          <w:tblHeader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05E4" w:rsidRPr="00C46192" w:rsidRDefault="004805E4" w:rsidP="004805E4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0" w:name="_Toc215319159"/>
            <w:r w:rsidRPr="00C46192">
              <w:rPr>
                <w:rFonts w:cs="Arial"/>
                <w:b/>
                <w:sz w:val="24"/>
                <w:szCs w:val="24"/>
              </w:rPr>
              <w:t>Service Provider</w:t>
            </w:r>
            <w:bookmarkEnd w:id="50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05E4" w:rsidRPr="00C46192" w:rsidRDefault="004805E4" w:rsidP="004805E4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1" w:name="_Toc215319160"/>
            <w:r w:rsidRPr="00C46192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1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05E4" w:rsidRPr="00C46192" w:rsidRDefault="004805E4" w:rsidP="004805E4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2" w:name="_Toc215319161"/>
            <w:r w:rsidRPr="00C46192">
              <w:rPr>
                <w:rFonts w:cs="Arial"/>
                <w:b/>
                <w:sz w:val="24"/>
                <w:szCs w:val="24"/>
              </w:rPr>
              <w:t>Accountabilities</w:t>
            </w:r>
            <w:bookmarkEnd w:id="52"/>
          </w:p>
        </w:tc>
      </w:tr>
      <w:tr w:rsidR="004805E4" w:rsidRPr="00C46192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E4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>DHB Provider Arm services</w:t>
            </w:r>
          </w:p>
          <w:p w:rsidR="004805E4" w:rsidRPr="007D1681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 xml:space="preserve">Pacific NGO services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E4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>Consultation, liaison and advice regarding Pacific Family issues Collaborative practices</w:t>
            </w:r>
          </w:p>
          <w:p w:rsidR="004805E4" w:rsidRPr="007D1681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>partnership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5E4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 xml:space="preserve">Provide consultation, liaison and advice on matters pertaining to Pacific families and how they affect service access and inclusion. </w:t>
            </w:r>
          </w:p>
          <w:p w:rsidR="004805E4" w:rsidRPr="007D1681" w:rsidRDefault="004805E4" w:rsidP="004805E4">
            <w:pPr>
              <w:spacing w:before="120" w:after="120"/>
              <w:rPr>
                <w:rFonts w:cs="Arial"/>
                <w:sz w:val="24"/>
                <w:szCs w:val="24"/>
                <w:lang w:val="en-US" w:bidi="en-US"/>
              </w:rPr>
            </w:pPr>
            <w:r>
              <w:rPr>
                <w:rFonts w:cs="Arial"/>
                <w:sz w:val="24"/>
                <w:szCs w:val="24"/>
                <w:lang w:val="en-US" w:bidi="en-US"/>
              </w:rPr>
              <w:t>Work collaboratively and in partnership with other staff within service provider teams to improve responsiveness to health and social needs of Pacific people.</w:t>
            </w:r>
          </w:p>
        </w:tc>
      </w:tr>
    </w:tbl>
    <w:p w:rsidR="002E0C3B" w:rsidRDefault="002E0C3B" w:rsidP="008659B5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bookmarkStart w:id="53" w:name="_Toc215319164"/>
      <w:bookmarkEnd w:id="49"/>
    </w:p>
    <w:p w:rsidR="002E0C3B" w:rsidRDefault="002E0C3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027868" w:rsidRPr="00C46192" w:rsidRDefault="00027868" w:rsidP="008659B5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r w:rsidRPr="00C46192">
        <w:rPr>
          <w:rFonts w:cs="Arial"/>
          <w:b/>
          <w:sz w:val="24"/>
          <w:szCs w:val="24"/>
        </w:rPr>
        <w:lastRenderedPageBreak/>
        <w:t>7.</w:t>
      </w:r>
      <w:r w:rsidRPr="00C46192">
        <w:rPr>
          <w:rFonts w:cs="Arial"/>
          <w:b/>
          <w:sz w:val="24"/>
          <w:szCs w:val="24"/>
        </w:rPr>
        <w:tab/>
      </w:r>
      <w:bookmarkStart w:id="54" w:name="_Toc215319172"/>
      <w:bookmarkEnd w:id="53"/>
      <w:r w:rsidRPr="00C46192">
        <w:rPr>
          <w:rFonts w:cs="Arial"/>
          <w:b/>
          <w:sz w:val="24"/>
          <w:szCs w:val="24"/>
        </w:rPr>
        <w:t>Purchase Units and Reporting Requirements</w:t>
      </w:r>
      <w:bookmarkEnd w:id="54"/>
    </w:p>
    <w:p w:rsidR="00027868" w:rsidRDefault="0094793C" w:rsidP="00B704DA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sz w:val="24"/>
          <w:szCs w:val="24"/>
        </w:rPr>
      </w:pPr>
      <w:bookmarkStart w:id="55" w:name="_Toc215319173"/>
      <w:r>
        <w:rPr>
          <w:rFonts w:cs="Arial"/>
          <w:b/>
          <w:sz w:val="24"/>
          <w:szCs w:val="24"/>
        </w:rPr>
        <w:t>7</w:t>
      </w:r>
      <w:r w:rsidR="00856446" w:rsidRPr="00542B2C">
        <w:rPr>
          <w:rFonts w:cs="Arial"/>
          <w:b/>
          <w:sz w:val="24"/>
          <w:szCs w:val="24"/>
        </w:rPr>
        <w:t>.1</w:t>
      </w:r>
      <w:r w:rsidR="00856446" w:rsidRPr="00542B2C">
        <w:rPr>
          <w:rFonts w:cs="Arial"/>
          <w:b/>
          <w:sz w:val="24"/>
          <w:szCs w:val="24"/>
        </w:rPr>
        <w:tab/>
      </w:r>
      <w:r w:rsidR="00027868" w:rsidRPr="00C46192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C46192">
        <w:rPr>
          <w:rFonts w:cs="Arial"/>
          <w:sz w:val="24"/>
          <w:szCs w:val="24"/>
        </w:rPr>
        <w:t xml:space="preserve">s are defined in the DHB and Ministry’s Nationwide Service Framework </w:t>
      </w:r>
      <w:r w:rsidR="00027868">
        <w:rPr>
          <w:rFonts w:cs="Arial"/>
          <w:sz w:val="24"/>
          <w:szCs w:val="24"/>
        </w:rPr>
        <w:t xml:space="preserve">Purchase Unit </w:t>
      </w:r>
      <w:r w:rsidR="00027868" w:rsidRPr="00C46192">
        <w:rPr>
          <w:rFonts w:cs="Arial"/>
          <w:sz w:val="24"/>
          <w:szCs w:val="24"/>
        </w:rPr>
        <w:t xml:space="preserve">Data Dictionary.  </w:t>
      </w:r>
      <w:bookmarkEnd w:id="55"/>
      <w:r w:rsidR="00200734">
        <w:rPr>
          <w:rFonts w:cs="Arial"/>
          <w:sz w:val="24"/>
          <w:szCs w:val="24"/>
        </w:rPr>
        <w:t>Th</w:t>
      </w:r>
      <w:r w:rsidR="00D129AA">
        <w:rPr>
          <w:rFonts w:cs="Arial"/>
          <w:sz w:val="24"/>
          <w:szCs w:val="24"/>
        </w:rPr>
        <w:t xml:space="preserve">e following </w:t>
      </w:r>
      <w:r>
        <w:rPr>
          <w:rFonts w:cs="Arial"/>
          <w:sz w:val="24"/>
          <w:szCs w:val="24"/>
        </w:rPr>
        <w:t>codes</w:t>
      </w:r>
      <w:r w:rsidR="00D129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apply </w:t>
      </w:r>
      <w:r w:rsidR="00200734">
        <w:rPr>
          <w:rFonts w:cs="Arial"/>
          <w:sz w:val="24"/>
          <w:szCs w:val="24"/>
        </w:rPr>
        <w:t xml:space="preserve">to this Service </w:t>
      </w: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884"/>
        <w:gridCol w:w="5630"/>
        <w:gridCol w:w="1107"/>
      </w:tblGrid>
      <w:tr w:rsidR="0094793C" w:rsidRPr="00306373" w:rsidTr="002E0C3B">
        <w:trPr>
          <w:cantSplit/>
          <w:trHeight w:val="447"/>
          <w:tblHeader/>
        </w:trPr>
        <w:tc>
          <w:tcPr>
            <w:tcW w:w="539" w:type="pct"/>
            <w:shd w:val="clear" w:color="auto" w:fill="D9D9D9"/>
          </w:tcPr>
          <w:p w:rsidR="0094793C" w:rsidRPr="00856446" w:rsidRDefault="0094793C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6" w:name="_Toc215319174"/>
            <w:r w:rsidRPr="00856446">
              <w:rPr>
                <w:rFonts w:cs="Arial"/>
                <w:b/>
                <w:sz w:val="20"/>
              </w:rPr>
              <w:t>PU Code</w:t>
            </w:r>
            <w:bookmarkEnd w:id="56"/>
          </w:p>
        </w:tc>
        <w:tc>
          <w:tcPr>
            <w:tcW w:w="975" w:type="pct"/>
            <w:shd w:val="clear" w:color="auto" w:fill="D9D9D9"/>
          </w:tcPr>
          <w:p w:rsidR="0094793C" w:rsidRPr="00856446" w:rsidRDefault="0094793C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7" w:name="_Toc215319175"/>
            <w:r w:rsidRPr="00856446">
              <w:rPr>
                <w:rFonts w:cs="Arial"/>
                <w:b/>
                <w:sz w:val="20"/>
              </w:rPr>
              <w:t>PU Description</w:t>
            </w:r>
            <w:bookmarkEnd w:id="57"/>
          </w:p>
        </w:tc>
        <w:tc>
          <w:tcPr>
            <w:tcW w:w="2913" w:type="pct"/>
            <w:shd w:val="clear" w:color="auto" w:fill="D9D9D9"/>
          </w:tcPr>
          <w:p w:rsidR="0094793C" w:rsidRPr="00856446" w:rsidRDefault="0094793C" w:rsidP="00A168B4">
            <w:pPr>
              <w:spacing w:before="120"/>
              <w:rPr>
                <w:rFonts w:cs="Arial"/>
                <w:b/>
                <w:sz w:val="20"/>
              </w:rPr>
            </w:pPr>
            <w:r w:rsidRPr="00856446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73" w:type="pct"/>
            <w:shd w:val="clear" w:color="auto" w:fill="D9D9D9"/>
          </w:tcPr>
          <w:p w:rsidR="0094793C" w:rsidRPr="00856446" w:rsidRDefault="006B6F66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8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94793C" w:rsidRPr="00856446">
              <w:rPr>
                <w:rFonts w:cs="Arial"/>
                <w:b/>
                <w:sz w:val="20"/>
              </w:rPr>
              <w:t>Measure</w:t>
            </w:r>
            <w:bookmarkEnd w:id="58"/>
          </w:p>
        </w:tc>
      </w:tr>
      <w:tr w:rsidR="0094793C" w:rsidRPr="00DD0678" w:rsidTr="002E0C3B">
        <w:trPr>
          <w:cantSplit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C" w:rsidRPr="00856446" w:rsidRDefault="0094793C" w:rsidP="006B6F66">
            <w:pPr>
              <w:rPr>
                <w:rFonts w:cs="Arial"/>
                <w:sz w:val="20"/>
              </w:rPr>
            </w:pPr>
            <w:r w:rsidRPr="00856446">
              <w:rPr>
                <w:rFonts w:cs="Arial"/>
                <w:sz w:val="20"/>
              </w:rPr>
              <w:t>MHP66F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C" w:rsidRPr="00640BD4" w:rsidRDefault="0094793C" w:rsidP="006B6F66">
            <w:pPr>
              <w:rPr>
                <w:rFonts w:cs="Arial"/>
                <w:sz w:val="20"/>
              </w:rPr>
            </w:pPr>
            <w:r w:rsidRPr="00B673EC">
              <w:rPr>
                <w:rFonts w:cs="Arial"/>
                <w:sz w:val="20"/>
              </w:rPr>
              <w:t>Pacific family advisory service – Peer support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C" w:rsidRPr="00856446" w:rsidRDefault="0094793C" w:rsidP="006B6F66">
            <w:pPr>
              <w:rPr>
                <w:rFonts w:cs="Arial"/>
                <w:sz w:val="20"/>
              </w:rPr>
            </w:pPr>
            <w:r w:rsidRPr="00640BD4">
              <w:rPr>
                <w:rFonts w:cs="Arial"/>
                <w:sz w:val="20"/>
              </w:rPr>
              <w:t xml:space="preserve">Pacific advisory service representing the interests of Pacific families within </w:t>
            </w:r>
            <w:r w:rsidRPr="003A59CD">
              <w:rPr>
                <w:color w:val="000000"/>
                <w:sz w:val="20"/>
                <w:lang w:val="en-NZ"/>
              </w:rPr>
              <w:t>mental health and addiction services by providing a family paradigm in policy, planning, implementation and evaluation, and to advise on current issues affecting family inclusio</w:t>
            </w:r>
            <w:r w:rsidRPr="00856446">
              <w:rPr>
                <w:color w:val="000000"/>
                <w:sz w:val="20"/>
                <w:lang w:val="en-NZ"/>
              </w:rPr>
              <w:t>n, The service is provided by family peer support staff.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C" w:rsidRPr="00856446" w:rsidRDefault="0094793C" w:rsidP="006B6F66">
            <w:pPr>
              <w:rPr>
                <w:rFonts w:cs="Arial"/>
                <w:sz w:val="20"/>
              </w:rPr>
            </w:pPr>
            <w:r w:rsidRPr="00856446">
              <w:rPr>
                <w:rFonts w:cs="Arial"/>
                <w:sz w:val="20"/>
              </w:rPr>
              <w:t xml:space="preserve">FTE </w:t>
            </w:r>
          </w:p>
        </w:tc>
      </w:tr>
      <w:tr w:rsidR="0094793C" w:rsidRPr="0094793C" w:rsidTr="002E0C3B">
        <w:trPr>
          <w:cantSplit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3C" w:rsidRPr="0094793C" w:rsidRDefault="0094793C" w:rsidP="006B6F66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MHP66S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3C" w:rsidRPr="0094793C" w:rsidRDefault="0094793C" w:rsidP="006B6F66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 xml:space="preserve">Pacific family advisory service 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3C" w:rsidRPr="0094793C" w:rsidRDefault="0094793C" w:rsidP="006B6F66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 xml:space="preserve">Pacific advisory service representing the interests of Pacific families within mental health and addiction services by providing a family paradigm in policy, planning, implementation and evaluation, and to advise on current issues affecting family inclusion.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3C" w:rsidRPr="0094793C" w:rsidRDefault="0094793C" w:rsidP="006B6F66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Service</w:t>
            </w:r>
          </w:p>
        </w:tc>
      </w:tr>
    </w:tbl>
    <w:p w:rsidR="0094793C" w:rsidRDefault="0094793C" w:rsidP="00856446">
      <w:pPr>
        <w:spacing w:before="120"/>
        <w:rPr>
          <w:rFonts w:cs="Arial"/>
          <w:b/>
          <w:sz w:val="24"/>
          <w:szCs w:val="24"/>
          <w:lang w:val="en-NZ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8323"/>
      </w:tblGrid>
      <w:tr w:rsidR="0094793C" w:rsidRPr="0094793C" w:rsidTr="00E165B5">
        <w:tc>
          <w:tcPr>
            <w:tcW w:w="1305" w:type="dxa"/>
            <w:shd w:val="clear" w:color="auto" w:fill="D9D9D9" w:themeFill="background1" w:themeFillShade="D9"/>
          </w:tcPr>
          <w:p w:rsidR="0094793C" w:rsidRPr="006B6F66" w:rsidRDefault="0094793C" w:rsidP="0094793C">
            <w:pPr>
              <w:spacing w:before="120"/>
              <w:rPr>
                <w:rFonts w:cs="Arial"/>
                <w:b/>
                <w:sz w:val="20"/>
              </w:rPr>
            </w:pPr>
            <w:r w:rsidRPr="006B6F66">
              <w:rPr>
                <w:rFonts w:cs="Arial"/>
                <w:b/>
                <w:sz w:val="20"/>
              </w:rPr>
              <w:t>PU Unit of Measure</w:t>
            </w:r>
          </w:p>
        </w:tc>
        <w:tc>
          <w:tcPr>
            <w:tcW w:w="8323" w:type="dxa"/>
            <w:shd w:val="clear" w:color="auto" w:fill="D9D9D9" w:themeFill="background1" w:themeFillShade="D9"/>
          </w:tcPr>
          <w:p w:rsidR="0094793C" w:rsidRPr="006B6F66" w:rsidRDefault="0094793C" w:rsidP="0094793C">
            <w:pPr>
              <w:spacing w:before="120"/>
              <w:rPr>
                <w:rFonts w:cs="Arial"/>
                <w:b/>
                <w:sz w:val="20"/>
              </w:rPr>
            </w:pPr>
            <w:r w:rsidRPr="006B6F66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94793C" w:rsidRPr="0094793C" w:rsidTr="00535C27">
        <w:tc>
          <w:tcPr>
            <w:tcW w:w="1305" w:type="dxa"/>
          </w:tcPr>
          <w:p w:rsidR="0094793C" w:rsidRPr="0094793C" w:rsidRDefault="0094793C" w:rsidP="00D44640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FTE</w:t>
            </w:r>
          </w:p>
        </w:tc>
        <w:tc>
          <w:tcPr>
            <w:tcW w:w="8323" w:type="dxa"/>
          </w:tcPr>
          <w:p w:rsidR="0094793C" w:rsidRPr="0094793C" w:rsidRDefault="0094793C" w:rsidP="00D44640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94793C" w:rsidRPr="0094793C" w:rsidTr="00535C27">
        <w:tc>
          <w:tcPr>
            <w:tcW w:w="1305" w:type="dxa"/>
          </w:tcPr>
          <w:p w:rsidR="0094793C" w:rsidRPr="0094793C" w:rsidRDefault="0094793C" w:rsidP="00D44640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Service</w:t>
            </w:r>
          </w:p>
        </w:tc>
        <w:tc>
          <w:tcPr>
            <w:tcW w:w="8323" w:type="dxa"/>
          </w:tcPr>
          <w:p w:rsidR="0094793C" w:rsidRPr="0094793C" w:rsidRDefault="0094793C" w:rsidP="00D44640">
            <w:pPr>
              <w:rPr>
                <w:rFonts w:cs="Arial"/>
                <w:sz w:val="20"/>
              </w:rPr>
            </w:pPr>
            <w:r w:rsidRPr="0094793C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856446" w:rsidRPr="00856446" w:rsidRDefault="0094793C" w:rsidP="00856446">
      <w:pPr>
        <w:spacing w:before="120"/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t>7</w:t>
      </w:r>
      <w:r w:rsidR="00856446" w:rsidRPr="00856446">
        <w:rPr>
          <w:rFonts w:cs="Arial"/>
          <w:b/>
          <w:sz w:val="24"/>
          <w:szCs w:val="24"/>
          <w:lang w:val="en-NZ" w:eastAsia="en-US"/>
        </w:rPr>
        <w:t>.2</w:t>
      </w:r>
      <w:r w:rsidR="00856446" w:rsidRPr="00856446">
        <w:rPr>
          <w:rFonts w:cs="Arial"/>
          <w:b/>
          <w:sz w:val="24"/>
          <w:szCs w:val="24"/>
          <w:lang w:val="en-NZ" w:eastAsia="en-US"/>
        </w:rPr>
        <w:tab/>
        <w:t>Reporting</w:t>
      </w:r>
    </w:p>
    <w:p w:rsidR="006B6F66" w:rsidRPr="00291C5E" w:rsidRDefault="006B6F66" w:rsidP="006B6F66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6B6F66" w:rsidRPr="00291C5E" w:rsidRDefault="006B6F66" w:rsidP="006B6F66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6B6F66" w:rsidRPr="00291C5E" w:rsidRDefault="006B6F66" w:rsidP="006B6F66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6B6F66" w:rsidRPr="00291C5E" w:rsidRDefault="006B6F66" w:rsidP="006B6F66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6B6F66" w:rsidRPr="00291C5E" w:rsidRDefault="006B6F66" w:rsidP="006B6F66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6B6F66" w:rsidRPr="00291C5E" w:rsidRDefault="006B6F66" w:rsidP="006B6F66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6B6F66" w:rsidRPr="00291C5E" w:rsidRDefault="006B6F66" w:rsidP="006B6F66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6B6F66" w:rsidRPr="00291C5E" w:rsidRDefault="006B6F66" w:rsidP="006B6F66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6B6F66" w:rsidRPr="00291C5E" w:rsidRDefault="006B6F66" w:rsidP="006B6F66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0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94793C" w:rsidRPr="0094793C" w:rsidRDefault="006B6F66" w:rsidP="006B6F66">
      <w:pPr>
        <w:spacing w:before="120" w:after="120"/>
        <w:rPr>
          <w:rFonts w:cs="Arial"/>
          <w:sz w:val="24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D82903" w:rsidRPr="00E33734" w:rsidRDefault="00D82903" w:rsidP="0094793C">
      <w:pPr>
        <w:spacing w:before="120"/>
        <w:rPr>
          <w:sz w:val="24"/>
          <w:szCs w:val="24"/>
        </w:rPr>
      </w:pPr>
    </w:p>
    <w:sectPr w:rsidR="00D82903" w:rsidRPr="00E33734" w:rsidSect="00542B2C">
      <w:footerReference w:type="even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6E" w:rsidRDefault="004A266E">
      <w:r>
        <w:separator/>
      </w:r>
    </w:p>
  </w:endnote>
  <w:endnote w:type="continuationSeparator" w:id="0">
    <w:p w:rsidR="004A266E" w:rsidRDefault="004A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äori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83" w:rsidRDefault="00402D83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D83" w:rsidRDefault="00402D83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83" w:rsidRDefault="00402D83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AF">
      <w:rPr>
        <w:rStyle w:val="PageNumber"/>
        <w:noProof/>
      </w:rPr>
      <w:t>4</w:t>
    </w:r>
    <w:r>
      <w:rPr>
        <w:rStyle w:val="PageNumber"/>
      </w:rPr>
      <w:fldChar w:fldCharType="end"/>
    </w:r>
  </w:p>
  <w:p w:rsidR="00402D83" w:rsidRPr="00D74A98" w:rsidRDefault="00856446" w:rsidP="00542B2C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Pacific Mental Health- </w:t>
    </w:r>
    <w:r w:rsidR="00402D83" w:rsidRPr="00D74A98">
      <w:rPr>
        <w:rFonts w:ascii="Arial" w:hAnsi="Arial" w:cs="Arial"/>
        <w:sz w:val="20"/>
      </w:rPr>
      <w:t xml:space="preserve">Pacific Family Advisory Service </w:t>
    </w:r>
    <w:r>
      <w:rPr>
        <w:rFonts w:ascii="Arial" w:hAnsi="Arial" w:cs="Arial"/>
        <w:sz w:val="20"/>
      </w:rPr>
      <w:t>Mental Health and Addiction Services service s</w:t>
    </w:r>
    <w:r w:rsidR="00402D83" w:rsidRPr="00D74A98">
      <w:rPr>
        <w:rFonts w:ascii="Arial" w:hAnsi="Arial" w:cs="Arial"/>
        <w:sz w:val="20"/>
      </w:rPr>
      <w:t xml:space="preserve">pecification Tier Three </w:t>
    </w:r>
    <w:r w:rsidR="006B6F66">
      <w:rPr>
        <w:rFonts w:ascii="Arial" w:hAnsi="Arial" w:cs="Arial"/>
        <w:sz w:val="20"/>
      </w:rPr>
      <w:t>April 2017</w:t>
    </w:r>
  </w:p>
  <w:p w:rsidR="00402D83" w:rsidRPr="00D74A98" w:rsidRDefault="00402D83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D74A98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6E" w:rsidRDefault="004A266E">
      <w:r>
        <w:separator/>
      </w:r>
    </w:p>
  </w:footnote>
  <w:footnote w:type="continuationSeparator" w:id="0">
    <w:p w:rsidR="004A266E" w:rsidRDefault="004A266E">
      <w:r>
        <w:continuationSeparator/>
      </w:r>
    </w:p>
  </w:footnote>
  <w:footnote w:id="1">
    <w:p w:rsidR="006B6F66" w:rsidRPr="006F249C" w:rsidRDefault="006B6F66" w:rsidP="006B6F66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982AAD"/>
    <w:multiLevelType w:val="hybridMultilevel"/>
    <w:tmpl w:val="9346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A6272"/>
    <w:multiLevelType w:val="hybridMultilevel"/>
    <w:tmpl w:val="0B74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80877"/>
    <w:multiLevelType w:val="hybridMultilevel"/>
    <w:tmpl w:val="B54A80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8F04DB"/>
    <w:multiLevelType w:val="hybridMultilevel"/>
    <w:tmpl w:val="D0501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F1311"/>
    <w:multiLevelType w:val="hybridMultilevel"/>
    <w:tmpl w:val="21BA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D1120"/>
    <w:multiLevelType w:val="multilevel"/>
    <w:tmpl w:val="2242B4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32758DA"/>
    <w:multiLevelType w:val="hybridMultilevel"/>
    <w:tmpl w:val="6652D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D2CC6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B336CC5"/>
    <w:multiLevelType w:val="hybridMultilevel"/>
    <w:tmpl w:val="BC88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55F1C"/>
    <w:multiLevelType w:val="hybridMultilevel"/>
    <w:tmpl w:val="0BAAB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4C1337"/>
    <w:multiLevelType w:val="hybridMultilevel"/>
    <w:tmpl w:val="ED0A1D1C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C6355"/>
    <w:multiLevelType w:val="hybridMultilevel"/>
    <w:tmpl w:val="47EC8B64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B430E"/>
    <w:multiLevelType w:val="hybridMultilevel"/>
    <w:tmpl w:val="B0A08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508F3"/>
    <w:multiLevelType w:val="hybridMultilevel"/>
    <w:tmpl w:val="B956C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5BA7"/>
    <w:multiLevelType w:val="hybridMultilevel"/>
    <w:tmpl w:val="56C6406A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548B9"/>
    <w:multiLevelType w:val="hybridMultilevel"/>
    <w:tmpl w:val="04C4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92ACF"/>
    <w:multiLevelType w:val="hybridMultilevel"/>
    <w:tmpl w:val="7C321F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D37933"/>
    <w:multiLevelType w:val="hybridMultilevel"/>
    <w:tmpl w:val="BCE05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96333"/>
    <w:multiLevelType w:val="hybridMultilevel"/>
    <w:tmpl w:val="A0CACC28"/>
    <w:lvl w:ilvl="0" w:tplc="B7224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C4A6F"/>
    <w:multiLevelType w:val="hybridMultilevel"/>
    <w:tmpl w:val="85F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21E7F"/>
    <w:multiLevelType w:val="hybridMultilevel"/>
    <w:tmpl w:val="BDBED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EA7430"/>
    <w:multiLevelType w:val="hybridMultilevel"/>
    <w:tmpl w:val="363C0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737FB"/>
    <w:multiLevelType w:val="hybridMultilevel"/>
    <w:tmpl w:val="0C8C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07198"/>
    <w:multiLevelType w:val="hybridMultilevel"/>
    <w:tmpl w:val="0120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7ADA3D99"/>
    <w:multiLevelType w:val="hybridMultilevel"/>
    <w:tmpl w:val="68DE8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6"/>
  </w:num>
  <w:num w:numId="6">
    <w:abstractNumId w:val="25"/>
  </w:num>
  <w:num w:numId="7">
    <w:abstractNumId w:val="9"/>
  </w:num>
  <w:num w:numId="8">
    <w:abstractNumId w:val="23"/>
  </w:num>
  <w:num w:numId="9">
    <w:abstractNumId w:val="6"/>
  </w:num>
  <w:num w:numId="10">
    <w:abstractNumId w:val="26"/>
  </w:num>
  <w:num w:numId="11">
    <w:abstractNumId w:val="1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1"/>
  </w:num>
  <w:num w:numId="17">
    <w:abstractNumId w:val="17"/>
  </w:num>
  <w:num w:numId="18">
    <w:abstractNumId w:val="24"/>
  </w:num>
  <w:num w:numId="19">
    <w:abstractNumId w:val="5"/>
  </w:num>
  <w:num w:numId="20">
    <w:abstractNumId w:val="29"/>
  </w:num>
  <w:num w:numId="21">
    <w:abstractNumId w:val="8"/>
  </w:num>
  <w:num w:numId="22">
    <w:abstractNumId w:val="15"/>
  </w:num>
  <w:num w:numId="23">
    <w:abstractNumId w:val="22"/>
  </w:num>
  <w:num w:numId="24">
    <w:abstractNumId w:val="30"/>
  </w:num>
  <w:num w:numId="25">
    <w:abstractNumId w:val="27"/>
  </w:num>
  <w:num w:numId="26">
    <w:abstractNumId w:val="3"/>
  </w:num>
  <w:num w:numId="27">
    <w:abstractNumId w:val="14"/>
  </w:num>
  <w:num w:numId="28">
    <w:abstractNumId w:val="20"/>
  </w:num>
  <w:num w:numId="29">
    <w:abstractNumId w:val="18"/>
  </w:num>
  <w:num w:numId="30">
    <w:abstractNumId w:val="7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27868"/>
    <w:rsid w:val="00043644"/>
    <w:rsid w:val="00043F94"/>
    <w:rsid w:val="00047C3F"/>
    <w:rsid w:val="00055B65"/>
    <w:rsid w:val="00084565"/>
    <w:rsid w:val="00091E22"/>
    <w:rsid w:val="000C13AF"/>
    <w:rsid w:val="000E7172"/>
    <w:rsid w:val="000F1D73"/>
    <w:rsid w:val="001058E4"/>
    <w:rsid w:val="00112167"/>
    <w:rsid w:val="00122775"/>
    <w:rsid w:val="001C38F9"/>
    <w:rsid w:val="00200734"/>
    <w:rsid w:val="00200AA6"/>
    <w:rsid w:val="0022220F"/>
    <w:rsid w:val="00224812"/>
    <w:rsid w:val="002A1E63"/>
    <w:rsid w:val="002C491B"/>
    <w:rsid w:val="002D34F1"/>
    <w:rsid w:val="002D7929"/>
    <w:rsid w:val="002E0C3B"/>
    <w:rsid w:val="002F0C78"/>
    <w:rsid w:val="00353250"/>
    <w:rsid w:val="003863E2"/>
    <w:rsid w:val="003A59CD"/>
    <w:rsid w:val="003C293C"/>
    <w:rsid w:val="00402D83"/>
    <w:rsid w:val="00424525"/>
    <w:rsid w:val="00424543"/>
    <w:rsid w:val="004565C6"/>
    <w:rsid w:val="00456E5B"/>
    <w:rsid w:val="004805E4"/>
    <w:rsid w:val="004852B1"/>
    <w:rsid w:val="004A266E"/>
    <w:rsid w:val="00535C27"/>
    <w:rsid w:val="00542B2C"/>
    <w:rsid w:val="00553507"/>
    <w:rsid w:val="005E38D1"/>
    <w:rsid w:val="005F4D98"/>
    <w:rsid w:val="00615ABC"/>
    <w:rsid w:val="00637E53"/>
    <w:rsid w:val="00640BD4"/>
    <w:rsid w:val="006B6F66"/>
    <w:rsid w:val="006F0908"/>
    <w:rsid w:val="00727586"/>
    <w:rsid w:val="00755265"/>
    <w:rsid w:val="0077154A"/>
    <w:rsid w:val="007801E0"/>
    <w:rsid w:val="00784976"/>
    <w:rsid w:val="007B0222"/>
    <w:rsid w:val="007D1681"/>
    <w:rsid w:val="007E220D"/>
    <w:rsid w:val="00832746"/>
    <w:rsid w:val="008409C8"/>
    <w:rsid w:val="00856446"/>
    <w:rsid w:val="008659B5"/>
    <w:rsid w:val="008A0B05"/>
    <w:rsid w:val="0094793C"/>
    <w:rsid w:val="00952F99"/>
    <w:rsid w:val="00953E89"/>
    <w:rsid w:val="00954CE7"/>
    <w:rsid w:val="009B3C7C"/>
    <w:rsid w:val="009B5874"/>
    <w:rsid w:val="009B5B58"/>
    <w:rsid w:val="009D59A9"/>
    <w:rsid w:val="009F7DAE"/>
    <w:rsid w:val="00A168B4"/>
    <w:rsid w:val="00A32EB7"/>
    <w:rsid w:val="00A430DE"/>
    <w:rsid w:val="00A56767"/>
    <w:rsid w:val="00A82C8D"/>
    <w:rsid w:val="00AA0B0D"/>
    <w:rsid w:val="00AA1607"/>
    <w:rsid w:val="00AD0C9B"/>
    <w:rsid w:val="00AE6769"/>
    <w:rsid w:val="00B06719"/>
    <w:rsid w:val="00B4361E"/>
    <w:rsid w:val="00B52E67"/>
    <w:rsid w:val="00B54E53"/>
    <w:rsid w:val="00B673EC"/>
    <w:rsid w:val="00B704DA"/>
    <w:rsid w:val="00B77597"/>
    <w:rsid w:val="00BB2185"/>
    <w:rsid w:val="00BB378B"/>
    <w:rsid w:val="00BC78CF"/>
    <w:rsid w:val="00BE0E29"/>
    <w:rsid w:val="00BE48EB"/>
    <w:rsid w:val="00C14CAC"/>
    <w:rsid w:val="00C31A4A"/>
    <w:rsid w:val="00C4105B"/>
    <w:rsid w:val="00C628FB"/>
    <w:rsid w:val="00C86C30"/>
    <w:rsid w:val="00CB3100"/>
    <w:rsid w:val="00CC1C61"/>
    <w:rsid w:val="00CC4E2D"/>
    <w:rsid w:val="00CF62E9"/>
    <w:rsid w:val="00D129AA"/>
    <w:rsid w:val="00D2418D"/>
    <w:rsid w:val="00D31852"/>
    <w:rsid w:val="00D44640"/>
    <w:rsid w:val="00D532DB"/>
    <w:rsid w:val="00D62D40"/>
    <w:rsid w:val="00D719C6"/>
    <w:rsid w:val="00D74A98"/>
    <w:rsid w:val="00D82903"/>
    <w:rsid w:val="00DA1BF7"/>
    <w:rsid w:val="00DD602D"/>
    <w:rsid w:val="00DE6634"/>
    <w:rsid w:val="00DF0E8A"/>
    <w:rsid w:val="00E165B5"/>
    <w:rsid w:val="00E24031"/>
    <w:rsid w:val="00E33734"/>
    <w:rsid w:val="00E728B0"/>
    <w:rsid w:val="00E83DEE"/>
    <w:rsid w:val="00EC4372"/>
    <w:rsid w:val="00ED3F40"/>
    <w:rsid w:val="00EF3884"/>
    <w:rsid w:val="00F01183"/>
    <w:rsid w:val="00F61334"/>
    <w:rsid w:val="00F62149"/>
    <w:rsid w:val="00F82CBD"/>
    <w:rsid w:val="00F950C7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53DFDBE3-13D2-4B95-9E89-6DEE6FB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paragraph" w:styleId="Heading3">
    <w:name w:val="heading 3"/>
    <w:basedOn w:val="Normal"/>
    <w:next w:val="Normal"/>
    <w:qFormat/>
    <w:rsid w:val="00E83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3DEE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next w:val="Normal"/>
    <w:semiHidden/>
    <w:rsid w:val="00E83DE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1">
    <w:name w:val="1."/>
    <w:basedOn w:val="Normal"/>
    <w:rsid w:val="00E83DEE"/>
    <w:pPr>
      <w:numPr>
        <w:numId w:val="9"/>
      </w:numPr>
      <w:tabs>
        <w:tab w:val="clear" w:pos="432"/>
        <w:tab w:val="left" w:pos="567"/>
      </w:tabs>
      <w:ind w:left="567" w:hanging="567"/>
    </w:pPr>
    <w:rPr>
      <w:rFonts w:ascii="Arial Mäori" w:hAnsi="Arial Mäori"/>
      <w:b/>
      <w:bCs/>
      <w:sz w:val="20"/>
      <w:lang w:eastAsia="en-US"/>
    </w:rPr>
  </w:style>
  <w:style w:type="paragraph" w:customStyle="1" w:styleId="11">
    <w:name w:val="1.1"/>
    <w:basedOn w:val="Normal"/>
    <w:rsid w:val="00E83DEE"/>
    <w:pPr>
      <w:numPr>
        <w:ilvl w:val="1"/>
        <w:numId w:val="9"/>
      </w:numPr>
      <w:spacing w:before="120" w:after="60"/>
    </w:pPr>
    <w:rPr>
      <w:rFonts w:ascii="Arial Mäori" w:hAnsi="Arial Mäori"/>
      <w:b/>
      <w:bCs/>
      <w:i/>
      <w:iCs/>
      <w:sz w:val="20"/>
      <w:lang w:eastAsia="en-US"/>
    </w:rPr>
  </w:style>
  <w:style w:type="paragraph" w:customStyle="1" w:styleId="111">
    <w:name w:val="1.1.1"/>
    <w:basedOn w:val="Normal"/>
    <w:rsid w:val="00E83DEE"/>
    <w:pPr>
      <w:numPr>
        <w:ilvl w:val="2"/>
        <w:numId w:val="9"/>
      </w:numPr>
      <w:tabs>
        <w:tab w:val="left" w:pos="567"/>
      </w:tabs>
      <w:spacing w:before="60" w:after="120"/>
    </w:pPr>
    <w:rPr>
      <w:rFonts w:ascii="Arial Mäori" w:hAnsi="Arial Mäori"/>
      <w:sz w:val="20"/>
      <w:u w:val="single"/>
      <w:lang w:eastAsia="en-US"/>
    </w:rPr>
  </w:style>
  <w:style w:type="paragraph" w:styleId="BodyText2">
    <w:name w:val="Body Text 2"/>
    <w:basedOn w:val="Normal"/>
    <w:rsid w:val="00DD602D"/>
    <w:pPr>
      <w:jc w:val="both"/>
    </w:pPr>
    <w:rPr>
      <w:rFonts w:ascii="Times New Roman" w:hAnsi="Times New Roman"/>
      <w:b/>
      <w:i/>
      <w:sz w:val="24"/>
      <w:lang w:val="en-AU" w:eastAsia="en-US"/>
    </w:rPr>
  </w:style>
  <w:style w:type="paragraph" w:customStyle="1" w:styleId="Bullet">
    <w:name w:val="Bullet"/>
    <w:basedOn w:val="Normal"/>
    <w:rsid w:val="00DD602D"/>
    <w:pPr>
      <w:spacing w:before="120"/>
      <w:jc w:val="both"/>
    </w:pPr>
    <w:rPr>
      <w:rFonts w:ascii="Times New Roman Mäori" w:hAnsi="Times New Roman Mäori"/>
      <w:lang w:val="en-NZ" w:eastAsia="en-US"/>
    </w:rPr>
  </w:style>
  <w:style w:type="paragraph" w:styleId="BodyText3">
    <w:name w:val="Body Text 3"/>
    <w:basedOn w:val="Normal"/>
    <w:rsid w:val="007D1681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D1681"/>
    <w:pPr>
      <w:spacing w:after="120"/>
      <w:ind w:left="283"/>
    </w:pPr>
  </w:style>
  <w:style w:type="paragraph" w:customStyle="1" w:styleId="Style">
    <w:name w:val="Style"/>
    <w:basedOn w:val="Normal"/>
    <w:next w:val="Normal"/>
    <w:semiHidden/>
    <w:rsid w:val="007D1681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styleId="BalloonText">
    <w:name w:val="Balloon Text"/>
    <w:basedOn w:val="Normal"/>
    <w:semiHidden/>
    <w:rsid w:val="00C4105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3C293C"/>
    <w:pPr>
      <w:spacing w:after="160" w:line="240" w:lineRule="exact"/>
    </w:pPr>
    <w:rPr>
      <w:sz w:val="20"/>
      <w:lang w:val="en-US" w:eastAsia="en-US"/>
    </w:rPr>
  </w:style>
  <w:style w:type="character" w:styleId="Hyperlink">
    <w:name w:val="Hyperlink"/>
    <w:basedOn w:val="DefaultParagraphFont"/>
    <w:unhideWhenUsed/>
    <w:rsid w:val="00F82C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79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93C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479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93C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47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FDB9-0D9E-474B-842D-0ABDE5A1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59BFCA2D</Template>
  <TotalTime>0</TotalTime>
  <Pages>4</Pages>
  <Words>998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2017-07-31T03:28:00Z</dcterms:created>
  <dcterms:modified xsi:type="dcterms:W3CDTF">2017-07-31T03:28:00Z</dcterms:modified>
</cp:coreProperties>
</file>