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ook w:val="0000" w:firstRow="0" w:lastRow="0" w:firstColumn="0" w:lastColumn="0" w:noHBand="0" w:noVBand="0"/>
      </w:tblPr>
      <w:tblGrid>
        <w:gridCol w:w="4428"/>
        <w:gridCol w:w="2059"/>
        <w:gridCol w:w="3140"/>
      </w:tblGrid>
      <w:tr w:rsidR="00027868" w:rsidRPr="002A3630">
        <w:trPr>
          <w:cantSplit/>
        </w:trPr>
        <w:tc>
          <w:tcPr>
            <w:tcW w:w="4428" w:type="dxa"/>
            <w:vAlign w:val="center"/>
          </w:tcPr>
          <w:p w:rsidR="00027868" w:rsidRPr="002A3630" w:rsidRDefault="00311EC3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2A3630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60B233DF" wp14:editId="2F7CDD4F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CD5677" w:rsidRPr="00F042C8" w:rsidRDefault="00CD5677" w:rsidP="00CD5677">
            <w:pPr>
              <w:jc w:val="right"/>
              <w:rPr>
                <w:rFonts w:cs="Arial"/>
                <w:b/>
                <w:sz w:val="32"/>
                <w:szCs w:val="32"/>
                <w:lang w:val="en-NZ" w:eastAsia="en-US"/>
              </w:rPr>
            </w:pPr>
            <w:r w:rsidRPr="00F042C8">
              <w:rPr>
                <w:rFonts w:cs="Arial"/>
                <w:b/>
                <w:sz w:val="32"/>
                <w:szCs w:val="32"/>
                <w:lang w:val="en-NZ" w:eastAsia="en-US"/>
              </w:rPr>
              <w:t>All District Health Boards</w:t>
            </w:r>
          </w:p>
          <w:p w:rsidR="00027868" w:rsidRPr="002A3630" w:rsidRDefault="00027868" w:rsidP="00027868">
            <w:pPr>
              <w:jc w:val="right"/>
              <w:rPr>
                <w:rFonts w:cs="Arial"/>
                <w:bCs/>
                <w:sz w:val="34"/>
                <w:szCs w:val="34"/>
                <w:lang w:val="en-NZ"/>
              </w:rPr>
            </w:pPr>
          </w:p>
        </w:tc>
      </w:tr>
      <w:tr w:rsidR="00027868" w:rsidRPr="002A3630" w:rsidTr="00726D43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C863E2" w:rsidRPr="00A62CDE" w:rsidRDefault="004E7689" w:rsidP="00F042C8">
            <w:pPr>
              <w:spacing w:before="180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0" w:name="_Toc206389497"/>
            <w:bookmarkStart w:id="1" w:name="_Toc206401873"/>
            <w:bookmarkStart w:id="2" w:name="_Toc206403842"/>
            <w:bookmarkStart w:id="3" w:name="_Toc206404570"/>
            <w:bookmarkStart w:id="4" w:name="_Toc206405300"/>
            <w:bookmarkStart w:id="5" w:name="_Toc206405336"/>
            <w:bookmarkStart w:id="6" w:name="_Toc206406063"/>
            <w:bookmarkStart w:id="7" w:name="_Toc206406491"/>
            <w:bookmarkStart w:id="8" w:name="_Toc215319102"/>
            <w:r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OF OLDER PEOPLE </w:t>
            </w:r>
            <w:r w:rsidR="00C863E2"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>–</w:t>
            </w:r>
            <w:r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</w:p>
          <w:p w:rsidR="00CB4BFF" w:rsidRPr="00A62CDE" w:rsidRDefault="00F7270F" w:rsidP="00C863E2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>DEMENTIA BEHAVIOURAL SUPPORT ADVISORY SERVICE</w:t>
            </w:r>
          </w:p>
          <w:p w:rsidR="004E7689" w:rsidRPr="00A62CDE" w:rsidRDefault="004E7689" w:rsidP="007C4A9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A62CDE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A62CDE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SERVICES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027868" w:rsidRPr="00A62CDE" w:rsidRDefault="00027868" w:rsidP="007C4A98">
            <w:pPr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smartTag w:uri="urn:schemas-microsoft-com:office:smarttags" w:element="stockticker">
              <w:r w:rsidRPr="00A62CDE">
                <w:rPr>
                  <w:rFonts w:cs="Arial"/>
                  <w:b/>
                  <w:sz w:val="36"/>
                  <w:szCs w:val="36"/>
                </w:rPr>
                <w:t>TIER</w:t>
              </w:r>
            </w:smartTag>
            <w:r w:rsidRPr="00A62CDE">
              <w:rPr>
                <w:rFonts w:cs="Arial"/>
                <w:b/>
                <w:sz w:val="36"/>
                <w:szCs w:val="36"/>
              </w:rPr>
              <w:t xml:space="preserve"> </w:t>
            </w:r>
            <w:r w:rsidR="00212B01" w:rsidRPr="00A62CDE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A62CDE" w:rsidRDefault="00027868" w:rsidP="00726D43">
            <w:pPr>
              <w:spacing w:before="240" w:after="840"/>
              <w:jc w:val="center"/>
              <w:rPr>
                <w:rFonts w:cs="Arial"/>
                <w:b/>
                <w:sz w:val="36"/>
                <w:szCs w:val="36"/>
              </w:rPr>
            </w:pPr>
            <w:bookmarkStart w:id="9" w:name="_Toc206406492"/>
            <w:bookmarkStart w:id="10" w:name="_Toc215319103"/>
            <w:r w:rsidRPr="00A62CDE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9"/>
            <w:bookmarkEnd w:id="10"/>
          </w:p>
          <w:p w:rsidR="008D5004" w:rsidRPr="002A3630" w:rsidRDefault="008D5004" w:rsidP="008D5004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5BBC" w:rsidRPr="002A3630" w:rsidTr="00F042C8">
        <w:trPr>
          <w:trHeight w:val="1401"/>
        </w:trPr>
        <w:tc>
          <w:tcPr>
            <w:tcW w:w="6487" w:type="dxa"/>
            <w:gridSpan w:val="2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11" w:name="_Toc206389498"/>
            <w:bookmarkStart w:id="12" w:name="_Toc206401874"/>
            <w:bookmarkStart w:id="13" w:name="_Toc206403843"/>
            <w:bookmarkStart w:id="14" w:name="_Toc206404571"/>
            <w:bookmarkStart w:id="15" w:name="_Toc206405301"/>
            <w:bookmarkStart w:id="16" w:name="_Toc206405337"/>
            <w:bookmarkStart w:id="17" w:name="_Toc206406064"/>
            <w:bookmarkStart w:id="18" w:name="_Toc215319104"/>
            <w:r w:rsidRPr="004E6782">
              <w:rPr>
                <w:b/>
                <w:sz w:val="32"/>
                <w:szCs w:val="32"/>
              </w:rPr>
              <w:t xml:space="preserve">STATUS: </w:t>
            </w:r>
            <w:r w:rsidRPr="004E6782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140" w:type="dxa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19" w:name="_Toc206389499"/>
            <w:bookmarkStart w:id="20" w:name="_Toc215319108"/>
            <w:r w:rsidRPr="004E6782">
              <w:rPr>
                <w:b/>
                <w:sz w:val="32"/>
                <w:szCs w:val="32"/>
              </w:rPr>
              <w:t>NON-MANDATORY</w:t>
            </w:r>
            <w:bookmarkEnd w:id="19"/>
            <w:bookmarkEnd w:id="20"/>
          </w:p>
        </w:tc>
      </w:tr>
      <w:tr w:rsidR="00ED5BBC" w:rsidRPr="002A3630" w:rsidTr="00726D43">
        <w:trPr>
          <w:trHeight w:val="297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1" w:name="_Toc206389500"/>
            <w:bookmarkStart w:id="22" w:name="_Toc206401875"/>
            <w:bookmarkStart w:id="23" w:name="_Toc206403844"/>
            <w:bookmarkStart w:id="24" w:name="_Toc206404572"/>
            <w:bookmarkStart w:id="25" w:name="_Toc206405302"/>
            <w:bookmarkStart w:id="26" w:name="_Toc206405338"/>
            <w:bookmarkStart w:id="27" w:name="_Toc206406065"/>
            <w:bookmarkStart w:id="28" w:name="_Toc215319110"/>
            <w:r w:rsidRPr="002A3630">
              <w:rPr>
                <w:rFonts w:cs="Arial"/>
                <w:b/>
                <w:sz w:val="32"/>
                <w:szCs w:val="32"/>
              </w:rPr>
              <w:t>Review History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9" w:name="_Toc206389501"/>
            <w:bookmarkStart w:id="30" w:name="_Toc206401876"/>
            <w:bookmarkStart w:id="31" w:name="_Toc206403845"/>
            <w:bookmarkStart w:id="32" w:name="_Toc206404573"/>
            <w:bookmarkStart w:id="33" w:name="_Toc206405303"/>
            <w:bookmarkStart w:id="34" w:name="_Toc206405339"/>
            <w:bookmarkStart w:id="35" w:name="_Toc206406066"/>
            <w:bookmarkStart w:id="36" w:name="_Toc206406493"/>
            <w:bookmarkStart w:id="37" w:name="_Toc215319111"/>
            <w:r w:rsidRPr="002A3630">
              <w:rPr>
                <w:rFonts w:cs="Arial"/>
                <w:b/>
                <w:sz w:val="32"/>
                <w:szCs w:val="32"/>
              </w:rPr>
              <w:t>Date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ED5BBC" w:rsidRPr="002A3630" w:rsidTr="00726D4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8" w:name="_Toc215319113"/>
            <w:r w:rsidRPr="002A3630">
              <w:rPr>
                <w:rFonts w:cs="Arial"/>
                <w:sz w:val="32"/>
                <w:szCs w:val="32"/>
              </w:rPr>
              <w:t>First Published on NSFL</w:t>
            </w:r>
            <w:bookmarkEnd w:id="38"/>
          </w:p>
        </w:tc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A3630">
              <w:rPr>
                <w:rFonts w:cs="Arial"/>
                <w:sz w:val="32"/>
                <w:szCs w:val="32"/>
              </w:rPr>
              <w:t>June 2010</w:t>
            </w:r>
          </w:p>
        </w:tc>
      </w:tr>
      <w:tr w:rsidR="00ED5BBC" w:rsidRPr="002A3630" w:rsidTr="00726D43">
        <w:tc>
          <w:tcPr>
            <w:tcW w:w="6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BC" w:rsidRPr="0045068E" w:rsidRDefault="00ED5BBC" w:rsidP="0045068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45068E">
              <w:rPr>
                <w:rFonts w:cs="Arial"/>
                <w:b/>
                <w:sz w:val="24"/>
                <w:szCs w:val="24"/>
              </w:rPr>
              <w:t>Amendments</w:t>
            </w:r>
            <w:r w:rsidR="0045068E" w:rsidRPr="0045068E">
              <w:rPr>
                <w:rFonts w:cs="Arial"/>
                <w:b/>
                <w:sz w:val="24"/>
                <w:szCs w:val="24"/>
              </w:rPr>
              <w:t>:</w:t>
            </w:r>
            <w:r w:rsidRPr="0045068E">
              <w:rPr>
                <w:rFonts w:cs="Arial"/>
                <w:sz w:val="24"/>
                <w:szCs w:val="24"/>
              </w:rPr>
              <w:t xml:space="preserve"> clarified reporting requirements, completed PU table. Edited for consistency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A3630">
              <w:rPr>
                <w:rFonts w:cs="Arial"/>
                <w:sz w:val="32"/>
                <w:szCs w:val="32"/>
              </w:rPr>
              <w:t>March 2013</w:t>
            </w:r>
          </w:p>
        </w:tc>
      </w:tr>
      <w:tr w:rsidR="00ED5BBC" w:rsidRPr="002A3630" w:rsidTr="00726D43">
        <w:tc>
          <w:tcPr>
            <w:tcW w:w="6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BC" w:rsidRPr="0045068E" w:rsidRDefault="00ED5BBC" w:rsidP="00ED5BB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45068E">
              <w:rPr>
                <w:rFonts w:cs="Arial"/>
                <w:b/>
                <w:sz w:val="24"/>
                <w:szCs w:val="24"/>
              </w:rPr>
              <w:t>Amendments:</w:t>
            </w:r>
            <w:r w:rsidRPr="0045068E">
              <w:rPr>
                <w:rFonts w:cs="Arial"/>
                <w:sz w:val="24"/>
                <w:szCs w:val="24"/>
              </w:rPr>
              <w:t xml:space="preserve"> added MHO101S purchase unit code, removed standard provider monitoring reporting tables. Minor editing.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8"/>
                <w:szCs w:val="28"/>
              </w:rPr>
              <w:t>April 2017</w:t>
            </w:r>
          </w:p>
        </w:tc>
      </w:tr>
      <w:tr w:rsidR="00ED5BBC" w:rsidRPr="002A3630" w:rsidTr="00726D43">
        <w:tc>
          <w:tcPr>
            <w:tcW w:w="6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6"/>
            <w:r w:rsidRPr="002A3630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39"/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BBC" w:rsidRPr="002A3630" w:rsidRDefault="00ED5BBC" w:rsidP="00ED5BBC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A3630">
              <w:rPr>
                <w:rFonts w:cs="Arial"/>
                <w:sz w:val="32"/>
                <w:szCs w:val="32"/>
              </w:rPr>
              <w:t>Within five years</w:t>
            </w:r>
          </w:p>
        </w:tc>
      </w:tr>
    </w:tbl>
    <w:p w:rsidR="00CD5677" w:rsidRPr="002A3630" w:rsidRDefault="00CD5677" w:rsidP="00CD5677">
      <w:pPr>
        <w:spacing w:before="120"/>
        <w:rPr>
          <w:rFonts w:cs="Arial"/>
          <w:sz w:val="24"/>
          <w:szCs w:val="24"/>
        </w:rPr>
      </w:pPr>
      <w:bookmarkStart w:id="40" w:name="_Toc215319119"/>
      <w:r w:rsidRPr="002A3630">
        <w:rPr>
          <w:rFonts w:cs="Arial"/>
          <w:sz w:val="24"/>
          <w:szCs w:val="24"/>
        </w:rPr>
        <w:t xml:space="preserve">Note: Contact the Service Specification Programme Manager, </w:t>
      </w:r>
      <w:r w:rsidR="00E66777" w:rsidRPr="001460B5">
        <w:rPr>
          <w:sz w:val="24"/>
          <w:szCs w:val="24"/>
        </w:rPr>
        <w:t>Service Commissioning</w:t>
      </w:r>
      <w:r w:rsidRPr="002A3630">
        <w:rPr>
          <w:rFonts w:cs="Arial"/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CD5677" w:rsidRPr="002A3630" w:rsidRDefault="00CD5677" w:rsidP="00726D43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Nationwide Service Framework Library web site </w:t>
      </w:r>
      <w:hyperlink r:id="rId8" w:history="1">
        <w:r w:rsidRPr="002A3630">
          <w:rPr>
            <w:rFonts w:cs="Arial"/>
            <w:color w:val="0000FF"/>
            <w:sz w:val="24"/>
            <w:szCs w:val="24"/>
            <w:u w:val="single"/>
          </w:rPr>
          <w:t>http://www.nsfl.health.govt.nz/</w:t>
        </w:r>
      </w:hyperlink>
      <w:r w:rsidRPr="002A3630">
        <w:rPr>
          <w:rFonts w:cs="Arial"/>
          <w:sz w:val="24"/>
          <w:szCs w:val="24"/>
        </w:rPr>
        <w:t xml:space="preserve"> </w:t>
      </w:r>
    </w:p>
    <w:bookmarkEnd w:id="40"/>
    <w:p w:rsidR="00C863E2" w:rsidRPr="002A3630" w:rsidRDefault="00027868" w:rsidP="00726D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szCs w:val="24"/>
          <w:lang w:val="en-NZ"/>
        </w:rPr>
      </w:pPr>
      <w:r w:rsidRPr="002A3630">
        <w:rPr>
          <w:rFonts w:cs="Arial"/>
          <w:sz w:val="20"/>
        </w:rPr>
        <w:br w:type="page"/>
      </w:r>
      <w:bookmarkStart w:id="41" w:name="_Toc215319122"/>
      <w:r w:rsidR="004E7689" w:rsidRPr="002A3630">
        <w:rPr>
          <w:rFonts w:cs="Arial"/>
          <w:b/>
          <w:sz w:val="24"/>
          <w:szCs w:val="24"/>
          <w:lang w:val="en-NZ"/>
        </w:rPr>
        <w:lastRenderedPageBreak/>
        <w:t xml:space="preserve">MENTAL HEALTH OF OLDER PEOPLE - </w:t>
      </w:r>
    </w:p>
    <w:p w:rsidR="000C0A5B" w:rsidRPr="002A3630" w:rsidRDefault="00F7270F" w:rsidP="00726D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szCs w:val="24"/>
        </w:rPr>
      </w:pPr>
      <w:r w:rsidRPr="002A3630">
        <w:rPr>
          <w:rFonts w:cs="Arial"/>
          <w:b/>
          <w:sz w:val="24"/>
          <w:szCs w:val="24"/>
        </w:rPr>
        <w:t>DEMENTIA BEHAVIOURAL SUPPORT ADVISORY SERVICE</w:t>
      </w:r>
    </w:p>
    <w:p w:rsidR="004E7689" w:rsidRPr="002A3630" w:rsidRDefault="004E7689" w:rsidP="00726D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lang w:val="en-NZ"/>
        </w:rPr>
      </w:pPr>
      <w:r w:rsidRPr="002A3630">
        <w:rPr>
          <w:rFonts w:cs="Arial"/>
          <w:b/>
          <w:sz w:val="24"/>
          <w:szCs w:val="24"/>
          <w:lang w:val="en-NZ"/>
        </w:rPr>
        <w:t xml:space="preserve">MENTAL HEALTH </w:t>
      </w:r>
      <w:smartTag w:uri="urn:schemas-microsoft-com:office:smarttags" w:element="stockticker">
        <w:r w:rsidRPr="002A3630">
          <w:rPr>
            <w:rFonts w:cs="Arial"/>
            <w:b/>
            <w:sz w:val="24"/>
            <w:szCs w:val="24"/>
            <w:lang w:val="en-NZ"/>
          </w:rPr>
          <w:t>AND</w:t>
        </w:r>
      </w:smartTag>
      <w:r w:rsidRPr="002A3630">
        <w:rPr>
          <w:rFonts w:cs="Arial"/>
          <w:b/>
          <w:sz w:val="24"/>
          <w:szCs w:val="24"/>
          <w:lang w:val="en-NZ"/>
        </w:rPr>
        <w:t xml:space="preserve"> ADDICTION SERVICES</w:t>
      </w:r>
    </w:p>
    <w:p w:rsidR="00027868" w:rsidRPr="002A3630" w:rsidRDefault="00D0759B" w:rsidP="00726D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</w:rPr>
      </w:pPr>
      <w:r w:rsidRPr="002A3630">
        <w:rPr>
          <w:rFonts w:cs="Arial"/>
          <w:b/>
          <w:sz w:val="24"/>
          <w:szCs w:val="24"/>
        </w:rPr>
        <w:t>TIER THREE</w:t>
      </w:r>
      <w:r>
        <w:rPr>
          <w:rFonts w:cs="Arial"/>
          <w:b/>
          <w:sz w:val="24"/>
          <w:szCs w:val="24"/>
        </w:rPr>
        <w:t xml:space="preserve"> </w:t>
      </w:r>
      <w:r w:rsidR="00027868" w:rsidRPr="002A3630">
        <w:rPr>
          <w:rFonts w:cs="Arial"/>
          <w:b/>
          <w:sz w:val="24"/>
          <w:lang w:val="en-NZ"/>
        </w:rPr>
        <w:t>SERVICE SPECIFICATION</w:t>
      </w:r>
    </w:p>
    <w:bookmarkEnd w:id="41"/>
    <w:p w:rsidR="00057927" w:rsidRPr="002A3630" w:rsidRDefault="00057927" w:rsidP="00726D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szCs w:val="24"/>
        </w:rPr>
      </w:pPr>
      <w:r w:rsidRPr="002A3630">
        <w:rPr>
          <w:rFonts w:cs="Arial"/>
          <w:b/>
          <w:sz w:val="24"/>
          <w:szCs w:val="24"/>
        </w:rPr>
        <w:t>MHO101C</w:t>
      </w:r>
      <w:r w:rsidR="000439D3">
        <w:rPr>
          <w:rFonts w:cs="Arial"/>
          <w:b/>
          <w:sz w:val="24"/>
          <w:szCs w:val="24"/>
        </w:rPr>
        <w:t xml:space="preserve">, </w:t>
      </w:r>
      <w:r w:rsidR="00E66777">
        <w:rPr>
          <w:rFonts w:cs="Arial"/>
          <w:b/>
          <w:sz w:val="24"/>
          <w:szCs w:val="24"/>
        </w:rPr>
        <w:t>MHO101S</w:t>
      </w:r>
    </w:p>
    <w:p w:rsidR="00027868" w:rsidRPr="002A3630" w:rsidRDefault="00027868" w:rsidP="00027868">
      <w:pPr>
        <w:spacing w:before="120"/>
        <w:rPr>
          <w:rFonts w:cs="Arial"/>
          <w:sz w:val="24"/>
          <w:szCs w:val="24"/>
        </w:rPr>
      </w:pPr>
      <w:bookmarkStart w:id="42" w:name="_Toc215319123"/>
      <w:r w:rsidRPr="002A3630">
        <w:rPr>
          <w:rFonts w:cs="Arial"/>
          <w:sz w:val="24"/>
          <w:szCs w:val="24"/>
        </w:rPr>
        <w:t xml:space="preserve">This tier </w:t>
      </w:r>
      <w:r w:rsidR="000C0A5B" w:rsidRPr="002A3630">
        <w:rPr>
          <w:rFonts w:cs="Arial"/>
          <w:sz w:val="24"/>
          <w:szCs w:val="24"/>
        </w:rPr>
        <w:t xml:space="preserve">three </w:t>
      </w:r>
      <w:r w:rsidRPr="002A3630">
        <w:rPr>
          <w:rFonts w:cs="Arial"/>
          <w:sz w:val="24"/>
          <w:szCs w:val="24"/>
        </w:rPr>
        <w:t xml:space="preserve">service specification for </w:t>
      </w:r>
      <w:r w:rsidR="005F20E1" w:rsidRPr="002A3630">
        <w:rPr>
          <w:rFonts w:cs="Arial"/>
          <w:sz w:val="24"/>
          <w:szCs w:val="24"/>
        </w:rPr>
        <w:t>Mental Health of Older People</w:t>
      </w:r>
      <w:r w:rsidR="00C863E2" w:rsidRPr="002A3630">
        <w:rPr>
          <w:rFonts w:cs="Arial"/>
          <w:sz w:val="24"/>
          <w:szCs w:val="24"/>
        </w:rPr>
        <w:t xml:space="preserve"> -</w:t>
      </w:r>
      <w:r w:rsidR="005F20E1" w:rsidRPr="002A3630">
        <w:rPr>
          <w:rFonts w:cs="Arial"/>
          <w:sz w:val="24"/>
          <w:szCs w:val="24"/>
        </w:rPr>
        <w:t xml:space="preserve"> </w:t>
      </w:r>
      <w:r w:rsidR="002A35CE" w:rsidRPr="002A3630">
        <w:rPr>
          <w:rFonts w:cs="Arial"/>
          <w:sz w:val="24"/>
          <w:szCs w:val="24"/>
        </w:rPr>
        <w:t xml:space="preserve">Dementia Behavioural Support Advisory Service </w:t>
      </w:r>
      <w:r w:rsidR="00627D70" w:rsidRPr="002A3630">
        <w:rPr>
          <w:rFonts w:cs="Arial"/>
          <w:sz w:val="24"/>
          <w:szCs w:val="24"/>
        </w:rPr>
        <w:t xml:space="preserve">(the Service) </w:t>
      </w:r>
      <w:r w:rsidR="00F7270F" w:rsidRPr="002A3630">
        <w:rPr>
          <w:rFonts w:cs="Arial"/>
          <w:sz w:val="24"/>
          <w:szCs w:val="24"/>
        </w:rPr>
        <w:t>must be used in conjunction with</w:t>
      </w:r>
      <w:r w:rsidRPr="002A3630">
        <w:rPr>
          <w:rFonts w:cs="Arial"/>
          <w:sz w:val="24"/>
          <w:szCs w:val="24"/>
        </w:rPr>
        <w:t xml:space="preserve"> </w:t>
      </w:r>
      <w:bookmarkEnd w:id="42"/>
      <w:r w:rsidR="007B5355" w:rsidRPr="002A3630">
        <w:rPr>
          <w:rFonts w:cs="Arial"/>
          <w:sz w:val="24"/>
          <w:szCs w:val="24"/>
        </w:rPr>
        <w:t xml:space="preserve">the </w:t>
      </w:r>
      <w:r w:rsidRPr="002A3630">
        <w:rPr>
          <w:rFonts w:cs="Arial"/>
          <w:sz w:val="24"/>
          <w:szCs w:val="24"/>
        </w:rPr>
        <w:t xml:space="preserve">tier </w:t>
      </w:r>
      <w:r w:rsidR="00F7270F" w:rsidRPr="002A3630">
        <w:rPr>
          <w:rFonts w:cs="Arial"/>
          <w:sz w:val="24"/>
          <w:szCs w:val="24"/>
        </w:rPr>
        <w:t xml:space="preserve">one Mental Health and Addiction </w:t>
      </w:r>
      <w:r w:rsidR="00CD5677" w:rsidRPr="002A3630">
        <w:rPr>
          <w:rFonts w:cs="Arial"/>
          <w:sz w:val="24"/>
          <w:szCs w:val="24"/>
        </w:rPr>
        <w:t xml:space="preserve">Services </w:t>
      </w:r>
      <w:r w:rsidR="00ED5BBC">
        <w:rPr>
          <w:rFonts w:cs="Arial"/>
          <w:sz w:val="24"/>
          <w:szCs w:val="24"/>
        </w:rPr>
        <w:t xml:space="preserve">and </w:t>
      </w:r>
      <w:r w:rsidR="00ED5BBC" w:rsidRPr="002A3630">
        <w:rPr>
          <w:rFonts w:cs="Arial"/>
          <w:sz w:val="24"/>
          <w:szCs w:val="24"/>
        </w:rPr>
        <w:t>tier two Mental Health of Older People service specification</w:t>
      </w:r>
      <w:r w:rsidR="00ED5BBC">
        <w:rPr>
          <w:rFonts w:cs="Arial"/>
          <w:sz w:val="24"/>
          <w:szCs w:val="24"/>
        </w:rPr>
        <w:t>s</w:t>
      </w:r>
      <w:r w:rsidR="007B5355" w:rsidRPr="002A3630">
        <w:rPr>
          <w:rFonts w:cs="Arial"/>
          <w:sz w:val="24"/>
          <w:szCs w:val="24"/>
        </w:rPr>
        <w:t>.</w:t>
      </w:r>
      <w:r w:rsidR="005F20E1" w:rsidRPr="002A3630">
        <w:rPr>
          <w:rFonts w:cs="Arial"/>
          <w:sz w:val="24"/>
          <w:szCs w:val="24"/>
        </w:rPr>
        <w:t xml:space="preserve"> </w:t>
      </w:r>
      <w:r w:rsidR="007B5355" w:rsidRPr="002A3630">
        <w:rPr>
          <w:rFonts w:cs="Arial"/>
          <w:sz w:val="24"/>
          <w:szCs w:val="24"/>
        </w:rPr>
        <w:t xml:space="preserve"> In addition, it is</w:t>
      </w:r>
      <w:r w:rsidR="00F7270F" w:rsidRPr="002A3630">
        <w:rPr>
          <w:rFonts w:cs="Arial"/>
          <w:sz w:val="24"/>
          <w:szCs w:val="24"/>
        </w:rPr>
        <w:t xml:space="preserve"> linked to </w:t>
      </w:r>
      <w:r w:rsidRPr="002A3630">
        <w:rPr>
          <w:rFonts w:cs="Arial"/>
          <w:sz w:val="24"/>
          <w:szCs w:val="24"/>
        </w:rPr>
        <w:t xml:space="preserve">a range of tier three </w:t>
      </w:r>
      <w:r w:rsidR="00057927" w:rsidRPr="002A3630">
        <w:rPr>
          <w:rFonts w:cs="Arial"/>
          <w:sz w:val="24"/>
          <w:szCs w:val="24"/>
        </w:rPr>
        <w:t xml:space="preserve">Mental Health of </w:t>
      </w:r>
      <w:r w:rsidR="0022753E" w:rsidRPr="002A3630">
        <w:rPr>
          <w:rFonts w:cs="Arial"/>
          <w:sz w:val="24"/>
          <w:szCs w:val="24"/>
        </w:rPr>
        <w:t>Older People</w:t>
      </w:r>
      <w:r w:rsidRPr="002A3630">
        <w:rPr>
          <w:rFonts w:cs="Arial"/>
          <w:sz w:val="24"/>
          <w:szCs w:val="24"/>
        </w:rPr>
        <w:t xml:space="preserve"> service specifications.</w:t>
      </w:r>
    </w:p>
    <w:p w:rsidR="00796080" w:rsidRPr="002A3630" w:rsidRDefault="002A35CE" w:rsidP="00027868">
      <w:pPr>
        <w:spacing w:before="120"/>
        <w:rPr>
          <w:rFonts w:cs="Arial"/>
          <w:sz w:val="24"/>
          <w:szCs w:val="24"/>
          <w:lang w:val="en-NZ"/>
        </w:rPr>
      </w:pPr>
      <w:r w:rsidRPr="002A3630">
        <w:rPr>
          <w:rFonts w:cs="Arial"/>
          <w:sz w:val="24"/>
          <w:szCs w:val="24"/>
          <w:lang w:val="en-NZ"/>
        </w:rPr>
        <w:t xml:space="preserve">This </w:t>
      </w:r>
      <w:r w:rsidR="00027868" w:rsidRPr="002A3630">
        <w:rPr>
          <w:rFonts w:cs="Arial"/>
          <w:sz w:val="24"/>
          <w:szCs w:val="24"/>
          <w:lang w:val="en-NZ"/>
        </w:rPr>
        <w:t xml:space="preserve">service specification defines </w:t>
      </w:r>
      <w:r w:rsidR="003C76B8" w:rsidRPr="002A3630">
        <w:rPr>
          <w:rFonts w:cs="Arial"/>
          <w:sz w:val="24"/>
          <w:szCs w:val="24"/>
          <w:lang w:val="en-NZ"/>
        </w:rPr>
        <w:t xml:space="preserve">the Mental Health of Older People </w:t>
      </w:r>
      <w:r w:rsidRPr="002A3630">
        <w:rPr>
          <w:rFonts w:cs="Arial"/>
          <w:sz w:val="24"/>
          <w:szCs w:val="24"/>
          <w:lang w:val="en-NZ"/>
        </w:rPr>
        <w:t xml:space="preserve">Dementia Behavioural Support Advisory Service </w:t>
      </w:r>
      <w:r w:rsidR="00027868" w:rsidRPr="002A3630">
        <w:rPr>
          <w:rFonts w:cs="Arial"/>
          <w:sz w:val="24"/>
          <w:szCs w:val="24"/>
          <w:lang w:val="en-NZ"/>
        </w:rPr>
        <w:t xml:space="preserve">and </w:t>
      </w:r>
      <w:r w:rsidR="00E7646D" w:rsidRPr="002A3630">
        <w:rPr>
          <w:rFonts w:cs="Arial"/>
          <w:sz w:val="24"/>
          <w:szCs w:val="24"/>
          <w:lang w:val="en-NZ"/>
        </w:rPr>
        <w:t xml:space="preserve">its </w:t>
      </w:r>
      <w:r w:rsidR="00027868" w:rsidRPr="002A3630">
        <w:rPr>
          <w:rFonts w:cs="Arial"/>
          <w:sz w:val="24"/>
          <w:szCs w:val="24"/>
          <w:lang w:val="en-NZ"/>
        </w:rPr>
        <w:t>objective</w:t>
      </w:r>
      <w:r w:rsidR="00FF5CE6" w:rsidRPr="002A3630">
        <w:rPr>
          <w:rFonts w:cs="Arial"/>
          <w:sz w:val="24"/>
          <w:szCs w:val="24"/>
          <w:lang w:val="en-NZ"/>
        </w:rPr>
        <w:t>s in the delivery of services.</w:t>
      </w:r>
    </w:p>
    <w:p w:rsidR="00027868" w:rsidRPr="002A3630" w:rsidRDefault="00796080" w:rsidP="00627D70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3" w:name="_Toc215319135"/>
      <w:r w:rsidRPr="002A3630">
        <w:rPr>
          <w:rFonts w:cs="Arial"/>
          <w:b/>
          <w:sz w:val="24"/>
          <w:szCs w:val="24"/>
        </w:rPr>
        <w:t>1.</w:t>
      </w:r>
      <w:r w:rsidR="00627D70" w:rsidRPr="002A3630">
        <w:rPr>
          <w:rFonts w:cs="Arial"/>
          <w:b/>
          <w:sz w:val="24"/>
          <w:szCs w:val="24"/>
        </w:rPr>
        <w:tab/>
      </w:r>
      <w:r w:rsidR="00027868" w:rsidRPr="002A3630">
        <w:rPr>
          <w:rFonts w:cs="Arial"/>
          <w:b/>
          <w:sz w:val="24"/>
          <w:szCs w:val="24"/>
        </w:rPr>
        <w:t>Service Definitio</w:t>
      </w:r>
      <w:r w:rsidR="000F4418" w:rsidRPr="002A3630">
        <w:rPr>
          <w:rFonts w:cs="Arial"/>
          <w:b/>
          <w:sz w:val="24"/>
          <w:szCs w:val="24"/>
        </w:rPr>
        <w:t>n</w:t>
      </w:r>
      <w:bookmarkEnd w:id="43"/>
    </w:p>
    <w:p w:rsidR="00057927" w:rsidRPr="002A3630" w:rsidRDefault="003C76B8" w:rsidP="00627D70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This is a regional </w:t>
      </w:r>
      <w:r w:rsidR="00057927" w:rsidRPr="002A3630">
        <w:rPr>
          <w:rFonts w:cs="Arial"/>
          <w:sz w:val="24"/>
          <w:szCs w:val="24"/>
        </w:rPr>
        <w:t xml:space="preserve">behavioural support and advisory service provided by </w:t>
      </w:r>
      <w:r w:rsidRPr="002A3630">
        <w:rPr>
          <w:rFonts w:cs="Arial"/>
          <w:sz w:val="24"/>
          <w:szCs w:val="24"/>
        </w:rPr>
        <w:t>exper</w:t>
      </w:r>
      <w:r w:rsidR="00B60415" w:rsidRPr="002A3630">
        <w:rPr>
          <w:rFonts w:cs="Arial"/>
          <w:sz w:val="24"/>
          <w:szCs w:val="24"/>
        </w:rPr>
        <w:t>ienced</w:t>
      </w:r>
      <w:r w:rsidRPr="002A3630">
        <w:rPr>
          <w:rFonts w:cs="Arial"/>
          <w:sz w:val="24"/>
          <w:szCs w:val="24"/>
        </w:rPr>
        <w:t xml:space="preserve"> </w:t>
      </w:r>
      <w:r w:rsidR="00057927" w:rsidRPr="002A3630">
        <w:rPr>
          <w:rFonts w:cs="Arial"/>
          <w:sz w:val="24"/>
          <w:szCs w:val="24"/>
        </w:rPr>
        <w:t xml:space="preserve">clinicians </w:t>
      </w:r>
      <w:r w:rsidR="00B60415" w:rsidRPr="002A3630">
        <w:rPr>
          <w:rFonts w:cs="Arial"/>
          <w:sz w:val="24"/>
          <w:szCs w:val="24"/>
        </w:rPr>
        <w:t xml:space="preserve">that </w:t>
      </w:r>
      <w:r w:rsidR="00057927" w:rsidRPr="002A3630">
        <w:rPr>
          <w:rFonts w:cs="Arial"/>
          <w:sz w:val="24"/>
          <w:szCs w:val="24"/>
        </w:rPr>
        <w:t>will include but not be limited to the following: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identification of  regional needs and service gaps in dementia care and </w:t>
      </w:r>
      <w:r w:rsidR="003C76B8" w:rsidRPr="002A3630">
        <w:rPr>
          <w:rFonts w:cs="Arial"/>
          <w:sz w:val="24"/>
          <w:szCs w:val="24"/>
        </w:rPr>
        <w:t xml:space="preserve">collaboration </w:t>
      </w:r>
      <w:r w:rsidRPr="002A3630">
        <w:rPr>
          <w:rFonts w:cs="Arial"/>
          <w:sz w:val="24"/>
          <w:szCs w:val="24"/>
        </w:rPr>
        <w:t>with services to address the</w:t>
      </w:r>
      <w:r w:rsidR="003C76B8" w:rsidRPr="002A3630">
        <w:rPr>
          <w:rFonts w:cs="Arial"/>
          <w:sz w:val="24"/>
          <w:szCs w:val="24"/>
        </w:rPr>
        <w:t>se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provision of information and resources about dementia and access to services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assistance with directing referrals to appropriate services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support and advocacy for carers and people with dementia</w:t>
      </w:r>
    </w:p>
    <w:p w:rsidR="00057927" w:rsidRPr="002A3630" w:rsidRDefault="00B60415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f</w:t>
      </w:r>
      <w:r w:rsidR="003C76B8" w:rsidRPr="002A3630">
        <w:rPr>
          <w:rFonts w:cs="Arial"/>
          <w:sz w:val="24"/>
          <w:szCs w:val="24"/>
        </w:rPr>
        <w:t>acilitati</w:t>
      </w:r>
      <w:r w:rsidRPr="002A3630">
        <w:rPr>
          <w:rFonts w:cs="Arial"/>
          <w:sz w:val="24"/>
          <w:szCs w:val="24"/>
        </w:rPr>
        <w:t>on of</w:t>
      </w:r>
      <w:r w:rsidR="003C76B8" w:rsidRPr="002A3630">
        <w:rPr>
          <w:rFonts w:cs="Arial"/>
          <w:sz w:val="24"/>
          <w:szCs w:val="24"/>
        </w:rPr>
        <w:t xml:space="preserve"> </w:t>
      </w:r>
      <w:r w:rsidR="00057927" w:rsidRPr="002A3630">
        <w:rPr>
          <w:rFonts w:cs="Arial"/>
          <w:sz w:val="24"/>
          <w:szCs w:val="24"/>
        </w:rPr>
        <w:t>support for family and wh</w:t>
      </w:r>
      <w:r w:rsidR="00303ADF" w:rsidRPr="002A3630">
        <w:rPr>
          <w:rFonts w:cs="Arial"/>
          <w:sz w:val="24"/>
          <w:szCs w:val="24"/>
        </w:rPr>
        <w:t>ā</w:t>
      </w:r>
      <w:r w:rsidR="00057927" w:rsidRPr="002A3630">
        <w:rPr>
          <w:rFonts w:cs="Arial"/>
          <w:sz w:val="24"/>
          <w:szCs w:val="24"/>
        </w:rPr>
        <w:t>nau participation in decision making particularly regarding legal matters and end of life planning</w:t>
      </w:r>
    </w:p>
    <w:p w:rsidR="00057927" w:rsidRPr="002A3630" w:rsidRDefault="00B60415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provision of advice on</w:t>
      </w:r>
      <w:r w:rsidR="00057927" w:rsidRPr="002A3630">
        <w:rPr>
          <w:rFonts w:cs="Arial"/>
          <w:sz w:val="24"/>
          <w:szCs w:val="24"/>
        </w:rPr>
        <w:t xml:space="preserve"> the development of culturally appropriate options for dementia care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promotion of community awareness of dementia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facilitation </w:t>
      </w:r>
      <w:r w:rsidR="00B60415" w:rsidRPr="002A3630">
        <w:rPr>
          <w:rFonts w:cs="Arial"/>
          <w:sz w:val="24"/>
          <w:szCs w:val="24"/>
        </w:rPr>
        <w:t xml:space="preserve">and coordination of </w:t>
      </w:r>
      <w:r w:rsidRPr="002A3630">
        <w:rPr>
          <w:rFonts w:cs="Arial"/>
          <w:sz w:val="24"/>
          <w:szCs w:val="24"/>
        </w:rPr>
        <w:t>access to carer and professional education regarding dementia</w:t>
      </w:r>
      <w:r w:rsidR="00B60415" w:rsidRPr="002A3630">
        <w:rPr>
          <w:rFonts w:cs="Arial"/>
          <w:sz w:val="24"/>
          <w:szCs w:val="24"/>
        </w:rPr>
        <w:t xml:space="preserve"> through communications including </w:t>
      </w:r>
      <w:r w:rsidR="001B3CAF" w:rsidRPr="002A3630">
        <w:rPr>
          <w:rFonts w:cs="Arial"/>
          <w:sz w:val="24"/>
          <w:szCs w:val="24"/>
        </w:rPr>
        <w:t xml:space="preserve">availability of </w:t>
      </w:r>
      <w:r w:rsidR="00B60415" w:rsidRPr="002A3630">
        <w:rPr>
          <w:rFonts w:cs="Arial"/>
          <w:sz w:val="24"/>
          <w:szCs w:val="24"/>
        </w:rPr>
        <w:t xml:space="preserve">on line training packages </w:t>
      </w:r>
    </w:p>
    <w:p w:rsidR="00057927" w:rsidRPr="002A3630" w:rsidRDefault="00057927" w:rsidP="00633676">
      <w:pPr>
        <w:numPr>
          <w:ilvl w:val="0"/>
          <w:numId w:val="14"/>
        </w:numPr>
        <w:tabs>
          <w:tab w:val="clear" w:pos="360"/>
          <w:tab w:val="num" w:pos="54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strengthening of information sharing and communication between service providers</w:t>
      </w:r>
      <w:r w:rsidR="00303ADF" w:rsidRPr="002A3630">
        <w:rPr>
          <w:rFonts w:cs="Arial"/>
          <w:sz w:val="24"/>
          <w:szCs w:val="24"/>
        </w:rPr>
        <w:t>.</w:t>
      </w:r>
    </w:p>
    <w:p w:rsidR="00E7646D" w:rsidRPr="002A3630" w:rsidRDefault="00E7646D" w:rsidP="00E7646D">
      <w:pPr>
        <w:spacing w:before="120"/>
        <w:rPr>
          <w:rFonts w:cs="Arial"/>
          <w:sz w:val="24"/>
          <w:szCs w:val="24"/>
          <w:lang w:val="en-NZ"/>
        </w:rPr>
      </w:pPr>
      <w:r w:rsidRPr="002A3630">
        <w:rPr>
          <w:rFonts w:cs="Arial"/>
          <w:sz w:val="24"/>
          <w:szCs w:val="24"/>
          <w:lang w:val="en-NZ"/>
        </w:rPr>
        <w:t>Th</w:t>
      </w:r>
      <w:r w:rsidR="003C76B8" w:rsidRPr="002A3630">
        <w:rPr>
          <w:rFonts w:cs="Arial"/>
          <w:sz w:val="24"/>
          <w:szCs w:val="24"/>
          <w:lang w:val="en-NZ"/>
        </w:rPr>
        <w:t>e</w:t>
      </w:r>
      <w:r w:rsidRPr="002A3630">
        <w:rPr>
          <w:rFonts w:cs="Arial"/>
          <w:sz w:val="24"/>
          <w:szCs w:val="24"/>
          <w:lang w:val="en-NZ"/>
        </w:rPr>
        <w:t xml:space="preserve"> service may be delivered as an extension of the </w:t>
      </w:r>
      <w:r w:rsidR="003C76B8" w:rsidRPr="002A3630">
        <w:rPr>
          <w:rFonts w:cs="Arial"/>
          <w:sz w:val="24"/>
          <w:szCs w:val="24"/>
          <w:lang w:val="en-NZ"/>
        </w:rPr>
        <w:t xml:space="preserve">Mental Health of Older People </w:t>
      </w:r>
      <w:r w:rsidRPr="002A3630">
        <w:rPr>
          <w:rFonts w:cs="Arial"/>
          <w:sz w:val="24"/>
          <w:szCs w:val="24"/>
          <w:lang w:val="en-NZ"/>
        </w:rPr>
        <w:t xml:space="preserve">Specialist Community </w:t>
      </w:r>
      <w:r w:rsidR="003C76B8" w:rsidRPr="002A3630">
        <w:rPr>
          <w:rFonts w:cs="Arial"/>
          <w:sz w:val="24"/>
          <w:szCs w:val="24"/>
          <w:lang w:val="en-NZ"/>
        </w:rPr>
        <w:t>Service</w:t>
      </w:r>
      <w:r w:rsidRPr="002A3630">
        <w:rPr>
          <w:rFonts w:cs="Arial"/>
          <w:sz w:val="24"/>
          <w:szCs w:val="24"/>
          <w:lang w:val="en-NZ"/>
        </w:rPr>
        <w:t xml:space="preserve"> and links closely with Health of Older People </w:t>
      </w:r>
      <w:r w:rsidR="003C76B8" w:rsidRPr="002A3630">
        <w:rPr>
          <w:rFonts w:cs="Arial"/>
          <w:sz w:val="24"/>
          <w:szCs w:val="24"/>
          <w:lang w:val="en-NZ"/>
        </w:rPr>
        <w:t>Services</w:t>
      </w:r>
      <w:r w:rsidRPr="002A3630">
        <w:rPr>
          <w:rFonts w:cs="Arial"/>
          <w:sz w:val="24"/>
          <w:szCs w:val="24"/>
          <w:lang w:val="en-NZ"/>
        </w:rPr>
        <w:t xml:space="preserve">. </w:t>
      </w:r>
      <w:r w:rsidR="005F20E1" w:rsidRPr="002A3630">
        <w:rPr>
          <w:rFonts w:cs="Arial"/>
          <w:sz w:val="24"/>
          <w:szCs w:val="24"/>
          <w:lang w:val="en-NZ"/>
        </w:rPr>
        <w:t xml:space="preserve"> </w:t>
      </w:r>
      <w:r w:rsidRPr="002A3630">
        <w:rPr>
          <w:rFonts w:cs="Arial"/>
          <w:sz w:val="24"/>
          <w:szCs w:val="24"/>
          <w:lang w:val="en-NZ"/>
        </w:rPr>
        <w:t>Th</w:t>
      </w:r>
      <w:r w:rsidR="003C76B8" w:rsidRPr="002A3630">
        <w:rPr>
          <w:rFonts w:cs="Arial"/>
          <w:sz w:val="24"/>
          <w:szCs w:val="24"/>
          <w:lang w:val="en-NZ"/>
        </w:rPr>
        <w:t>e</w:t>
      </w:r>
      <w:r w:rsidRPr="002A3630">
        <w:rPr>
          <w:rFonts w:cs="Arial"/>
          <w:sz w:val="24"/>
          <w:szCs w:val="24"/>
          <w:lang w:val="en-NZ"/>
        </w:rPr>
        <w:t xml:space="preserve"> service works with other Dementia Service Providers in their region such as Alzheimer’s </w:t>
      </w:r>
      <w:smartTag w:uri="urn:schemas-microsoft-com:office:smarttags" w:element="country-region">
        <w:smartTag w:uri="urn:schemas-microsoft-com:office:smarttags" w:element="place">
          <w:r w:rsidRPr="002A3630">
            <w:rPr>
              <w:rFonts w:cs="Arial"/>
              <w:sz w:val="24"/>
              <w:szCs w:val="24"/>
              <w:lang w:val="en-NZ"/>
            </w:rPr>
            <w:t>N</w:t>
          </w:r>
          <w:r w:rsidR="00B60415" w:rsidRPr="002A3630">
            <w:rPr>
              <w:rFonts w:cs="Arial"/>
              <w:sz w:val="24"/>
              <w:szCs w:val="24"/>
              <w:lang w:val="en-NZ"/>
            </w:rPr>
            <w:t xml:space="preserve">ew </w:t>
          </w:r>
          <w:r w:rsidRPr="002A3630">
            <w:rPr>
              <w:rFonts w:cs="Arial"/>
              <w:sz w:val="24"/>
              <w:szCs w:val="24"/>
              <w:lang w:val="en-NZ"/>
            </w:rPr>
            <w:t>Z</w:t>
          </w:r>
          <w:r w:rsidR="00B60415" w:rsidRPr="002A3630">
            <w:rPr>
              <w:rFonts w:cs="Arial"/>
              <w:sz w:val="24"/>
              <w:szCs w:val="24"/>
              <w:lang w:val="en-NZ"/>
            </w:rPr>
            <w:t>ealand</w:t>
          </w:r>
        </w:smartTag>
      </w:smartTag>
      <w:r w:rsidR="00B60415" w:rsidRPr="002A3630">
        <w:rPr>
          <w:rFonts w:cs="Arial"/>
          <w:sz w:val="24"/>
          <w:szCs w:val="24"/>
          <w:lang w:val="en-NZ"/>
        </w:rPr>
        <w:t xml:space="preserve"> and Aged Concern</w:t>
      </w:r>
      <w:r w:rsidRPr="002A3630">
        <w:rPr>
          <w:rFonts w:cs="Arial"/>
          <w:sz w:val="24"/>
          <w:szCs w:val="24"/>
          <w:lang w:val="en-NZ"/>
        </w:rPr>
        <w:t>.</w:t>
      </w:r>
    </w:p>
    <w:p w:rsidR="005F20E1" w:rsidRPr="002A3630" w:rsidRDefault="005F20E1" w:rsidP="005F20E1">
      <w:pPr>
        <w:tabs>
          <w:tab w:val="left" w:pos="570"/>
        </w:tabs>
        <w:spacing w:before="120" w:after="6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The Service will link with other regional Dementia Behavioural Support Advisory Services and share a national website.  This website will display dementia services information and service directories, accredited dementia training programmes, and a current training calendar.</w:t>
      </w:r>
    </w:p>
    <w:p w:rsidR="00027868" w:rsidRPr="002A3630" w:rsidRDefault="00796080" w:rsidP="00726D43">
      <w:pPr>
        <w:tabs>
          <w:tab w:val="left" w:pos="567"/>
        </w:tabs>
        <w:spacing w:before="240" w:after="120"/>
        <w:rPr>
          <w:rFonts w:cs="Arial"/>
          <w:b/>
          <w:sz w:val="24"/>
          <w:szCs w:val="24"/>
        </w:rPr>
      </w:pPr>
      <w:bookmarkStart w:id="44" w:name="_Toc215319136"/>
      <w:r w:rsidRPr="002A3630">
        <w:rPr>
          <w:rFonts w:cs="Arial"/>
          <w:b/>
          <w:sz w:val="24"/>
          <w:szCs w:val="24"/>
        </w:rPr>
        <w:t>2.</w:t>
      </w:r>
      <w:r w:rsidR="00627D70" w:rsidRPr="002A3630">
        <w:rPr>
          <w:rFonts w:cs="Arial"/>
          <w:b/>
          <w:sz w:val="24"/>
          <w:szCs w:val="24"/>
        </w:rPr>
        <w:tab/>
      </w:r>
      <w:r w:rsidR="00027868" w:rsidRPr="002A3630">
        <w:rPr>
          <w:rFonts w:cs="Arial"/>
          <w:b/>
          <w:sz w:val="24"/>
          <w:szCs w:val="24"/>
        </w:rPr>
        <w:t>Service Objectives</w:t>
      </w:r>
      <w:bookmarkEnd w:id="44"/>
    </w:p>
    <w:p w:rsidR="005F20E1" w:rsidRPr="002A3630" w:rsidRDefault="005F20E1" w:rsidP="005F20E1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2A3630">
        <w:rPr>
          <w:rFonts w:cs="Arial"/>
          <w:b/>
          <w:sz w:val="24"/>
          <w:szCs w:val="24"/>
        </w:rPr>
        <w:t>2.1</w:t>
      </w:r>
      <w:r w:rsidRPr="002A3630">
        <w:rPr>
          <w:rFonts w:cs="Arial"/>
          <w:b/>
          <w:sz w:val="24"/>
          <w:szCs w:val="24"/>
        </w:rPr>
        <w:tab/>
        <w:t>General</w:t>
      </w:r>
    </w:p>
    <w:p w:rsidR="005F20E1" w:rsidRPr="002A3630" w:rsidRDefault="000F4418" w:rsidP="008D5004">
      <w:pPr>
        <w:pStyle w:val="CommentText"/>
        <w:rPr>
          <w:rFonts w:cs="Arial"/>
        </w:rPr>
      </w:pPr>
      <w:r w:rsidRPr="002A3630">
        <w:rPr>
          <w:rFonts w:cs="Arial"/>
          <w:sz w:val="24"/>
          <w:szCs w:val="24"/>
        </w:rPr>
        <w:t xml:space="preserve">The objective of the </w:t>
      </w:r>
      <w:r w:rsidR="00961B47" w:rsidRPr="002A3630">
        <w:rPr>
          <w:rFonts w:cs="Arial"/>
          <w:sz w:val="24"/>
          <w:szCs w:val="24"/>
        </w:rPr>
        <w:t>Se</w:t>
      </w:r>
      <w:r w:rsidRPr="002A3630">
        <w:rPr>
          <w:rFonts w:cs="Arial"/>
          <w:sz w:val="24"/>
          <w:szCs w:val="24"/>
        </w:rPr>
        <w:t xml:space="preserve">rvice </w:t>
      </w:r>
      <w:r w:rsidR="00B60415" w:rsidRPr="002A3630">
        <w:rPr>
          <w:rFonts w:cs="Arial"/>
          <w:sz w:val="24"/>
          <w:szCs w:val="24"/>
        </w:rPr>
        <w:t xml:space="preserve">is </w:t>
      </w:r>
      <w:r w:rsidRPr="002A3630">
        <w:rPr>
          <w:rFonts w:cs="Arial"/>
          <w:sz w:val="24"/>
          <w:szCs w:val="24"/>
        </w:rPr>
        <w:t>to provide</w:t>
      </w:r>
      <w:r w:rsidR="00057927" w:rsidRPr="002A3630">
        <w:rPr>
          <w:rFonts w:cs="Arial"/>
          <w:sz w:val="24"/>
          <w:szCs w:val="24"/>
        </w:rPr>
        <w:t xml:space="preserve"> a consultation, liaison, advice, information and education service by </w:t>
      </w:r>
      <w:r w:rsidR="00B60415" w:rsidRPr="002A3630">
        <w:rPr>
          <w:rFonts w:cs="Arial"/>
          <w:sz w:val="24"/>
          <w:szCs w:val="24"/>
        </w:rPr>
        <w:t xml:space="preserve">experienced </w:t>
      </w:r>
      <w:r w:rsidR="00057927" w:rsidRPr="002A3630">
        <w:rPr>
          <w:rFonts w:cs="Arial"/>
          <w:sz w:val="24"/>
          <w:szCs w:val="24"/>
        </w:rPr>
        <w:t>clinicians</w:t>
      </w:r>
      <w:r w:rsidR="00B60415" w:rsidRPr="002A3630">
        <w:rPr>
          <w:rFonts w:cs="Arial"/>
          <w:sz w:val="24"/>
          <w:szCs w:val="24"/>
        </w:rPr>
        <w:t>,</w:t>
      </w:r>
      <w:r w:rsidR="00057927" w:rsidRPr="002A3630">
        <w:rPr>
          <w:rFonts w:cs="Arial"/>
          <w:sz w:val="24"/>
          <w:szCs w:val="24"/>
        </w:rPr>
        <w:t xml:space="preserve"> to the community including </w:t>
      </w:r>
      <w:r w:rsidR="00CD5677" w:rsidRPr="002A3630">
        <w:rPr>
          <w:rFonts w:cs="Arial"/>
          <w:sz w:val="24"/>
          <w:szCs w:val="24"/>
        </w:rPr>
        <w:t>Service User</w:t>
      </w:r>
      <w:r w:rsidR="00057927" w:rsidRPr="002A3630">
        <w:rPr>
          <w:rFonts w:cs="Arial"/>
          <w:sz w:val="24"/>
          <w:szCs w:val="24"/>
        </w:rPr>
        <w:t>s, carers, and other service providers</w:t>
      </w:r>
      <w:r w:rsidR="001B3CAF" w:rsidRPr="002A3630">
        <w:rPr>
          <w:rFonts w:cs="Arial"/>
          <w:sz w:val="24"/>
          <w:szCs w:val="24"/>
        </w:rPr>
        <w:t xml:space="preserve">. </w:t>
      </w:r>
    </w:p>
    <w:p w:rsidR="008D5004" w:rsidRPr="002A3630" w:rsidRDefault="00B60415" w:rsidP="005F20E1">
      <w:pPr>
        <w:pStyle w:val="CommentText"/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lastRenderedPageBreak/>
        <w:t>The timely knowledge and expertise</w:t>
      </w:r>
      <w:r w:rsidR="001B3CAF" w:rsidRPr="002A3630">
        <w:rPr>
          <w:rFonts w:cs="Arial"/>
          <w:sz w:val="24"/>
          <w:szCs w:val="24"/>
        </w:rPr>
        <w:t xml:space="preserve"> that will be provided will be more accessible across a region. </w:t>
      </w:r>
      <w:r w:rsidR="00CB4BFF" w:rsidRPr="002A3630">
        <w:rPr>
          <w:rFonts w:cs="Arial"/>
          <w:sz w:val="24"/>
          <w:szCs w:val="24"/>
        </w:rPr>
        <w:t xml:space="preserve"> </w:t>
      </w:r>
      <w:r w:rsidR="001B3CAF" w:rsidRPr="002A3630">
        <w:rPr>
          <w:rFonts w:cs="Arial"/>
          <w:sz w:val="24"/>
          <w:szCs w:val="24"/>
        </w:rPr>
        <w:t xml:space="preserve">It </w:t>
      </w:r>
      <w:r w:rsidRPr="002A3630">
        <w:rPr>
          <w:rFonts w:cs="Arial"/>
          <w:sz w:val="24"/>
          <w:szCs w:val="24"/>
        </w:rPr>
        <w:t xml:space="preserve">will </w:t>
      </w:r>
      <w:r w:rsidR="001B3CAF" w:rsidRPr="002A3630">
        <w:rPr>
          <w:rFonts w:cs="Arial"/>
          <w:sz w:val="24"/>
          <w:szCs w:val="24"/>
        </w:rPr>
        <w:t xml:space="preserve">connect and </w:t>
      </w:r>
      <w:r w:rsidRPr="002A3630">
        <w:rPr>
          <w:rFonts w:cs="Arial"/>
          <w:sz w:val="24"/>
          <w:szCs w:val="24"/>
        </w:rPr>
        <w:t xml:space="preserve">enhance the services being delivered by other providers, </w:t>
      </w:r>
      <w:r w:rsidR="001B3CAF" w:rsidRPr="002A3630">
        <w:rPr>
          <w:rFonts w:cs="Arial"/>
          <w:sz w:val="24"/>
          <w:szCs w:val="24"/>
        </w:rPr>
        <w:t>to better meet the needs of people experiencing</w:t>
      </w:r>
      <w:r w:rsidRPr="002A3630">
        <w:rPr>
          <w:rFonts w:cs="Arial"/>
          <w:sz w:val="24"/>
          <w:szCs w:val="24"/>
        </w:rPr>
        <w:t xml:space="preserve"> behavioural and psychological symptoms of dementia. </w:t>
      </w:r>
    </w:p>
    <w:p w:rsidR="00027868" w:rsidRPr="002A3630" w:rsidRDefault="00027868" w:rsidP="005F20E1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bookmarkStart w:id="45" w:name="_Toc215319138"/>
      <w:r w:rsidRPr="002A3630">
        <w:rPr>
          <w:rFonts w:cs="Arial"/>
          <w:b/>
          <w:sz w:val="24"/>
          <w:szCs w:val="24"/>
        </w:rPr>
        <w:t>2.2</w:t>
      </w:r>
      <w:r w:rsidRPr="002A3630">
        <w:rPr>
          <w:rFonts w:cs="Arial"/>
          <w:b/>
          <w:sz w:val="24"/>
          <w:szCs w:val="24"/>
        </w:rPr>
        <w:tab/>
        <w:t>M</w:t>
      </w:r>
      <w:r w:rsidRPr="002A3630">
        <w:rPr>
          <w:rFonts w:cs="Arial"/>
          <w:b/>
          <w:bCs/>
        </w:rPr>
        <w:t>ā</w:t>
      </w:r>
      <w:r w:rsidRPr="002A3630">
        <w:rPr>
          <w:rFonts w:cs="Arial"/>
          <w:b/>
          <w:sz w:val="24"/>
          <w:szCs w:val="24"/>
        </w:rPr>
        <w:t>ori Health</w:t>
      </w:r>
      <w:bookmarkEnd w:id="45"/>
    </w:p>
    <w:p w:rsidR="005F20E1" w:rsidRPr="002A3630" w:rsidRDefault="00071312" w:rsidP="00071312">
      <w:pPr>
        <w:spacing w:before="120"/>
        <w:jc w:val="both"/>
        <w:rPr>
          <w:rFonts w:cs="Arial"/>
          <w:sz w:val="24"/>
          <w:szCs w:val="24"/>
        </w:rPr>
      </w:pPr>
      <w:bookmarkStart w:id="46" w:name="_Toc215319139"/>
      <w:r w:rsidRPr="002A3630">
        <w:rPr>
          <w:rFonts w:cs="Arial"/>
          <w:sz w:val="24"/>
          <w:szCs w:val="24"/>
        </w:rPr>
        <w:t xml:space="preserve">Refer to tier one Mental Health and Addiction </w:t>
      </w:r>
      <w:r w:rsidR="00CD5677" w:rsidRPr="002A3630">
        <w:rPr>
          <w:rFonts w:cs="Arial"/>
          <w:sz w:val="24"/>
          <w:szCs w:val="24"/>
        </w:rPr>
        <w:t xml:space="preserve">Services </w:t>
      </w:r>
      <w:r w:rsidRPr="002A3630">
        <w:rPr>
          <w:rFonts w:cs="Arial"/>
          <w:sz w:val="24"/>
          <w:szCs w:val="24"/>
        </w:rPr>
        <w:t xml:space="preserve">service specification and tier two Kaupapa </w:t>
      </w:r>
      <w:r w:rsidR="00961B47" w:rsidRPr="002A3630">
        <w:rPr>
          <w:rFonts w:cs="Arial"/>
          <w:sz w:val="24"/>
          <w:szCs w:val="24"/>
        </w:rPr>
        <w:t>Māori</w:t>
      </w:r>
      <w:r w:rsidRPr="002A3630">
        <w:rPr>
          <w:rFonts w:cs="Arial"/>
          <w:sz w:val="24"/>
          <w:szCs w:val="24"/>
        </w:rPr>
        <w:t xml:space="preserve"> Mental Health and Addiction service specification.  Services for older </w:t>
      </w:r>
      <w:r w:rsidR="00961B47" w:rsidRPr="002A3630">
        <w:rPr>
          <w:rFonts w:cs="Arial"/>
          <w:sz w:val="24"/>
          <w:szCs w:val="24"/>
        </w:rPr>
        <w:t>Māori</w:t>
      </w:r>
      <w:r w:rsidRPr="002A3630">
        <w:rPr>
          <w:rFonts w:cs="Arial"/>
          <w:sz w:val="24"/>
          <w:szCs w:val="24"/>
        </w:rPr>
        <w:t xml:space="preserve"> should use age appropriate </w:t>
      </w:r>
      <w:proofErr w:type="spellStart"/>
      <w:r w:rsidRPr="002A3630">
        <w:rPr>
          <w:rFonts w:cs="Arial"/>
          <w:sz w:val="24"/>
          <w:szCs w:val="24"/>
        </w:rPr>
        <w:t>Kaumatua</w:t>
      </w:r>
      <w:proofErr w:type="spellEnd"/>
      <w:r w:rsidRPr="002A3630">
        <w:rPr>
          <w:rFonts w:cs="Arial"/>
          <w:sz w:val="24"/>
          <w:szCs w:val="24"/>
        </w:rPr>
        <w:t xml:space="preserve"> and </w:t>
      </w:r>
      <w:proofErr w:type="spellStart"/>
      <w:r w:rsidRPr="002A3630">
        <w:rPr>
          <w:rFonts w:cs="Arial"/>
          <w:sz w:val="24"/>
          <w:szCs w:val="24"/>
        </w:rPr>
        <w:t>Kuia</w:t>
      </w:r>
      <w:proofErr w:type="spellEnd"/>
      <w:r w:rsidRPr="002A3630">
        <w:rPr>
          <w:rFonts w:cs="Arial"/>
          <w:sz w:val="24"/>
          <w:szCs w:val="24"/>
        </w:rPr>
        <w:t xml:space="preserve"> to assist with the assessment, treatment and discharge planning.  </w:t>
      </w:r>
    </w:p>
    <w:p w:rsidR="00071312" w:rsidRPr="002A3630" w:rsidRDefault="00071312" w:rsidP="00071312">
      <w:pPr>
        <w:spacing w:before="120"/>
        <w:jc w:val="both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Refer to </w:t>
      </w:r>
      <w:r w:rsidR="00627D70" w:rsidRPr="002A3630">
        <w:rPr>
          <w:rFonts w:cs="Arial"/>
          <w:sz w:val="24"/>
          <w:szCs w:val="24"/>
        </w:rPr>
        <w:t xml:space="preserve">the </w:t>
      </w:r>
      <w:r w:rsidR="00753A8B" w:rsidRPr="002A3630">
        <w:rPr>
          <w:rFonts w:cs="Arial"/>
          <w:sz w:val="24"/>
          <w:szCs w:val="24"/>
        </w:rPr>
        <w:t xml:space="preserve">Kaupapa </w:t>
      </w:r>
      <w:r w:rsidR="00961B47" w:rsidRPr="002A3630">
        <w:rPr>
          <w:rFonts w:cs="Arial"/>
          <w:sz w:val="24"/>
          <w:szCs w:val="24"/>
        </w:rPr>
        <w:t>Māori</w:t>
      </w:r>
      <w:r w:rsidR="00753A8B" w:rsidRPr="002A3630">
        <w:rPr>
          <w:rFonts w:cs="Arial"/>
          <w:sz w:val="24"/>
          <w:szCs w:val="24"/>
        </w:rPr>
        <w:t xml:space="preserve"> </w:t>
      </w:r>
      <w:r w:rsidRPr="002A3630">
        <w:rPr>
          <w:rFonts w:cs="Arial"/>
          <w:sz w:val="24"/>
          <w:szCs w:val="24"/>
        </w:rPr>
        <w:t>tier three</w:t>
      </w:r>
      <w:r w:rsidR="00753A8B" w:rsidRPr="002A3630">
        <w:rPr>
          <w:rFonts w:cs="Arial"/>
          <w:sz w:val="24"/>
          <w:szCs w:val="24"/>
        </w:rPr>
        <w:t xml:space="preserve"> </w:t>
      </w:r>
      <w:r w:rsidR="00627D70" w:rsidRPr="002A3630">
        <w:rPr>
          <w:rFonts w:cs="Arial"/>
          <w:sz w:val="24"/>
          <w:szCs w:val="24"/>
        </w:rPr>
        <w:t xml:space="preserve">service specifications </w:t>
      </w:r>
      <w:r w:rsidR="00753A8B" w:rsidRPr="002A3630">
        <w:rPr>
          <w:rFonts w:cs="Arial"/>
          <w:sz w:val="24"/>
          <w:szCs w:val="24"/>
        </w:rPr>
        <w:t>for</w:t>
      </w:r>
      <w:r w:rsidRPr="002A3630">
        <w:rPr>
          <w:rFonts w:cs="Arial"/>
          <w:sz w:val="24"/>
          <w:szCs w:val="24"/>
        </w:rPr>
        <w:t>: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Kaupapa </w:t>
      </w:r>
      <w:r w:rsidR="00961B47" w:rsidRPr="002A3630">
        <w:rPr>
          <w:rFonts w:cs="Arial"/>
          <w:sz w:val="24"/>
          <w:szCs w:val="24"/>
        </w:rPr>
        <w:t>Māori</w:t>
      </w:r>
      <w:r w:rsidRPr="002A3630">
        <w:rPr>
          <w:rFonts w:cs="Arial"/>
          <w:sz w:val="24"/>
          <w:szCs w:val="24"/>
        </w:rPr>
        <w:t xml:space="preserve"> Packages of Care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Kaupapa </w:t>
      </w:r>
      <w:r w:rsidR="00961B47" w:rsidRPr="002A3630">
        <w:rPr>
          <w:rFonts w:cs="Arial"/>
          <w:sz w:val="24"/>
          <w:szCs w:val="24"/>
        </w:rPr>
        <w:t>Māori</w:t>
      </w:r>
      <w:r w:rsidRPr="002A3630">
        <w:rPr>
          <w:rFonts w:cs="Arial"/>
          <w:sz w:val="24"/>
          <w:szCs w:val="24"/>
        </w:rPr>
        <w:t xml:space="preserve"> Community Based Clinical and Support Services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Kaupapa Wh</w:t>
      </w:r>
      <w:r w:rsidR="004E7689" w:rsidRPr="002A3630">
        <w:rPr>
          <w:rFonts w:cs="Arial"/>
          <w:sz w:val="24"/>
          <w:szCs w:val="24"/>
        </w:rPr>
        <w:t>ā</w:t>
      </w:r>
      <w:r w:rsidRPr="002A3630">
        <w:rPr>
          <w:rFonts w:cs="Arial"/>
          <w:sz w:val="24"/>
          <w:szCs w:val="24"/>
        </w:rPr>
        <w:t>nau Ora Worker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proofErr w:type="spellStart"/>
      <w:r w:rsidRPr="002A3630">
        <w:rPr>
          <w:rFonts w:cs="Arial"/>
          <w:sz w:val="24"/>
          <w:szCs w:val="24"/>
        </w:rPr>
        <w:t>Kaumatua</w:t>
      </w:r>
      <w:proofErr w:type="spellEnd"/>
      <w:r w:rsidRPr="002A3630">
        <w:rPr>
          <w:rFonts w:cs="Arial"/>
          <w:sz w:val="24"/>
          <w:szCs w:val="24"/>
        </w:rPr>
        <w:t xml:space="preserve"> Roles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Kaupapa </w:t>
      </w:r>
      <w:r w:rsidR="00961B47" w:rsidRPr="002A3630">
        <w:rPr>
          <w:rFonts w:cs="Arial"/>
          <w:sz w:val="24"/>
          <w:szCs w:val="24"/>
        </w:rPr>
        <w:t>Māori</w:t>
      </w:r>
      <w:r w:rsidRPr="002A3630">
        <w:rPr>
          <w:rFonts w:cs="Arial"/>
          <w:sz w:val="24"/>
          <w:szCs w:val="24"/>
        </w:rPr>
        <w:t xml:space="preserve"> Consultation, Liaison and Advisory Services</w:t>
      </w:r>
      <w:r w:rsidR="00961B47" w:rsidRPr="002A3630">
        <w:rPr>
          <w:rFonts w:cs="Arial"/>
          <w:sz w:val="24"/>
          <w:szCs w:val="24"/>
        </w:rPr>
        <w:t>.</w:t>
      </w:r>
    </w:p>
    <w:p w:rsidR="00027868" w:rsidRPr="002A3630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7" w:name="_Toc215319140"/>
      <w:bookmarkEnd w:id="46"/>
      <w:r w:rsidRPr="002A3630">
        <w:rPr>
          <w:rFonts w:cs="Arial"/>
          <w:b/>
          <w:sz w:val="24"/>
          <w:szCs w:val="24"/>
        </w:rPr>
        <w:t>3.</w:t>
      </w:r>
      <w:r w:rsidRPr="002A3630">
        <w:rPr>
          <w:rFonts w:cs="Arial"/>
          <w:b/>
          <w:sz w:val="24"/>
          <w:szCs w:val="24"/>
        </w:rPr>
        <w:tab/>
      </w:r>
      <w:r w:rsidR="00CD5677" w:rsidRPr="002A3630">
        <w:rPr>
          <w:rFonts w:cs="Arial"/>
          <w:b/>
          <w:sz w:val="24"/>
          <w:szCs w:val="24"/>
        </w:rPr>
        <w:t>Service User</w:t>
      </w:r>
      <w:r w:rsidRPr="002A3630">
        <w:rPr>
          <w:rFonts w:cs="Arial"/>
          <w:b/>
          <w:sz w:val="24"/>
          <w:szCs w:val="24"/>
        </w:rPr>
        <w:t>s</w:t>
      </w:r>
      <w:bookmarkEnd w:id="47"/>
    </w:p>
    <w:p w:rsidR="007C6CCE" w:rsidRPr="002A3630" w:rsidRDefault="00027868" w:rsidP="00027868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The </w:t>
      </w:r>
      <w:r w:rsidR="00CD5677" w:rsidRPr="002A3630">
        <w:rPr>
          <w:rFonts w:cs="Arial"/>
          <w:sz w:val="24"/>
          <w:szCs w:val="24"/>
        </w:rPr>
        <w:t>Service User</w:t>
      </w:r>
      <w:r w:rsidRPr="002A3630">
        <w:rPr>
          <w:rFonts w:cs="Arial"/>
          <w:sz w:val="24"/>
          <w:szCs w:val="24"/>
        </w:rPr>
        <w:t xml:space="preserve">s will be people </w:t>
      </w:r>
      <w:r w:rsidR="00E975D7" w:rsidRPr="002A3630">
        <w:rPr>
          <w:rFonts w:cs="Arial"/>
          <w:sz w:val="24"/>
          <w:szCs w:val="24"/>
        </w:rPr>
        <w:t xml:space="preserve">usually </w:t>
      </w:r>
      <w:r w:rsidR="00057927" w:rsidRPr="002A3630">
        <w:rPr>
          <w:rFonts w:cs="Arial"/>
          <w:sz w:val="24"/>
          <w:szCs w:val="24"/>
        </w:rPr>
        <w:t xml:space="preserve">over </w:t>
      </w:r>
      <w:r w:rsidRPr="002A3630">
        <w:rPr>
          <w:rFonts w:cs="Arial"/>
          <w:sz w:val="24"/>
          <w:szCs w:val="24"/>
        </w:rPr>
        <w:t xml:space="preserve">the age of </w:t>
      </w:r>
      <w:r w:rsidR="00E975D7" w:rsidRPr="002A3630">
        <w:rPr>
          <w:rFonts w:cs="Arial"/>
          <w:sz w:val="24"/>
          <w:szCs w:val="24"/>
        </w:rPr>
        <w:t>65</w:t>
      </w:r>
      <w:r w:rsidRPr="002A3630">
        <w:rPr>
          <w:rFonts w:cs="Arial"/>
          <w:sz w:val="24"/>
          <w:szCs w:val="24"/>
        </w:rPr>
        <w:t xml:space="preserve"> years</w:t>
      </w:r>
      <w:r w:rsidR="00243A7F" w:rsidRPr="002A3630">
        <w:rPr>
          <w:rFonts w:cs="Arial"/>
          <w:sz w:val="24"/>
          <w:szCs w:val="24"/>
        </w:rPr>
        <w:t xml:space="preserve"> with some flexibility according to assessed needs</w:t>
      </w:r>
      <w:r w:rsidR="00753A8B" w:rsidRPr="002A3630">
        <w:rPr>
          <w:rFonts w:cs="Arial"/>
          <w:sz w:val="24"/>
          <w:szCs w:val="24"/>
        </w:rPr>
        <w:t>, and their families, carers.</w:t>
      </w:r>
    </w:p>
    <w:p w:rsidR="00753A8B" w:rsidRPr="002A3630" w:rsidRDefault="00753A8B" w:rsidP="00027868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Service Providers</w:t>
      </w:r>
      <w:r w:rsidR="00796080" w:rsidRPr="002A3630">
        <w:rPr>
          <w:rFonts w:cs="Arial"/>
          <w:sz w:val="24"/>
          <w:szCs w:val="24"/>
        </w:rPr>
        <w:t>, potential service referrers</w:t>
      </w:r>
      <w:r w:rsidRPr="002A3630">
        <w:rPr>
          <w:rFonts w:cs="Arial"/>
          <w:sz w:val="24"/>
          <w:szCs w:val="24"/>
        </w:rPr>
        <w:t xml:space="preserve"> and members of the public will </w:t>
      </w:r>
      <w:r w:rsidR="00796080" w:rsidRPr="002A3630">
        <w:rPr>
          <w:rFonts w:cs="Arial"/>
          <w:sz w:val="24"/>
          <w:szCs w:val="24"/>
        </w:rPr>
        <w:t xml:space="preserve">also </w:t>
      </w:r>
      <w:r w:rsidRPr="002A3630">
        <w:rPr>
          <w:rFonts w:cs="Arial"/>
          <w:sz w:val="24"/>
          <w:szCs w:val="24"/>
        </w:rPr>
        <w:t xml:space="preserve">be able to access this </w:t>
      </w:r>
      <w:r w:rsidR="00303ADF" w:rsidRPr="002A3630">
        <w:rPr>
          <w:rFonts w:cs="Arial"/>
          <w:sz w:val="24"/>
          <w:szCs w:val="24"/>
        </w:rPr>
        <w:t>S</w:t>
      </w:r>
      <w:r w:rsidRPr="002A3630">
        <w:rPr>
          <w:rFonts w:cs="Arial"/>
          <w:sz w:val="24"/>
          <w:szCs w:val="24"/>
        </w:rPr>
        <w:t>ervice</w:t>
      </w:r>
      <w:r w:rsidR="00796080" w:rsidRPr="002A3630">
        <w:rPr>
          <w:rFonts w:cs="Arial"/>
          <w:sz w:val="24"/>
          <w:szCs w:val="24"/>
        </w:rPr>
        <w:t>.</w:t>
      </w:r>
    </w:p>
    <w:p w:rsidR="00027868" w:rsidRPr="002A3630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1"/>
      <w:r w:rsidRPr="002A3630">
        <w:rPr>
          <w:rFonts w:cs="Arial"/>
          <w:b/>
          <w:sz w:val="24"/>
          <w:szCs w:val="24"/>
        </w:rPr>
        <w:t>4.</w:t>
      </w:r>
      <w:r w:rsidRPr="002A3630">
        <w:rPr>
          <w:rFonts w:cs="Arial"/>
          <w:b/>
          <w:sz w:val="24"/>
          <w:szCs w:val="24"/>
        </w:rPr>
        <w:tab/>
        <w:t>Access</w:t>
      </w:r>
      <w:bookmarkEnd w:id="48"/>
    </w:p>
    <w:p w:rsidR="00627D70" w:rsidRPr="002A3630" w:rsidRDefault="00627D70" w:rsidP="00627D70">
      <w:pPr>
        <w:spacing w:after="60"/>
        <w:rPr>
          <w:rFonts w:cs="Arial"/>
          <w:sz w:val="24"/>
          <w:szCs w:val="24"/>
        </w:rPr>
      </w:pPr>
      <w:bookmarkStart w:id="49" w:name="_Toc215319142"/>
      <w:r w:rsidRPr="002A3630">
        <w:rPr>
          <w:rFonts w:cs="Arial"/>
          <w:sz w:val="24"/>
          <w:szCs w:val="24"/>
        </w:rPr>
        <w:t>The Service will be accessible via telephone</w:t>
      </w:r>
      <w:r w:rsidR="008D5004" w:rsidRPr="002A3630">
        <w:rPr>
          <w:rFonts w:cs="Arial"/>
          <w:sz w:val="24"/>
          <w:szCs w:val="24"/>
        </w:rPr>
        <w:t>, website</w:t>
      </w:r>
      <w:r w:rsidRPr="002A3630">
        <w:rPr>
          <w:rFonts w:cs="Arial"/>
          <w:sz w:val="24"/>
          <w:szCs w:val="24"/>
        </w:rPr>
        <w:t xml:space="preserve"> and email. </w:t>
      </w:r>
      <w:r w:rsidR="005F20E1" w:rsidRPr="002A3630">
        <w:rPr>
          <w:rFonts w:cs="Arial"/>
          <w:sz w:val="24"/>
          <w:szCs w:val="24"/>
        </w:rPr>
        <w:t xml:space="preserve"> </w:t>
      </w:r>
      <w:r w:rsidR="00B60415" w:rsidRPr="002A3630">
        <w:rPr>
          <w:rFonts w:cs="Arial"/>
          <w:sz w:val="24"/>
          <w:szCs w:val="24"/>
        </w:rPr>
        <w:t>In addition, there will be some face to face consultation.</w:t>
      </w:r>
      <w:r w:rsidRPr="002A3630">
        <w:rPr>
          <w:rFonts w:cs="Arial"/>
          <w:sz w:val="24"/>
          <w:szCs w:val="24"/>
        </w:rPr>
        <w:t xml:space="preserve"> </w:t>
      </w:r>
    </w:p>
    <w:p w:rsidR="00027868" w:rsidRPr="002A3630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0" w:name="_Toc215319145"/>
      <w:bookmarkEnd w:id="49"/>
      <w:r w:rsidRPr="002A3630">
        <w:rPr>
          <w:rFonts w:cs="Arial"/>
          <w:b/>
          <w:sz w:val="24"/>
          <w:szCs w:val="24"/>
        </w:rPr>
        <w:t>5.</w:t>
      </w:r>
      <w:r w:rsidRPr="002A3630">
        <w:rPr>
          <w:rFonts w:cs="Arial"/>
          <w:b/>
          <w:sz w:val="24"/>
          <w:szCs w:val="24"/>
        </w:rPr>
        <w:tab/>
        <w:t>Service Components</w:t>
      </w:r>
      <w:bookmarkEnd w:id="50"/>
    </w:p>
    <w:p w:rsidR="003C76B8" w:rsidRPr="002A3630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1" w:name="_Toc215319146"/>
      <w:r w:rsidRPr="002A3630">
        <w:rPr>
          <w:rFonts w:cs="Arial"/>
          <w:b/>
          <w:sz w:val="24"/>
          <w:szCs w:val="24"/>
        </w:rPr>
        <w:t>5.1</w:t>
      </w:r>
      <w:r w:rsidRPr="002A3630">
        <w:rPr>
          <w:rFonts w:cs="Arial"/>
          <w:b/>
          <w:sz w:val="24"/>
          <w:szCs w:val="24"/>
        </w:rPr>
        <w:tab/>
        <w:t>Processes</w:t>
      </w:r>
      <w:bookmarkEnd w:id="51"/>
    </w:p>
    <w:p w:rsidR="00027868" w:rsidRPr="002A3630" w:rsidRDefault="003C76B8" w:rsidP="003C76B8">
      <w:pPr>
        <w:tabs>
          <w:tab w:val="left" w:pos="570"/>
        </w:tabs>
        <w:spacing w:before="120" w:after="6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This </w:t>
      </w:r>
      <w:r w:rsidR="005F20E1" w:rsidRPr="002A3630">
        <w:rPr>
          <w:rFonts w:cs="Arial"/>
          <w:sz w:val="24"/>
          <w:szCs w:val="24"/>
        </w:rPr>
        <w:t>S</w:t>
      </w:r>
      <w:r w:rsidRPr="002A3630">
        <w:rPr>
          <w:rFonts w:cs="Arial"/>
          <w:sz w:val="24"/>
          <w:szCs w:val="24"/>
        </w:rPr>
        <w:t xml:space="preserve">ervice has a particular focus on </w:t>
      </w:r>
      <w:r w:rsidR="00627D70" w:rsidRPr="002A3630">
        <w:rPr>
          <w:rFonts w:cs="Arial"/>
          <w:sz w:val="24"/>
          <w:szCs w:val="24"/>
        </w:rPr>
        <w:t>e</w:t>
      </w:r>
      <w:r w:rsidR="007C6CCE" w:rsidRPr="002A3630">
        <w:rPr>
          <w:rFonts w:cs="Arial"/>
          <w:sz w:val="24"/>
          <w:szCs w:val="24"/>
        </w:rPr>
        <w:t xml:space="preserve">ngagement, consultation, liaison, advice, </w:t>
      </w:r>
      <w:r w:rsidR="00627D70" w:rsidRPr="002A3630">
        <w:rPr>
          <w:rFonts w:cs="Arial"/>
          <w:sz w:val="24"/>
          <w:szCs w:val="24"/>
        </w:rPr>
        <w:t xml:space="preserve">and </w:t>
      </w:r>
      <w:r w:rsidR="007C6CCE" w:rsidRPr="002A3630">
        <w:rPr>
          <w:rFonts w:cs="Arial"/>
          <w:sz w:val="24"/>
          <w:szCs w:val="24"/>
        </w:rPr>
        <w:t>education</w:t>
      </w:r>
      <w:r w:rsidR="00627D70" w:rsidRPr="002A3630">
        <w:rPr>
          <w:rFonts w:cs="Arial"/>
          <w:sz w:val="24"/>
          <w:szCs w:val="24"/>
        </w:rPr>
        <w:t>.</w:t>
      </w:r>
    </w:p>
    <w:p w:rsidR="008D5004" w:rsidRPr="002A3630" w:rsidRDefault="008D5004" w:rsidP="008D5004">
      <w:pPr>
        <w:tabs>
          <w:tab w:val="left" w:pos="570"/>
        </w:tabs>
        <w:spacing w:before="120" w:after="6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A governance group based within each region will </w:t>
      </w:r>
      <w:r w:rsidR="00B60415" w:rsidRPr="002A3630">
        <w:rPr>
          <w:rFonts w:cs="Arial"/>
          <w:sz w:val="24"/>
          <w:szCs w:val="24"/>
        </w:rPr>
        <w:t xml:space="preserve">be established and will </w:t>
      </w:r>
      <w:r w:rsidRPr="002A3630">
        <w:rPr>
          <w:rFonts w:cs="Arial"/>
          <w:sz w:val="24"/>
          <w:szCs w:val="24"/>
        </w:rPr>
        <w:t xml:space="preserve">determine the </w:t>
      </w:r>
      <w:r w:rsidR="00B60415" w:rsidRPr="002A3630">
        <w:rPr>
          <w:rFonts w:cs="Arial"/>
          <w:sz w:val="24"/>
          <w:szCs w:val="24"/>
        </w:rPr>
        <w:t xml:space="preserve">local </w:t>
      </w:r>
      <w:r w:rsidRPr="002A3630">
        <w:rPr>
          <w:rFonts w:cs="Arial"/>
          <w:sz w:val="24"/>
          <w:szCs w:val="24"/>
        </w:rPr>
        <w:t>priorities of the Service.</w:t>
      </w:r>
    </w:p>
    <w:p w:rsidR="00027868" w:rsidRPr="002A3630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47"/>
      <w:r w:rsidRPr="002A3630">
        <w:rPr>
          <w:rFonts w:cs="Arial"/>
          <w:b/>
          <w:sz w:val="24"/>
          <w:szCs w:val="24"/>
        </w:rPr>
        <w:t>5.2</w:t>
      </w:r>
      <w:r w:rsidRPr="002A3630">
        <w:rPr>
          <w:rFonts w:cs="Arial"/>
          <w:b/>
          <w:sz w:val="24"/>
          <w:szCs w:val="24"/>
        </w:rPr>
        <w:tab/>
        <w:t>Settings</w:t>
      </w:r>
      <w:bookmarkEnd w:id="52"/>
    </w:p>
    <w:p w:rsidR="00027868" w:rsidRPr="002A3630" w:rsidRDefault="005868F0" w:rsidP="00027868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This regional service </w:t>
      </w:r>
      <w:r w:rsidR="00027868" w:rsidRPr="002A3630">
        <w:rPr>
          <w:rFonts w:cs="Arial"/>
          <w:sz w:val="24"/>
          <w:szCs w:val="24"/>
        </w:rPr>
        <w:t xml:space="preserve">is provided </w:t>
      </w:r>
      <w:r w:rsidRPr="002A3630">
        <w:rPr>
          <w:rFonts w:cs="Arial"/>
          <w:sz w:val="24"/>
          <w:szCs w:val="24"/>
        </w:rPr>
        <w:t>from a community or hospital base</w:t>
      </w:r>
      <w:r w:rsidR="00D0759B">
        <w:rPr>
          <w:rFonts w:cs="Arial"/>
          <w:sz w:val="24"/>
          <w:szCs w:val="24"/>
        </w:rPr>
        <w:t xml:space="preserve"> setting</w:t>
      </w:r>
      <w:r w:rsidRPr="002A3630">
        <w:rPr>
          <w:rFonts w:cs="Arial"/>
          <w:sz w:val="24"/>
          <w:szCs w:val="24"/>
        </w:rPr>
        <w:t xml:space="preserve">. </w:t>
      </w:r>
    </w:p>
    <w:p w:rsidR="00027868" w:rsidRPr="002A3630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3" w:name="_Toc215319151"/>
      <w:r w:rsidRPr="002A3630">
        <w:rPr>
          <w:rFonts w:cs="Arial"/>
          <w:b/>
          <w:sz w:val="24"/>
          <w:szCs w:val="24"/>
        </w:rPr>
        <w:t>5.3</w:t>
      </w:r>
      <w:r w:rsidRPr="002A3630">
        <w:rPr>
          <w:rFonts w:cs="Arial"/>
          <w:b/>
          <w:sz w:val="24"/>
          <w:szCs w:val="24"/>
        </w:rPr>
        <w:tab/>
        <w:t xml:space="preserve">Key Inputs </w:t>
      </w:r>
      <w:bookmarkStart w:id="54" w:name="_Toc215319152"/>
      <w:bookmarkEnd w:id="53"/>
    </w:p>
    <w:p w:rsidR="005868F0" w:rsidRPr="002A3630" w:rsidRDefault="00071312" w:rsidP="00FF5CE6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The staff</w:t>
      </w:r>
      <w:r w:rsidR="005868F0" w:rsidRPr="002A3630">
        <w:rPr>
          <w:rFonts w:cs="Arial"/>
          <w:sz w:val="24"/>
          <w:szCs w:val="24"/>
        </w:rPr>
        <w:t xml:space="preserve"> employed </w:t>
      </w:r>
      <w:r w:rsidR="00A922CE" w:rsidRPr="002A3630">
        <w:rPr>
          <w:rFonts w:cs="Arial"/>
          <w:sz w:val="24"/>
          <w:szCs w:val="24"/>
        </w:rPr>
        <w:t xml:space="preserve">in </w:t>
      </w:r>
      <w:r w:rsidRPr="002A3630">
        <w:rPr>
          <w:rFonts w:cs="Arial"/>
          <w:sz w:val="24"/>
          <w:szCs w:val="24"/>
        </w:rPr>
        <w:t xml:space="preserve">this </w:t>
      </w:r>
      <w:r w:rsidR="00627D70" w:rsidRPr="002A3630">
        <w:rPr>
          <w:rFonts w:cs="Arial"/>
          <w:sz w:val="24"/>
          <w:szCs w:val="24"/>
        </w:rPr>
        <w:t>S</w:t>
      </w:r>
      <w:r w:rsidRPr="002A3630">
        <w:rPr>
          <w:rFonts w:cs="Arial"/>
          <w:sz w:val="24"/>
          <w:szCs w:val="24"/>
        </w:rPr>
        <w:t>ervice</w:t>
      </w:r>
      <w:r w:rsidR="00A922CE" w:rsidRPr="002A3630">
        <w:rPr>
          <w:rFonts w:cs="Arial"/>
          <w:sz w:val="24"/>
          <w:szCs w:val="24"/>
        </w:rPr>
        <w:t>,</w:t>
      </w:r>
      <w:r w:rsidRPr="002A3630">
        <w:rPr>
          <w:rFonts w:cs="Arial"/>
          <w:sz w:val="24"/>
          <w:szCs w:val="24"/>
        </w:rPr>
        <w:t xml:space="preserve"> </w:t>
      </w:r>
      <w:r w:rsidR="005868F0" w:rsidRPr="002A3630">
        <w:rPr>
          <w:rFonts w:cs="Arial"/>
          <w:sz w:val="24"/>
          <w:szCs w:val="24"/>
        </w:rPr>
        <w:t>require a professional qualification in health</w:t>
      </w:r>
      <w:r w:rsidR="00CB4BFF" w:rsidRPr="002A3630">
        <w:rPr>
          <w:rFonts w:cs="Arial"/>
          <w:sz w:val="24"/>
          <w:szCs w:val="24"/>
        </w:rPr>
        <w:t>, such as nursing and allied health</w:t>
      </w:r>
      <w:r w:rsidR="005868F0" w:rsidRPr="002A3630">
        <w:rPr>
          <w:rFonts w:cs="Arial"/>
          <w:sz w:val="24"/>
          <w:szCs w:val="24"/>
        </w:rPr>
        <w:t xml:space="preserve">, and expertise in dementia care. </w:t>
      </w:r>
      <w:r w:rsidR="00627D70" w:rsidRPr="002A3630">
        <w:rPr>
          <w:rFonts w:cs="Arial"/>
          <w:sz w:val="24"/>
          <w:szCs w:val="24"/>
        </w:rPr>
        <w:t xml:space="preserve"> </w:t>
      </w:r>
      <w:r w:rsidR="00796080" w:rsidRPr="002A3630">
        <w:rPr>
          <w:rFonts w:cs="Arial"/>
          <w:sz w:val="24"/>
          <w:szCs w:val="24"/>
        </w:rPr>
        <w:t>The</w:t>
      </w:r>
      <w:r w:rsidR="00CB4BFF" w:rsidRPr="002A3630">
        <w:rPr>
          <w:rFonts w:cs="Arial"/>
          <w:sz w:val="24"/>
          <w:szCs w:val="24"/>
        </w:rPr>
        <w:t xml:space="preserve"> staff</w:t>
      </w:r>
      <w:r w:rsidR="00796080" w:rsidRPr="002A3630">
        <w:rPr>
          <w:rFonts w:cs="Arial"/>
          <w:sz w:val="24"/>
          <w:szCs w:val="24"/>
        </w:rPr>
        <w:t xml:space="preserve"> will be linked to and work closely with the multi-disciplinary teams of Mental Health of Older People services.</w:t>
      </w:r>
    </w:p>
    <w:p w:rsidR="00027868" w:rsidRPr="002A3630" w:rsidRDefault="00027868" w:rsidP="00F042C8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r w:rsidRPr="002A3630">
        <w:rPr>
          <w:rFonts w:cs="Arial"/>
          <w:b/>
          <w:sz w:val="24"/>
          <w:szCs w:val="24"/>
        </w:rPr>
        <w:t>5.4.</w:t>
      </w:r>
      <w:r w:rsidRPr="002A3630">
        <w:rPr>
          <w:rFonts w:cs="Arial"/>
          <w:b/>
          <w:sz w:val="24"/>
          <w:szCs w:val="24"/>
        </w:rPr>
        <w:tab/>
        <w:t xml:space="preserve">Pacific Health </w:t>
      </w:r>
      <w:bookmarkEnd w:id="54"/>
    </w:p>
    <w:p w:rsidR="00071312" w:rsidRPr="002A3630" w:rsidRDefault="00071312" w:rsidP="00726D43">
      <w:pPr>
        <w:spacing w:before="12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 xml:space="preserve">Services for older Pacific people should use age appropriate </w:t>
      </w:r>
      <w:proofErr w:type="spellStart"/>
      <w:r w:rsidRPr="002A3630">
        <w:rPr>
          <w:rFonts w:cs="Arial"/>
          <w:sz w:val="24"/>
          <w:szCs w:val="24"/>
        </w:rPr>
        <w:t>Matua</w:t>
      </w:r>
      <w:proofErr w:type="spellEnd"/>
      <w:r w:rsidRPr="002A3630">
        <w:rPr>
          <w:rFonts w:cs="Arial"/>
          <w:sz w:val="24"/>
          <w:szCs w:val="24"/>
        </w:rPr>
        <w:t xml:space="preserve"> to assist with the assessment, treatment and discharge planning.  Refer to </w:t>
      </w:r>
      <w:r w:rsidR="004E7689" w:rsidRPr="002A3630">
        <w:rPr>
          <w:rFonts w:cs="Arial"/>
          <w:sz w:val="24"/>
          <w:szCs w:val="24"/>
        </w:rPr>
        <w:t xml:space="preserve">the following </w:t>
      </w:r>
      <w:r w:rsidR="00753A8B" w:rsidRPr="002A3630">
        <w:rPr>
          <w:rFonts w:cs="Arial"/>
          <w:sz w:val="24"/>
          <w:szCs w:val="24"/>
        </w:rPr>
        <w:t xml:space="preserve">Pacific </w:t>
      </w:r>
      <w:r w:rsidR="00627D70" w:rsidRPr="002A3630">
        <w:rPr>
          <w:rFonts w:cs="Arial"/>
          <w:sz w:val="24"/>
          <w:szCs w:val="24"/>
        </w:rPr>
        <w:t xml:space="preserve">Mental </w:t>
      </w:r>
      <w:r w:rsidR="004E7689" w:rsidRPr="002A3630">
        <w:rPr>
          <w:rFonts w:cs="Arial"/>
          <w:sz w:val="24"/>
          <w:szCs w:val="24"/>
        </w:rPr>
        <w:t>H</w:t>
      </w:r>
      <w:r w:rsidR="00627D70" w:rsidRPr="002A3630">
        <w:rPr>
          <w:rFonts w:cs="Arial"/>
          <w:sz w:val="24"/>
          <w:szCs w:val="24"/>
        </w:rPr>
        <w:t xml:space="preserve">ealth </w:t>
      </w:r>
      <w:r w:rsidRPr="002A3630">
        <w:rPr>
          <w:rFonts w:cs="Arial"/>
          <w:sz w:val="24"/>
          <w:szCs w:val="24"/>
        </w:rPr>
        <w:t>tier three</w:t>
      </w:r>
      <w:r w:rsidR="00753A8B" w:rsidRPr="002A3630">
        <w:rPr>
          <w:rFonts w:cs="Arial"/>
          <w:sz w:val="24"/>
          <w:szCs w:val="24"/>
        </w:rPr>
        <w:t xml:space="preserve"> service specifications</w:t>
      </w:r>
      <w:r w:rsidRPr="002A3630">
        <w:rPr>
          <w:rFonts w:cs="Arial"/>
          <w:sz w:val="24"/>
          <w:szCs w:val="24"/>
        </w:rPr>
        <w:t>: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Community Mental Health and Addictions Services for Pacific People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proofErr w:type="spellStart"/>
      <w:r w:rsidRPr="002A3630">
        <w:rPr>
          <w:rFonts w:cs="Arial"/>
          <w:sz w:val="24"/>
          <w:szCs w:val="24"/>
        </w:rPr>
        <w:t>Matua</w:t>
      </w:r>
      <w:proofErr w:type="spellEnd"/>
      <w:r w:rsidRPr="002A3630">
        <w:rPr>
          <w:rFonts w:cs="Arial"/>
          <w:sz w:val="24"/>
          <w:szCs w:val="24"/>
        </w:rPr>
        <w:t xml:space="preserve"> – Senior Cultural Advisory Service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t>Pacific Cultural Navigator Service</w:t>
      </w:r>
    </w:p>
    <w:p w:rsidR="00071312" w:rsidRPr="002A3630" w:rsidRDefault="00071312" w:rsidP="00F042C8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rPr>
          <w:rFonts w:cs="Arial"/>
          <w:sz w:val="24"/>
          <w:szCs w:val="24"/>
        </w:rPr>
      </w:pPr>
      <w:r w:rsidRPr="002A3630">
        <w:rPr>
          <w:rFonts w:cs="Arial"/>
          <w:sz w:val="24"/>
          <w:szCs w:val="24"/>
        </w:rPr>
        <w:lastRenderedPageBreak/>
        <w:t>Specialised Pacific Family Advisory Service</w:t>
      </w:r>
    </w:p>
    <w:p w:rsidR="00027868" w:rsidRPr="002A3630" w:rsidRDefault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5" w:name="_Toc215319155"/>
      <w:r w:rsidRPr="002A3630">
        <w:rPr>
          <w:rFonts w:cs="Arial"/>
          <w:b/>
          <w:sz w:val="24"/>
          <w:szCs w:val="24"/>
        </w:rPr>
        <w:t>6.</w:t>
      </w:r>
      <w:r w:rsidRPr="002A3630">
        <w:rPr>
          <w:rFonts w:cs="Arial"/>
          <w:b/>
          <w:sz w:val="24"/>
          <w:szCs w:val="24"/>
        </w:rPr>
        <w:tab/>
        <w:t>Service Linkages</w:t>
      </w:r>
      <w:bookmarkEnd w:id="55"/>
    </w:p>
    <w:p w:rsidR="00027868" w:rsidRPr="002A3630" w:rsidRDefault="00027868" w:rsidP="00027868">
      <w:pPr>
        <w:spacing w:before="120" w:after="120"/>
        <w:rPr>
          <w:rFonts w:cs="Arial"/>
          <w:sz w:val="24"/>
          <w:szCs w:val="24"/>
        </w:rPr>
      </w:pPr>
      <w:bookmarkStart w:id="56" w:name="_Toc215319158"/>
      <w:r w:rsidRPr="002A3630">
        <w:rPr>
          <w:rFonts w:cs="Arial"/>
          <w:sz w:val="24"/>
          <w:szCs w:val="24"/>
        </w:rPr>
        <w:t>Linkages include, but are not limited to the following:</w:t>
      </w:r>
      <w:bookmarkEnd w:id="56"/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03"/>
        <w:gridCol w:w="4735"/>
      </w:tblGrid>
      <w:tr w:rsidR="00027868" w:rsidRPr="002A3630" w:rsidTr="00F042C8">
        <w:trPr>
          <w:tblHeader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A3630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7" w:name="_Toc215319159"/>
            <w:r w:rsidRPr="002A3630">
              <w:rPr>
                <w:rFonts w:cs="Arial"/>
                <w:b/>
                <w:sz w:val="24"/>
                <w:szCs w:val="24"/>
              </w:rPr>
              <w:t>Service Provider</w:t>
            </w:r>
            <w:bookmarkEnd w:id="57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A3630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8" w:name="_Toc215319160"/>
            <w:r w:rsidRPr="002A3630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8"/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A3630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9" w:name="_Toc215319161"/>
            <w:r w:rsidRPr="002A3630">
              <w:rPr>
                <w:rFonts w:cs="Arial"/>
                <w:b/>
                <w:sz w:val="24"/>
                <w:szCs w:val="24"/>
              </w:rPr>
              <w:t>Accountabilities</w:t>
            </w:r>
            <w:bookmarkEnd w:id="59"/>
          </w:p>
        </w:tc>
      </w:tr>
      <w:tr w:rsidR="00027868" w:rsidRPr="002A3630" w:rsidTr="00F042C8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2A3630" w:rsidRDefault="00027868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 xml:space="preserve">Other providers of Mental Health </w:t>
            </w:r>
            <w:r w:rsidR="00D4205E" w:rsidRPr="002A3630">
              <w:rPr>
                <w:rFonts w:cs="Arial"/>
                <w:sz w:val="24"/>
                <w:szCs w:val="24"/>
                <w:lang w:eastAsia="en-US"/>
              </w:rPr>
              <w:t xml:space="preserve">and addiction </w:t>
            </w:r>
            <w:r w:rsidRPr="002A3630">
              <w:rPr>
                <w:rFonts w:cs="Arial"/>
                <w:sz w:val="24"/>
                <w:szCs w:val="24"/>
                <w:lang w:eastAsia="en-US"/>
              </w:rPr>
              <w:t>services  and general health</w:t>
            </w:r>
          </w:p>
          <w:p w:rsidR="002928D0" w:rsidRPr="002A3630" w:rsidRDefault="002928D0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>General medical, gerontology</w:t>
            </w:r>
          </w:p>
          <w:p w:rsidR="002928D0" w:rsidRPr="002A3630" w:rsidRDefault="002928D0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>Primary care services</w:t>
            </w:r>
          </w:p>
          <w:p w:rsidR="002928D0" w:rsidRPr="002A3630" w:rsidRDefault="002928D0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>Aged Residential care providers</w:t>
            </w:r>
          </w:p>
          <w:p w:rsidR="00D4205E" w:rsidRPr="002A3630" w:rsidRDefault="00D4205E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>Home based support providers</w:t>
            </w:r>
            <w:r w:rsidR="008D5004" w:rsidRPr="002A3630">
              <w:rPr>
                <w:rFonts w:cs="Arial"/>
                <w:sz w:val="24"/>
                <w:szCs w:val="24"/>
                <w:lang w:eastAsia="en-US"/>
              </w:rPr>
              <w:t xml:space="preserve"> such as Age Concern, Alzheimer’s Association</w:t>
            </w:r>
          </w:p>
          <w:p w:rsidR="008D5004" w:rsidRPr="002A3630" w:rsidRDefault="00ED5BBC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  <w:lang w:eastAsia="en-US"/>
              </w:rPr>
              <w:t>Non-Government</w:t>
            </w:r>
            <w:r w:rsidR="008D5004" w:rsidRPr="002A3630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5F20E1" w:rsidRPr="002A3630">
              <w:rPr>
                <w:rFonts w:cs="Arial"/>
                <w:sz w:val="24"/>
                <w:szCs w:val="24"/>
                <w:lang w:eastAsia="en-US"/>
              </w:rPr>
              <w:t>Organisations</w:t>
            </w:r>
            <w:r w:rsidR="008D5004" w:rsidRPr="002A3630"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E" w:rsidRPr="002A3630" w:rsidRDefault="00027868" w:rsidP="00F042C8">
            <w:pPr>
              <w:spacing w:before="120"/>
              <w:rPr>
                <w:rFonts w:cs="Arial"/>
                <w:sz w:val="24"/>
                <w:szCs w:val="24"/>
              </w:rPr>
            </w:pPr>
            <w:r w:rsidRPr="002A3630">
              <w:rPr>
                <w:rFonts w:cs="Arial"/>
                <w:sz w:val="24"/>
                <w:szCs w:val="24"/>
              </w:rPr>
              <w:t>Referral, liaison, consultation</w:t>
            </w:r>
          </w:p>
          <w:p w:rsidR="00A922CE" w:rsidRPr="002A3630" w:rsidRDefault="00A922CE" w:rsidP="00F042C8">
            <w:pPr>
              <w:spacing w:before="120"/>
              <w:rPr>
                <w:rFonts w:cs="Arial"/>
                <w:sz w:val="24"/>
                <w:szCs w:val="24"/>
              </w:rPr>
            </w:pPr>
            <w:r w:rsidRPr="002A3630">
              <w:rPr>
                <w:rFonts w:cs="Arial"/>
                <w:sz w:val="24"/>
                <w:szCs w:val="24"/>
              </w:rPr>
              <w:t>Advice</w:t>
            </w:r>
            <w:r w:rsidR="005F20E1" w:rsidRPr="002A3630">
              <w:rPr>
                <w:rFonts w:cs="Arial"/>
                <w:sz w:val="24"/>
                <w:szCs w:val="24"/>
              </w:rPr>
              <w:t>.</w:t>
            </w:r>
          </w:p>
          <w:p w:rsidR="00A922CE" w:rsidRPr="002A3630" w:rsidRDefault="00A922CE" w:rsidP="00F042C8">
            <w:pPr>
              <w:spacing w:before="120"/>
              <w:rPr>
                <w:rFonts w:cs="Arial"/>
                <w:sz w:val="24"/>
                <w:szCs w:val="24"/>
              </w:rPr>
            </w:pPr>
            <w:r w:rsidRPr="002A3630">
              <w:rPr>
                <w:rFonts w:cs="Arial"/>
                <w:sz w:val="24"/>
                <w:szCs w:val="24"/>
              </w:rPr>
              <w:t>Education</w:t>
            </w:r>
            <w:r w:rsidR="005F20E1" w:rsidRPr="002A3630">
              <w:rPr>
                <w:rFonts w:cs="Arial"/>
                <w:sz w:val="24"/>
                <w:szCs w:val="24"/>
              </w:rPr>
              <w:t>.</w:t>
            </w:r>
            <w:r w:rsidRPr="002A3630">
              <w:rPr>
                <w:rFonts w:cs="Arial"/>
                <w:sz w:val="24"/>
                <w:szCs w:val="24"/>
              </w:rPr>
              <w:t xml:space="preserve"> </w:t>
            </w:r>
          </w:p>
          <w:p w:rsidR="00027868" w:rsidRPr="002A3630" w:rsidRDefault="00A922CE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2A3630">
              <w:rPr>
                <w:rFonts w:cs="Arial"/>
                <w:sz w:val="24"/>
                <w:szCs w:val="24"/>
              </w:rPr>
              <w:t>Information sharing</w:t>
            </w:r>
            <w:r w:rsidR="005F20E1" w:rsidRPr="002A3630">
              <w:rPr>
                <w:rFonts w:cs="Arial"/>
                <w:sz w:val="24"/>
                <w:szCs w:val="24"/>
              </w:rPr>
              <w:t>.</w:t>
            </w:r>
            <w:r w:rsidRPr="002A3630">
              <w:rPr>
                <w:rFonts w:cs="Arial"/>
                <w:sz w:val="24"/>
                <w:szCs w:val="24"/>
              </w:rPr>
              <w:t xml:space="preserve"> </w:t>
            </w:r>
            <w:r w:rsidR="00027868" w:rsidRPr="002A363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2A3630" w:rsidRDefault="00027868" w:rsidP="00F042C8">
            <w:pPr>
              <w:spacing w:before="120"/>
              <w:rPr>
                <w:rFonts w:cs="Arial"/>
                <w:sz w:val="24"/>
                <w:szCs w:val="24"/>
              </w:rPr>
            </w:pPr>
            <w:r w:rsidRPr="002A3630">
              <w:rPr>
                <w:rFonts w:cs="Arial"/>
                <w:sz w:val="24"/>
                <w:szCs w:val="24"/>
              </w:rPr>
              <w:t xml:space="preserve">Work with other relevant professionals and agencies </w:t>
            </w:r>
            <w:r w:rsidR="00A922CE" w:rsidRPr="002A3630">
              <w:rPr>
                <w:rFonts w:cs="Arial"/>
                <w:sz w:val="24"/>
                <w:szCs w:val="24"/>
              </w:rPr>
              <w:t>involved in the care and support of people with dementia</w:t>
            </w:r>
            <w:r w:rsidR="005F20E1" w:rsidRPr="002A3630">
              <w:rPr>
                <w:rFonts w:cs="Arial"/>
                <w:sz w:val="24"/>
                <w:szCs w:val="24"/>
              </w:rPr>
              <w:t>.</w:t>
            </w:r>
          </w:p>
          <w:p w:rsidR="006407DF" w:rsidRPr="002A3630" w:rsidRDefault="006407DF" w:rsidP="00F042C8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027868" w:rsidRDefault="00E66777" w:rsidP="00F042C8">
      <w:pPr>
        <w:spacing w:before="240"/>
        <w:rPr>
          <w:rFonts w:cs="Arial"/>
          <w:b/>
          <w:sz w:val="24"/>
          <w:szCs w:val="24"/>
        </w:rPr>
      </w:pPr>
      <w:bookmarkStart w:id="60" w:name="_Toc215319172"/>
      <w:r>
        <w:rPr>
          <w:rFonts w:cs="Arial"/>
          <w:b/>
          <w:sz w:val="24"/>
          <w:szCs w:val="24"/>
        </w:rPr>
        <w:t>7</w:t>
      </w:r>
      <w:r w:rsidR="00027868" w:rsidRPr="002A3630">
        <w:rPr>
          <w:rFonts w:cs="Arial"/>
          <w:b/>
          <w:sz w:val="24"/>
          <w:szCs w:val="24"/>
        </w:rPr>
        <w:t>.</w:t>
      </w:r>
      <w:r w:rsidR="00027868" w:rsidRPr="002A3630">
        <w:rPr>
          <w:rFonts w:cs="Arial"/>
          <w:b/>
          <w:sz w:val="24"/>
          <w:szCs w:val="24"/>
        </w:rPr>
        <w:tab/>
        <w:t>Purchase Units and Reporting Requirements</w:t>
      </w:r>
      <w:bookmarkEnd w:id="60"/>
    </w:p>
    <w:p w:rsidR="00027868" w:rsidRPr="002A3630" w:rsidRDefault="00E66777" w:rsidP="00F042C8">
      <w:pPr>
        <w:tabs>
          <w:tab w:val="left" w:pos="567"/>
          <w:tab w:val="left" w:pos="709"/>
          <w:tab w:val="left" w:pos="1701"/>
          <w:tab w:val="left" w:pos="2693"/>
        </w:tabs>
        <w:spacing w:before="120" w:after="120"/>
        <w:rPr>
          <w:rFonts w:cs="Arial"/>
          <w:sz w:val="24"/>
          <w:szCs w:val="24"/>
        </w:rPr>
      </w:pPr>
      <w:bookmarkStart w:id="61" w:name="_Toc215319173"/>
      <w:r w:rsidRPr="00F042C8">
        <w:rPr>
          <w:rFonts w:cs="Arial"/>
          <w:b/>
          <w:sz w:val="24"/>
          <w:szCs w:val="24"/>
        </w:rPr>
        <w:t>7</w:t>
      </w:r>
      <w:r w:rsidR="00CD5677" w:rsidRPr="002A3630">
        <w:rPr>
          <w:rFonts w:cs="Arial"/>
          <w:sz w:val="24"/>
          <w:szCs w:val="24"/>
        </w:rPr>
        <w:t>.1</w:t>
      </w:r>
      <w:r w:rsidR="00CD5677" w:rsidRPr="002A3630">
        <w:rPr>
          <w:rFonts w:cs="Arial"/>
          <w:sz w:val="24"/>
          <w:szCs w:val="24"/>
        </w:rPr>
        <w:tab/>
      </w:r>
      <w:r w:rsidR="00027868" w:rsidRPr="002A3630">
        <w:rPr>
          <w:rFonts w:cs="Arial"/>
          <w:sz w:val="24"/>
          <w:szCs w:val="24"/>
        </w:rPr>
        <w:t>Purchase Unit</w:t>
      </w:r>
      <w:r w:rsidR="00582C19">
        <w:rPr>
          <w:rFonts w:cs="Arial"/>
          <w:sz w:val="24"/>
          <w:szCs w:val="24"/>
        </w:rPr>
        <w:t xml:space="preserve"> (PU) Code</w:t>
      </w:r>
      <w:r w:rsidR="00027868" w:rsidRPr="002A3630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bookmarkEnd w:id="61"/>
      <w:r w:rsidR="00040239" w:rsidRPr="002A3630">
        <w:rPr>
          <w:rFonts w:cs="Arial"/>
          <w:sz w:val="24"/>
          <w:szCs w:val="24"/>
        </w:rPr>
        <w:t xml:space="preserve">The following </w:t>
      </w:r>
      <w:r w:rsidR="00582C19">
        <w:rPr>
          <w:rFonts w:cs="Arial"/>
          <w:sz w:val="24"/>
          <w:szCs w:val="24"/>
        </w:rPr>
        <w:t>codes</w:t>
      </w:r>
      <w:r w:rsidR="00040239" w:rsidRPr="002A3630">
        <w:rPr>
          <w:rFonts w:cs="Arial"/>
          <w:sz w:val="24"/>
          <w:szCs w:val="24"/>
        </w:rPr>
        <w:t xml:space="preserve"> apply to this Service.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1186"/>
        <w:gridCol w:w="2070"/>
        <w:gridCol w:w="5499"/>
        <w:gridCol w:w="1276"/>
      </w:tblGrid>
      <w:tr w:rsidR="0003165D" w:rsidRPr="002A3630" w:rsidTr="00F042C8">
        <w:tc>
          <w:tcPr>
            <w:tcW w:w="1186" w:type="dxa"/>
            <w:shd w:val="clear" w:color="auto" w:fill="D9D9D9"/>
          </w:tcPr>
          <w:p w:rsidR="0003165D" w:rsidRPr="002A3630" w:rsidRDefault="0003165D" w:rsidP="0076172E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A3630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2070" w:type="dxa"/>
            <w:shd w:val="clear" w:color="auto" w:fill="D9D9D9"/>
          </w:tcPr>
          <w:p w:rsidR="0003165D" w:rsidRPr="002A3630" w:rsidRDefault="0003165D" w:rsidP="0076172E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A3630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5499" w:type="dxa"/>
            <w:shd w:val="clear" w:color="auto" w:fill="D9D9D9"/>
          </w:tcPr>
          <w:p w:rsidR="0003165D" w:rsidRPr="002A3630" w:rsidRDefault="0003165D" w:rsidP="0076172E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A3630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1276" w:type="dxa"/>
            <w:shd w:val="clear" w:color="auto" w:fill="D9D9D9"/>
          </w:tcPr>
          <w:p w:rsidR="0003165D" w:rsidRPr="002A3630" w:rsidRDefault="00582C19" w:rsidP="0076172E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Pr="002A3630">
              <w:rPr>
                <w:rFonts w:cs="Arial"/>
                <w:b/>
                <w:sz w:val="20"/>
              </w:rPr>
              <w:t xml:space="preserve"> </w:t>
            </w:r>
            <w:r w:rsidR="0003165D" w:rsidRPr="002A3630">
              <w:rPr>
                <w:rFonts w:cs="Arial"/>
                <w:b/>
                <w:sz w:val="20"/>
              </w:rPr>
              <w:t>Measure</w:t>
            </w:r>
          </w:p>
        </w:tc>
      </w:tr>
      <w:tr w:rsidR="0003165D" w:rsidRPr="002A3630" w:rsidTr="00F042C8">
        <w:tc>
          <w:tcPr>
            <w:tcW w:w="1186" w:type="dxa"/>
          </w:tcPr>
          <w:p w:rsidR="0003165D" w:rsidRPr="002A3630" w:rsidRDefault="0003165D" w:rsidP="00582C19">
            <w:pPr>
              <w:tabs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2A3630">
              <w:rPr>
                <w:rFonts w:cs="Arial"/>
                <w:sz w:val="20"/>
              </w:rPr>
              <w:t>MHO101C</w:t>
            </w:r>
          </w:p>
        </w:tc>
        <w:tc>
          <w:tcPr>
            <w:tcW w:w="2070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2A3630">
              <w:rPr>
                <w:rFonts w:cs="Arial"/>
                <w:sz w:val="20"/>
              </w:rPr>
              <w:t xml:space="preserve">Mental Health Older People Dementia Behavioural Support – Nurses &amp; allied health </w:t>
            </w:r>
          </w:p>
        </w:tc>
        <w:tc>
          <w:tcPr>
            <w:tcW w:w="5499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2A3630">
              <w:rPr>
                <w:rFonts w:cs="Arial"/>
                <w:sz w:val="20"/>
              </w:rPr>
              <w:t>Consultation, liaison, advice, information and education service by skilled clinicians (nurses and allied health) to the community including Service Users, carers, and other service providers to older people with dementia, and thus enable a greater community awareness of dementia.</w:t>
            </w:r>
          </w:p>
        </w:tc>
        <w:tc>
          <w:tcPr>
            <w:tcW w:w="1276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2A3630">
              <w:rPr>
                <w:rFonts w:cs="Arial"/>
                <w:sz w:val="20"/>
              </w:rPr>
              <w:t>FTE</w:t>
            </w:r>
          </w:p>
        </w:tc>
      </w:tr>
      <w:tr w:rsidR="0003165D" w:rsidRPr="002A3630" w:rsidTr="00F042C8">
        <w:tc>
          <w:tcPr>
            <w:tcW w:w="1186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MHO101S</w:t>
            </w:r>
          </w:p>
        </w:tc>
        <w:tc>
          <w:tcPr>
            <w:tcW w:w="2070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2A3630">
              <w:rPr>
                <w:rFonts w:cs="Arial"/>
                <w:sz w:val="20"/>
              </w:rPr>
              <w:t>Mental Health Older People Dementia Behavioural Support</w:t>
            </w:r>
          </w:p>
        </w:tc>
        <w:tc>
          <w:tcPr>
            <w:tcW w:w="5499" w:type="dxa"/>
          </w:tcPr>
          <w:p w:rsidR="0003165D" w:rsidRPr="002A3630" w:rsidRDefault="0003165D" w:rsidP="00E66777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 w:rsidRPr="00E66777">
              <w:rPr>
                <w:rFonts w:cs="Arial"/>
                <w:sz w:val="20"/>
              </w:rPr>
              <w:t>Consultation, liaison, advice, information and education service provided to the community including service users, carers, and other service providers to older people with dementia, and thus enable a greater community awareness of dementia</w:t>
            </w:r>
          </w:p>
        </w:tc>
        <w:tc>
          <w:tcPr>
            <w:tcW w:w="1276" w:type="dxa"/>
          </w:tcPr>
          <w:p w:rsidR="0003165D" w:rsidRPr="002A3630" w:rsidRDefault="0003165D" w:rsidP="00436AE9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</w:t>
            </w:r>
          </w:p>
        </w:tc>
      </w:tr>
    </w:tbl>
    <w:p w:rsidR="00582C19" w:rsidRDefault="00582C19">
      <w:pPr>
        <w:rPr>
          <w:rFonts w:cs="Arial"/>
          <w:b/>
          <w:sz w:val="24"/>
          <w:szCs w:val="24"/>
          <w:lang w:val="en-NZ" w:eastAsia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13"/>
        <w:gridCol w:w="8618"/>
      </w:tblGrid>
      <w:tr w:rsidR="0003165D" w:rsidRPr="0003165D" w:rsidTr="00F042C8">
        <w:tc>
          <w:tcPr>
            <w:tcW w:w="1413" w:type="dxa"/>
            <w:shd w:val="clear" w:color="auto" w:fill="D9D9D9" w:themeFill="background1" w:themeFillShade="D9"/>
          </w:tcPr>
          <w:p w:rsidR="0003165D" w:rsidRPr="00F042C8" w:rsidRDefault="0003165D" w:rsidP="0003165D">
            <w:pPr>
              <w:spacing w:before="120"/>
              <w:rPr>
                <w:rFonts w:cs="Arial"/>
                <w:b/>
                <w:sz w:val="20"/>
              </w:rPr>
            </w:pPr>
            <w:bookmarkStart w:id="62" w:name="_GoBack"/>
            <w:bookmarkEnd w:id="62"/>
            <w:r w:rsidRPr="00F042C8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618" w:type="dxa"/>
            <w:shd w:val="clear" w:color="auto" w:fill="D9D9D9" w:themeFill="background1" w:themeFillShade="D9"/>
          </w:tcPr>
          <w:p w:rsidR="0003165D" w:rsidRPr="00F042C8" w:rsidRDefault="0003165D" w:rsidP="0003165D">
            <w:pPr>
              <w:spacing w:before="120"/>
              <w:rPr>
                <w:rFonts w:cs="Arial"/>
                <w:b/>
                <w:sz w:val="20"/>
              </w:rPr>
            </w:pPr>
            <w:r w:rsidRPr="00F042C8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03165D" w:rsidRPr="0003165D" w:rsidTr="00F042C8">
        <w:tc>
          <w:tcPr>
            <w:tcW w:w="1413" w:type="dxa"/>
          </w:tcPr>
          <w:p w:rsidR="0003165D" w:rsidRPr="0003165D" w:rsidRDefault="0003165D" w:rsidP="0003165D">
            <w:pPr>
              <w:spacing w:before="120"/>
              <w:jc w:val="both"/>
              <w:rPr>
                <w:rFonts w:cs="Arial"/>
                <w:sz w:val="20"/>
              </w:rPr>
            </w:pPr>
            <w:r w:rsidRPr="0003165D">
              <w:rPr>
                <w:rFonts w:cs="Arial"/>
                <w:sz w:val="20"/>
              </w:rPr>
              <w:t>FTE</w:t>
            </w:r>
          </w:p>
        </w:tc>
        <w:tc>
          <w:tcPr>
            <w:tcW w:w="8618" w:type="dxa"/>
          </w:tcPr>
          <w:p w:rsidR="0003165D" w:rsidRPr="0003165D" w:rsidRDefault="0003165D" w:rsidP="0003165D">
            <w:pPr>
              <w:spacing w:before="120"/>
              <w:jc w:val="both"/>
              <w:rPr>
                <w:rFonts w:cs="Arial"/>
                <w:sz w:val="20"/>
              </w:rPr>
            </w:pPr>
            <w:r w:rsidRPr="0003165D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03165D" w:rsidRPr="0003165D" w:rsidTr="00F042C8">
        <w:tc>
          <w:tcPr>
            <w:tcW w:w="1413" w:type="dxa"/>
          </w:tcPr>
          <w:p w:rsidR="0003165D" w:rsidRPr="0003165D" w:rsidRDefault="0003165D" w:rsidP="0003165D">
            <w:pPr>
              <w:spacing w:before="120"/>
              <w:jc w:val="both"/>
              <w:rPr>
                <w:rFonts w:cs="Arial"/>
                <w:sz w:val="20"/>
              </w:rPr>
            </w:pPr>
            <w:r w:rsidRPr="0003165D">
              <w:rPr>
                <w:rFonts w:cs="Arial"/>
                <w:sz w:val="20"/>
              </w:rPr>
              <w:t>Service</w:t>
            </w:r>
          </w:p>
        </w:tc>
        <w:tc>
          <w:tcPr>
            <w:tcW w:w="8618" w:type="dxa"/>
          </w:tcPr>
          <w:p w:rsidR="0003165D" w:rsidRPr="0003165D" w:rsidRDefault="0003165D" w:rsidP="0003165D">
            <w:pPr>
              <w:spacing w:before="120"/>
              <w:jc w:val="both"/>
              <w:rPr>
                <w:rFonts w:cs="Arial"/>
                <w:sz w:val="20"/>
              </w:rPr>
            </w:pPr>
            <w:r w:rsidRPr="0003165D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D0759B" w:rsidRDefault="00D0759B">
      <w:pPr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br w:type="page"/>
      </w:r>
    </w:p>
    <w:p w:rsidR="00CD5677" w:rsidRPr="002A3630" w:rsidRDefault="00E66777" w:rsidP="00CD5677">
      <w:pPr>
        <w:spacing w:before="120"/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lastRenderedPageBreak/>
        <w:t>7</w:t>
      </w:r>
      <w:r w:rsidR="00CD5677" w:rsidRPr="002A3630">
        <w:rPr>
          <w:rFonts w:cs="Arial"/>
          <w:b/>
          <w:sz w:val="24"/>
          <w:szCs w:val="24"/>
          <w:lang w:val="en-NZ" w:eastAsia="en-US"/>
        </w:rPr>
        <w:t>.2</w:t>
      </w:r>
      <w:r w:rsidR="00CD5677" w:rsidRPr="002A3630">
        <w:rPr>
          <w:rFonts w:cs="Arial"/>
          <w:b/>
          <w:sz w:val="24"/>
          <w:szCs w:val="24"/>
          <w:lang w:val="en-NZ" w:eastAsia="en-US"/>
        </w:rPr>
        <w:tab/>
        <w:t>Reporting</w:t>
      </w:r>
    </w:p>
    <w:p w:rsidR="00ED5BBC" w:rsidRPr="00ED5BBC" w:rsidRDefault="00ED5BBC" w:rsidP="00ED5BBC">
      <w:pPr>
        <w:spacing w:before="120"/>
        <w:rPr>
          <w:rFonts w:cs="Arial"/>
          <w:sz w:val="24"/>
          <w:szCs w:val="24"/>
        </w:rPr>
      </w:pPr>
      <w:r w:rsidRPr="00ED5BBC">
        <w:rPr>
          <w:rFonts w:cs="Arial"/>
          <w:sz w:val="24"/>
          <w:szCs w:val="24"/>
        </w:rPr>
        <w:t>The Provider must comply with the requirements of national data collections: PRIMHD.</w:t>
      </w:r>
    </w:p>
    <w:p w:rsidR="00ED5BBC" w:rsidRPr="00ED5BBC" w:rsidRDefault="00ED5BBC" w:rsidP="00ED5BBC">
      <w:pPr>
        <w:spacing w:before="120" w:after="120"/>
        <w:rPr>
          <w:rFonts w:cs="Arial"/>
          <w:sz w:val="24"/>
          <w:szCs w:val="24"/>
        </w:rPr>
      </w:pPr>
      <w:r w:rsidRPr="00ED5BBC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ED5BBC" w:rsidRPr="00ED5BBC" w:rsidRDefault="00ED5BBC" w:rsidP="00ED5BBC">
      <w:pPr>
        <w:spacing w:before="120"/>
        <w:rPr>
          <w:rFonts w:cs="Arial"/>
          <w:sz w:val="24"/>
          <w:szCs w:val="24"/>
        </w:rPr>
      </w:pPr>
      <w:r w:rsidRPr="00ED5BBC">
        <w:rPr>
          <w:rFonts w:cs="Arial"/>
          <w:sz w:val="24"/>
          <w:szCs w:val="24"/>
        </w:rPr>
        <w:t>The information required by the Funder will be sent to:</w:t>
      </w:r>
    </w:p>
    <w:p w:rsidR="00ED5BBC" w:rsidRPr="00ED5BBC" w:rsidRDefault="00ED5BBC" w:rsidP="00ED5BBC">
      <w:pPr>
        <w:spacing w:before="120"/>
        <w:ind w:left="720"/>
        <w:rPr>
          <w:sz w:val="24"/>
        </w:rPr>
      </w:pPr>
      <w:r w:rsidRPr="00ED5BBC">
        <w:rPr>
          <w:sz w:val="24"/>
        </w:rPr>
        <w:t>Performance Reporting</w:t>
      </w:r>
    </w:p>
    <w:p w:rsidR="00ED5BBC" w:rsidRPr="00ED5BBC" w:rsidRDefault="00ED5BBC" w:rsidP="00ED5BBC">
      <w:pPr>
        <w:spacing w:before="120"/>
        <w:ind w:left="720"/>
        <w:rPr>
          <w:sz w:val="24"/>
        </w:rPr>
      </w:pPr>
      <w:r w:rsidRPr="00ED5BBC">
        <w:rPr>
          <w:sz w:val="24"/>
        </w:rPr>
        <w:t>Sector Operations</w:t>
      </w:r>
    </w:p>
    <w:p w:rsidR="00ED5BBC" w:rsidRPr="00ED5BBC" w:rsidRDefault="00ED5BBC" w:rsidP="00ED5BBC">
      <w:pPr>
        <w:spacing w:before="120"/>
        <w:ind w:left="720"/>
        <w:rPr>
          <w:sz w:val="24"/>
        </w:rPr>
      </w:pPr>
      <w:r w:rsidRPr="00ED5BBC">
        <w:rPr>
          <w:sz w:val="24"/>
        </w:rPr>
        <w:t>Ministry of Health</w:t>
      </w:r>
    </w:p>
    <w:p w:rsidR="00ED5BBC" w:rsidRPr="00ED5BBC" w:rsidRDefault="00ED5BBC" w:rsidP="00ED5BBC">
      <w:pPr>
        <w:spacing w:before="120"/>
        <w:ind w:left="720"/>
        <w:rPr>
          <w:sz w:val="24"/>
        </w:rPr>
      </w:pPr>
      <w:r w:rsidRPr="00ED5BBC">
        <w:rPr>
          <w:sz w:val="24"/>
        </w:rPr>
        <w:t>Private Bag 1942</w:t>
      </w:r>
    </w:p>
    <w:p w:rsidR="00ED5BBC" w:rsidRPr="00ED5BBC" w:rsidRDefault="00ED5BBC" w:rsidP="00ED5BBC">
      <w:pPr>
        <w:spacing w:before="120"/>
        <w:ind w:left="720"/>
        <w:rPr>
          <w:sz w:val="24"/>
        </w:rPr>
      </w:pPr>
      <w:r w:rsidRPr="00ED5BBC">
        <w:rPr>
          <w:sz w:val="24"/>
        </w:rPr>
        <w:t>Dunedin 9054</w:t>
      </w:r>
    </w:p>
    <w:p w:rsidR="00ED5BBC" w:rsidRPr="00ED5BBC" w:rsidRDefault="00ED5BBC" w:rsidP="00ED5BBC">
      <w:pPr>
        <w:spacing w:before="120"/>
        <w:rPr>
          <w:rFonts w:cs="Arial"/>
          <w:sz w:val="24"/>
          <w:szCs w:val="24"/>
        </w:rPr>
      </w:pPr>
      <w:r w:rsidRPr="00ED5BBC">
        <w:rPr>
          <w:rFonts w:cs="Arial"/>
          <w:sz w:val="24"/>
          <w:szCs w:val="24"/>
        </w:rPr>
        <w:t xml:space="preserve">Email </w:t>
      </w:r>
      <w:hyperlink r:id="rId9" w:history="1">
        <w:r w:rsidRPr="00ED5BBC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ED5BBC" w:rsidRPr="00ED5BBC" w:rsidRDefault="00ED5BBC" w:rsidP="00F042C8">
      <w:pPr>
        <w:spacing w:before="120" w:after="120"/>
        <w:rPr>
          <w:rFonts w:cs="Arial"/>
        </w:rPr>
      </w:pPr>
      <w:r w:rsidRPr="00ED5BBC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ED5BBC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ED5BBC">
        <w:rPr>
          <w:rFonts w:cs="Arial"/>
          <w:sz w:val="24"/>
          <w:szCs w:val="24"/>
          <w:vertAlign w:val="superscript"/>
        </w:rPr>
        <w:footnoteReference w:id="1"/>
      </w:r>
      <w:r w:rsidRPr="00ED5BBC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853FBB" w:rsidRPr="002A3630" w:rsidRDefault="00853FBB" w:rsidP="00ED5BBC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  <w:sz w:val="24"/>
          <w:szCs w:val="24"/>
        </w:rPr>
      </w:pPr>
    </w:p>
    <w:sectPr w:rsidR="00853FBB" w:rsidRPr="002A3630" w:rsidSect="00FF5CE6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7" w:rsidRDefault="006E5EE7">
      <w:r>
        <w:separator/>
      </w:r>
    </w:p>
  </w:endnote>
  <w:endnote w:type="continuationSeparator" w:id="0">
    <w:p w:rsidR="006E5EE7" w:rsidRDefault="006E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B8" w:rsidRDefault="003C76B8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6B8" w:rsidRDefault="003C76B8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B8" w:rsidRDefault="003C76B8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8E">
      <w:rPr>
        <w:rStyle w:val="PageNumber"/>
        <w:noProof/>
      </w:rPr>
      <w:t>4</w:t>
    </w:r>
    <w:r>
      <w:rPr>
        <w:rStyle w:val="PageNumber"/>
      </w:rPr>
      <w:fldChar w:fldCharType="end"/>
    </w:r>
  </w:p>
  <w:p w:rsidR="003C76B8" w:rsidRPr="008D5004" w:rsidRDefault="003C76B8" w:rsidP="00FF5CE6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8D5004">
      <w:rPr>
        <w:rFonts w:ascii="Arial" w:hAnsi="Arial" w:cs="Arial"/>
        <w:sz w:val="20"/>
      </w:rPr>
      <w:t xml:space="preserve">Mental Health of Older People </w:t>
    </w:r>
    <w:r w:rsidR="00C863E2">
      <w:rPr>
        <w:rFonts w:ascii="Arial" w:hAnsi="Arial" w:cs="Arial"/>
        <w:sz w:val="20"/>
      </w:rPr>
      <w:t xml:space="preserve">- </w:t>
    </w:r>
    <w:r w:rsidRPr="008D5004">
      <w:rPr>
        <w:rFonts w:ascii="Arial" w:hAnsi="Arial" w:cs="Arial"/>
        <w:sz w:val="20"/>
      </w:rPr>
      <w:t xml:space="preserve">Dementia Behavioural Support Advisory </w:t>
    </w:r>
    <w:r w:rsidR="00C863E2">
      <w:rPr>
        <w:rFonts w:ascii="Arial" w:hAnsi="Arial" w:cs="Arial"/>
        <w:sz w:val="20"/>
      </w:rPr>
      <w:t xml:space="preserve">Service, </w:t>
    </w:r>
    <w:r w:rsidRPr="008D5004">
      <w:rPr>
        <w:rFonts w:ascii="Arial" w:hAnsi="Arial" w:cs="Arial"/>
        <w:sz w:val="20"/>
      </w:rPr>
      <w:t xml:space="preserve">Mental Health and Addiction Services, </w:t>
    </w:r>
    <w:r w:rsidR="00E66777" w:rsidRPr="008D5004">
      <w:rPr>
        <w:rFonts w:ascii="Arial" w:hAnsi="Arial" w:cs="Arial"/>
        <w:sz w:val="20"/>
      </w:rPr>
      <w:t xml:space="preserve">tier three </w:t>
    </w:r>
    <w:r w:rsidRPr="008D5004">
      <w:rPr>
        <w:rFonts w:ascii="Arial" w:hAnsi="Arial" w:cs="Arial"/>
        <w:sz w:val="20"/>
      </w:rPr>
      <w:t xml:space="preserve">service specification </w:t>
    </w:r>
    <w:r w:rsidR="00ED5BBC">
      <w:rPr>
        <w:rFonts w:ascii="Arial" w:hAnsi="Arial" w:cs="Arial"/>
        <w:sz w:val="20"/>
      </w:rPr>
      <w:t>April 2017</w:t>
    </w:r>
  </w:p>
  <w:p w:rsidR="003C76B8" w:rsidRPr="008D5004" w:rsidRDefault="003C76B8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8D500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7" w:rsidRDefault="006E5EE7">
      <w:r>
        <w:separator/>
      </w:r>
    </w:p>
  </w:footnote>
  <w:footnote w:type="continuationSeparator" w:id="0">
    <w:p w:rsidR="006E5EE7" w:rsidRDefault="006E5EE7">
      <w:r>
        <w:continuationSeparator/>
      </w:r>
    </w:p>
  </w:footnote>
  <w:footnote w:id="1">
    <w:p w:rsidR="00ED5BBC" w:rsidRPr="006F249C" w:rsidRDefault="00ED5BBC" w:rsidP="00ED5B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F53061A"/>
    <w:multiLevelType w:val="hybridMultilevel"/>
    <w:tmpl w:val="016AB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311"/>
    <w:multiLevelType w:val="hybridMultilevel"/>
    <w:tmpl w:val="21BA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6731A"/>
    <w:multiLevelType w:val="hybridMultilevel"/>
    <w:tmpl w:val="CD1663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37101D99"/>
    <w:multiLevelType w:val="hybridMultilevel"/>
    <w:tmpl w:val="401E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046090"/>
    <w:multiLevelType w:val="hybridMultilevel"/>
    <w:tmpl w:val="7DB86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0146F2"/>
    <w:multiLevelType w:val="hybridMultilevel"/>
    <w:tmpl w:val="C55A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A0950"/>
    <w:multiLevelType w:val="hybridMultilevel"/>
    <w:tmpl w:val="93A24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73A47"/>
    <w:multiLevelType w:val="hybridMultilevel"/>
    <w:tmpl w:val="6DAE424A"/>
    <w:lvl w:ilvl="0" w:tplc="76786C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2B0420E"/>
    <w:multiLevelType w:val="hybridMultilevel"/>
    <w:tmpl w:val="A4A83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7FC32DEE"/>
    <w:multiLevelType w:val="hybridMultilevel"/>
    <w:tmpl w:val="BA2223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23F35"/>
    <w:rsid w:val="00027868"/>
    <w:rsid w:val="0003165D"/>
    <w:rsid w:val="00040239"/>
    <w:rsid w:val="0004390B"/>
    <w:rsid w:val="000439D3"/>
    <w:rsid w:val="00057927"/>
    <w:rsid w:val="00071312"/>
    <w:rsid w:val="00084C35"/>
    <w:rsid w:val="000B3FF7"/>
    <w:rsid w:val="000C0A5B"/>
    <w:rsid w:val="000D13B3"/>
    <w:rsid w:val="000F4418"/>
    <w:rsid w:val="0010691A"/>
    <w:rsid w:val="00117CF8"/>
    <w:rsid w:val="00127D28"/>
    <w:rsid w:val="001B3CAF"/>
    <w:rsid w:val="001E0503"/>
    <w:rsid w:val="001E774D"/>
    <w:rsid w:val="00212B01"/>
    <w:rsid w:val="0022753E"/>
    <w:rsid w:val="00243A7F"/>
    <w:rsid w:val="00250B57"/>
    <w:rsid w:val="002928D0"/>
    <w:rsid w:val="002A35CE"/>
    <w:rsid w:val="002A3630"/>
    <w:rsid w:val="002B4808"/>
    <w:rsid w:val="002D64FD"/>
    <w:rsid w:val="002E5323"/>
    <w:rsid w:val="00301446"/>
    <w:rsid w:val="00303ADF"/>
    <w:rsid w:val="00311EC3"/>
    <w:rsid w:val="00322C8E"/>
    <w:rsid w:val="00350E06"/>
    <w:rsid w:val="0036550B"/>
    <w:rsid w:val="00396AEF"/>
    <w:rsid w:val="003B1C13"/>
    <w:rsid w:val="003C76B8"/>
    <w:rsid w:val="003D3E39"/>
    <w:rsid w:val="004020E4"/>
    <w:rsid w:val="00436AE9"/>
    <w:rsid w:val="0044257B"/>
    <w:rsid w:val="0045068E"/>
    <w:rsid w:val="004852B1"/>
    <w:rsid w:val="004C2537"/>
    <w:rsid w:val="004E44C2"/>
    <w:rsid w:val="004E7689"/>
    <w:rsid w:val="00582C19"/>
    <w:rsid w:val="005868F0"/>
    <w:rsid w:val="005E3B05"/>
    <w:rsid w:val="005F0608"/>
    <w:rsid w:val="005F20E1"/>
    <w:rsid w:val="006101F7"/>
    <w:rsid w:val="00622ACE"/>
    <w:rsid w:val="00627D70"/>
    <w:rsid w:val="00632602"/>
    <w:rsid w:val="00633676"/>
    <w:rsid w:val="006407DF"/>
    <w:rsid w:val="00641262"/>
    <w:rsid w:val="00657A1A"/>
    <w:rsid w:val="006624C9"/>
    <w:rsid w:val="00695506"/>
    <w:rsid w:val="006D1B35"/>
    <w:rsid w:val="006E5EE7"/>
    <w:rsid w:val="006E7C5C"/>
    <w:rsid w:val="00706C62"/>
    <w:rsid w:val="00726D43"/>
    <w:rsid w:val="00741950"/>
    <w:rsid w:val="00753A8B"/>
    <w:rsid w:val="007553ED"/>
    <w:rsid w:val="0076172E"/>
    <w:rsid w:val="00776884"/>
    <w:rsid w:val="0079361C"/>
    <w:rsid w:val="007942B6"/>
    <w:rsid w:val="00796080"/>
    <w:rsid w:val="007B5355"/>
    <w:rsid w:val="007C4A98"/>
    <w:rsid w:val="007C6CCE"/>
    <w:rsid w:val="00840025"/>
    <w:rsid w:val="00853FBB"/>
    <w:rsid w:val="0088208D"/>
    <w:rsid w:val="008B13C1"/>
    <w:rsid w:val="008D5004"/>
    <w:rsid w:val="008E149C"/>
    <w:rsid w:val="008E2BA5"/>
    <w:rsid w:val="0090786A"/>
    <w:rsid w:val="009601E3"/>
    <w:rsid w:val="00961B47"/>
    <w:rsid w:val="00966ED1"/>
    <w:rsid w:val="00996476"/>
    <w:rsid w:val="009D5E04"/>
    <w:rsid w:val="009D7B6F"/>
    <w:rsid w:val="009E1F6A"/>
    <w:rsid w:val="009E5113"/>
    <w:rsid w:val="00A62CDE"/>
    <w:rsid w:val="00A922CE"/>
    <w:rsid w:val="00AA4A37"/>
    <w:rsid w:val="00B20FC4"/>
    <w:rsid w:val="00B31D2D"/>
    <w:rsid w:val="00B52E67"/>
    <w:rsid w:val="00B60415"/>
    <w:rsid w:val="00B647A5"/>
    <w:rsid w:val="00B81386"/>
    <w:rsid w:val="00B838D5"/>
    <w:rsid w:val="00C11CAC"/>
    <w:rsid w:val="00C43965"/>
    <w:rsid w:val="00C863E2"/>
    <w:rsid w:val="00CB4BFF"/>
    <w:rsid w:val="00CC4049"/>
    <w:rsid w:val="00CC4876"/>
    <w:rsid w:val="00CD5677"/>
    <w:rsid w:val="00CE56FB"/>
    <w:rsid w:val="00CF73B5"/>
    <w:rsid w:val="00D0759B"/>
    <w:rsid w:val="00D11A15"/>
    <w:rsid w:val="00D26EA9"/>
    <w:rsid w:val="00D4205E"/>
    <w:rsid w:val="00D54A69"/>
    <w:rsid w:val="00D62D40"/>
    <w:rsid w:val="00D719C6"/>
    <w:rsid w:val="00D85F58"/>
    <w:rsid w:val="00DA10F7"/>
    <w:rsid w:val="00DB57B1"/>
    <w:rsid w:val="00DC4643"/>
    <w:rsid w:val="00DE0720"/>
    <w:rsid w:val="00DF7973"/>
    <w:rsid w:val="00E034C9"/>
    <w:rsid w:val="00E25426"/>
    <w:rsid w:val="00E56ED4"/>
    <w:rsid w:val="00E66777"/>
    <w:rsid w:val="00E728B0"/>
    <w:rsid w:val="00E7646D"/>
    <w:rsid w:val="00E975D7"/>
    <w:rsid w:val="00ED5BBC"/>
    <w:rsid w:val="00EE646F"/>
    <w:rsid w:val="00F042C8"/>
    <w:rsid w:val="00F16BD2"/>
    <w:rsid w:val="00F701CB"/>
    <w:rsid w:val="00F7270F"/>
    <w:rsid w:val="00F80124"/>
    <w:rsid w:val="00F964C8"/>
    <w:rsid w:val="00FA518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0141220-4B33-470C-A363-26787C5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7CF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3A7F"/>
    <w:pPr>
      <w:jc w:val="both"/>
    </w:pPr>
    <w:rPr>
      <w:rFonts w:ascii="Times New Roman" w:hAnsi="Times New Roman"/>
      <w:b/>
      <w:i/>
      <w:sz w:val="24"/>
      <w:lang w:val="en-AU" w:eastAsia="en-US"/>
    </w:rPr>
  </w:style>
  <w:style w:type="paragraph" w:customStyle="1" w:styleId="Bullet">
    <w:name w:val="Bullet"/>
    <w:basedOn w:val="Normal"/>
    <w:rsid w:val="00243A7F"/>
    <w:pPr>
      <w:spacing w:before="120"/>
      <w:jc w:val="both"/>
    </w:pPr>
    <w:rPr>
      <w:rFonts w:ascii="Times New Roman Mäori" w:hAnsi="Times New Roman Mäori"/>
      <w:lang w:val="en-NZ" w:eastAsia="en-US"/>
    </w:rPr>
  </w:style>
  <w:style w:type="character" w:styleId="CommentReference">
    <w:name w:val="annotation reference"/>
    <w:basedOn w:val="DefaultParagraphFont"/>
    <w:semiHidden/>
    <w:rsid w:val="003C76B8"/>
    <w:rPr>
      <w:sz w:val="16"/>
      <w:szCs w:val="16"/>
    </w:rPr>
  </w:style>
  <w:style w:type="paragraph" w:styleId="CommentText">
    <w:name w:val="annotation text"/>
    <w:basedOn w:val="Normal"/>
    <w:semiHidden/>
    <w:rsid w:val="003C76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C76B8"/>
    <w:rPr>
      <w:b/>
      <w:bCs/>
    </w:rPr>
  </w:style>
  <w:style w:type="paragraph" w:customStyle="1" w:styleId="CharCharCharCharChar">
    <w:name w:val="Char Char Char Char Char"/>
    <w:basedOn w:val="Normal"/>
    <w:next w:val="Normal"/>
    <w:semiHidden/>
    <w:rsid w:val="00853FBB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CharCharCharCharChar0">
    <w:name w:val="Char Char Char Char Char"/>
    <w:basedOn w:val="Normal"/>
    <w:next w:val="Normal"/>
    <w:semiHidden/>
    <w:rsid w:val="00A62CD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styleId="Revision">
    <w:name w:val="Revision"/>
    <w:hidden/>
    <w:uiPriority w:val="99"/>
    <w:semiHidden/>
    <w:rsid w:val="00E66777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E66777"/>
    <w:pPr>
      <w:tabs>
        <w:tab w:val="left" w:pos="4253"/>
      </w:tabs>
      <w:spacing w:after="60"/>
      <w:ind w:left="851"/>
    </w:pPr>
    <w:rPr>
      <w:rFonts w:ascii="Times New Roman" w:hAnsi="Times New Roman"/>
      <w:sz w:val="20"/>
      <w:szCs w:val="24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66777"/>
    <w:rPr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66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CE416D0D</Template>
  <TotalTime>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5</cp:revision>
  <dcterms:created xsi:type="dcterms:W3CDTF">2017-04-12T22:22:00Z</dcterms:created>
  <dcterms:modified xsi:type="dcterms:W3CDTF">2017-05-01T23:00:00Z</dcterms:modified>
</cp:coreProperties>
</file>