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673255">
        <w:trPr>
          <w:cantSplit/>
        </w:trPr>
        <w:tc>
          <w:tcPr>
            <w:tcW w:w="4428" w:type="dxa"/>
            <w:vAlign w:val="center"/>
          </w:tcPr>
          <w:p w:rsidR="00027868" w:rsidRPr="00673255" w:rsidRDefault="00532027" w:rsidP="00027868">
            <w:pPr>
              <w:rPr>
                <w:bCs/>
                <w:sz w:val="34"/>
                <w:szCs w:val="34"/>
                <w:lang w:val="en-NZ"/>
              </w:rPr>
            </w:pPr>
            <w:r>
              <w:rPr>
                <w:noProof/>
                <w:sz w:val="23"/>
                <w:szCs w:val="23"/>
                <w:lang w:val="en-NZ" w:eastAsia="en-NZ"/>
              </w:rPr>
              <w:drawing>
                <wp:inline distT="0" distB="0" distL="0" distR="0" wp14:anchorId="14FDE2A6" wp14:editId="6AECC84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B038FE" w:rsidRDefault="00011213" w:rsidP="00027868">
            <w:pPr>
              <w:jc w:val="right"/>
              <w:rPr>
                <w:b/>
                <w:bCs/>
                <w:sz w:val="34"/>
                <w:szCs w:val="34"/>
                <w:lang w:val="en-NZ"/>
              </w:rPr>
            </w:pPr>
            <w:r w:rsidRPr="00B038FE">
              <w:rPr>
                <w:b/>
                <w:sz w:val="32"/>
                <w:szCs w:val="32"/>
                <w:lang w:val="en-NZ"/>
              </w:rPr>
              <w:t>All District Health Boards</w:t>
            </w:r>
          </w:p>
        </w:tc>
      </w:tr>
      <w:tr w:rsidR="00027868" w:rsidRPr="00F42628" w:rsidTr="000A43C6">
        <w:tc>
          <w:tcPr>
            <w:tcW w:w="9627" w:type="dxa"/>
            <w:gridSpan w:val="3"/>
            <w:tcBorders>
              <w:bottom w:val="single" w:sz="4" w:space="0" w:color="auto"/>
            </w:tcBorders>
          </w:tcPr>
          <w:p w:rsidR="00DF0E8A" w:rsidRDefault="00011213" w:rsidP="00EA089E">
            <w:pPr>
              <w:pStyle w:val="Title"/>
              <w:spacing w:before="2280"/>
              <w:rPr>
                <w:rFonts w:cs="Arial"/>
                <w:sz w:val="36"/>
                <w:szCs w:val="36"/>
              </w:rPr>
            </w:pPr>
            <w:r w:rsidRPr="00DF0E8A">
              <w:rPr>
                <w:rFonts w:cs="Arial"/>
                <w:sz w:val="36"/>
                <w:szCs w:val="36"/>
              </w:rPr>
              <w:t xml:space="preserve">KAUPAPA </w:t>
            </w:r>
            <w:r w:rsidRPr="00DF0E8A">
              <w:rPr>
                <w:sz w:val="36"/>
                <w:szCs w:val="36"/>
              </w:rPr>
              <w:t>MĀORI</w:t>
            </w:r>
            <w:r>
              <w:rPr>
                <w:sz w:val="36"/>
                <w:szCs w:val="36"/>
              </w:rPr>
              <w:t xml:space="preserve"> MENTAL HEALTH SERVICES -</w:t>
            </w:r>
            <w:r w:rsidR="00FD3F04">
              <w:rPr>
                <w:rFonts w:cs="Arial"/>
                <w:sz w:val="36"/>
                <w:szCs w:val="36"/>
              </w:rPr>
              <w:t>KAUM</w:t>
            </w:r>
            <w:r w:rsidR="00364279">
              <w:rPr>
                <w:rFonts w:cs="Arial"/>
                <w:sz w:val="36"/>
                <w:szCs w:val="36"/>
              </w:rPr>
              <w:t>Ā</w:t>
            </w:r>
            <w:r w:rsidR="00FD3F04">
              <w:rPr>
                <w:rFonts w:cs="Arial"/>
                <w:sz w:val="36"/>
                <w:szCs w:val="36"/>
              </w:rPr>
              <w:t>TUA ROLES</w:t>
            </w:r>
          </w:p>
          <w:p w:rsidR="00011213" w:rsidRPr="00DF0E8A" w:rsidRDefault="00011213" w:rsidP="00EA089E">
            <w:pPr>
              <w:pStyle w:val="Title"/>
              <w:spacing w:before="120"/>
              <w:ind w:left="2880" w:hanging="2880"/>
              <w:rPr>
                <w:rFonts w:cs="Arial"/>
                <w:sz w:val="36"/>
                <w:szCs w:val="36"/>
              </w:rPr>
            </w:pPr>
            <w:r>
              <w:rPr>
                <w:rFonts w:cs="Arial"/>
                <w:sz w:val="36"/>
                <w:szCs w:val="36"/>
              </w:rPr>
              <w:t>MENTAL HEALTH AND ADDICTION SERVICES</w:t>
            </w:r>
          </w:p>
          <w:p w:rsidR="00027868" w:rsidRPr="00C6268B" w:rsidRDefault="00027868" w:rsidP="00EA089E">
            <w:pPr>
              <w:spacing w:before="120"/>
              <w:jc w:val="center"/>
              <w:rPr>
                <w:rFonts w:cs="Arial"/>
                <w:b/>
                <w:sz w:val="36"/>
                <w:szCs w:val="36"/>
              </w:rPr>
            </w:pPr>
            <w:r w:rsidRPr="00C6268B">
              <w:rPr>
                <w:rFonts w:cs="Arial"/>
                <w:b/>
                <w:sz w:val="36"/>
                <w:szCs w:val="36"/>
              </w:rPr>
              <w:t xml:space="preserve">TIER </w:t>
            </w:r>
            <w:r w:rsidR="00DF0E8A">
              <w:rPr>
                <w:rFonts w:cs="Arial"/>
                <w:b/>
                <w:sz w:val="36"/>
                <w:szCs w:val="36"/>
              </w:rPr>
              <w:t>THREE</w:t>
            </w:r>
          </w:p>
          <w:p w:rsidR="00027868" w:rsidRDefault="00027868" w:rsidP="00EA089E">
            <w:pPr>
              <w:spacing w:before="120"/>
              <w:jc w:val="center"/>
              <w:rPr>
                <w:rFonts w:cs="Arial"/>
                <w:b/>
                <w:sz w:val="36"/>
                <w:szCs w:val="36"/>
              </w:rPr>
            </w:pPr>
            <w:bookmarkStart w:id="0" w:name="_Toc206406492"/>
            <w:bookmarkStart w:id="1" w:name="_Toc215319103"/>
            <w:r w:rsidRPr="00C6268B">
              <w:rPr>
                <w:rFonts w:cs="Arial"/>
                <w:b/>
                <w:sz w:val="36"/>
                <w:szCs w:val="36"/>
              </w:rPr>
              <w:t>SERVICE SPECIFICATION</w:t>
            </w:r>
            <w:bookmarkEnd w:id="0"/>
            <w:bookmarkEnd w:id="1"/>
          </w:p>
          <w:p w:rsidR="002214C9" w:rsidRPr="00855E18" w:rsidRDefault="002214C9" w:rsidP="00027868">
            <w:pPr>
              <w:spacing w:before="120" w:after="120"/>
              <w:jc w:val="center"/>
              <w:rPr>
                <w:rFonts w:ascii="Arial Mäori" w:hAnsi="Arial Mäori"/>
              </w:rPr>
            </w:pPr>
          </w:p>
        </w:tc>
      </w:tr>
      <w:tr w:rsidR="00EA089E" w:rsidRPr="00F42628" w:rsidTr="00AD7D1B">
        <w:trPr>
          <w:trHeight w:val="1531"/>
        </w:trPr>
        <w:tc>
          <w:tcPr>
            <w:tcW w:w="6321" w:type="dxa"/>
            <w:gridSpan w:val="2"/>
          </w:tcPr>
          <w:p w:rsidR="00EA089E" w:rsidRPr="00C6268B" w:rsidRDefault="00EA089E" w:rsidP="00EA089E">
            <w:pPr>
              <w:spacing w:before="120" w:after="120"/>
              <w:rPr>
                <w:sz w:val="32"/>
                <w:szCs w:val="32"/>
              </w:rPr>
            </w:pPr>
            <w:bookmarkStart w:id="2" w:name="_Toc206389498"/>
            <w:bookmarkStart w:id="3" w:name="_Toc206401874"/>
            <w:bookmarkStart w:id="4" w:name="_Toc206403843"/>
            <w:bookmarkStart w:id="5" w:name="_Toc206404571"/>
            <w:bookmarkStart w:id="6" w:name="_Toc206405301"/>
            <w:bookmarkStart w:id="7" w:name="_Toc206405337"/>
            <w:bookmarkStart w:id="8" w:name="_Toc206406064"/>
            <w:bookmarkStart w:id="9" w:name="_Toc215319104"/>
            <w:r w:rsidRPr="00192CCA">
              <w:rPr>
                <w:b/>
                <w:sz w:val="32"/>
                <w:szCs w:val="32"/>
              </w:rPr>
              <w:t xml:space="preserve">STATUS: </w:t>
            </w:r>
            <w:r w:rsidRPr="00192CCA">
              <w:rPr>
                <w:b/>
                <w:sz w:val="24"/>
                <w:szCs w:val="24"/>
              </w:rPr>
              <w:t>These service specifications may be amended to meet local agreement needs.</w:t>
            </w:r>
            <w:bookmarkEnd w:id="2"/>
            <w:bookmarkEnd w:id="3"/>
            <w:bookmarkEnd w:id="4"/>
            <w:bookmarkEnd w:id="5"/>
            <w:bookmarkEnd w:id="6"/>
            <w:bookmarkEnd w:id="7"/>
            <w:bookmarkEnd w:id="8"/>
            <w:bookmarkEnd w:id="9"/>
          </w:p>
        </w:tc>
        <w:tc>
          <w:tcPr>
            <w:tcW w:w="3306" w:type="dxa"/>
          </w:tcPr>
          <w:p w:rsidR="00EA089E" w:rsidRPr="000A43C6" w:rsidRDefault="00EA089E" w:rsidP="00EA089E">
            <w:pPr>
              <w:spacing w:before="120" w:after="120"/>
              <w:rPr>
                <w:b/>
                <w:sz w:val="36"/>
                <w:szCs w:val="36"/>
              </w:rPr>
            </w:pPr>
            <w:bookmarkStart w:id="10" w:name="_Toc206389499"/>
            <w:bookmarkStart w:id="11" w:name="_Toc215319108"/>
            <w:r w:rsidRPr="00EC3E69">
              <w:rPr>
                <w:b/>
                <w:sz w:val="32"/>
                <w:szCs w:val="32"/>
              </w:rPr>
              <w:t>NON-MANDATORY</w:t>
            </w:r>
            <w:bookmarkEnd w:id="10"/>
            <w:bookmarkEnd w:id="11"/>
          </w:p>
        </w:tc>
      </w:tr>
      <w:tr w:rsidR="00027868" w:rsidRPr="00F42628" w:rsidTr="000A43C6">
        <w:trPr>
          <w:trHeight w:val="297"/>
        </w:trPr>
        <w:tc>
          <w:tcPr>
            <w:tcW w:w="6321" w:type="dxa"/>
            <w:gridSpan w:val="2"/>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12" w:name="_Toc206389500"/>
            <w:bookmarkStart w:id="13" w:name="_Toc206401875"/>
            <w:bookmarkStart w:id="14" w:name="_Toc206403844"/>
            <w:bookmarkStart w:id="15" w:name="_Toc206404572"/>
            <w:bookmarkStart w:id="16" w:name="_Toc206405302"/>
            <w:bookmarkStart w:id="17" w:name="_Toc206405338"/>
            <w:bookmarkStart w:id="18" w:name="_Toc206406065"/>
            <w:bookmarkStart w:id="19" w:name="_Toc215319110"/>
            <w:r w:rsidRPr="00C6268B">
              <w:rPr>
                <w:b/>
                <w:sz w:val="32"/>
                <w:szCs w:val="32"/>
              </w:rPr>
              <w:t>Review History</w:t>
            </w:r>
            <w:bookmarkEnd w:id="12"/>
            <w:bookmarkEnd w:id="13"/>
            <w:bookmarkEnd w:id="14"/>
            <w:bookmarkEnd w:id="15"/>
            <w:bookmarkEnd w:id="16"/>
            <w:bookmarkEnd w:id="17"/>
            <w:bookmarkEnd w:id="18"/>
            <w:bookmarkEnd w:id="19"/>
          </w:p>
        </w:tc>
        <w:tc>
          <w:tcPr>
            <w:tcW w:w="3306" w:type="dxa"/>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20" w:name="_Toc206389501"/>
            <w:bookmarkStart w:id="21" w:name="_Toc206401876"/>
            <w:bookmarkStart w:id="22" w:name="_Toc206403845"/>
            <w:bookmarkStart w:id="23" w:name="_Toc206404573"/>
            <w:bookmarkStart w:id="24" w:name="_Toc206405303"/>
            <w:bookmarkStart w:id="25" w:name="_Toc206405339"/>
            <w:bookmarkStart w:id="26" w:name="_Toc206406066"/>
            <w:bookmarkStart w:id="27" w:name="_Toc206406493"/>
            <w:bookmarkStart w:id="28" w:name="_Toc215319111"/>
            <w:r w:rsidRPr="00C6268B">
              <w:rPr>
                <w:b/>
                <w:sz w:val="32"/>
                <w:szCs w:val="32"/>
              </w:rPr>
              <w:t>Date</w:t>
            </w:r>
            <w:bookmarkEnd w:id="20"/>
            <w:bookmarkEnd w:id="21"/>
            <w:bookmarkEnd w:id="22"/>
            <w:bookmarkEnd w:id="23"/>
            <w:bookmarkEnd w:id="24"/>
            <w:bookmarkEnd w:id="25"/>
            <w:bookmarkEnd w:id="26"/>
            <w:bookmarkEnd w:id="27"/>
            <w:bookmarkEnd w:id="28"/>
          </w:p>
        </w:tc>
      </w:tr>
      <w:tr w:rsidR="00027868" w:rsidRPr="00F42628">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8E7BD9" w:rsidRDefault="00011213" w:rsidP="00027868">
            <w:pPr>
              <w:spacing w:before="120" w:after="120"/>
              <w:rPr>
                <w:sz w:val="24"/>
                <w:szCs w:val="24"/>
              </w:rPr>
            </w:pPr>
            <w:bookmarkStart w:id="29" w:name="_Toc215319113"/>
            <w:r w:rsidRPr="008E7BD9">
              <w:rPr>
                <w:sz w:val="24"/>
                <w:szCs w:val="24"/>
              </w:rPr>
              <w:t xml:space="preserve">First </w:t>
            </w:r>
            <w:r w:rsidR="00027868" w:rsidRPr="008E7BD9">
              <w:rPr>
                <w:sz w:val="24"/>
                <w:szCs w:val="24"/>
              </w:rPr>
              <w:t>Published on NSFL</w:t>
            </w:r>
            <w:bookmarkEnd w:id="2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C6268B" w:rsidRDefault="00D525D0" w:rsidP="00027868">
            <w:pPr>
              <w:spacing w:before="120" w:after="120"/>
              <w:rPr>
                <w:sz w:val="32"/>
                <w:szCs w:val="32"/>
              </w:rPr>
            </w:pPr>
            <w:r>
              <w:rPr>
                <w:sz w:val="32"/>
                <w:szCs w:val="32"/>
              </w:rPr>
              <w:t>January 2010</w:t>
            </w:r>
          </w:p>
        </w:tc>
      </w:tr>
      <w:tr w:rsidR="00011213"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011213" w:rsidRPr="008E7BD9" w:rsidRDefault="00011213" w:rsidP="00027868">
            <w:pPr>
              <w:spacing w:before="120" w:after="120"/>
              <w:rPr>
                <w:sz w:val="24"/>
                <w:szCs w:val="24"/>
              </w:rPr>
            </w:pPr>
            <w:r w:rsidRPr="008317F9">
              <w:rPr>
                <w:b/>
                <w:sz w:val="24"/>
                <w:szCs w:val="24"/>
              </w:rPr>
              <w:t>Amended:</w:t>
            </w:r>
            <w:r w:rsidRPr="008E7BD9">
              <w:rPr>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011213" w:rsidRDefault="00FF2545" w:rsidP="00027868">
            <w:pPr>
              <w:spacing w:before="120" w:after="120"/>
              <w:rPr>
                <w:sz w:val="32"/>
                <w:szCs w:val="32"/>
              </w:rPr>
            </w:pPr>
            <w:r>
              <w:rPr>
                <w:sz w:val="32"/>
                <w:szCs w:val="32"/>
              </w:rPr>
              <w:t>March</w:t>
            </w:r>
            <w:r w:rsidR="00011213" w:rsidRPr="00617B77">
              <w:rPr>
                <w:sz w:val="32"/>
                <w:szCs w:val="32"/>
              </w:rPr>
              <w:t xml:space="preserve"> 2013</w:t>
            </w:r>
          </w:p>
        </w:tc>
      </w:tr>
      <w:tr w:rsidR="00394F06" w:rsidRPr="00C73B3D" w:rsidTr="00394F06">
        <w:tc>
          <w:tcPr>
            <w:tcW w:w="6321" w:type="dxa"/>
            <w:gridSpan w:val="2"/>
            <w:tcBorders>
              <w:top w:val="single" w:sz="6" w:space="0" w:color="auto"/>
              <w:left w:val="single" w:sz="4" w:space="0" w:color="auto"/>
              <w:bottom w:val="single" w:sz="6" w:space="0" w:color="auto"/>
              <w:right w:val="single" w:sz="6" w:space="0" w:color="auto"/>
            </w:tcBorders>
            <w:vAlign w:val="center"/>
          </w:tcPr>
          <w:p w:rsidR="00394F06" w:rsidRPr="008E7BD9" w:rsidRDefault="00394F06" w:rsidP="008317F9">
            <w:pPr>
              <w:spacing w:before="120" w:after="120"/>
              <w:rPr>
                <w:sz w:val="24"/>
                <w:szCs w:val="24"/>
              </w:rPr>
            </w:pPr>
            <w:r w:rsidRPr="008317F9">
              <w:rPr>
                <w:b/>
                <w:sz w:val="24"/>
                <w:szCs w:val="24"/>
              </w:rPr>
              <w:t>Amend</w:t>
            </w:r>
            <w:r w:rsidR="008317F9">
              <w:rPr>
                <w:b/>
                <w:sz w:val="24"/>
                <w:szCs w:val="24"/>
              </w:rPr>
              <w:t>ed</w:t>
            </w:r>
            <w:r w:rsidRPr="008E7BD9">
              <w:rPr>
                <w:sz w:val="24"/>
                <w:szCs w:val="24"/>
              </w:rPr>
              <w:t>: added MHK61S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394F06" w:rsidRPr="00394F06" w:rsidRDefault="009530F1" w:rsidP="00CD125C">
            <w:pPr>
              <w:spacing w:before="120" w:after="120"/>
              <w:rPr>
                <w:sz w:val="32"/>
                <w:szCs w:val="32"/>
              </w:rPr>
            </w:pPr>
            <w:r>
              <w:rPr>
                <w:sz w:val="32"/>
                <w:szCs w:val="32"/>
              </w:rPr>
              <w:t>April 2017</w:t>
            </w:r>
          </w:p>
        </w:tc>
      </w:tr>
      <w:tr w:rsidR="00011213"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011213" w:rsidRPr="00C6268B" w:rsidRDefault="00011213" w:rsidP="00027868">
            <w:pPr>
              <w:spacing w:before="120" w:after="120"/>
              <w:rPr>
                <w:sz w:val="32"/>
                <w:szCs w:val="32"/>
              </w:rPr>
            </w:pPr>
            <w:bookmarkStart w:id="30" w:name="_Toc215319116"/>
            <w:r w:rsidRPr="00C6268B">
              <w:rPr>
                <w:sz w:val="32"/>
                <w:szCs w:val="32"/>
              </w:rPr>
              <w:t>Consideration for next Service Specification Review</w:t>
            </w:r>
            <w:bookmarkEnd w:id="30"/>
          </w:p>
        </w:tc>
        <w:tc>
          <w:tcPr>
            <w:tcW w:w="3306" w:type="dxa"/>
            <w:tcBorders>
              <w:top w:val="single" w:sz="6" w:space="0" w:color="auto"/>
              <w:left w:val="single" w:sz="6" w:space="0" w:color="auto"/>
              <w:bottom w:val="single" w:sz="6" w:space="0" w:color="auto"/>
              <w:right w:val="single" w:sz="4" w:space="0" w:color="auto"/>
            </w:tcBorders>
            <w:vAlign w:val="center"/>
          </w:tcPr>
          <w:p w:rsidR="00011213" w:rsidRPr="00C6268B" w:rsidRDefault="00011213" w:rsidP="00011213">
            <w:pPr>
              <w:spacing w:before="120" w:after="120"/>
              <w:rPr>
                <w:sz w:val="32"/>
                <w:szCs w:val="32"/>
              </w:rPr>
            </w:pPr>
            <w:bookmarkStart w:id="31" w:name="_Toc215319117"/>
            <w:r w:rsidRPr="00C6268B">
              <w:rPr>
                <w:sz w:val="32"/>
                <w:szCs w:val="32"/>
              </w:rPr>
              <w:t xml:space="preserve">Within </w:t>
            </w:r>
            <w:r>
              <w:rPr>
                <w:sz w:val="32"/>
                <w:szCs w:val="32"/>
              </w:rPr>
              <w:t>five</w:t>
            </w:r>
            <w:r w:rsidRPr="00C6268B">
              <w:rPr>
                <w:sz w:val="32"/>
                <w:szCs w:val="32"/>
              </w:rPr>
              <w:t xml:space="preserve"> years</w:t>
            </w:r>
            <w:bookmarkEnd w:id="31"/>
          </w:p>
        </w:tc>
      </w:tr>
    </w:tbl>
    <w:p w:rsidR="00011213" w:rsidRDefault="00011213" w:rsidP="00011213">
      <w:pPr>
        <w:spacing w:before="120"/>
        <w:rPr>
          <w:sz w:val="24"/>
          <w:szCs w:val="24"/>
        </w:rPr>
      </w:pPr>
      <w:bookmarkStart w:id="32" w:name="_Toc215319119"/>
      <w:r w:rsidRPr="00856446">
        <w:rPr>
          <w:b/>
          <w:sz w:val="24"/>
          <w:szCs w:val="24"/>
        </w:rPr>
        <w:t>Note:</w:t>
      </w:r>
      <w:r w:rsidRPr="00856446">
        <w:rPr>
          <w:sz w:val="24"/>
          <w:szCs w:val="24"/>
        </w:rPr>
        <w:t xml:space="preserve"> Contact the Service Specification Programme Manager, </w:t>
      </w:r>
      <w:r w:rsidR="00394F06">
        <w:rPr>
          <w:sz w:val="24"/>
          <w:szCs w:val="24"/>
        </w:rPr>
        <w:t>Service Commissioning</w:t>
      </w:r>
      <w:r w:rsidRPr="00856446">
        <w:rPr>
          <w:sz w:val="24"/>
          <w:szCs w:val="24"/>
        </w:rPr>
        <w:t xml:space="preserve">, Ministry of Health to discuss proposed amendments to the service specifications and guidance in developing new or updating and revising existing service specifications. </w:t>
      </w:r>
    </w:p>
    <w:p w:rsidR="00011213" w:rsidRPr="00856446" w:rsidRDefault="00011213" w:rsidP="00011213">
      <w:pPr>
        <w:spacing w:before="120"/>
        <w:rPr>
          <w:rFonts w:cs="Arial"/>
          <w:sz w:val="24"/>
          <w:szCs w:val="24"/>
          <w:lang w:val="en-NZ" w:eastAsia="en-US"/>
        </w:rPr>
      </w:pPr>
      <w:r w:rsidRPr="00856446">
        <w:rPr>
          <w:sz w:val="24"/>
          <w:szCs w:val="24"/>
        </w:rPr>
        <w:t xml:space="preserve">Nationwide Service Framework Library web site </w:t>
      </w:r>
      <w:hyperlink r:id="rId9" w:history="1">
        <w:r w:rsidRPr="00856446">
          <w:rPr>
            <w:color w:val="0000FF"/>
            <w:sz w:val="24"/>
            <w:szCs w:val="24"/>
            <w:u w:val="single"/>
          </w:rPr>
          <w:t>http://www.nsfl.health.govt.nz/</w:t>
        </w:r>
      </w:hyperlink>
    </w:p>
    <w:p w:rsidR="00916395" w:rsidRDefault="00812339" w:rsidP="000A43C6">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before="120"/>
        <w:jc w:val="center"/>
        <w:rPr>
          <w:rFonts w:cs="Arial"/>
          <w:b/>
          <w:caps/>
          <w:color w:val="000000"/>
          <w:sz w:val="24"/>
          <w:szCs w:val="24"/>
          <w:lang w:val="en-AU"/>
        </w:rPr>
      </w:pPr>
      <w:bookmarkStart w:id="33" w:name="_Toc215319122"/>
      <w:bookmarkEnd w:id="32"/>
      <w:r>
        <w:rPr>
          <w:sz w:val="20"/>
        </w:rPr>
        <w:br w:type="page"/>
      </w:r>
      <w:r w:rsidR="00011213" w:rsidRPr="001B5435">
        <w:rPr>
          <w:rFonts w:cs="Arial"/>
          <w:b/>
          <w:sz w:val="24"/>
          <w:lang w:val="en-NZ"/>
        </w:rPr>
        <w:lastRenderedPageBreak/>
        <w:t>KAUPAPA M</w:t>
      </w:r>
      <w:r w:rsidR="00011213">
        <w:rPr>
          <w:rFonts w:cs="Arial"/>
          <w:b/>
          <w:sz w:val="24"/>
          <w:szCs w:val="24"/>
        </w:rPr>
        <w:t>Ā</w:t>
      </w:r>
      <w:r w:rsidR="00011213" w:rsidRPr="001B5435">
        <w:rPr>
          <w:rFonts w:cs="Arial"/>
          <w:b/>
          <w:sz w:val="24"/>
          <w:lang w:val="en-NZ"/>
        </w:rPr>
        <w:t xml:space="preserve">ORI </w:t>
      </w:r>
      <w:r w:rsidR="00011213">
        <w:rPr>
          <w:rFonts w:cs="Arial"/>
          <w:b/>
          <w:sz w:val="24"/>
          <w:lang w:val="en-NZ"/>
        </w:rPr>
        <w:t xml:space="preserve">MENTAL HEALTH SERVICES- </w:t>
      </w:r>
      <w:r w:rsidR="00916395" w:rsidRPr="00AD699B">
        <w:rPr>
          <w:rFonts w:cs="Arial"/>
          <w:b/>
          <w:caps/>
          <w:color w:val="000000"/>
          <w:sz w:val="24"/>
          <w:szCs w:val="24"/>
          <w:lang w:val="en-AU"/>
        </w:rPr>
        <w:t>kaum</w:t>
      </w:r>
      <w:r w:rsidR="00364279" w:rsidRPr="00AD699B">
        <w:rPr>
          <w:rFonts w:cs="Arial"/>
          <w:b/>
          <w:caps/>
          <w:color w:val="000000"/>
          <w:sz w:val="24"/>
          <w:szCs w:val="24"/>
          <w:lang w:val="en-AU"/>
        </w:rPr>
        <w:t>Ā</w:t>
      </w:r>
      <w:r w:rsidR="00916395" w:rsidRPr="00AD699B">
        <w:rPr>
          <w:rFonts w:cs="Arial"/>
          <w:b/>
          <w:caps/>
          <w:color w:val="000000"/>
          <w:sz w:val="24"/>
          <w:szCs w:val="24"/>
          <w:lang w:val="en-AU"/>
        </w:rPr>
        <w:t>tua roles</w:t>
      </w:r>
    </w:p>
    <w:p w:rsidR="00011213" w:rsidRDefault="00011213" w:rsidP="00011213">
      <w:pPr>
        <w:pBdr>
          <w:top w:val="single" w:sz="4" w:space="1" w:color="auto"/>
          <w:left w:val="single" w:sz="4" w:space="4" w:color="auto"/>
          <w:bottom w:val="single" w:sz="4" w:space="1" w:color="auto"/>
          <w:right w:val="single" w:sz="4" w:space="4" w:color="auto"/>
        </w:pBdr>
        <w:jc w:val="center"/>
        <w:rPr>
          <w:b/>
          <w:caps/>
          <w:color w:val="000000"/>
          <w:sz w:val="24"/>
          <w:szCs w:val="24"/>
          <w:lang w:val="en-AU"/>
        </w:rPr>
      </w:pPr>
      <w:r>
        <w:rPr>
          <w:b/>
          <w:caps/>
          <w:color w:val="000000"/>
          <w:sz w:val="24"/>
          <w:szCs w:val="24"/>
          <w:lang w:val="en-AU"/>
        </w:rPr>
        <w:t>MENTAL HEALTH AND ADDICTION SERVICES</w:t>
      </w:r>
    </w:p>
    <w:p w:rsidR="00027868" w:rsidRPr="00AD699B" w:rsidRDefault="00C83715" w:rsidP="000A43C6">
      <w:pPr>
        <w:pBdr>
          <w:top w:val="single" w:sz="4" w:space="1" w:color="auto"/>
          <w:left w:val="single" w:sz="4" w:space="4" w:color="auto"/>
          <w:bottom w:val="single" w:sz="4" w:space="1" w:color="auto"/>
          <w:right w:val="single" w:sz="4" w:space="4" w:color="auto"/>
        </w:pBdr>
        <w:jc w:val="center"/>
        <w:rPr>
          <w:rFonts w:cs="Arial"/>
          <w:sz w:val="24"/>
          <w:szCs w:val="24"/>
        </w:rPr>
      </w:pPr>
      <w:r w:rsidRPr="00AD699B">
        <w:rPr>
          <w:rFonts w:cs="Arial"/>
          <w:b/>
          <w:sz w:val="24"/>
          <w:szCs w:val="24"/>
        </w:rPr>
        <w:t>TIER THREE</w:t>
      </w:r>
      <w:r w:rsidR="008E7BD9">
        <w:rPr>
          <w:rFonts w:cs="Arial"/>
          <w:b/>
          <w:sz w:val="24"/>
          <w:szCs w:val="24"/>
        </w:rPr>
        <w:t xml:space="preserve"> </w:t>
      </w:r>
      <w:r w:rsidR="00027868" w:rsidRPr="00AD699B">
        <w:rPr>
          <w:rFonts w:cs="Arial"/>
          <w:b/>
          <w:sz w:val="24"/>
          <w:szCs w:val="24"/>
          <w:lang w:val="en-NZ"/>
        </w:rPr>
        <w:t>SERVICE SPECIFICATION</w:t>
      </w:r>
    </w:p>
    <w:bookmarkEnd w:id="33"/>
    <w:p w:rsidR="00B4361E" w:rsidRPr="00AD699B" w:rsidRDefault="00B4361E" w:rsidP="000A43C6">
      <w:pPr>
        <w:pBdr>
          <w:top w:val="single" w:sz="4" w:space="1" w:color="auto"/>
          <w:left w:val="single" w:sz="4" w:space="4" w:color="auto"/>
          <w:bottom w:val="single" w:sz="4" w:space="1" w:color="auto"/>
          <w:right w:val="single" w:sz="4" w:space="4" w:color="auto"/>
        </w:pBdr>
        <w:jc w:val="center"/>
        <w:rPr>
          <w:rFonts w:cs="Arial"/>
          <w:b/>
          <w:sz w:val="24"/>
          <w:szCs w:val="24"/>
        </w:rPr>
      </w:pPr>
      <w:r w:rsidRPr="00AD699B">
        <w:rPr>
          <w:rFonts w:cs="Arial"/>
          <w:b/>
          <w:sz w:val="24"/>
          <w:szCs w:val="24"/>
        </w:rPr>
        <w:t>MHK</w:t>
      </w:r>
      <w:r w:rsidR="00916395" w:rsidRPr="00AD699B">
        <w:rPr>
          <w:rFonts w:cs="Arial"/>
          <w:b/>
          <w:sz w:val="24"/>
          <w:szCs w:val="24"/>
        </w:rPr>
        <w:t>61E</w:t>
      </w:r>
      <w:r w:rsidR="00394F06">
        <w:rPr>
          <w:rFonts w:cs="Arial"/>
          <w:b/>
          <w:sz w:val="24"/>
          <w:szCs w:val="24"/>
        </w:rPr>
        <w:t>, MHK61S</w:t>
      </w:r>
    </w:p>
    <w:p w:rsidR="00F91221" w:rsidRDefault="00027868" w:rsidP="00F91221">
      <w:pPr>
        <w:spacing w:before="120"/>
        <w:rPr>
          <w:rFonts w:cs="Arial"/>
          <w:sz w:val="24"/>
          <w:szCs w:val="24"/>
        </w:rPr>
      </w:pPr>
      <w:bookmarkStart w:id="34" w:name="_Toc215319123"/>
      <w:r w:rsidRPr="00C46192">
        <w:rPr>
          <w:rFonts w:cs="Arial"/>
          <w:sz w:val="24"/>
          <w:szCs w:val="24"/>
        </w:rPr>
        <w:t xml:space="preserve">This </w:t>
      </w:r>
      <w:r>
        <w:rPr>
          <w:rFonts w:cs="Arial"/>
          <w:sz w:val="24"/>
          <w:szCs w:val="24"/>
        </w:rPr>
        <w:t>t</w:t>
      </w:r>
      <w:r w:rsidRPr="00C46192">
        <w:rPr>
          <w:rFonts w:cs="Arial"/>
          <w:sz w:val="24"/>
          <w:szCs w:val="24"/>
        </w:rPr>
        <w:t xml:space="preserve">ier </w:t>
      </w:r>
      <w:r w:rsidR="002A1E63">
        <w:rPr>
          <w:rFonts w:cs="Arial"/>
          <w:sz w:val="24"/>
          <w:szCs w:val="24"/>
        </w:rPr>
        <w:t>three</w:t>
      </w:r>
      <w:r w:rsidRPr="00C46192">
        <w:rPr>
          <w:rFonts w:cs="Arial"/>
          <w:sz w:val="24"/>
          <w:szCs w:val="24"/>
        </w:rPr>
        <w:t xml:space="preserve"> service specification for </w:t>
      </w:r>
      <w:proofErr w:type="spellStart"/>
      <w:r w:rsidR="00916395">
        <w:rPr>
          <w:rFonts w:cs="Arial"/>
          <w:sz w:val="24"/>
          <w:szCs w:val="24"/>
        </w:rPr>
        <w:t>Kaum</w:t>
      </w:r>
      <w:r w:rsidR="00364279">
        <w:rPr>
          <w:rFonts w:cs="Arial"/>
          <w:sz w:val="24"/>
          <w:szCs w:val="24"/>
        </w:rPr>
        <w:t>ā</w:t>
      </w:r>
      <w:r w:rsidR="00916395">
        <w:rPr>
          <w:rFonts w:cs="Arial"/>
          <w:sz w:val="24"/>
          <w:szCs w:val="24"/>
        </w:rPr>
        <w:t>tua</w:t>
      </w:r>
      <w:proofErr w:type="spellEnd"/>
      <w:r w:rsidR="00916395">
        <w:rPr>
          <w:rFonts w:cs="Arial"/>
          <w:sz w:val="24"/>
          <w:szCs w:val="24"/>
        </w:rPr>
        <w:t xml:space="preserve"> </w:t>
      </w:r>
      <w:r w:rsidR="006D14EF">
        <w:rPr>
          <w:rFonts w:cs="Arial"/>
          <w:sz w:val="24"/>
          <w:szCs w:val="24"/>
        </w:rPr>
        <w:t>R</w:t>
      </w:r>
      <w:r w:rsidR="00916395">
        <w:rPr>
          <w:rFonts w:cs="Arial"/>
          <w:sz w:val="24"/>
          <w:szCs w:val="24"/>
        </w:rPr>
        <w:t>oles</w:t>
      </w:r>
      <w:r w:rsidR="00077B42">
        <w:rPr>
          <w:rFonts w:cs="Arial"/>
          <w:sz w:val="24"/>
          <w:szCs w:val="24"/>
        </w:rPr>
        <w:t xml:space="preserve"> </w:t>
      </w:r>
      <w:r w:rsidR="006D14EF">
        <w:rPr>
          <w:rFonts w:cs="Arial"/>
          <w:sz w:val="24"/>
          <w:szCs w:val="24"/>
        </w:rPr>
        <w:t xml:space="preserve">(the Service) </w:t>
      </w:r>
      <w:r w:rsidR="002214C9">
        <w:rPr>
          <w:rFonts w:cs="Arial"/>
          <w:sz w:val="24"/>
          <w:szCs w:val="24"/>
        </w:rPr>
        <w:t xml:space="preserve">must be </w:t>
      </w:r>
      <w:r w:rsidR="000573CB">
        <w:rPr>
          <w:rFonts w:cs="Arial"/>
          <w:sz w:val="24"/>
          <w:szCs w:val="24"/>
        </w:rPr>
        <w:t xml:space="preserve">used </w:t>
      </w:r>
      <w:r w:rsidR="002214C9">
        <w:rPr>
          <w:rFonts w:cs="Arial"/>
          <w:sz w:val="24"/>
          <w:szCs w:val="24"/>
        </w:rPr>
        <w:t>in conjunction with</w:t>
      </w:r>
      <w:r w:rsidRPr="00C46192">
        <w:rPr>
          <w:rFonts w:cs="Arial"/>
          <w:sz w:val="24"/>
          <w:szCs w:val="24"/>
        </w:rPr>
        <w:t xml:space="preserve"> </w:t>
      </w:r>
      <w:bookmarkEnd w:id="34"/>
      <w:r w:rsidR="001627D3">
        <w:rPr>
          <w:rFonts w:cs="Arial"/>
          <w:sz w:val="24"/>
          <w:szCs w:val="24"/>
        </w:rPr>
        <w:t xml:space="preserve">the </w:t>
      </w:r>
      <w:r>
        <w:rPr>
          <w:rFonts w:cs="Arial"/>
          <w:sz w:val="24"/>
          <w:szCs w:val="24"/>
        </w:rPr>
        <w:t>t</w:t>
      </w:r>
      <w:r w:rsidRPr="00C46192">
        <w:rPr>
          <w:rFonts w:cs="Arial"/>
          <w:sz w:val="24"/>
          <w:szCs w:val="24"/>
        </w:rPr>
        <w:t xml:space="preserve">ier </w:t>
      </w:r>
      <w:r>
        <w:rPr>
          <w:rFonts w:cs="Arial"/>
          <w:sz w:val="24"/>
          <w:szCs w:val="24"/>
        </w:rPr>
        <w:t>one</w:t>
      </w:r>
      <w:r w:rsidRPr="00C46192">
        <w:rPr>
          <w:rFonts w:cs="Arial"/>
          <w:sz w:val="24"/>
          <w:szCs w:val="24"/>
        </w:rPr>
        <w:t xml:space="preserve"> Mental Health and Addiction </w:t>
      </w:r>
      <w:r w:rsidR="00A11A81">
        <w:rPr>
          <w:rFonts w:cs="Arial"/>
          <w:sz w:val="24"/>
          <w:szCs w:val="24"/>
        </w:rPr>
        <w:t xml:space="preserve">Services </w:t>
      </w:r>
      <w:r w:rsidR="000573CB">
        <w:rPr>
          <w:sz w:val="24"/>
          <w:szCs w:val="24"/>
        </w:rPr>
        <w:t xml:space="preserve">and </w:t>
      </w:r>
      <w:r w:rsidR="00EA089E">
        <w:rPr>
          <w:rFonts w:cs="Arial"/>
          <w:sz w:val="24"/>
          <w:szCs w:val="24"/>
        </w:rPr>
        <w:t>t</w:t>
      </w:r>
      <w:r w:rsidR="002A1E63">
        <w:rPr>
          <w:rFonts w:cs="Arial"/>
          <w:sz w:val="24"/>
          <w:szCs w:val="24"/>
        </w:rPr>
        <w:t xml:space="preserve">ier two </w:t>
      </w:r>
      <w:proofErr w:type="spellStart"/>
      <w:r w:rsidR="002A1E63">
        <w:rPr>
          <w:rFonts w:cs="Arial"/>
          <w:sz w:val="24"/>
          <w:szCs w:val="24"/>
        </w:rPr>
        <w:t>Kaupapa</w:t>
      </w:r>
      <w:proofErr w:type="spellEnd"/>
      <w:r w:rsidR="002A1E63">
        <w:rPr>
          <w:rFonts w:cs="Arial"/>
          <w:sz w:val="24"/>
          <w:szCs w:val="24"/>
        </w:rPr>
        <w:t xml:space="preserve"> M</w:t>
      </w:r>
      <w:r w:rsidR="00364279">
        <w:rPr>
          <w:rFonts w:cs="Arial"/>
          <w:sz w:val="24"/>
          <w:szCs w:val="24"/>
        </w:rPr>
        <w:t>ā</w:t>
      </w:r>
      <w:r w:rsidR="002A1E63">
        <w:rPr>
          <w:rFonts w:cs="Arial"/>
          <w:sz w:val="24"/>
          <w:szCs w:val="24"/>
        </w:rPr>
        <w:t>ori Mental Health and Addiction service</w:t>
      </w:r>
      <w:r w:rsidR="00565BFC">
        <w:rPr>
          <w:rFonts w:cs="Arial"/>
          <w:sz w:val="24"/>
          <w:szCs w:val="24"/>
        </w:rPr>
        <w:t xml:space="preserve"> specification</w:t>
      </w:r>
      <w:r w:rsidR="002A1E63">
        <w:rPr>
          <w:rFonts w:cs="Arial"/>
          <w:sz w:val="24"/>
          <w:szCs w:val="24"/>
        </w:rPr>
        <w:t>s</w:t>
      </w:r>
      <w:r w:rsidR="00F91221">
        <w:rPr>
          <w:sz w:val="24"/>
          <w:szCs w:val="24"/>
        </w:rPr>
        <w:t>.</w:t>
      </w:r>
    </w:p>
    <w:p w:rsidR="00027868" w:rsidRPr="00C46192" w:rsidRDefault="00027868" w:rsidP="00C83715">
      <w:pPr>
        <w:tabs>
          <w:tab w:val="left" w:pos="570"/>
        </w:tabs>
        <w:spacing w:before="240" w:after="120"/>
        <w:rPr>
          <w:rFonts w:cs="Arial"/>
          <w:b/>
          <w:sz w:val="24"/>
          <w:szCs w:val="24"/>
        </w:rPr>
      </w:pPr>
      <w:bookmarkStart w:id="35" w:name="_Toc215319135"/>
      <w:r w:rsidRPr="00C46192">
        <w:rPr>
          <w:rFonts w:cs="Arial"/>
          <w:b/>
          <w:sz w:val="24"/>
          <w:szCs w:val="24"/>
        </w:rPr>
        <w:t>1.</w:t>
      </w:r>
      <w:r w:rsidRPr="00C46192">
        <w:rPr>
          <w:rFonts w:cs="Arial"/>
          <w:b/>
          <w:sz w:val="24"/>
          <w:szCs w:val="24"/>
        </w:rPr>
        <w:tab/>
        <w:t>Service Definition</w:t>
      </w:r>
      <w:bookmarkEnd w:id="35"/>
    </w:p>
    <w:p w:rsidR="00916395" w:rsidRPr="00D01BA1" w:rsidRDefault="00916395" w:rsidP="002214C9">
      <w:pPr>
        <w:tabs>
          <w:tab w:val="left" w:pos="567"/>
          <w:tab w:val="left" w:pos="709"/>
          <w:tab w:val="left" w:pos="1701"/>
          <w:tab w:val="left" w:pos="2693"/>
        </w:tabs>
        <w:spacing w:before="120"/>
        <w:rPr>
          <w:sz w:val="24"/>
          <w:szCs w:val="24"/>
          <w:lang w:val="en-NZ"/>
        </w:rPr>
      </w:pPr>
      <w:r w:rsidRPr="00D01BA1">
        <w:rPr>
          <w:sz w:val="24"/>
          <w:szCs w:val="24"/>
          <w:lang w:val="en-NZ"/>
        </w:rPr>
        <w:t xml:space="preserve">The involvement of </w:t>
      </w:r>
      <w:proofErr w:type="spellStart"/>
      <w:r w:rsidR="006D14EF">
        <w:rPr>
          <w:sz w:val="24"/>
          <w:szCs w:val="24"/>
          <w:lang w:val="en-NZ"/>
        </w:rPr>
        <w:t>K</w:t>
      </w:r>
      <w:r w:rsidRPr="00D01BA1">
        <w:rPr>
          <w:sz w:val="24"/>
          <w:szCs w:val="24"/>
          <w:lang w:val="en-NZ"/>
        </w:rPr>
        <w:t>aum</w:t>
      </w:r>
      <w:r w:rsidR="00364279">
        <w:rPr>
          <w:sz w:val="24"/>
          <w:szCs w:val="24"/>
          <w:lang w:val="en-NZ"/>
        </w:rPr>
        <w:t>ā</w:t>
      </w:r>
      <w:r w:rsidRPr="00D01BA1">
        <w:rPr>
          <w:sz w:val="24"/>
          <w:szCs w:val="24"/>
          <w:lang w:val="en-NZ"/>
        </w:rPr>
        <w:t>tua</w:t>
      </w:r>
      <w:proofErr w:type="spellEnd"/>
      <w:r w:rsidRPr="00D01BA1">
        <w:rPr>
          <w:sz w:val="24"/>
          <w:szCs w:val="24"/>
          <w:lang w:val="en-NZ"/>
        </w:rPr>
        <w:t xml:space="preserve"> is essential if excellence is to be achieved in any M</w:t>
      </w:r>
      <w:r w:rsidR="002214C9">
        <w:rPr>
          <w:sz w:val="24"/>
          <w:szCs w:val="24"/>
          <w:lang w:val="en-NZ"/>
        </w:rPr>
        <w:t>ā</w:t>
      </w:r>
      <w:r w:rsidRPr="00D01BA1">
        <w:rPr>
          <w:sz w:val="24"/>
          <w:szCs w:val="24"/>
          <w:lang w:val="en-NZ"/>
        </w:rPr>
        <w:t xml:space="preserve">ori service initiative. </w:t>
      </w:r>
      <w:r w:rsidR="002214C9">
        <w:rPr>
          <w:sz w:val="24"/>
          <w:szCs w:val="24"/>
          <w:lang w:val="en-NZ"/>
        </w:rPr>
        <w:t xml:space="preserve"> </w:t>
      </w:r>
      <w:r w:rsidRPr="00D01BA1">
        <w:rPr>
          <w:sz w:val="24"/>
          <w:szCs w:val="24"/>
          <w:lang w:val="en-NZ"/>
        </w:rPr>
        <w:t>Their wisdom</w:t>
      </w:r>
      <w:r w:rsidR="00A31F9C">
        <w:rPr>
          <w:sz w:val="24"/>
          <w:szCs w:val="24"/>
          <w:lang w:val="en-NZ"/>
        </w:rPr>
        <w:t>,</w:t>
      </w:r>
      <w:r w:rsidRPr="00D01BA1">
        <w:rPr>
          <w:sz w:val="24"/>
          <w:szCs w:val="24"/>
          <w:lang w:val="en-NZ"/>
        </w:rPr>
        <w:t xml:space="preserve"> </w:t>
      </w:r>
      <w:r w:rsidR="00A31F9C">
        <w:rPr>
          <w:sz w:val="24"/>
          <w:szCs w:val="24"/>
          <w:lang w:val="en-NZ"/>
        </w:rPr>
        <w:t xml:space="preserve">depth of knowledge, experience </w:t>
      </w:r>
      <w:r w:rsidRPr="00D01BA1">
        <w:rPr>
          <w:sz w:val="24"/>
          <w:szCs w:val="24"/>
          <w:lang w:val="en-NZ"/>
        </w:rPr>
        <w:t xml:space="preserve">and guidance will </w:t>
      </w:r>
      <w:r w:rsidR="004D6773">
        <w:rPr>
          <w:sz w:val="24"/>
          <w:szCs w:val="24"/>
          <w:lang w:val="en-NZ"/>
        </w:rPr>
        <w:t>assist services delivery to M</w:t>
      </w:r>
      <w:r w:rsidR="002214C9">
        <w:rPr>
          <w:sz w:val="24"/>
          <w:szCs w:val="24"/>
          <w:lang w:val="en-NZ"/>
        </w:rPr>
        <w:t>ā</w:t>
      </w:r>
      <w:r w:rsidR="004D6773">
        <w:rPr>
          <w:sz w:val="24"/>
          <w:szCs w:val="24"/>
          <w:lang w:val="en-NZ"/>
        </w:rPr>
        <w:t xml:space="preserve">ori, </w:t>
      </w:r>
      <w:proofErr w:type="spellStart"/>
      <w:r w:rsidR="004D6773">
        <w:rPr>
          <w:sz w:val="24"/>
          <w:szCs w:val="24"/>
          <w:lang w:val="en-NZ"/>
        </w:rPr>
        <w:t>t</w:t>
      </w:r>
      <w:r w:rsidR="00364279">
        <w:rPr>
          <w:sz w:val="24"/>
          <w:szCs w:val="24"/>
          <w:lang w:val="en-NZ"/>
        </w:rPr>
        <w:t>ā</w:t>
      </w:r>
      <w:r w:rsidR="004D6773">
        <w:rPr>
          <w:sz w:val="24"/>
          <w:szCs w:val="24"/>
          <w:lang w:val="en-NZ"/>
        </w:rPr>
        <w:t>ngata</w:t>
      </w:r>
      <w:proofErr w:type="spellEnd"/>
      <w:r w:rsidR="004D6773">
        <w:rPr>
          <w:sz w:val="24"/>
          <w:szCs w:val="24"/>
          <w:lang w:val="en-NZ"/>
        </w:rPr>
        <w:t xml:space="preserve"> </w:t>
      </w:r>
      <w:proofErr w:type="spellStart"/>
      <w:r w:rsidR="004D6773">
        <w:rPr>
          <w:sz w:val="24"/>
          <w:szCs w:val="24"/>
          <w:lang w:val="en-NZ"/>
        </w:rPr>
        <w:t>whaiora</w:t>
      </w:r>
      <w:proofErr w:type="spellEnd"/>
      <w:r w:rsidR="004D6773">
        <w:rPr>
          <w:sz w:val="24"/>
          <w:szCs w:val="24"/>
          <w:lang w:val="en-NZ"/>
        </w:rPr>
        <w:t xml:space="preserve"> in their recovery and wh</w:t>
      </w:r>
      <w:r w:rsidR="00364279">
        <w:rPr>
          <w:sz w:val="24"/>
          <w:szCs w:val="24"/>
          <w:lang w:val="en-NZ"/>
        </w:rPr>
        <w:t>ā</w:t>
      </w:r>
      <w:r w:rsidR="004D6773">
        <w:rPr>
          <w:sz w:val="24"/>
          <w:szCs w:val="24"/>
          <w:lang w:val="en-NZ"/>
        </w:rPr>
        <w:t>nau ora for M</w:t>
      </w:r>
      <w:r w:rsidR="002214C9">
        <w:rPr>
          <w:sz w:val="24"/>
          <w:szCs w:val="24"/>
          <w:lang w:val="en-NZ"/>
        </w:rPr>
        <w:t>ā</w:t>
      </w:r>
      <w:r w:rsidR="004D6773">
        <w:rPr>
          <w:sz w:val="24"/>
          <w:szCs w:val="24"/>
          <w:lang w:val="en-NZ"/>
        </w:rPr>
        <w:t>ori wh</w:t>
      </w:r>
      <w:r w:rsidR="00364279">
        <w:rPr>
          <w:sz w:val="24"/>
          <w:szCs w:val="24"/>
          <w:lang w:val="en-NZ"/>
        </w:rPr>
        <w:t>ā</w:t>
      </w:r>
      <w:r w:rsidR="004D6773">
        <w:rPr>
          <w:sz w:val="24"/>
          <w:szCs w:val="24"/>
          <w:lang w:val="en-NZ"/>
        </w:rPr>
        <w:t>nau</w:t>
      </w:r>
      <w:r w:rsidRPr="00D01BA1">
        <w:rPr>
          <w:sz w:val="24"/>
          <w:szCs w:val="24"/>
          <w:lang w:val="en-NZ"/>
        </w:rPr>
        <w:t xml:space="preserve">. </w:t>
      </w:r>
      <w:r w:rsidR="006D14EF">
        <w:rPr>
          <w:sz w:val="24"/>
          <w:szCs w:val="24"/>
          <w:lang w:val="en-NZ"/>
        </w:rPr>
        <w:t xml:space="preserve"> </w:t>
      </w:r>
      <w:proofErr w:type="spellStart"/>
      <w:r w:rsidR="004D6773">
        <w:rPr>
          <w:sz w:val="24"/>
          <w:szCs w:val="24"/>
          <w:lang w:val="en-NZ"/>
        </w:rPr>
        <w:t>Kaum</w:t>
      </w:r>
      <w:r w:rsidR="00364279">
        <w:rPr>
          <w:sz w:val="24"/>
          <w:szCs w:val="24"/>
          <w:lang w:val="en-NZ"/>
        </w:rPr>
        <w:t>ā</w:t>
      </w:r>
      <w:r w:rsidR="004D6773">
        <w:rPr>
          <w:sz w:val="24"/>
          <w:szCs w:val="24"/>
          <w:lang w:val="en-NZ"/>
        </w:rPr>
        <w:t>tua</w:t>
      </w:r>
      <w:proofErr w:type="spellEnd"/>
      <w:r w:rsidR="004D6773">
        <w:rPr>
          <w:sz w:val="24"/>
          <w:szCs w:val="24"/>
          <w:lang w:val="en-NZ"/>
        </w:rPr>
        <w:t xml:space="preserve"> are leaders and cultural specialists</w:t>
      </w:r>
      <w:r w:rsidRPr="00D01BA1">
        <w:rPr>
          <w:sz w:val="24"/>
          <w:szCs w:val="24"/>
          <w:lang w:val="en-NZ"/>
        </w:rPr>
        <w:t xml:space="preserve"> </w:t>
      </w:r>
      <w:r w:rsidR="004D6773">
        <w:rPr>
          <w:sz w:val="24"/>
          <w:szCs w:val="24"/>
          <w:lang w:val="en-NZ"/>
        </w:rPr>
        <w:t>and will lead,</w:t>
      </w:r>
      <w:r w:rsidRPr="00D01BA1">
        <w:rPr>
          <w:sz w:val="24"/>
          <w:szCs w:val="24"/>
          <w:lang w:val="en-NZ"/>
        </w:rPr>
        <w:t xml:space="preserve"> represent and</w:t>
      </w:r>
      <w:r w:rsidR="004D6773">
        <w:rPr>
          <w:sz w:val="24"/>
          <w:szCs w:val="24"/>
          <w:lang w:val="en-NZ"/>
        </w:rPr>
        <w:t xml:space="preserve"> advise</w:t>
      </w:r>
      <w:r w:rsidRPr="00D01BA1">
        <w:rPr>
          <w:sz w:val="24"/>
          <w:szCs w:val="24"/>
          <w:lang w:val="en-NZ"/>
        </w:rPr>
        <w:t xml:space="preserve"> on </w:t>
      </w:r>
      <w:r w:rsidR="00364F07">
        <w:rPr>
          <w:sz w:val="24"/>
          <w:szCs w:val="24"/>
          <w:lang w:val="en-NZ"/>
        </w:rPr>
        <w:t xml:space="preserve">those aspects which relate to Te </w:t>
      </w:r>
      <w:proofErr w:type="spellStart"/>
      <w:r w:rsidR="00364F07">
        <w:rPr>
          <w:sz w:val="24"/>
          <w:szCs w:val="24"/>
          <w:lang w:val="en-NZ"/>
        </w:rPr>
        <w:t>Ao</w:t>
      </w:r>
      <w:proofErr w:type="spellEnd"/>
      <w:r w:rsidR="00364F07">
        <w:rPr>
          <w:sz w:val="24"/>
          <w:szCs w:val="24"/>
          <w:lang w:val="en-NZ"/>
        </w:rPr>
        <w:t xml:space="preserve"> M</w:t>
      </w:r>
      <w:r w:rsidR="00364279">
        <w:rPr>
          <w:sz w:val="24"/>
          <w:szCs w:val="24"/>
          <w:lang w:val="en-NZ"/>
        </w:rPr>
        <w:t>ā</w:t>
      </w:r>
      <w:r w:rsidR="00364F07">
        <w:rPr>
          <w:sz w:val="24"/>
          <w:szCs w:val="24"/>
          <w:lang w:val="en-NZ"/>
        </w:rPr>
        <w:t>ori and M</w:t>
      </w:r>
      <w:r w:rsidR="00364279">
        <w:rPr>
          <w:sz w:val="24"/>
          <w:szCs w:val="24"/>
          <w:lang w:val="en-NZ"/>
        </w:rPr>
        <w:t>ā</w:t>
      </w:r>
      <w:r w:rsidR="00364F07">
        <w:rPr>
          <w:sz w:val="24"/>
          <w:szCs w:val="24"/>
          <w:lang w:val="en-NZ"/>
        </w:rPr>
        <w:t>ori culture</w:t>
      </w:r>
      <w:r w:rsidRPr="00D01BA1">
        <w:rPr>
          <w:sz w:val="24"/>
          <w:szCs w:val="24"/>
          <w:lang w:val="en-NZ"/>
        </w:rPr>
        <w:t xml:space="preserve">.  They will arrange or facilitate </w:t>
      </w:r>
      <w:proofErr w:type="spellStart"/>
      <w:proofErr w:type="gramStart"/>
      <w:r w:rsidRPr="00D01BA1">
        <w:rPr>
          <w:sz w:val="24"/>
          <w:szCs w:val="24"/>
          <w:lang w:val="en-NZ"/>
        </w:rPr>
        <w:t>hui</w:t>
      </w:r>
      <w:proofErr w:type="spellEnd"/>
      <w:proofErr w:type="gramEnd"/>
      <w:r w:rsidRPr="00D01BA1">
        <w:rPr>
          <w:sz w:val="24"/>
          <w:szCs w:val="24"/>
          <w:lang w:val="en-NZ"/>
        </w:rPr>
        <w:t xml:space="preserve"> and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formalities within the mental health </w:t>
      </w:r>
      <w:r w:rsidR="00364F07">
        <w:rPr>
          <w:sz w:val="24"/>
          <w:szCs w:val="24"/>
          <w:lang w:val="en-NZ"/>
        </w:rPr>
        <w:t>and addictions services</w:t>
      </w:r>
      <w:r w:rsidRPr="00D01BA1">
        <w:rPr>
          <w:sz w:val="24"/>
          <w:szCs w:val="24"/>
          <w:lang w:val="en-NZ"/>
        </w:rPr>
        <w:t xml:space="preserve">.  </w:t>
      </w:r>
      <w:r w:rsidR="00FD3F04">
        <w:rPr>
          <w:sz w:val="24"/>
          <w:szCs w:val="24"/>
          <w:lang w:val="en-NZ"/>
        </w:rPr>
        <w:t xml:space="preserve">Advice and guidance will be given on the use of </w:t>
      </w:r>
      <w:r w:rsidR="00BF25A0">
        <w:rPr>
          <w:sz w:val="24"/>
          <w:szCs w:val="24"/>
          <w:lang w:val="en-NZ"/>
        </w:rPr>
        <w:t>T</w:t>
      </w:r>
      <w:r w:rsidR="00FD3F04">
        <w:rPr>
          <w:sz w:val="24"/>
          <w:szCs w:val="24"/>
          <w:lang w:val="en-NZ"/>
        </w:rPr>
        <w:t xml:space="preserve">e </w:t>
      </w:r>
      <w:r w:rsidR="00BF25A0">
        <w:rPr>
          <w:sz w:val="24"/>
          <w:szCs w:val="24"/>
          <w:lang w:val="en-NZ"/>
        </w:rPr>
        <w:t>R</w:t>
      </w:r>
      <w:r w:rsidR="00FD3F04">
        <w:rPr>
          <w:sz w:val="24"/>
          <w:szCs w:val="24"/>
          <w:lang w:val="en-NZ"/>
        </w:rPr>
        <w:t>eo M</w:t>
      </w:r>
      <w:r w:rsidR="00364279">
        <w:rPr>
          <w:sz w:val="24"/>
          <w:szCs w:val="24"/>
          <w:lang w:val="en-NZ"/>
        </w:rPr>
        <w:t>ā</w:t>
      </w:r>
      <w:r w:rsidR="00FD3F04">
        <w:rPr>
          <w:sz w:val="24"/>
          <w:szCs w:val="24"/>
          <w:lang w:val="en-NZ"/>
        </w:rPr>
        <w:t>ori and arrangements will be made to access interpreter services if that is necessary.</w:t>
      </w:r>
    </w:p>
    <w:p w:rsidR="002635ED" w:rsidRDefault="00FD3F04" w:rsidP="002214C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sz w:val="24"/>
          <w:szCs w:val="24"/>
          <w:lang w:val="en-NZ"/>
        </w:rPr>
      </w:pPr>
      <w:r>
        <w:rPr>
          <w:sz w:val="24"/>
          <w:szCs w:val="24"/>
          <w:lang w:val="en-NZ"/>
        </w:rPr>
        <w:t xml:space="preserve">The </w:t>
      </w:r>
      <w:proofErr w:type="spellStart"/>
      <w:r w:rsidR="00E64293">
        <w:rPr>
          <w:sz w:val="24"/>
          <w:szCs w:val="24"/>
          <w:lang w:val="en-NZ"/>
        </w:rPr>
        <w:t>Kaum</w:t>
      </w:r>
      <w:r w:rsidR="00364279">
        <w:rPr>
          <w:sz w:val="24"/>
          <w:szCs w:val="24"/>
          <w:lang w:val="en-NZ"/>
        </w:rPr>
        <w:t>ā</w:t>
      </w:r>
      <w:r w:rsidR="00E64293">
        <w:rPr>
          <w:sz w:val="24"/>
          <w:szCs w:val="24"/>
          <w:lang w:val="en-NZ"/>
        </w:rPr>
        <w:t>tua</w:t>
      </w:r>
      <w:proofErr w:type="spellEnd"/>
      <w:r w:rsidR="00E64293">
        <w:rPr>
          <w:sz w:val="24"/>
          <w:szCs w:val="24"/>
          <w:lang w:val="en-NZ"/>
        </w:rPr>
        <w:t xml:space="preserve"> </w:t>
      </w:r>
      <w:r>
        <w:rPr>
          <w:sz w:val="24"/>
          <w:szCs w:val="24"/>
          <w:lang w:val="en-NZ"/>
        </w:rPr>
        <w:t>will provide cultural support and guidance to the t</w:t>
      </w:r>
      <w:r w:rsidRPr="00D01BA1">
        <w:rPr>
          <w:sz w:val="24"/>
          <w:szCs w:val="24"/>
        </w:rPr>
        <w:t>ā</w:t>
      </w:r>
      <w:proofErr w:type="spellStart"/>
      <w:r>
        <w:rPr>
          <w:sz w:val="24"/>
          <w:szCs w:val="24"/>
          <w:lang w:val="en-NZ"/>
        </w:rPr>
        <w:t>ngata</w:t>
      </w:r>
      <w:proofErr w:type="spellEnd"/>
      <w:r>
        <w:rPr>
          <w:sz w:val="24"/>
          <w:szCs w:val="24"/>
          <w:lang w:val="en-NZ"/>
        </w:rPr>
        <w:t xml:space="preserve"> </w:t>
      </w:r>
      <w:proofErr w:type="spellStart"/>
      <w:r>
        <w:rPr>
          <w:sz w:val="24"/>
          <w:szCs w:val="24"/>
          <w:lang w:val="en-NZ"/>
        </w:rPr>
        <w:t>wh</w:t>
      </w:r>
      <w:proofErr w:type="spellEnd"/>
      <w:r w:rsidR="00364279">
        <w:rPr>
          <w:sz w:val="24"/>
          <w:szCs w:val="24"/>
        </w:rPr>
        <w:t>a</w:t>
      </w:r>
      <w:proofErr w:type="spellStart"/>
      <w:r>
        <w:rPr>
          <w:sz w:val="24"/>
          <w:szCs w:val="24"/>
          <w:lang w:val="en-NZ"/>
        </w:rPr>
        <w:t>iora</w:t>
      </w:r>
      <w:proofErr w:type="spellEnd"/>
      <w:r>
        <w:rPr>
          <w:sz w:val="24"/>
          <w:szCs w:val="24"/>
          <w:lang w:val="en-NZ"/>
        </w:rPr>
        <w:t xml:space="preserve"> and their </w:t>
      </w:r>
      <w:proofErr w:type="spellStart"/>
      <w:r>
        <w:rPr>
          <w:sz w:val="24"/>
          <w:szCs w:val="24"/>
          <w:lang w:val="en-NZ"/>
        </w:rPr>
        <w:t>wh</w:t>
      </w:r>
      <w:proofErr w:type="spellEnd"/>
      <w:r w:rsidRPr="00D01BA1">
        <w:rPr>
          <w:sz w:val="24"/>
          <w:szCs w:val="24"/>
        </w:rPr>
        <w:t>ā</w:t>
      </w:r>
      <w:proofErr w:type="spellStart"/>
      <w:r>
        <w:rPr>
          <w:sz w:val="24"/>
          <w:szCs w:val="24"/>
          <w:lang w:val="en-NZ"/>
        </w:rPr>
        <w:t>nau</w:t>
      </w:r>
      <w:proofErr w:type="spellEnd"/>
      <w:r w:rsidR="002635ED">
        <w:rPr>
          <w:sz w:val="24"/>
          <w:szCs w:val="24"/>
          <w:lang w:val="en-NZ"/>
        </w:rPr>
        <w:t xml:space="preserve"> including:</w:t>
      </w:r>
    </w:p>
    <w:p w:rsidR="002635ED" w:rsidRPr="00C32DD5" w:rsidRDefault="002635ED" w:rsidP="006D14EF">
      <w:pPr>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AU"/>
        </w:rPr>
      </w:pPr>
      <w:r w:rsidRPr="00C32DD5">
        <w:rPr>
          <w:color w:val="000000"/>
          <w:sz w:val="24"/>
          <w:szCs w:val="24"/>
          <w:lang w:val="en-AU"/>
        </w:rPr>
        <w:t xml:space="preserve">ongoing advice and information in regard to aspects of care such as assessments and treatment options or approaches/activities that reconnect people with </w:t>
      </w:r>
      <w:proofErr w:type="spellStart"/>
      <w:r w:rsidRPr="00C32DD5">
        <w:rPr>
          <w:color w:val="000000"/>
          <w:sz w:val="24"/>
          <w:szCs w:val="24"/>
          <w:lang w:val="en-AU"/>
        </w:rPr>
        <w:t>wh</w:t>
      </w:r>
      <w:proofErr w:type="spellEnd"/>
      <w:r w:rsidRPr="00C32DD5">
        <w:rPr>
          <w:sz w:val="24"/>
          <w:szCs w:val="24"/>
        </w:rPr>
        <w:t>ā</w:t>
      </w:r>
      <w:proofErr w:type="spellStart"/>
      <w:r w:rsidRPr="00C32DD5">
        <w:rPr>
          <w:color w:val="000000"/>
          <w:sz w:val="24"/>
          <w:szCs w:val="24"/>
          <w:lang w:val="en-AU"/>
        </w:rPr>
        <w:t>nau</w:t>
      </w:r>
      <w:proofErr w:type="spellEnd"/>
      <w:r w:rsidRPr="00C32DD5">
        <w:rPr>
          <w:color w:val="000000"/>
          <w:sz w:val="24"/>
          <w:szCs w:val="24"/>
          <w:lang w:val="en-AU"/>
        </w:rPr>
        <w:t xml:space="preserve">, </w:t>
      </w:r>
      <w:proofErr w:type="spellStart"/>
      <w:r w:rsidRPr="00C32DD5">
        <w:rPr>
          <w:color w:val="000000"/>
          <w:sz w:val="24"/>
          <w:szCs w:val="24"/>
          <w:lang w:val="en-AU"/>
        </w:rPr>
        <w:t>hap</w:t>
      </w:r>
      <w:r w:rsidR="00364279">
        <w:rPr>
          <w:color w:val="000000"/>
          <w:sz w:val="24"/>
          <w:szCs w:val="24"/>
          <w:lang w:val="en-AU"/>
        </w:rPr>
        <w:t>ū</w:t>
      </w:r>
      <w:proofErr w:type="spellEnd"/>
      <w:r w:rsidRPr="00C32DD5">
        <w:rPr>
          <w:color w:val="000000"/>
          <w:sz w:val="24"/>
          <w:szCs w:val="24"/>
          <w:lang w:val="en-AU"/>
        </w:rPr>
        <w:t xml:space="preserve"> and </w:t>
      </w:r>
      <w:proofErr w:type="spellStart"/>
      <w:r w:rsidRPr="00C32DD5">
        <w:rPr>
          <w:color w:val="000000"/>
          <w:sz w:val="24"/>
          <w:szCs w:val="24"/>
          <w:lang w:val="en-AU"/>
        </w:rPr>
        <w:t>iwi</w:t>
      </w:r>
      <w:proofErr w:type="spellEnd"/>
    </w:p>
    <w:p w:rsidR="002635ED" w:rsidRPr="00C32DD5" w:rsidRDefault="002635ED" w:rsidP="006D14EF">
      <w:pPr>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hanging="540"/>
        <w:rPr>
          <w:color w:val="000000"/>
          <w:sz w:val="24"/>
          <w:szCs w:val="24"/>
          <w:lang w:val="en-AU"/>
        </w:rPr>
      </w:pPr>
      <w:r w:rsidRPr="00C32DD5">
        <w:rPr>
          <w:color w:val="000000"/>
          <w:sz w:val="24"/>
          <w:szCs w:val="24"/>
          <w:lang w:val="en-AU"/>
        </w:rPr>
        <w:t xml:space="preserve">assistance in facilitating further interventions or refer to appropriate </w:t>
      </w:r>
      <w:proofErr w:type="spellStart"/>
      <w:r w:rsidRPr="00C32DD5">
        <w:rPr>
          <w:color w:val="000000"/>
          <w:sz w:val="24"/>
          <w:szCs w:val="24"/>
          <w:lang w:val="en-AU"/>
        </w:rPr>
        <w:t>roopu</w:t>
      </w:r>
      <w:proofErr w:type="spellEnd"/>
      <w:r w:rsidRPr="00C32DD5">
        <w:rPr>
          <w:color w:val="000000"/>
          <w:sz w:val="24"/>
          <w:szCs w:val="24"/>
          <w:lang w:val="en-AU"/>
        </w:rPr>
        <w:t>/agency/service</w:t>
      </w:r>
      <w:r w:rsidR="00364F07">
        <w:rPr>
          <w:color w:val="000000"/>
          <w:sz w:val="24"/>
          <w:szCs w:val="24"/>
          <w:lang w:val="en-AU"/>
        </w:rPr>
        <w:t xml:space="preserve">s for </w:t>
      </w:r>
      <w:proofErr w:type="spellStart"/>
      <w:r w:rsidR="00364F07">
        <w:rPr>
          <w:color w:val="000000"/>
          <w:sz w:val="24"/>
          <w:szCs w:val="24"/>
          <w:lang w:val="en-AU"/>
        </w:rPr>
        <w:t>t</w:t>
      </w:r>
      <w:r w:rsidR="00364279">
        <w:rPr>
          <w:color w:val="000000"/>
          <w:sz w:val="24"/>
          <w:szCs w:val="24"/>
          <w:lang w:val="en-AU"/>
        </w:rPr>
        <w:t>ā</w:t>
      </w:r>
      <w:r w:rsidR="00364F07">
        <w:rPr>
          <w:color w:val="000000"/>
          <w:sz w:val="24"/>
          <w:szCs w:val="24"/>
          <w:lang w:val="en-AU"/>
        </w:rPr>
        <w:t>ngata</w:t>
      </w:r>
      <w:proofErr w:type="spellEnd"/>
      <w:r w:rsidR="00364F07">
        <w:rPr>
          <w:color w:val="000000"/>
          <w:sz w:val="24"/>
          <w:szCs w:val="24"/>
          <w:lang w:val="en-AU"/>
        </w:rPr>
        <w:t xml:space="preserve"> </w:t>
      </w:r>
      <w:proofErr w:type="spellStart"/>
      <w:r w:rsidR="00364F07">
        <w:rPr>
          <w:color w:val="000000"/>
          <w:sz w:val="24"/>
          <w:szCs w:val="24"/>
          <w:lang w:val="en-AU"/>
        </w:rPr>
        <w:t>whaiora</w:t>
      </w:r>
      <w:proofErr w:type="spellEnd"/>
    </w:p>
    <w:p w:rsidR="002635ED" w:rsidRPr="00C32DD5" w:rsidRDefault="002635ED" w:rsidP="006D14EF">
      <w:pPr>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hanging="540"/>
        <w:rPr>
          <w:color w:val="000000"/>
          <w:sz w:val="24"/>
          <w:szCs w:val="24"/>
          <w:lang w:val="en-AU"/>
        </w:rPr>
      </w:pPr>
      <w:r w:rsidRPr="00C32DD5">
        <w:rPr>
          <w:color w:val="000000"/>
          <w:sz w:val="24"/>
          <w:szCs w:val="24"/>
          <w:lang w:val="en-AU"/>
        </w:rPr>
        <w:t>provision of or access to a M</w:t>
      </w:r>
      <w:r w:rsidRPr="00C32DD5">
        <w:rPr>
          <w:sz w:val="24"/>
          <w:szCs w:val="24"/>
        </w:rPr>
        <w:t>ā</w:t>
      </w:r>
      <w:proofErr w:type="spellStart"/>
      <w:r w:rsidRPr="00C32DD5">
        <w:rPr>
          <w:color w:val="000000"/>
          <w:sz w:val="24"/>
          <w:szCs w:val="24"/>
          <w:lang w:val="en-AU"/>
        </w:rPr>
        <w:t>ori</w:t>
      </w:r>
      <w:proofErr w:type="spellEnd"/>
      <w:r w:rsidRPr="00C32DD5">
        <w:rPr>
          <w:color w:val="000000"/>
          <w:sz w:val="24"/>
          <w:szCs w:val="24"/>
          <w:lang w:val="en-AU"/>
        </w:rPr>
        <w:t xml:space="preserve"> environment, </w:t>
      </w:r>
      <w:proofErr w:type="spellStart"/>
      <w:r w:rsidRPr="00C32DD5">
        <w:rPr>
          <w:color w:val="000000"/>
          <w:sz w:val="24"/>
          <w:szCs w:val="24"/>
          <w:lang w:val="en-AU"/>
        </w:rPr>
        <w:t>rongo</w:t>
      </w:r>
      <w:r w:rsidR="00364279">
        <w:rPr>
          <w:color w:val="000000"/>
          <w:sz w:val="24"/>
          <w:szCs w:val="24"/>
          <w:lang w:val="en-AU"/>
        </w:rPr>
        <w:t>ā</w:t>
      </w:r>
      <w:proofErr w:type="spellEnd"/>
      <w:r w:rsidRPr="00C32DD5">
        <w:rPr>
          <w:color w:val="000000"/>
          <w:sz w:val="24"/>
          <w:szCs w:val="24"/>
          <w:lang w:val="en-AU"/>
        </w:rPr>
        <w:t xml:space="preserve"> M</w:t>
      </w:r>
      <w:r w:rsidR="00364279">
        <w:rPr>
          <w:color w:val="000000"/>
          <w:sz w:val="24"/>
          <w:szCs w:val="24"/>
          <w:lang w:val="en-AU"/>
        </w:rPr>
        <w:t>ā</w:t>
      </w:r>
      <w:r w:rsidRPr="00C32DD5">
        <w:rPr>
          <w:color w:val="000000"/>
          <w:sz w:val="24"/>
          <w:szCs w:val="24"/>
          <w:lang w:val="en-AU"/>
        </w:rPr>
        <w:t xml:space="preserve">ori, tohunga, </w:t>
      </w:r>
      <w:r w:rsidR="00BF25A0">
        <w:rPr>
          <w:color w:val="000000"/>
          <w:sz w:val="24"/>
          <w:szCs w:val="24"/>
          <w:lang w:val="en-AU"/>
        </w:rPr>
        <w:t>T</w:t>
      </w:r>
      <w:r w:rsidRPr="00C32DD5">
        <w:rPr>
          <w:color w:val="000000"/>
          <w:sz w:val="24"/>
          <w:szCs w:val="24"/>
          <w:lang w:val="en-AU"/>
        </w:rPr>
        <w:t xml:space="preserve">e </w:t>
      </w:r>
      <w:r w:rsidR="00BF25A0">
        <w:rPr>
          <w:color w:val="000000"/>
          <w:sz w:val="24"/>
          <w:szCs w:val="24"/>
          <w:lang w:val="en-AU"/>
        </w:rPr>
        <w:t>R</w:t>
      </w:r>
      <w:r w:rsidRPr="00C32DD5">
        <w:rPr>
          <w:color w:val="000000"/>
          <w:sz w:val="24"/>
          <w:szCs w:val="24"/>
          <w:lang w:val="en-AU"/>
        </w:rPr>
        <w:t>eo M</w:t>
      </w:r>
      <w:r w:rsidR="00364279">
        <w:rPr>
          <w:color w:val="000000"/>
          <w:sz w:val="24"/>
          <w:szCs w:val="24"/>
          <w:lang w:val="en-AU"/>
        </w:rPr>
        <w:t>ā</w:t>
      </w:r>
      <w:r w:rsidRPr="00C32DD5">
        <w:rPr>
          <w:color w:val="000000"/>
          <w:sz w:val="24"/>
          <w:szCs w:val="24"/>
          <w:lang w:val="en-AU"/>
        </w:rPr>
        <w:t xml:space="preserve">ori speakers or other cultural needs in accordance with the needs/requests of </w:t>
      </w:r>
      <w:r>
        <w:rPr>
          <w:color w:val="000000"/>
          <w:sz w:val="24"/>
          <w:szCs w:val="24"/>
          <w:lang w:val="en-AU"/>
        </w:rPr>
        <w:t>t</w:t>
      </w:r>
      <w:r w:rsidRPr="00C32DD5">
        <w:rPr>
          <w:sz w:val="24"/>
          <w:szCs w:val="24"/>
        </w:rPr>
        <w:t>ā</w:t>
      </w:r>
      <w:proofErr w:type="spellStart"/>
      <w:r w:rsidRPr="00C32DD5">
        <w:rPr>
          <w:color w:val="000000"/>
          <w:sz w:val="24"/>
          <w:szCs w:val="24"/>
          <w:lang w:val="en-AU"/>
        </w:rPr>
        <w:t>ngata</w:t>
      </w:r>
      <w:proofErr w:type="spellEnd"/>
      <w:r w:rsidRPr="00C32DD5">
        <w:rPr>
          <w:color w:val="000000"/>
          <w:sz w:val="24"/>
          <w:szCs w:val="24"/>
          <w:lang w:val="en-AU"/>
        </w:rPr>
        <w:t xml:space="preserve"> </w:t>
      </w:r>
      <w:proofErr w:type="spellStart"/>
      <w:r>
        <w:rPr>
          <w:color w:val="000000"/>
          <w:sz w:val="24"/>
          <w:szCs w:val="24"/>
          <w:lang w:val="en-AU"/>
        </w:rPr>
        <w:t>w</w:t>
      </w:r>
      <w:r w:rsidRPr="00C32DD5">
        <w:rPr>
          <w:color w:val="000000"/>
          <w:sz w:val="24"/>
          <w:szCs w:val="24"/>
          <w:lang w:val="en-AU"/>
        </w:rPr>
        <w:t>h</w:t>
      </w:r>
      <w:proofErr w:type="spellEnd"/>
      <w:r w:rsidR="00364279">
        <w:rPr>
          <w:sz w:val="24"/>
          <w:szCs w:val="24"/>
        </w:rPr>
        <w:t>a</w:t>
      </w:r>
      <w:proofErr w:type="spellStart"/>
      <w:r>
        <w:rPr>
          <w:color w:val="000000"/>
          <w:sz w:val="24"/>
          <w:szCs w:val="24"/>
          <w:lang w:val="en-AU"/>
        </w:rPr>
        <w:t>io</w:t>
      </w:r>
      <w:r w:rsidRPr="00C32DD5">
        <w:rPr>
          <w:color w:val="000000"/>
          <w:sz w:val="24"/>
          <w:szCs w:val="24"/>
          <w:lang w:val="en-AU"/>
        </w:rPr>
        <w:t>ra</w:t>
      </w:r>
      <w:proofErr w:type="spellEnd"/>
      <w:r w:rsidRPr="00C32DD5">
        <w:rPr>
          <w:color w:val="000000"/>
          <w:sz w:val="24"/>
          <w:szCs w:val="24"/>
          <w:lang w:val="en-AU"/>
        </w:rPr>
        <w:t xml:space="preserve"> and </w:t>
      </w:r>
      <w:proofErr w:type="spellStart"/>
      <w:r w:rsidRPr="00C32DD5">
        <w:rPr>
          <w:color w:val="000000"/>
          <w:sz w:val="24"/>
          <w:szCs w:val="24"/>
          <w:lang w:val="en-AU"/>
        </w:rPr>
        <w:t>wh</w:t>
      </w:r>
      <w:proofErr w:type="spellEnd"/>
      <w:r w:rsidRPr="00C32DD5">
        <w:rPr>
          <w:sz w:val="24"/>
          <w:szCs w:val="24"/>
        </w:rPr>
        <w:t>ā</w:t>
      </w:r>
      <w:proofErr w:type="spellStart"/>
      <w:r w:rsidRPr="00C32DD5">
        <w:rPr>
          <w:color w:val="000000"/>
          <w:sz w:val="24"/>
          <w:szCs w:val="24"/>
          <w:lang w:val="en-AU"/>
        </w:rPr>
        <w:t>nau</w:t>
      </w:r>
      <w:proofErr w:type="spellEnd"/>
    </w:p>
    <w:p w:rsidR="002635ED" w:rsidRPr="00C32DD5" w:rsidRDefault="002635ED" w:rsidP="006D14EF">
      <w:pPr>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hanging="540"/>
        <w:rPr>
          <w:color w:val="000000"/>
          <w:sz w:val="24"/>
          <w:szCs w:val="24"/>
          <w:lang w:val="en-AU"/>
        </w:rPr>
      </w:pPr>
      <w:proofErr w:type="gramStart"/>
      <w:r w:rsidRPr="00C32DD5">
        <w:rPr>
          <w:color w:val="000000"/>
          <w:sz w:val="24"/>
          <w:szCs w:val="24"/>
          <w:lang w:val="en-AU"/>
        </w:rPr>
        <w:t>provision</w:t>
      </w:r>
      <w:proofErr w:type="gramEnd"/>
      <w:r w:rsidRPr="00C32DD5">
        <w:rPr>
          <w:color w:val="000000"/>
          <w:sz w:val="24"/>
          <w:szCs w:val="24"/>
          <w:lang w:val="en-AU"/>
        </w:rPr>
        <w:t xml:space="preserve"> of </w:t>
      </w:r>
      <w:proofErr w:type="spellStart"/>
      <w:r w:rsidRPr="00C32DD5">
        <w:rPr>
          <w:color w:val="000000"/>
          <w:sz w:val="24"/>
          <w:szCs w:val="24"/>
          <w:lang w:val="en-AU"/>
        </w:rPr>
        <w:t>tikanga</w:t>
      </w:r>
      <w:proofErr w:type="spellEnd"/>
      <w:r w:rsidRPr="00C32DD5">
        <w:rPr>
          <w:color w:val="000000"/>
          <w:sz w:val="24"/>
          <w:szCs w:val="24"/>
          <w:lang w:val="en-AU"/>
        </w:rPr>
        <w:t xml:space="preserve"> M</w:t>
      </w:r>
      <w:r w:rsidR="00364279">
        <w:rPr>
          <w:color w:val="000000"/>
          <w:sz w:val="24"/>
          <w:szCs w:val="24"/>
          <w:lang w:val="en-AU"/>
        </w:rPr>
        <w:t>ā</w:t>
      </w:r>
      <w:r w:rsidRPr="00C32DD5">
        <w:rPr>
          <w:color w:val="000000"/>
          <w:sz w:val="24"/>
          <w:szCs w:val="24"/>
          <w:lang w:val="en-AU"/>
        </w:rPr>
        <w:t xml:space="preserve">ori that relate to the </w:t>
      </w:r>
      <w:proofErr w:type="spellStart"/>
      <w:r w:rsidRPr="00C32DD5">
        <w:rPr>
          <w:color w:val="000000"/>
          <w:sz w:val="24"/>
          <w:szCs w:val="24"/>
          <w:lang w:val="en-AU"/>
        </w:rPr>
        <w:t>kawa</w:t>
      </w:r>
      <w:proofErr w:type="spellEnd"/>
      <w:r w:rsidRPr="00C32DD5">
        <w:rPr>
          <w:color w:val="000000"/>
          <w:sz w:val="24"/>
          <w:szCs w:val="24"/>
          <w:lang w:val="en-AU"/>
        </w:rPr>
        <w:t xml:space="preserve"> and </w:t>
      </w:r>
      <w:proofErr w:type="spellStart"/>
      <w:r w:rsidRPr="00C32DD5">
        <w:rPr>
          <w:color w:val="000000"/>
          <w:sz w:val="24"/>
          <w:szCs w:val="24"/>
          <w:lang w:val="en-AU"/>
        </w:rPr>
        <w:t>kaupapa</w:t>
      </w:r>
      <w:proofErr w:type="spellEnd"/>
      <w:r w:rsidRPr="00C32DD5">
        <w:rPr>
          <w:color w:val="000000"/>
          <w:sz w:val="24"/>
          <w:szCs w:val="24"/>
          <w:lang w:val="en-AU"/>
        </w:rPr>
        <w:t xml:space="preserve"> of the service. This may include </w:t>
      </w:r>
      <w:proofErr w:type="spellStart"/>
      <w:r w:rsidRPr="00C32DD5">
        <w:rPr>
          <w:color w:val="000000"/>
          <w:sz w:val="24"/>
          <w:szCs w:val="24"/>
          <w:lang w:val="en-AU"/>
        </w:rPr>
        <w:t>p</w:t>
      </w:r>
      <w:r w:rsidR="00364279">
        <w:rPr>
          <w:color w:val="000000"/>
          <w:sz w:val="24"/>
          <w:szCs w:val="24"/>
          <w:lang w:val="en-AU"/>
        </w:rPr>
        <w:t>ō</w:t>
      </w:r>
      <w:r w:rsidRPr="00C32DD5">
        <w:rPr>
          <w:color w:val="000000"/>
          <w:sz w:val="24"/>
          <w:szCs w:val="24"/>
          <w:lang w:val="en-AU"/>
        </w:rPr>
        <w:t>whiri</w:t>
      </w:r>
      <w:proofErr w:type="spellEnd"/>
      <w:r w:rsidRPr="00C32DD5">
        <w:rPr>
          <w:color w:val="000000"/>
          <w:sz w:val="24"/>
          <w:szCs w:val="24"/>
          <w:lang w:val="en-AU"/>
        </w:rPr>
        <w:t xml:space="preserve">, </w:t>
      </w:r>
      <w:proofErr w:type="spellStart"/>
      <w:r w:rsidRPr="00C32DD5">
        <w:rPr>
          <w:color w:val="000000"/>
          <w:sz w:val="24"/>
          <w:szCs w:val="24"/>
          <w:lang w:val="en-AU"/>
        </w:rPr>
        <w:t>mihimihi</w:t>
      </w:r>
      <w:proofErr w:type="spellEnd"/>
      <w:r w:rsidRPr="00C32DD5">
        <w:rPr>
          <w:color w:val="000000"/>
          <w:sz w:val="24"/>
          <w:szCs w:val="24"/>
          <w:lang w:val="en-AU"/>
        </w:rPr>
        <w:t xml:space="preserve">, </w:t>
      </w:r>
      <w:proofErr w:type="spellStart"/>
      <w:r w:rsidRPr="00C32DD5">
        <w:rPr>
          <w:color w:val="000000"/>
          <w:sz w:val="24"/>
          <w:szCs w:val="24"/>
          <w:lang w:val="en-AU"/>
        </w:rPr>
        <w:t>karakia</w:t>
      </w:r>
      <w:proofErr w:type="spellEnd"/>
      <w:r w:rsidRPr="00C32DD5">
        <w:rPr>
          <w:color w:val="000000"/>
          <w:sz w:val="24"/>
          <w:szCs w:val="24"/>
          <w:lang w:val="en-AU"/>
        </w:rPr>
        <w:t xml:space="preserve">, waiata, </w:t>
      </w:r>
      <w:proofErr w:type="spellStart"/>
      <w:proofErr w:type="gramStart"/>
      <w:r w:rsidRPr="00C32DD5">
        <w:rPr>
          <w:color w:val="000000"/>
          <w:sz w:val="24"/>
          <w:szCs w:val="24"/>
          <w:lang w:val="en-AU"/>
        </w:rPr>
        <w:t>hui</w:t>
      </w:r>
      <w:proofErr w:type="spellEnd"/>
      <w:proofErr w:type="gramEnd"/>
      <w:r w:rsidRPr="00C32DD5">
        <w:rPr>
          <w:color w:val="000000"/>
          <w:sz w:val="24"/>
          <w:szCs w:val="24"/>
          <w:lang w:val="en-AU"/>
        </w:rPr>
        <w:t xml:space="preserve"> or </w:t>
      </w:r>
      <w:proofErr w:type="spellStart"/>
      <w:r w:rsidRPr="00C32DD5">
        <w:rPr>
          <w:color w:val="000000"/>
          <w:sz w:val="24"/>
          <w:szCs w:val="24"/>
          <w:lang w:val="en-AU"/>
        </w:rPr>
        <w:t>poroporoaki</w:t>
      </w:r>
      <w:proofErr w:type="spellEnd"/>
      <w:r>
        <w:rPr>
          <w:color w:val="000000"/>
          <w:sz w:val="24"/>
          <w:szCs w:val="24"/>
          <w:lang w:val="en-AU"/>
        </w:rPr>
        <w:t>.</w:t>
      </w:r>
    </w:p>
    <w:p w:rsidR="00B47B6E" w:rsidRDefault="00B47B6E" w:rsidP="00B47B6E">
      <w:pPr>
        <w:tabs>
          <w:tab w:val="left" w:pos="567"/>
          <w:tab w:val="left" w:pos="709"/>
          <w:tab w:val="left" w:pos="1701"/>
          <w:tab w:val="left" w:pos="2693"/>
        </w:tabs>
        <w:spacing w:before="120"/>
        <w:rPr>
          <w:sz w:val="24"/>
          <w:szCs w:val="24"/>
          <w:lang w:val="en-NZ"/>
        </w:rPr>
      </w:pPr>
      <w:r w:rsidRPr="00D01BA1">
        <w:rPr>
          <w:sz w:val="24"/>
          <w:szCs w:val="24"/>
          <w:lang w:val="en-NZ"/>
        </w:rPr>
        <w:t xml:space="preserve">The </w:t>
      </w:r>
      <w:proofErr w:type="spellStart"/>
      <w:r w:rsidR="00E64293">
        <w:rPr>
          <w:sz w:val="24"/>
          <w:szCs w:val="24"/>
          <w:lang w:val="en-NZ"/>
        </w:rPr>
        <w:t>K</w:t>
      </w:r>
      <w:r w:rsidRPr="00D01BA1">
        <w:rPr>
          <w:sz w:val="24"/>
          <w:szCs w:val="24"/>
          <w:lang w:val="en-NZ"/>
        </w:rPr>
        <w:t>aum</w:t>
      </w:r>
      <w:r w:rsidR="00364279">
        <w:rPr>
          <w:sz w:val="24"/>
          <w:szCs w:val="24"/>
          <w:lang w:val="en-NZ"/>
        </w:rPr>
        <w:t>ā</w:t>
      </w:r>
      <w:r w:rsidRPr="00D01BA1">
        <w:rPr>
          <w:sz w:val="24"/>
          <w:szCs w:val="24"/>
          <w:lang w:val="en-NZ"/>
        </w:rPr>
        <w:t>tua</w:t>
      </w:r>
      <w:proofErr w:type="spellEnd"/>
      <w:r w:rsidRPr="00D01BA1">
        <w:rPr>
          <w:sz w:val="24"/>
          <w:szCs w:val="24"/>
          <w:lang w:val="en-NZ"/>
        </w:rPr>
        <w:t xml:space="preserve"> will provide advice and support to staff of the mental health and addiction service regarding all things to do with </w:t>
      </w:r>
      <w:proofErr w:type="spellStart"/>
      <w:r w:rsidRPr="00D01BA1">
        <w:rPr>
          <w:sz w:val="24"/>
          <w:szCs w:val="24"/>
          <w:lang w:val="en-NZ"/>
        </w:rPr>
        <w:t>tikanga</w:t>
      </w:r>
      <w:proofErr w:type="spellEnd"/>
      <w:r w:rsidRPr="00D01BA1">
        <w:rPr>
          <w:i/>
          <w:sz w:val="24"/>
          <w:szCs w:val="24"/>
          <w:lang w:val="en-NZ"/>
        </w:rPr>
        <w:t xml:space="preserve"> </w:t>
      </w:r>
      <w:r w:rsidRPr="00D01BA1">
        <w:rPr>
          <w:sz w:val="24"/>
          <w:szCs w:val="24"/>
          <w:lang w:val="en-NZ"/>
        </w:rPr>
        <w:t>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They will </w:t>
      </w:r>
      <w:r w:rsidR="00D93BD4">
        <w:rPr>
          <w:sz w:val="24"/>
          <w:szCs w:val="24"/>
          <w:lang w:val="en-NZ"/>
        </w:rPr>
        <w:t xml:space="preserve">also </w:t>
      </w:r>
      <w:r w:rsidRPr="00D01BA1">
        <w:rPr>
          <w:sz w:val="24"/>
          <w:szCs w:val="24"/>
          <w:lang w:val="en-NZ"/>
        </w:rPr>
        <w:t xml:space="preserve">facilitate training </w:t>
      </w:r>
      <w:r w:rsidR="00E64293">
        <w:rPr>
          <w:sz w:val="24"/>
          <w:szCs w:val="24"/>
          <w:lang w:val="en-NZ"/>
        </w:rPr>
        <w:t>for</w:t>
      </w:r>
      <w:r w:rsidRPr="00D01BA1">
        <w:rPr>
          <w:sz w:val="24"/>
          <w:szCs w:val="24"/>
          <w:lang w:val="en-NZ"/>
        </w:rPr>
        <w:t xml:space="preserve"> staff in </w:t>
      </w:r>
      <w:proofErr w:type="spellStart"/>
      <w:r w:rsidRPr="00D01BA1">
        <w:rPr>
          <w:sz w:val="24"/>
          <w:szCs w:val="24"/>
          <w:lang w:val="en-NZ"/>
        </w:rPr>
        <w:t>tikanga</w:t>
      </w:r>
      <w:proofErr w:type="spellEnd"/>
      <w:r w:rsidRPr="00D01BA1">
        <w:rPr>
          <w:sz w:val="24"/>
          <w:szCs w:val="24"/>
          <w:lang w:val="en-NZ"/>
        </w:rPr>
        <w:t xml:space="preserve"> M</w:t>
      </w:r>
      <w:r w:rsidRPr="00D01BA1">
        <w:rPr>
          <w:sz w:val="24"/>
          <w:szCs w:val="24"/>
        </w:rPr>
        <w:t>ā</w:t>
      </w:r>
      <w:proofErr w:type="spellStart"/>
      <w:r w:rsidRPr="00D01BA1">
        <w:rPr>
          <w:sz w:val="24"/>
          <w:szCs w:val="24"/>
          <w:lang w:val="en-NZ"/>
        </w:rPr>
        <w:t>ori</w:t>
      </w:r>
      <w:proofErr w:type="spellEnd"/>
      <w:r w:rsidRPr="00D01BA1">
        <w:rPr>
          <w:sz w:val="24"/>
          <w:szCs w:val="24"/>
          <w:lang w:val="en-NZ"/>
        </w:rPr>
        <w:t>.</w:t>
      </w:r>
    </w:p>
    <w:p w:rsidR="00916395" w:rsidRPr="00D01BA1" w:rsidRDefault="00916395" w:rsidP="002214C9">
      <w:pPr>
        <w:tabs>
          <w:tab w:val="left" w:pos="567"/>
          <w:tab w:val="left" w:pos="709"/>
          <w:tab w:val="left" w:pos="1701"/>
          <w:tab w:val="left" w:pos="2693"/>
        </w:tabs>
        <w:spacing w:before="120"/>
        <w:rPr>
          <w:sz w:val="24"/>
          <w:szCs w:val="24"/>
          <w:lang w:val="en-NZ"/>
        </w:rPr>
      </w:pPr>
      <w:r w:rsidRPr="00D01BA1">
        <w:rPr>
          <w:sz w:val="24"/>
          <w:szCs w:val="24"/>
          <w:lang w:val="en-NZ"/>
        </w:rPr>
        <w:t xml:space="preserve">The </w:t>
      </w:r>
      <w:proofErr w:type="spellStart"/>
      <w:r w:rsidR="00364279">
        <w:rPr>
          <w:sz w:val="24"/>
          <w:szCs w:val="24"/>
          <w:lang w:val="en-NZ"/>
        </w:rPr>
        <w:t>K</w:t>
      </w:r>
      <w:r w:rsidRPr="00D01BA1">
        <w:rPr>
          <w:sz w:val="24"/>
          <w:szCs w:val="24"/>
          <w:lang w:val="en-NZ"/>
        </w:rPr>
        <w:t>aum</w:t>
      </w:r>
      <w:r w:rsidR="00364279">
        <w:rPr>
          <w:sz w:val="24"/>
          <w:szCs w:val="24"/>
          <w:lang w:val="en-NZ"/>
        </w:rPr>
        <w:t>ā</w:t>
      </w:r>
      <w:r w:rsidRPr="00D01BA1">
        <w:rPr>
          <w:sz w:val="24"/>
          <w:szCs w:val="24"/>
          <w:lang w:val="en-NZ"/>
        </w:rPr>
        <w:t>tua</w:t>
      </w:r>
      <w:proofErr w:type="spellEnd"/>
      <w:r w:rsidRPr="00D01BA1">
        <w:rPr>
          <w:sz w:val="24"/>
          <w:szCs w:val="24"/>
          <w:lang w:val="en-NZ"/>
        </w:rPr>
        <w:t xml:space="preserve"> will ensure that protocols are developed and observed with regard to cultural safety in general mental health and addiction services.  Their status will enable them to advocate for M</w:t>
      </w:r>
      <w:r w:rsidR="00364279">
        <w:rPr>
          <w:sz w:val="24"/>
          <w:szCs w:val="24"/>
          <w:lang w:val="en-NZ"/>
        </w:rPr>
        <w:t>ā</w:t>
      </w:r>
      <w:r w:rsidRPr="00D01BA1">
        <w:rPr>
          <w:sz w:val="24"/>
          <w:szCs w:val="24"/>
          <w:lang w:val="en-NZ"/>
        </w:rPr>
        <w:t>ori and challenge practices that are inappropriate for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particularly in </w:t>
      </w:r>
      <w:r w:rsidR="00364F07">
        <w:rPr>
          <w:sz w:val="24"/>
          <w:szCs w:val="24"/>
          <w:lang w:val="en-NZ"/>
        </w:rPr>
        <w:t xml:space="preserve">relation to </w:t>
      </w:r>
      <w:proofErr w:type="spellStart"/>
      <w:r w:rsidR="007B095F">
        <w:rPr>
          <w:sz w:val="24"/>
          <w:szCs w:val="24"/>
          <w:lang w:val="en-NZ"/>
        </w:rPr>
        <w:t>tikanga</w:t>
      </w:r>
      <w:proofErr w:type="spellEnd"/>
      <w:r w:rsidR="007B095F">
        <w:rPr>
          <w:sz w:val="24"/>
          <w:szCs w:val="24"/>
          <w:lang w:val="en-NZ"/>
        </w:rPr>
        <w:t xml:space="preserve"> M</w:t>
      </w:r>
      <w:r w:rsidR="00364279">
        <w:rPr>
          <w:sz w:val="24"/>
          <w:szCs w:val="24"/>
          <w:lang w:val="en-NZ"/>
        </w:rPr>
        <w:t>ā</w:t>
      </w:r>
      <w:r w:rsidR="007B095F">
        <w:rPr>
          <w:sz w:val="24"/>
          <w:szCs w:val="24"/>
          <w:lang w:val="en-NZ"/>
        </w:rPr>
        <w:t>ori</w:t>
      </w:r>
      <w:r w:rsidRPr="00D01BA1">
        <w:rPr>
          <w:sz w:val="24"/>
          <w:szCs w:val="24"/>
          <w:lang w:val="en-NZ"/>
        </w:rPr>
        <w:t>.</w:t>
      </w:r>
    </w:p>
    <w:p w:rsidR="00916395" w:rsidRPr="00D01BA1" w:rsidRDefault="00916395" w:rsidP="002214C9">
      <w:pPr>
        <w:tabs>
          <w:tab w:val="left" w:pos="567"/>
          <w:tab w:val="left" w:pos="1701"/>
          <w:tab w:val="left" w:pos="2693"/>
        </w:tabs>
        <w:spacing w:before="120"/>
        <w:rPr>
          <w:sz w:val="24"/>
          <w:szCs w:val="24"/>
          <w:lang w:val="en-NZ"/>
        </w:rPr>
      </w:pPr>
      <w:r w:rsidRPr="00D01BA1">
        <w:rPr>
          <w:sz w:val="24"/>
          <w:szCs w:val="24"/>
          <w:lang w:val="en-NZ"/>
        </w:rPr>
        <w:t>They will advise on policy and practices concerning:</w:t>
      </w:r>
    </w:p>
    <w:p w:rsidR="00916395" w:rsidRPr="00D01BA1" w:rsidRDefault="00916395" w:rsidP="00074B30">
      <w:pPr>
        <w:numPr>
          <w:ilvl w:val="0"/>
          <w:numId w:val="20"/>
        </w:numPr>
        <w:tabs>
          <w:tab w:val="clear" w:pos="454"/>
          <w:tab w:val="left" w:pos="540"/>
        </w:tabs>
        <w:spacing w:before="120"/>
        <w:ind w:left="539" w:hanging="539"/>
        <w:rPr>
          <w:sz w:val="24"/>
          <w:szCs w:val="24"/>
          <w:lang w:val="en-NZ"/>
        </w:rPr>
      </w:pPr>
      <w:r w:rsidRPr="00D01BA1">
        <w:rPr>
          <w:sz w:val="24"/>
          <w:szCs w:val="24"/>
          <w:lang w:val="en-NZ"/>
        </w:rPr>
        <w:t xml:space="preserve">care of the </w:t>
      </w:r>
      <w:proofErr w:type="spellStart"/>
      <w:r w:rsidRPr="00D01BA1">
        <w:rPr>
          <w:sz w:val="24"/>
          <w:szCs w:val="24"/>
          <w:lang w:val="en-NZ"/>
        </w:rPr>
        <w:t>t</w:t>
      </w:r>
      <w:r w:rsidR="00364279">
        <w:rPr>
          <w:sz w:val="24"/>
          <w:szCs w:val="24"/>
          <w:lang w:val="en-NZ"/>
        </w:rPr>
        <w:t>ū</w:t>
      </w:r>
      <w:r w:rsidRPr="00D01BA1">
        <w:rPr>
          <w:sz w:val="24"/>
          <w:szCs w:val="24"/>
          <w:lang w:val="en-NZ"/>
        </w:rPr>
        <w:t>papaku</w:t>
      </w:r>
      <w:proofErr w:type="spellEnd"/>
      <w:r w:rsidRPr="00D01BA1">
        <w:rPr>
          <w:sz w:val="24"/>
          <w:szCs w:val="24"/>
          <w:lang w:val="en-NZ"/>
        </w:rPr>
        <w:t xml:space="preserve"> (deceased) and </w:t>
      </w:r>
      <w:proofErr w:type="spellStart"/>
      <w:r w:rsidRPr="00D01BA1">
        <w:rPr>
          <w:sz w:val="24"/>
          <w:szCs w:val="24"/>
          <w:lang w:val="en-NZ"/>
        </w:rPr>
        <w:t>tangihanga</w:t>
      </w:r>
      <w:proofErr w:type="spellEnd"/>
      <w:r w:rsidRPr="00D01BA1">
        <w:rPr>
          <w:sz w:val="24"/>
          <w:szCs w:val="24"/>
          <w:lang w:val="en-NZ"/>
        </w:rPr>
        <w:t xml:space="preserve"> (funeral)</w:t>
      </w:r>
    </w:p>
    <w:p w:rsidR="00916395" w:rsidRPr="00D01BA1" w:rsidRDefault="00916395" w:rsidP="00074B30">
      <w:pPr>
        <w:numPr>
          <w:ilvl w:val="0"/>
          <w:numId w:val="20"/>
        </w:numPr>
        <w:tabs>
          <w:tab w:val="clear" w:pos="454"/>
          <w:tab w:val="left" w:pos="540"/>
        </w:tabs>
        <w:spacing w:before="120"/>
        <w:ind w:left="539" w:hanging="539"/>
        <w:rPr>
          <w:sz w:val="24"/>
          <w:szCs w:val="24"/>
          <w:lang w:val="en-NZ"/>
        </w:rPr>
      </w:pPr>
      <w:r w:rsidRPr="00D01BA1">
        <w:rPr>
          <w:sz w:val="24"/>
          <w:szCs w:val="24"/>
          <w:lang w:val="en-NZ"/>
        </w:rPr>
        <w:t>cultural support for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clients and </w:t>
      </w:r>
      <w:proofErr w:type="spellStart"/>
      <w:r w:rsidRPr="00D01BA1">
        <w:rPr>
          <w:sz w:val="24"/>
          <w:szCs w:val="24"/>
          <w:lang w:val="en-NZ"/>
        </w:rPr>
        <w:t>whanau</w:t>
      </w:r>
      <w:proofErr w:type="spellEnd"/>
    </w:p>
    <w:p w:rsidR="00916395" w:rsidRPr="00D01BA1" w:rsidRDefault="00916395" w:rsidP="00074B30">
      <w:pPr>
        <w:numPr>
          <w:ilvl w:val="0"/>
          <w:numId w:val="20"/>
        </w:numPr>
        <w:tabs>
          <w:tab w:val="clear" w:pos="454"/>
          <w:tab w:val="left" w:pos="540"/>
        </w:tabs>
        <w:spacing w:before="120"/>
        <w:ind w:left="539" w:hanging="539"/>
        <w:rPr>
          <w:sz w:val="24"/>
          <w:szCs w:val="24"/>
          <w:lang w:val="en-NZ"/>
        </w:rPr>
      </w:pPr>
      <w:r w:rsidRPr="00D01BA1">
        <w:rPr>
          <w:sz w:val="24"/>
          <w:szCs w:val="24"/>
          <w:lang w:val="en-NZ"/>
        </w:rPr>
        <w:t>inter-iwi relationships</w:t>
      </w:r>
    </w:p>
    <w:p w:rsidR="00916395" w:rsidRPr="00D01BA1" w:rsidRDefault="00916395" w:rsidP="00074B30">
      <w:pPr>
        <w:numPr>
          <w:ilvl w:val="0"/>
          <w:numId w:val="20"/>
        </w:numPr>
        <w:tabs>
          <w:tab w:val="clear" w:pos="454"/>
          <w:tab w:val="left" w:pos="540"/>
        </w:tabs>
        <w:spacing w:before="120"/>
        <w:ind w:left="539" w:hanging="539"/>
        <w:rPr>
          <w:sz w:val="24"/>
          <w:szCs w:val="24"/>
          <w:lang w:val="en-NZ"/>
        </w:rPr>
      </w:pPr>
      <w:r w:rsidRPr="00D01BA1">
        <w:rPr>
          <w:sz w:val="24"/>
          <w:szCs w:val="24"/>
          <w:lang w:val="en-NZ"/>
        </w:rPr>
        <w:t>promotion of the concept of the four cornerstones of health</w:t>
      </w:r>
    </w:p>
    <w:p w:rsidR="00916395" w:rsidRPr="00D01BA1" w:rsidRDefault="00916395" w:rsidP="00074B30">
      <w:pPr>
        <w:numPr>
          <w:ilvl w:val="0"/>
          <w:numId w:val="20"/>
        </w:numPr>
        <w:tabs>
          <w:tab w:val="clear" w:pos="454"/>
          <w:tab w:val="left" w:pos="540"/>
        </w:tabs>
        <w:spacing w:before="120"/>
        <w:ind w:left="539" w:hanging="539"/>
        <w:rPr>
          <w:sz w:val="24"/>
          <w:szCs w:val="24"/>
          <w:lang w:val="en-NZ"/>
        </w:rPr>
      </w:pPr>
      <w:r w:rsidRPr="00D01BA1">
        <w:rPr>
          <w:sz w:val="24"/>
          <w:szCs w:val="24"/>
          <w:lang w:val="en-NZ"/>
        </w:rPr>
        <w:t>cultural assessment</w:t>
      </w:r>
    </w:p>
    <w:p w:rsidR="00916395" w:rsidRPr="00D01BA1" w:rsidRDefault="00916395" w:rsidP="00074B30">
      <w:pPr>
        <w:numPr>
          <w:ilvl w:val="0"/>
          <w:numId w:val="20"/>
        </w:numPr>
        <w:tabs>
          <w:tab w:val="clear" w:pos="454"/>
          <w:tab w:val="left" w:pos="540"/>
        </w:tabs>
        <w:spacing w:before="120"/>
        <w:ind w:left="539" w:hanging="539"/>
        <w:rPr>
          <w:sz w:val="24"/>
          <w:szCs w:val="24"/>
          <w:lang w:val="en-NZ"/>
        </w:rPr>
      </w:pPr>
      <w:proofErr w:type="gramStart"/>
      <w:r w:rsidRPr="00D01BA1">
        <w:rPr>
          <w:sz w:val="24"/>
          <w:szCs w:val="24"/>
          <w:lang w:val="en-NZ"/>
        </w:rPr>
        <w:t>interpretation</w:t>
      </w:r>
      <w:proofErr w:type="gramEnd"/>
      <w:r w:rsidRPr="00D01BA1">
        <w:rPr>
          <w:sz w:val="24"/>
          <w:szCs w:val="24"/>
          <w:lang w:val="en-NZ"/>
        </w:rPr>
        <w:t xml:space="preserve"> of good clinical practice from a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perspective.</w:t>
      </w:r>
    </w:p>
    <w:p w:rsidR="00916395" w:rsidRPr="00D01BA1" w:rsidRDefault="007B095F" w:rsidP="002214C9">
      <w:pPr>
        <w:tabs>
          <w:tab w:val="left" w:pos="1701"/>
          <w:tab w:val="left" w:pos="2693"/>
        </w:tabs>
        <w:spacing w:before="120"/>
        <w:rPr>
          <w:sz w:val="24"/>
          <w:szCs w:val="24"/>
          <w:lang w:val="en-NZ"/>
        </w:rPr>
      </w:pPr>
      <w:proofErr w:type="spellStart"/>
      <w:r>
        <w:rPr>
          <w:sz w:val="24"/>
          <w:szCs w:val="24"/>
          <w:lang w:val="en-NZ"/>
        </w:rPr>
        <w:lastRenderedPageBreak/>
        <w:t>Kaupapa</w:t>
      </w:r>
      <w:proofErr w:type="spellEnd"/>
      <w:r w:rsidR="00916395" w:rsidRPr="00D01BA1">
        <w:rPr>
          <w:sz w:val="24"/>
          <w:szCs w:val="24"/>
          <w:lang w:val="en-NZ"/>
        </w:rPr>
        <w:t xml:space="preserve"> M</w:t>
      </w:r>
      <w:r w:rsidR="00916395" w:rsidRPr="00D01BA1">
        <w:rPr>
          <w:sz w:val="24"/>
          <w:szCs w:val="24"/>
        </w:rPr>
        <w:t>ā</w:t>
      </w:r>
      <w:proofErr w:type="spellStart"/>
      <w:r w:rsidR="00916395" w:rsidRPr="00D01BA1">
        <w:rPr>
          <w:sz w:val="24"/>
          <w:szCs w:val="24"/>
          <w:lang w:val="en-NZ"/>
        </w:rPr>
        <w:t>ori</w:t>
      </w:r>
      <w:proofErr w:type="spellEnd"/>
      <w:r w:rsidR="00916395" w:rsidRPr="00D01BA1">
        <w:rPr>
          <w:sz w:val="24"/>
          <w:szCs w:val="24"/>
          <w:lang w:val="en-NZ"/>
        </w:rPr>
        <w:t xml:space="preserve"> </w:t>
      </w:r>
      <w:r>
        <w:rPr>
          <w:sz w:val="24"/>
          <w:szCs w:val="24"/>
          <w:lang w:val="en-NZ"/>
        </w:rPr>
        <w:t xml:space="preserve">mental health and addiction </w:t>
      </w:r>
      <w:r w:rsidR="00916395" w:rsidRPr="00D01BA1">
        <w:rPr>
          <w:sz w:val="24"/>
          <w:szCs w:val="24"/>
          <w:lang w:val="en-NZ"/>
        </w:rPr>
        <w:t>services</w:t>
      </w:r>
      <w:r>
        <w:rPr>
          <w:sz w:val="24"/>
          <w:szCs w:val="24"/>
          <w:lang w:val="en-NZ"/>
        </w:rPr>
        <w:t xml:space="preserve"> who have </w:t>
      </w:r>
      <w:proofErr w:type="spellStart"/>
      <w:r w:rsidR="00364279">
        <w:rPr>
          <w:sz w:val="24"/>
          <w:szCs w:val="24"/>
          <w:lang w:val="en-NZ"/>
        </w:rPr>
        <w:t>K</w:t>
      </w:r>
      <w:r>
        <w:rPr>
          <w:sz w:val="24"/>
          <w:szCs w:val="24"/>
          <w:lang w:val="en-NZ"/>
        </w:rPr>
        <w:t>aum</w:t>
      </w:r>
      <w:r w:rsidR="00364279">
        <w:rPr>
          <w:sz w:val="24"/>
          <w:szCs w:val="24"/>
          <w:lang w:val="en-NZ"/>
        </w:rPr>
        <w:t>ā</w:t>
      </w:r>
      <w:r>
        <w:rPr>
          <w:sz w:val="24"/>
          <w:szCs w:val="24"/>
          <w:lang w:val="en-NZ"/>
        </w:rPr>
        <w:t>tua</w:t>
      </w:r>
      <w:proofErr w:type="spellEnd"/>
      <w:r w:rsidR="00916395" w:rsidRPr="00D01BA1">
        <w:rPr>
          <w:sz w:val="24"/>
          <w:szCs w:val="24"/>
          <w:lang w:val="en-NZ"/>
        </w:rPr>
        <w:t xml:space="preserve"> will develop effective working relationships with other M</w:t>
      </w:r>
      <w:r w:rsidR="00916395" w:rsidRPr="00D01BA1">
        <w:rPr>
          <w:sz w:val="24"/>
          <w:szCs w:val="24"/>
        </w:rPr>
        <w:t>ā</w:t>
      </w:r>
      <w:proofErr w:type="spellStart"/>
      <w:r w:rsidR="00916395" w:rsidRPr="00D01BA1">
        <w:rPr>
          <w:sz w:val="24"/>
          <w:szCs w:val="24"/>
          <w:lang w:val="en-NZ"/>
        </w:rPr>
        <w:t>ori</w:t>
      </w:r>
      <w:proofErr w:type="spellEnd"/>
      <w:r w:rsidR="00916395" w:rsidRPr="00D01BA1">
        <w:rPr>
          <w:sz w:val="24"/>
          <w:szCs w:val="24"/>
          <w:lang w:val="en-NZ"/>
        </w:rPr>
        <w:t xml:space="preserve"> mental health providers, including Addiction Services, and in some cases the positions will be considered to be regional, with the </w:t>
      </w:r>
      <w:proofErr w:type="spellStart"/>
      <w:r w:rsidR="00364279">
        <w:rPr>
          <w:sz w:val="24"/>
          <w:szCs w:val="24"/>
          <w:lang w:val="en-NZ"/>
        </w:rPr>
        <w:t>K</w:t>
      </w:r>
      <w:r w:rsidR="00916395" w:rsidRPr="00D01BA1">
        <w:rPr>
          <w:sz w:val="24"/>
          <w:szCs w:val="24"/>
          <w:lang w:val="en-NZ"/>
        </w:rPr>
        <w:t>aum</w:t>
      </w:r>
      <w:r w:rsidR="00364279">
        <w:rPr>
          <w:sz w:val="24"/>
          <w:szCs w:val="24"/>
          <w:lang w:val="en-NZ"/>
        </w:rPr>
        <w:t>ā</w:t>
      </w:r>
      <w:r w:rsidR="00916395" w:rsidRPr="00D01BA1">
        <w:rPr>
          <w:sz w:val="24"/>
          <w:szCs w:val="24"/>
          <w:lang w:val="en-NZ"/>
        </w:rPr>
        <w:t>tua</w:t>
      </w:r>
      <w:proofErr w:type="spellEnd"/>
      <w:r w:rsidR="00916395" w:rsidRPr="00D01BA1">
        <w:rPr>
          <w:sz w:val="24"/>
          <w:szCs w:val="24"/>
          <w:lang w:val="en-NZ"/>
        </w:rPr>
        <w:t xml:space="preserve"> providing services to a specified number of providers. </w:t>
      </w:r>
      <w:r w:rsidR="002214C9">
        <w:rPr>
          <w:sz w:val="24"/>
          <w:szCs w:val="24"/>
          <w:lang w:val="en-NZ"/>
        </w:rPr>
        <w:t xml:space="preserve"> </w:t>
      </w:r>
      <w:r w:rsidR="00916395" w:rsidRPr="00D01BA1">
        <w:rPr>
          <w:sz w:val="24"/>
          <w:szCs w:val="24"/>
          <w:lang w:val="en-NZ"/>
        </w:rPr>
        <w:t xml:space="preserve">Effective channels of communication and good relationships will be maintained with local </w:t>
      </w:r>
      <w:proofErr w:type="spellStart"/>
      <w:r w:rsidR="00916395" w:rsidRPr="00D01BA1">
        <w:rPr>
          <w:sz w:val="24"/>
          <w:szCs w:val="24"/>
          <w:lang w:val="en-NZ"/>
        </w:rPr>
        <w:t>iwi</w:t>
      </w:r>
      <w:proofErr w:type="spellEnd"/>
      <w:r w:rsidR="00916395" w:rsidRPr="00D01BA1">
        <w:rPr>
          <w:sz w:val="24"/>
          <w:szCs w:val="24"/>
          <w:lang w:val="en-NZ"/>
        </w:rPr>
        <w:t>,</w:t>
      </w:r>
      <w:r>
        <w:rPr>
          <w:sz w:val="24"/>
          <w:szCs w:val="24"/>
          <w:lang w:val="en-NZ"/>
        </w:rPr>
        <w:t xml:space="preserve"> other M</w:t>
      </w:r>
      <w:r w:rsidR="002214C9">
        <w:rPr>
          <w:sz w:val="24"/>
          <w:szCs w:val="24"/>
          <w:lang w:val="en-NZ"/>
        </w:rPr>
        <w:t>ā</w:t>
      </w:r>
      <w:r>
        <w:rPr>
          <w:sz w:val="24"/>
          <w:szCs w:val="24"/>
          <w:lang w:val="en-NZ"/>
        </w:rPr>
        <w:t xml:space="preserve">ori </w:t>
      </w:r>
      <w:proofErr w:type="spellStart"/>
      <w:r>
        <w:rPr>
          <w:sz w:val="24"/>
          <w:szCs w:val="24"/>
          <w:lang w:val="en-NZ"/>
        </w:rPr>
        <w:t>roopu</w:t>
      </w:r>
      <w:proofErr w:type="spellEnd"/>
      <w:r>
        <w:rPr>
          <w:sz w:val="24"/>
          <w:szCs w:val="24"/>
          <w:lang w:val="en-NZ"/>
        </w:rPr>
        <w:t xml:space="preserve"> and</w:t>
      </w:r>
      <w:r w:rsidR="00916395" w:rsidRPr="00D01BA1">
        <w:rPr>
          <w:sz w:val="24"/>
          <w:szCs w:val="24"/>
          <w:lang w:val="en-NZ"/>
        </w:rPr>
        <w:t xml:space="preserve"> with M</w:t>
      </w:r>
      <w:r w:rsidR="00916395" w:rsidRPr="00D01BA1">
        <w:rPr>
          <w:sz w:val="24"/>
          <w:szCs w:val="24"/>
        </w:rPr>
        <w:t>ā</w:t>
      </w:r>
      <w:proofErr w:type="spellStart"/>
      <w:r w:rsidR="00916395" w:rsidRPr="00D01BA1">
        <w:rPr>
          <w:sz w:val="24"/>
          <w:szCs w:val="24"/>
          <w:lang w:val="en-NZ"/>
        </w:rPr>
        <w:t>ori</w:t>
      </w:r>
      <w:proofErr w:type="spellEnd"/>
      <w:r w:rsidR="00916395" w:rsidRPr="00D01BA1">
        <w:rPr>
          <w:sz w:val="24"/>
          <w:szCs w:val="24"/>
          <w:lang w:val="en-NZ"/>
        </w:rPr>
        <w:t xml:space="preserve"> mental health workers of other providers.  Workshops will be held with these services to develop protocols and working relationships.  </w:t>
      </w:r>
    </w:p>
    <w:p w:rsidR="00027868" w:rsidRPr="00C46192" w:rsidRDefault="00027868" w:rsidP="00027868">
      <w:pPr>
        <w:numPr>
          <w:ilvl w:val="0"/>
          <w:numId w:val="2"/>
        </w:numPr>
        <w:tabs>
          <w:tab w:val="clear" w:pos="1080"/>
          <w:tab w:val="num" w:pos="570"/>
        </w:tabs>
        <w:spacing w:before="240" w:after="120"/>
        <w:ind w:left="0" w:firstLine="0"/>
        <w:rPr>
          <w:rFonts w:cs="Arial"/>
          <w:b/>
          <w:sz w:val="24"/>
          <w:szCs w:val="24"/>
        </w:rPr>
      </w:pPr>
      <w:bookmarkStart w:id="36" w:name="_Toc215319136"/>
      <w:r w:rsidRPr="00C46192">
        <w:rPr>
          <w:rFonts w:cs="Arial"/>
          <w:b/>
          <w:sz w:val="24"/>
          <w:szCs w:val="24"/>
        </w:rPr>
        <w:t>Service Objectives</w:t>
      </w:r>
      <w:bookmarkEnd w:id="36"/>
    </w:p>
    <w:p w:rsidR="00FA79EE" w:rsidRPr="000A43C6" w:rsidRDefault="00FA79EE" w:rsidP="000A43C6">
      <w:pPr>
        <w:tabs>
          <w:tab w:val="left" w:pos="540"/>
        </w:tabs>
        <w:spacing w:before="120"/>
        <w:rPr>
          <w:rFonts w:cs="Arial"/>
          <w:b/>
          <w:sz w:val="24"/>
          <w:szCs w:val="24"/>
        </w:rPr>
      </w:pPr>
      <w:bookmarkStart w:id="37" w:name="_Toc215319138"/>
      <w:r w:rsidRPr="000A43C6">
        <w:rPr>
          <w:rFonts w:cs="Arial"/>
          <w:b/>
          <w:sz w:val="24"/>
          <w:szCs w:val="24"/>
        </w:rPr>
        <w:t>2.1</w:t>
      </w:r>
      <w:r w:rsidRPr="000A43C6">
        <w:rPr>
          <w:rFonts w:cs="Arial"/>
          <w:b/>
          <w:sz w:val="24"/>
          <w:szCs w:val="24"/>
        </w:rPr>
        <w:tab/>
        <w:t>General</w:t>
      </w:r>
    </w:p>
    <w:p w:rsidR="00D01BA1" w:rsidRDefault="00D01BA1" w:rsidP="000A43C6">
      <w:pPr>
        <w:tabs>
          <w:tab w:val="num" w:pos="540"/>
        </w:tabs>
        <w:spacing w:before="120"/>
        <w:rPr>
          <w:sz w:val="24"/>
          <w:szCs w:val="24"/>
          <w:lang w:val="en-NZ"/>
        </w:rPr>
      </w:pPr>
      <w:r w:rsidRPr="00D01BA1">
        <w:rPr>
          <w:sz w:val="24"/>
          <w:szCs w:val="24"/>
        </w:rPr>
        <w:t xml:space="preserve">The objectives of </w:t>
      </w:r>
      <w:r w:rsidR="00FD3F04">
        <w:rPr>
          <w:sz w:val="24"/>
          <w:szCs w:val="24"/>
        </w:rPr>
        <w:t xml:space="preserve">this </w:t>
      </w:r>
      <w:r w:rsidR="006D14EF">
        <w:rPr>
          <w:sz w:val="24"/>
          <w:szCs w:val="24"/>
        </w:rPr>
        <w:t>S</w:t>
      </w:r>
      <w:r w:rsidR="00FD3F04">
        <w:rPr>
          <w:sz w:val="24"/>
          <w:szCs w:val="24"/>
        </w:rPr>
        <w:t>ervice</w:t>
      </w:r>
      <w:r w:rsidRPr="00D01BA1">
        <w:rPr>
          <w:sz w:val="24"/>
          <w:szCs w:val="24"/>
        </w:rPr>
        <w:t xml:space="preserve"> are</w:t>
      </w:r>
      <w:r w:rsidR="00571FE6">
        <w:rPr>
          <w:sz w:val="24"/>
          <w:szCs w:val="24"/>
        </w:rPr>
        <w:t xml:space="preserve"> </w:t>
      </w:r>
      <w:r w:rsidRPr="00D01BA1">
        <w:rPr>
          <w:sz w:val="24"/>
          <w:szCs w:val="24"/>
          <w:lang w:val="en-NZ"/>
        </w:rPr>
        <w:t xml:space="preserve">to improve cultural safety and quality of care for </w:t>
      </w:r>
      <w:r w:rsidR="00FD3F04">
        <w:rPr>
          <w:sz w:val="24"/>
          <w:szCs w:val="24"/>
          <w:lang w:val="en-NZ"/>
        </w:rPr>
        <w:t>t</w:t>
      </w:r>
      <w:r w:rsidRPr="00D01BA1">
        <w:rPr>
          <w:sz w:val="24"/>
          <w:szCs w:val="24"/>
        </w:rPr>
        <w:t>ā</w:t>
      </w:r>
      <w:proofErr w:type="spellStart"/>
      <w:r w:rsidRPr="00D01BA1">
        <w:rPr>
          <w:sz w:val="24"/>
          <w:szCs w:val="24"/>
          <w:lang w:val="en-NZ"/>
        </w:rPr>
        <w:t>ngata</w:t>
      </w:r>
      <w:proofErr w:type="spellEnd"/>
      <w:r w:rsidRPr="00D01BA1">
        <w:rPr>
          <w:sz w:val="24"/>
          <w:szCs w:val="24"/>
          <w:lang w:val="en-NZ"/>
        </w:rPr>
        <w:t xml:space="preserve"> </w:t>
      </w:r>
      <w:proofErr w:type="spellStart"/>
      <w:r w:rsidRPr="00D01BA1">
        <w:rPr>
          <w:sz w:val="24"/>
          <w:szCs w:val="24"/>
          <w:lang w:val="en-NZ"/>
        </w:rPr>
        <w:t>wh</w:t>
      </w:r>
      <w:proofErr w:type="spellEnd"/>
      <w:r w:rsidR="00364279">
        <w:rPr>
          <w:sz w:val="24"/>
          <w:szCs w:val="24"/>
        </w:rPr>
        <w:t>a</w:t>
      </w:r>
      <w:proofErr w:type="spellStart"/>
      <w:r w:rsidRPr="00D01BA1">
        <w:rPr>
          <w:sz w:val="24"/>
          <w:szCs w:val="24"/>
          <w:lang w:val="en-NZ"/>
        </w:rPr>
        <w:t>iora</w:t>
      </w:r>
      <w:proofErr w:type="spellEnd"/>
      <w:r w:rsidRPr="00D01BA1">
        <w:rPr>
          <w:sz w:val="24"/>
          <w:szCs w:val="24"/>
          <w:lang w:val="en-NZ"/>
        </w:rPr>
        <w:t xml:space="preserve"> of mental</w:t>
      </w:r>
      <w:r w:rsidR="00571FE6">
        <w:rPr>
          <w:sz w:val="24"/>
          <w:szCs w:val="24"/>
          <w:lang w:val="en-NZ"/>
        </w:rPr>
        <w:t xml:space="preserve"> </w:t>
      </w:r>
      <w:r w:rsidRPr="00D01BA1">
        <w:rPr>
          <w:sz w:val="24"/>
          <w:szCs w:val="24"/>
          <w:lang w:val="en-NZ"/>
        </w:rPr>
        <w:t xml:space="preserve">health and addiction services, and to assist in the development </w:t>
      </w:r>
      <w:r w:rsidR="00571FE6" w:rsidRPr="00D01BA1">
        <w:rPr>
          <w:sz w:val="24"/>
          <w:szCs w:val="24"/>
          <w:lang w:val="en-NZ"/>
        </w:rPr>
        <w:t>and</w:t>
      </w:r>
      <w:r w:rsidR="00716AB2">
        <w:rPr>
          <w:sz w:val="24"/>
          <w:szCs w:val="24"/>
          <w:lang w:val="en-NZ"/>
        </w:rPr>
        <w:t xml:space="preserve"> </w:t>
      </w:r>
      <w:r w:rsidRPr="00D01BA1">
        <w:rPr>
          <w:sz w:val="24"/>
          <w:szCs w:val="24"/>
          <w:lang w:val="en-NZ"/>
        </w:rPr>
        <w:t>enhancement of services for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by:</w:t>
      </w:r>
    </w:p>
    <w:p w:rsidR="00E64293" w:rsidRDefault="00F276A8" w:rsidP="006D14EF">
      <w:pPr>
        <w:numPr>
          <w:ilvl w:val="0"/>
          <w:numId w:val="29"/>
        </w:numPr>
        <w:tabs>
          <w:tab w:val="clear" w:pos="360"/>
          <w:tab w:val="num" w:pos="540"/>
        </w:tabs>
        <w:spacing w:before="120"/>
        <w:ind w:left="539" w:hanging="539"/>
        <w:rPr>
          <w:sz w:val="24"/>
          <w:szCs w:val="24"/>
          <w:lang w:val="en-NZ"/>
        </w:rPr>
      </w:pPr>
      <w:r>
        <w:rPr>
          <w:sz w:val="24"/>
          <w:szCs w:val="24"/>
        </w:rPr>
        <w:t>provid</w:t>
      </w:r>
      <w:r w:rsidR="00571FE6">
        <w:rPr>
          <w:sz w:val="24"/>
          <w:szCs w:val="24"/>
        </w:rPr>
        <w:t>ing</w:t>
      </w:r>
      <w:r>
        <w:rPr>
          <w:sz w:val="24"/>
          <w:szCs w:val="24"/>
        </w:rPr>
        <w:t xml:space="preserve"> a culturally safe environment for </w:t>
      </w:r>
      <w:proofErr w:type="spellStart"/>
      <w:r>
        <w:rPr>
          <w:sz w:val="24"/>
          <w:szCs w:val="24"/>
        </w:rPr>
        <w:t>t</w:t>
      </w:r>
      <w:r w:rsidR="00364279">
        <w:rPr>
          <w:sz w:val="24"/>
          <w:szCs w:val="24"/>
        </w:rPr>
        <w:t>ā</w:t>
      </w:r>
      <w:r>
        <w:rPr>
          <w:sz w:val="24"/>
          <w:szCs w:val="24"/>
        </w:rPr>
        <w:t>ngata</w:t>
      </w:r>
      <w:proofErr w:type="spellEnd"/>
      <w:r>
        <w:rPr>
          <w:sz w:val="24"/>
          <w:szCs w:val="24"/>
        </w:rPr>
        <w:t xml:space="preserve"> </w:t>
      </w:r>
      <w:proofErr w:type="spellStart"/>
      <w:r>
        <w:rPr>
          <w:sz w:val="24"/>
          <w:szCs w:val="24"/>
        </w:rPr>
        <w:t>whaiora</w:t>
      </w:r>
      <w:proofErr w:type="spellEnd"/>
      <w:r>
        <w:rPr>
          <w:sz w:val="24"/>
          <w:szCs w:val="24"/>
        </w:rPr>
        <w:t>, M</w:t>
      </w:r>
      <w:r w:rsidR="002214C9">
        <w:rPr>
          <w:sz w:val="24"/>
          <w:szCs w:val="24"/>
        </w:rPr>
        <w:t>ā</w:t>
      </w:r>
      <w:r>
        <w:rPr>
          <w:sz w:val="24"/>
          <w:szCs w:val="24"/>
        </w:rPr>
        <w:t>ori wh</w:t>
      </w:r>
      <w:r w:rsidR="006D14EF">
        <w:rPr>
          <w:sz w:val="24"/>
          <w:szCs w:val="24"/>
        </w:rPr>
        <w:t>ā</w:t>
      </w:r>
      <w:r>
        <w:rPr>
          <w:sz w:val="24"/>
          <w:szCs w:val="24"/>
        </w:rPr>
        <w:t xml:space="preserve">nau </w:t>
      </w:r>
    </w:p>
    <w:p w:rsidR="007B095F" w:rsidRDefault="007B095F" w:rsidP="006D14EF">
      <w:pPr>
        <w:numPr>
          <w:ilvl w:val="0"/>
          <w:numId w:val="29"/>
        </w:numPr>
        <w:tabs>
          <w:tab w:val="clear" w:pos="360"/>
          <w:tab w:val="num" w:pos="540"/>
        </w:tabs>
        <w:spacing w:before="120"/>
        <w:ind w:left="539" w:hanging="539"/>
        <w:rPr>
          <w:sz w:val="24"/>
          <w:szCs w:val="24"/>
          <w:lang w:val="en-NZ"/>
        </w:rPr>
      </w:pPr>
      <w:r>
        <w:rPr>
          <w:sz w:val="24"/>
          <w:szCs w:val="24"/>
          <w:lang w:val="en-NZ"/>
        </w:rPr>
        <w:t>providing support, guidance and advice for t</w:t>
      </w:r>
      <w:r w:rsidRPr="00D01BA1">
        <w:rPr>
          <w:sz w:val="24"/>
          <w:szCs w:val="24"/>
        </w:rPr>
        <w:t>ā</w:t>
      </w:r>
      <w:proofErr w:type="spellStart"/>
      <w:r>
        <w:rPr>
          <w:sz w:val="24"/>
          <w:szCs w:val="24"/>
          <w:lang w:val="en-NZ"/>
        </w:rPr>
        <w:t>ngata</w:t>
      </w:r>
      <w:proofErr w:type="spellEnd"/>
      <w:r>
        <w:rPr>
          <w:sz w:val="24"/>
          <w:szCs w:val="24"/>
          <w:lang w:val="en-NZ"/>
        </w:rPr>
        <w:t xml:space="preserve"> </w:t>
      </w:r>
      <w:proofErr w:type="spellStart"/>
      <w:r>
        <w:rPr>
          <w:sz w:val="24"/>
          <w:szCs w:val="24"/>
          <w:lang w:val="en-NZ"/>
        </w:rPr>
        <w:t>wh</w:t>
      </w:r>
      <w:proofErr w:type="spellEnd"/>
      <w:r w:rsidR="00364279">
        <w:rPr>
          <w:sz w:val="24"/>
          <w:szCs w:val="24"/>
        </w:rPr>
        <w:t>a</w:t>
      </w:r>
      <w:proofErr w:type="spellStart"/>
      <w:r>
        <w:rPr>
          <w:sz w:val="24"/>
          <w:szCs w:val="24"/>
          <w:lang w:val="en-NZ"/>
        </w:rPr>
        <w:t>iora</w:t>
      </w:r>
      <w:proofErr w:type="spellEnd"/>
      <w:r>
        <w:rPr>
          <w:sz w:val="24"/>
          <w:szCs w:val="24"/>
          <w:lang w:val="en-NZ"/>
        </w:rPr>
        <w:t xml:space="preserve"> and </w:t>
      </w:r>
      <w:proofErr w:type="spellStart"/>
      <w:r>
        <w:rPr>
          <w:sz w:val="24"/>
          <w:szCs w:val="24"/>
          <w:lang w:val="en-NZ"/>
        </w:rPr>
        <w:t>wh</w:t>
      </w:r>
      <w:proofErr w:type="spellEnd"/>
      <w:r w:rsidRPr="00D01BA1">
        <w:rPr>
          <w:sz w:val="24"/>
          <w:szCs w:val="24"/>
        </w:rPr>
        <w:t>ā</w:t>
      </w:r>
      <w:proofErr w:type="spellStart"/>
      <w:r>
        <w:rPr>
          <w:sz w:val="24"/>
          <w:szCs w:val="24"/>
          <w:lang w:val="en-NZ"/>
        </w:rPr>
        <w:t>nau</w:t>
      </w:r>
      <w:proofErr w:type="spellEnd"/>
    </w:p>
    <w:p w:rsidR="00D01BA1" w:rsidRPr="00D01BA1" w:rsidRDefault="00D01BA1" w:rsidP="006D14EF">
      <w:pPr>
        <w:numPr>
          <w:ilvl w:val="0"/>
          <w:numId w:val="21"/>
        </w:numPr>
        <w:tabs>
          <w:tab w:val="num" w:pos="540"/>
          <w:tab w:val="left" w:pos="567"/>
          <w:tab w:val="left" w:pos="709"/>
          <w:tab w:val="left" w:pos="1701"/>
          <w:tab w:val="left" w:pos="2693"/>
        </w:tabs>
        <w:spacing w:before="120"/>
        <w:ind w:left="540" w:hanging="540"/>
        <w:rPr>
          <w:sz w:val="24"/>
          <w:szCs w:val="24"/>
          <w:lang w:val="en-NZ"/>
        </w:rPr>
      </w:pPr>
      <w:r w:rsidRPr="00D01BA1">
        <w:rPr>
          <w:sz w:val="24"/>
          <w:szCs w:val="24"/>
          <w:lang w:val="en-NZ"/>
        </w:rPr>
        <w:t>developing the knowledge and skills of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staff presently working within the service</w:t>
      </w:r>
    </w:p>
    <w:p w:rsidR="00D01BA1" w:rsidRDefault="00D01BA1" w:rsidP="006D14EF">
      <w:pPr>
        <w:numPr>
          <w:ilvl w:val="0"/>
          <w:numId w:val="21"/>
        </w:numPr>
        <w:tabs>
          <w:tab w:val="num" w:pos="540"/>
          <w:tab w:val="left" w:pos="567"/>
          <w:tab w:val="left" w:pos="709"/>
          <w:tab w:val="left" w:pos="1701"/>
          <w:tab w:val="left" w:pos="2693"/>
        </w:tabs>
        <w:spacing w:before="120"/>
        <w:ind w:left="540" w:hanging="540"/>
        <w:rPr>
          <w:sz w:val="24"/>
          <w:szCs w:val="24"/>
          <w:lang w:val="en-NZ"/>
        </w:rPr>
      </w:pPr>
      <w:r w:rsidRPr="00D01BA1">
        <w:rPr>
          <w:sz w:val="24"/>
          <w:szCs w:val="24"/>
          <w:lang w:val="en-NZ"/>
        </w:rPr>
        <w:t>encouraging new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staff to work within the service through an active recruitment and training programme</w:t>
      </w:r>
    </w:p>
    <w:p w:rsidR="00E64293" w:rsidRPr="00D01BA1" w:rsidRDefault="00E64293" w:rsidP="006D14EF">
      <w:pPr>
        <w:numPr>
          <w:ilvl w:val="0"/>
          <w:numId w:val="21"/>
        </w:numPr>
        <w:tabs>
          <w:tab w:val="num" w:pos="540"/>
          <w:tab w:val="left" w:pos="567"/>
          <w:tab w:val="left" w:pos="709"/>
          <w:tab w:val="left" w:pos="1701"/>
          <w:tab w:val="left" w:pos="2693"/>
        </w:tabs>
        <w:spacing w:before="120"/>
        <w:ind w:left="540" w:hanging="540"/>
        <w:rPr>
          <w:sz w:val="24"/>
          <w:szCs w:val="24"/>
          <w:lang w:val="en-NZ"/>
        </w:rPr>
      </w:pPr>
      <w:r w:rsidRPr="00D01BA1">
        <w:rPr>
          <w:sz w:val="24"/>
          <w:szCs w:val="24"/>
          <w:lang w:val="en-NZ"/>
        </w:rPr>
        <w:t xml:space="preserve">helping staff </w:t>
      </w:r>
      <w:r>
        <w:rPr>
          <w:sz w:val="24"/>
          <w:szCs w:val="24"/>
          <w:lang w:val="en-NZ"/>
        </w:rPr>
        <w:t xml:space="preserve">including those working in mainstream, </w:t>
      </w:r>
      <w:r w:rsidRPr="00D01BA1">
        <w:rPr>
          <w:sz w:val="24"/>
          <w:szCs w:val="24"/>
          <w:lang w:val="en-NZ"/>
        </w:rPr>
        <w:t>to develop appropriate ways of working with M</w:t>
      </w:r>
      <w:r w:rsidRPr="00D01BA1">
        <w:rPr>
          <w:sz w:val="24"/>
          <w:szCs w:val="24"/>
        </w:rPr>
        <w:t>ā</w:t>
      </w:r>
      <w:proofErr w:type="spellStart"/>
      <w:r w:rsidRPr="00D01BA1">
        <w:rPr>
          <w:sz w:val="24"/>
          <w:szCs w:val="24"/>
          <w:lang w:val="en-NZ"/>
        </w:rPr>
        <w:t>ori</w:t>
      </w:r>
      <w:proofErr w:type="spellEnd"/>
    </w:p>
    <w:p w:rsidR="00D01BA1" w:rsidRPr="00D01BA1" w:rsidRDefault="00D01BA1" w:rsidP="006D14EF">
      <w:pPr>
        <w:numPr>
          <w:ilvl w:val="0"/>
          <w:numId w:val="21"/>
        </w:numPr>
        <w:tabs>
          <w:tab w:val="num" w:pos="540"/>
          <w:tab w:val="left" w:pos="567"/>
          <w:tab w:val="left" w:pos="709"/>
          <w:tab w:val="left" w:pos="1701"/>
          <w:tab w:val="left" w:pos="2693"/>
        </w:tabs>
        <w:spacing w:before="120"/>
        <w:ind w:left="540" w:hanging="540"/>
        <w:rPr>
          <w:sz w:val="24"/>
          <w:szCs w:val="24"/>
          <w:lang w:val="en-NZ"/>
        </w:rPr>
      </w:pPr>
      <w:r w:rsidRPr="00D01BA1">
        <w:rPr>
          <w:sz w:val="24"/>
          <w:szCs w:val="24"/>
          <w:lang w:val="en-NZ"/>
        </w:rPr>
        <w:t>ensuring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involvement in policy making and strategy development for mental health services at all levels</w:t>
      </w:r>
    </w:p>
    <w:p w:rsidR="00B47B6E" w:rsidRDefault="00B47B6E" w:rsidP="00074B30">
      <w:pPr>
        <w:numPr>
          <w:ilvl w:val="0"/>
          <w:numId w:val="21"/>
        </w:numPr>
        <w:tabs>
          <w:tab w:val="num" w:pos="540"/>
          <w:tab w:val="left" w:pos="567"/>
          <w:tab w:val="left" w:pos="709"/>
          <w:tab w:val="left" w:pos="1701"/>
          <w:tab w:val="left" w:pos="2693"/>
        </w:tabs>
        <w:spacing w:before="120" w:after="120"/>
        <w:ind w:left="539" w:hanging="539"/>
        <w:rPr>
          <w:sz w:val="24"/>
          <w:szCs w:val="24"/>
          <w:lang w:val="en-NZ"/>
        </w:rPr>
      </w:pPr>
      <w:proofErr w:type="gramStart"/>
      <w:r w:rsidRPr="00D01BA1">
        <w:rPr>
          <w:sz w:val="24"/>
          <w:szCs w:val="24"/>
          <w:lang w:val="en-NZ"/>
        </w:rPr>
        <w:t>strengthening</w:t>
      </w:r>
      <w:proofErr w:type="gramEnd"/>
      <w:r w:rsidRPr="00D01BA1">
        <w:rPr>
          <w:sz w:val="24"/>
          <w:szCs w:val="24"/>
          <w:lang w:val="en-NZ"/>
        </w:rPr>
        <w:t xml:space="preserve"> liaison between mental health services and local M</w:t>
      </w:r>
      <w:r w:rsidRPr="00D01BA1">
        <w:rPr>
          <w:sz w:val="24"/>
          <w:szCs w:val="24"/>
        </w:rPr>
        <w:t>ā</w:t>
      </w:r>
      <w:proofErr w:type="spellStart"/>
      <w:r w:rsidRPr="00D01BA1">
        <w:rPr>
          <w:sz w:val="24"/>
          <w:szCs w:val="24"/>
          <w:lang w:val="en-NZ"/>
        </w:rPr>
        <w:t>ori</w:t>
      </w:r>
      <w:proofErr w:type="spellEnd"/>
      <w:r w:rsidRPr="00D01BA1">
        <w:rPr>
          <w:sz w:val="24"/>
          <w:szCs w:val="24"/>
          <w:lang w:val="en-NZ"/>
        </w:rPr>
        <w:t xml:space="preserve"> groups</w:t>
      </w:r>
      <w:r w:rsidR="00074B30">
        <w:rPr>
          <w:sz w:val="24"/>
          <w:szCs w:val="24"/>
          <w:lang w:val="en-NZ"/>
        </w:rPr>
        <w:t>.</w:t>
      </w:r>
    </w:p>
    <w:p w:rsidR="00D01BA1" w:rsidRPr="00D01BA1" w:rsidRDefault="00D01BA1" w:rsidP="00BF25A0">
      <w:pPr>
        <w:tabs>
          <w:tab w:val="left" w:pos="567"/>
          <w:tab w:val="left" w:pos="709"/>
          <w:tab w:val="left" w:pos="1701"/>
          <w:tab w:val="left" w:pos="2693"/>
        </w:tabs>
        <w:spacing w:before="120"/>
        <w:ind w:left="34" w:hanging="34"/>
        <w:rPr>
          <w:sz w:val="24"/>
          <w:szCs w:val="24"/>
          <w:lang w:val="en-NZ"/>
        </w:rPr>
      </w:pPr>
      <w:r w:rsidRPr="00D01BA1">
        <w:rPr>
          <w:sz w:val="24"/>
          <w:szCs w:val="24"/>
          <w:lang w:val="en-NZ"/>
        </w:rPr>
        <w:t>Mental health and addiction services will work towards developing mechanisms that provide for practical partnership and strong working relationships.  This will ensure that the mental health and addiction service is more effective in meeting the needs of M</w:t>
      </w:r>
      <w:r w:rsidR="003051E7">
        <w:rPr>
          <w:sz w:val="24"/>
          <w:szCs w:val="24"/>
          <w:lang w:val="en-NZ"/>
        </w:rPr>
        <w:t>ā</w:t>
      </w:r>
      <w:r w:rsidRPr="00D01BA1">
        <w:rPr>
          <w:sz w:val="24"/>
          <w:szCs w:val="24"/>
          <w:lang w:val="en-NZ"/>
        </w:rPr>
        <w:t>ori.</w:t>
      </w:r>
    </w:p>
    <w:p w:rsidR="00027868" w:rsidRPr="00B06719" w:rsidRDefault="002F0C78" w:rsidP="008771E7">
      <w:pPr>
        <w:tabs>
          <w:tab w:val="left" w:pos="540"/>
        </w:tabs>
        <w:spacing w:before="120" w:after="60"/>
        <w:rPr>
          <w:rFonts w:cs="Arial"/>
          <w:sz w:val="24"/>
          <w:szCs w:val="24"/>
          <w:lang w:val="en-AU"/>
        </w:rPr>
      </w:pPr>
      <w:r>
        <w:rPr>
          <w:rFonts w:cs="Arial"/>
          <w:b/>
          <w:sz w:val="24"/>
          <w:szCs w:val="24"/>
        </w:rPr>
        <w:t>2.</w:t>
      </w:r>
      <w:r w:rsidR="00D01BA1">
        <w:rPr>
          <w:rFonts w:cs="Arial"/>
          <w:b/>
          <w:sz w:val="24"/>
          <w:szCs w:val="24"/>
        </w:rPr>
        <w:t>2</w:t>
      </w:r>
      <w:r w:rsidR="00C83715">
        <w:rPr>
          <w:rFonts w:cs="Arial"/>
          <w:b/>
          <w:sz w:val="24"/>
          <w:szCs w:val="24"/>
        </w:rPr>
        <w:tab/>
      </w:r>
      <w:r w:rsidR="00027868" w:rsidRPr="00C46192">
        <w:rPr>
          <w:rFonts w:cs="Arial"/>
          <w:b/>
          <w:sz w:val="24"/>
          <w:szCs w:val="24"/>
        </w:rPr>
        <w:t>M</w:t>
      </w:r>
      <w:r w:rsidR="00027868" w:rsidRPr="003051E7">
        <w:rPr>
          <w:rFonts w:cs="Arial"/>
          <w:b/>
          <w:sz w:val="24"/>
          <w:szCs w:val="24"/>
        </w:rPr>
        <w:t>ā</w:t>
      </w:r>
      <w:r w:rsidR="00027868" w:rsidRPr="00C46192">
        <w:rPr>
          <w:rFonts w:cs="Arial"/>
          <w:b/>
          <w:sz w:val="24"/>
          <w:szCs w:val="24"/>
        </w:rPr>
        <w:t>ori Health</w:t>
      </w:r>
      <w:bookmarkEnd w:id="37"/>
    </w:p>
    <w:p w:rsidR="00C83715" w:rsidRPr="00C46192" w:rsidRDefault="00C83715" w:rsidP="00BF25A0">
      <w:pPr>
        <w:tabs>
          <w:tab w:val="left" w:pos="570"/>
        </w:tabs>
        <w:spacing w:before="120" w:after="120"/>
        <w:rPr>
          <w:rFonts w:cs="Arial"/>
          <w:sz w:val="24"/>
          <w:szCs w:val="24"/>
        </w:rPr>
      </w:pPr>
      <w:bookmarkStart w:id="38" w:name="_Toc215319139"/>
      <w:r w:rsidRPr="00C46192">
        <w:rPr>
          <w:rFonts w:cs="Arial"/>
          <w:sz w:val="24"/>
          <w:szCs w:val="24"/>
        </w:rPr>
        <w:t>Refer</w:t>
      </w:r>
      <w:r>
        <w:rPr>
          <w:rFonts w:cs="Arial"/>
          <w:sz w:val="24"/>
          <w:szCs w:val="24"/>
        </w:rPr>
        <w:t xml:space="preserve"> to</w:t>
      </w:r>
      <w:r w:rsidRPr="00C46192">
        <w:rPr>
          <w:rFonts w:cs="Arial"/>
          <w:sz w:val="24"/>
          <w:szCs w:val="24"/>
        </w:rPr>
        <w:t xml:space="preserve"> tier one</w:t>
      </w:r>
      <w:r>
        <w:rPr>
          <w:rFonts w:cs="Arial"/>
          <w:sz w:val="24"/>
          <w:szCs w:val="24"/>
        </w:rPr>
        <w:t xml:space="preserve"> Mental Health and Addiction Services</w:t>
      </w:r>
      <w:r w:rsidR="00A11A81">
        <w:rPr>
          <w:rFonts w:cs="Arial"/>
          <w:sz w:val="24"/>
          <w:szCs w:val="24"/>
        </w:rPr>
        <w:t xml:space="preserve"> service specification</w:t>
      </w:r>
      <w:r>
        <w:rPr>
          <w:rFonts w:cs="Arial"/>
          <w:sz w:val="24"/>
          <w:szCs w:val="24"/>
        </w:rPr>
        <w:t>.</w:t>
      </w:r>
    </w:p>
    <w:p w:rsidR="00027868" w:rsidRPr="00C46192" w:rsidRDefault="00027868" w:rsidP="00027868">
      <w:pPr>
        <w:tabs>
          <w:tab w:val="left" w:pos="570"/>
        </w:tabs>
        <w:spacing w:before="240" w:after="120"/>
        <w:rPr>
          <w:rFonts w:cs="Arial"/>
          <w:b/>
          <w:sz w:val="24"/>
          <w:szCs w:val="24"/>
        </w:rPr>
      </w:pPr>
      <w:bookmarkStart w:id="39" w:name="_Toc215319140"/>
      <w:bookmarkEnd w:id="38"/>
      <w:r w:rsidRPr="00C46192">
        <w:rPr>
          <w:rFonts w:cs="Arial"/>
          <w:b/>
          <w:sz w:val="24"/>
          <w:szCs w:val="24"/>
        </w:rPr>
        <w:t>3.</w:t>
      </w:r>
      <w:r w:rsidRPr="00C46192">
        <w:rPr>
          <w:rFonts w:cs="Arial"/>
          <w:b/>
          <w:sz w:val="24"/>
          <w:szCs w:val="24"/>
        </w:rPr>
        <w:tab/>
        <w:t>Service Users</w:t>
      </w:r>
      <w:bookmarkEnd w:id="39"/>
    </w:p>
    <w:p w:rsidR="00E64293" w:rsidRDefault="00E64293" w:rsidP="00027868">
      <w:pPr>
        <w:spacing w:before="120"/>
        <w:rPr>
          <w:rFonts w:cs="Arial"/>
          <w:sz w:val="24"/>
          <w:szCs w:val="24"/>
        </w:rPr>
      </w:pPr>
      <w:r>
        <w:rPr>
          <w:rFonts w:cs="Arial"/>
          <w:sz w:val="24"/>
          <w:szCs w:val="24"/>
        </w:rPr>
        <w:t xml:space="preserve">The </w:t>
      </w:r>
      <w:r w:rsidR="006D14EF">
        <w:rPr>
          <w:rFonts w:cs="Arial"/>
          <w:sz w:val="24"/>
          <w:szCs w:val="24"/>
        </w:rPr>
        <w:t>S</w:t>
      </w:r>
      <w:r>
        <w:rPr>
          <w:rFonts w:cs="Arial"/>
          <w:sz w:val="24"/>
          <w:szCs w:val="24"/>
        </w:rPr>
        <w:t>ervice is specifically developed for M</w:t>
      </w:r>
      <w:r w:rsidR="00364279">
        <w:rPr>
          <w:rFonts w:cs="Arial"/>
          <w:sz w:val="24"/>
          <w:szCs w:val="24"/>
        </w:rPr>
        <w:t>ā</w:t>
      </w:r>
      <w:r>
        <w:rPr>
          <w:rFonts w:cs="Arial"/>
          <w:sz w:val="24"/>
          <w:szCs w:val="24"/>
        </w:rPr>
        <w:t>ori but not exclusively to M</w:t>
      </w:r>
      <w:r w:rsidR="00364279">
        <w:rPr>
          <w:rFonts w:cs="Arial"/>
          <w:sz w:val="24"/>
          <w:szCs w:val="24"/>
        </w:rPr>
        <w:t>ā</w:t>
      </w:r>
      <w:r>
        <w:rPr>
          <w:rFonts w:cs="Arial"/>
          <w:sz w:val="24"/>
          <w:szCs w:val="24"/>
        </w:rPr>
        <w:t>ori.</w:t>
      </w:r>
    </w:p>
    <w:p w:rsidR="00027868" w:rsidRPr="00C46192" w:rsidRDefault="00027868" w:rsidP="00027868">
      <w:pPr>
        <w:tabs>
          <w:tab w:val="left" w:pos="570"/>
        </w:tabs>
        <w:spacing w:before="240" w:after="120"/>
        <w:rPr>
          <w:rFonts w:cs="Arial"/>
          <w:b/>
          <w:sz w:val="24"/>
          <w:szCs w:val="24"/>
        </w:rPr>
      </w:pPr>
      <w:bookmarkStart w:id="40" w:name="_Toc215319141"/>
      <w:r w:rsidRPr="00C46192">
        <w:rPr>
          <w:rFonts w:cs="Arial"/>
          <w:b/>
          <w:sz w:val="24"/>
          <w:szCs w:val="24"/>
        </w:rPr>
        <w:t>4.</w:t>
      </w:r>
      <w:r w:rsidRPr="00C46192">
        <w:rPr>
          <w:rFonts w:cs="Arial"/>
          <w:b/>
          <w:sz w:val="24"/>
          <w:szCs w:val="24"/>
        </w:rPr>
        <w:tab/>
        <w:t>Access</w:t>
      </w:r>
      <w:bookmarkEnd w:id="40"/>
    </w:p>
    <w:p w:rsidR="00027868" w:rsidRPr="00C46192" w:rsidRDefault="00027868" w:rsidP="00027868">
      <w:pPr>
        <w:tabs>
          <w:tab w:val="left" w:pos="570"/>
        </w:tabs>
        <w:spacing w:after="60"/>
        <w:rPr>
          <w:rFonts w:cs="Arial"/>
          <w:b/>
          <w:sz w:val="24"/>
          <w:szCs w:val="24"/>
        </w:rPr>
      </w:pPr>
      <w:bookmarkStart w:id="41" w:name="_Toc215319142"/>
      <w:r w:rsidRPr="00C46192">
        <w:rPr>
          <w:rFonts w:cs="Arial"/>
          <w:b/>
          <w:sz w:val="24"/>
          <w:szCs w:val="24"/>
        </w:rPr>
        <w:t>4.1</w:t>
      </w:r>
      <w:r w:rsidRPr="00C46192">
        <w:rPr>
          <w:rFonts w:cs="Arial"/>
          <w:b/>
          <w:sz w:val="24"/>
          <w:szCs w:val="24"/>
        </w:rPr>
        <w:tab/>
        <w:t xml:space="preserve">Entry </w:t>
      </w:r>
      <w:r>
        <w:rPr>
          <w:rFonts w:cs="Arial"/>
          <w:b/>
          <w:sz w:val="24"/>
          <w:szCs w:val="24"/>
        </w:rPr>
        <w:t>C</w:t>
      </w:r>
      <w:r w:rsidRPr="00C46192">
        <w:rPr>
          <w:rFonts w:cs="Arial"/>
          <w:b/>
          <w:sz w:val="24"/>
          <w:szCs w:val="24"/>
        </w:rPr>
        <w:t>riteria</w:t>
      </w:r>
      <w:bookmarkEnd w:id="41"/>
      <w:r w:rsidRPr="00C46192">
        <w:rPr>
          <w:rFonts w:cs="Arial"/>
          <w:b/>
          <w:sz w:val="24"/>
          <w:szCs w:val="24"/>
        </w:rPr>
        <w:t xml:space="preserve"> </w:t>
      </w:r>
    </w:p>
    <w:p w:rsidR="002F0C78" w:rsidRPr="001627D3" w:rsidRDefault="00D01BA1" w:rsidP="000A43C6">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 w:val="24"/>
          <w:szCs w:val="24"/>
        </w:rPr>
      </w:pPr>
      <w:r w:rsidRPr="001627D3">
        <w:rPr>
          <w:sz w:val="24"/>
          <w:szCs w:val="24"/>
        </w:rPr>
        <w:t>Access to these roles will be via the local service that they are affiliated</w:t>
      </w:r>
      <w:r w:rsidR="008771E7" w:rsidRPr="001627D3">
        <w:rPr>
          <w:sz w:val="24"/>
          <w:szCs w:val="24"/>
        </w:rPr>
        <w:t>.</w:t>
      </w:r>
    </w:p>
    <w:p w:rsidR="00027868" w:rsidRPr="00C46192" w:rsidRDefault="00027868" w:rsidP="00027868">
      <w:pPr>
        <w:tabs>
          <w:tab w:val="left" w:pos="570"/>
        </w:tabs>
        <w:spacing w:before="240"/>
        <w:rPr>
          <w:rFonts w:cs="Arial"/>
          <w:b/>
          <w:sz w:val="24"/>
          <w:szCs w:val="24"/>
        </w:rPr>
      </w:pPr>
      <w:bookmarkStart w:id="42" w:name="_Toc215319145"/>
      <w:r w:rsidRPr="00C46192">
        <w:rPr>
          <w:rFonts w:cs="Arial"/>
          <w:b/>
          <w:sz w:val="24"/>
          <w:szCs w:val="24"/>
        </w:rPr>
        <w:t>5.</w:t>
      </w:r>
      <w:r w:rsidRPr="00C46192">
        <w:rPr>
          <w:rFonts w:cs="Arial"/>
          <w:b/>
          <w:sz w:val="24"/>
          <w:szCs w:val="24"/>
        </w:rPr>
        <w:tab/>
        <w:t>Service Components</w:t>
      </w:r>
      <w:bookmarkEnd w:id="42"/>
    </w:p>
    <w:p w:rsidR="00027868" w:rsidRPr="00C46192" w:rsidRDefault="00027868" w:rsidP="00027868">
      <w:pPr>
        <w:tabs>
          <w:tab w:val="left" w:pos="570"/>
        </w:tabs>
        <w:spacing w:before="120" w:after="60"/>
        <w:rPr>
          <w:rFonts w:cs="Arial"/>
          <w:b/>
          <w:sz w:val="24"/>
          <w:szCs w:val="24"/>
        </w:rPr>
      </w:pPr>
      <w:bookmarkStart w:id="43" w:name="_Toc215319146"/>
      <w:r w:rsidRPr="00C46192">
        <w:rPr>
          <w:rFonts w:cs="Arial"/>
          <w:b/>
          <w:sz w:val="24"/>
          <w:szCs w:val="24"/>
        </w:rPr>
        <w:t>5.1</w:t>
      </w:r>
      <w:r w:rsidRPr="00C46192">
        <w:rPr>
          <w:rFonts w:cs="Arial"/>
          <w:b/>
          <w:sz w:val="24"/>
          <w:szCs w:val="24"/>
        </w:rPr>
        <w:tab/>
        <w:t>Processes</w:t>
      </w:r>
      <w:bookmarkEnd w:id="43"/>
    </w:p>
    <w:p w:rsidR="00706D77" w:rsidRDefault="00027868" w:rsidP="00BF25A0">
      <w:pPr>
        <w:spacing w:after="60"/>
        <w:rPr>
          <w:rFonts w:cs="Arial"/>
          <w:sz w:val="24"/>
          <w:szCs w:val="24"/>
        </w:rPr>
      </w:pPr>
      <w:r w:rsidRPr="00C46192">
        <w:rPr>
          <w:rFonts w:cs="Arial"/>
          <w:sz w:val="24"/>
          <w:szCs w:val="24"/>
        </w:rPr>
        <w:t xml:space="preserve">The </w:t>
      </w:r>
      <w:r w:rsidR="003051E7">
        <w:rPr>
          <w:rFonts w:cs="Arial"/>
          <w:sz w:val="24"/>
          <w:szCs w:val="24"/>
        </w:rPr>
        <w:t xml:space="preserve">Service </w:t>
      </w:r>
      <w:r w:rsidRPr="00C46192">
        <w:rPr>
          <w:rFonts w:cs="Arial"/>
          <w:sz w:val="24"/>
          <w:szCs w:val="24"/>
        </w:rPr>
        <w:t>processes include but are not limited to the following:</w:t>
      </w:r>
      <w:r w:rsidR="00BF25A0">
        <w:rPr>
          <w:rFonts w:cs="Arial"/>
          <w:sz w:val="24"/>
          <w:szCs w:val="24"/>
        </w:rPr>
        <w:t xml:space="preserve"> e</w:t>
      </w:r>
      <w:r w:rsidR="00D2418D">
        <w:rPr>
          <w:rFonts w:cs="Arial"/>
          <w:sz w:val="24"/>
          <w:szCs w:val="24"/>
        </w:rPr>
        <w:t>ngagement; a</w:t>
      </w:r>
      <w:r w:rsidRPr="00C46192">
        <w:rPr>
          <w:rFonts w:cs="Arial"/>
          <w:sz w:val="24"/>
          <w:szCs w:val="24"/>
        </w:rPr>
        <w:t>ssessment</w:t>
      </w:r>
      <w:r w:rsidR="00D2418D">
        <w:rPr>
          <w:rFonts w:cs="Arial"/>
          <w:sz w:val="24"/>
          <w:szCs w:val="24"/>
        </w:rPr>
        <w:t xml:space="preserve"> including cultural assessment</w:t>
      </w:r>
      <w:r w:rsidRPr="00C46192">
        <w:rPr>
          <w:rFonts w:cs="Arial"/>
          <w:sz w:val="24"/>
          <w:szCs w:val="24"/>
        </w:rPr>
        <w:t xml:space="preserve">; </w:t>
      </w:r>
      <w:r w:rsidR="00716AB2">
        <w:rPr>
          <w:rFonts w:cs="Arial"/>
          <w:sz w:val="24"/>
          <w:szCs w:val="24"/>
        </w:rPr>
        <w:t>cultural</w:t>
      </w:r>
      <w:r w:rsidR="00D2418D">
        <w:rPr>
          <w:rFonts w:cs="Arial"/>
          <w:sz w:val="24"/>
          <w:szCs w:val="24"/>
        </w:rPr>
        <w:t xml:space="preserve"> </w:t>
      </w:r>
      <w:r w:rsidRPr="00C46192">
        <w:rPr>
          <w:rFonts w:cs="Arial"/>
          <w:sz w:val="24"/>
          <w:szCs w:val="24"/>
        </w:rPr>
        <w:t>support</w:t>
      </w:r>
      <w:r w:rsidR="00716AB2">
        <w:rPr>
          <w:rFonts w:cs="Arial"/>
          <w:sz w:val="24"/>
          <w:szCs w:val="24"/>
        </w:rPr>
        <w:t xml:space="preserve"> and advice</w:t>
      </w:r>
      <w:r w:rsidRPr="00C46192">
        <w:rPr>
          <w:rFonts w:cs="Arial"/>
          <w:sz w:val="24"/>
          <w:szCs w:val="24"/>
        </w:rPr>
        <w:t xml:space="preserve">; review process; </w:t>
      </w:r>
      <w:r w:rsidR="00364279">
        <w:rPr>
          <w:rFonts w:cs="Arial"/>
          <w:sz w:val="24"/>
          <w:szCs w:val="24"/>
        </w:rPr>
        <w:t xml:space="preserve">and </w:t>
      </w:r>
      <w:r w:rsidRPr="00C46192">
        <w:rPr>
          <w:rFonts w:cs="Arial"/>
          <w:sz w:val="24"/>
          <w:szCs w:val="24"/>
        </w:rPr>
        <w:t>discharge</w:t>
      </w:r>
      <w:r>
        <w:rPr>
          <w:rFonts w:cs="Arial"/>
          <w:sz w:val="24"/>
          <w:szCs w:val="24"/>
        </w:rPr>
        <w:t>.</w:t>
      </w:r>
    </w:p>
    <w:p w:rsidR="00706D77" w:rsidRDefault="00706D77">
      <w:pPr>
        <w:rPr>
          <w:rFonts w:cs="Arial"/>
          <w:sz w:val="24"/>
          <w:szCs w:val="24"/>
        </w:rPr>
      </w:pPr>
      <w:r>
        <w:rPr>
          <w:rFonts w:cs="Arial"/>
          <w:sz w:val="24"/>
          <w:szCs w:val="24"/>
        </w:rPr>
        <w:br w:type="page"/>
      </w:r>
    </w:p>
    <w:p w:rsidR="00027868" w:rsidRPr="00C46192" w:rsidRDefault="00027868" w:rsidP="000A43C6">
      <w:pPr>
        <w:tabs>
          <w:tab w:val="left" w:pos="570"/>
        </w:tabs>
        <w:rPr>
          <w:rFonts w:cs="Arial"/>
          <w:b/>
          <w:sz w:val="24"/>
          <w:szCs w:val="24"/>
        </w:rPr>
      </w:pPr>
      <w:bookmarkStart w:id="44" w:name="_Toc215319147"/>
      <w:r w:rsidRPr="00C46192">
        <w:rPr>
          <w:rFonts w:cs="Arial"/>
          <w:b/>
          <w:sz w:val="24"/>
          <w:szCs w:val="24"/>
        </w:rPr>
        <w:lastRenderedPageBreak/>
        <w:t>5.2</w:t>
      </w:r>
      <w:r w:rsidRPr="00C46192">
        <w:rPr>
          <w:rFonts w:cs="Arial"/>
          <w:b/>
          <w:sz w:val="24"/>
          <w:szCs w:val="24"/>
        </w:rPr>
        <w:tab/>
        <w:t>Settings</w:t>
      </w:r>
      <w:bookmarkEnd w:id="44"/>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c</w:t>
      </w:r>
      <w:r w:rsidRPr="00C46192">
        <w:rPr>
          <w:rFonts w:cs="Arial"/>
          <w:sz w:val="24"/>
          <w:szCs w:val="24"/>
        </w:rPr>
        <w:t>ommunity</w:t>
      </w:r>
      <w:r w:rsidR="00D2418D">
        <w:rPr>
          <w:rFonts w:cs="Arial"/>
          <w:sz w:val="24"/>
          <w:szCs w:val="24"/>
        </w:rPr>
        <w:t xml:space="preserve"> including m</w:t>
      </w:r>
      <w:r w:rsidR="00364279">
        <w:rPr>
          <w:sz w:val="24"/>
          <w:szCs w:val="24"/>
        </w:rPr>
        <w:t>a</w:t>
      </w:r>
      <w:r w:rsidR="00D2418D">
        <w:rPr>
          <w:rFonts w:cs="Arial"/>
          <w:sz w:val="24"/>
          <w:szCs w:val="24"/>
        </w:rPr>
        <w:t>rae</w:t>
      </w:r>
      <w:r w:rsidR="00BD3BDE">
        <w:rPr>
          <w:rFonts w:cs="Arial"/>
          <w:sz w:val="24"/>
          <w:szCs w:val="24"/>
        </w:rPr>
        <w:t xml:space="preserve">, hospital </w:t>
      </w:r>
      <w:r w:rsidR="002F0C78">
        <w:rPr>
          <w:rFonts w:cs="Arial"/>
          <w:sz w:val="24"/>
          <w:szCs w:val="24"/>
        </w:rPr>
        <w:t xml:space="preserve">and home </w:t>
      </w:r>
      <w:r w:rsidRPr="00C46192">
        <w:rPr>
          <w:rFonts w:cs="Arial"/>
          <w:sz w:val="24"/>
          <w:szCs w:val="24"/>
        </w:rPr>
        <w:t>based</w:t>
      </w:r>
      <w:r>
        <w:rPr>
          <w:rFonts w:cs="Arial"/>
          <w:sz w:val="24"/>
          <w:szCs w:val="24"/>
        </w:rPr>
        <w:t xml:space="preserve"> settings.</w:t>
      </w:r>
      <w:r w:rsidRPr="00C46192">
        <w:rPr>
          <w:rFonts w:cs="Arial"/>
          <w:sz w:val="24"/>
          <w:szCs w:val="24"/>
        </w:rPr>
        <w:t xml:space="preserve"> </w:t>
      </w:r>
    </w:p>
    <w:p w:rsidR="00027868" w:rsidRPr="00C46192" w:rsidRDefault="00027868" w:rsidP="00027868">
      <w:pPr>
        <w:tabs>
          <w:tab w:val="left" w:pos="570"/>
        </w:tabs>
        <w:spacing w:before="120" w:after="60"/>
        <w:rPr>
          <w:rFonts w:cs="Arial"/>
          <w:b/>
          <w:sz w:val="24"/>
          <w:szCs w:val="24"/>
        </w:rPr>
      </w:pPr>
      <w:bookmarkStart w:id="45" w:name="_Toc215319151"/>
      <w:r w:rsidRPr="00C46192">
        <w:rPr>
          <w:rFonts w:cs="Arial"/>
          <w:b/>
          <w:sz w:val="24"/>
          <w:szCs w:val="24"/>
        </w:rPr>
        <w:t>5.3</w:t>
      </w:r>
      <w:r w:rsidRPr="00C46192">
        <w:rPr>
          <w:rFonts w:cs="Arial"/>
          <w:b/>
          <w:sz w:val="24"/>
          <w:szCs w:val="24"/>
        </w:rPr>
        <w:tab/>
        <w:t xml:space="preserve">Key </w:t>
      </w:r>
      <w:r>
        <w:rPr>
          <w:rFonts w:cs="Arial"/>
          <w:b/>
          <w:sz w:val="24"/>
          <w:szCs w:val="24"/>
        </w:rPr>
        <w:t>I</w:t>
      </w:r>
      <w:r w:rsidRPr="00C46192">
        <w:rPr>
          <w:rFonts w:cs="Arial"/>
          <w:b/>
          <w:sz w:val="24"/>
          <w:szCs w:val="24"/>
        </w:rPr>
        <w:t xml:space="preserve">nputs </w:t>
      </w:r>
      <w:bookmarkStart w:id="46" w:name="_Toc215319152"/>
      <w:bookmarkEnd w:id="45"/>
    </w:p>
    <w:p w:rsidR="00D01BA1" w:rsidRPr="00D01BA1" w:rsidRDefault="00D01BA1" w:rsidP="002F0C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sz w:val="24"/>
          <w:szCs w:val="24"/>
          <w:lang w:val="en-NZ"/>
        </w:rPr>
      </w:pPr>
      <w:r w:rsidRPr="00D01BA1">
        <w:rPr>
          <w:sz w:val="24"/>
          <w:szCs w:val="24"/>
          <w:lang w:val="en-NZ"/>
        </w:rPr>
        <w:t xml:space="preserve">The </w:t>
      </w:r>
      <w:proofErr w:type="spellStart"/>
      <w:r w:rsidR="00364279">
        <w:rPr>
          <w:sz w:val="24"/>
          <w:szCs w:val="24"/>
          <w:lang w:val="en-NZ"/>
        </w:rPr>
        <w:t>K</w:t>
      </w:r>
      <w:r w:rsidRPr="00D01BA1">
        <w:rPr>
          <w:sz w:val="24"/>
          <w:szCs w:val="24"/>
          <w:lang w:val="en-NZ"/>
        </w:rPr>
        <w:t>aum</w:t>
      </w:r>
      <w:r w:rsidR="00364279">
        <w:rPr>
          <w:sz w:val="24"/>
          <w:szCs w:val="24"/>
          <w:lang w:val="en-NZ"/>
        </w:rPr>
        <w:t>ā</w:t>
      </w:r>
      <w:r w:rsidRPr="00D01BA1">
        <w:rPr>
          <w:sz w:val="24"/>
          <w:szCs w:val="24"/>
          <w:lang w:val="en-NZ"/>
        </w:rPr>
        <w:t>tua</w:t>
      </w:r>
      <w:proofErr w:type="spellEnd"/>
      <w:r w:rsidRPr="00D01BA1">
        <w:rPr>
          <w:sz w:val="24"/>
          <w:szCs w:val="24"/>
          <w:lang w:val="en-NZ"/>
        </w:rPr>
        <w:t xml:space="preserve"> services will be provided in such a way as to ensure relevant skills and expertise are available to the mental health service.  </w:t>
      </w:r>
      <w:proofErr w:type="spellStart"/>
      <w:r w:rsidRPr="00D01BA1">
        <w:rPr>
          <w:sz w:val="24"/>
          <w:szCs w:val="24"/>
          <w:lang w:val="en-NZ"/>
        </w:rPr>
        <w:t>Kaum</w:t>
      </w:r>
      <w:r w:rsidR="00364279">
        <w:rPr>
          <w:sz w:val="24"/>
          <w:szCs w:val="24"/>
          <w:lang w:val="en-NZ"/>
        </w:rPr>
        <w:t>ā</w:t>
      </w:r>
      <w:r w:rsidRPr="00D01BA1">
        <w:rPr>
          <w:sz w:val="24"/>
          <w:szCs w:val="24"/>
          <w:lang w:val="en-NZ"/>
        </w:rPr>
        <w:t>tua</w:t>
      </w:r>
      <w:proofErr w:type="spellEnd"/>
      <w:r w:rsidRPr="00D01BA1">
        <w:rPr>
          <w:sz w:val="24"/>
          <w:szCs w:val="24"/>
          <w:lang w:val="en-NZ"/>
        </w:rPr>
        <w:t xml:space="preserve"> of this service </w:t>
      </w:r>
      <w:r w:rsidR="00F276A8">
        <w:rPr>
          <w:sz w:val="24"/>
          <w:szCs w:val="24"/>
          <w:lang w:val="en-NZ"/>
        </w:rPr>
        <w:t>are cultural specialists and</w:t>
      </w:r>
      <w:r w:rsidRPr="00D01BA1">
        <w:rPr>
          <w:sz w:val="24"/>
          <w:szCs w:val="24"/>
          <w:lang w:val="en-NZ"/>
        </w:rPr>
        <w:t xml:space="preserve"> </w:t>
      </w:r>
      <w:r w:rsidR="00F276A8">
        <w:rPr>
          <w:sz w:val="24"/>
          <w:szCs w:val="24"/>
          <w:lang w:val="en-NZ"/>
        </w:rPr>
        <w:t>leaders and are</w:t>
      </w:r>
      <w:r w:rsidRPr="00D01BA1">
        <w:rPr>
          <w:sz w:val="24"/>
          <w:szCs w:val="24"/>
          <w:lang w:val="en-NZ"/>
        </w:rPr>
        <w:t xml:space="preserve"> recognised as spokespersons for their M</w:t>
      </w:r>
      <w:r w:rsidR="003051E7">
        <w:rPr>
          <w:sz w:val="24"/>
          <w:szCs w:val="24"/>
          <w:lang w:val="en-NZ"/>
        </w:rPr>
        <w:t>ā</w:t>
      </w:r>
      <w:r w:rsidRPr="00D01BA1">
        <w:rPr>
          <w:sz w:val="24"/>
          <w:szCs w:val="24"/>
          <w:lang w:val="en-NZ"/>
        </w:rPr>
        <w:t>ori communities, and will</w:t>
      </w:r>
      <w:r w:rsidR="00F276A8">
        <w:rPr>
          <w:sz w:val="24"/>
          <w:szCs w:val="24"/>
          <w:lang w:val="en-NZ"/>
        </w:rPr>
        <w:t xml:space="preserve"> either</w:t>
      </w:r>
      <w:r w:rsidRPr="00D01BA1">
        <w:rPr>
          <w:sz w:val="24"/>
          <w:szCs w:val="24"/>
          <w:lang w:val="en-NZ"/>
        </w:rPr>
        <w:t xml:space="preserve"> be </w:t>
      </w:r>
      <w:proofErr w:type="spellStart"/>
      <w:r w:rsidRPr="00D01BA1">
        <w:rPr>
          <w:sz w:val="24"/>
          <w:szCs w:val="24"/>
          <w:lang w:val="en-NZ"/>
        </w:rPr>
        <w:t>t</w:t>
      </w:r>
      <w:r w:rsidR="00364279">
        <w:rPr>
          <w:sz w:val="24"/>
          <w:szCs w:val="24"/>
          <w:lang w:val="en-NZ"/>
        </w:rPr>
        <w:t>ā</w:t>
      </w:r>
      <w:r w:rsidRPr="00D01BA1">
        <w:rPr>
          <w:sz w:val="24"/>
          <w:szCs w:val="24"/>
          <w:lang w:val="en-NZ"/>
        </w:rPr>
        <w:t>ngata</w:t>
      </w:r>
      <w:proofErr w:type="spellEnd"/>
      <w:r w:rsidR="00F276A8">
        <w:rPr>
          <w:sz w:val="24"/>
          <w:szCs w:val="24"/>
          <w:lang w:val="en-NZ"/>
        </w:rPr>
        <w:t xml:space="preserve"> </w:t>
      </w:r>
      <w:proofErr w:type="spellStart"/>
      <w:r w:rsidRPr="00D01BA1">
        <w:rPr>
          <w:sz w:val="24"/>
          <w:szCs w:val="24"/>
          <w:lang w:val="en-NZ"/>
        </w:rPr>
        <w:t>whenua</w:t>
      </w:r>
      <w:proofErr w:type="spellEnd"/>
      <w:r w:rsidR="00F276A8">
        <w:rPr>
          <w:sz w:val="24"/>
          <w:szCs w:val="24"/>
          <w:lang w:val="en-NZ"/>
        </w:rPr>
        <w:t xml:space="preserve"> or mandated by </w:t>
      </w:r>
      <w:proofErr w:type="spellStart"/>
      <w:r w:rsidR="00F276A8">
        <w:rPr>
          <w:sz w:val="24"/>
          <w:szCs w:val="24"/>
          <w:lang w:val="en-NZ"/>
        </w:rPr>
        <w:t>t</w:t>
      </w:r>
      <w:r w:rsidR="00364279">
        <w:rPr>
          <w:sz w:val="24"/>
          <w:szCs w:val="24"/>
          <w:lang w:val="en-NZ"/>
        </w:rPr>
        <w:t>ā</w:t>
      </w:r>
      <w:r w:rsidR="00F276A8">
        <w:rPr>
          <w:sz w:val="24"/>
          <w:szCs w:val="24"/>
          <w:lang w:val="en-NZ"/>
        </w:rPr>
        <w:t>ngata</w:t>
      </w:r>
      <w:proofErr w:type="spellEnd"/>
      <w:r w:rsidR="00F276A8">
        <w:rPr>
          <w:sz w:val="24"/>
          <w:szCs w:val="24"/>
          <w:lang w:val="en-NZ"/>
        </w:rPr>
        <w:t xml:space="preserve"> </w:t>
      </w:r>
      <w:proofErr w:type="spellStart"/>
      <w:r w:rsidR="00F276A8">
        <w:rPr>
          <w:sz w:val="24"/>
          <w:szCs w:val="24"/>
          <w:lang w:val="en-NZ"/>
        </w:rPr>
        <w:t>whenua</w:t>
      </w:r>
      <w:proofErr w:type="spellEnd"/>
      <w:r w:rsidR="00AC48C8">
        <w:rPr>
          <w:sz w:val="24"/>
          <w:szCs w:val="24"/>
          <w:lang w:val="en-NZ"/>
        </w:rPr>
        <w:t>.</w:t>
      </w:r>
    </w:p>
    <w:p w:rsidR="00027868" w:rsidRPr="00C46192" w:rsidRDefault="00027868" w:rsidP="00027868">
      <w:pPr>
        <w:tabs>
          <w:tab w:val="left" w:pos="570"/>
        </w:tabs>
        <w:spacing w:before="240" w:after="120"/>
        <w:rPr>
          <w:rFonts w:cs="Arial"/>
          <w:b/>
          <w:sz w:val="24"/>
          <w:szCs w:val="24"/>
        </w:rPr>
      </w:pPr>
      <w:bookmarkStart w:id="47" w:name="_Toc215319155"/>
      <w:bookmarkEnd w:id="46"/>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47"/>
    </w:p>
    <w:p w:rsidR="00027868" w:rsidRPr="00C46192" w:rsidRDefault="00027868" w:rsidP="00027868">
      <w:pPr>
        <w:spacing w:before="120" w:after="120"/>
        <w:rPr>
          <w:rFonts w:cs="Arial"/>
          <w:sz w:val="24"/>
          <w:szCs w:val="24"/>
        </w:rPr>
      </w:pPr>
      <w:bookmarkStart w:id="48" w:name="_Toc215319158"/>
      <w:r w:rsidRPr="00C46192">
        <w:rPr>
          <w:rFonts w:cs="Arial"/>
          <w:sz w:val="24"/>
          <w:szCs w:val="24"/>
        </w:rPr>
        <w:t>Linkages include, but are not limited to the following:</w:t>
      </w:r>
      <w:bookmarkEnd w:id="48"/>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1524"/>
        <w:gridCol w:w="4848"/>
      </w:tblGrid>
      <w:tr w:rsidR="00027868" w:rsidRPr="00C46192" w:rsidTr="00EA089E">
        <w:trPr>
          <w:tblHeader/>
        </w:trPr>
        <w:tc>
          <w:tcPr>
            <w:tcW w:w="1655"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9" w:name="_Toc215319159"/>
            <w:r w:rsidRPr="00C46192">
              <w:rPr>
                <w:rFonts w:cs="Arial"/>
                <w:b/>
                <w:sz w:val="24"/>
                <w:szCs w:val="24"/>
              </w:rPr>
              <w:t>Service Provider</w:t>
            </w:r>
            <w:bookmarkEnd w:id="49"/>
          </w:p>
        </w:tc>
        <w:tc>
          <w:tcPr>
            <w:tcW w:w="800"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0" w:name="_Toc215319160"/>
            <w:r w:rsidRPr="00C46192">
              <w:rPr>
                <w:rFonts w:cs="Arial"/>
                <w:b/>
                <w:sz w:val="24"/>
                <w:szCs w:val="24"/>
              </w:rPr>
              <w:t>Nature of Linkage</w:t>
            </w:r>
            <w:bookmarkEnd w:id="50"/>
          </w:p>
        </w:tc>
        <w:tc>
          <w:tcPr>
            <w:tcW w:w="2545"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1" w:name="_Toc215319161"/>
            <w:r w:rsidRPr="00C46192">
              <w:rPr>
                <w:rFonts w:cs="Arial"/>
                <w:b/>
                <w:sz w:val="24"/>
                <w:szCs w:val="24"/>
              </w:rPr>
              <w:t>Accountabilities</w:t>
            </w:r>
            <w:bookmarkEnd w:id="51"/>
          </w:p>
        </w:tc>
      </w:tr>
      <w:tr w:rsidR="00B06719" w:rsidRPr="00394F06" w:rsidTr="00EA089E">
        <w:tc>
          <w:tcPr>
            <w:tcW w:w="1655" w:type="pct"/>
            <w:tcBorders>
              <w:top w:val="single" w:sz="4" w:space="0" w:color="auto"/>
              <w:left w:val="single" w:sz="4" w:space="0" w:color="auto"/>
              <w:bottom w:val="single" w:sz="4" w:space="0" w:color="auto"/>
              <w:right w:val="single" w:sz="4" w:space="0" w:color="auto"/>
            </w:tcBorders>
            <w:shd w:val="clear" w:color="auto" w:fill="auto"/>
          </w:tcPr>
          <w:p w:rsidR="00B06719" w:rsidRPr="00394F06" w:rsidRDefault="000F4291" w:rsidP="003051E7">
            <w:pPr>
              <w:spacing w:before="120" w:after="120"/>
              <w:rPr>
                <w:rFonts w:cs="Arial"/>
                <w:sz w:val="20"/>
                <w:lang w:val="en-US" w:bidi="en-US"/>
              </w:rPr>
            </w:pPr>
            <w:r w:rsidRPr="00394F06">
              <w:rPr>
                <w:rFonts w:cs="Arial"/>
                <w:sz w:val="20"/>
              </w:rPr>
              <w:t xml:space="preserve">Other </w:t>
            </w:r>
            <w:proofErr w:type="spellStart"/>
            <w:r w:rsidRPr="00394F06">
              <w:rPr>
                <w:rFonts w:cs="Arial"/>
                <w:sz w:val="20"/>
              </w:rPr>
              <w:t>Kaum</w:t>
            </w:r>
            <w:r w:rsidR="00364279" w:rsidRPr="00394F06">
              <w:rPr>
                <w:rFonts w:cs="Arial"/>
                <w:sz w:val="20"/>
              </w:rPr>
              <w:t>ā</w:t>
            </w:r>
            <w:r w:rsidRPr="00394F06">
              <w:rPr>
                <w:rFonts w:cs="Arial"/>
                <w:sz w:val="20"/>
              </w:rPr>
              <w:t>tua</w:t>
            </w:r>
            <w:proofErr w:type="spellEnd"/>
            <w:r w:rsidRPr="00394F06">
              <w:rPr>
                <w:rFonts w:cs="Arial"/>
                <w:sz w:val="20"/>
              </w:rPr>
              <w:t xml:space="preserve"> based with other service providers </w:t>
            </w:r>
            <w:r w:rsidR="002F0C78" w:rsidRPr="00394F06">
              <w:rPr>
                <w:rFonts w:cs="Arial"/>
                <w:sz w:val="20"/>
              </w:rPr>
              <w:t xml:space="preserve">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06719" w:rsidRPr="00394F06" w:rsidRDefault="002F0C78" w:rsidP="003051E7">
            <w:pPr>
              <w:spacing w:before="120" w:after="120"/>
              <w:rPr>
                <w:rFonts w:cs="Arial"/>
                <w:sz w:val="20"/>
                <w:lang w:val="en-US" w:bidi="en-US"/>
              </w:rPr>
            </w:pPr>
            <w:r w:rsidRPr="00394F06">
              <w:rPr>
                <w:rFonts w:cs="Arial"/>
                <w:sz w:val="20"/>
              </w:rPr>
              <w:t xml:space="preserve">Collaborative </w:t>
            </w:r>
            <w:r w:rsidR="00C169BF" w:rsidRPr="00394F06">
              <w:rPr>
                <w:rFonts w:cs="Arial"/>
                <w:sz w:val="20"/>
              </w:rPr>
              <w:t>relationships</w:t>
            </w:r>
          </w:p>
        </w:tc>
        <w:tc>
          <w:tcPr>
            <w:tcW w:w="2545" w:type="pct"/>
            <w:tcBorders>
              <w:top w:val="single" w:sz="4" w:space="0" w:color="auto"/>
              <w:left w:val="single" w:sz="4" w:space="0" w:color="auto"/>
              <w:bottom w:val="single" w:sz="4" w:space="0" w:color="auto"/>
              <w:right w:val="single" w:sz="4" w:space="0" w:color="auto"/>
            </w:tcBorders>
            <w:shd w:val="clear" w:color="auto" w:fill="auto"/>
          </w:tcPr>
          <w:p w:rsidR="00D2418D" w:rsidRPr="00394F06" w:rsidRDefault="00C169BF" w:rsidP="003051E7">
            <w:pPr>
              <w:spacing w:before="120" w:after="120"/>
              <w:rPr>
                <w:rFonts w:cs="Arial"/>
                <w:sz w:val="20"/>
                <w:lang w:val="en-US" w:bidi="en-US"/>
              </w:rPr>
            </w:pPr>
            <w:proofErr w:type="spellStart"/>
            <w:r w:rsidRPr="00394F06">
              <w:rPr>
                <w:rFonts w:cs="Arial"/>
                <w:sz w:val="20"/>
                <w:lang w:val="en-US" w:bidi="en-US"/>
              </w:rPr>
              <w:t>Kaum</w:t>
            </w:r>
            <w:r w:rsidR="00364279" w:rsidRPr="00394F06">
              <w:rPr>
                <w:rFonts w:cs="Arial"/>
                <w:sz w:val="20"/>
                <w:lang w:val="en-US" w:bidi="en-US"/>
              </w:rPr>
              <w:t>ā</w:t>
            </w:r>
            <w:r w:rsidRPr="00394F06">
              <w:rPr>
                <w:rFonts w:cs="Arial"/>
                <w:sz w:val="20"/>
                <w:lang w:val="en-US" w:bidi="en-US"/>
              </w:rPr>
              <w:t>tua</w:t>
            </w:r>
            <w:proofErr w:type="spellEnd"/>
            <w:r w:rsidRPr="00394F06">
              <w:rPr>
                <w:rFonts w:cs="Arial"/>
                <w:sz w:val="20"/>
                <w:lang w:val="en-US" w:bidi="en-US"/>
              </w:rPr>
              <w:t xml:space="preserve"> will work together with both informal and formal relationships and networking, fostering growth and development </w:t>
            </w:r>
          </w:p>
        </w:tc>
      </w:tr>
      <w:tr w:rsidR="00C169BF" w:rsidRPr="00394F06" w:rsidTr="00EA089E">
        <w:tc>
          <w:tcPr>
            <w:tcW w:w="1655"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rPr>
            </w:pPr>
            <w:proofErr w:type="spellStart"/>
            <w:r w:rsidRPr="00394F06">
              <w:rPr>
                <w:rFonts w:cs="Arial"/>
                <w:sz w:val="20"/>
              </w:rPr>
              <w:t>Manawhenua</w:t>
            </w:r>
            <w:proofErr w:type="spellEnd"/>
            <w:r w:rsidRPr="00394F06">
              <w:rPr>
                <w:rFonts w:cs="Arial"/>
                <w:sz w:val="20"/>
              </w:rPr>
              <w:t xml:space="preserve"> boards within DHB structures or equivalent M</w:t>
            </w:r>
            <w:r w:rsidR="00812339" w:rsidRPr="00394F06">
              <w:rPr>
                <w:rFonts w:cs="Arial"/>
                <w:sz w:val="20"/>
                <w:lang w:val="en-NZ"/>
              </w:rPr>
              <w:t>ā</w:t>
            </w:r>
            <w:proofErr w:type="spellStart"/>
            <w:r w:rsidRPr="00394F06">
              <w:rPr>
                <w:rFonts w:cs="Arial"/>
                <w:sz w:val="20"/>
              </w:rPr>
              <w:t>ori</w:t>
            </w:r>
            <w:proofErr w:type="spellEnd"/>
            <w:r w:rsidRPr="00394F06">
              <w:rPr>
                <w:rFonts w:cs="Arial"/>
                <w:sz w:val="20"/>
              </w:rPr>
              <w:t xml:space="preserve"> group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rPr>
            </w:pPr>
            <w:r w:rsidRPr="00394F06">
              <w:rPr>
                <w:rFonts w:cs="Arial"/>
                <w:sz w:val="20"/>
              </w:rPr>
              <w:t>Relationship</w:t>
            </w:r>
          </w:p>
          <w:p w:rsidR="00C169BF" w:rsidRPr="00394F06" w:rsidRDefault="00C169BF" w:rsidP="003051E7">
            <w:pPr>
              <w:spacing w:before="120" w:after="120"/>
              <w:rPr>
                <w:rFonts w:cs="Arial"/>
                <w:sz w:val="20"/>
              </w:rPr>
            </w:pPr>
            <w:r w:rsidRPr="00394F06">
              <w:rPr>
                <w:rFonts w:cs="Arial"/>
                <w:sz w:val="20"/>
              </w:rPr>
              <w:t xml:space="preserve">Advisory </w:t>
            </w:r>
          </w:p>
        </w:tc>
        <w:tc>
          <w:tcPr>
            <w:tcW w:w="2545"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lang w:val="en-US" w:bidi="en-US"/>
              </w:rPr>
            </w:pPr>
            <w:proofErr w:type="spellStart"/>
            <w:r w:rsidRPr="00394F06">
              <w:rPr>
                <w:rFonts w:cs="Arial"/>
                <w:sz w:val="20"/>
                <w:lang w:val="en-US" w:bidi="en-US"/>
              </w:rPr>
              <w:t>Kaum</w:t>
            </w:r>
            <w:r w:rsidR="00364279" w:rsidRPr="00394F06">
              <w:rPr>
                <w:rFonts w:cs="Arial"/>
                <w:sz w:val="20"/>
                <w:lang w:val="en-US" w:bidi="en-US"/>
              </w:rPr>
              <w:t>ā</w:t>
            </w:r>
            <w:r w:rsidRPr="00394F06">
              <w:rPr>
                <w:rFonts w:cs="Arial"/>
                <w:sz w:val="20"/>
                <w:lang w:val="en-US" w:bidi="en-US"/>
              </w:rPr>
              <w:t>tua</w:t>
            </w:r>
            <w:proofErr w:type="spellEnd"/>
            <w:r w:rsidRPr="00394F06">
              <w:rPr>
                <w:rFonts w:cs="Arial"/>
                <w:sz w:val="20"/>
                <w:lang w:val="en-US" w:bidi="en-US"/>
              </w:rPr>
              <w:t xml:space="preserve"> will work with boards and governance groups giving guidance on cultural issues and M</w:t>
            </w:r>
            <w:r w:rsidR="00812339" w:rsidRPr="00394F06">
              <w:rPr>
                <w:rFonts w:cs="Arial"/>
                <w:sz w:val="20"/>
                <w:lang w:val="en-NZ"/>
              </w:rPr>
              <w:t>ā</w:t>
            </w:r>
            <w:proofErr w:type="spellStart"/>
            <w:r w:rsidRPr="00394F06">
              <w:rPr>
                <w:rFonts w:cs="Arial"/>
                <w:sz w:val="20"/>
                <w:lang w:val="en-US" w:bidi="en-US"/>
              </w:rPr>
              <w:t>ori</w:t>
            </w:r>
            <w:proofErr w:type="spellEnd"/>
            <w:r w:rsidRPr="00394F06">
              <w:rPr>
                <w:rFonts w:cs="Arial"/>
                <w:sz w:val="20"/>
                <w:lang w:val="en-US" w:bidi="en-US"/>
              </w:rPr>
              <w:t xml:space="preserve"> responsiveness</w:t>
            </w:r>
          </w:p>
        </w:tc>
      </w:tr>
      <w:tr w:rsidR="00C169BF" w:rsidRPr="00394F06" w:rsidTr="00EA089E">
        <w:tc>
          <w:tcPr>
            <w:tcW w:w="1655"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rPr>
            </w:pPr>
            <w:r w:rsidRPr="00394F06">
              <w:rPr>
                <w:rFonts w:cs="Arial"/>
                <w:sz w:val="20"/>
              </w:rPr>
              <w:t xml:space="preserve">DHB operational management </w:t>
            </w:r>
            <w:r w:rsidR="00E64293" w:rsidRPr="00394F06">
              <w:rPr>
                <w:rFonts w:cs="Arial"/>
                <w:sz w:val="20"/>
              </w:rPr>
              <w:t xml:space="preserve">at all levels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rPr>
            </w:pPr>
            <w:r w:rsidRPr="00394F06">
              <w:rPr>
                <w:rFonts w:cs="Arial"/>
                <w:sz w:val="20"/>
              </w:rPr>
              <w:t xml:space="preserve">Advisory </w:t>
            </w:r>
          </w:p>
        </w:tc>
        <w:tc>
          <w:tcPr>
            <w:tcW w:w="2545" w:type="pct"/>
            <w:tcBorders>
              <w:top w:val="single" w:sz="4" w:space="0" w:color="auto"/>
              <w:left w:val="single" w:sz="4" w:space="0" w:color="auto"/>
              <w:bottom w:val="single" w:sz="4" w:space="0" w:color="auto"/>
              <w:right w:val="single" w:sz="4" w:space="0" w:color="auto"/>
            </w:tcBorders>
            <w:shd w:val="clear" w:color="auto" w:fill="auto"/>
          </w:tcPr>
          <w:p w:rsidR="00C169BF" w:rsidRPr="00394F06" w:rsidRDefault="00C169BF" w:rsidP="003051E7">
            <w:pPr>
              <w:spacing w:before="120" w:after="120"/>
              <w:rPr>
                <w:rFonts w:cs="Arial"/>
                <w:sz w:val="20"/>
                <w:lang w:val="en-US" w:bidi="en-US"/>
              </w:rPr>
            </w:pPr>
            <w:proofErr w:type="spellStart"/>
            <w:r w:rsidRPr="00394F06">
              <w:rPr>
                <w:rFonts w:cs="Arial"/>
                <w:sz w:val="20"/>
                <w:lang w:val="en-US" w:bidi="en-US"/>
              </w:rPr>
              <w:t>Kaum</w:t>
            </w:r>
            <w:r w:rsidR="00364279" w:rsidRPr="00394F06">
              <w:rPr>
                <w:rFonts w:cs="Arial"/>
                <w:sz w:val="20"/>
                <w:lang w:val="en-US" w:bidi="en-US"/>
              </w:rPr>
              <w:t>ā</w:t>
            </w:r>
            <w:r w:rsidRPr="00394F06">
              <w:rPr>
                <w:rFonts w:cs="Arial"/>
                <w:sz w:val="20"/>
                <w:lang w:val="en-US" w:bidi="en-US"/>
              </w:rPr>
              <w:t>tua</w:t>
            </w:r>
            <w:proofErr w:type="spellEnd"/>
            <w:r w:rsidRPr="00394F06">
              <w:rPr>
                <w:rFonts w:cs="Arial"/>
                <w:sz w:val="20"/>
                <w:lang w:val="en-US" w:bidi="en-US"/>
              </w:rPr>
              <w:t xml:space="preserve"> will work with operational management giving guidance on cultural issues and M</w:t>
            </w:r>
            <w:r w:rsidR="00812339" w:rsidRPr="00394F06">
              <w:rPr>
                <w:rFonts w:cs="Arial"/>
                <w:sz w:val="20"/>
                <w:lang w:val="en-NZ"/>
              </w:rPr>
              <w:t>ā</w:t>
            </w:r>
            <w:proofErr w:type="spellStart"/>
            <w:r w:rsidRPr="00394F06">
              <w:rPr>
                <w:rFonts w:cs="Arial"/>
                <w:sz w:val="20"/>
                <w:lang w:val="en-US" w:bidi="en-US"/>
              </w:rPr>
              <w:t>ori</w:t>
            </w:r>
            <w:proofErr w:type="spellEnd"/>
            <w:r w:rsidRPr="00394F06">
              <w:rPr>
                <w:rFonts w:cs="Arial"/>
                <w:sz w:val="20"/>
                <w:lang w:val="en-US" w:bidi="en-US"/>
              </w:rPr>
              <w:t xml:space="preserve"> responsiveness.</w:t>
            </w:r>
          </w:p>
        </w:tc>
      </w:tr>
    </w:tbl>
    <w:p w:rsidR="00027868" w:rsidRPr="00C46192" w:rsidRDefault="00027868" w:rsidP="00394F06">
      <w:pPr>
        <w:tabs>
          <w:tab w:val="left" w:pos="570"/>
        </w:tabs>
        <w:spacing w:before="240" w:after="120"/>
        <w:rPr>
          <w:rFonts w:cs="Arial"/>
          <w:b/>
          <w:sz w:val="24"/>
          <w:szCs w:val="24"/>
        </w:rPr>
      </w:pPr>
      <w:bookmarkStart w:id="52" w:name="_Toc215319164"/>
      <w:r w:rsidRPr="00C46192">
        <w:rPr>
          <w:rFonts w:cs="Arial"/>
          <w:b/>
          <w:sz w:val="24"/>
          <w:szCs w:val="24"/>
        </w:rPr>
        <w:t>7.</w:t>
      </w:r>
      <w:r w:rsidRPr="00C46192">
        <w:rPr>
          <w:rFonts w:cs="Arial"/>
          <w:b/>
          <w:sz w:val="24"/>
          <w:szCs w:val="24"/>
        </w:rPr>
        <w:tab/>
      </w:r>
      <w:bookmarkStart w:id="53" w:name="_Toc215319172"/>
      <w:bookmarkEnd w:id="52"/>
      <w:r w:rsidRPr="00C46192">
        <w:rPr>
          <w:rFonts w:cs="Arial"/>
          <w:b/>
          <w:sz w:val="24"/>
          <w:szCs w:val="24"/>
        </w:rPr>
        <w:t>Purchase Units and Reporting Requirements</w:t>
      </w:r>
      <w:bookmarkEnd w:id="53"/>
    </w:p>
    <w:p w:rsidR="00A168B4" w:rsidRDefault="00394F06" w:rsidP="000A43C6">
      <w:pPr>
        <w:tabs>
          <w:tab w:val="left" w:pos="567"/>
          <w:tab w:val="left" w:pos="709"/>
          <w:tab w:val="left" w:pos="1701"/>
          <w:tab w:val="left" w:pos="2693"/>
        </w:tabs>
        <w:spacing w:after="120"/>
      </w:pPr>
      <w:bookmarkStart w:id="54" w:name="_Toc215319173"/>
      <w:r>
        <w:rPr>
          <w:rFonts w:cs="Arial"/>
          <w:b/>
          <w:sz w:val="24"/>
          <w:szCs w:val="24"/>
        </w:rPr>
        <w:t>7</w:t>
      </w:r>
      <w:r w:rsidR="00B82DE1" w:rsidRPr="000A43C6">
        <w:rPr>
          <w:rFonts w:cs="Arial"/>
          <w:b/>
          <w:sz w:val="24"/>
          <w:szCs w:val="24"/>
        </w:rPr>
        <w:t>.1</w:t>
      </w:r>
      <w:r w:rsidR="00B82DE1" w:rsidRPr="000A43C6">
        <w:rPr>
          <w:rFonts w:cs="Arial"/>
          <w:b/>
          <w:sz w:val="24"/>
          <w:szCs w:val="24"/>
        </w:rPr>
        <w:tab/>
      </w:r>
      <w:r w:rsidR="00027868" w:rsidRPr="00C46192">
        <w:rPr>
          <w:rFonts w:cs="Arial"/>
          <w:sz w:val="24"/>
          <w:szCs w:val="24"/>
        </w:rPr>
        <w:t>Purchase Unit</w:t>
      </w:r>
      <w:r>
        <w:rPr>
          <w:rFonts w:cs="Arial"/>
          <w:sz w:val="24"/>
          <w:szCs w:val="24"/>
        </w:rPr>
        <w:t xml:space="preserve"> (PU) Codes</w:t>
      </w:r>
      <w:r w:rsidR="00027868" w:rsidRPr="00C46192">
        <w:rPr>
          <w:rFonts w:cs="Arial"/>
          <w:sz w:val="24"/>
          <w:szCs w:val="24"/>
        </w:rPr>
        <w:t xml:space="preserve"> 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sidR="00074B30">
        <w:rPr>
          <w:rFonts w:cs="Arial"/>
          <w:sz w:val="24"/>
          <w:szCs w:val="24"/>
        </w:rPr>
        <w:t xml:space="preserve">The following </w:t>
      </w:r>
      <w:r>
        <w:rPr>
          <w:rFonts w:cs="Arial"/>
          <w:sz w:val="24"/>
          <w:szCs w:val="24"/>
        </w:rPr>
        <w:t>codes</w:t>
      </w:r>
      <w:r w:rsidR="00074B30">
        <w:rPr>
          <w:rFonts w:cs="Arial"/>
          <w:sz w:val="24"/>
          <w:szCs w:val="24"/>
        </w:rPr>
        <w:t xml:space="preserve"> </w:t>
      </w:r>
      <w:r>
        <w:rPr>
          <w:rFonts w:cs="Arial"/>
          <w:sz w:val="24"/>
          <w:szCs w:val="24"/>
        </w:rPr>
        <w:t xml:space="preserve">apply </w:t>
      </w:r>
      <w:r w:rsidR="00074B30">
        <w:rPr>
          <w:rFonts w:cs="Arial"/>
          <w:sz w:val="24"/>
          <w:szCs w:val="24"/>
        </w:rPr>
        <w:t>to this service.</w:t>
      </w:r>
      <w:bookmarkEnd w:id="54"/>
    </w:p>
    <w:tbl>
      <w:tblPr>
        <w:tblW w:w="5000"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1385"/>
        <w:gridCol w:w="5815"/>
        <w:gridCol w:w="1356"/>
      </w:tblGrid>
      <w:tr w:rsidR="00394F06" w:rsidRPr="00306373" w:rsidTr="00AD7D1B">
        <w:trPr>
          <w:cantSplit/>
          <w:trHeight w:val="447"/>
          <w:tblHeader/>
        </w:trPr>
        <w:tc>
          <w:tcPr>
            <w:tcW w:w="557" w:type="pct"/>
            <w:shd w:val="clear" w:color="auto" w:fill="D9D9D9"/>
          </w:tcPr>
          <w:p w:rsidR="00394F06" w:rsidRPr="007F6DD5" w:rsidRDefault="00394F06" w:rsidP="00A168B4">
            <w:pPr>
              <w:spacing w:before="120"/>
              <w:rPr>
                <w:rFonts w:cs="Arial"/>
                <w:b/>
                <w:sz w:val="20"/>
              </w:rPr>
            </w:pPr>
            <w:bookmarkStart w:id="55" w:name="_Toc215319174"/>
            <w:r w:rsidRPr="007F6DD5">
              <w:rPr>
                <w:rFonts w:cs="Arial"/>
                <w:b/>
                <w:sz w:val="20"/>
              </w:rPr>
              <w:t>PU Code</w:t>
            </w:r>
            <w:bookmarkEnd w:id="55"/>
          </w:p>
        </w:tc>
        <w:tc>
          <w:tcPr>
            <w:tcW w:w="719" w:type="pct"/>
            <w:shd w:val="clear" w:color="auto" w:fill="D9D9D9"/>
          </w:tcPr>
          <w:p w:rsidR="00394F06" w:rsidRPr="007F6DD5" w:rsidRDefault="00394F06" w:rsidP="00A168B4">
            <w:pPr>
              <w:spacing w:before="120"/>
              <w:rPr>
                <w:rFonts w:cs="Arial"/>
                <w:b/>
                <w:sz w:val="20"/>
              </w:rPr>
            </w:pPr>
            <w:bookmarkStart w:id="56" w:name="_Toc215319175"/>
            <w:r w:rsidRPr="007F6DD5">
              <w:rPr>
                <w:rFonts w:cs="Arial"/>
                <w:b/>
                <w:sz w:val="20"/>
              </w:rPr>
              <w:t>PU Description</w:t>
            </w:r>
            <w:bookmarkEnd w:id="56"/>
          </w:p>
        </w:tc>
        <w:tc>
          <w:tcPr>
            <w:tcW w:w="3020" w:type="pct"/>
            <w:shd w:val="clear" w:color="auto" w:fill="D9D9D9"/>
          </w:tcPr>
          <w:p w:rsidR="00394F06" w:rsidRPr="007F6DD5" w:rsidRDefault="00394F06" w:rsidP="00A168B4">
            <w:pPr>
              <w:spacing w:before="120"/>
              <w:rPr>
                <w:rFonts w:cs="Arial"/>
                <w:b/>
                <w:sz w:val="20"/>
              </w:rPr>
            </w:pPr>
            <w:r>
              <w:rPr>
                <w:rFonts w:cs="Arial"/>
                <w:b/>
                <w:sz w:val="20"/>
              </w:rPr>
              <w:t>PU Definition</w:t>
            </w:r>
          </w:p>
        </w:tc>
        <w:tc>
          <w:tcPr>
            <w:tcW w:w="704" w:type="pct"/>
            <w:shd w:val="clear" w:color="auto" w:fill="D9D9D9"/>
          </w:tcPr>
          <w:p w:rsidR="00394F06" w:rsidRPr="007F6DD5" w:rsidRDefault="00B20F09" w:rsidP="00A168B4">
            <w:pPr>
              <w:spacing w:before="120"/>
              <w:rPr>
                <w:rFonts w:cs="Arial"/>
                <w:b/>
                <w:sz w:val="20"/>
              </w:rPr>
            </w:pPr>
            <w:bookmarkStart w:id="57" w:name="_Toc215319176"/>
            <w:r>
              <w:rPr>
                <w:rFonts w:cs="Arial"/>
                <w:b/>
                <w:sz w:val="20"/>
              </w:rPr>
              <w:t xml:space="preserve">Unit of </w:t>
            </w:r>
            <w:r w:rsidR="00394F06" w:rsidRPr="007F6DD5">
              <w:rPr>
                <w:rFonts w:cs="Arial"/>
                <w:b/>
                <w:sz w:val="20"/>
              </w:rPr>
              <w:t>Measure</w:t>
            </w:r>
            <w:bookmarkEnd w:id="57"/>
          </w:p>
        </w:tc>
      </w:tr>
      <w:tr w:rsidR="00394F06" w:rsidRPr="00DD0678" w:rsidTr="00AD7D1B">
        <w:trPr>
          <w:cantSplit/>
        </w:trPr>
        <w:tc>
          <w:tcPr>
            <w:tcW w:w="557" w:type="pct"/>
            <w:tcBorders>
              <w:top w:val="single" w:sz="4" w:space="0" w:color="auto"/>
              <w:left w:val="single" w:sz="4" w:space="0" w:color="auto"/>
              <w:bottom w:val="single" w:sz="4" w:space="0" w:color="auto"/>
              <w:right w:val="single" w:sz="4" w:space="0" w:color="auto"/>
            </w:tcBorders>
          </w:tcPr>
          <w:p w:rsidR="00394F06" w:rsidRPr="007F6DD5" w:rsidRDefault="00394F06" w:rsidP="00A168B4">
            <w:pPr>
              <w:spacing w:before="120" w:after="120"/>
              <w:rPr>
                <w:rFonts w:cs="Arial"/>
                <w:sz w:val="20"/>
              </w:rPr>
            </w:pPr>
            <w:r w:rsidRPr="007F6DD5">
              <w:rPr>
                <w:rFonts w:cs="Arial"/>
                <w:sz w:val="20"/>
              </w:rPr>
              <w:t>MHK6</w:t>
            </w:r>
            <w:r>
              <w:rPr>
                <w:rFonts w:cs="Arial"/>
                <w:sz w:val="20"/>
              </w:rPr>
              <w:t>1</w:t>
            </w:r>
            <w:r w:rsidRPr="007F6DD5">
              <w:rPr>
                <w:rFonts w:cs="Arial"/>
                <w:sz w:val="20"/>
              </w:rPr>
              <w:t>E</w:t>
            </w:r>
          </w:p>
        </w:tc>
        <w:tc>
          <w:tcPr>
            <w:tcW w:w="719" w:type="pct"/>
            <w:tcBorders>
              <w:top w:val="single" w:sz="4" w:space="0" w:color="auto"/>
              <w:left w:val="single" w:sz="4" w:space="0" w:color="auto"/>
              <w:bottom w:val="single" w:sz="4" w:space="0" w:color="auto"/>
              <w:right w:val="single" w:sz="4" w:space="0" w:color="auto"/>
            </w:tcBorders>
          </w:tcPr>
          <w:p w:rsidR="00394F06" w:rsidRPr="007F6DD5" w:rsidRDefault="00394F06" w:rsidP="0037129C">
            <w:pPr>
              <w:rPr>
                <w:rFonts w:cs="Arial"/>
                <w:sz w:val="20"/>
              </w:rPr>
            </w:pPr>
            <w:proofErr w:type="spellStart"/>
            <w:r w:rsidRPr="0002595C">
              <w:rPr>
                <w:rFonts w:cs="Arial"/>
                <w:color w:val="000000"/>
                <w:sz w:val="20"/>
                <w:lang w:val="en-US" w:eastAsia="en-US"/>
              </w:rPr>
              <w:t>Kaum</w:t>
            </w:r>
            <w:r>
              <w:rPr>
                <w:rFonts w:cs="Arial"/>
                <w:color w:val="000000"/>
                <w:sz w:val="20"/>
                <w:lang w:val="en-US" w:eastAsia="en-US"/>
              </w:rPr>
              <w:t>ā</w:t>
            </w:r>
            <w:r w:rsidRPr="0002595C">
              <w:rPr>
                <w:rFonts w:cs="Arial"/>
                <w:color w:val="000000"/>
                <w:sz w:val="20"/>
                <w:lang w:val="en-US" w:eastAsia="en-US"/>
              </w:rPr>
              <w:t>tua</w:t>
            </w:r>
            <w:proofErr w:type="spellEnd"/>
            <w:r w:rsidRPr="0002595C">
              <w:rPr>
                <w:rFonts w:cs="Arial"/>
                <w:color w:val="000000"/>
                <w:sz w:val="20"/>
                <w:lang w:val="en-US" w:eastAsia="en-US"/>
              </w:rPr>
              <w:t xml:space="preserve"> roles - Cultural</w:t>
            </w:r>
          </w:p>
        </w:tc>
        <w:tc>
          <w:tcPr>
            <w:tcW w:w="3020" w:type="pct"/>
            <w:tcBorders>
              <w:top w:val="single" w:sz="4" w:space="0" w:color="auto"/>
              <w:left w:val="single" w:sz="4" w:space="0" w:color="auto"/>
              <w:bottom w:val="single" w:sz="4" w:space="0" w:color="auto"/>
              <w:right w:val="single" w:sz="4" w:space="0" w:color="auto"/>
            </w:tcBorders>
          </w:tcPr>
          <w:p w:rsidR="00394F06" w:rsidRPr="0002595C" w:rsidRDefault="00394F06" w:rsidP="0002595C">
            <w:pPr>
              <w:rPr>
                <w:rFonts w:cs="Arial"/>
                <w:sz w:val="20"/>
                <w:lang w:val="en-US" w:eastAsia="en-US"/>
              </w:rPr>
            </w:pPr>
            <w:r w:rsidRPr="0002595C">
              <w:rPr>
                <w:rFonts w:cs="Arial"/>
                <w:sz w:val="20"/>
                <w:lang w:val="en-US" w:eastAsia="en-US"/>
              </w:rPr>
              <w:t xml:space="preserve">Service to improve cultural safety and quality of care for </w:t>
            </w:r>
            <w:proofErr w:type="spellStart"/>
            <w:r w:rsidRPr="0002595C">
              <w:rPr>
                <w:rFonts w:cs="Arial"/>
                <w:sz w:val="20"/>
                <w:lang w:val="en-US" w:eastAsia="en-US"/>
              </w:rPr>
              <w:t>tāngata</w:t>
            </w:r>
            <w:proofErr w:type="spellEnd"/>
            <w:r w:rsidRPr="0002595C">
              <w:rPr>
                <w:rFonts w:cs="Arial"/>
                <w:sz w:val="20"/>
                <w:lang w:val="en-US" w:eastAsia="en-US"/>
              </w:rPr>
              <w:t xml:space="preserve"> </w:t>
            </w:r>
            <w:proofErr w:type="spellStart"/>
            <w:r w:rsidRPr="0002595C">
              <w:rPr>
                <w:rFonts w:cs="Arial"/>
                <w:sz w:val="20"/>
                <w:lang w:val="en-US" w:eastAsia="en-US"/>
              </w:rPr>
              <w:t>wh</w:t>
            </w:r>
            <w:r>
              <w:rPr>
                <w:rFonts w:cs="Arial"/>
                <w:sz w:val="20"/>
                <w:lang w:val="en-US" w:eastAsia="en-US"/>
              </w:rPr>
              <w:t>a</w:t>
            </w:r>
            <w:r w:rsidRPr="0002595C">
              <w:rPr>
                <w:rFonts w:cs="Arial"/>
                <w:sz w:val="20"/>
                <w:lang w:val="en-US" w:eastAsia="en-US"/>
              </w:rPr>
              <w:t>iora</w:t>
            </w:r>
            <w:proofErr w:type="spellEnd"/>
            <w:r w:rsidRPr="0002595C">
              <w:rPr>
                <w:rFonts w:cs="Arial"/>
                <w:sz w:val="20"/>
                <w:lang w:val="en-US" w:eastAsia="en-US"/>
              </w:rPr>
              <w:t xml:space="preserve"> of mental health and addiction services, and to assist in the development and enhancement of services for Māori. The service is provided by cultural staff.</w:t>
            </w:r>
          </w:p>
        </w:tc>
        <w:tc>
          <w:tcPr>
            <w:tcW w:w="704" w:type="pct"/>
            <w:tcBorders>
              <w:top w:val="single" w:sz="4" w:space="0" w:color="auto"/>
              <w:left w:val="single" w:sz="4" w:space="0" w:color="auto"/>
              <w:bottom w:val="single" w:sz="4" w:space="0" w:color="auto"/>
              <w:right w:val="single" w:sz="4" w:space="0" w:color="auto"/>
            </w:tcBorders>
          </w:tcPr>
          <w:p w:rsidR="00394F06" w:rsidRPr="007F6DD5" w:rsidRDefault="00394F06" w:rsidP="00A168B4">
            <w:pPr>
              <w:spacing w:before="120" w:after="120"/>
              <w:rPr>
                <w:rFonts w:cs="Arial"/>
                <w:sz w:val="20"/>
              </w:rPr>
            </w:pPr>
            <w:r w:rsidRPr="007F6DD5">
              <w:rPr>
                <w:rFonts w:cs="Arial"/>
                <w:sz w:val="20"/>
              </w:rPr>
              <w:t xml:space="preserve">FTE </w:t>
            </w:r>
          </w:p>
        </w:tc>
      </w:tr>
      <w:tr w:rsidR="00394F06" w:rsidRPr="00394F06" w:rsidTr="00AD7D1B">
        <w:trPr>
          <w:cantSplit/>
        </w:trPr>
        <w:tc>
          <w:tcPr>
            <w:tcW w:w="557" w:type="pct"/>
            <w:tcBorders>
              <w:top w:val="single" w:sz="4" w:space="0" w:color="auto"/>
              <w:left w:val="single" w:sz="4" w:space="0" w:color="auto"/>
              <w:bottom w:val="single" w:sz="4" w:space="0" w:color="auto"/>
              <w:right w:val="single" w:sz="4" w:space="0" w:color="auto"/>
            </w:tcBorders>
            <w:shd w:val="clear" w:color="auto" w:fill="auto"/>
          </w:tcPr>
          <w:p w:rsidR="00394F06" w:rsidRPr="00394F06" w:rsidRDefault="00394F06" w:rsidP="00394F06">
            <w:pPr>
              <w:spacing w:before="120" w:after="120"/>
              <w:rPr>
                <w:rFonts w:cs="Arial"/>
                <w:sz w:val="20"/>
              </w:rPr>
            </w:pPr>
            <w:bookmarkStart w:id="58" w:name="_Toc215319179"/>
            <w:r w:rsidRPr="00394F06">
              <w:rPr>
                <w:rFonts w:cs="Arial"/>
                <w:sz w:val="20"/>
              </w:rPr>
              <w:t>MHK61S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94F06" w:rsidRPr="00394F06" w:rsidRDefault="00394F06" w:rsidP="00394F06">
            <w:pPr>
              <w:rPr>
                <w:rFonts w:cs="Arial"/>
                <w:color w:val="000000"/>
                <w:sz w:val="20"/>
                <w:lang w:val="en-US" w:eastAsia="en-US"/>
              </w:rPr>
            </w:pPr>
            <w:proofErr w:type="spellStart"/>
            <w:r w:rsidRPr="00394F06">
              <w:rPr>
                <w:rFonts w:cs="Arial"/>
                <w:color w:val="000000"/>
                <w:sz w:val="20"/>
                <w:lang w:val="en-US" w:eastAsia="en-US"/>
              </w:rPr>
              <w:t>Kaumātua</w:t>
            </w:r>
            <w:proofErr w:type="spellEnd"/>
            <w:r w:rsidRPr="00394F06">
              <w:rPr>
                <w:rFonts w:cs="Arial"/>
                <w:color w:val="000000"/>
                <w:sz w:val="20"/>
                <w:lang w:val="en-US" w:eastAsia="en-US"/>
              </w:rPr>
              <w:t xml:space="preserve"> roles </w:t>
            </w:r>
          </w:p>
        </w:tc>
        <w:tc>
          <w:tcPr>
            <w:tcW w:w="3020" w:type="pct"/>
            <w:tcBorders>
              <w:top w:val="single" w:sz="4" w:space="0" w:color="auto"/>
              <w:left w:val="single" w:sz="4" w:space="0" w:color="auto"/>
              <w:bottom w:val="single" w:sz="4" w:space="0" w:color="auto"/>
              <w:right w:val="single" w:sz="4" w:space="0" w:color="auto"/>
            </w:tcBorders>
            <w:shd w:val="clear" w:color="auto" w:fill="auto"/>
          </w:tcPr>
          <w:p w:rsidR="00394F06" w:rsidRPr="00394F06" w:rsidRDefault="00394F06" w:rsidP="00394F06">
            <w:pPr>
              <w:rPr>
                <w:rFonts w:cs="Arial"/>
                <w:sz w:val="20"/>
                <w:lang w:val="en-US" w:eastAsia="en-US"/>
              </w:rPr>
            </w:pPr>
            <w:r w:rsidRPr="00394F06">
              <w:rPr>
                <w:rFonts w:cs="Arial"/>
                <w:sz w:val="20"/>
                <w:lang w:val="en-US" w:eastAsia="en-US"/>
              </w:rPr>
              <w:t xml:space="preserve">Service to improve cultural safety and quality of care for </w:t>
            </w:r>
            <w:proofErr w:type="spellStart"/>
            <w:r w:rsidRPr="00394F06">
              <w:rPr>
                <w:rFonts w:cs="Arial"/>
                <w:sz w:val="20"/>
                <w:lang w:val="en-US" w:eastAsia="en-US"/>
              </w:rPr>
              <w:t>tāngata</w:t>
            </w:r>
            <w:proofErr w:type="spellEnd"/>
            <w:r w:rsidRPr="00394F06">
              <w:rPr>
                <w:rFonts w:cs="Arial"/>
                <w:sz w:val="20"/>
                <w:lang w:val="en-US" w:eastAsia="en-US"/>
              </w:rPr>
              <w:t xml:space="preserve"> </w:t>
            </w:r>
            <w:proofErr w:type="spellStart"/>
            <w:r w:rsidRPr="00394F06">
              <w:rPr>
                <w:rFonts w:cs="Arial"/>
                <w:sz w:val="20"/>
                <w:lang w:val="en-US" w:eastAsia="en-US"/>
              </w:rPr>
              <w:t>whaiora</w:t>
            </w:r>
            <w:proofErr w:type="spellEnd"/>
            <w:r w:rsidRPr="00394F06">
              <w:rPr>
                <w:rFonts w:cs="Arial"/>
                <w:sz w:val="20"/>
                <w:lang w:val="en-US" w:eastAsia="en-US"/>
              </w:rPr>
              <w:t xml:space="preserve"> of mental health and addiction services, and to assist in the development and enhancement of services for Māori. </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394F06" w:rsidRPr="00394F06" w:rsidRDefault="00394F06" w:rsidP="00394F06">
            <w:pPr>
              <w:spacing w:before="120" w:after="120"/>
              <w:rPr>
                <w:rFonts w:cs="Arial"/>
                <w:sz w:val="20"/>
              </w:rPr>
            </w:pPr>
            <w:r w:rsidRPr="00394F06">
              <w:rPr>
                <w:rFonts w:cs="Arial"/>
                <w:sz w:val="20"/>
              </w:rPr>
              <w:t>Service</w:t>
            </w:r>
          </w:p>
        </w:tc>
      </w:tr>
    </w:tbl>
    <w:p w:rsidR="00394F06" w:rsidRDefault="00394F06" w:rsidP="00B82DE1">
      <w:pPr>
        <w:spacing w:before="120"/>
        <w:rPr>
          <w:rFonts w:cs="Arial"/>
          <w:b/>
          <w:sz w:val="24"/>
          <w:szCs w:val="24"/>
          <w:lang w:val="en-NZ" w:eastAsia="en-US"/>
        </w:rPr>
      </w:pPr>
    </w:p>
    <w:tbl>
      <w:tblPr>
        <w:tblStyle w:val="TableGrid"/>
        <w:tblW w:w="0" w:type="auto"/>
        <w:tblLook w:val="04A0" w:firstRow="1" w:lastRow="0" w:firstColumn="1" w:lastColumn="0" w:noHBand="0" w:noVBand="1"/>
      </w:tblPr>
      <w:tblGrid>
        <w:gridCol w:w="1796"/>
        <w:gridCol w:w="7832"/>
      </w:tblGrid>
      <w:tr w:rsidR="00394F06" w:rsidRPr="006F1E1A" w:rsidTr="00B038FE">
        <w:tc>
          <w:tcPr>
            <w:tcW w:w="1809" w:type="dxa"/>
            <w:shd w:val="clear" w:color="auto" w:fill="D9D9D9" w:themeFill="background1" w:themeFillShade="D9"/>
          </w:tcPr>
          <w:p w:rsidR="00394F06" w:rsidRPr="00EA089E" w:rsidRDefault="00394F06" w:rsidP="00CD125C">
            <w:pPr>
              <w:spacing w:before="120"/>
              <w:rPr>
                <w:rFonts w:cs="Arial"/>
                <w:b/>
                <w:sz w:val="20"/>
              </w:rPr>
            </w:pPr>
            <w:bookmarkStart w:id="59" w:name="_GoBack"/>
            <w:bookmarkEnd w:id="59"/>
            <w:r w:rsidRPr="00EA089E">
              <w:rPr>
                <w:rFonts w:cs="Arial"/>
                <w:b/>
                <w:sz w:val="20"/>
              </w:rPr>
              <w:t>Unit of Measure</w:t>
            </w:r>
          </w:p>
        </w:tc>
        <w:tc>
          <w:tcPr>
            <w:tcW w:w="7938" w:type="dxa"/>
            <w:shd w:val="clear" w:color="auto" w:fill="D9D9D9" w:themeFill="background1" w:themeFillShade="D9"/>
          </w:tcPr>
          <w:p w:rsidR="00394F06" w:rsidRPr="00EA089E" w:rsidRDefault="00394F06" w:rsidP="00CD125C">
            <w:pPr>
              <w:spacing w:before="120"/>
              <w:rPr>
                <w:rFonts w:cs="Arial"/>
                <w:b/>
                <w:sz w:val="20"/>
              </w:rPr>
            </w:pPr>
            <w:r w:rsidRPr="00EA089E">
              <w:rPr>
                <w:rFonts w:cs="Arial"/>
                <w:b/>
                <w:sz w:val="20"/>
              </w:rPr>
              <w:t>Unit of Measure Definition</w:t>
            </w:r>
          </w:p>
        </w:tc>
      </w:tr>
      <w:tr w:rsidR="00394F06" w:rsidRPr="006F1E1A" w:rsidTr="00394F06">
        <w:tc>
          <w:tcPr>
            <w:tcW w:w="1809" w:type="dxa"/>
          </w:tcPr>
          <w:p w:rsidR="00394F06" w:rsidRPr="006F1E1A" w:rsidRDefault="00394F06" w:rsidP="00CD125C">
            <w:pPr>
              <w:spacing w:before="120"/>
              <w:jc w:val="both"/>
              <w:rPr>
                <w:rFonts w:cs="Arial"/>
                <w:sz w:val="20"/>
              </w:rPr>
            </w:pPr>
            <w:r w:rsidRPr="006F1E1A">
              <w:rPr>
                <w:rFonts w:cs="Arial"/>
                <w:sz w:val="20"/>
              </w:rPr>
              <w:t>FTE</w:t>
            </w:r>
          </w:p>
        </w:tc>
        <w:tc>
          <w:tcPr>
            <w:tcW w:w="7938" w:type="dxa"/>
          </w:tcPr>
          <w:p w:rsidR="00394F06" w:rsidRPr="006F1E1A" w:rsidRDefault="00394F06" w:rsidP="00CD125C">
            <w:pPr>
              <w:spacing w:before="120"/>
              <w:jc w:val="both"/>
              <w:rPr>
                <w:rFonts w:cs="Arial"/>
                <w:sz w:val="20"/>
              </w:rPr>
            </w:pPr>
            <w:r w:rsidRPr="006F1E1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394F06" w:rsidRPr="006F1E1A" w:rsidTr="00394F06">
        <w:tc>
          <w:tcPr>
            <w:tcW w:w="1809" w:type="dxa"/>
          </w:tcPr>
          <w:p w:rsidR="00394F06" w:rsidRPr="006F1E1A" w:rsidRDefault="00394F06" w:rsidP="00CD125C">
            <w:pPr>
              <w:spacing w:before="120"/>
              <w:jc w:val="both"/>
              <w:rPr>
                <w:rFonts w:cs="Arial"/>
                <w:sz w:val="20"/>
              </w:rPr>
            </w:pPr>
            <w:r w:rsidRPr="006F1E1A">
              <w:rPr>
                <w:rFonts w:cs="Arial"/>
                <w:sz w:val="20"/>
              </w:rPr>
              <w:t>Service</w:t>
            </w:r>
          </w:p>
        </w:tc>
        <w:tc>
          <w:tcPr>
            <w:tcW w:w="7938" w:type="dxa"/>
          </w:tcPr>
          <w:p w:rsidR="00394F06" w:rsidRPr="006F1E1A" w:rsidRDefault="00394F06" w:rsidP="00CD125C">
            <w:pPr>
              <w:spacing w:before="120"/>
              <w:jc w:val="both"/>
              <w:rPr>
                <w:rFonts w:cs="Arial"/>
                <w:sz w:val="20"/>
              </w:rPr>
            </w:pPr>
            <w:r w:rsidRPr="006F1E1A">
              <w:rPr>
                <w:rFonts w:cs="Arial"/>
                <w:sz w:val="20"/>
              </w:rPr>
              <w:t>Service purchased in a block arrangement uniquely agreed between the parties to the agreement</w:t>
            </w:r>
          </w:p>
        </w:tc>
      </w:tr>
    </w:tbl>
    <w:p w:rsidR="00B82DE1" w:rsidRPr="00B82DE1" w:rsidRDefault="00394F06" w:rsidP="00EA089E">
      <w:pPr>
        <w:spacing w:before="240"/>
        <w:rPr>
          <w:rFonts w:cs="Arial"/>
          <w:b/>
          <w:sz w:val="24"/>
          <w:szCs w:val="24"/>
          <w:lang w:val="en-NZ" w:eastAsia="en-US"/>
        </w:rPr>
      </w:pPr>
      <w:r>
        <w:rPr>
          <w:rFonts w:cs="Arial"/>
          <w:b/>
          <w:sz w:val="24"/>
          <w:szCs w:val="24"/>
          <w:lang w:val="en-NZ" w:eastAsia="en-US"/>
        </w:rPr>
        <w:t>7</w:t>
      </w:r>
      <w:r w:rsidR="00B82DE1" w:rsidRPr="00B82DE1">
        <w:rPr>
          <w:rFonts w:cs="Arial"/>
          <w:b/>
          <w:sz w:val="24"/>
          <w:szCs w:val="24"/>
          <w:lang w:val="en-NZ" w:eastAsia="en-US"/>
        </w:rPr>
        <w:t>.2</w:t>
      </w:r>
      <w:r w:rsidR="00B82DE1" w:rsidRPr="00B82DE1">
        <w:rPr>
          <w:rFonts w:cs="Arial"/>
          <w:b/>
          <w:sz w:val="24"/>
          <w:szCs w:val="24"/>
          <w:lang w:val="en-NZ" w:eastAsia="en-US"/>
        </w:rPr>
        <w:tab/>
        <w:t>Reporting</w:t>
      </w:r>
    </w:p>
    <w:bookmarkEnd w:id="58"/>
    <w:p w:rsidR="00EA089E" w:rsidRPr="00291C5E" w:rsidRDefault="00EA089E" w:rsidP="00EA089E">
      <w:pPr>
        <w:spacing w:before="120"/>
        <w:rPr>
          <w:rFonts w:cs="Arial"/>
          <w:sz w:val="24"/>
          <w:szCs w:val="24"/>
        </w:rPr>
      </w:pPr>
      <w:r w:rsidRPr="00291C5E">
        <w:rPr>
          <w:rFonts w:cs="Arial"/>
          <w:sz w:val="24"/>
          <w:szCs w:val="24"/>
        </w:rPr>
        <w:t>The Provider must comply with the requirements of national data collections: PRIMHD.</w:t>
      </w:r>
    </w:p>
    <w:p w:rsidR="00EA089E" w:rsidRDefault="00EA089E" w:rsidP="00EA089E">
      <w:pPr>
        <w:spacing w:before="120" w:after="120"/>
        <w:rPr>
          <w:rFonts w:cs="Arial"/>
          <w:sz w:val="24"/>
          <w:szCs w:val="24"/>
        </w:rPr>
      </w:pPr>
      <w:r w:rsidRPr="00291C5E">
        <w:rPr>
          <w:rFonts w:cs="Arial"/>
          <w:sz w:val="24"/>
          <w:szCs w:val="24"/>
        </w:rPr>
        <w:lastRenderedPageBreak/>
        <w:t>Additional information to be reported and the frequency of collection are specified by the Funder in the Provider Specific Terms and Conditions as agreed with the Service Provider.</w:t>
      </w:r>
    </w:p>
    <w:p w:rsidR="00EA089E" w:rsidRPr="00291C5E" w:rsidRDefault="00EA089E" w:rsidP="00EA089E">
      <w:pPr>
        <w:spacing w:before="120"/>
        <w:rPr>
          <w:rFonts w:cs="Arial"/>
          <w:sz w:val="24"/>
          <w:szCs w:val="24"/>
        </w:rPr>
      </w:pPr>
      <w:r w:rsidRPr="00291C5E">
        <w:rPr>
          <w:rFonts w:cs="Arial"/>
          <w:sz w:val="24"/>
          <w:szCs w:val="24"/>
        </w:rPr>
        <w:t>The information required by the Funder will be sent to:</w:t>
      </w:r>
    </w:p>
    <w:p w:rsidR="00EA089E" w:rsidRPr="00291C5E" w:rsidRDefault="00EA089E" w:rsidP="00EA089E">
      <w:pPr>
        <w:spacing w:before="120"/>
        <w:ind w:left="720"/>
        <w:rPr>
          <w:sz w:val="24"/>
        </w:rPr>
      </w:pPr>
      <w:r w:rsidRPr="00291C5E">
        <w:rPr>
          <w:sz w:val="24"/>
        </w:rPr>
        <w:t>Performance Reporting</w:t>
      </w:r>
    </w:p>
    <w:p w:rsidR="00EA089E" w:rsidRPr="00291C5E" w:rsidRDefault="00EA089E" w:rsidP="00EA089E">
      <w:pPr>
        <w:spacing w:before="120"/>
        <w:ind w:left="720"/>
        <w:rPr>
          <w:sz w:val="24"/>
        </w:rPr>
      </w:pPr>
      <w:r w:rsidRPr="00291C5E">
        <w:rPr>
          <w:sz w:val="24"/>
        </w:rPr>
        <w:t>Sector Operations</w:t>
      </w:r>
    </w:p>
    <w:p w:rsidR="00EA089E" w:rsidRPr="00291C5E" w:rsidRDefault="00EA089E" w:rsidP="00EA089E">
      <w:pPr>
        <w:spacing w:before="120"/>
        <w:ind w:left="720"/>
        <w:rPr>
          <w:sz w:val="24"/>
        </w:rPr>
      </w:pPr>
      <w:r w:rsidRPr="00291C5E">
        <w:rPr>
          <w:sz w:val="24"/>
        </w:rPr>
        <w:t>Ministry of Health</w:t>
      </w:r>
    </w:p>
    <w:p w:rsidR="00EA089E" w:rsidRPr="00291C5E" w:rsidRDefault="00EA089E" w:rsidP="00EA089E">
      <w:pPr>
        <w:spacing w:before="120"/>
        <w:ind w:left="720"/>
        <w:rPr>
          <w:sz w:val="24"/>
        </w:rPr>
      </w:pPr>
      <w:r w:rsidRPr="00291C5E">
        <w:rPr>
          <w:sz w:val="24"/>
        </w:rPr>
        <w:t>Private Bag 1942</w:t>
      </w:r>
    </w:p>
    <w:p w:rsidR="00EA089E" w:rsidRPr="00291C5E" w:rsidRDefault="00EA089E" w:rsidP="00EA089E">
      <w:pPr>
        <w:spacing w:before="120"/>
        <w:ind w:left="720"/>
        <w:rPr>
          <w:sz w:val="24"/>
        </w:rPr>
      </w:pPr>
      <w:r w:rsidRPr="00291C5E">
        <w:rPr>
          <w:sz w:val="24"/>
        </w:rPr>
        <w:t>Dunedin 9054</w:t>
      </w:r>
    </w:p>
    <w:p w:rsidR="00EA089E" w:rsidRPr="00291C5E" w:rsidRDefault="00EA089E" w:rsidP="00EA089E">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EA089E" w:rsidRPr="00555323" w:rsidRDefault="00EA089E" w:rsidP="00EA089E">
      <w:pPr>
        <w:spacing w:before="120" w:after="120"/>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004764" w:rsidRPr="000A43C6" w:rsidRDefault="00004764" w:rsidP="00394F06">
      <w:pPr>
        <w:spacing w:before="120"/>
        <w:rPr>
          <w:sz w:val="24"/>
          <w:szCs w:val="24"/>
        </w:rPr>
      </w:pPr>
    </w:p>
    <w:sectPr w:rsidR="00004764" w:rsidRPr="000A43C6" w:rsidSect="00C83715">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B1" w:rsidRDefault="009C60B1">
      <w:r>
        <w:separator/>
      </w:r>
    </w:p>
  </w:endnote>
  <w:endnote w:type="continuationSeparator" w:id="0">
    <w:p w:rsidR="009C60B1" w:rsidRDefault="009C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09" w:rsidRDefault="008E3309"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309" w:rsidRDefault="008E3309"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09" w:rsidRDefault="008E3309"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7F9">
      <w:rPr>
        <w:rStyle w:val="PageNumber"/>
        <w:noProof/>
      </w:rPr>
      <w:t>5</w:t>
    </w:r>
    <w:r>
      <w:rPr>
        <w:rStyle w:val="PageNumber"/>
      </w:rPr>
      <w:fldChar w:fldCharType="end"/>
    </w:r>
  </w:p>
  <w:p w:rsidR="008E3309" w:rsidRPr="00AD699B" w:rsidRDefault="00011213" w:rsidP="000A43C6">
    <w:pPr>
      <w:pStyle w:val="Footer"/>
      <w:pBdr>
        <w:top w:val="single" w:sz="4" w:space="1" w:color="auto"/>
      </w:pBdr>
      <w:tabs>
        <w:tab w:val="center" w:pos="4536"/>
      </w:tabs>
      <w:ind w:right="360"/>
      <w:jc w:val="left"/>
      <w:rPr>
        <w:rFonts w:ascii="Arial" w:hAnsi="Arial" w:cs="Arial"/>
        <w:sz w:val="20"/>
      </w:rPr>
    </w:pPr>
    <w:r>
      <w:rPr>
        <w:rFonts w:ascii="Arial" w:hAnsi="Arial" w:cs="Arial"/>
        <w:sz w:val="20"/>
      </w:rPr>
      <w:t>Kaupapa Māori Mental Health Services</w:t>
    </w:r>
    <w:r w:rsidRPr="00AD699B">
      <w:rPr>
        <w:rFonts w:ascii="Arial" w:hAnsi="Arial" w:cs="Arial"/>
        <w:sz w:val="20"/>
      </w:rPr>
      <w:t xml:space="preserve"> </w:t>
    </w:r>
    <w:r>
      <w:rPr>
        <w:rFonts w:ascii="Arial" w:hAnsi="Arial" w:cs="Arial"/>
        <w:sz w:val="20"/>
      </w:rPr>
      <w:t xml:space="preserve">- </w:t>
    </w:r>
    <w:proofErr w:type="spellStart"/>
    <w:r w:rsidR="008E3309" w:rsidRPr="00AD699B">
      <w:rPr>
        <w:rFonts w:ascii="Arial" w:hAnsi="Arial" w:cs="Arial"/>
        <w:sz w:val="20"/>
      </w:rPr>
      <w:t>Kaum</w:t>
    </w:r>
    <w:r w:rsidR="00364279" w:rsidRPr="00AD699B">
      <w:rPr>
        <w:rFonts w:ascii="Arial" w:hAnsi="Arial" w:cs="Arial"/>
        <w:sz w:val="20"/>
      </w:rPr>
      <w:t>ā</w:t>
    </w:r>
    <w:r w:rsidR="008E3309" w:rsidRPr="00AD699B">
      <w:rPr>
        <w:rFonts w:ascii="Arial" w:hAnsi="Arial" w:cs="Arial"/>
        <w:sz w:val="20"/>
      </w:rPr>
      <w:t>tua</w:t>
    </w:r>
    <w:proofErr w:type="spellEnd"/>
    <w:r w:rsidR="008E3309" w:rsidRPr="00AD699B">
      <w:rPr>
        <w:rFonts w:ascii="Arial" w:hAnsi="Arial" w:cs="Arial"/>
        <w:sz w:val="20"/>
      </w:rPr>
      <w:t xml:space="preserve"> Roles Service Specification </w:t>
    </w:r>
    <w:r>
      <w:rPr>
        <w:rFonts w:ascii="Arial" w:hAnsi="Arial" w:cs="Arial"/>
        <w:sz w:val="20"/>
      </w:rPr>
      <w:t xml:space="preserve">Mental Health and Addiction Services </w:t>
    </w:r>
    <w:r w:rsidR="008E3309" w:rsidRPr="00AD699B">
      <w:rPr>
        <w:rFonts w:ascii="Arial" w:hAnsi="Arial" w:cs="Arial"/>
        <w:sz w:val="20"/>
      </w:rPr>
      <w:t xml:space="preserve">Tier Three </w:t>
    </w:r>
    <w:r>
      <w:rPr>
        <w:rFonts w:ascii="Arial" w:hAnsi="Arial" w:cs="Arial"/>
        <w:sz w:val="20"/>
      </w:rPr>
      <w:t>service s</w:t>
    </w:r>
    <w:r w:rsidRPr="00D62EDC">
      <w:rPr>
        <w:rFonts w:ascii="Arial" w:hAnsi="Arial" w:cs="Arial"/>
        <w:sz w:val="20"/>
      </w:rPr>
      <w:t>pecification</w:t>
    </w:r>
    <w:r>
      <w:rPr>
        <w:rFonts w:ascii="Arial" w:hAnsi="Arial" w:cs="Arial"/>
        <w:sz w:val="20"/>
      </w:rPr>
      <w:t xml:space="preserve"> </w:t>
    </w:r>
    <w:r w:rsidR="00EA089E">
      <w:rPr>
        <w:rFonts w:ascii="Arial" w:hAnsi="Arial" w:cs="Arial"/>
        <w:sz w:val="20"/>
      </w:rPr>
      <w:t>April 2017</w:t>
    </w:r>
  </w:p>
  <w:p w:rsidR="008E3309" w:rsidRPr="00AD699B" w:rsidRDefault="008E3309" w:rsidP="00027868">
    <w:pPr>
      <w:pStyle w:val="Footer"/>
      <w:tabs>
        <w:tab w:val="center" w:pos="4536"/>
      </w:tabs>
      <w:jc w:val="left"/>
      <w:rPr>
        <w:rStyle w:val="PageNumber"/>
        <w:rFonts w:ascii="Arial" w:hAnsi="Arial" w:cs="Arial"/>
        <w:sz w:val="20"/>
      </w:rPr>
    </w:pPr>
    <w:r w:rsidRPr="00AD699B">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B1" w:rsidRDefault="009C60B1">
      <w:r>
        <w:separator/>
      </w:r>
    </w:p>
  </w:footnote>
  <w:footnote w:type="continuationSeparator" w:id="0">
    <w:p w:rsidR="009C60B1" w:rsidRDefault="009C60B1">
      <w:r>
        <w:continuationSeparator/>
      </w:r>
    </w:p>
  </w:footnote>
  <w:footnote w:id="1">
    <w:p w:rsidR="00EA089E" w:rsidRPr="006F249C" w:rsidRDefault="00EA089E" w:rsidP="00EA089E">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87"/>
    <w:multiLevelType w:val="hybridMultilevel"/>
    <w:tmpl w:val="B904436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613186"/>
    <w:multiLevelType w:val="hybridMultilevel"/>
    <w:tmpl w:val="07E4F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C06BA7"/>
    <w:multiLevelType w:val="hybridMultilevel"/>
    <w:tmpl w:val="6C8A4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1D0399"/>
    <w:multiLevelType w:val="hybridMultilevel"/>
    <w:tmpl w:val="87AC458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463ABE"/>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1">
    <w:nsid w:val="2CC41398"/>
    <w:multiLevelType w:val="hybridMultilevel"/>
    <w:tmpl w:val="C8C6E578"/>
    <w:lvl w:ilvl="0" w:tplc="08090001">
      <w:start w:val="1"/>
      <w:numFmt w:val="bullet"/>
      <w:lvlText w:val=""/>
      <w:lvlJc w:val="left"/>
      <w:pPr>
        <w:tabs>
          <w:tab w:val="num" w:pos="722"/>
        </w:tabs>
        <w:ind w:left="722" w:hanging="360"/>
      </w:pPr>
      <w:rPr>
        <w:rFonts w:ascii="Symbol" w:hAnsi="Symbol" w:hint="default"/>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2">
    <w:nsid w:val="378477AE"/>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13">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9730728"/>
    <w:multiLevelType w:val="hybridMultilevel"/>
    <w:tmpl w:val="804E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537AC2"/>
    <w:multiLevelType w:val="hybridMultilevel"/>
    <w:tmpl w:val="8DA46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6D412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3">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A45640"/>
    <w:multiLevelType w:val="hybridMultilevel"/>
    <w:tmpl w:val="40C2A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6"/>
  </w:num>
  <w:num w:numId="6">
    <w:abstractNumId w:val="25"/>
  </w:num>
  <w:num w:numId="7">
    <w:abstractNumId w:val="9"/>
  </w:num>
  <w:num w:numId="8">
    <w:abstractNumId w:val="23"/>
  </w:num>
  <w:num w:numId="9">
    <w:abstractNumId w:val="7"/>
  </w:num>
  <w:num w:numId="10">
    <w:abstractNumId w:val="26"/>
  </w:num>
  <w:num w:numId="11">
    <w:abstractNumId w:val="2"/>
  </w:num>
  <w:num w:numId="12">
    <w:abstractNumId w:val="5"/>
  </w:num>
  <w:num w:numId="13">
    <w:abstractNumId w:val="6"/>
  </w:num>
  <w:num w:numId="14">
    <w:abstractNumId w:val="20"/>
  </w:num>
  <w:num w:numId="15">
    <w:abstractNumId w:val="14"/>
  </w:num>
  <w:num w:numId="16">
    <w:abstractNumId w:val="21"/>
  </w:num>
  <w:num w:numId="17">
    <w:abstractNumId w:val="17"/>
  </w:num>
  <w:num w:numId="18">
    <w:abstractNumId w:val="24"/>
  </w:num>
  <w:num w:numId="19">
    <w:abstractNumId w:val="10"/>
  </w:num>
  <w:num w:numId="20">
    <w:abstractNumId w:val="12"/>
  </w:num>
  <w:num w:numId="21">
    <w:abstractNumId w:val="22"/>
  </w:num>
  <w:num w:numId="22">
    <w:abstractNumId w:val="28"/>
  </w:num>
  <w:num w:numId="23">
    <w:abstractNumId w:val="11"/>
  </w:num>
  <w:num w:numId="24">
    <w:abstractNumId w:val="27"/>
  </w:num>
  <w:num w:numId="25">
    <w:abstractNumId w:val="4"/>
  </w:num>
  <w:num w:numId="26">
    <w:abstractNumId w:val="18"/>
  </w:num>
  <w:num w:numId="27">
    <w:abstractNumId w:val="8"/>
  </w:num>
  <w:num w:numId="28">
    <w:abstractNumId w:val="0"/>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4764"/>
    <w:rsid w:val="00011213"/>
    <w:rsid w:val="0002595C"/>
    <w:rsid w:val="00027868"/>
    <w:rsid w:val="000573CB"/>
    <w:rsid w:val="00074B30"/>
    <w:rsid w:val="00077B42"/>
    <w:rsid w:val="00081E79"/>
    <w:rsid w:val="00094A70"/>
    <w:rsid w:val="000A43C6"/>
    <w:rsid w:val="000E7172"/>
    <w:rsid w:val="000F4291"/>
    <w:rsid w:val="001627D3"/>
    <w:rsid w:val="002214C9"/>
    <w:rsid w:val="00241759"/>
    <w:rsid w:val="00255C8C"/>
    <w:rsid w:val="002635ED"/>
    <w:rsid w:val="002A1E63"/>
    <w:rsid w:val="002A3021"/>
    <w:rsid w:val="002B7AB8"/>
    <w:rsid w:val="002C45E9"/>
    <w:rsid w:val="002F0C78"/>
    <w:rsid w:val="003051E7"/>
    <w:rsid w:val="00364279"/>
    <w:rsid w:val="00364F07"/>
    <w:rsid w:val="003674F5"/>
    <w:rsid w:val="0037129C"/>
    <w:rsid w:val="00394F06"/>
    <w:rsid w:val="003D2902"/>
    <w:rsid w:val="0047342D"/>
    <w:rsid w:val="004852B1"/>
    <w:rsid w:val="004D6773"/>
    <w:rsid w:val="004E03D4"/>
    <w:rsid w:val="004E1546"/>
    <w:rsid w:val="004F7AD2"/>
    <w:rsid w:val="00532027"/>
    <w:rsid w:val="00565BFC"/>
    <w:rsid w:val="00571FE6"/>
    <w:rsid w:val="005940CA"/>
    <w:rsid w:val="00630FD5"/>
    <w:rsid w:val="006D14EF"/>
    <w:rsid w:val="00706D77"/>
    <w:rsid w:val="00716AB2"/>
    <w:rsid w:val="007801E0"/>
    <w:rsid w:val="007B095F"/>
    <w:rsid w:val="007F6DD5"/>
    <w:rsid w:val="00812339"/>
    <w:rsid w:val="00827C42"/>
    <w:rsid w:val="008317F9"/>
    <w:rsid w:val="008771E7"/>
    <w:rsid w:val="008E3309"/>
    <w:rsid w:val="008E7BD9"/>
    <w:rsid w:val="00916395"/>
    <w:rsid w:val="009530F1"/>
    <w:rsid w:val="00961528"/>
    <w:rsid w:val="009C60B1"/>
    <w:rsid w:val="00A11A81"/>
    <w:rsid w:val="00A168B4"/>
    <w:rsid w:val="00A31F9C"/>
    <w:rsid w:val="00A513BE"/>
    <w:rsid w:val="00AA0B0D"/>
    <w:rsid w:val="00AC48C8"/>
    <w:rsid w:val="00AD699B"/>
    <w:rsid w:val="00AD7D1B"/>
    <w:rsid w:val="00B038FE"/>
    <w:rsid w:val="00B06719"/>
    <w:rsid w:val="00B139A5"/>
    <w:rsid w:val="00B20F09"/>
    <w:rsid w:val="00B4361E"/>
    <w:rsid w:val="00B47B6E"/>
    <w:rsid w:val="00B50842"/>
    <w:rsid w:val="00B52E67"/>
    <w:rsid w:val="00B762EA"/>
    <w:rsid w:val="00B82AD3"/>
    <w:rsid w:val="00B82DE1"/>
    <w:rsid w:val="00BA4D21"/>
    <w:rsid w:val="00BC179C"/>
    <w:rsid w:val="00BD3BDE"/>
    <w:rsid w:val="00BF25A0"/>
    <w:rsid w:val="00C169BF"/>
    <w:rsid w:val="00C31F69"/>
    <w:rsid w:val="00C55F00"/>
    <w:rsid w:val="00C83715"/>
    <w:rsid w:val="00D01BA1"/>
    <w:rsid w:val="00D20554"/>
    <w:rsid w:val="00D2418D"/>
    <w:rsid w:val="00D252BC"/>
    <w:rsid w:val="00D525D0"/>
    <w:rsid w:val="00D62D40"/>
    <w:rsid w:val="00D719C6"/>
    <w:rsid w:val="00D93BD4"/>
    <w:rsid w:val="00DF0E8A"/>
    <w:rsid w:val="00E33734"/>
    <w:rsid w:val="00E64293"/>
    <w:rsid w:val="00E728B0"/>
    <w:rsid w:val="00E746FE"/>
    <w:rsid w:val="00E80FE6"/>
    <w:rsid w:val="00E83DEE"/>
    <w:rsid w:val="00EA089E"/>
    <w:rsid w:val="00EB1705"/>
    <w:rsid w:val="00ED602E"/>
    <w:rsid w:val="00F0210F"/>
    <w:rsid w:val="00F246C7"/>
    <w:rsid w:val="00F276A8"/>
    <w:rsid w:val="00F62149"/>
    <w:rsid w:val="00F91221"/>
    <w:rsid w:val="00FA79EE"/>
    <w:rsid w:val="00FD3F04"/>
    <w:rsid w:val="00FF25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1380AF-E97C-4906-8295-9D65E8F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alloonText">
    <w:name w:val="Balloon Text"/>
    <w:basedOn w:val="Normal"/>
    <w:semiHidden/>
    <w:rsid w:val="00A31F9C"/>
    <w:rPr>
      <w:rFonts w:ascii="Tahoma" w:hAnsi="Tahoma" w:cs="Tahoma"/>
      <w:sz w:val="16"/>
      <w:szCs w:val="16"/>
    </w:rPr>
  </w:style>
  <w:style w:type="character" w:styleId="Hyperlink">
    <w:name w:val="Hyperlink"/>
    <w:basedOn w:val="DefaultParagraphFont"/>
    <w:rsid w:val="002214C9"/>
    <w:rPr>
      <w:color w:val="0000FF"/>
      <w:u w:val="single"/>
    </w:rPr>
  </w:style>
  <w:style w:type="paragraph" w:styleId="ListParagraph">
    <w:name w:val="List Paragraph"/>
    <w:basedOn w:val="Normal"/>
    <w:uiPriority w:val="34"/>
    <w:qFormat/>
    <w:rsid w:val="00FA79EE"/>
    <w:pPr>
      <w:ind w:left="720"/>
      <w:contextualSpacing/>
    </w:pPr>
  </w:style>
  <w:style w:type="paragraph" w:customStyle="1" w:styleId="Char1CharChar0">
    <w:name w:val="Char1 Char Char"/>
    <w:basedOn w:val="Normal"/>
    <w:rsid w:val="0037129C"/>
    <w:pPr>
      <w:spacing w:after="160" w:line="240" w:lineRule="exact"/>
    </w:pPr>
    <w:rPr>
      <w:sz w:val="20"/>
      <w:lang w:val="en-US" w:eastAsia="en-US"/>
    </w:rPr>
  </w:style>
  <w:style w:type="paragraph" w:styleId="FootnoteText">
    <w:name w:val="footnote text"/>
    <w:basedOn w:val="Normal"/>
    <w:link w:val="FootnoteTextChar"/>
    <w:uiPriority w:val="99"/>
    <w:semiHidden/>
    <w:unhideWhenUsed/>
    <w:rsid w:val="00394F06"/>
    <w:rPr>
      <w:sz w:val="20"/>
    </w:rPr>
  </w:style>
  <w:style w:type="character" w:customStyle="1" w:styleId="FootnoteTextChar">
    <w:name w:val="Footnote Text Char"/>
    <w:basedOn w:val="DefaultParagraphFont"/>
    <w:link w:val="FootnoteText"/>
    <w:uiPriority w:val="99"/>
    <w:semiHidden/>
    <w:rsid w:val="00394F06"/>
    <w:rPr>
      <w:rFonts w:ascii="Arial" w:hAnsi="Arial"/>
      <w:lang w:val="en-GB" w:eastAsia="en-GB"/>
    </w:rPr>
  </w:style>
  <w:style w:type="character" w:styleId="FootnoteReference">
    <w:name w:val="footnote reference"/>
    <w:basedOn w:val="DefaultParagraphFont"/>
    <w:uiPriority w:val="99"/>
    <w:unhideWhenUsed/>
    <w:rsid w:val="00394F06"/>
    <w:rPr>
      <w:vertAlign w:val="superscript"/>
    </w:rPr>
  </w:style>
  <w:style w:type="paragraph" w:styleId="Revision">
    <w:name w:val="Revision"/>
    <w:hidden/>
    <w:uiPriority w:val="99"/>
    <w:semiHidden/>
    <w:rsid w:val="00EA089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3081">
      <w:bodyDiv w:val="1"/>
      <w:marLeft w:val="0"/>
      <w:marRight w:val="0"/>
      <w:marTop w:val="0"/>
      <w:marBottom w:val="0"/>
      <w:divBdr>
        <w:top w:val="none" w:sz="0" w:space="0" w:color="auto"/>
        <w:left w:val="none" w:sz="0" w:space="0" w:color="auto"/>
        <w:bottom w:val="none" w:sz="0" w:space="0" w:color="auto"/>
        <w:right w:val="none" w:sz="0" w:space="0" w:color="auto"/>
      </w:divBdr>
    </w:div>
    <w:div w:id="303044013">
      <w:bodyDiv w:val="1"/>
      <w:marLeft w:val="0"/>
      <w:marRight w:val="0"/>
      <w:marTop w:val="0"/>
      <w:marBottom w:val="0"/>
      <w:divBdr>
        <w:top w:val="none" w:sz="0" w:space="0" w:color="auto"/>
        <w:left w:val="none" w:sz="0" w:space="0" w:color="auto"/>
        <w:bottom w:val="none" w:sz="0" w:space="0" w:color="auto"/>
        <w:right w:val="none" w:sz="0" w:space="0" w:color="auto"/>
      </w:divBdr>
    </w:div>
    <w:div w:id="735518458">
      <w:bodyDiv w:val="1"/>
      <w:marLeft w:val="0"/>
      <w:marRight w:val="0"/>
      <w:marTop w:val="0"/>
      <w:marBottom w:val="0"/>
      <w:divBdr>
        <w:top w:val="none" w:sz="0" w:space="0" w:color="auto"/>
        <w:left w:val="none" w:sz="0" w:space="0" w:color="auto"/>
        <w:bottom w:val="none" w:sz="0" w:space="0" w:color="auto"/>
        <w:right w:val="none" w:sz="0" w:space="0" w:color="auto"/>
      </w:divBdr>
    </w:div>
    <w:div w:id="867335535">
      <w:bodyDiv w:val="1"/>
      <w:marLeft w:val="0"/>
      <w:marRight w:val="0"/>
      <w:marTop w:val="0"/>
      <w:marBottom w:val="0"/>
      <w:divBdr>
        <w:top w:val="none" w:sz="0" w:space="0" w:color="auto"/>
        <w:left w:val="none" w:sz="0" w:space="0" w:color="auto"/>
        <w:bottom w:val="none" w:sz="0" w:space="0" w:color="auto"/>
        <w:right w:val="none" w:sz="0" w:space="0" w:color="auto"/>
      </w:divBdr>
    </w:div>
    <w:div w:id="21311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EC93-D97A-4B52-8B09-CA5B8393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954B5693</Template>
  <TotalTime>4</TotalTime>
  <Pages>1</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8825</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2017-04-12T04:32:00Z</dcterms:created>
  <dcterms:modified xsi:type="dcterms:W3CDTF">2017-05-01T23:14:00Z</dcterms:modified>
</cp:coreProperties>
</file>