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7" w:type="dxa"/>
        <w:tblLook w:val="0000" w:firstRow="0" w:lastRow="0" w:firstColumn="0" w:lastColumn="0" w:noHBand="0" w:noVBand="0"/>
      </w:tblPr>
      <w:tblGrid>
        <w:gridCol w:w="4428"/>
        <w:gridCol w:w="1893"/>
        <w:gridCol w:w="3306"/>
      </w:tblGrid>
      <w:tr w:rsidR="00027868" w:rsidRPr="00346E0F">
        <w:trPr>
          <w:cantSplit/>
        </w:trPr>
        <w:tc>
          <w:tcPr>
            <w:tcW w:w="4428" w:type="dxa"/>
            <w:vAlign w:val="center"/>
          </w:tcPr>
          <w:p w:rsidR="00027868" w:rsidRPr="00AC0999" w:rsidRDefault="00A9457D" w:rsidP="00027868">
            <w:pPr>
              <w:rPr>
                <w:rFonts w:cs="Arial"/>
                <w:bCs/>
                <w:sz w:val="34"/>
                <w:szCs w:val="34"/>
                <w:lang w:val="en-NZ"/>
              </w:rPr>
            </w:pPr>
            <w:bookmarkStart w:id="0" w:name="_GoBack"/>
            <w:bookmarkEnd w:id="0"/>
            <w:r>
              <w:rPr>
                <w:rFonts w:cs="Arial"/>
                <w:noProof/>
                <w:sz w:val="23"/>
                <w:szCs w:val="23"/>
                <w:lang w:val="en-NZ" w:eastAsia="en-NZ"/>
              </w:rPr>
              <w:drawing>
                <wp:inline distT="0" distB="0" distL="0" distR="0" wp14:anchorId="6F672417" wp14:editId="62E07193">
                  <wp:extent cx="204787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9" w:type="dxa"/>
            <w:gridSpan w:val="2"/>
            <w:vAlign w:val="center"/>
          </w:tcPr>
          <w:p w:rsidR="00027868" w:rsidRPr="00937711" w:rsidRDefault="00C704FB" w:rsidP="00C704FB">
            <w:pPr>
              <w:jc w:val="right"/>
              <w:rPr>
                <w:rFonts w:cs="Arial"/>
                <w:bCs/>
                <w:sz w:val="36"/>
                <w:szCs w:val="36"/>
                <w:lang w:val="en-NZ"/>
              </w:rPr>
            </w:pPr>
            <w:r w:rsidRPr="00937711">
              <w:rPr>
                <w:rFonts w:cs="Arial"/>
                <w:b/>
                <w:sz w:val="36"/>
                <w:szCs w:val="36"/>
                <w:lang w:val="en-NZ"/>
              </w:rPr>
              <w:t>All District Health Boards</w:t>
            </w:r>
          </w:p>
        </w:tc>
      </w:tr>
      <w:tr w:rsidR="00027868" w:rsidRPr="00AC0999" w:rsidTr="00937711">
        <w:trPr>
          <w:trHeight w:val="2937"/>
        </w:trPr>
        <w:tc>
          <w:tcPr>
            <w:tcW w:w="9627" w:type="dxa"/>
            <w:gridSpan w:val="3"/>
          </w:tcPr>
          <w:p w:rsidR="007302FC" w:rsidRPr="00AC0999" w:rsidRDefault="00445FB5" w:rsidP="00937711">
            <w:pPr>
              <w:spacing w:before="1080" w:after="120"/>
              <w:jc w:val="center"/>
              <w:rPr>
                <w:rFonts w:cs="Arial"/>
                <w:b/>
                <w:bCs/>
                <w:sz w:val="36"/>
                <w:szCs w:val="36"/>
                <w:lang w:val="en-NZ"/>
              </w:rPr>
            </w:pPr>
            <w:bookmarkStart w:id="1" w:name="_Toc206389497"/>
            <w:bookmarkStart w:id="2" w:name="_Toc206401873"/>
            <w:bookmarkStart w:id="3" w:name="_Toc206403842"/>
            <w:bookmarkStart w:id="4" w:name="_Toc206404570"/>
            <w:bookmarkStart w:id="5" w:name="_Toc206405300"/>
            <w:bookmarkStart w:id="6" w:name="_Toc206405336"/>
            <w:bookmarkStart w:id="7" w:name="_Toc206406063"/>
            <w:bookmarkStart w:id="8" w:name="_Toc206406491"/>
            <w:bookmarkStart w:id="9" w:name="_Toc215319102"/>
            <w:r w:rsidRPr="00AC0999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FORENSIC MENTAL HEALTH </w:t>
            </w:r>
            <w:r w:rsidR="007302FC" w:rsidRPr="00AC0999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SERVICES – </w:t>
            </w:r>
          </w:p>
          <w:p w:rsidR="000C352C" w:rsidRPr="00AC0999" w:rsidRDefault="000C352C" w:rsidP="00027868">
            <w:pPr>
              <w:spacing w:before="120" w:after="120"/>
              <w:jc w:val="center"/>
              <w:rPr>
                <w:rFonts w:cs="Arial"/>
                <w:b/>
                <w:bCs/>
                <w:sz w:val="36"/>
                <w:szCs w:val="36"/>
                <w:lang w:val="en-NZ"/>
              </w:rPr>
            </w:pPr>
            <w:r w:rsidRPr="00AC0999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PRISON </w:t>
            </w:r>
            <w:r w:rsidR="00850E7D" w:rsidRPr="00AC0999">
              <w:rPr>
                <w:rFonts w:cs="Arial"/>
                <w:b/>
                <w:bCs/>
                <w:sz w:val="36"/>
                <w:szCs w:val="36"/>
                <w:lang w:val="en-NZ"/>
              </w:rPr>
              <w:t>SERVICE</w:t>
            </w:r>
          </w:p>
          <w:p w:rsidR="00445FB5" w:rsidRPr="00AC0999" w:rsidRDefault="00445FB5" w:rsidP="00027868">
            <w:pPr>
              <w:spacing w:before="120" w:after="120"/>
              <w:jc w:val="center"/>
              <w:rPr>
                <w:rFonts w:cs="Arial"/>
                <w:b/>
                <w:bCs/>
                <w:sz w:val="36"/>
                <w:szCs w:val="36"/>
                <w:lang w:val="en-NZ"/>
              </w:rPr>
            </w:pPr>
            <w:r w:rsidRPr="00AC0999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MENTAL HEALTH </w:t>
            </w:r>
            <w:smartTag w:uri="urn:schemas-microsoft-com:office:smarttags" w:element="stockticker">
              <w:r w:rsidRPr="00AC0999">
                <w:rPr>
                  <w:rFonts w:cs="Arial"/>
                  <w:b/>
                  <w:bCs/>
                  <w:sz w:val="36"/>
                  <w:szCs w:val="36"/>
                  <w:lang w:val="en-NZ"/>
                </w:rPr>
                <w:t>AND</w:t>
              </w:r>
            </w:smartTag>
            <w:r w:rsidRPr="00AC0999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 ADDICTION</w:t>
            </w:r>
          </w:p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p w:rsidR="00027868" w:rsidRPr="00AC0999" w:rsidRDefault="00027868" w:rsidP="00027868">
            <w:pPr>
              <w:spacing w:after="120"/>
              <w:jc w:val="center"/>
              <w:rPr>
                <w:rFonts w:cs="Arial"/>
                <w:b/>
                <w:sz w:val="36"/>
                <w:szCs w:val="36"/>
              </w:rPr>
            </w:pPr>
            <w:smartTag w:uri="urn:schemas-microsoft-com:office:smarttags" w:element="stockticker">
              <w:r w:rsidRPr="00AC0999">
                <w:rPr>
                  <w:rFonts w:cs="Arial"/>
                  <w:b/>
                  <w:sz w:val="36"/>
                  <w:szCs w:val="36"/>
                </w:rPr>
                <w:t>TIER</w:t>
              </w:r>
            </w:smartTag>
            <w:r w:rsidRPr="00AC0999">
              <w:rPr>
                <w:rFonts w:cs="Arial"/>
                <w:b/>
                <w:sz w:val="36"/>
                <w:szCs w:val="36"/>
              </w:rPr>
              <w:t xml:space="preserve"> </w:t>
            </w:r>
            <w:r w:rsidR="000C352C" w:rsidRPr="00AC0999">
              <w:rPr>
                <w:rFonts w:cs="Arial"/>
                <w:b/>
                <w:sz w:val="36"/>
                <w:szCs w:val="36"/>
              </w:rPr>
              <w:t>THREE</w:t>
            </w:r>
          </w:p>
          <w:p w:rsidR="00027868" w:rsidRPr="00AC0999" w:rsidRDefault="00027868" w:rsidP="00937711">
            <w:pPr>
              <w:spacing w:before="120"/>
              <w:jc w:val="center"/>
              <w:rPr>
                <w:rFonts w:cs="Arial"/>
                <w:b/>
                <w:sz w:val="36"/>
                <w:szCs w:val="36"/>
              </w:rPr>
            </w:pPr>
            <w:bookmarkStart w:id="10" w:name="_Toc206406492"/>
            <w:bookmarkStart w:id="11" w:name="_Toc215319103"/>
            <w:r w:rsidRPr="00AC0999">
              <w:rPr>
                <w:rFonts w:cs="Arial"/>
                <w:b/>
                <w:sz w:val="36"/>
                <w:szCs w:val="36"/>
              </w:rPr>
              <w:t>SERVICE SPECIFICATION</w:t>
            </w:r>
            <w:bookmarkEnd w:id="10"/>
            <w:bookmarkEnd w:id="11"/>
          </w:p>
          <w:p w:rsidR="008E0703" w:rsidRPr="00AC0999" w:rsidRDefault="008E0703" w:rsidP="00027868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A26BFC" w:rsidRPr="008A0AB1" w:rsidTr="008A0AB1">
        <w:trPr>
          <w:trHeight w:val="2198"/>
        </w:trPr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FC" w:rsidRPr="008A0AB1" w:rsidRDefault="00A26BFC" w:rsidP="00A26BFC">
            <w:pPr>
              <w:spacing w:before="120" w:after="120"/>
              <w:rPr>
                <w:rFonts w:cs="Arial"/>
                <w:sz w:val="24"/>
                <w:szCs w:val="24"/>
              </w:rPr>
            </w:pPr>
            <w:bookmarkStart w:id="12" w:name="_Toc206389498"/>
            <w:bookmarkStart w:id="13" w:name="_Toc206401874"/>
            <w:bookmarkStart w:id="14" w:name="_Toc206403843"/>
            <w:bookmarkStart w:id="15" w:name="_Toc206404571"/>
            <w:bookmarkStart w:id="16" w:name="_Toc206405301"/>
            <w:bookmarkStart w:id="17" w:name="_Toc206405337"/>
            <w:bookmarkStart w:id="18" w:name="_Toc206406064"/>
            <w:bookmarkStart w:id="19" w:name="_Toc215319104"/>
            <w:r w:rsidRPr="008A0AB1">
              <w:rPr>
                <w:b/>
                <w:sz w:val="32"/>
                <w:szCs w:val="32"/>
              </w:rPr>
              <w:t>STATUS:</w:t>
            </w:r>
            <w:r w:rsidRPr="008A0AB1">
              <w:rPr>
                <w:b/>
                <w:sz w:val="24"/>
                <w:szCs w:val="24"/>
              </w:rPr>
              <w:t xml:space="preserve"> These service specifications may be amended to meet local agreement needs.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FC" w:rsidRPr="008A0AB1" w:rsidRDefault="00A26BFC" w:rsidP="00A26BFC">
            <w:pPr>
              <w:spacing w:before="120" w:after="120"/>
              <w:rPr>
                <w:rFonts w:cs="Arial"/>
                <w:sz w:val="32"/>
                <w:szCs w:val="32"/>
              </w:rPr>
            </w:pPr>
            <w:bookmarkStart w:id="20" w:name="_Toc206389499"/>
            <w:bookmarkStart w:id="21" w:name="_Toc215319108"/>
            <w:r w:rsidRPr="008A0AB1">
              <w:rPr>
                <w:b/>
                <w:sz w:val="32"/>
                <w:szCs w:val="32"/>
              </w:rPr>
              <w:t>NON-MANDATORY</w:t>
            </w:r>
            <w:bookmarkEnd w:id="20"/>
            <w:bookmarkEnd w:id="21"/>
          </w:p>
        </w:tc>
      </w:tr>
      <w:tr w:rsidR="00027868" w:rsidRPr="00AC0999" w:rsidTr="00937711">
        <w:trPr>
          <w:trHeight w:val="297"/>
        </w:trPr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868" w:rsidRPr="00AC0999" w:rsidRDefault="00027868" w:rsidP="00027868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bookmarkStart w:id="22" w:name="_Toc206389500"/>
            <w:bookmarkStart w:id="23" w:name="_Toc206401875"/>
            <w:bookmarkStart w:id="24" w:name="_Toc206403844"/>
            <w:bookmarkStart w:id="25" w:name="_Toc206404572"/>
            <w:bookmarkStart w:id="26" w:name="_Toc206405302"/>
            <w:bookmarkStart w:id="27" w:name="_Toc206405338"/>
            <w:bookmarkStart w:id="28" w:name="_Toc206406065"/>
            <w:bookmarkStart w:id="29" w:name="_Toc215319110"/>
            <w:r w:rsidRPr="00AC0999">
              <w:rPr>
                <w:rFonts w:cs="Arial"/>
                <w:b/>
                <w:sz w:val="32"/>
                <w:szCs w:val="32"/>
              </w:rPr>
              <w:t>Review History</w:t>
            </w:r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868" w:rsidRPr="00AC0999" w:rsidRDefault="00027868" w:rsidP="00027868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bookmarkStart w:id="30" w:name="_Toc206389501"/>
            <w:bookmarkStart w:id="31" w:name="_Toc206401876"/>
            <w:bookmarkStart w:id="32" w:name="_Toc206403845"/>
            <w:bookmarkStart w:id="33" w:name="_Toc206404573"/>
            <w:bookmarkStart w:id="34" w:name="_Toc206405303"/>
            <w:bookmarkStart w:id="35" w:name="_Toc206405339"/>
            <w:bookmarkStart w:id="36" w:name="_Toc206406066"/>
            <w:bookmarkStart w:id="37" w:name="_Toc206406493"/>
            <w:bookmarkStart w:id="38" w:name="_Toc215319111"/>
            <w:r w:rsidRPr="00AC0999">
              <w:rPr>
                <w:rFonts w:cs="Arial"/>
                <w:b/>
                <w:sz w:val="32"/>
                <w:szCs w:val="32"/>
              </w:rPr>
              <w:t>Date</w:t>
            </w:r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027868" w:rsidRPr="00AC0999"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868" w:rsidRPr="00AC0999" w:rsidRDefault="00027868" w:rsidP="00027868">
            <w:pPr>
              <w:spacing w:before="120" w:after="120"/>
              <w:rPr>
                <w:rFonts w:cs="Arial"/>
                <w:sz w:val="32"/>
                <w:szCs w:val="32"/>
              </w:rPr>
            </w:pPr>
            <w:bookmarkStart w:id="39" w:name="_Toc215319113"/>
            <w:r w:rsidRPr="00AC0999">
              <w:rPr>
                <w:rFonts w:cs="Arial"/>
                <w:sz w:val="32"/>
                <w:szCs w:val="32"/>
              </w:rPr>
              <w:t>Published on NSFL</w:t>
            </w:r>
            <w:bookmarkEnd w:id="39"/>
          </w:p>
        </w:tc>
        <w:tc>
          <w:tcPr>
            <w:tcW w:w="3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868" w:rsidRPr="008A0AB1" w:rsidRDefault="0006004F" w:rsidP="00027868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r w:rsidRPr="008A0AB1">
              <w:rPr>
                <w:rFonts w:cs="Arial"/>
                <w:b/>
                <w:sz w:val="32"/>
                <w:szCs w:val="32"/>
              </w:rPr>
              <w:t>June 2010</w:t>
            </w:r>
          </w:p>
        </w:tc>
      </w:tr>
      <w:tr w:rsidR="009E756C" w:rsidRPr="00AC0999" w:rsidTr="00937711">
        <w:trPr>
          <w:trHeight w:val="987"/>
        </w:trPr>
        <w:tc>
          <w:tcPr>
            <w:tcW w:w="6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6C" w:rsidRPr="00AC0999" w:rsidRDefault="009E756C" w:rsidP="00A26BFC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8A0AB1">
              <w:rPr>
                <w:rFonts w:cs="Arial"/>
                <w:b/>
                <w:sz w:val="24"/>
                <w:szCs w:val="24"/>
              </w:rPr>
              <w:t>Amend</w:t>
            </w:r>
            <w:r w:rsidR="00A26BFC" w:rsidRPr="008A0AB1">
              <w:rPr>
                <w:rFonts w:cs="Arial"/>
                <w:b/>
                <w:sz w:val="24"/>
                <w:szCs w:val="24"/>
              </w:rPr>
              <w:t>ed</w:t>
            </w:r>
            <w:r w:rsidRPr="008A0AB1">
              <w:rPr>
                <w:rFonts w:cs="Arial"/>
                <w:b/>
                <w:sz w:val="24"/>
                <w:szCs w:val="24"/>
              </w:rPr>
              <w:t>:</w:t>
            </w:r>
            <w:r w:rsidRPr="008A0AB1">
              <w:rPr>
                <w:rFonts w:cs="Arial"/>
                <w:sz w:val="24"/>
                <w:szCs w:val="24"/>
              </w:rPr>
              <w:t xml:space="preserve"> removal of unapproved Purchase Unit</w:t>
            </w:r>
            <w:r w:rsidR="00D65A4B" w:rsidRPr="008A0AB1">
              <w:rPr>
                <w:rFonts w:cs="Arial"/>
                <w:sz w:val="24"/>
                <w:szCs w:val="24"/>
              </w:rPr>
              <w:t xml:space="preserve"> MHFK84, MHFK84A,</w:t>
            </w:r>
            <w:r w:rsidRPr="008A0AB1">
              <w:rPr>
                <w:rFonts w:cs="Arial"/>
                <w:sz w:val="24"/>
                <w:szCs w:val="24"/>
              </w:rPr>
              <w:t xml:space="preserve"> </w:t>
            </w:r>
            <w:r w:rsidR="00D65A4B" w:rsidRPr="008A0AB1">
              <w:rPr>
                <w:rFonts w:cs="Arial"/>
                <w:sz w:val="24"/>
                <w:szCs w:val="24"/>
              </w:rPr>
              <w:t>MHFK84C, MHFK84E.</w:t>
            </w:r>
            <w:r w:rsidR="00AC0999" w:rsidRPr="008A0AB1">
              <w:rPr>
                <w:rFonts w:cs="Arial"/>
                <w:sz w:val="24"/>
                <w:szCs w:val="24"/>
              </w:rPr>
              <w:t xml:space="preserve">  Minor editing changes for consistency.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756C" w:rsidRPr="008A0AB1" w:rsidRDefault="009E756C" w:rsidP="00027868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r w:rsidRPr="008A0AB1">
              <w:rPr>
                <w:rFonts w:cs="Arial"/>
                <w:b/>
                <w:sz w:val="32"/>
                <w:szCs w:val="32"/>
              </w:rPr>
              <w:t>February 2011</w:t>
            </w:r>
          </w:p>
        </w:tc>
      </w:tr>
      <w:tr w:rsidR="00C704FB" w:rsidRPr="00AC0999">
        <w:tc>
          <w:tcPr>
            <w:tcW w:w="6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FB" w:rsidRPr="00AC0999" w:rsidRDefault="00C704FB" w:rsidP="00027868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8A0AB1">
              <w:rPr>
                <w:rFonts w:cs="Arial"/>
                <w:b/>
                <w:sz w:val="24"/>
                <w:szCs w:val="24"/>
              </w:rPr>
              <w:t>Amended:</w:t>
            </w:r>
            <w:r w:rsidRPr="008A0AB1">
              <w:rPr>
                <w:rFonts w:cs="Arial"/>
                <w:sz w:val="24"/>
                <w:szCs w:val="24"/>
              </w:rPr>
              <w:t xml:space="preserve"> clarified reporting requirements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04FB" w:rsidRPr="008A0AB1" w:rsidRDefault="00C704FB" w:rsidP="00027868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r w:rsidRPr="008A0AB1">
              <w:rPr>
                <w:b/>
                <w:sz w:val="28"/>
                <w:szCs w:val="28"/>
              </w:rPr>
              <w:t>February 2013</w:t>
            </w:r>
          </w:p>
        </w:tc>
      </w:tr>
      <w:tr w:rsidR="00D42DEC" w:rsidRPr="00AC0999">
        <w:tc>
          <w:tcPr>
            <w:tcW w:w="6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DEC" w:rsidRPr="00625B95" w:rsidRDefault="00D42DEC" w:rsidP="00D42DEC">
            <w:pPr>
              <w:spacing w:before="120" w:after="120"/>
              <w:rPr>
                <w:b/>
                <w:sz w:val="28"/>
                <w:szCs w:val="28"/>
              </w:rPr>
            </w:pPr>
            <w:r w:rsidRPr="008A0AB1">
              <w:rPr>
                <w:rFonts w:cs="Arial"/>
                <w:b/>
                <w:sz w:val="24"/>
                <w:szCs w:val="24"/>
              </w:rPr>
              <w:t>Amended:</w:t>
            </w:r>
            <w:r w:rsidRPr="00857C0F">
              <w:rPr>
                <w:rFonts w:cs="Arial"/>
                <w:sz w:val="24"/>
                <w:szCs w:val="24"/>
              </w:rPr>
              <w:t xml:space="preserve"> </w:t>
            </w:r>
            <w:r w:rsidR="000E29EB">
              <w:rPr>
                <w:rFonts w:cs="Arial"/>
                <w:sz w:val="24"/>
                <w:szCs w:val="24"/>
              </w:rPr>
              <w:t>added MHF84S,</w:t>
            </w:r>
            <w:r w:rsidRPr="00857C0F">
              <w:rPr>
                <w:rFonts w:cs="Arial"/>
                <w:sz w:val="24"/>
                <w:szCs w:val="24"/>
              </w:rPr>
              <w:t>removed standard provider monitoring reporting tables.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DEC" w:rsidRPr="008A0AB1" w:rsidRDefault="00A26BFC" w:rsidP="00D42DEC">
            <w:pPr>
              <w:spacing w:before="120" w:after="120"/>
              <w:rPr>
                <w:b/>
                <w:sz w:val="28"/>
                <w:szCs w:val="28"/>
              </w:rPr>
            </w:pPr>
            <w:r w:rsidRPr="008A0AB1">
              <w:rPr>
                <w:rFonts w:cs="Arial"/>
                <w:b/>
                <w:sz w:val="28"/>
                <w:szCs w:val="28"/>
              </w:rPr>
              <w:t>April 2017</w:t>
            </w:r>
          </w:p>
        </w:tc>
      </w:tr>
      <w:tr w:rsidR="00D42DEC" w:rsidRPr="00AC0999">
        <w:tc>
          <w:tcPr>
            <w:tcW w:w="6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DEC" w:rsidRPr="00AC0999" w:rsidRDefault="00D42DEC" w:rsidP="00D42DEC">
            <w:pPr>
              <w:spacing w:before="120" w:after="120"/>
              <w:rPr>
                <w:rFonts w:cs="Arial"/>
                <w:sz w:val="32"/>
                <w:szCs w:val="32"/>
              </w:rPr>
            </w:pPr>
            <w:bookmarkStart w:id="40" w:name="_Toc215319116"/>
            <w:r w:rsidRPr="00AC0999">
              <w:rPr>
                <w:rFonts w:cs="Arial"/>
                <w:sz w:val="32"/>
                <w:szCs w:val="32"/>
              </w:rPr>
              <w:t>Consideration for next Service Specification Review</w:t>
            </w:r>
            <w:bookmarkEnd w:id="40"/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DEC" w:rsidRPr="00AC0999" w:rsidRDefault="00D42DEC" w:rsidP="00D42DEC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AC0999">
              <w:rPr>
                <w:rFonts w:cs="Arial"/>
                <w:sz w:val="32"/>
                <w:szCs w:val="32"/>
              </w:rPr>
              <w:t>Within five years</w:t>
            </w:r>
          </w:p>
        </w:tc>
      </w:tr>
    </w:tbl>
    <w:p w:rsidR="00ED0E28" w:rsidRDefault="00C704FB" w:rsidP="00C704FB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 w:line="240" w:lineRule="exact"/>
        <w:rPr>
          <w:sz w:val="24"/>
          <w:szCs w:val="24"/>
        </w:rPr>
      </w:pPr>
      <w:bookmarkStart w:id="41" w:name="_Toc215319119"/>
      <w:r w:rsidRPr="00535749">
        <w:rPr>
          <w:b/>
          <w:sz w:val="24"/>
          <w:szCs w:val="24"/>
        </w:rPr>
        <w:t>Note:</w:t>
      </w:r>
      <w:r w:rsidRPr="00535749">
        <w:rPr>
          <w:sz w:val="24"/>
          <w:szCs w:val="24"/>
        </w:rPr>
        <w:t xml:space="preserve"> Contact the Service Specification Programme Manager, </w:t>
      </w:r>
      <w:r w:rsidR="00D42DEC" w:rsidRPr="00857C0F">
        <w:rPr>
          <w:sz w:val="24"/>
          <w:szCs w:val="24"/>
        </w:rPr>
        <w:t>Service Commissioning</w:t>
      </w:r>
      <w:r w:rsidRPr="00535749">
        <w:rPr>
          <w:sz w:val="24"/>
          <w:szCs w:val="24"/>
        </w:rPr>
        <w:t xml:space="preserve">, Ministry of Health to discuss proposed amendments to the service specifications and guidance in developing new or updating and revising existing service specifications. </w:t>
      </w:r>
    </w:p>
    <w:p w:rsidR="00C704FB" w:rsidRDefault="00C704FB" w:rsidP="00C704FB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 w:line="240" w:lineRule="exact"/>
        <w:rPr>
          <w:sz w:val="24"/>
          <w:szCs w:val="24"/>
        </w:rPr>
      </w:pPr>
      <w:r w:rsidRPr="00535749">
        <w:rPr>
          <w:sz w:val="24"/>
          <w:szCs w:val="24"/>
        </w:rPr>
        <w:t xml:space="preserve">Nationwide Service Framework Library web site </w:t>
      </w:r>
      <w:hyperlink r:id="rId8" w:history="1">
        <w:r w:rsidRPr="00F31678">
          <w:rPr>
            <w:rStyle w:val="Hyperlink"/>
            <w:sz w:val="24"/>
            <w:szCs w:val="24"/>
          </w:rPr>
          <w:t>http://www.nsfl.health.govt.nz</w:t>
        </w:r>
      </w:hyperlink>
    </w:p>
    <w:bookmarkEnd w:id="41"/>
    <w:p w:rsidR="00DF7973" w:rsidRPr="00AC0999" w:rsidRDefault="00027868" w:rsidP="0002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</w:rPr>
      </w:pPr>
      <w:r w:rsidRPr="00AC0999">
        <w:rPr>
          <w:rFonts w:cs="Arial"/>
          <w:sz w:val="20"/>
        </w:rPr>
        <w:br w:type="page"/>
      </w:r>
      <w:bookmarkStart w:id="42" w:name="_Toc215319122"/>
      <w:r w:rsidR="00695506" w:rsidRPr="00AC0999">
        <w:rPr>
          <w:rFonts w:cs="Arial"/>
          <w:b/>
          <w:sz w:val="24"/>
          <w:lang w:val="en-NZ"/>
        </w:rPr>
        <w:lastRenderedPageBreak/>
        <w:t>FORENSIC</w:t>
      </w:r>
      <w:r w:rsidR="00DF7973" w:rsidRPr="00AC0999">
        <w:rPr>
          <w:rFonts w:cs="Arial"/>
          <w:b/>
          <w:sz w:val="24"/>
          <w:lang w:val="en-NZ"/>
        </w:rPr>
        <w:t xml:space="preserve"> </w:t>
      </w:r>
      <w:r w:rsidRPr="00AC0999">
        <w:rPr>
          <w:rFonts w:cs="Arial"/>
          <w:b/>
          <w:sz w:val="24"/>
          <w:lang w:val="en-NZ"/>
        </w:rPr>
        <w:t xml:space="preserve">MENTAL HEALTH </w:t>
      </w:r>
      <w:r w:rsidR="0006004F" w:rsidRPr="00AC0999">
        <w:rPr>
          <w:rFonts w:cs="Arial"/>
          <w:b/>
          <w:sz w:val="24"/>
          <w:lang w:val="en-NZ"/>
        </w:rPr>
        <w:t xml:space="preserve">SERVICES </w:t>
      </w:r>
      <w:r w:rsidR="00D95669" w:rsidRPr="00AC0999">
        <w:rPr>
          <w:rFonts w:cs="Arial"/>
          <w:b/>
          <w:sz w:val="24"/>
          <w:lang w:val="en-NZ"/>
        </w:rPr>
        <w:t xml:space="preserve">– </w:t>
      </w:r>
      <w:r w:rsidR="00D95669" w:rsidRPr="00AC0999">
        <w:rPr>
          <w:rFonts w:cs="Arial"/>
          <w:b/>
          <w:sz w:val="24"/>
          <w:szCs w:val="24"/>
        </w:rPr>
        <w:t xml:space="preserve">PRISON </w:t>
      </w:r>
      <w:r w:rsidR="00445FB5" w:rsidRPr="00AC0999">
        <w:rPr>
          <w:rFonts w:cs="Arial"/>
          <w:b/>
          <w:sz w:val="24"/>
          <w:szCs w:val="24"/>
        </w:rPr>
        <w:t>SERVICE</w:t>
      </w:r>
    </w:p>
    <w:p w:rsidR="00445FB5" w:rsidRPr="00AC0999" w:rsidRDefault="00445FB5" w:rsidP="0002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lang w:val="en-NZ"/>
        </w:rPr>
      </w:pPr>
      <w:r w:rsidRPr="00AC0999">
        <w:rPr>
          <w:rFonts w:cs="Arial"/>
          <w:b/>
          <w:sz w:val="24"/>
          <w:lang w:val="en-NZ"/>
        </w:rPr>
        <w:t xml:space="preserve">MENTAL HEALTH </w:t>
      </w:r>
      <w:smartTag w:uri="urn:schemas-microsoft-com:office:smarttags" w:element="stockticker">
        <w:r w:rsidRPr="00AC0999">
          <w:rPr>
            <w:rFonts w:cs="Arial"/>
            <w:b/>
            <w:sz w:val="24"/>
            <w:lang w:val="en-NZ"/>
          </w:rPr>
          <w:t>AND</w:t>
        </w:r>
      </w:smartTag>
      <w:r w:rsidRPr="00AC0999">
        <w:rPr>
          <w:rFonts w:cs="Arial"/>
          <w:b/>
          <w:sz w:val="24"/>
          <w:lang w:val="en-NZ"/>
        </w:rPr>
        <w:t xml:space="preserve"> ADDICTION</w:t>
      </w:r>
      <w:r w:rsidR="0006004F" w:rsidRPr="00AC0999">
        <w:rPr>
          <w:rFonts w:cs="Arial"/>
          <w:b/>
          <w:sz w:val="24"/>
          <w:lang w:val="en-NZ"/>
        </w:rPr>
        <w:t xml:space="preserve"> SERVICES</w:t>
      </w:r>
    </w:p>
    <w:p w:rsidR="00027868" w:rsidRPr="00AC0999" w:rsidRDefault="00862B69" w:rsidP="0002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  <w:smartTag w:uri="urn:schemas-microsoft-com:office:smarttags" w:element="stockticker">
        <w:r w:rsidRPr="00AC0999">
          <w:rPr>
            <w:rFonts w:cs="Arial"/>
            <w:b/>
            <w:sz w:val="24"/>
            <w:szCs w:val="24"/>
          </w:rPr>
          <w:t>TIER</w:t>
        </w:r>
      </w:smartTag>
      <w:r w:rsidRPr="00AC0999">
        <w:rPr>
          <w:rFonts w:cs="Arial"/>
          <w:b/>
          <w:sz w:val="24"/>
          <w:szCs w:val="24"/>
        </w:rPr>
        <w:t xml:space="preserve"> THREE</w:t>
      </w:r>
      <w:r w:rsidR="00D42DEC">
        <w:rPr>
          <w:rFonts w:cs="Arial"/>
          <w:b/>
          <w:sz w:val="24"/>
          <w:szCs w:val="24"/>
        </w:rPr>
        <w:t xml:space="preserve"> </w:t>
      </w:r>
      <w:r w:rsidR="00027868" w:rsidRPr="00AC0999">
        <w:rPr>
          <w:rFonts w:cs="Arial"/>
          <w:b/>
          <w:sz w:val="24"/>
          <w:lang w:val="en-NZ"/>
        </w:rPr>
        <w:t>SERVICE SPECIFICATION</w:t>
      </w:r>
    </w:p>
    <w:bookmarkEnd w:id="42"/>
    <w:p w:rsidR="00F24D48" w:rsidRPr="00AC0999" w:rsidRDefault="00F24D48" w:rsidP="0026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cs="Arial"/>
          <w:b/>
          <w:sz w:val="24"/>
          <w:szCs w:val="24"/>
        </w:rPr>
      </w:pPr>
      <w:r w:rsidRPr="00AC0999">
        <w:rPr>
          <w:rFonts w:cs="Arial"/>
          <w:b/>
          <w:sz w:val="24"/>
          <w:szCs w:val="24"/>
        </w:rPr>
        <w:t>MHF84A,</w:t>
      </w:r>
      <w:r w:rsidR="008E0703" w:rsidRPr="00AC0999">
        <w:rPr>
          <w:rFonts w:cs="Arial"/>
          <w:b/>
          <w:sz w:val="24"/>
          <w:szCs w:val="24"/>
        </w:rPr>
        <w:t xml:space="preserve"> </w:t>
      </w:r>
      <w:r w:rsidRPr="00AC0999">
        <w:rPr>
          <w:rFonts w:cs="Arial"/>
          <w:b/>
          <w:sz w:val="24"/>
          <w:szCs w:val="24"/>
        </w:rPr>
        <w:t>MHF84B,</w:t>
      </w:r>
      <w:r w:rsidR="008E0703" w:rsidRPr="00AC0999">
        <w:rPr>
          <w:rFonts w:cs="Arial"/>
          <w:b/>
          <w:sz w:val="24"/>
          <w:szCs w:val="24"/>
        </w:rPr>
        <w:t xml:space="preserve"> </w:t>
      </w:r>
      <w:r w:rsidRPr="00AC0999">
        <w:rPr>
          <w:rFonts w:cs="Arial"/>
          <w:b/>
          <w:sz w:val="24"/>
          <w:szCs w:val="24"/>
        </w:rPr>
        <w:t>MHF84C,</w:t>
      </w:r>
      <w:r w:rsidR="008E0703" w:rsidRPr="00AC0999">
        <w:rPr>
          <w:rFonts w:cs="Arial"/>
          <w:b/>
          <w:sz w:val="24"/>
          <w:szCs w:val="24"/>
        </w:rPr>
        <w:t xml:space="preserve"> </w:t>
      </w:r>
      <w:r w:rsidRPr="00AC0999">
        <w:rPr>
          <w:rFonts w:cs="Arial"/>
          <w:b/>
          <w:sz w:val="24"/>
          <w:szCs w:val="24"/>
        </w:rPr>
        <w:t>MHF84D,</w:t>
      </w:r>
      <w:r w:rsidR="008E0703" w:rsidRPr="00AC0999">
        <w:rPr>
          <w:rFonts w:cs="Arial"/>
          <w:b/>
          <w:sz w:val="24"/>
          <w:szCs w:val="24"/>
        </w:rPr>
        <w:t xml:space="preserve"> </w:t>
      </w:r>
      <w:r w:rsidRPr="00AC0999">
        <w:rPr>
          <w:rFonts w:cs="Arial"/>
          <w:b/>
          <w:sz w:val="24"/>
          <w:szCs w:val="24"/>
        </w:rPr>
        <w:t>MHF84E</w:t>
      </w:r>
      <w:r w:rsidR="00D42DEC">
        <w:rPr>
          <w:rFonts w:cs="Arial"/>
          <w:b/>
          <w:sz w:val="24"/>
          <w:szCs w:val="24"/>
        </w:rPr>
        <w:t>, MHF84S</w:t>
      </w:r>
    </w:p>
    <w:p w:rsidR="00027868" w:rsidRPr="00AC0999" w:rsidRDefault="00027868" w:rsidP="009D3242">
      <w:pPr>
        <w:spacing w:before="120"/>
        <w:ind w:right="-143"/>
        <w:rPr>
          <w:rFonts w:cs="Arial"/>
          <w:sz w:val="24"/>
          <w:szCs w:val="24"/>
        </w:rPr>
      </w:pPr>
      <w:bookmarkStart w:id="43" w:name="_Toc215319123"/>
      <w:r w:rsidRPr="00AC0999">
        <w:rPr>
          <w:rFonts w:cs="Arial"/>
          <w:sz w:val="24"/>
          <w:szCs w:val="24"/>
        </w:rPr>
        <w:t xml:space="preserve">This tier </w:t>
      </w:r>
      <w:r w:rsidR="00BA3EB3" w:rsidRPr="00AC0999">
        <w:rPr>
          <w:rFonts w:cs="Arial"/>
          <w:sz w:val="24"/>
          <w:szCs w:val="24"/>
        </w:rPr>
        <w:t xml:space="preserve">three </w:t>
      </w:r>
      <w:r w:rsidRPr="00AC0999">
        <w:rPr>
          <w:rFonts w:cs="Arial"/>
          <w:sz w:val="24"/>
          <w:szCs w:val="24"/>
        </w:rPr>
        <w:t xml:space="preserve">service specification for </w:t>
      </w:r>
      <w:r w:rsidR="00445FB5" w:rsidRPr="00AC0999">
        <w:rPr>
          <w:rFonts w:cs="Arial"/>
          <w:sz w:val="24"/>
          <w:szCs w:val="24"/>
        </w:rPr>
        <w:t xml:space="preserve">Forensic Mental Health </w:t>
      </w:r>
      <w:r w:rsidR="0006004F" w:rsidRPr="00AC0999">
        <w:rPr>
          <w:rFonts w:cs="Arial"/>
          <w:sz w:val="24"/>
          <w:szCs w:val="24"/>
        </w:rPr>
        <w:t xml:space="preserve">Services - </w:t>
      </w:r>
      <w:r w:rsidR="00BA3EB3" w:rsidRPr="00AC0999">
        <w:rPr>
          <w:rFonts w:cs="Arial"/>
          <w:sz w:val="24"/>
          <w:szCs w:val="24"/>
        </w:rPr>
        <w:t xml:space="preserve">Prison </w:t>
      </w:r>
      <w:r w:rsidR="00AC39A8" w:rsidRPr="00AC0999">
        <w:rPr>
          <w:rFonts w:cs="Arial"/>
          <w:sz w:val="24"/>
          <w:szCs w:val="24"/>
        </w:rPr>
        <w:t>Service</w:t>
      </w:r>
      <w:r w:rsidRPr="00AC0999">
        <w:rPr>
          <w:rFonts w:cs="Arial"/>
          <w:sz w:val="24"/>
          <w:szCs w:val="24"/>
        </w:rPr>
        <w:t xml:space="preserve"> </w:t>
      </w:r>
      <w:r w:rsidR="008E0703" w:rsidRPr="00AC0999">
        <w:rPr>
          <w:rFonts w:cs="Arial"/>
          <w:sz w:val="24"/>
          <w:szCs w:val="24"/>
        </w:rPr>
        <w:t xml:space="preserve">(the Service) </w:t>
      </w:r>
      <w:r w:rsidR="00AC39A8" w:rsidRPr="00AC0999">
        <w:rPr>
          <w:rFonts w:cs="Arial"/>
          <w:sz w:val="24"/>
          <w:szCs w:val="24"/>
        </w:rPr>
        <w:t>must be used in conjunction with</w:t>
      </w:r>
      <w:r w:rsidRPr="00AC0999">
        <w:rPr>
          <w:rFonts w:cs="Arial"/>
          <w:sz w:val="24"/>
          <w:szCs w:val="24"/>
        </w:rPr>
        <w:t xml:space="preserve"> </w:t>
      </w:r>
      <w:bookmarkEnd w:id="43"/>
      <w:r w:rsidR="0006465C" w:rsidRPr="00AC0999">
        <w:rPr>
          <w:rFonts w:cs="Arial"/>
          <w:sz w:val="24"/>
          <w:szCs w:val="24"/>
        </w:rPr>
        <w:t>the</w:t>
      </w:r>
      <w:r w:rsidR="00A26BFC" w:rsidRPr="00AC0999">
        <w:rPr>
          <w:rFonts w:cs="Arial"/>
          <w:sz w:val="24"/>
          <w:szCs w:val="24"/>
        </w:rPr>
        <w:t xml:space="preserve"> tier one Mental Health and Addiction </w:t>
      </w:r>
      <w:r w:rsidR="00A26BFC">
        <w:rPr>
          <w:rFonts w:cs="Arial"/>
          <w:sz w:val="24"/>
          <w:szCs w:val="24"/>
        </w:rPr>
        <w:t xml:space="preserve">Specialist </w:t>
      </w:r>
      <w:r w:rsidR="00A26BFC" w:rsidRPr="00AC0999">
        <w:rPr>
          <w:rFonts w:cs="Arial"/>
          <w:sz w:val="24"/>
          <w:szCs w:val="24"/>
        </w:rPr>
        <w:t>Services</w:t>
      </w:r>
      <w:r w:rsidR="00A26BFC">
        <w:rPr>
          <w:rFonts w:cs="Arial"/>
          <w:sz w:val="24"/>
          <w:szCs w:val="24"/>
        </w:rPr>
        <w:t>,</w:t>
      </w:r>
      <w:r w:rsidR="00A26BFC" w:rsidRPr="00AC0999">
        <w:rPr>
          <w:rFonts w:cs="Arial"/>
          <w:sz w:val="24"/>
          <w:szCs w:val="24"/>
        </w:rPr>
        <w:t xml:space="preserve"> </w:t>
      </w:r>
      <w:r w:rsidR="009D3242">
        <w:rPr>
          <w:rFonts w:cs="Arial"/>
          <w:sz w:val="24"/>
          <w:szCs w:val="24"/>
        </w:rPr>
        <w:t xml:space="preserve">and </w:t>
      </w:r>
      <w:r w:rsidRPr="00AC0999">
        <w:rPr>
          <w:rFonts w:cs="Arial"/>
          <w:sz w:val="24"/>
          <w:szCs w:val="24"/>
        </w:rPr>
        <w:t xml:space="preserve">tier </w:t>
      </w:r>
      <w:r w:rsidR="00BA3EB3" w:rsidRPr="00AC0999">
        <w:rPr>
          <w:rFonts w:cs="Arial"/>
          <w:sz w:val="24"/>
          <w:szCs w:val="24"/>
        </w:rPr>
        <w:t xml:space="preserve">two Forensic Mental Health </w:t>
      </w:r>
      <w:r w:rsidR="00862B69" w:rsidRPr="00AC0999">
        <w:rPr>
          <w:rFonts w:cs="Arial"/>
          <w:sz w:val="24"/>
          <w:szCs w:val="24"/>
        </w:rPr>
        <w:t xml:space="preserve">Services </w:t>
      </w:r>
      <w:r w:rsidRPr="00AC0999">
        <w:rPr>
          <w:rFonts w:cs="Arial"/>
          <w:sz w:val="24"/>
          <w:szCs w:val="24"/>
        </w:rPr>
        <w:t>service specification</w:t>
      </w:r>
      <w:r w:rsidR="00A26BFC">
        <w:rPr>
          <w:rFonts w:cs="Arial"/>
          <w:sz w:val="24"/>
          <w:szCs w:val="24"/>
        </w:rPr>
        <w:t>s</w:t>
      </w:r>
      <w:r w:rsidR="0006465C" w:rsidRPr="00AC0999">
        <w:rPr>
          <w:rFonts w:cs="Arial"/>
          <w:sz w:val="24"/>
          <w:szCs w:val="24"/>
        </w:rPr>
        <w:t>.</w:t>
      </w:r>
      <w:r w:rsidR="0034614E" w:rsidRPr="00AC0999">
        <w:rPr>
          <w:rFonts w:cs="Arial"/>
          <w:sz w:val="24"/>
          <w:szCs w:val="24"/>
        </w:rPr>
        <w:t xml:space="preserve"> </w:t>
      </w:r>
      <w:r w:rsidR="0006465C" w:rsidRPr="00AC0999">
        <w:rPr>
          <w:rFonts w:cs="Arial"/>
          <w:sz w:val="24"/>
          <w:szCs w:val="24"/>
        </w:rPr>
        <w:t xml:space="preserve"> In addition, it is</w:t>
      </w:r>
      <w:r w:rsidRPr="00AC0999">
        <w:rPr>
          <w:rFonts w:cs="Arial"/>
          <w:sz w:val="24"/>
          <w:szCs w:val="24"/>
        </w:rPr>
        <w:t xml:space="preserve"> </w:t>
      </w:r>
      <w:r w:rsidR="00AC39A8" w:rsidRPr="00AC0999">
        <w:rPr>
          <w:rFonts w:cs="Arial"/>
          <w:sz w:val="24"/>
          <w:szCs w:val="24"/>
        </w:rPr>
        <w:t xml:space="preserve">linked to </w:t>
      </w:r>
      <w:r w:rsidR="0006465C" w:rsidRPr="00AC0999">
        <w:rPr>
          <w:rFonts w:cs="Arial"/>
          <w:sz w:val="24"/>
          <w:szCs w:val="24"/>
        </w:rPr>
        <w:t>a range of</w:t>
      </w:r>
      <w:r w:rsidRPr="00AC0999">
        <w:rPr>
          <w:rFonts w:cs="Arial"/>
          <w:sz w:val="24"/>
          <w:szCs w:val="24"/>
        </w:rPr>
        <w:t xml:space="preserve"> tier three </w:t>
      </w:r>
      <w:r w:rsidR="00695506" w:rsidRPr="00AC0999">
        <w:rPr>
          <w:rFonts w:cs="Arial"/>
          <w:sz w:val="24"/>
          <w:szCs w:val="24"/>
        </w:rPr>
        <w:t>Forensic</w:t>
      </w:r>
      <w:r w:rsidRPr="00AC0999">
        <w:rPr>
          <w:rFonts w:cs="Arial"/>
          <w:sz w:val="24"/>
          <w:szCs w:val="24"/>
        </w:rPr>
        <w:t xml:space="preserve"> Mental Health service specifications.</w:t>
      </w:r>
    </w:p>
    <w:p w:rsidR="00AC39A8" w:rsidRPr="00AC0999" w:rsidRDefault="00027868" w:rsidP="00AC39A8">
      <w:pPr>
        <w:spacing w:before="120"/>
        <w:rPr>
          <w:rFonts w:cs="Arial"/>
          <w:b/>
          <w:sz w:val="24"/>
          <w:szCs w:val="24"/>
        </w:rPr>
      </w:pPr>
      <w:r w:rsidRPr="00AC0999">
        <w:rPr>
          <w:rFonts w:cs="Arial"/>
          <w:sz w:val="24"/>
          <w:szCs w:val="24"/>
          <w:lang w:val="en-NZ"/>
        </w:rPr>
        <w:t xml:space="preserve">The service specification defines </w:t>
      </w:r>
      <w:r w:rsidR="0006465C" w:rsidRPr="00AC0999">
        <w:rPr>
          <w:rFonts w:cs="Arial"/>
          <w:sz w:val="24"/>
          <w:szCs w:val="24"/>
          <w:lang w:val="en-NZ"/>
        </w:rPr>
        <w:t xml:space="preserve">Forensic Mental Health </w:t>
      </w:r>
      <w:r w:rsidR="0006004F" w:rsidRPr="00AC0999">
        <w:rPr>
          <w:rFonts w:cs="Arial"/>
          <w:sz w:val="24"/>
          <w:szCs w:val="24"/>
          <w:lang w:val="en-NZ"/>
        </w:rPr>
        <w:t xml:space="preserve">Services - </w:t>
      </w:r>
      <w:r w:rsidR="0006465C" w:rsidRPr="00AC0999">
        <w:rPr>
          <w:rFonts w:cs="Arial"/>
          <w:sz w:val="24"/>
          <w:szCs w:val="24"/>
          <w:lang w:val="en-NZ"/>
        </w:rPr>
        <w:t>Prison Service</w:t>
      </w:r>
      <w:r w:rsidR="00AC39A8" w:rsidRPr="00AC0999">
        <w:rPr>
          <w:rFonts w:cs="Arial"/>
          <w:sz w:val="24"/>
          <w:szCs w:val="24"/>
          <w:lang w:val="en-NZ"/>
        </w:rPr>
        <w:t xml:space="preserve"> </w:t>
      </w:r>
      <w:r w:rsidRPr="00AC0999">
        <w:rPr>
          <w:rFonts w:cs="Arial"/>
          <w:sz w:val="24"/>
          <w:szCs w:val="24"/>
          <w:lang w:val="en-NZ"/>
        </w:rPr>
        <w:t xml:space="preserve">and </w:t>
      </w:r>
      <w:r w:rsidR="0006465C" w:rsidRPr="00AC0999">
        <w:rPr>
          <w:rFonts w:cs="Arial"/>
          <w:sz w:val="24"/>
          <w:szCs w:val="24"/>
          <w:lang w:val="en-NZ"/>
        </w:rPr>
        <w:t xml:space="preserve">its </w:t>
      </w:r>
      <w:r w:rsidRPr="00AC0999">
        <w:rPr>
          <w:rFonts w:cs="Arial"/>
          <w:sz w:val="24"/>
          <w:szCs w:val="24"/>
          <w:lang w:val="en-NZ"/>
        </w:rPr>
        <w:t xml:space="preserve">objectives in the </w:t>
      </w:r>
      <w:r w:rsidR="008231D0" w:rsidRPr="00AC0999">
        <w:rPr>
          <w:rFonts w:cs="Arial"/>
          <w:sz w:val="24"/>
          <w:szCs w:val="24"/>
          <w:lang w:val="en-NZ"/>
        </w:rPr>
        <w:t xml:space="preserve">delivery of the </w:t>
      </w:r>
      <w:r w:rsidR="00445FB5" w:rsidRPr="00AC0999">
        <w:rPr>
          <w:rFonts w:cs="Arial"/>
          <w:sz w:val="24"/>
          <w:szCs w:val="24"/>
          <w:lang w:val="en-NZ"/>
        </w:rPr>
        <w:t>S</w:t>
      </w:r>
      <w:r w:rsidRPr="00AC0999">
        <w:rPr>
          <w:rFonts w:cs="Arial"/>
          <w:sz w:val="24"/>
          <w:szCs w:val="24"/>
          <w:lang w:val="en-NZ"/>
        </w:rPr>
        <w:t>ervice.</w:t>
      </w:r>
      <w:bookmarkStart w:id="44" w:name="_Toc215319135"/>
    </w:p>
    <w:p w:rsidR="008E0703" w:rsidRPr="00AC0999" w:rsidRDefault="00027868" w:rsidP="008E0703">
      <w:pPr>
        <w:numPr>
          <w:ilvl w:val="0"/>
          <w:numId w:val="16"/>
        </w:numPr>
        <w:tabs>
          <w:tab w:val="clear" w:pos="1080"/>
          <w:tab w:val="num" w:pos="540"/>
        </w:tabs>
        <w:spacing w:before="240" w:after="120"/>
        <w:ind w:left="540" w:hanging="540"/>
        <w:rPr>
          <w:rFonts w:cs="Arial"/>
          <w:b/>
          <w:sz w:val="24"/>
          <w:szCs w:val="24"/>
        </w:rPr>
      </w:pPr>
      <w:r w:rsidRPr="00AC0999">
        <w:rPr>
          <w:rFonts w:cs="Arial"/>
          <w:b/>
          <w:sz w:val="24"/>
          <w:szCs w:val="24"/>
        </w:rPr>
        <w:t>Service Definition</w:t>
      </w:r>
      <w:bookmarkEnd w:id="44"/>
    </w:p>
    <w:p w:rsidR="00F657FE" w:rsidRPr="00AC0999" w:rsidRDefault="00F24D48" w:rsidP="008E0703">
      <w:pPr>
        <w:spacing w:before="120" w:after="120"/>
        <w:rPr>
          <w:rFonts w:cs="Arial"/>
          <w:b/>
          <w:sz w:val="24"/>
          <w:szCs w:val="24"/>
        </w:rPr>
      </w:pPr>
      <w:r w:rsidRPr="00AC0999">
        <w:rPr>
          <w:rFonts w:cs="Arial"/>
          <w:sz w:val="24"/>
          <w:szCs w:val="24"/>
        </w:rPr>
        <w:t xml:space="preserve">This </w:t>
      </w:r>
      <w:r w:rsidR="008E0703" w:rsidRPr="00AC0999">
        <w:rPr>
          <w:rFonts w:cs="Arial"/>
          <w:sz w:val="24"/>
          <w:szCs w:val="24"/>
        </w:rPr>
        <w:t>Se</w:t>
      </w:r>
      <w:r w:rsidRPr="00AC0999">
        <w:rPr>
          <w:rFonts w:cs="Arial"/>
          <w:sz w:val="24"/>
          <w:szCs w:val="24"/>
        </w:rPr>
        <w:t xml:space="preserve">rvice is a </w:t>
      </w:r>
      <w:r w:rsidR="00F657FE" w:rsidRPr="00AC0999">
        <w:rPr>
          <w:rFonts w:cs="Arial"/>
          <w:sz w:val="24"/>
          <w:szCs w:val="24"/>
        </w:rPr>
        <w:t xml:space="preserve">multidisciplinary service comprised of specialist clinical staff providing </w:t>
      </w:r>
      <w:r w:rsidR="008D139A" w:rsidRPr="00AC0999">
        <w:rPr>
          <w:rFonts w:cs="Arial"/>
          <w:sz w:val="24"/>
          <w:szCs w:val="24"/>
        </w:rPr>
        <w:t xml:space="preserve">a specialised service </w:t>
      </w:r>
      <w:r w:rsidR="00F657FE" w:rsidRPr="00AC0999">
        <w:rPr>
          <w:rFonts w:cs="Arial"/>
          <w:sz w:val="24"/>
          <w:szCs w:val="24"/>
        </w:rPr>
        <w:t>to all prisons within the designated geographical area</w:t>
      </w:r>
      <w:r w:rsidR="008D139A" w:rsidRPr="00AC0999">
        <w:rPr>
          <w:rFonts w:cs="Arial"/>
          <w:sz w:val="24"/>
          <w:szCs w:val="24"/>
        </w:rPr>
        <w:t xml:space="preserve"> that includes but is not limited to the following</w:t>
      </w:r>
      <w:r w:rsidR="00F657FE" w:rsidRPr="00AC0999">
        <w:rPr>
          <w:rFonts w:cs="Arial"/>
          <w:sz w:val="24"/>
          <w:szCs w:val="24"/>
        </w:rPr>
        <w:t>:</w:t>
      </w:r>
    </w:p>
    <w:p w:rsidR="00F657FE" w:rsidRPr="00AC0999" w:rsidRDefault="008E0703" w:rsidP="008E0703">
      <w:pPr>
        <w:numPr>
          <w:ilvl w:val="0"/>
          <w:numId w:val="13"/>
        </w:numPr>
        <w:tabs>
          <w:tab w:val="clear" w:pos="360"/>
          <w:tab w:val="num" w:pos="540"/>
        </w:tabs>
        <w:spacing w:before="120"/>
        <w:ind w:left="540" w:hanging="540"/>
        <w:rPr>
          <w:rFonts w:cs="Arial"/>
          <w:sz w:val="24"/>
          <w:szCs w:val="24"/>
        </w:rPr>
      </w:pPr>
      <w:r w:rsidRPr="00AC0999">
        <w:rPr>
          <w:rFonts w:cs="Arial"/>
          <w:sz w:val="24"/>
          <w:szCs w:val="24"/>
        </w:rPr>
        <w:t>a</w:t>
      </w:r>
      <w:r w:rsidR="00F657FE" w:rsidRPr="00AC0999">
        <w:rPr>
          <w:rFonts w:cs="Arial"/>
          <w:sz w:val="24"/>
          <w:szCs w:val="24"/>
        </w:rPr>
        <w:t xml:space="preserve">ssessment and treatment for </w:t>
      </w:r>
      <w:r w:rsidR="002759EB" w:rsidRPr="00AC0999">
        <w:rPr>
          <w:rFonts w:cs="Arial"/>
          <w:sz w:val="24"/>
          <w:szCs w:val="24"/>
        </w:rPr>
        <w:t>prisoners</w:t>
      </w:r>
      <w:r w:rsidR="00F657FE" w:rsidRPr="00AC0999">
        <w:rPr>
          <w:rFonts w:cs="Arial"/>
          <w:sz w:val="24"/>
          <w:szCs w:val="24"/>
        </w:rPr>
        <w:t xml:space="preserve"> with serious mental illness </w:t>
      </w:r>
      <w:r w:rsidR="008D139A" w:rsidRPr="00AC0999">
        <w:rPr>
          <w:rFonts w:cs="Arial"/>
          <w:sz w:val="24"/>
          <w:szCs w:val="24"/>
        </w:rPr>
        <w:t xml:space="preserve">(whether on remand or sentenced) who are </w:t>
      </w:r>
      <w:r w:rsidR="002759EB" w:rsidRPr="00AC0999">
        <w:rPr>
          <w:rFonts w:cs="Arial"/>
          <w:sz w:val="24"/>
          <w:szCs w:val="24"/>
        </w:rPr>
        <w:t xml:space="preserve">identified or who may be </w:t>
      </w:r>
      <w:r w:rsidR="008D139A" w:rsidRPr="00AC0999">
        <w:rPr>
          <w:rFonts w:cs="Arial"/>
          <w:sz w:val="24"/>
          <w:szCs w:val="24"/>
        </w:rPr>
        <w:t xml:space="preserve">suspected of suffering from serious mental illness, </w:t>
      </w:r>
      <w:r w:rsidR="00F657FE" w:rsidRPr="00AC0999">
        <w:rPr>
          <w:rFonts w:cs="Arial"/>
          <w:sz w:val="24"/>
          <w:szCs w:val="24"/>
        </w:rPr>
        <w:t xml:space="preserve">who require </w:t>
      </w:r>
      <w:r w:rsidR="002759EB" w:rsidRPr="00AC0999">
        <w:rPr>
          <w:rFonts w:cs="Arial"/>
          <w:sz w:val="24"/>
          <w:szCs w:val="24"/>
        </w:rPr>
        <w:t xml:space="preserve">specialist </w:t>
      </w:r>
      <w:r w:rsidR="00F657FE" w:rsidRPr="00AC0999">
        <w:rPr>
          <w:rFonts w:cs="Arial"/>
          <w:sz w:val="24"/>
          <w:szCs w:val="24"/>
        </w:rPr>
        <w:t>level mental healt</w:t>
      </w:r>
      <w:r w:rsidRPr="00AC0999">
        <w:rPr>
          <w:rFonts w:cs="Arial"/>
          <w:sz w:val="24"/>
          <w:szCs w:val="24"/>
        </w:rPr>
        <w:t>hcare</w:t>
      </w:r>
    </w:p>
    <w:p w:rsidR="008D139A" w:rsidRPr="00AC0999" w:rsidRDefault="008E0703" w:rsidP="008E0703">
      <w:pPr>
        <w:numPr>
          <w:ilvl w:val="0"/>
          <w:numId w:val="14"/>
        </w:numPr>
        <w:tabs>
          <w:tab w:val="clear" w:pos="360"/>
          <w:tab w:val="num" w:pos="540"/>
        </w:tabs>
        <w:spacing w:before="120"/>
        <w:ind w:left="540" w:hanging="540"/>
        <w:rPr>
          <w:rFonts w:cs="Arial"/>
          <w:sz w:val="24"/>
          <w:szCs w:val="24"/>
        </w:rPr>
      </w:pPr>
      <w:r w:rsidRPr="00AC0999">
        <w:rPr>
          <w:rFonts w:cs="Arial"/>
          <w:sz w:val="24"/>
          <w:szCs w:val="24"/>
        </w:rPr>
        <w:t>p</w:t>
      </w:r>
      <w:r w:rsidR="008D139A" w:rsidRPr="00AC0999">
        <w:rPr>
          <w:rFonts w:cs="Arial"/>
          <w:sz w:val="24"/>
          <w:szCs w:val="24"/>
        </w:rPr>
        <w:t>rovision of care within the prison setting or alternatively within an inpatient psychiatric unit, having regard to identified</w:t>
      </w:r>
      <w:r w:rsidRPr="00AC0999">
        <w:rPr>
          <w:rFonts w:cs="Arial"/>
          <w:sz w:val="24"/>
          <w:szCs w:val="24"/>
        </w:rPr>
        <w:t xml:space="preserve"> needs and available resources</w:t>
      </w:r>
    </w:p>
    <w:p w:rsidR="008D139A" w:rsidRPr="00AC0999" w:rsidRDefault="008E0703" w:rsidP="008E0703">
      <w:pPr>
        <w:numPr>
          <w:ilvl w:val="0"/>
          <w:numId w:val="13"/>
        </w:numPr>
        <w:tabs>
          <w:tab w:val="clear" w:pos="360"/>
          <w:tab w:val="num" w:pos="540"/>
        </w:tabs>
        <w:spacing w:before="120"/>
        <w:ind w:left="540" w:hanging="540"/>
        <w:rPr>
          <w:rFonts w:cs="Arial"/>
          <w:sz w:val="24"/>
          <w:szCs w:val="24"/>
        </w:rPr>
      </w:pPr>
      <w:r w:rsidRPr="00AC0999">
        <w:rPr>
          <w:rFonts w:cs="Arial"/>
          <w:sz w:val="24"/>
          <w:szCs w:val="24"/>
        </w:rPr>
        <w:t>f</w:t>
      </w:r>
      <w:r w:rsidR="008D139A" w:rsidRPr="00AC0999">
        <w:rPr>
          <w:rFonts w:cs="Arial"/>
          <w:sz w:val="24"/>
          <w:szCs w:val="24"/>
        </w:rPr>
        <w:t>acilitation of continuity of care for people in receipt of care who need to be engaged with Adult Mental Health Services</w:t>
      </w:r>
      <w:r w:rsidR="008041D0" w:rsidRPr="00AC0999">
        <w:rPr>
          <w:rFonts w:cs="Arial"/>
          <w:sz w:val="24"/>
          <w:szCs w:val="24"/>
        </w:rPr>
        <w:t xml:space="preserve">, other health and social care agencies including NGOs, </w:t>
      </w:r>
      <w:r w:rsidR="008D139A" w:rsidRPr="00AC0999">
        <w:rPr>
          <w:rFonts w:cs="Arial"/>
          <w:sz w:val="24"/>
          <w:szCs w:val="24"/>
        </w:rPr>
        <w:t>on release.</w:t>
      </w:r>
      <w:r w:rsidR="00B87B37" w:rsidRPr="00AC0999">
        <w:rPr>
          <w:rFonts w:cs="Arial"/>
          <w:sz w:val="24"/>
          <w:szCs w:val="24"/>
        </w:rPr>
        <w:t xml:space="preserve"> </w:t>
      </w:r>
      <w:r w:rsidR="008D139A" w:rsidRPr="00AC0999">
        <w:rPr>
          <w:rFonts w:cs="Arial"/>
          <w:sz w:val="24"/>
          <w:szCs w:val="24"/>
        </w:rPr>
        <w:t xml:space="preserve"> </w:t>
      </w:r>
      <w:r w:rsidR="008041D0" w:rsidRPr="00AC0999">
        <w:rPr>
          <w:rFonts w:cs="Arial"/>
          <w:sz w:val="24"/>
          <w:szCs w:val="24"/>
        </w:rPr>
        <w:t>This may in</w:t>
      </w:r>
      <w:r w:rsidRPr="00AC0999">
        <w:rPr>
          <w:rFonts w:cs="Arial"/>
          <w:sz w:val="24"/>
          <w:szCs w:val="24"/>
        </w:rPr>
        <w:t>clude inter-agency coordination</w:t>
      </w:r>
    </w:p>
    <w:p w:rsidR="008D139A" w:rsidRPr="00AC0999" w:rsidRDefault="008E0703" w:rsidP="008E0703">
      <w:pPr>
        <w:numPr>
          <w:ilvl w:val="0"/>
          <w:numId w:val="13"/>
        </w:numPr>
        <w:tabs>
          <w:tab w:val="clear" w:pos="360"/>
          <w:tab w:val="num" w:pos="540"/>
        </w:tabs>
        <w:spacing w:before="120"/>
        <w:ind w:left="540" w:hanging="540"/>
        <w:rPr>
          <w:rFonts w:cs="Arial"/>
          <w:sz w:val="24"/>
          <w:szCs w:val="24"/>
        </w:rPr>
      </w:pPr>
      <w:r w:rsidRPr="00AC0999">
        <w:rPr>
          <w:rFonts w:cs="Arial"/>
          <w:sz w:val="24"/>
          <w:szCs w:val="24"/>
        </w:rPr>
        <w:t>c</w:t>
      </w:r>
      <w:r w:rsidR="008D139A" w:rsidRPr="00AC0999">
        <w:rPr>
          <w:rFonts w:cs="Arial"/>
          <w:sz w:val="24"/>
          <w:szCs w:val="24"/>
        </w:rPr>
        <w:t>onsultation</w:t>
      </w:r>
      <w:r w:rsidR="008041D0" w:rsidRPr="00AC0999">
        <w:rPr>
          <w:rFonts w:cs="Arial"/>
          <w:sz w:val="24"/>
          <w:szCs w:val="24"/>
        </w:rPr>
        <w:t>,</w:t>
      </w:r>
      <w:r w:rsidR="008D139A" w:rsidRPr="00AC0999">
        <w:rPr>
          <w:rFonts w:cs="Arial"/>
          <w:sz w:val="24"/>
          <w:szCs w:val="24"/>
        </w:rPr>
        <w:t xml:space="preserve"> liaison </w:t>
      </w:r>
      <w:r w:rsidR="008041D0" w:rsidRPr="00AC0999">
        <w:rPr>
          <w:rFonts w:cs="Arial"/>
          <w:sz w:val="24"/>
          <w:szCs w:val="24"/>
        </w:rPr>
        <w:t xml:space="preserve">and assistance </w:t>
      </w:r>
      <w:r w:rsidR="008D139A" w:rsidRPr="00AC0999">
        <w:rPr>
          <w:rFonts w:cs="Arial"/>
          <w:sz w:val="24"/>
          <w:szCs w:val="24"/>
        </w:rPr>
        <w:t xml:space="preserve">with </w:t>
      </w:r>
      <w:r w:rsidR="008041D0" w:rsidRPr="00AC0999">
        <w:rPr>
          <w:rFonts w:cs="Arial"/>
          <w:sz w:val="24"/>
          <w:szCs w:val="24"/>
        </w:rPr>
        <w:t xml:space="preserve">treatment planning provided to </w:t>
      </w:r>
      <w:r w:rsidR="008D139A" w:rsidRPr="00AC0999">
        <w:rPr>
          <w:rFonts w:cs="Arial"/>
          <w:sz w:val="24"/>
          <w:szCs w:val="24"/>
        </w:rPr>
        <w:t xml:space="preserve">prison health care staff and </w:t>
      </w:r>
      <w:r w:rsidR="008041D0" w:rsidRPr="00AC0999">
        <w:rPr>
          <w:rFonts w:cs="Arial"/>
          <w:sz w:val="24"/>
          <w:szCs w:val="24"/>
        </w:rPr>
        <w:t>other agencies such as the Probation Service regarding people with severe behavioural problems</w:t>
      </w:r>
      <w:r w:rsidRPr="00AC0999">
        <w:rPr>
          <w:rFonts w:cs="Arial"/>
          <w:sz w:val="24"/>
          <w:szCs w:val="24"/>
        </w:rPr>
        <w:t xml:space="preserve"> and no mental health problems.</w:t>
      </w:r>
    </w:p>
    <w:p w:rsidR="00027868" w:rsidRPr="00AC0999" w:rsidRDefault="00F24D48" w:rsidP="009043F1">
      <w:pPr>
        <w:tabs>
          <w:tab w:val="left" w:pos="567"/>
        </w:tabs>
        <w:spacing w:before="240" w:after="120"/>
        <w:rPr>
          <w:rFonts w:cs="Arial"/>
          <w:b/>
          <w:sz w:val="24"/>
          <w:szCs w:val="24"/>
        </w:rPr>
      </w:pPr>
      <w:bookmarkStart w:id="45" w:name="_Toc215319136"/>
      <w:r w:rsidRPr="00AC0999">
        <w:rPr>
          <w:rFonts w:cs="Arial"/>
          <w:b/>
          <w:sz w:val="24"/>
          <w:szCs w:val="24"/>
        </w:rPr>
        <w:t>2.</w:t>
      </w:r>
      <w:r w:rsidR="008E0703" w:rsidRPr="00AC0999">
        <w:rPr>
          <w:rFonts w:cs="Arial"/>
          <w:b/>
          <w:sz w:val="24"/>
          <w:szCs w:val="24"/>
        </w:rPr>
        <w:tab/>
      </w:r>
      <w:r w:rsidR="00027868" w:rsidRPr="00AC0999">
        <w:rPr>
          <w:rFonts w:cs="Arial"/>
          <w:b/>
          <w:sz w:val="24"/>
          <w:szCs w:val="24"/>
        </w:rPr>
        <w:t>Service Objectives</w:t>
      </w:r>
      <w:bookmarkEnd w:id="45"/>
    </w:p>
    <w:p w:rsidR="00ED0E28" w:rsidRPr="00937711" w:rsidRDefault="00ED0E28" w:rsidP="00FD7AA7">
      <w:pPr>
        <w:spacing w:before="120" w:after="120"/>
        <w:rPr>
          <w:rFonts w:cs="Arial"/>
          <w:b/>
          <w:sz w:val="24"/>
          <w:szCs w:val="24"/>
        </w:rPr>
      </w:pPr>
      <w:r w:rsidRPr="00937711">
        <w:rPr>
          <w:rFonts w:cs="Arial"/>
          <w:b/>
          <w:sz w:val="24"/>
          <w:szCs w:val="24"/>
        </w:rPr>
        <w:t>2.1</w:t>
      </w:r>
      <w:r>
        <w:rPr>
          <w:rFonts w:cs="Arial"/>
          <w:b/>
          <w:sz w:val="24"/>
          <w:szCs w:val="24"/>
        </w:rPr>
        <w:tab/>
      </w:r>
      <w:r w:rsidRPr="00937711">
        <w:rPr>
          <w:rFonts w:cs="Arial"/>
          <w:b/>
          <w:sz w:val="24"/>
          <w:szCs w:val="24"/>
        </w:rPr>
        <w:t>General</w:t>
      </w:r>
    </w:p>
    <w:p w:rsidR="008D139A" w:rsidRPr="00AC0999" w:rsidRDefault="008D139A" w:rsidP="00FD7AA7">
      <w:pPr>
        <w:spacing w:before="120" w:after="120"/>
        <w:rPr>
          <w:rFonts w:cs="Arial"/>
          <w:sz w:val="24"/>
          <w:szCs w:val="24"/>
        </w:rPr>
      </w:pPr>
      <w:r w:rsidRPr="00AC0999">
        <w:rPr>
          <w:rFonts w:cs="Arial"/>
          <w:sz w:val="24"/>
          <w:szCs w:val="24"/>
        </w:rPr>
        <w:t xml:space="preserve">The objective of </w:t>
      </w:r>
      <w:r w:rsidR="008041D0" w:rsidRPr="00AC0999">
        <w:rPr>
          <w:rFonts w:cs="Arial"/>
          <w:sz w:val="24"/>
          <w:szCs w:val="24"/>
        </w:rPr>
        <w:t xml:space="preserve">this </w:t>
      </w:r>
      <w:r w:rsidR="008E0703" w:rsidRPr="00AC0999">
        <w:rPr>
          <w:rFonts w:cs="Arial"/>
          <w:sz w:val="24"/>
          <w:szCs w:val="24"/>
        </w:rPr>
        <w:t>S</w:t>
      </w:r>
      <w:r w:rsidRPr="00AC0999">
        <w:rPr>
          <w:rFonts w:cs="Arial"/>
          <w:sz w:val="24"/>
          <w:szCs w:val="24"/>
        </w:rPr>
        <w:t>ervice is to</w:t>
      </w:r>
      <w:r w:rsidR="008E0703" w:rsidRPr="00AC0999">
        <w:rPr>
          <w:rFonts w:cs="Arial"/>
          <w:sz w:val="24"/>
          <w:szCs w:val="24"/>
        </w:rPr>
        <w:t xml:space="preserve"> e</w:t>
      </w:r>
      <w:r w:rsidRPr="00AC0999">
        <w:rPr>
          <w:rFonts w:cs="Arial"/>
          <w:sz w:val="24"/>
          <w:szCs w:val="24"/>
        </w:rPr>
        <w:t>nable prisoners to access a level of mental healthcare reasonably equivalent to that available to the general population of N</w:t>
      </w:r>
      <w:r w:rsidR="008041D0" w:rsidRPr="00AC0999">
        <w:rPr>
          <w:rFonts w:cs="Arial"/>
          <w:sz w:val="24"/>
          <w:szCs w:val="24"/>
        </w:rPr>
        <w:t xml:space="preserve">ew </w:t>
      </w:r>
      <w:r w:rsidRPr="00AC0999">
        <w:rPr>
          <w:rFonts w:cs="Arial"/>
          <w:sz w:val="24"/>
          <w:szCs w:val="24"/>
        </w:rPr>
        <w:t>Z</w:t>
      </w:r>
      <w:r w:rsidR="008041D0" w:rsidRPr="00AC0999">
        <w:rPr>
          <w:rFonts w:cs="Arial"/>
          <w:sz w:val="24"/>
          <w:szCs w:val="24"/>
        </w:rPr>
        <w:t>ealand</w:t>
      </w:r>
      <w:r w:rsidRPr="00AC0999">
        <w:rPr>
          <w:rFonts w:cs="Arial"/>
          <w:sz w:val="24"/>
          <w:szCs w:val="24"/>
        </w:rPr>
        <w:t xml:space="preserve">. </w:t>
      </w:r>
    </w:p>
    <w:p w:rsidR="00027868" w:rsidRPr="00AC0999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46" w:name="_Toc215319138"/>
      <w:r w:rsidRPr="00AC0999">
        <w:rPr>
          <w:rFonts w:cs="Arial"/>
          <w:b/>
          <w:sz w:val="24"/>
          <w:szCs w:val="24"/>
        </w:rPr>
        <w:t>2.</w:t>
      </w:r>
      <w:r w:rsidR="00ED0E28">
        <w:rPr>
          <w:rFonts w:cs="Arial"/>
          <w:b/>
          <w:sz w:val="24"/>
          <w:szCs w:val="24"/>
        </w:rPr>
        <w:t>2</w:t>
      </w:r>
      <w:r w:rsidRPr="00AC0999">
        <w:rPr>
          <w:rFonts w:cs="Arial"/>
          <w:b/>
          <w:sz w:val="24"/>
          <w:szCs w:val="24"/>
        </w:rPr>
        <w:tab/>
        <w:t>M</w:t>
      </w:r>
      <w:r w:rsidR="001633EA" w:rsidRPr="00AC0999">
        <w:rPr>
          <w:rFonts w:cs="Arial"/>
          <w:b/>
          <w:sz w:val="24"/>
          <w:szCs w:val="24"/>
        </w:rPr>
        <w:t>ā</w:t>
      </w:r>
      <w:r w:rsidRPr="00AC0999">
        <w:rPr>
          <w:rFonts w:cs="Arial"/>
          <w:b/>
          <w:sz w:val="24"/>
          <w:szCs w:val="24"/>
        </w:rPr>
        <w:t>ori Health</w:t>
      </w:r>
      <w:bookmarkEnd w:id="46"/>
    </w:p>
    <w:p w:rsidR="00027868" w:rsidRPr="00AC0999" w:rsidRDefault="000721D5" w:rsidP="00027868">
      <w:pPr>
        <w:spacing w:before="120"/>
        <w:rPr>
          <w:rFonts w:cs="Arial"/>
          <w:sz w:val="24"/>
          <w:szCs w:val="24"/>
        </w:rPr>
      </w:pPr>
      <w:r w:rsidRPr="00AC0999">
        <w:rPr>
          <w:rFonts w:cs="Arial"/>
          <w:sz w:val="24"/>
          <w:szCs w:val="24"/>
        </w:rPr>
        <w:t xml:space="preserve">Refer to </w:t>
      </w:r>
      <w:r w:rsidR="00862B69" w:rsidRPr="00AC0999">
        <w:rPr>
          <w:rFonts w:cs="Arial"/>
          <w:sz w:val="24"/>
          <w:szCs w:val="24"/>
        </w:rPr>
        <w:t xml:space="preserve">the </w:t>
      </w:r>
      <w:r w:rsidRPr="00AC0999">
        <w:rPr>
          <w:rFonts w:cs="Arial"/>
          <w:sz w:val="24"/>
          <w:szCs w:val="24"/>
        </w:rPr>
        <w:t xml:space="preserve">tier one </w:t>
      </w:r>
      <w:r w:rsidR="001023DC" w:rsidRPr="00AC0999">
        <w:rPr>
          <w:rFonts w:cs="Arial"/>
          <w:sz w:val="24"/>
          <w:szCs w:val="24"/>
        </w:rPr>
        <w:t>Mental Health and Addiction Services</w:t>
      </w:r>
      <w:r w:rsidR="00445FB5" w:rsidRPr="00AC0999">
        <w:rPr>
          <w:rFonts w:cs="Arial"/>
          <w:sz w:val="24"/>
          <w:szCs w:val="24"/>
        </w:rPr>
        <w:t xml:space="preserve"> service specification</w:t>
      </w:r>
      <w:r w:rsidR="008E0703" w:rsidRPr="00AC0999">
        <w:rPr>
          <w:rFonts w:cs="Arial"/>
          <w:sz w:val="24"/>
          <w:szCs w:val="24"/>
        </w:rPr>
        <w:t>.</w:t>
      </w:r>
    </w:p>
    <w:p w:rsidR="00027868" w:rsidRPr="00AC0999" w:rsidRDefault="00027868" w:rsidP="00026970">
      <w:pPr>
        <w:tabs>
          <w:tab w:val="left" w:pos="570"/>
        </w:tabs>
        <w:spacing w:before="240"/>
        <w:rPr>
          <w:rFonts w:cs="Arial"/>
          <w:b/>
          <w:sz w:val="24"/>
          <w:szCs w:val="24"/>
        </w:rPr>
      </w:pPr>
      <w:bookmarkStart w:id="47" w:name="_Toc215319140"/>
      <w:r w:rsidRPr="00AC0999">
        <w:rPr>
          <w:rFonts w:cs="Arial"/>
          <w:b/>
          <w:sz w:val="24"/>
          <w:szCs w:val="24"/>
        </w:rPr>
        <w:t>3.</w:t>
      </w:r>
      <w:r w:rsidRPr="00AC0999">
        <w:rPr>
          <w:rFonts w:cs="Arial"/>
          <w:b/>
          <w:sz w:val="24"/>
          <w:szCs w:val="24"/>
        </w:rPr>
        <w:tab/>
        <w:t>Service Users</w:t>
      </w:r>
      <w:bookmarkEnd w:id="47"/>
    </w:p>
    <w:p w:rsidR="00F24D48" w:rsidRPr="00AC0999" w:rsidRDefault="00027868" w:rsidP="00F24D48">
      <w:pPr>
        <w:spacing w:before="120"/>
        <w:rPr>
          <w:rFonts w:cs="Arial"/>
          <w:sz w:val="24"/>
          <w:szCs w:val="24"/>
        </w:rPr>
      </w:pPr>
      <w:r w:rsidRPr="00AC0999">
        <w:rPr>
          <w:rFonts w:cs="Arial"/>
          <w:sz w:val="24"/>
          <w:szCs w:val="24"/>
        </w:rPr>
        <w:t xml:space="preserve">The Service </w:t>
      </w:r>
      <w:r w:rsidR="00AC0999">
        <w:rPr>
          <w:rFonts w:cs="Arial"/>
          <w:sz w:val="24"/>
          <w:szCs w:val="24"/>
        </w:rPr>
        <w:t>u</w:t>
      </w:r>
      <w:r w:rsidR="00D30409" w:rsidRPr="00AC0999">
        <w:rPr>
          <w:rFonts w:cs="Arial"/>
          <w:sz w:val="24"/>
          <w:szCs w:val="24"/>
        </w:rPr>
        <w:t xml:space="preserve">sers </w:t>
      </w:r>
      <w:r w:rsidRPr="00AC0999">
        <w:rPr>
          <w:rFonts w:cs="Arial"/>
          <w:sz w:val="24"/>
          <w:szCs w:val="24"/>
        </w:rPr>
        <w:t>will be people</w:t>
      </w:r>
      <w:r w:rsidR="000721D5" w:rsidRPr="00AC0999">
        <w:rPr>
          <w:rFonts w:cs="Arial"/>
          <w:sz w:val="24"/>
          <w:szCs w:val="24"/>
        </w:rPr>
        <w:t xml:space="preserve"> that meet the a</w:t>
      </w:r>
      <w:r w:rsidR="00576D31" w:rsidRPr="00AC0999">
        <w:rPr>
          <w:rFonts w:cs="Arial"/>
          <w:sz w:val="24"/>
          <w:szCs w:val="24"/>
        </w:rPr>
        <w:t>s</w:t>
      </w:r>
      <w:r w:rsidR="000721D5" w:rsidRPr="00AC0999">
        <w:rPr>
          <w:rFonts w:cs="Arial"/>
          <w:sz w:val="24"/>
          <w:szCs w:val="24"/>
        </w:rPr>
        <w:t>sessment criteria for Forensic Mental Health</w:t>
      </w:r>
      <w:r w:rsidR="003A1DED" w:rsidRPr="00AC0999">
        <w:rPr>
          <w:rFonts w:cs="Arial"/>
          <w:sz w:val="24"/>
          <w:szCs w:val="24"/>
        </w:rPr>
        <w:t xml:space="preserve"> services</w:t>
      </w:r>
      <w:r w:rsidR="00F24D48" w:rsidRPr="00AC0999">
        <w:rPr>
          <w:rFonts w:cs="Arial"/>
          <w:sz w:val="24"/>
          <w:szCs w:val="24"/>
        </w:rPr>
        <w:t>.</w:t>
      </w:r>
      <w:r w:rsidR="00F640E7" w:rsidRPr="00AC0999">
        <w:rPr>
          <w:rFonts w:cs="Arial"/>
          <w:sz w:val="24"/>
          <w:szCs w:val="24"/>
        </w:rPr>
        <w:t xml:space="preserve"> </w:t>
      </w:r>
      <w:r w:rsidR="008E0703" w:rsidRPr="00AC0999">
        <w:rPr>
          <w:rFonts w:cs="Arial"/>
          <w:sz w:val="24"/>
          <w:szCs w:val="24"/>
        </w:rPr>
        <w:t xml:space="preserve"> </w:t>
      </w:r>
      <w:r w:rsidR="00F24D48" w:rsidRPr="00AC0999">
        <w:rPr>
          <w:rFonts w:cs="Arial"/>
          <w:sz w:val="24"/>
          <w:szCs w:val="24"/>
        </w:rPr>
        <w:t xml:space="preserve">Young people should be transitioning to adult services </w:t>
      </w:r>
      <w:r w:rsidR="009043F1" w:rsidRPr="00AC0999">
        <w:rPr>
          <w:rFonts w:cs="Arial"/>
          <w:sz w:val="24"/>
          <w:szCs w:val="24"/>
        </w:rPr>
        <w:t>up to</w:t>
      </w:r>
      <w:r w:rsidR="00F24D48" w:rsidRPr="00AC0999">
        <w:rPr>
          <w:rFonts w:cs="Arial"/>
          <w:sz w:val="24"/>
          <w:szCs w:val="24"/>
        </w:rPr>
        <w:t xml:space="preserve"> their </w:t>
      </w:r>
      <w:r w:rsidR="009043F1" w:rsidRPr="00AC0999">
        <w:rPr>
          <w:rFonts w:cs="Arial"/>
          <w:sz w:val="24"/>
          <w:szCs w:val="24"/>
        </w:rPr>
        <w:t>20</w:t>
      </w:r>
      <w:r w:rsidR="00F24D48" w:rsidRPr="00AC0999">
        <w:rPr>
          <w:rFonts w:cs="Arial"/>
          <w:sz w:val="24"/>
          <w:szCs w:val="24"/>
          <w:vertAlign w:val="superscript"/>
        </w:rPr>
        <w:t>th</w:t>
      </w:r>
      <w:r w:rsidR="00F24D48" w:rsidRPr="00AC0999">
        <w:rPr>
          <w:rFonts w:cs="Arial"/>
          <w:sz w:val="24"/>
          <w:szCs w:val="24"/>
        </w:rPr>
        <w:t xml:space="preserve"> birthday if developmentally appropriate.</w:t>
      </w:r>
    </w:p>
    <w:p w:rsidR="00027868" w:rsidRPr="00AC0999" w:rsidRDefault="00027868" w:rsidP="00027868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48" w:name="_Toc215319141"/>
      <w:r w:rsidRPr="00AC0999">
        <w:rPr>
          <w:rFonts w:cs="Arial"/>
          <w:b/>
          <w:sz w:val="24"/>
          <w:szCs w:val="24"/>
        </w:rPr>
        <w:t>4.</w:t>
      </w:r>
      <w:r w:rsidRPr="00AC0999">
        <w:rPr>
          <w:rFonts w:cs="Arial"/>
          <w:b/>
          <w:sz w:val="24"/>
          <w:szCs w:val="24"/>
        </w:rPr>
        <w:tab/>
        <w:t>Access</w:t>
      </w:r>
      <w:bookmarkEnd w:id="48"/>
    </w:p>
    <w:p w:rsidR="00027868" w:rsidRPr="00AC0999" w:rsidRDefault="00445FB5" w:rsidP="00B87B37">
      <w:pPr>
        <w:spacing w:before="120"/>
        <w:rPr>
          <w:rFonts w:cs="Arial"/>
          <w:sz w:val="24"/>
          <w:szCs w:val="24"/>
        </w:rPr>
      </w:pPr>
      <w:r w:rsidRPr="00AC0999">
        <w:rPr>
          <w:rFonts w:cs="Arial"/>
          <w:sz w:val="24"/>
          <w:szCs w:val="24"/>
        </w:rPr>
        <w:t xml:space="preserve">The Service </w:t>
      </w:r>
      <w:r w:rsidR="003402A5" w:rsidRPr="00AC0999">
        <w:rPr>
          <w:rFonts w:cs="Arial"/>
          <w:sz w:val="24"/>
          <w:szCs w:val="24"/>
        </w:rPr>
        <w:t>is</w:t>
      </w:r>
      <w:r w:rsidRPr="00AC0999">
        <w:rPr>
          <w:rFonts w:cs="Arial"/>
          <w:sz w:val="24"/>
          <w:szCs w:val="24"/>
        </w:rPr>
        <w:t xml:space="preserve"> a</w:t>
      </w:r>
      <w:r w:rsidR="009E6D22" w:rsidRPr="00AC0999">
        <w:rPr>
          <w:rFonts w:cs="Arial"/>
          <w:sz w:val="24"/>
          <w:szCs w:val="24"/>
        </w:rPr>
        <w:t xml:space="preserve">ccessed by referral from prison </w:t>
      </w:r>
      <w:r w:rsidR="008E0703" w:rsidRPr="00AC0999">
        <w:rPr>
          <w:rFonts w:cs="Arial"/>
          <w:sz w:val="24"/>
          <w:szCs w:val="24"/>
        </w:rPr>
        <w:t>primary health care providers.</w:t>
      </w:r>
    </w:p>
    <w:p w:rsidR="00027868" w:rsidRPr="00AC0999" w:rsidRDefault="006C737E" w:rsidP="0006004F">
      <w:pPr>
        <w:tabs>
          <w:tab w:val="left" w:pos="570"/>
        </w:tabs>
        <w:rPr>
          <w:rFonts w:cs="Arial"/>
          <w:b/>
          <w:sz w:val="24"/>
          <w:szCs w:val="24"/>
        </w:rPr>
      </w:pPr>
      <w:bookmarkStart w:id="49" w:name="_Toc215319145"/>
      <w:r w:rsidRPr="00AC0999">
        <w:rPr>
          <w:rFonts w:cs="Arial"/>
          <w:b/>
          <w:sz w:val="24"/>
          <w:szCs w:val="24"/>
        </w:rPr>
        <w:br w:type="page"/>
      </w:r>
      <w:r w:rsidR="00027868" w:rsidRPr="00AC0999">
        <w:rPr>
          <w:rFonts w:cs="Arial"/>
          <w:b/>
          <w:sz w:val="24"/>
          <w:szCs w:val="24"/>
        </w:rPr>
        <w:lastRenderedPageBreak/>
        <w:t>5.</w:t>
      </w:r>
      <w:r w:rsidR="00027868" w:rsidRPr="00AC0999">
        <w:rPr>
          <w:rFonts w:cs="Arial"/>
          <w:b/>
          <w:sz w:val="24"/>
          <w:szCs w:val="24"/>
        </w:rPr>
        <w:tab/>
        <w:t>Service Components</w:t>
      </w:r>
      <w:bookmarkEnd w:id="49"/>
    </w:p>
    <w:p w:rsidR="00027868" w:rsidRPr="00AC0999" w:rsidRDefault="00027868" w:rsidP="008A0AB1">
      <w:pPr>
        <w:tabs>
          <w:tab w:val="left" w:pos="570"/>
        </w:tabs>
        <w:spacing w:before="120"/>
        <w:rPr>
          <w:rFonts w:cs="Arial"/>
          <w:b/>
          <w:sz w:val="24"/>
          <w:szCs w:val="24"/>
        </w:rPr>
      </w:pPr>
      <w:bookmarkStart w:id="50" w:name="_Toc215319146"/>
      <w:r w:rsidRPr="00AC0999">
        <w:rPr>
          <w:rFonts w:cs="Arial"/>
          <w:b/>
          <w:sz w:val="24"/>
          <w:szCs w:val="24"/>
        </w:rPr>
        <w:t>5.1</w:t>
      </w:r>
      <w:r w:rsidRPr="00AC0999">
        <w:rPr>
          <w:rFonts w:cs="Arial"/>
          <w:b/>
          <w:sz w:val="24"/>
          <w:szCs w:val="24"/>
        </w:rPr>
        <w:tab/>
        <w:t>Processes</w:t>
      </w:r>
      <w:bookmarkEnd w:id="50"/>
    </w:p>
    <w:p w:rsidR="003A1DED" w:rsidRPr="00AC0999" w:rsidRDefault="00027868" w:rsidP="008E0703">
      <w:pPr>
        <w:spacing w:after="60"/>
        <w:rPr>
          <w:rFonts w:cs="Arial"/>
          <w:sz w:val="24"/>
          <w:szCs w:val="24"/>
        </w:rPr>
      </w:pPr>
      <w:r w:rsidRPr="00AC0999">
        <w:rPr>
          <w:rFonts w:cs="Arial"/>
          <w:sz w:val="24"/>
          <w:szCs w:val="24"/>
        </w:rPr>
        <w:t>The processes include but are not limited to the following:</w:t>
      </w:r>
      <w:r w:rsidR="008E0703" w:rsidRPr="00AC0999">
        <w:rPr>
          <w:rFonts w:cs="Arial"/>
          <w:sz w:val="24"/>
          <w:szCs w:val="24"/>
        </w:rPr>
        <w:t xml:space="preserve"> a</w:t>
      </w:r>
      <w:r w:rsidRPr="00AC0999">
        <w:rPr>
          <w:rFonts w:cs="Arial"/>
          <w:sz w:val="24"/>
          <w:szCs w:val="24"/>
        </w:rPr>
        <w:t>ssessment</w:t>
      </w:r>
      <w:r w:rsidR="00CE401F" w:rsidRPr="00AC0999">
        <w:rPr>
          <w:rFonts w:cs="Arial"/>
          <w:sz w:val="24"/>
          <w:szCs w:val="24"/>
        </w:rPr>
        <w:t>, consultation,</w:t>
      </w:r>
      <w:r w:rsidRPr="00AC0999">
        <w:rPr>
          <w:rFonts w:cs="Arial"/>
          <w:sz w:val="24"/>
          <w:szCs w:val="24"/>
        </w:rPr>
        <w:t xml:space="preserve"> treatment, intervention</w:t>
      </w:r>
      <w:r w:rsidR="00576D31" w:rsidRPr="00AC0999">
        <w:rPr>
          <w:rFonts w:cs="Arial"/>
          <w:sz w:val="24"/>
          <w:szCs w:val="24"/>
        </w:rPr>
        <w:t xml:space="preserve">, rehabilitation, </w:t>
      </w:r>
      <w:r w:rsidR="00CE401F" w:rsidRPr="00AC0999">
        <w:rPr>
          <w:rFonts w:cs="Arial"/>
          <w:sz w:val="24"/>
          <w:szCs w:val="24"/>
        </w:rPr>
        <w:t>liaison</w:t>
      </w:r>
      <w:r w:rsidR="00576D31" w:rsidRPr="00AC0999">
        <w:rPr>
          <w:rFonts w:cs="Arial"/>
          <w:sz w:val="24"/>
          <w:szCs w:val="24"/>
        </w:rPr>
        <w:t xml:space="preserve">, advocacy </w:t>
      </w:r>
      <w:r w:rsidRPr="00AC0999">
        <w:rPr>
          <w:rFonts w:cs="Arial"/>
          <w:sz w:val="24"/>
          <w:szCs w:val="24"/>
        </w:rPr>
        <w:t>and support</w:t>
      </w:r>
      <w:r w:rsidR="00F24D48" w:rsidRPr="00AC0999">
        <w:rPr>
          <w:rFonts w:cs="Arial"/>
          <w:sz w:val="24"/>
          <w:szCs w:val="24"/>
        </w:rPr>
        <w:t xml:space="preserve">, </w:t>
      </w:r>
      <w:r w:rsidRPr="00AC0999">
        <w:rPr>
          <w:rFonts w:cs="Arial"/>
          <w:sz w:val="24"/>
          <w:szCs w:val="24"/>
        </w:rPr>
        <w:t>review process</w:t>
      </w:r>
      <w:r w:rsidR="00CE401F" w:rsidRPr="00AC0999">
        <w:rPr>
          <w:rFonts w:cs="Arial"/>
          <w:sz w:val="24"/>
          <w:szCs w:val="24"/>
        </w:rPr>
        <w:t>,</w:t>
      </w:r>
      <w:r w:rsidRPr="00AC0999">
        <w:rPr>
          <w:rFonts w:cs="Arial"/>
          <w:sz w:val="24"/>
          <w:szCs w:val="24"/>
        </w:rPr>
        <w:t xml:space="preserve"> </w:t>
      </w:r>
      <w:r w:rsidR="00FD7AA7" w:rsidRPr="00AC0999">
        <w:rPr>
          <w:rFonts w:cs="Arial"/>
          <w:sz w:val="24"/>
          <w:szCs w:val="24"/>
        </w:rPr>
        <w:t xml:space="preserve">and </w:t>
      </w:r>
      <w:r w:rsidRPr="00AC0999">
        <w:rPr>
          <w:rFonts w:cs="Arial"/>
          <w:sz w:val="24"/>
          <w:szCs w:val="24"/>
        </w:rPr>
        <w:t>discharge.</w:t>
      </w:r>
    </w:p>
    <w:p w:rsidR="00027868" w:rsidRPr="00AC0999" w:rsidRDefault="00027868" w:rsidP="006C737E">
      <w:pPr>
        <w:tabs>
          <w:tab w:val="left" w:pos="570"/>
        </w:tabs>
        <w:spacing w:before="120"/>
        <w:rPr>
          <w:rFonts w:cs="Arial"/>
          <w:b/>
          <w:sz w:val="24"/>
          <w:szCs w:val="24"/>
        </w:rPr>
      </w:pPr>
      <w:bookmarkStart w:id="51" w:name="_Toc215319147"/>
      <w:r w:rsidRPr="00AC0999">
        <w:rPr>
          <w:rFonts w:cs="Arial"/>
          <w:b/>
          <w:sz w:val="24"/>
          <w:szCs w:val="24"/>
        </w:rPr>
        <w:t>5.2</w:t>
      </w:r>
      <w:r w:rsidRPr="00AC0999">
        <w:rPr>
          <w:rFonts w:cs="Arial"/>
          <w:b/>
          <w:sz w:val="24"/>
          <w:szCs w:val="24"/>
        </w:rPr>
        <w:tab/>
        <w:t>Settings</w:t>
      </w:r>
      <w:bookmarkEnd w:id="51"/>
    </w:p>
    <w:p w:rsidR="00027868" w:rsidRPr="00AC0999" w:rsidRDefault="00027868" w:rsidP="00027868">
      <w:pPr>
        <w:spacing w:before="120"/>
        <w:rPr>
          <w:rFonts w:cs="Arial"/>
          <w:sz w:val="24"/>
          <w:szCs w:val="24"/>
        </w:rPr>
      </w:pPr>
      <w:r w:rsidRPr="00AC0999">
        <w:rPr>
          <w:rFonts w:cs="Arial"/>
          <w:sz w:val="24"/>
          <w:szCs w:val="24"/>
        </w:rPr>
        <w:t xml:space="preserve">The Service is provided in </w:t>
      </w:r>
      <w:r w:rsidR="00576D31" w:rsidRPr="00AC0999">
        <w:rPr>
          <w:rFonts w:cs="Arial"/>
          <w:sz w:val="24"/>
          <w:szCs w:val="24"/>
        </w:rPr>
        <w:t>prison</w:t>
      </w:r>
      <w:r w:rsidRPr="00AC0999">
        <w:rPr>
          <w:rFonts w:cs="Arial"/>
          <w:sz w:val="24"/>
          <w:szCs w:val="24"/>
        </w:rPr>
        <w:t xml:space="preserve"> based settings. </w:t>
      </w:r>
    </w:p>
    <w:p w:rsidR="00027868" w:rsidRPr="00AC0999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52" w:name="_Toc215319151"/>
      <w:r w:rsidRPr="00AC0999">
        <w:rPr>
          <w:rFonts w:cs="Arial"/>
          <w:b/>
          <w:sz w:val="24"/>
          <w:szCs w:val="24"/>
        </w:rPr>
        <w:t>5.3</w:t>
      </w:r>
      <w:r w:rsidRPr="00AC0999">
        <w:rPr>
          <w:rFonts w:cs="Arial"/>
          <w:b/>
          <w:sz w:val="24"/>
          <w:szCs w:val="24"/>
        </w:rPr>
        <w:tab/>
        <w:t xml:space="preserve">Key Inputs </w:t>
      </w:r>
      <w:bookmarkStart w:id="53" w:name="_Toc215319152"/>
      <w:bookmarkEnd w:id="52"/>
    </w:p>
    <w:p w:rsidR="004C6AEA" w:rsidRPr="00AC0999" w:rsidRDefault="004C6AEA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r w:rsidRPr="00AC0999">
        <w:rPr>
          <w:rFonts w:cs="Arial"/>
          <w:color w:val="000000"/>
          <w:sz w:val="24"/>
          <w:szCs w:val="24"/>
          <w:lang w:val="en-NZ"/>
        </w:rPr>
        <w:t>Refer to the tier two Forensic Me</w:t>
      </w:r>
      <w:r w:rsidR="006C737E" w:rsidRPr="00AC0999">
        <w:rPr>
          <w:rFonts w:cs="Arial"/>
          <w:color w:val="000000"/>
          <w:sz w:val="24"/>
          <w:szCs w:val="24"/>
          <w:lang w:val="en-NZ"/>
        </w:rPr>
        <w:t>ntal H</w:t>
      </w:r>
      <w:r w:rsidRPr="00AC0999">
        <w:rPr>
          <w:rFonts w:cs="Arial"/>
          <w:color w:val="000000"/>
          <w:sz w:val="24"/>
          <w:szCs w:val="24"/>
          <w:lang w:val="en-NZ"/>
        </w:rPr>
        <w:t>ealth Services service specification.</w:t>
      </w:r>
    </w:p>
    <w:p w:rsidR="00027868" w:rsidRPr="00AC0999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r w:rsidRPr="00AC0999">
        <w:rPr>
          <w:rFonts w:cs="Arial"/>
          <w:b/>
          <w:sz w:val="24"/>
          <w:szCs w:val="24"/>
        </w:rPr>
        <w:t>5.4.</w:t>
      </w:r>
      <w:r w:rsidRPr="00AC0999">
        <w:rPr>
          <w:rFonts w:cs="Arial"/>
          <w:b/>
          <w:sz w:val="24"/>
          <w:szCs w:val="24"/>
        </w:rPr>
        <w:tab/>
        <w:t>Pacific Health</w:t>
      </w:r>
      <w:bookmarkEnd w:id="53"/>
    </w:p>
    <w:p w:rsidR="00027868" w:rsidRPr="00AC0999" w:rsidRDefault="000721D5" w:rsidP="00027868">
      <w:pPr>
        <w:spacing w:after="120"/>
        <w:rPr>
          <w:rFonts w:cs="Arial"/>
          <w:sz w:val="24"/>
          <w:szCs w:val="24"/>
        </w:rPr>
      </w:pPr>
      <w:r w:rsidRPr="00AC0999">
        <w:rPr>
          <w:rFonts w:cs="Arial"/>
          <w:sz w:val="24"/>
          <w:szCs w:val="24"/>
        </w:rPr>
        <w:t xml:space="preserve">Refer to </w:t>
      </w:r>
      <w:r w:rsidR="00862B69" w:rsidRPr="00AC0999">
        <w:rPr>
          <w:rFonts w:cs="Arial"/>
          <w:sz w:val="24"/>
          <w:szCs w:val="24"/>
        </w:rPr>
        <w:t xml:space="preserve">the </w:t>
      </w:r>
      <w:r w:rsidRPr="00AC0999">
        <w:rPr>
          <w:rFonts w:cs="Arial"/>
          <w:sz w:val="24"/>
          <w:szCs w:val="24"/>
        </w:rPr>
        <w:t xml:space="preserve">tier one </w:t>
      </w:r>
      <w:r w:rsidR="001023DC" w:rsidRPr="00AC0999">
        <w:rPr>
          <w:rFonts w:cs="Arial"/>
          <w:sz w:val="24"/>
          <w:szCs w:val="24"/>
        </w:rPr>
        <w:t>Mental Health and Addiction Services</w:t>
      </w:r>
      <w:r w:rsidR="00445FB5" w:rsidRPr="00AC0999">
        <w:rPr>
          <w:rFonts w:cs="Arial"/>
          <w:sz w:val="24"/>
          <w:szCs w:val="24"/>
        </w:rPr>
        <w:t xml:space="preserve"> service specification</w:t>
      </w:r>
      <w:r w:rsidR="008E0703" w:rsidRPr="00AC0999">
        <w:rPr>
          <w:rFonts w:cs="Arial"/>
          <w:sz w:val="24"/>
          <w:szCs w:val="24"/>
        </w:rPr>
        <w:t>.</w:t>
      </w:r>
    </w:p>
    <w:p w:rsidR="00027868" w:rsidRPr="00AC0999" w:rsidRDefault="00027868" w:rsidP="00027868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54" w:name="_Toc215319155"/>
      <w:r w:rsidRPr="00AC0999">
        <w:rPr>
          <w:rFonts w:cs="Arial"/>
          <w:b/>
          <w:sz w:val="24"/>
          <w:szCs w:val="24"/>
        </w:rPr>
        <w:t>6.</w:t>
      </w:r>
      <w:r w:rsidRPr="00AC0999">
        <w:rPr>
          <w:rFonts w:cs="Arial"/>
          <w:b/>
          <w:sz w:val="24"/>
          <w:szCs w:val="24"/>
        </w:rPr>
        <w:tab/>
        <w:t>Service Linkages</w:t>
      </w:r>
      <w:bookmarkEnd w:id="54"/>
    </w:p>
    <w:p w:rsidR="00027868" w:rsidRPr="00AC0999" w:rsidRDefault="00027868" w:rsidP="00027868">
      <w:pPr>
        <w:spacing w:before="120" w:after="120"/>
        <w:rPr>
          <w:rFonts w:cs="Arial"/>
          <w:sz w:val="24"/>
          <w:szCs w:val="24"/>
        </w:rPr>
      </w:pPr>
      <w:bookmarkStart w:id="55" w:name="_Toc215319158"/>
      <w:r w:rsidRPr="00AC0999">
        <w:rPr>
          <w:rFonts w:cs="Arial"/>
          <w:sz w:val="24"/>
          <w:szCs w:val="24"/>
        </w:rPr>
        <w:t>Linkages include, but are not limited to the following:</w:t>
      </w:r>
      <w:bookmarkEnd w:id="5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2"/>
        <w:gridCol w:w="1663"/>
        <w:gridCol w:w="4673"/>
      </w:tblGrid>
      <w:tr w:rsidR="00027868" w:rsidRPr="00AC0999" w:rsidTr="008A0AB1">
        <w:trPr>
          <w:tblHeader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7868" w:rsidRPr="00AC0999" w:rsidRDefault="00027868" w:rsidP="00027868">
            <w:pPr>
              <w:spacing w:before="120"/>
              <w:rPr>
                <w:rFonts w:cs="Arial"/>
                <w:b/>
                <w:sz w:val="24"/>
                <w:szCs w:val="24"/>
                <w:lang w:eastAsia="en-US"/>
              </w:rPr>
            </w:pPr>
            <w:bookmarkStart w:id="56" w:name="_Toc215319159"/>
            <w:r w:rsidRPr="00AC0999">
              <w:rPr>
                <w:rFonts w:cs="Arial"/>
                <w:b/>
                <w:sz w:val="24"/>
                <w:szCs w:val="24"/>
              </w:rPr>
              <w:t>Service Provider</w:t>
            </w:r>
            <w:bookmarkEnd w:id="56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7868" w:rsidRPr="00AC0999" w:rsidRDefault="00027868" w:rsidP="00027868">
            <w:pPr>
              <w:spacing w:before="120"/>
              <w:rPr>
                <w:rFonts w:cs="Arial"/>
                <w:b/>
                <w:sz w:val="24"/>
                <w:szCs w:val="24"/>
                <w:lang w:eastAsia="en-US"/>
              </w:rPr>
            </w:pPr>
            <w:bookmarkStart w:id="57" w:name="_Toc215319160"/>
            <w:r w:rsidRPr="00AC0999">
              <w:rPr>
                <w:rFonts w:cs="Arial"/>
                <w:b/>
                <w:sz w:val="24"/>
                <w:szCs w:val="24"/>
              </w:rPr>
              <w:t>Nature of Linkage</w:t>
            </w:r>
            <w:bookmarkEnd w:id="57"/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7868" w:rsidRPr="00AC0999" w:rsidRDefault="00027868" w:rsidP="00027868">
            <w:pPr>
              <w:spacing w:before="120"/>
              <w:rPr>
                <w:rFonts w:cs="Arial"/>
                <w:b/>
                <w:sz w:val="24"/>
                <w:szCs w:val="24"/>
                <w:lang w:eastAsia="en-US"/>
              </w:rPr>
            </w:pPr>
            <w:bookmarkStart w:id="58" w:name="_Toc215319161"/>
            <w:r w:rsidRPr="00AC0999">
              <w:rPr>
                <w:rFonts w:cs="Arial"/>
                <w:b/>
                <w:sz w:val="24"/>
                <w:szCs w:val="24"/>
              </w:rPr>
              <w:t>Accountabilities</w:t>
            </w:r>
            <w:bookmarkEnd w:id="58"/>
          </w:p>
        </w:tc>
      </w:tr>
      <w:tr w:rsidR="00027868" w:rsidRPr="00AC0999" w:rsidTr="008A0AB1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68" w:rsidRPr="00AC0999" w:rsidRDefault="00027868" w:rsidP="009D3242">
            <w:pPr>
              <w:spacing w:before="120" w:after="120"/>
              <w:rPr>
                <w:rFonts w:cs="Arial"/>
                <w:sz w:val="24"/>
                <w:szCs w:val="24"/>
                <w:lang w:eastAsia="en-US"/>
              </w:rPr>
            </w:pPr>
            <w:r w:rsidRPr="00AC0999">
              <w:rPr>
                <w:rFonts w:cs="Arial"/>
                <w:sz w:val="24"/>
                <w:szCs w:val="24"/>
                <w:lang w:eastAsia="en-US"/>
              </w:rPr>
              <w:t xml:space="preserve">Other providers of Mental Health </w:t>
            </w:r>
            <w:r w:rsidR="008D139A" w:rsidRPr="00AC0999">
              <w:rPr>
                <w:rFonts w:cs="Arial"/>
                <w:sz w:val="24"/>
                <w:szCs w:val="24"/>
                <w:lang w:eastAsia="en-US"/>
              </w:rPr>
              <w:t xml:space="preserve">and addiction </w:t>
            </w:r>
            <w:r w:rsidRPr="00AC0999">
              <w:rPr>
                <w:rFonts w:cs="Arial"/>
                <w:sz w:val="24"/>
                <w:szCs w:val="24"/>
                <w:lang w:eastAsia="en-US"/>
              </w:rPr>
              <w:t>services and general health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68" w:rsidRPr="00AC0999" w:rsidRDefault="00027868" w:rsidP="00862B69">
            <w:pPr>
              <w:spacing w:before="120" w:after="120"/>
              <w:rPr>
                <w:rFonts w:cs="Arial"/>
                <w:sz w:val="24"/>
                <w:szCs w:val="24"/>
                <w:lang w:eastAsia="en-US"/>
              </w:rPr>
            </w:pPr>
            <w:r w:rsidRPr="00AC0999">
              <w:rPr>
                <w:rFonts w:cs="Arial"/>
                <w:sz w:val="24"/>
                <w:szCs w:val="24"/>
              </w:rPr>
              <w:t xml:space="preserve">Referral, liaison, consultation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68" w:rsidRPr="00AC0999" w:rsidRDefault="00027868" w:rsidP="00862B69">
            <w:pPr>
              <w:spacing w:before="120" w:after="120"/>
              <w:rPr>
                <w:rFonts w:cs="Arial"/>
                <w:sz w:val="24"/>
                <w:szCs w:val="24"/>
                <w:lang w:eastAsia="en-US"/>
              </w:rPr>
            </w:pPr>
            <w:r w:rsidRPr="00AC0999">
              <w:rPr>
                <w:rFonts w:cs="Arial"/>
                <w:sz w:val="24"/>
                <w:szCs w:val="24"/>
              </w:rPr>
              <w:t xml:space="preserve">Work with other relevant professionals and agencies in the care of the </w:t>
            </w:r>
            <w:r w:rsidR="0034614E" w:rsidRPr="00AC0999">
              <w:rPr>
                <w:rFonts w:cs="Arial"/>
                <w:sz w:val="24"/>
                <w:szCs w:val="24"/>
              </w:rPr>
              <w:t>S</w:t>
            </w:r>
            <w:r w:rsidRPr="00AC0999">
              <w:rPr>
                <w:rFonts w:cs="Arial"/>
                <w:sz w:val="24"/>
                <w:szCs w:val="24"/>
              </w:rPr>
              <w:t>ervice user</w:t>
            </w:r>
            <w:r w:rsidR="0034614E" w:rsidRPr="00AC0999">
              <w:rPr>
                <w:rFonts w:cs="Arial"/>
                <w:sz w:val="24"/>
                <w:szCs w:val="24"/>
              </w:rPr>
              <w:t>.</w:t>
            </w:r>
          </w:p>
        </w:tc>
      </w:tr>
      <w:tr w:rsidR="00576D31" w:rsidRPr="00AC0999" w:rsidTr="008A0AB1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31" w:rsidRPr="00AC0999" w:rsidRDefault="00576D31" w:rsidP="00862B69">
            <w:pPr>
              <w:spacing w:before="120" w:after="120"/>
              <w:rPr>
                <w:rFonts w:cs="Arial"/>
                <w:sz w:val="24"/>
                <w:szCs w:val="24"/>
                <w:lang w:eastAsia="en-US"/>
              </w:rPr>
            </w:pPr>
            <w:r w:rsidRPr="00AC0999">
              <w:rPr>
                <w:rFonts w:cs="Arial"/>
                <w:sz w:val="24"/>
                <w:szCs w:val="24"/>
                <w:lang w:eastAsia="en-US"/>
              </w:rPr>
              <w:t xml:space="preserve">Other providers of services to </w:t>
            </w:r>
            <w:r w:rsidR="001023DC" w:rsidRPr="00AC0999">
              <w:rPr>
                <w:rFonts w:cs="Arial"/>
                <w:sz w:val="24"/>
                <w:szCs w:val="24"/>
                <w:lang w:eastAsia="en-US"/>
              </w:rPr>
              <w:t xml:space="preserve">people </w:t>
            </w:r>
            <w:r w:rsidR="00F657FE" w:rsidRPr="00AC0999">
              <w:rPr>
                <w:rFonts w:cs="Arial"/>
                <w:sz w:val="24"/>
                <w:szCs w:val="24"/>
                <w:lang w:eastAsia="en-US"/>
              </w:rPr>
              <w:t xml:space="preserve">under </w:t>
            </w:r>
            <w:r w:rsidR="003A1DED" w:rsidRPr="00AC0999">
              <w:rPr>
                <w:rFonts w:cs="Arial"/>
                <w:sz w:val="24"/>
                <w:szCs w:val="24"/>
                <w:lang w:eastAsia="en-US"/>
              </w:rPr>
              <w:t>the Justice system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31" w:rsidRPr="00AC0999" w:rsidRDefault="001023DC" w:rsidP="00862B69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AC0999">
              <w:rPr>
                <w:rFonts w:cs="Arial"/>
                <w:sz w:val="24"/>
                <w:szCs w:val="24"/>
              </w:rPr>
              <w:t xml:space="preserve">Referral, liaison, networking, collaboration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31" w:rsidRPr="00AC0999" w:rsidRDefault="001023DC" w:rsidP="00862B69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AC0999">
              <w:rPr>
                <w:rFonts w:cs="Arial"/>
                <w:sz w:val="24"/>
                <w:szCs w:val="24"/>
              </w:rPr>
              <w:t>Work collaboratively with other providers eg</w:t>
            </w:r>
            <w:r w:rsidR="00AC0999">
              <w:rPr>
                <w:rFonts w:cs="Arial"/>
                <w:sz w:val="24"/>
                <w:szCs w:val="24"/>
              </w:rPr>
              <w:t>,</w:t>
            </w:r>
            <w:r w:rsidRPr="00AC0999">
              <w:rPr>
                <w:rFonts w:cs="Arial"/>
                <w:sz w:val="24"/>
                <w:szCs w:val="24"/>
              </w:rPr>
              <w:t xml:space="preserve"> Department of Corrections, Prisons, Courts </w:t>
            </w:r>
          </w:p>
        </w:tc>
      </w:tr>
    </w:tbl>
    <w:p w:rsidR="00027868" w:rsidRPr="00AC0999" w:rsidRDefault="00D42DEC" w:rsidP="008A0AB1">
      <w:pPr>
        <w:spacing w:before="240"/>
        <w:rPr>
          <w:rFonts w:cs="Arial"/>
          <w:b/>
          <w:sz w:val="24"/>
          <w:szCs w:val="24"/>
        </w:rPr>
      </w:pPr>
      <w:bookmarkStart w:id="59" w:name="_Toc215319172"/>
      <w:r>
        <w:rPr>
          <w:rFonts w:cs="Arial"/>
          <w:b/>
          <w:sz w:val="24"/>
          <w:szCs w:val="24"/>
        </w:rPr>
        <w:t>7</w:t>
      </w:r>
      <w:r w:rsidR="003A1DED" w:rsidRPr="00AC0999">
        <w:rPr>
          <w:rFonts w:cs="Arial"/>
          <w:b/>
          <w:sz w:val="24"/>
          <w:szCs w:val="24"/>
        </w:rPr>
        <w:t>.</w:t>
      </w:r>
      <w:r w:rsidR="008E0703" w:rsidRPr="00AC0999">
        <w:rPr>
          <w:rFonts w:cs="Arial"/>
          <w:b/>
          <w:sz w:val="24"/>
          <w:szCs w:val="24"/>
        </w:rPr>
        <w:tab/>
      </w:r>
      <w:r w:rsidR="003A1DED" w:rsidRPr="00AC0999">
        <w:rPr>
          <w:rFonts w:cs="Arial"/>
          <w:b/>
          <w:sz w:val="24"/>
          <w:szCs w:val="24"/>
        </w:rPr>
        <w:t>P</w:t>
      </w:r>
      <w:r w:rsidR="00027868" w:rsidRPr="00AC0999">
        <w:rPr>
          <w:rFonts w:cs="Arial"/>
          <w:b/>
          <w:sz w:val="24"/>
          <w:szCs w:val="24"/>
        </w:rPr>
        <w:t>urchase Units and Reporting Requirements</w:t>
      </w:r>
      <w:bookmarkEnd w:id="59"/>
    </w:p>
    <w:p w:rsidR="008E0703" w:rsidRPr="00AC0999" w:rsidRDefault="00D42DEC" w:rsidP="008A0AB1">
      <w:pPr>
        <w:tabs>
          <w:tab w:val="left" w:pos="567"/>
          <w:tab w:val="left" w:pos="709"/>
          <w:tab w:val="left" w:pos="1701"/>
          <w:tab w:val="left" w:pos="2693"/>
        </w:tabs>
        <w:spacing w:before="120" w:after="120"/>
        <w:rPr>
          <w:rFonts w:cs="Arial"/>
          <w:sz w:val="24"/>
          <w:szCs w:val="24"/>
        </w:rPr>
      </w:pPr>
      <w:bookmarkStart w:id="60" w:name="_Toc215319173"/>
      <w:r>
        <w:rPr>
          <w:rFonts w:cs="Arial"/>
          <w:b/>
          <w:sz w:val="24"/>
          <w:szCs w:val="24"/>
        </w:rPr>
        <w:t>7</w:t>
      </w:r>
      <w:r w:rsidR="00B41E34" w:rsidRPr="00937711">
        <w:rPr>
          <w:rFonts w:cs="Arial"/>
          <w:b/>
          <w:sz w:val="24"/>
          <w:szCs w:val="24"/>
        </w:rPr>
        <w:t>.1</w:t>
      </w:r>
      <w:r w:rsidR="00B41E34">
        <w:rPr>
          <w:rFonts w:cs="Arial"/>
          <w:sz w:val="24"/>
          <w:szCs w:val="24"/>
        </w:rPr>
        <w:tab/>
      </w:r>
      <w:r w:rsidR="00027868" w:rsidRPr="00AC0999">
        <w:rPr>
          <w:rFonts w:cs="Arial"/>
          <w:sz w:val="24"/>
          <w:szCs w:val="24"/>
        </w:rPr>
        <w:t xml:space="preserve">Purchase Units </w:t>
      </w:r>
      <w:r w:rsidR="00E953F9" w:rsidRPr="00B63663">
        <w:rPr>
          <w:rFonts w:cs="Arial"/>
          <w:sz w:val="24"/>
          <w:szCs w:val="24"/>
        </w:rPr>
        <w:t>(PU) Codes</w:t>
      </w:r>
      <w:r w:rsidR="00E953F9" w:rsidRPr="00063831">
        <w:rPr>
          <w:rFonts w:cs="Arial"/>
          <w:szCs w:val="24"/>
        </w:rPr>
        <w:t xml:space="preserve"> </w:t>
      </w:r>
      <w:r w:rsidR="00027868" w:rsidRPr="00AC0999">
        <w:rPr>
          <w:rFonts w:cs="Arial"/>
          <w:sz w:val="24"/>
          <w:szCs w:val="24"/>
        </w:rPr>
        <w:t xml:space="preserve">are defined in the DHB and Ministry’s Nationwide Service Framework Purchase Unit Data Dictionary.  </w:t>
      </w:r>
      <w:bookmarkEnd w:id="60"/>
      <w:r w:rsidR="008E0703" w:rsidRPr="00AC0999">
        <w:rPr>
          <w:rFonts w:cs="Arial"/>
          <w:sz w:val="24"/>
          <w:szCs w:val="24"/>
        </w:rPr>
        <w:t xml:space="preserve">The following </w:t>
      </w:r>
      <w:r w:rsidR="00E953F9">
        <w:rPr>
          <w:rFonts w:cs="Arial"/>
          <w:sz w:val="24"/>
          <w:szCs w:val="24"/>
        </w:rPr>
        <w:t>codes</w:t>
      </w:r>
      <w:r w:rsidR="008E0703" w:rsidRPr="00AC0999">
        <w:rPr>
          <w:rFonts w:cs="Arial"/>
          <w:sz w:val="24"/>
          <w:szCs w:val="24"/>
        </w:rPr>
        <w:t xml:space="preserve"> apply to the Service.</w:t>
      </w:r>
    </w:p>
    <w:tbl>
      <w:tblPr>
        <w:tblW w:w="501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215"/>
        <w:gridCol w:w="5262"/>
        <w:gridCol w:w="1109"/>
      </w:tblGrid>
      <w:tr w:rsidR="009D3242" w:rsidRPr="00AC0999" w:rsidTr="009D3242">
        <w:trPr>
          <w:cantSplit/>
          <w:trHeight w:val="290"/>
          <w:tblHeader/>
        </w:trPr>
        <w:tc>
          <w:tcPr>
            <w:tcW w:w="557" w:type="pct"/>
            <w:shd w:val="clear" w:color="auto" w:fill="D9D9D9"/>
          </w:tcPr>
          <w:p w:rsidR="005134FF" w:rsidRPr="00AC0999" w:rsidRDefault="005134FF" w:rsidP="008E0703">
            <w:pPr>
              <w:spacing w:before="120"/>
              <w:rPr>
                <w:rFonts w:cs="Arial"/>
                <w:b/>
                <w:sz w:val="20"/>
              </w:rPr>
            </w:pPr>
            <w:bookmarkStart w:id="61" w:name="_Toc215319174"/>
            <w:r w:rsidRPr="00AC0999">
              <w:rPr>
                <w:rFonts w:cs="Arial"/>
                <w:b/>
                <w:sz w:val="20"/>
              </w:rPr>
              <w:t>PU Code</w:t>
            </w:r>
            <w:bookmarkEnd w:id="61"/>
          </w:p>
        </w:tc>
        <w:tc>
          <w:tcPr>
            <w:tcW w:w="1146" w:type="pct"/>
            <w:tcBorders>
              <w:right w:val="single" w:sz="4" w:space="0" w:color="auto"/>
            </w:tcBorders>
            <w:shd w:val="clear" w:color="auto" w:fill="D9D9D9"/>
          </w:tcPr>
          <w:p w:rsidR="005134FF" w:rsidRPr="00AC0999" w:rsidRDefault="005134FF" w:rsidP="008E0703">
            <w:pPr>
              <w:spacing w:before="120"/>
              <w:rPr>
                <w:rFonts w:cs="Arial"/>
                <w:b/>
                <w:sz w:val="20"/>
              </w:rPr>
            </w:pPr>
            <w:bookmarkStart w:id="62" w:name="_Toc215319175"/>
            <w:r w:rsidRPr="00AC0999">
              <w:rPr>
                <w:rFonts w:cs="Arial"/>
                <w:b/>
                <w:sz w:val="20"/>
              </w:rPr>
              <w:t>PU Description</w:t>
            </w:r>
            <w:bookmarkEnd w:id="62"/>
          </w:p>
        </w:tc>
        <w:tc>
          <w:tcPr>
            <w:tcW w:w="2723" w:type="pct"/>
            <w:tcBorders>
              <w:left w:val="single" w:sz="4" w:space="0" w:color="auto"/>
            </w:tcBorders>
            <w:shd w:val="clear" w:color="auto" w:fill="D9D9D9"/>
          </w:tcPr>
          <w:p w:rsidR="005134FF" w:rsidRPr="00AC0999" w:rsidRDefault="005134FF" w:rsidP="008E0703">
            <w:pPr>
              <w:spacing w:before="120"/>
              <w:rPr>
                <w:rFonts w:cs="Arial"/>
                <w:b/>
                <w:sz w:val="20"/>
              </w:rPr>
            </w:pPr>
            <w:r w:rsidRPr="00AC0999">
              <w:rPr>
                <w:rFonts w:cs="Arial"/>
                <w:b/>
                <w:sz w:val="20"/>
              </w:rPr>
              <w:t>PU Definition</w:t>
            </w:r>
          </w:p>
        </w:tc>
        <w:tc>
          <w:tcPr>
            <w:tcW w:w="574" w:type="pct"/>
            <w:shd w:val="clear" w:color="auto" w:fill="D9D9D9"/>
          </w:tcPr>
          <w:p w:rsidR="005134FF" w:rsidRPr="00AC0999" w:rsidRDefault="005134FF" w:rsidP="008E0703">
            <w:pPr>
              <w:spacing w:before="120"/>
              <w:rPr>
                <w:rFonts w:cs="Arial"/>
                <w:b/>
                <w:sz w:val="20"/>
              </w:rPr>
            </w:pPr>
            <w:bookmarkStart w:id="63" w:name="_Toc215319176"/>
            <w:r>
              <w:rPr>
                <w:rFonts w:cs="Arial"/>
                <w:b/>
                <w:sz w:val="20"/>
              </w:rPr>
              <w:t xml:space="preserve">Unit of </w:t>
            </w:r>
            <w:r w:rsidRPr="00AC0999">
              <w:rPr>
                <w:rFonts w:cs="Arial"/>
                <w:b/>
                <w:sz w:val="20"/>
              </w:rPr>
              <w:t>Measure</w:t>
            </w:r>
            <w:bookmarkEnd w:id="63"/>
          </w:p>
        </w:tc>
      </w:tr>
      <w:tr w:rsidR="00EF22C6" w:rsidRPr="00AC0999" w:rsidTr="008A0AB1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F" w:rsidRPr="00AC0999" w:rsidRDefault="005134FF" w:rsidP="00F60F94">
            <w:pPr>
              <w:spacing w:before="60" w:after="60"/>
              <w:rPr>
                <w:rFonts w:cs="Arial"/>
                <w:sz w:val="20"/>
              </w:rPr>
            </w:pPr>
            <w:r w:rsidRPr="00AC0999">
              <w:rPr>
                <w:rFonts w:cs="Arial"/>
                <w:sz w:val="20"/>
              </w:rPr>
              <w:t>MHF84A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F" w:rsidRPr="00AC0999" w:rsidRDefault="005134FF" w:rsidP="00F60F94">
            <w:pPr>
              <w:spacing w:before="60" w:after="60"/>
              <w:rPr>
                <w:rFonts w:cs="Arial"/>
                <w:sz w:val="20"/>
              </w:rPr>
            </w:pPr>
            <w:r w:rsidRPr="00AC0999">
              <w:rPr>
                <w:rFonts w:cs="Arial"/>
                <w:sz w:val="20"/>
              </w:rPr>
              <w:t>Forensic Mental Health – Prison Mental Health Service – Senior medical staff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F" w:rsidRPr="00AC0999" w:rsidRDefault="005134FF" w:rsidP="00F60F94">
            <w:pPr>
              <w:spacing w:before="60" w:after="60"/>
              <w:rPr>
                <w:rFonts w:cs="Arial"/>
                <w:sz w:val="20"/>
              </w:rPr>
            </w:pPr>
            <w:r w:rsidRPr="00AC0999">
              <w:rPr>
                <w:rFonts w:cs="Arial"/>
                <w:sz w:val="20"/>
              </w:rPr>
              <w:t>Multidisciplinary service comprised of specialist clinical staff to enable prisoners to access a level of mental healthcare reasonably equivalent to that available to the general population of New Zealand. The service is provided by senior medical staff, a component of the multidisciplinary team.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F" w:rsidRPr="00AC0999" w:rsidRDefault="005134FF" w:rsidP="00F60F94">
            <w:pPr>
              <w:spacing w:before="60" w:after="60"/>
              <w:rPr>
                <w:rFonts w:cs="Arial"/>
                <w:sz w:val="20"/>
              </w:rPr>
            </w:pPr>
            <w:r w:rsidRPr="00AC0999">
              <w:rPr>
                <w:rFonts w:cs="Arial"/>
                <w:sz w:val="20"/>
              </w:rPr>
              <w:t>FTE</w:t>
            </w:r>
          </w:p>
        </w:tc>
      </w:tr>
      <w:tr w:rsidR="00EF22C6" w:rsidRPr="00AC0999" w:rsidTr="008A0AB1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F" w:rsidRPr="00AC0999" w:rsidRDefault="005134FF" w:rsidP="00F60F94">
            <w:pPr>
              <w:spacing w:before="60" w:after="60"/>
              <w:rPr>
                <w:rFonts w:cs="Arial"/>
                <w:sz w:val="20"/>
              </w:rPr>
            </w:pPr>
            <w:r w:rsidRPr="00AC0999">
              <w:rPr>
                <w:rFonts w:cs="Arial"/>
                <w:sz w:val="20"/>
              </w:rPr>
              <w:t>MHF84B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F" w:rsidRPr="00AC0999" w:rsidRDefault="005134FF" w:rsidP="00F60F94">
            <w:pPr>
              <w:spacing w:before="60" w:after="60"/>
              <w:rPr>
                <w:rFonts w:cs="Arial"/>
                <w:sz w:val="20"/>
              </w:rPr>
            </w:pPr>
            <w:r w:rsidRPr="00AC0999">
              <w:rPr>
                <w:rFonts w:cs="Arial"/>
                <w:sz w:val="20"/>
              </w:rPr>
              <w:t>Forensic Mental Health – Prison Mental Health Service – Junior medical staff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F" w:rsidRPr="00AC0999" w:rsidRDefault="005134FF" w:rsidP="00F60F94">
            <w:pPr>
              <w:spacing w:before="60" w:after="60"/>
              <w:rPr>
                <w:rFonts w:cs="Arial"/>
                <w:sz w:val="20"/>
              </w:rPr>
            </w:pPr>
            <w:r w:rsidRPr="00AC0999">
              <w:rPr>
                <w:rFonts w:cs="Arial"/>
                <w:sz w:val="20"/>
              </w:rPr>
              <w:t>Multidisciplinary service comprised of specialist clinical staff to enable prisoners to access a level of mental healthcare reasonably equivalent to that available to the general population of New Zealand. The service is provided by junior medical staff, a component of the multidisciplinary team.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F" w:rsidRPr="00AC0999" w:rsidRDefault="005134FF" w:rsidP="00F60F94">
            <w:pPr>
              <w:spacing w:before="60" w:after="60"/>
              <w:rPr>
                <w:rFonts w:cs="Arial"/>
                <w:sz w:val="20"/>
              </w:rPr>
            </w:pPr>
            <w:r w:rsidRPr="00AC0999">
              <w:rPr>
                <w:rFonts w:cs="Arial"/>
                <w:sz w:val="20"/>
              </w:rPr>
              <w:t>FTE</w:t>
            </w:r>
          </w:p>
        </w:tc>
      </w:tr>
      <w:tr w:rsidR="00EF22C6" w:rsidRPr="00AC0999" w:rsidTr="008A0AB1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F" w:rsidRPr="00AC0999" w:rsidRDefault="005134FF" w:rsidP="00F60F94">
            <w:pPr>
              <w:spacing w:before="60" w:after="60"/>
              <w:rPr>
                <w:rFonts w:cs="Arial"/>
                <w:sz w:val="20"/>
              </w:rPr>
            </w:pPr>
            <w:r w:rsidRPr="00AC0999">
              <w:rPr>
                <w:rFonts w:cs="Arial"/>
                <w:sz w:val="20"/>
              </w:rPr>
              <w:lastRenderedPageBreak/>
              <w:t>MHF84C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F" w:rsidRPr="00AC0999" w:rsidRDefault="005134FF" w:rsidP="00F60F94">
            <w:pPr>
              <w:spacing w:before="60" w:after="60"/>
              <w:rPr>
                <w:rFonts w:cs="Arial"/>
                <w:sz w:val="20"/>
              </w:rPr>
            </w:pPr>
            <w:r w:rsidRPr="00AC0999">
              <w:rPr>
                <w:rFonts w:cs="Arial"/>
                <w:sz w:val="20"/>
              </w:rPr>
              <w:t>Forensic Mental Health – Prison Mental Health Service – Nurses &amp; allied health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F" w:rsidRPr="00AC0999" w:rsidRDefault="005134FF" w:rsidP="00F60F94">
            <w:pPr>
              <w:spacing w:before="60" w:after="60"/>
              <w:rPr>
                <w:rFonts w:cs="Arial"/>
                <w:sz w:val="20"/>
              </w:rPr>
            </w:pPr>
            <w:r w:rsidRPr="00AC0999">
              <w:rPr>
                <w:rFonts w:cs="Arial"/>
                <w:sz w:val="20"/>
              </w:rPr>
              <w:t>Multidisciplinary service comprised of specialist clinical staff to enable prisoners to access a level of mental healthcare reasonably equivalent to that available to the general population of New Zealand. The service is provided by nurses and allied health staff, a component of the multidisciplinary team.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F" w:rsidRPr="00AC0999" w:rsidRDefault="005134FF" w:rsidP="00F60F94">
            <w:pPr>
              <w:spacing w:before="60" w:after="60"/>
              <w:rPr>
                <w:rFonts w:cs="Arial"/>
                <w:sz w:val="20"/>
              </w:rPr>
            </w:pPr>
            <w:r w:rsidRPr="00AC0999">
              <w:rPr>
                <w:rFonts w:cs="Arial"/>
                <w:sz w:val="20"/>
              </w:rPr>
              <w:t>FTE</w:t>
            </w:r>
          </w:p>
        </w:tc>
      </w:tr>
      <w:tr w:rsidR="00EF22C6" w:rsidRPr="00AC0999" w:rsidTr="008A0AB1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F" w:rsidRPr="00AC0999" w:rsidRDefault="005134FF" w:rsidP="00F60F94">
            <w:pPr>
              <w:spacing w:before="60" w:after="60"/>
              <w:rPr>
                <w:rFonts w:cs="Arial"/>
                <w:sz w:val="20"/>
              </w:rPr>
            </w:pPr>
            <w:r w:rsidRPr="00AC0999">
              <w:rPr>
                <w:rFonts w:cs="Arial"/>
                <w:sz w:val="20"/>
              </w:rPr>
              <w:t>MHF84D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F" w:rsidRPr="00AC0999" w:rsidRDefault="005134FF" w:rsidP="00F60F94">
            <w:pPr>
              <w:spacing w:before="60" w:after="60"/>
              <w:rPr>
                <w:rFonts w:cs="Arial"/>
                <w:sz w:val="20"/>
              </w:rPr>
            </w:pPr>
            <w:r w:rsidRPr="00AC0999">
              <w:rPr>
                <w:rFonts w:cs="Arial"/>
                <w:sz w:val="20"/>
              </w:rPr>
              <w:t>Forensic Mental Health – Prison Mental Health Service – Non-clinical staff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F" w:rsidRPr="00AC0999" w:rsidRDefault="005134FF" w:rsidP="00F60F94">
            <w:pPr>
              <w:spacing w:before="60" w:after="60"/>
              <w:rPr>
                <w:rFonts w:cs="Arial"/>
                <w:sz w:val="20"/>
              </w:rPr>
            </w:pPr>
            <w:r w:rsidRPr="00AC0999">
              <w:rPr>
                <w:rFonts w:cs="Arial"/>
                <w:sz w:val="20"/>
              </w:rPr>
              <w:t xml:space="preserve">Multidisciplinary service comprised of specialist clinical staff to enable prisoners to access a level of mental healthcare reasonably equivalent to that available to the general population of New Zealand. The service is provided by non-clinical staff, a component of the multidisciplinary team.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F" w:rsidRPr="00AC0999" w:rsidRDefault="005134FF" w:rsidP="00F60F94">
            <w:pPr>
              <w:spacing w:before="60" w:after="60"/>
              <w:rPr>
                <w:rFonts w:cs="Arial"/>
                <w:sz w:val="20"/>
              </w:rPr>
            </w:pPr>
            <w:r w:rsidRPr="00AC0999">
              <w:rPr>
                <w:rFonts w:cs="Arial"/>
                <w:sz w:val="20"/>
              </w:rPr>
              <w:t>FTE</w:t>
            </w:r>
          </w:p>
        </w:tc>
      </w:tr>
      <w:tr w:rsidR="00EF22C6" w:rsidRPr="00AC0999" w:rsidTr="008A0AB1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F" w:rsidRPr="00AC0999" w:rsidRDefault="005134FF" w:rsidP="00F60F94">
            <w:pPr>
              <w:spacing w:before="60" w:after="60"/>
              <w:rPr>
                <w:rFonts w:cs="Arial"/>
                <w:sz w:val="20"/>
              </w:rPr>
            </w:pPr>
            <w:r w:rsidRPr="00AC0999">
              <w:rPr>
                <w:rFonts w:cs="Arial"/>
                <w:sz w:val="20"/>
              </w:rPr>
              <w:t>MHF84E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F" w:rsidRPr="00AC0999" w:rsidRDefault="005134FF" w:rsidP="00F60F94">
            <w:pPr>
              <w:spacing w:before="60" w:after="60"/>
              <w:rPr>
                <w:rFonts w:cs="Arial"/>
                <w:sz w:val="20"/>
              </w:rPr>
            </w:pPr>
            <w:r w:rsidRPr="00AC0999">
              <w:rPr>
                <w:rFonts w:cs="Arial"/>
                <w:sz w:val="20"/>
              </w:rPr>
              <w:t>Forensic Mental Health Prison Mental Health Service – Cultural staff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F" w:rsidRPr="00AC0999" w:rsidRDefault="005134FF" w:rsidP="00F60F94">
            <w:pPr>
              <w:spacing w:before="60" w:after="60"/>
              <w:rPr>
                <w:rFonts w:cs="Arial"/>
                <w:sz w:val="20"/>
              </w:rPr>
            </w:pPr>
            <w:r w:rsidRPr="00AC0999">
              <w:rPr>
                <w:rFonts w:cs="Arial"/>
                <w:sz w:val="20"/>
              </w:rPr>
              <w:t xml:space="preserve">Multidisciplinary service comprised of specialist clinical staff to enable prisoners to access a level of mental healthcare reasonably equivalent to that available to the general population of New Zealand. The service is provided by cultural staff, a component of the multidisciplinary team.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F" w:rsidRPr="00AC0999" w:rsidRDefault="005134FF" w:rsidP="00F60F94">
            <w:pPr>
              <w:spacing w:before="60" w:after="60"/>
              <w:rPr>
                <w:rFonts w:cs="Arial"/>
                <w:sz w:val="20"/>
              </w:rPr>
            </w:pPr>
            <w:r w:rsidRPr="00AC0999">
              <w:rPr>
                <w:rFonts w:cs="Arial"/>
                <w:sz w:val="20"/>
              </w:rPr>
              <w:t>FTE</w:t>
            </w:r>
          </w:p>
        </w:tc>
      </w:tr>
      <w:tr w:rsidR="009D3242" w:rsidRPr="00AC0999" w:rsidTr="009D3242">
        <w:trPr>
          <w:cantSplit/>
          <w:trHeight w:val="125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F" w:rsidRPr="00AC0999" w:rsidRDefault="005134FF" w:rsidP="00F60F94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MHF84S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F" w:rsidRPr="00AC0999" w:rsidRDefault="00EF22C6" w:rsidP="00F60F94">
            <w:pPr>
              <w:spacing w:before="60" w:after="60"/>
              <w:rPr>
                <w:rFonts w:cs="Arial"/>
                <w:sz w:val="20"/>
              </w:rPr>
            </w:pPr>
            <w:r w:rsidRPr="00AC0999">
              <w:rPr>
                <w:rFonts w:cs="Arial"/>
                <w:sz w:val="20"/>
              </w:rPr>
              <w:t>Forensic Mental Health Prison Mental Health Service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F" w:rsidRPr="00AC0999" w:rsidRDefault="00776DC1" w:rsidP="00F60F94">
            <w:pPr>
              <w:spacing w:before="60" w:after="60"/>
              <w:rPr>
                <w:rFonts w:cs="Arial"/>
                <w:sz w:val="20"/>
              </w:rPr>
            </w:pPr>
            <w:r w:rsidRPr="00776DC1">
              <w:rPr>
                <w:rFonts w:cs="Arial"/>
                <w:sz w:val="20"/>
              </w:rPr>
              <w:t>Multidisciplinary service comprised of specialist clinical staff to enable prisoners to access a level of mental healthcare reasonably equivalent to that available to the general population of New Zealand. The service is provided by a multidisciplinary team.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F" w:rsidRPr="00BD1BF3" w:rsidRDefault="005134FF" w:rsidP="00F60F94">
            <w:pPr>
              <w:spacing w:before="60" w:after="60"/>
              <w:rPr>
                <w:rFonts w:cs="Arial"/>
                <w:sz w:val="20"/>
              </w:rPr>
            </w:pPr>
            <w:r w:rsidRPr="00BD1BF3">
              <w:rPr>
                <w:rFonts w:cs="Arial"/>
                <w:sz w:val="20"/>
              </w:rPr>
              <w:t>Service</w:t>
            </w:r>
          </w:p>
        </w:tc>
      </w:tr>
    </w:tbl>
    <w:p w:rsidR="0034614E" w:rsidRPr="00AC0999" w:rsidRDefault="0034614E">
      <w:pPr>
        <w:rPr>
          <w:rFonts w:cs="Arial"/>
          <w:sz w:val="2"/>
          <w:szCs w:val="2"/>
        </w:rPr>
      </w:pPr>
    </w:p>
    <w:p w:rsidR="005134FF" w:rsidRDefault="005134FF" w:rsidP="00B41E34">
      <w:pPr>
        <w:spacing w:before="120"/>
        <w:jc w:val="both"/>
        <w:rPr>
          <w:rFonts w:cs="Arial"/>
          <w:b/>
          <w:sz w:val="24"/>
          <w:szCs w:val="24"/>
        </w:rPr>
      </w:pPr>
      <w:bookmarkStart w:id="64" w:name="_Toc215319179"/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EF22C6" w:rsidRPr="00266F18" w:rsidTr="008A0AB1">
        <w:tc>
          <w:tcPr>
            <w:tcW w:w="1668" w:type="dxa"/>
            <w:shd w:val="clear" w:color="auto" w:fill="D9D9D9" w:themeFill="background1" w:themeFillShade="D9"/>
          </w:tcPr>
          <w:p w:rsidR="00EF22C6" w:rsidRPr="008A0AB1" w:rsidRDefault="00D203D0" w:rsidP="00D203D0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Unit of</w:t>
            </w:r>
            <w:r w:rsidR="00EF22C6" w:rsidRPr="008A0AB1">
              <w:rPr>
                <w:rFonts w:cs="Arial"/>
                <w:b/>
                <w:sz w:val="20"/>
              </w:rPr>
              <w:t xml:space="preserve"> Measure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:rsidR="00EF22C6" w:rsidRPr="008A0AB1" w:rsidRDefault="00D203D0" w:rsidP="008A74D9">
            <w:pPr>
              <w:spacing w:before="12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Unit of</w:t>
            </w:r>
            <w:r w:rsidR="00EF22C6" w:rsidRPr="008A0AB1">
              <w:rPr>
                <w:rFonts w:cs="Arial"/>
                <w:b/>
                <w:sz w:val="20"/>
              </w:rPr>
              <w:t xml:space="preserve"> Measure Definition</w:t>
            </w:r>
          </w:p>
        </w:tc>
      </w:tr>
      <w:tr w:rsidR="00EF22C6" w:rsidRPr="00F65584" w:rsidTr="008A0AB1">
        <w:tc>
          <w:tcPr>
            <w:tcW w:w="1668" w:type="dxa"/>
          </w:tcPr>
          <w:p w:rsidR="00EF22C6" w:rsidRPr="008A0AB1" w:rsidRDefault="00EF22C6" w:rsidP="008A74D9">
            <w:pPr>
              <w:spacing w:before="120"/>
              <w:jc w:val="both"/>
              <w:rPr>
                <w:rFonts w:cs="Arial"/>
                <w:sz w:val="20"/>
              </w:rPr>
            </w:pPr>
            <w:r w:rsidRPr="008A0AB1">
              <w:rPr>
                <w:rFonts w:cs="Arial"/>
                <w:sz w:val="20"/>
              </w:rPr>
              <w:t>FTE</w:t>
            </w:r>
          </w:p>
        </w:tc>
        <w:tc>
          <w:tcPr>
            <w:tcW w:w="8221" w:type="dxa"/>
          </w:tcPr>
          <w:p w:rsidR="00EF22C6" w:rsidRPr="008A0AB1" w:rsidRDefault="00EF22C6" w:rsidP="008A74D9">
            <w:pPr>
              <w:spacing w:before="120"/>
              <w:jc w:val="both"/>
              <w:rPr>
                <w:rFonts w:cs="Arial"/>
                <w:sz w:val="20"/>
              </w:rPr>
            </w:pPr>
            <w:r w:rsidRPr="008A0AB1">
              <w:rPr>
                <w:rFonts w:cs="Arial"/>
                <w:sz w:val="20"/>
              </w:rPr>
              <w:t>Full-time equivalent staff member (clinical or non-clinical) involved in direct delivery of services to consumers.  Exclude time that is formally devoted to administrative or management functions e.g. half-time coordination of a community team.</w:t>
            </w:r>
          </w:p>
        </w:tc>
      </w:tr>
      <w:tr w:rsidR="00EF22C6" w:rsidRPr="00F65584" w:rsidTr="008A0AB1">
        <w:tc>
          <w:tcPr>
            <w:tcW w:w="1668" w:type="dxa"/>
          </w:tcPr>
          <w:p w:rsidR="00EF22C6" w:rsidRPr="008A0AB1" w:rsidRDefault="00EF22C6" w:rsidP="008A74D9">
            <w:pPr>
              <w:spacing w:before="120"/>
              <w:jc w:val="both"/>
              <w:rPr>
                <w:rFonts w:cs="Arial"/>
                <w:sz w:val="20"/>
              </w:rPr>
            </w:pPr>
            <w:r w:rsidRPr="008A0AB1">
              <w:rPr>
                <w:rFonts w:cs="Arial"/>
                <w:sz w:val="20"/>
              </w:rPr>
              <w:t>Service</w:t>
            </w:r>
          </w:p>
        </w:tc>
        <w:tc>
          <w:tcPr>
            <w:tcW w:w="8221" w:type="dxa"/>
          </w:tcPr>
          <w:p w:rsidR="00EF22C6" w:rsidRPr="008A0AB1" w:rsidRDefault="00EF22C6" w:rsidP="008A74D9">
            <w:pPr>
              <w:spacing w:before="120"/>
              <w:jc w:val="both"/>
              <w:rPr>
                <w:rFonts w:cs="Arial"/>
                <w:sz w:val="20"/>
              </w:rPr>
            </w:pPr>
            <w:r w:rsidRPr="008A0AB1">
              <w:rPr>
                <w:rFonts w:cs="Arial"/>
                <w:sz w:val="20"/>
              </w:rPr>
              <w:t>Service purchased in a block arrangement uniquely agreed between the parties to the agreement</w:t>
            </w:r>
          </w:p>
        </w:tc>
      </w:tr>
    </w:tbl>
    <w:p w:rsidR="00B41E34" w:rsidRDefault="005134FF" w:rsidP="009D3242">
      <w:pPr>
        <w:spacing w:before="12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</w:t>
      </w:r>
      <w:r w:rsidR="00B41E34" w:rsidRPr="00D601BB">
        <w:rPr>
          <w:rFonts w:cs="Arial"/>
          <w:b/>
          <w:sz w:val="24"/>
          <w:szCs w:val="24"/>
        </w:rPr>
        <w:t>.2</w:t>
      </w:r>
      <w:r w:rsidR="00B41E34" w:rsidRPr="00D601BB">
        <w:rPr>
          <w:rFonts w:cs="Arial"/>
          <w:b/>
          <w:sz w:val="24"/>
          <w:szCs w:val="24"/>
        </w:rPr>
        <w:tab/>
        <w:t>Reporting</w:t>
      </w:r>
    </w:p>
    <w:p w:rsidR="00856502" w:rsidRPr="00856502" w:rsidRDefault="00856502" w:rsidP="00856502">
      <w:pPr>
        <w:spacing w:before="120"/>
        <w:rPr>
          <w:rFonts w:cs="Arial"/>
          <w:sz w:val="24"/>
          <w:szCs w:val="24"/>
        </w:rPr>
      </w:pPr>
      <w:r w:rsidRPr="00856502">
        <w:rPr>
          <w:rFonts w:cs="Arial"/>
          <w:sz w:val="24"/>
          <w:szCs w:val="24"/>
        </w:rPr>
        <w:t>The Provider must comply with the requirements of national data collections: PRIMHD.</w:t>
      </w:r>
    </w:p>
    <w:p w:rsidR="00856502" w:rsidRPr="00856502" w:rsidRDefault="00856502" w:rsidP="00856502">
      <w:pPr>
        <w:spacing w:before="120" w:after="120"/>
        <w:rPr>
          <w:rFonts w:cs="Arial"/>
          <w:sz w:val="24"/>
          <w:szCs w:val="24"/>
        </w:rPr>
      </w:pPr>
      <w:r w:rsidRPr="00856502">
        <w:rPr>
          <w:rFonts w:cs="Arial"/>
          <w:sz w:val="24"/>
          <w:szCs w:val="24"/>
        </w:rPr>
        <w:t xml:space="preserve">Additional information to be reported and the frequency of collection are specified by the Funder in the Provider Specific Terms and Conditions as agreed with the Service Provider. </w:t>
      </w:r>
    </w:p>
    <w:p w:rsidR="00856502" w:rsidRPr="00856502" w:rsidRDefault="00856502" w:rsidP="00856502">
      <w:pPr>
        <w:spacing w:before="120"/>
        <w:rPr>
          <w:rFonts w:cs="Arial"/>
          <w:sz w:val="24"/>
          <w:szCs w:val="24"/>
        </w:rPr>
      </w:pPr>
      <w:r w:rsidRPr="00856502">
        <w:rPr>
          <w:rFonts w:cs="Arial"/>
          <w:sz w:val="24"/>
          <w:szCs w:val="24"/>
        </w:rPr>
        <w:t>The information required by the Funder will be sent to:</w:t>
      </w:r>
    </w:p>
    <w:p w:rsidR="00856502" w:rsidRPr="00856502" w:rsidRDefault="00856502" w:rsidP="00856502">
      <w:pPr>
        <w:spacing w:before="120"/>
        <w:ind w:left="720"/>
        <w:rPr>
          <w:sz w:val="24"/>
        </w:rPr>
      </w:pPr>
      <w:r w:rsidRPr="00856502">
        <w:rPr>
          <w:sz w:val="24"/>
        </w:rPr>
        <w:t>Performance Reporting</w:t>
      </w:r>
    </w:p>
    <w:p w:rsidR="00856502" w:rsidRPr="00856502" w:rsidRDefault="00856502" w:rsidP="00856502">
      <w:pPr>
        <w:spacing w:before="120"/>
        <w:ind w:left="720"/>
        <w:rPr>
          <w:sz w:val="24"/>
        </w:rPr>
      </w:pPr>
      <w:r w:rsidRPr="00856502">
        <w:rPr>
          <w:sz w:val="24"/>
        </w:rPr>
        <w:t>Sector Operations</w:t>
      </w:r>
    </w:p>
    <w:p w:rsidR="00856502" w:rsidRPr="00856502" w:rsidRDefault="00856502" w:rsidP="00856502">
      <w:pPr>
        <w:spacing w:before="120"/>
        <w:ind w:left="720"/>
        <w:rPr>
          <w:sz w:val="24"/>
        </w:rPr>
      </w:pPr>
      <w:r w:rsidRPr="00856502">
        <w:rPr>
          <w:sz w:val="24"/>
        </w:rPr>
        <w:t>Ministry of Health</w:t>
      </w:r>
    </w:p>
    <w:p w:rsidR="00856502" w:rsidRPr="00856502" w:rsidRDefault="00856502" w:rsidP="00856502">
      <w:pPr>
        <w:spacing w:before="120"/>
        <w:ind w:left="720"/>
        <w:rPr>
          <w:sz w:val="24"/>
        </w:rPr>
      </w:pPr>
      <w:r w:rsidRPr="00856502">
        <w:rPr>
          <w:sz w:val="24"/>
        </w:rPr>
        <w:t>Private Bag 1942</w:t>
      </w:r>
    </w:p>
    <w:p w:rsidR="00856502" w:rsidRPr="00856502" w:rsidRDefault="00856502" w:rsidP="00856502">
      <w:pPr>
        <w:spacing w:before="120"/>
        <w:ind w:left="720"/>
        <w:rPr>
          <w:sz w:val="24"/>
        </w:rPr>
      </w:pPr>
      <w:r w:rsidRPr="00856502">
        <w:rPr>
          <w:sz w:val="24"/>
        </w:rPr>
        <w:t>Dunedin 9054</w:t>
      </w:r>
    </w:p>
    <w:p w:rsidR="009D3242" w:rsidRDefault="00856502" w:rsidP="008A0AB1">
      <w:pPr>
        <w:spacing w:before="120" w:after="100" w:afterAutospacing="1"/>
        <w:rPr>
          <w:rFonts w:cs="Arial"/>
          <w:color w:val="0000FF"/>
          <w:sz w:val="24"/>
          <w:szCs w:val="24"/>
          <w:u w:val="single"/>
        </w:rPr>
      </w:pPr>
      <w:r w:rsidRPr="00856502">
        <w:rPr>
          <w:rFonts w:cs="Arial"/>
          <w:sz w:val="24"/>
          <w:szCs w:val="24"/>
        </w:rPr>
        <w:t xml:space="preserve">Email </w:t>
      </w:r>
      <w:hyperlink r:id="rId9" w:history="1">
        <w:r w:rsidRPr="00856502">
          <w:rPr>
            <w:rFonts w:cs="Arial"/>
            <w:color w:val="0000FF"/>
            <w:sz w:val="24"/>
            <w:szCs w:val="24"/>
            <w:u w:val="single"/>
          </w:rPr>
          <w:t>performance_reporting@moh.govt.nz</w:t>
        </w:r>
      </w:hyperlink>
    </w:p>
    <w:p w:rsidR="00CA260D" w:rsidRPr="00B41E34" w:rsidRDefault="00856502" w:rsidP="008A0AB1">
      <w:pPr>
        <w:spacing w:before="120" w:after="100" w:afterAutospacing="1"/>
        <w:rPr>
          <w:rFonts w:cs="Arial"/>
          <w:sz w:val="24"/>
          <w:szCs w:val="24"/>
        </w:rPr>
      </w:pPr>
      <w:r w:rsidRPr="00856502">
        <w:rPr>
          <w:rFonts w:cs="Arial"/>
          <w:color w:val="000000"/>
          <w:sz w:val="24"/>
          <w:szCs w:val="24"/>
          <w:lang w:val="en-NZ" w:eastAsia="en-NZ"/>
        </w:rPr>
        <w:lastRenderedPageBreak/>
        <w:t xml:space="preserve">The Performance Monitoring </w:t>
      </w:r>
      <w:r w:rsidRPr="00856502">
        <w:rPr>
          <w:rFonts w:cs="Arial"/>
          <w:sz w:val="24"/>
          <w:szCs w:val="24"/>
          <w:lang w:val="en-AU" w:eastAsia="en-US"/>
        </w:rPr>
        <w:t>Reporting tables for the Mental Health and Addiction Service Specifications</w:t>
      </w:r>
      <w:r w:rsidRPr="00856502">
        <w:rPr>
          <w:rFonts w:cs="Arial"/>
          <w:sz w:val="24"/>
          <w:szCs w:val="24"/>
          <w:vertAlign w:val="superscript"/>
        </w:rPr>
        <w:footnoteReference w:id="1"/>
      </w:r>
      <w:r w:rsidRPr="00856502">
        <w:rPr>
          <w:rFonts w:cs="Arial"/>
          <w:sz w:val="24"/>
          <w:szCs w:val="24"/>
        </w:rPr>
        <w:t xml:space="preserve"> may be used for performance monitoring if specified as agreed with the Funder.</w:t>
      </w:r>
      <w:bookmarkEnd w:id="64"/>
    </w:p>
    <w:sectPr w:rsidR="00CA260D" w:rsidRPr="00B41E34" w:rsidSect="00AC0999">
      <w:footerReference w:type="even" r:id="rId10"/>
      <w:footerReference w:type="default" r:id="rId11"/>
      <w:pgSz w:w="11906" w:h="16838" w:code="9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D2B" w:rsidRDefault="00021D2B">
      <w:r>
        <w:separator/>
      </w:r>
    </w:p>
  </w:endnote>
  <w:endnote w:type="continuationSeparator" w:id="0">
    <w:p w:rsidR="00021D2B" w:rsidRDefault="0002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409" w:rsidRDefault="00D30409" w:rsidP="000278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409" w:rsidRDefault="00D30409" w:rsidP="000278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409" w:rsidRDefault="00D30409" w:rsidP="000278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2570">
      <w:rPr>
        <w:rStyle w:val="PageNumber"/>
        <w:noProof/>
      </w:rPr>
      <w:t>2</w:t>
    </w:r>
    <w:r>
      <w:rPr>
        <w:rStyle w:val="PageNumber"/>
      </w:rPr>
      <w:fldChar w:fldCharType="end"/>
    </w:r>
  </w:p>
  <w:p w:rsidR="00D30409" w:rsidRPr="0006004F" w:rsidRDefault="00D30409" w:rsidP="001633EA">
    <w:pPr>
      <w:pStyle w:val="Footer"/>
      <w:pBdr>
        <w:top w:val="single" w:sz="4" w:space="1" w:color="auto"/>
      </w:pBdr>
      <w:tabs>
        <w:tab w:val="center" w:pos="4536"/>
      </w:tabs>
      <w:ind w:right="360"/>
      <w:jc w:val="left"/>
      <w:rPr>
        <w:rFonts w:ascii="Arial" w:hAnsi="Arial" w:cs="Arial"/>
        <w:sz w:val="20"/>
      </w:rPr>
    </w:pPr>
    <w:r w:rsidRPr="0006004F">
      <w:rPr>
        <w:rFonts w:ascii="Arial" w:hAnsi="Arial" w:cs="Arial"/>
        <w:sz w:val="20"/>
      </w:rPr>
      <w:t xml:space="preserve">Forensic Mental Health Prison Mental Health Service, </w:t>
    </w:r>
    <w:r>
      <w:rPr>
        <w:rFonts w:ascii="Arial" w:hAnsi="Arial" w:cs="Arial"/>
        <w:sz w:val="20"/>
      </w:rPr>
      <w:t xml:space="preserve">Mental Health and Addiction Services </w:t>
    </w:r>
    <w:r w:rsidRPr="0006004F">
      <w:rPr>
        <w:rFonts w:ascii="Arial" w:hAnsi="Arial" w:cs="Arial"/>
        <w:sz w:val="20"/>
      </w:rPr>
      <w:t xml:space="preserve">service specification tier three </w:t>
    </w:r>
    <w:r w:rsidR="00BA3E33">
      <w:rPr>
        <w:rFonts w:ascii="Arial" w:hAnsi="Arial" w:cs="Arial"/>
        <w:sz w:val="20"/>
      </w:rPr>
      <w:t>April 2017</w:t>
    </w:r>
  </w:p>
  <w:p w:rsidR="00D30409" w:rsidRPr="0006004F" w:rsidRDefault="00D30409" w:rsidP="00027868">
    <w:pPr>
      <w:pStyle w:val="Footer"/>
      <w:tabs>
        <w:tab w:val="center" w:pos="4536"/>
      </w:tabs>
      <w:jc w:val="left"/>
      <w:rPr>
        <w:rStyle w:val="PageNumber"/>
        <w:rFonts w:ascii="Arial" w:hAnsi="Arial" w:cs="Arial"/>
        <w:sz w:val="20"/>
      </w:rPr>
    </w:pPr>
    <w:r w:rsidRPr="0006004F">
      <w:rPr>
        <w:rFonts w:ascii="Arial" w:hAnsi="Arial" w:cs="Arial"/>
        <w:sz w:val="20"/>
      </w:rPr>
      <w:t>Nationwide Service Framework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D2B" w:rsidRDefault="00021D2B">
      <w:r>
        <w:separator/>
      </w:r>
    </w:p>
  </w:footnote>
  <w:footnote w:type="continuationSeparator" w:id="0">
    <w:p w:rsidR="00021D2B" w:rsidRDefault="00021D2B">
      <w:r>
        <w:continuationSeparator/>
      </w:r>
    </w:p>
  </w:footnote>
  <w:footnote w:id="1">
    <w:p w:rsidR="00856502" w:rsidRPr="006F249C" w:rsidRDefault="00856502" w:rsidP="008565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302FC">
        <w:t>Performance Monitoring Reporting</w:t>
      </w:r>
      <w:r w:rsidRPr="00B302FC">
        <w:rPr>
          <w:rFonts w:cs="Arial"/>
        </w:rPr>
        <w:t xml:space="preserve"> cluster tables for Mental Health and Addiction Services are published on the Nationwide Service Framework Library, Mental Health and Addiction Service specifications page</w:t>
      </w:r>
      <w:r w:rsidRPr="006F249C">
        <w:rPr>
          <w:rFonts w:cs="Arial"/>
        </w:rPr>
        <w:t xml:space="preserve">, </w:t>
      </w:r>
      <w:r w:rsidRPr="00B302FC">
        <w:rPr>
          <w:rFonts w:cs="Arial"/>
        </w:rPr>
        <w:t>Downloads section www.</w:t>
      </w:r>
      <w:r w:rsidRPr="00B302FC">
        <w:t>nsfl.health.govt.nz/service-specifications/current-service-specifications/mental-health-and-addiction-services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461F"/>
    <w:multiLevelType w:val="hybridMultilevel"/>
    <w:tmpl w:val="A61AA2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4611E"/>
    <w:multiLevelType w:val="hybridMultilevel"/>
    <w:tmpl w:val="9E86081E"/>
    <w:lvl w:ilvl="0" w:tplc="08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">
    <w:nsid w:val="23A53C7D"/>
    <w:multiLevelType w:val="hybridMultilevel"/>
    <w:tmpl w:val="80DE2F40"/>
    <w:lvl w:ilvl="0" w:tplc="4E50BC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763CFA"/>
    <w:multiLevelType w:val="hybridMultilevel"/>
    <w:tmpl w:val="253E39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5D7414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37101D99"/>
    <w:multiLevelType w:val="hybridMultilevel"/>
    <w:tmpl w:val="401E3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A57FCF"/>
    <w:multiLevelType w:val="hybridMultilevel"/>
    <w:tmpl w:val="00ECC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CB41A3"/>
    <w:multiLevelType w:val="hybridMultilevel"/>
    <w:tmpl w:val="9BB88A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70146F2"/>
    <w:multiLevelType w:val="hybridMultilevel"/>
    <w:tmpl w:val="C55AB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E2439A"/>
    <w:multiLevelType w:val="hybridMultilevel"/>
    <w:tmpl w:val="7DCEA448"/>
    <w:lvl w:ilvl="0" w:tplc="4E50BC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016160"/>
    <w:multiLevelType w:val="hybridMultilevel"/>
    <w:tmpl w:val="B9360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E77ACA"/>
    <w:multiLevelType w:val="hybridMultilevel"/>
    <w:tmpl w:val="B860A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F73A47"/>
    <w:multiLevelType w:val="hybridMultilevel"/>
    <w:tmpl w:val="6DAE424A"/>
    <w:lvl w:ilvl="0" w:tplc="76786CF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6390666A"/>
    <w:multiLevelType w:val="hybridMultilevel"/>
    <w:tmpl w:val="A288CF64"/>
    <w:lvl w:ilvl="0" w:tplc="B6A0D1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5C086A"/>
    <w:multiLevelType w:val="hybridMultilevel"/>
    <w:tmpl w:val="DA5805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9A3447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7FC32DEE"/>
    <w:multiLevelType w:val="hybridMultilevel"/>
    <w:tmpl w:val="43A6835C"/>
    <w:lvl w:ilvl="0" w:tplc="B1849D8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12"/>
  </w:num>
  <w:num w:numId="9">
    <w:abstractNumId w:val="16"/>
  </w:num>
  <w:num w:numId="10">
    <w:abstractNumId w:val="0"/>
  </w:num>
  <w:num w:numId="11">
    <w:abstractNumId w:val="14"/>
  </w:num>
  <w:num w:numId="12">
    <w:abstractNumId w:val="3"/>
  </w:num>
  <w:num w:numId="13">
    <w:abstractNumId w:val="2"/>
  </w:num>
  <w:num w:numId="14">
    <w:abstractNumId w:val="9"/>
  </w:num>
  <w:num w:numId="15">
    <w:abstractNumId w:val="11"/>
  </w:num>
  <w:num w:numId="16">
    <w:abstractNumId w:val="13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B0"/>
    <w:rsid w:val="00021D2B"/>
    <w:rsid w:val="00026970"/>
    <w:rsid w:val="00027868"/>
    <w:rsid w:val="00056D10"/>
    <w:rsid w:val="0006004F"/>
    <w:rsid w:val="0006465C"/>
    <w:rsid w:val="000721D5"/>
    <w:rsid w:val="000803C9"/>
    <w:rsid w:val="000C352C"/>
    <w:rsid w:val="000E29EB"/>
    <w:rsid w:val="001023DC"/>
    <w:rsid w:val="001633EA"/>
    <w:rsid w:val="001C2144"/>
    <w:rsid w:val="001E0503"/>
    <w:rsid w:val="00203F77"/>
    <w:rsid w:val="002176BD"/>
    <w:rsid w:val="00263F8A"/>
    <w:rsid w:val="002711BA"/>
    <w:rsid w:val="002759EB"/>
    <w:rsid w:val="002D3AAB"/>
    <w:rsid w:val="003017BC"/>
    <w:rsid w:val="00302981"/>
    <w:rsid w:val="00315F57"/>
    <w:rsid w:val="003402A5"/>
    <w:rsid w:val="0034614E"/>
    <w:rsid w:val="00346E0F"/>
    <w:rsid w:val="00381182"/>
    <w:rsid w:val="00392B24"/>
    <w:rsid w:val="00392F4B"/>
    <w:rsid w:val="003A1DED"/>
    <w:rsid w:val="003F2BB7"/>
    <w:rsid w:val="003F7348"/>
    <w:rsid w:val="00420F1E"/>
    <w:rsid w:val="00445FB5"/>
    <w:rsid w:val="004852B1"/>
    <w:rsid w:val="004A6141"/>
    <w:rsid w:val="004C5892"/>
    <w:rsid w:val="004C6AEA"/>
    <w:rsid w:val="004F6FB3"/>
    <w:rsid w:val="005134FF"/>
    <w:rsid w:val="00576D31"/>
    <w:rsid w:val="005E2570"/>
    <w:rsid w:val="00622A7F"/>
    <w:rsid w:val="00685138"/>
    <w:rsid w:val="00695506"/>
    <w:rsid w:val="006A5992"/>
    <w:rsid w:val="006A6996"/>
    <w:rsid w:val="006C737E"/>
    <w:rsid w:val="006F0839"/>
    <w:rsid w:val="00730159"/>
    <w:rsid w:val="007302FC"/>
    <w:rsid w:val="007371A1"/>
    <w:rsid w:val="007504D4"/>
    <w:rsid w:val="007704A9"/>
    <w:rsid w:val="0077129B"/>
    <w:rsid w:val="00776DC1"/>
    <w:rsid w:val="007B5956"/>
    <w:rsid w:val="007E17BA"/>
    <w:rsid w:val="007E235D"/>
    <w:rsid w:val="008041D0"/>
    <w:rsid w:val="00815F31"/>
    <w:rsid w:val="008231D0"/>
    <w:rsid w:val="00825804"/>
    <w:rsid w:val="00836E11"/>
    <w:rsid w:val="00841493"/>
    <w:rsid w:val="00843E70"/>
    <w:rsid w:val="00850E7D"/>
    <w:rsid w:val="00856502"/>
    <w:rsid w:val="00862B69"/>
    <w:rsid w:val="00863176"/>
    <w:rsid w:val="008A0AB1"/>
    <w:rsid w:val="008D139A"/>
    <w:rsid w:val="008E0703"/>
    <w:rsid w:val="008F2C41"/>
    <w:rsid w:val="009043F1"/>
    <w:rsid w:val="00937711"/>
    <w:rsid w:val="0098011C"/>
    <w:rsid w:val="009D3242"/>
    <w:rsid w:val="009D3C7E"/>
    <w:rsid w:val="009E5113"/>
    <w:rsid w:val="009E6D22"/>
    <w:rsid w:val="009E756C"/>
    <w:rsid w:val="009F0AE5"/>
    <w:rsid w:val="00A01B2D"/>
    <w:rsid w:val="00A06355"/>
    <w:rsid w:val="00A26BFC"/>
    <w:rsid w:val="00A705BB"/>
    <w:rsid w:val="00A87579"/>
    <w:rsid w:val="00A87A1B"/>
    <w:rsid w:val="00A94438"/>
    <w:rsid w:val="00A9457D"/>
    <w:rsid w:val="00AB3813"/>
    <w:rsid w:val="00AC0999"/>
    <w:rsid w:val="00AC335A"/>
    <w:rsid w:val="00AC39A8"/>
    <w:rsid w:val="00AD06E5"/>
    <w:rsid w:val="00B41E34"/>
    <w:rsid w:val="00B52E67"/>
    <w:rsid w:val="00B87B37"/>
    <w:rsid w:val="00BA3E33"/>
    <w:rsid w:val="00BA3EB3"/>
    <w:rsid w:val="00BD1BF3"/>
    <w:rsid w:val="00BF4881"/>
    <w:rsid w:val="00C67F52"/>
    <w:rsid w:val="00C704FB"/>
    <w:rsid w:val="00CA1FDA"/>
    <w:rsid w:val="00CA260D"/>
    <w:rsid w:val="00CE401F"/>
    <w:rsid w:val="00CE5D23"/>
    <w:rsid w:val="00D01D2E"/>
    <w:rsid w:val="00D125F4"/>
    <w:rsid w:val="00D203D0"/>
    <w:rsid w:val="00D30409"/>
    <w:rsid w:val="00D31D41"/>
    <w:rsid w:val="00D42DEC"/>
    <w:rsid w:val="00D45691"/>
    <w:rsid w:val="00D54A69"/>
    <w:rsid w:val="00D62D40"/>
    <w:rsid w:val="00D65A4B"/>
    <w:rsid w:val="00D719C6"/>
    <w:rsid w:val="00D724F7"/>
    <w:rsid w:val="00D95669"/>
    <w:rsid w:val="00DA4830"/>
    <w:rsid w:val="00DD6991"/>
    <w:rsid w:val="00DF7973"/>
    <w:rsid w:val="00DF7A90"/>
    <w:rsid w:val="00E44D32"/>
    <w:rsid w:val="00E67E18"/>
    <w:rsid w:val="00E728B0"/>
    <w:rsid w:val="00E737F7"/>
    <w:rsid w:val="00E953F9"/>
    <w:rsid w:val="00EA4262"/>
    <w:rsid w:val="00EA59DD"/>
    <w:rsid w:val="00EC7D65"/>
    <w:rsid w:val="00ED0E28"/>
    <w:rsid w:val="00EF22C6"/>
    <w:rsid w:val="00EF3253"/>
    <w:rsid w:val="00EF5F2F"/>
    <w:rsid w:val="00F24D48"/>
    <w:rsid w:val="00F60F94"/>
    <w:rsid w:val="00F640E7"/>
    <w:rsid w:val="00F65584"/>
    <w:rsid w:val="00F657FE"/>
    <w:rsid w:val="00FA063A"/>
    <w:rsid w:val="00FB6B9A"/>
    <w:rsid w:val="00FD7AA7"/>
    <w:rsid w:val="00FE403A"/>
    <w:rsid w:val="00FE5A76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docId w15:val="{B191A5AE-A4F9-4A63-8087-3A10428B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68"/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rsid w:val="00027868"/>
    <w:pPr>
      <w:keepNext/>
      <w:spacing w:before="240" w:after="60"/>
      <w:jc w:val="both"/>
      <w:outlineLvl w:val="0"/>
    </w:pPr>
    <w:rPr>
      <w:b/>
      <w:kern w:val="28"/>
      <w:sz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7868"/>
    <w:pPr>
      <w:jc w:val="center"/>
    </w:pPr>
    <w:rPr>
      <w:b/>
      <w:sz w:val="32"/>
      <w:lang w:val="en-NZ"/>
    </w:rPr>
  </w:style>
  <w:style w:type="paragraph" w:customStyle="1" w:styleId="MoHHeading2">
    <w:name w:val="MoH Heading2"/>
    <w:basedOn w:val="Normal"/>
    <w:rsid w:val="00027868"/>
    <w:rPr>
      <w:rFonts w:ascii="Arial Mäori" w:hAnsi="Arial Mäori"/>
      <w:b/>
    </w:rPr>
  </w:style>
  <w:style w:type="paragraph" w:styleId="Footer">
    <w:name w:val="footer"/>
    <w:basedOn w:val="Normal"/>
    <w:rsid w:val="00027868"/>
    <w:pPr>
      <w:tabs>
        <w:tab w:val="center" w:pos="4153"/>
        <w:tab w:val="right" w:pos="8306"/>
      </w:tabs>
      <w:jc w:val="both"/>
    </w:pPr>
    <w:rPr>
      <w:rFonts w:ascii="Times New Roman" w:hAnsi="Times New Roman"/>
      <w:lang w:val="en-NZ"/>
    </w:rPr>
  </w:style>
  <w:style w:type="character" w:styleId="PageNumber">
    <w:name w:val="page number"/>
    <w:basedOn w:val="DefaultParagraphFont"/>
    <w:rsid w:val="00027868"/>
  </w:style>
  <w:style w:type="paragraph" w:customStyle="1" w:styleId="CharCharCharCharChar1Char">
    <w:name w:val="Char Char Char Char Char1 Char"/>
    <w:basedOn w:val="Normal"/>
    <w:rsid w:val="00027868"/>
    <w:pPr>
      <w:spacing w:after="160" w:line="240" w:lineRule="exact"/>
    </w:pPr>
    <w:rPr>
      <w:sz w:val="20"/>
      <w:lang w:val="en-US" w:eastAsia="en-US"/>
    </w:rPr>
  </w:style>
  <w:style w:type="table" w:styleId="TableGrid">
    <w:name w:val="Table Grid"/>
    <w:basedOn w:val="TableNormal"/>
    <w:rsid w:val="00027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F797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721D5"/>
    <w:rPr>
      <w:rFonts w:ascii="Tahoma" w:hAnsi="Tahoma" w:cs="Tahoma"/>
      <w:sz w:val="16"/>
      <w:szCs w:val="16"/>
    </w:rPr>
  </w:style>
  <w:style w:type="paragraph" w:customStyle="1" w:styleId="Char1CharChar">
    <w:name w:val="Char1 Char Char"/>
    <w:basedOn w:val="Normal"/>
    <w:rsid w:val="008E0703"/>
    <w:pPr>
      <w:spacing w:after="160" w:line="240" w:lineRule="exact"/>
    </w:pPr>
    <w:rPr>
      <w:sz w:val="20"/>
      <w:lang w:val="en-US" w:eastAsia="en-US"/>
    </w:rPr>
  </w:style>
  <w:style w:type="paragraph" w:customStyle="1" w:styleId="CharCharCharCharChar">
    <w:name w:val="Char Char Char Char Char"/>
    <w:basedOn w:val="Normal"/>
    <w:next w:val="Normal"/>
    <w:semiHidden/>
    <w:rsid w:val="00CA260D"/>
    <w:pPr>
      <w:spacing w:after="160" w:line="240" w:lineRule="exact"/>
    </w:pPr>
    <w:rPr>
      <w:rFonts w:cs="Verdana"/>
      <w:sz w:val="24"/>
      <w:szCs w:val="24"/>
      <w:lang w:val="en-NZ" w:eastAsia="en-US"/>
    </w:rPr>
  </w:style>
  <w:style w:type="character" w:styleId="Hyperlink">
    <w:name w:val="Hyperlink"/>
    <w:basedOn w:val="DefaultParagraphFont"/>
    <w:uiPriority w:val="99"/>
    <w:unhideWhenUsed/>
    <w:rsid w:val="00C704FB"/>
    <w:rPr>
      <w:color w:val="0000FF" w:themeColor="hyperlink"/>
      <w:u w:val="single"/>
    </w:rPr>
  </w:style>
  <w:style w:type="paragraph" w:customStyle="1" w:styleId="CharChar">
    <w:name w:val="Char Char"/>
    <w:basedOn w:val="Normal"/>
    <w:rsid w:val="00BF4881"/>
    <w:pPr>
      <w:spacing w:after="160" w:line="240" w:lineRule="exact"/>
    </w:pPr>
    <w:rPr>
      <w:sz w:val="20"/>
      <w:lang w:val="en-US" w:eastAsia="en-US"/>
    </w:rPr>
  </w:style>
  <w:style w:type="paragraph" w:styleId="Revision">
    <w:name w:val="Revision"/>
    <w:hidden/>
    <w:uiPriority w:val="99"/>
    <w:semiHidden/>
    <w:rsid w:val="00EF22C6"/>
    <w:rPr>
      <w:rFonts w:ascii="Arial" w:hAnsi="Arial"/>
      <w:sz w:val="22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2C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2C6"/>
    <w:rPr>
      <w:rFonts w:ascii="Arial" w:hAnsi="Arial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F2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l.health.govt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rformance_reporting@moh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53213E83</Template>
  <TotalTime>0</TotalTime>
  <Pages>5</Pages>
  <Words>1119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Vickie Turnbull</cp:lastModifiedBy>
  <cp:revision>2</cp:revision>
  <dcterms:created xsi:type="dcterms:W3CDTF">2017-08-09T23:48:00Z</dcterms:created>
  <dcterms:modified xsi:type="dcterms:W3CDTF">2017-08-09T23:48:00Z</dcterms:modified>
</cp:coreProperties>
</file>