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4" w:type="dxa"/>
        <w:tblInd w:w="25" w:type="dxa"/>
        <w:tblLayout w:type="fixed"/>
        <w:tblLook w:val="0000" w:firstRow="0" w:lastRow="0" w:firstColumn="0" w:lastColumn="0" w:noHBand="0" w:noVBand="0"/>
      </w:tblPr>
      <w:tblGrid>
        <w:gridCol w:w="3897"/>
        <w:gridCol w:w="2590"/>
        <w:gridCol w:w="3127"/>
      </w:tblGrid>
      <w:tr w:rsidR="002A1312" w:rsidRPr="00E54F91" w:rsidTr="004512D6">
        <w:trPr>
          <w:cantSplit/>
        </w:trPr>
        <w:tc>
          <w:tcPr>
            <w:tcW w:w="3897" w:type="dxa"/>
            <w:vAlign w:val="center"/>
          </w:tcPr>
          <w:p w:rsidR="002A1312" w:rsidRPr="00E54F91" w:rsidRDefault="002A1312" w:rsidP="00117575">
            <w:pPr>
              <w:rPr>
                <w:rFonts w:cs="Arial"/>
                <w:bCs/>
                <w:sz w:val="34"/>
                <w:szCs w:val="34"/>
              </w:rPr>
            </w:pPr>
            <w:bookmarkStart w:id="0" w:name="_GoBack"/>
            <w:bookmarkEnd w:id="0"/>
            <w:r w:rsidRPr="00E54F91">
              <w:rPr>
                <w:rFonts w:cs="Arial"/>
                <w:noProof/>
                <w:sz w:val="23"/>
                <w:szCs w:val="23"/>
                <w:lang w:eastAsia="en-NZ"/>
              </w:rPr>
              <w:drawing>
                <wp:inline distT="0" distB="0" distL="0" distR="0" wp14:anchorId="6C89849A" wp14:editId="72B1085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17" w:type="dxa"/>
            <w:gridSpan w:val="2"/>
            <w:vAlign w:val="center"/>
          </w:tcPr>
          <w:p w:rsidR="002A1312" w:rsidRPr="00A90F56" w:rsidRDefault="002A1312" w:rsidP="00117575">
            <w:pPr>
              <w:jc w:val="right"/>
              <w:rPr>
                <w:rFonts w:cs="Arial"/>
                <w:bCs/>
                <w:sz w:val="36"/>
                <w:szCs w:val="36"/>
              </w:rPr>
            </w:pPr>
            <w:r w:rsidRPr="00A90F56">
              <w:rPr>
                <w:rFonts w:cs="Arial"/>
                <w:b/>
                <w:sz w:val="36"/>
                <w:szCs w:val="36"/>
              </w:rPr>
              <w:t>All District Health Boards</w:t>
            </w:r>
          </w:p>
        </w:tc>
      </w:tr>
      <w:tr w:rsidR="002A1312" w:rsidRPr="00E54F91" w:rsidTr="004512D6">
        <w:tc>
          <w:tcPr>
            <w:tcW w:w="9614" w:type="dxa"/>
            <w:gridSpan w:val="3"/>
            <w:tcBorders>
              <w:bottom w:val="single" w:sz="4" w:space="0" w:color="auto"/>
            </w:tcBorders>
          </w:tcPr>
          <w:p w:rsidR="002A1312" w:rsidRPr="00E54F91" w:rsidRDefault="002A1312" w:rsidP="00117575">
            <w:pPr>
              <w:spacing w:before="1320"/>
              <w:jc w:val="center"/>
              <w:rPr>
                <w:rFonts w:cs="Arial"/>
                <w:b/>
                <w:bCs/>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E54F91">
              <w:rPr>
                <w:rFonts w:cs="Arial"/>
                <w:b/>
                <w:bCs/>
                <w:sz w:val="36"/>
                <w:szCs w:val="36"/>
              </w:rPr>
              <w:t xml:space="preserve">FORENSIC MENTAL HEALTH SERVICES – ALCOHOL </w:t>
            </w:r>
            <w:smartTag w:uri="urn:schemas-microsoft-com:office:smarttags" w:element="stockticker">
              <w:r w:rsidRPr="00E54F91">
                <w:rPr>
                  <w:rFonts w:cs="Arial"/>
                  <w:b/>
                  <w:bCs/>
                  <w:sz w:val="36"/>
                  <w:szCs w:val="36"/>
                </w:rPr>
                <w:t>AND</w:t>
              </w:r>
            </w:smartTag>
            <w:r w:rsidRPr="00E54F91">
              <w:rPr>
                <w:rFonts w:cs="Arial"/>
                <w:b/>
                <w:bCs/>
                <w:sz w:val="36"/>
                <w:szCs w:val="36"/>
              </w:rPr>
              <w:t xml:space="preserve"> OTHER DRUG – COURT LIAISON SERVICE</w:t>
            </w:r>
          </w:p>
          <w:p w:rsidR="002A1312" w:rsidRPr="00E54F91" w:rsidRDefault="002A1312" w:rsidP="00117575">
            <w:pPr>
              <w:spacing w:before="120"/>
              <w:jc w:val="center"/>
              <w:rPr>
                <w:rFonts w:cs="Arial"/>
                <w:b/>
                <w:bCs/>
                <w:sz w:val="36"/>
                <w:szCs w:val="36"/>
              </w:rPr>
            </w:pPr>
            <w:r w:rsidRPr="00E54F91">
              <w:rPr>
                <w:rFonts w:cs="Arial"/>
                <w:b/>
                <w:bCs/>
                <w:sz w:val="36"/>
                <w:szCs w:val="36"/>
              </w:rPr>
              <w:t xml:space="preserve">MENTAL HEALTH </w:t>
            </w:r>
            <w:smartTag w:uri="urn:schemas-microsoft-com:office:smarttags" w:element="stockticker">
              <w:smartTag w:uri="urn:schemas-microsoft-com:office:smarttags" w:element="PlaceType">
                <w:r w:rsidRPr="00E54F91">
                  <w:rPr>
                    <w:rFonts w:cs="Arial"/>
                    <w:b/>
                    <w:bCs/>
                    <w:sz w:val="36"/>
                    <w:szCs w:val="36"/>
                  </w:rPr>
                  <w:t>AND</w:t>
                </w:r>
              </w:smartTag>
            </w:smartTag>
            <w:r w:rsidRPr="00E54F91">
              <w:rPr>
                <w:rFonts w:cs="Arial"/>
                <w:b/>
                <w:bCs/>
                <w:sz w:val="36"/>
                <w:szCs w:val="36"/>
              </w:rPr>
              <w:t xml:space="preserve"> ADDICTION SERVICES</w:t>
            </w:r>
          </w:p>
          <w:bookmarkEnd w:id="1"/>
          <w:bookmarkEnd w:id="2"/>
          <w:bookmarkEnd w:id="3"/>
          <w:bookmarkEnd w:id="4"/>
          <w:bookmarkEnd w:id="5"/>
          <w:bookmarkEnd w:id="6"/>
          <w:bookmarkEnd w:id="7"/>
          <w:bookmarkEnd w:id="8"/>
          <w:bookmarkEnd w:id="9"/>
          <w:p w:rsidR="002A1312" w:rsidRPr="00E54F91" w:rsidRDefault="002A1312" w:rsidP="00117575">
            <w:pPr>
              <w:jc w:val="center"/>
              <w:rPr>
                <w:rFonts w:cs="Arial"/>
                <w:b/>
                <w:sz w:val="36"/>
                <w:szCs w:val="36"/>
              </w:rPr>
            </w:pPr>
            <w:smartTag w:uri="urn:schemas-microsoft-com:office:smarttags" w:element="stockticker">
              <w:r w:rsidRPr="00E54F91">
                <w:rPr>
                  <w:rFonts w:cs="Arial"/>
                  <w:b/>
                  <w:sz w:val="36"/>
                  <w:szCs w:val="36"/>
                </w:rPr>
                <w:t>TIER</w:t>
              </w:r>
            </w:smartTag>
            <w:r w:rsidRPr="00E54F91">
              <w:rPr>
                <w:rFonts w:cs="Arial"/>
                <w:b/>
                <w:sz w:val="36"/>
                <w:szCs w:val="36"/>
              </w:rPr>
              <w:t xml:space="preserve"> THREE</w:t>
            </w:r>
          </w:p>
          <w:p w:rsidR="002A1312" w:rsidRPr="00E54F91" w:rsidRDefault="002A1312" w:rsidP="00117575">
            <w:pPr>
              <w:spacing w:before="120" w:after="360"/>
              <w:jc w:val="center"/>
              <w:rPr>
                <w:rFonts w:cs="Arial"/>
                <w:b/>
                <w:sz w:val="36"/>
                <w:szCs w:val="36"/>
              </w:rPr>
            </w:pPr>
            <w:bookmarkStart w:id="10" w:name="_Toc206406492"/>
            <w:bookmarkStart w:id="11" w:name="_Toc215319103"/>
            <w:r w:rsidRPr="00E54F91">
              <w:rPr>
                <w:rFonts w:cs="Arial"/>
                <w:b/>
                <w:sz w:val="36"/>
                <w:szCs w:val="36"/>
              </w:rPr>
              <w:t>SERVICE SPECIFICATION</w:t>
            </w:r>
            <w:bookmarkEnd w:id="10"/>
            <w:bookmarkEnd w:id="11"/>
          </w:p>
          <w:p w:rsidR="002A1312" w:rsidRPr="00E54F91" w:rsidRDefault="002A1312" w:rsidP="00117575">
            <w:pPr>
              <w:spacing w:before="120"/>
              <w:jc w:val="center"/>
              <w:rPr>
                <w:rFonts w:cs="Arial"/>
              </w:rPr>
            </w:pPr>
          </w:p>
        </w:tc>
      </w:tr>
      <w:tr w:rsidR="002A1312" w:rsidRPr="00E54F91" w:rsidTr="004512D6">
        <w:trPr>
          <w:trHeight w:val="1679"/>
        </w:trPr>
        <w:tc>
          <w:tcPr>
            <w:tcW w:w="6487" w:type="dxa"/>
            <w:gridSpan w:val="2"/>
            <w:tcBorders>
              <w:top w:val="single" w:sz="4" w:space="0" w:color="auto"/>
              <w:left w:val="single" w:sz="4" w:space="0" w:color="auto"/>
              <w:bottom w:val="single" w:sz="4" w:space="0" w:color="auto"/>
              <w:right w:val="single" w:sz="4" w:space="0" w:color="auto"/>
            </w:tcBorders>
          </w:tcPr>
          <w:p w:rsidR="002A1312" w:rsidRPr="00FB1483" w:rsidRDefault="002A1312" w:rsidP="00117575">
            <w:pPr>
              <w:spacing w:before="120"/>
              <w:ind w:left="360"/>
              <w:rPr>
                <w:rFonts w:cs="Arial"/>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A61127">
              <w:rPr>
                <w:b/>
                <w:sz w:val="32"/>
                <w:szCs w:val="32"/>
              </w:rPr>
              <w:t>STATUS:</w:t>
            </w:r>
            <w:r w:rsidRPr="00390BE3">
              <w:rPr>
                <w:sz w:val="32"/>
                <w:szCs w:val="32"/>
              </w:rPr>
              <w:t xml:space="preserve"> </w:t>
            </w:r>
            <w:r w:rsidRPr="00390BE3">
              <w:rPr>
                <w:szCs w:val="24"/>
              </w:rPr>
              <w:t>These service specifications may be amended to meet local agreement needs.</w:t>
            </w:r>
            <w:bookmarkEnd w:id="12"/>
            <w:bookmarkEnd w:id="13"/>
            <w:bookmarkEnd w:id="14"/>
            <w:bookmarkEnd w:id="15"/>
            <w:bookmarkEnd w:id="16"/>
            <w:bookmarkEnd w:id="17"/>
            <w:bookmarkEnd w:id="18"/>
            <w:bookmarkEnd w:id="19"/>
          </w:p>
        </w:tc>
        <w:tc>
          <w:tcPr>
            <w:tcW w:w="3127" w:type="dxa"/>
            <w:tcBorders>
              <w:top w:val="single" w:sz="4" w:space="0" w:color="auto"/>
              <w:left w:val="single" w:sz="4" w:space="0" w:color="auto"/>
              <w:bottom w:val="single" w:sz="4" w:space="0" w:color="auto"/>
              <w:right w:val="single" w:sz="4" w:space="0" w:color="auto"/>
            </w:tcBorders>
          </w:tcPr>
          <w:p w:rsidR="002A1312" w:rsidRPr="00FB1483" w:rsidRDefault="002A1312" w:rsidP="00117575">
            <w:pPr>
              <w:pStyle w:val="Heading1"/>
              <w:spacing w:before="120" w:after="240"/>
              <w:ind w:left="34"/>
              <w:rPr>
                <w:rFonts w:cs="Arial"/>
                <w:sz w:val="36"/>
                <w:szCs w:val="36"/>
              </w:rPr>
            </w:pPr>
            <w:bookmarkStart w:id="20" w:name="_Toc206389499"/>
            <w:bookmarkStart w:id="21" w:name="_Toc215319108"/>
            <w:r w:rsidRPr="00390BE3">
              <w:rPr>
                <w:sz w:val="32"/>
              </w:rPr>
              <w:t>NON-MANDATORY</w:t>
            </w:r>
            <w:bookmarkEnd w:id="20"/>
            <w:bookmarkEnd w:id="21"/>
          </w:p>
        </w:tc>
      </w:tr>
      <w:tr w:rsidR="002A1312" w:rsidRPr="00E54F91" w:rsidTr="004512D6">
        <w:trPr>
          <w:trHeight w:val="297"/>
        </w:trPr>
        <w:tc>
          <w:tcPr>
            <w:tcW w:w="6487" w:type="dxa"/>
            <w:gridSpan w:val="2"/>
            <w:tcBorders>
              <w:top w:val="single" w:sz="4" w:space="0" w:color="auto"/>
              <w:bottom w:val="single" w:sz="4" w:space="0" w:color="auto"/>
            </w:tcBorders>
            <w:shd w:val="clear" w:color="auto" w:fill="CCCCCC"/>
          </w:tcPr>
          <w:p w:rsidR="002A1312" w:rsidRPr="00E54F91" w:rsidRDefault="002A1312" w:rsidP="00117575">
            <w:pPr>
              <w:spacing w:before="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E54F91">
              <w:rPr>
                <w:rFonts w:cs="Arial"/>
                <w:b/>
                <w:sz w:val="32"/>
                <w:szCs w:val="32"/>
              </w:rPr>
              <w:t>Review History</w:t>
            </w:r>
            <w:bookmarkEnd w:id="22"/>
            <w:bookmarkEnd w:id="23"/>
            <w:bookmarkEnd w:id="24"/>
            <w:bookmarkEnd w:id="25"/>
            <w:bookmarkEnd w:id="26"/>
            <w:bookmarkEnd w:id="27"/>
            <w:bookmarkEnd w:id="28"/>
            <w:bookmarkEnd w:id="29"/>
          </w:p>
        </w:tc>
        <w:tc>
          <w:tcPr>
            <w:tcW w:w="3127" w:type="dxa"/>
            <w:tcBorders>
              <w:top w:val="single" w:sz="4" w:space="0" w:color="auto"/>
              <w:bottom w:val="single" w:sz="4" w:space="0" w:color="auto"/>
            </w:tcBorders>
            <w:shd w:val="clear" w:color="auto" w:fill="CCCCCC"/>
          </w:tcPr>
          <w:p w:rsidR="002A1312" w:rsidRPr="00E54F91" w:rsidRDefault="002A1312" w:rsidP="00117575">
            <w:pPr>
              <w:spacing w:before="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E54F91">
              <w:rPr>
                <w:rFonts w:cs="Arial"/>
                <w:b/>
                <w:sz w:val="32"/>
                <w:szCs w:val="32"/>
              </w:rPr>
              <w:t>Date</w:t>
            </w:r>
            <w:bookmarkEnd w:id="30"/>
            <w:bookmarkEnd w:id="31"/>
            <w:bookmarkEnd w:id="32"/>
            <w:bookmarkEnd w:id="33"/>
            <w:bookmarkEnd w:id="34"/>
            <w:bookmarkEnd w:id="35"/>
            <w:bookmarkEnd w:id="36"/>
            <w:bookmarkEnd w:id="37"/>
            <w:bookmarkEnd w:id="38"/>
          </w:p>
        </w:tc>
      </w:tr>
      <w:tr w:rsidR="002A1312" w:rsidRPr="00E54F91" w:rsidTr="004512D6">
        <w:tc>
          <w:tcPr>
            <w:tcW w:w="6487" w:type="dxa"/>
            <w:gridSpan w:val="2"/>
            <w:tcBorders>
              <w:top w:val="single" w:sz="4" w:space="0" w:color="auto"/>
              <w:left w:val="single" w:sz="4" w:space="0" w:color="auto"/>
              <w:bottom w:val="single" w:sz="6" w:space="0" w:color="auto"/>
              <w:right w:val="single" w:sz="6" w:space="0" w:color="auto"/>
            </w:tcBorders>
            <w:vAlign w:val="center"/>
          </w:tcPr>
          <w:p w:rsidR="002A1312" w:rsidRPr="00E54F91" w:rsidRDefault="002A1312" w:rsidP="00117575">
            <w:pPr>
              <w:spacing w:before="120"/>
              <w:rPr>
                <w:rFonts w:cs="Arial"/>
                <w:sz w:val="32"/>
                <w:szCs w:val="32"/>
              </w:rPr>
            </w:pPr>
            <w:bookmarkStart w:id="39" w:name="_Toc215319113"/>
            <w:r w:rsidRPr="00E54F91">
              <w:rPr>
                <w:rFonts w:cs="Arial"/>
                <w:sz w:val="32"/>
                <w:szCs w:val="32"/>
              </w:rPr>
              <w:t>First Published on NSFL</w:t>
            </w:r>
            <w:bookmarkEnd w:id="39"/>
          </w:p>
        </w:tc>
        <w:tc>
          <w:tcPr>
            <w:tcW w:w="3127" w:type="dxa"/>
            <w:tcBorders>
              <w:top w:val="single" w:sz="4" w:space="0" w:color="auto"/>
              <w:left w:val="single" w:sz="6" w:space="0" w:color="auto"/>
              <w:bottom w:val="single" w:sz="6" w:space="0" w:color="auto"/>
              <w:right w:val="single" w:sz="4" w:space="0" w:color="auto"/>
            </w:tcBorders>
            <w:vAlign w:val="center"/>
          </w:tcPr>
          <w:p w:rsidR="002A1312" w:rsidRPr="00E54F91" w:rsidRDefault="002A1312" w:rsidP="00117575">
            <w:pPr>
              <w:spacing w:before="120"/>
              <w:rPr>
                <w:rFonts w:cs="Arial"/>
                <w:sz w:val="32"/>
                <w:szCs w:val="32"/>
              </w:rPr>
            </w:pPr>
            <w:r w:rsidRPr="00E54F91">
              <w:rPr>
                <w:rFonts w:cs="Arial"/>
                <w:sz w:val="32"/>
                <w:szCs w:val="32"/>
              </w:rPr>
              <w:t>June 2010</w:t>
            </w:r>
          </w:p>
        </w:tc>
      </w:tr>
      <w:tr w:rsidR="002A1312" w:rsidRPr="00E54F91" w:rsidTr="004512D6">
        <w:tc>
          <w:tcPr>
            <w:tcW w:w="6487" w:type="dxa"/>
            <w:gridSpan w:val="2"/>
            <w:tcBorders>
              <w:top w:val="single" w:sz="6" w:space="0" w:color="auto"/>
              <w:left w:val="single" w:sz="4" w:space="0" w:color="auto"/>
              <w:bottom w:val="single" w:sz="6" w:space="0" w:color="auto"/>
              <w:right w:val="single" w:sz="6" w:space="0" w:color="auto"/>
            </w:tcBorders>
            <w:vAlign w:val="center"/>
          </w:tcPr>
          <w:p w:rsidR="002A1312" w:rsidRPr="00A61127" w:rsidRDefault="002A1312" w:rsidP="00117575">
            <w:pPr>
              <w:spacing w:before="120"/>
              <w:rPr>
                <w:rFonts w:cs="Arial"/>
                <w:szCs w:val="24"/>
              </w:rPr>
            </w:pPr>
            <w:r w:rsidRPr="00A61127">
              <w:rPr>
                <w:rFonts w:cs="Arial"/>
                <w:b/>
                <w:szCs w:val="24"/>
              </w:rPr>
              <w:t>Amended:</w:t>
            </w:r>
            <w:r w:rsidRPr="00A61127">
              <w:rPr>
                <w:rFonts w:cs="Arial"/>
                <w:szCs w:val="24"/>
              </w:rPr>
              <w:t xml:space="preserve"> updated definition to include alcohol and other drugs, removed unapproved Purchase Unit</w:t>
            </w:r>
            <w:r w:rsidRPr="00A61127">
              <w:rPr>
                <w:rFonts w:cs="Arial"/>
                <w:b/>
                <w:szCs w:val="24"/>
              </w:rPr>
              <w:t xml:space="preserve"> </w:t>
            </w:r>
            <w:r w:rsidRPr="00A61127">
              <w:rPr>
                <w:rFonts w:cs="Arial"/>
                <w:szCs w:val="24"/>
              </w:rPr>
              <w:t>MHFK85C. Minor editing changes for consistency.</w:t>
            </w:r>
          </w:p>
        </w:tc>
        <w:tc>
          <w:tcPr>
            <w:tcW w:w="3127" w:type="dxa"/>
            <w:tcBorders>
              <w:top w:val="single" w:sz="6" w:space="0" w:color="auto"/>
              <w:left w:val="single" w:sz="6" w:space="0" w:color="auto"/>
              <w:bottom w:val="single" w:sz="6" w:space="0" w:color="auto"/>
              <w:right w:val="single" w:sz="4" w:space="0" w:color="auto"/>
            </w:tcBorders>
            <w:vAlign w:val="center"/>
          </w:tcPr>
          <w:p w:rsidR="002A1312" w:rsidRPr="00E54F91" w:rsidRDefault="002A1312" w:rsidP="00117575">
            <w:pPr>
              <w:spacing w:before="120"/>
              <w:rPr>
                <w:rFonts w:cs="Arial"/>
                <w:sz w:val="32"/>
                <w:szCs w:val="32"/>
              </w:rPr>
            </w:pPr>
            <w:r w:rsidRPr="00E54F91">
              <w:rPr>
                <w:rFonts w:cs="Arial"/>
                <w:sz w:val="32"/>
                <w:szCs w:val="32"/>
              </w:rPr>
              <w:t>February 2011</w:t>
            </w:r>
          </w:p>
        </w:tc>
      </w:tr>
      <w:tr w:rsidR="002A1312" w:rsidRPr="00E54F91" w:rsidTr="004512D6">
        <w:tc>
          <w:tcPr>
            <w:tcW w:w="6487" w:type="dxa"/>
            <w:gridSpan w:val="2"/>
            <w:tcBorders>
              <w:top w:val="single" w:sz="6" w:space="0" w:color="auto"/>
              <w:left w:val="single" w:sz="4" w:space="0" w:color="auto"/>
              <w:bottom w:val="single" w:sz="6" w:space="0" w:color="auto"/>
              <w:right w:val="single" w:sz="6" w:space="0" w:color="auto"/>
            </w:tcBorders>
            <w:vAlign w:val="center"/>
          </w:tcPr>
          <w:p w:rsidR="002A1312" w:rsidRPr="00A61127" w:rsidRDefault="002A1312" w:rsidP="00117575">
            <w:pPr>
              <w:spacing w:before="120"/>
              <w:rPr>
                <w:rFonts w:cs="Arial"/>
                <w:szCs w:val="24"/>
              </w:rPr>
            </w:pPr>
            <w:r w:rsidRPr="00A61127">
              <w:rPr>
                <w:rFonts w:cs="Arial"/>
                <w:b/>
                <w:szCs w:val="24"/>
              </w:rPr>
              <w:t>Amended:</w:t>
            </w:r>
            <w:r w:rsidRPr="00A61127">
              <w:rPr>
                <w:rFonts w:cs="Arial"/>
                <w:szCs w:val="24"/>
              </w:rPr>
              <w:t xml:space="preserve"> clarified reporting requirements</w:t>
            </w:r>
          </w:p>
        </w:tc>
        <w:tc>
          <w:tcPr>
            <w:tcW w:w="3127" w:type="dxa"/>
            <w:tcBorders>
              <w:top w:val="single" w:sz="6" w:space="0" w:color="auto"/>
              <w:left w:val="single" w:sz="6" w:space="0" w:color="auto"/>
              <w:bottom w:val="single" w:sz="6" w:space="0" w:color="auto"/>
              <w:right w:val="single" w:sz="4" w:space="0" w:color="auto"/>
            </w:tcBorders>
            <w:vAlign w:val="center"/>
          </w:tcPr>
          <w:p w:rsidR="002A1312" w:rsidRPr="00E54F91" w:rsidRDefault="002A1312" w:rsidP="00117575">
            <w:pPr>
              <w:spacing w:before="120"/>
              <w:rPr>
                <w:rFonts w:cs="Arial"/>
                <w:sz w:val="32"/>
                <w:szCs w:val="32"/>
              </w:rPr>
            </w:pPr>
            <w:r w:rsidRPr="00E54F91">
              <w:rPr>
                <w:rFonts w:cs="Arial"/>
                <w:sz w:val="32"/>
                <w:szCs w:val="32"/>
              </w:rPr>
              <w:t>February 2013</w:t>
            </w:r>
          </w:p>
        </w:tc>
      </w:tr>
      <w:tr w:rsidR="002A1312" w:rsidRPr="00E54F91" w:rsidTr="004512D6">
        <w:tc>
          <w:tcPr>
            <w:tcW w:w="6487" w:type="dxa"/>
            <w:gridSpan w:val="2"/>
            <w:tcBorders>
              <w:top w:val="single" w:sz="6" w:space="0" w:color="auto"/>
              <w:left w:val="single" w:sz="4" w:space="0" w:color="auto"/>
              <w:bottom w:val="single" w:sz="6" w:space="0" w:color="auto"/>
              <w:right w:val="single" w:sz="6" w:space="0" w:color="auto"/>
            </w:tcBorders>
            <w:vAlign w:val="center"/>
          </w:tcPr>
          <w:p w:rsidR="002A1312" w:rsidRPr="00A61127" w:rsidRDefault="002A1312" w:rsidP="00117575">
            <w:pPr>
              <w:spacing w:before="120"/>
              <w:rPr>
                <w:rFonts w:cs="Arial"/>
                <w:szCs w:val="24"/>
              </w:rPr>
            </w:pPr>
            <w:r w:rsidRPr="00A61127">
              <w:rPr>
                <w:rFonts w:cs="Arial"/>
                <w:b/>
                <w:szCs w:val="24"/>
              </w:rPr>
              <w:t>Amended:</w:t>
            </w:r>
            <w:r w:rsidRPr="00A61127">
              <w:rPr>
                <w:rFonts w:cs="Arial"/>
                <w:szCs w:val="24"/>
              </w:rPr>
              <w:t xml:space="preserve"> added MHA13S purchase unit code, removed standard provider monitoring reporting tables.</w:t>
            </w:r>
          </w:p>
        </w:tc>
        <w:tc>
          <w:tcPr>
            <w:tcW w:w="3127" w:type="dxa"/>
            <w:tcBorders>
              <w:top w:val="single" w:sz="6" w:space="0" w:color="auto"/>
              <w:left w:val="single" w:sz="6" w:space="0" w:color="auto"/>
              <w:bottom w:val="single" w:sz="6" w:space="0" w:color="auto"/>
              <w:right w:val="single" w:sz="4" w:space="0" w:color="auto"/>
            </w:tcBorders>
            <w:vAlign w:val="center"/>
          </w:tcPr>
          <w:p w:rsidR="002A1312" w:rsidRPr="00E54F91" w:rsidRDefault="002A1312" w:rsidP="00117575">
            <w:pPr>
              <w:spacing w:before="120"/>
              <w:rPr>
                <w:rFonts w:cs="Arial"/>
                <w:sz w:val="32"/>
                <w:szCs w:val="32"/>
              </w:rPr>
            </w:pPr>
            <w:r>
              <w:rPr>
                <w:rFonts w:cs="Arial"/>
                <w:sz w:val="32"/>
                <w:szCs w:val="32"/>
              </w:rPr>
              <w:t>April 2017</w:t>
            </w:r>
          </w:p>
        </w:tc>
      </w:tr>
      <w:tr w:rsidR="002A1312" w:rsidRPr="00E54F91" w:rsidTr="004512D6">
        <w:tc>
          <w:tcPr>
            <w:tcW w:w="6487" w:type="dxa"/>
            <w:gridSpan w:val="2"/>
            <w:tcBorders>
              <w:top w:val="single" w:sz="6" w:space="0" w:color="auto"/>
              <w:left w:val="single" w:sz="4" w:space="0" w:color="auto"/>
              <w:bottom w:val="single" w:sz="6" w:space="0" w:color="auto"/>
              <w:right w:val="single" w:sz="6" w:space="0" w:color="auto"/>
            </w:tcBorders>
            <w:vAlign w:val="center"/>
          </w:tcPr>
          <w:p w:rsidR="002A1312" w:rsidRPr="00E54F91" w:rsidRDefault="002A1312" w:rsidP="00117575">
            <w:pPr>
              <w:spacing w:before="120"/>
              <w:rPr>
                <w:rFonts w:cs="Arial"/>
                <w:sz w:val="32"/>
                <w:szCs w:val="32"/>
              </w:rPr>
            </w:pPr>
            <w:bookmarkStart w:id="40" w:name="_Toc215319116"/>
            <w:r w:rsidRPr="00E54F91">
              <w:rPr>
                <w:rFonts w:cs="Arial"/>
                <w:sz w:val="32"/>
                <w:szCs w:val="32"/>
              </w:rPr>
              <w:t>Consideration for next Service Specification Review</w:t>
            </w:r>
            <w:bookmarkEnd w:id="40"/>
          </w:p>
        </w:tc>
        <w:tc>
          <w:tcPr>
            <w:tcW w:w="3127" w:type="dxa"/>
            <w:tcBorders>
              <w:top w:val="single" w:sz="6" w:space="0" w:color="auto"/>
              <w:left w:val="single" w:sz="6" w:space="0" w:color="auto"/>
              <w:bottom w:val="single" w:sz="6" w:space="0" w:color="auto"/>
              <w:right w:val="single" w:sz="4" w:space="0" w:color="auto"/>
            </w:tcBorders>
            <w:vAlign w:val="center"/>
          </w:tcPr>
          <w:p w:rsidR="002A1312" w:rsidRPr="00E54F91" w:rsidRDefault="002A1312" w:rsidP="00117575">
            <w:pPr>
              <w:spacing w:before="120"/>
              <w:rPr>
                <w:rFonts w:cs="Arial"/>
                <w:sz w:val="32"/>
                <w:szCs w:val="32"/>
              </w:rPr>
            </w:pPr>
            <w:r w:rsidRPr="00E54F91">
              <w:rPr>
                <w:rFonts w:cs="Arial"/>
                <w:sz w:val="32"/>
                <w:szCs w:val="32"/>
              </w:rPr>
              <w:t>Within five years</w:t>
            </w:r>
          </w:p>
        </w:tc>
      </w:tr>
    </w:tbl>
    <w:p w:rsidR="002A1312" w:rsidRDefault="002A1312" w:rsidP="002A1312">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ind w:right="-613"/>
        <w:rPr>
          <w:rFonts w:cs="Arial"/>
          <w:szCs w:val="24"/>
        </w:rPr>
      </w:pPr>
      <w:bookmarkStart w:id="41" w:name="_Toc215319119"/>
      <w:r w:rsidRPr="00E54F91">
        <w:rPr>
          <w:rFonts w:cs="Arial"/>
          <w:b/>
          <w:szCs w:val="24"/>
        </w:rPr>
        <w:t>Note:</w:t>
      </w:r>
      <w:r w:rsidRPr="00E54F91">
        <w:rPr>
          <w:rFonts w:cs="Arial"/>
          <w:szCs w:val="24"/>
        </w:rPr>
        <w:t xml:space="preserve"> Contact the Service Specification Programme Manager, </w:t>
      </w:r>
      <w:r w:rsidRPr="009247F6">
        <w:rPr>
          <w:rFonts w:cs="Arial"/>
          <w:szCs w:val="24"/>
        </w:rPr>
        <w:t>Service Commissioning</w:t>
      </w:r>
      <w:r w:rsidRPr="00E54F91">
        <w:rPr>
          <w:rFonts w:cs="Arial"/>
          <w:szCs w:val="24"/>
        </w:rPr>
        <w:t>, Ministry of Health to discuss proposed amendments to the service specifications and guidance in developing new or updating and revising existing service specifications.</w:t>
      </w:r>
    </w:p>
    <w:p w:rsidR="002A1312" w:rsidRPr="00E54F91" w:rsidRDefault="002A1312" w:rsidP="002A1312">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E54F91">
        <w:rPr>
          <w:rFonts w:cs="Arial"/>
          <w:szCs w:val="24"/>
        </w:rPr>
        <w:t xml:space="preserve">Nationwide Service Framework Library web site </w:t>
      </w:r>
      <w:hyperlink r:id="rId8" w:history="1">
        <w:r w:rsidRPr="00E54F91">
          <w:rPr>
            <w:rStyle w:val="Hyperlink"/>
            <w:rFonts w:cs="Arial"/>
            <w:szCs w:val="24"/>
          </w:rPr>
          <w:t>http://www.nsfl.health.govt.nz</w:t>
        </w:r>
      </w:hyperlink>
    </w:p>
    <w:bookmarkEnd w:id="41"/>
    <w:p w:rsidR="00636180" w:rsidRDefault="00636180">
      <w:pPr>
        <w:rPr>
          <w:rFonts w:cs="Arial"/>
          <w:szCs w:val="24"/>
        </w:rPr>
      </w:pPr>
      <w:r>
        <w:rPr>
          <w:rFonts w:cs="Arial"/>
          <w:szCs w:val="24"/>
        </w:rPr>
        <w:br w:type="page"/>
      </w:r>
    </w:p>
    <w:p w:rsidR="00E03D79" w:rsidRPr="00636180" w:rsidRDefault="00E03D79" w:rsidP="00636180">
      <w:pPr>
        <w:pBdr>
          <w:top w:val="single" w:sz="4" w:space="1" w:color="auto"/>
          <w:left w:val="single" w:sz="4" w:space="4" w:color="auto"/>
          <w:bottom w:val="single" w:sz="4" w:space="1" w:color="auto"/>
          <w:right w:val="single" w:sz="4" w:space="4" w:color="auto"/>
        </w:pBdr>
        <w:spacing w:after="0"/>
        <w:jc w:val="center"/>
        <w:rPr>
          <w:rFonts w:cs="Arial"/>
          <w:b/>
          <w:szCs w:val="24"/>
        </w:rPr>
      </w:pPr>
      <w:r w:rsidRPr="00636180">
        <w:rPr>
          <w:rFonts w:cs="Arial"/>
          <w:b/>
          <w:szCs w:val="24"/>
        </w:rPr>
        <w:lastRenderedPageBreak/>
        <w:t>FORENSIC MENTAL HEALTH - COURT LIAISON SERVICE</w:t>
      </w:r>
    </w:p>
    <w:p w:rsidR="00E03D79" w:rsidRPr="00636180" w:rsidRDefault="00E03D79" w:rsidP="00636180">
      <w:pPr>
        <w:pBdr>
          <w:top w:val="single" w:sz="4" w:space="1" w:color="auto"/>
          <w:left w:val="single" w:sz="4" w:space="4" w:color="auto"/>
          <w:bottom w:val="single" w:sz="4" w:space="1" w:color="auto"/>
          <w:right w:val="single" w:sz="4" w:space="4" w:color="auto"/>
        </w:pBdr>
        <w:spacing w:after="0"/>
        <w:jc w:val="center"/>
        <w:rPr>
          <w:rFonts w:cs="Arial"/>
          <w:b/>
          <w:szCs w:val="24"/>
        </w:rPr>
      </w:pPr>
      <w:r w:rsidRPr="00636180">
        <w:rPr>
          <w:rFonts w:cs="Arial"/>
          <w:b/>
          <w:szCs w:val="24"/>
        </w:rPr>
        <w:t>MENTAL HEALTH AND ADDICTION SERVICES</w:t>
      </w:r>
    </w:p>
    <w:p w:rsidR="00E03D79" w:rsidRPr="00636180" w:rsidRDefault="00E03D79" w:rsidP="00636180">
      <w:pPr>
        <w:pBdr>
          <w:top w:val="single" w:sz="4" w:space="1" w:color="auto"/>
          <w:left w:val="single" w:sz="4" w:space="4" w:color="auto"/>
          <w:bottom w:val="single" w:sz="4" w:space="1" w:color="auto"/>
          <w:right w:val="single" w:sz="4" w:space="4" w:color="auto"/>
        </w:pBdr>
        <w:spacing w:after="0"/>
        <w:jc w:val="center"/>
        <w:rPr>
          <w:rFonts w:cs="Arial"/>
          <w:b/>
          <w:szCs w:val="24"/>
        </w:rPr>
      </w:pPr>
      <w:r w:rsidRPr="00636180">
        <w:rPr>
          <w:rFonts w:cs="Arial"/>
          <w:b/>
          <w:szCs w:val="24"/>
        </w:rPr>
        <w:t>TIER THREE SERVICE SPECIFICATION</w:t>
      </w:r>
    </w:p>
    <w:p w:rsidR="00E03D79" w:rsidRPr="00636180" w:rsidRDefault="00E03D79" w:rsidP="00023C34">
      <w:pPr>
        <w:pBdr>
          <w:top w:val="single" w:sz="4" w:space="1" w:color="auto"/>
          <w:left w:val="single" w:sz="4" w:space="4" w:color="auto"/>
          <w:bottom w:val="single" w:sz="4" w:space="1" w:color="auto"/>
          <w:right w:val="single" w:sz="4" w:space="4" w:color="auto"/>
        </w:pBdr>
        <w:spacing w:before="120" w:after="0"/>
        <w:jc w:val="center"/>
        <w:rPr>
          <w:rFonts w:cs="Arial"/>
          <w:b/>
          <w:szCs w:val="24"/>
        </w:rPr>
      </w:pPr>
      <w:r w:rsidRPr="00636180">
        <w:rPr>
          <w:rFonts w:cs="Arial"/>
          <w:b/>
          <w:szCs w:val="24"/>
        </w:rPr>
        <w:t>MHF85A, MHF85B, MHF85C, MHF85D, MHF95E, MHF95S</w:t>
      </w:r>
    </w:p>
    <w:p w:rsidR="00E03D79" w:rsidRPr="00636180" w:rsidRDefault="00E03D79" w:rsidP="00636180">
      <w:pPr>
        <w:spacing w:before="120"/>
        <w:rPr>
          <w:rFonts w:cs="Arial"/>
          <w:szCs w:val="24"/>
        </w:rPr>
      </w:pPr>
      <w:r w:rsidRPr="00636180">
        <w:rPr>
          <w:rFonts w:cs="Arial"/>
          <w:szCs w:val="24"/>
        </w:rPr>
        <w:t>This tier three service specification for Forensic Mental Health Services - Court Liaison Service (the Service) must be used in conjunction with tier one Mental Health and Addiction Services and tier two Forensic Mental Health Services service specifications.  In addition, it is linked to a range of tier three Forensic Mental Health Services service specifications.</w:t>
      </w:r>
    </w:p>
    <w:p w:rsidR="00E03D79" w:rsidRPr="00636180" w:rsidRDefault="00E03D79" w:rsidP="00E03D79">
      <w:pPr>
        <w:rPr>
          <w:rFonts w:cs="Arial"/>
          <w:szCs w:val="24"/>
        </w:rPr>
      </w:pPr>
      <w:r w:rsidRPr="00636180">
        <w:rPr>
          <w:rFonts w:cs="Arial"/>
          <w:szCs w:val="24"/>
        </w:rPr>
        <w:t xml:space="preserve">The service specification defines Forensic Mental Health Services - Court Liaison Service and its objectives in the delivery of the Service. </w:t>
      </w:r>
    </w:p>
    <w:p w:rsidR="00E03D79" w:rsidRPr="00636180" w:rsidRDefault="00E03D79" w:rsidP="00636180">
      <w:pPr>
        <w:pStyle w:val="Heading1"/>
      </w:pPr>
      <w:r w:rsidRPr="00636180">
        <w:t>1.</w:t>
      </w:r>
      <w:r w:rsidRPr="00636180">
        <w:tab/>
        <w:t>Service Definition</w:t>
      </w:r>
    </w:p>
    <w:p w:rsidR="00E03D79" w:rsidRPr="00636180" w:rsidRDefault="00E03D79" w:rsidP="00866469">
      <w:pPr>
        <w:spacing w:before="120"/>
        <w:rPr>
          <w:rFonts w:cs="Arial"/>
          <w:szCs w:val="24"/>
        </w:rPr>
      </w:pPr>
      <w:r w:rsidRPr="00636180">
        <w:rPr>
          <w:rFonts w:cs="Arial"/>
          <w:szCs w:val="24"/>
        </w:rPr>
        <w:t>The Service is a consultation and liaison forensic mental health service provided to Courts, Corrections, Police, Community Mental Health Services Crisis Intervention teams, and linked to community agencies on matters of mental health and management of associated problems within the identified agency.</w:t>
      </w:r>
    </w:p>
    <w:p w:rsidR="00E03D79" w:rsidRPr="00636180" w:rsidRDefault="00E03D79" w:rsidP="00E03D79">
      <w:pPr>
        <w:rPr>
          <w:rFonts w:cs="Arial"/>
          <w:szCs w:val="24"/>
        </w:rPr>
      </w:pPr>
      <w:r w:rsidRPr="00636180">
        <w:rPr>
          <w:rFonts w:cs="Arial"/>
          <w:szCs w:val="24"/>
        </w:rPr>
        <w:t xml:space="preserve">The Service aims to divert from the Criminal Justice system into the health system of offenders with either a mental illness, alcohol </w:t>
      </w:r>
      <w:proofErr w:type="gramStart"/>
      <w:r w:rsidRPr="00636180">
        <w:rPr>
          <w:rFonts w:cs="Arial"/>
          <w:szCs w:val="24"/>
        </w:rPr>
        <w:t>and</w:t>
      </w:r>
      <w:proofErr w:type="gramEnd"/>
      <w:r w:rsidRPr="00636180">
        <w:rPr>
          <w:rFonts w:cs="Arial"/>
          <w:szCs w:val="24"/>
        </w:rPr>
        <w:t xml:space="preserve"> other drugs, and/or intellectual disability where that is appropriate and acceptable to the court.  It includes: </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r>
      <w:proofErr w:type="gramStart"/>
      <w:r w:rsidRPr="00636180">
        <w:rPr>
          <w:rFonts w:cs="Arial"/>
          <w:szCs w:val="24"/>
        </w:rPr>
        <w:t>diversion</w:t>
      </w:r>
      <w:proofErr w:type="gramEnd"/>
      <w:r w:rsidRPr="00636180">
        <w:rPr>
          <w:rFonts w:cs="Arial"/>
          <w:szCs w:val="24"/>
        </w:rPr>
        <w:t xml:space="preserve"> from the criminal justice system into mental health system for defendants, where those people meet the criteria for Mental Health Act compulsory assessment</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r>
      <w:proofErr w:type="gramStart"/>
      <w:r w:rsidRPr="00636180">
        <w:rPr>
          <w:rFonts w:cs="Arial"/>
          <w:szCs w:val="24"/>
        </w:rPr>
        <w:t>treatment</w:t>
      </w:r>
      <w:proofErr w:type="gramEnd"/>
      <w:r w:rsidRPr="00636180">
        <w:rPr>
          <w:rFonts w:cs="Arial"/>
          <w:szCs w:val="24"/>
        </w:rPr>
        <w:t xml:space="preserve"> or informal assessment and treatment</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r>
      <w:proofErr w:type="gramStart"/>
      <w:r w:rsidRPr="00636180">
        <w:rPr>
          <w:rFonts w:cs="Arial"/>
          <w:szCs w:val="24"/>
        </w:rPr>
        <w:t>facilitation</w:t>
      </w:r>
      <w:proofErr w:type="gramEnd"/>
      <w:r w:rsidRPr="00636180">
        <w:rPr>
          <w:rFonts w:cs="Arial"/>
          <w:szCs w:val="24"/>
        </w:rPr>
        <w:t xml:space="preserve"> and where appropriate obtain formal forensic reports pursuant to relevant legislation</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r>
      <w:proofErr w:type="gramStart"/>
      <w:r w:rsidRPr="00636180">
        <w:rPr>
          <w:rFonts w:cs="Arial"/>
          <w:szCs w:val="24"/>
        </w:rPr>
        <w:t>liaison</w:t>
      </w:r>
      <w:proofErr w:type="gramEnd"/>
      <w:r w:rsidRPr="00636180">
        <w:rPr>
          <w:rFonts w:cs="Arial"/>
          <w:szCs w:val="24"/>
        </w:rPr>
        <w:t xml:space="preserve"> and coordination with Community Mental Health crisis intervention teams</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t>provision of informal written assessments for the Court on whether a Defendant is fit to be placed before it, if they are suffering from a mental illness, and whether they pose a risk to self or others</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t>acting as a mental health resource and provision of an advisory role for co-ordination of health care (as it relates to mental health issues).</w:t>
      </w:r>
    </w:p>
    <w:p w:rsidR="00E03D79" w:rsidRPr="00636180" w:rsidRDefault="00E03D79" w:rsidP="00636180">
      <w:pPr>
        <w:pStyle w:val="Heading1"/>
      </w:pPr>
      <w:r w:rsidRPr="00636180">
        <w:t>2.</w:t>
      </w:r>
      <w:r w:rsidRPr="00636180">
        <w:tab/>
        <w:t>Service Objectives</w:t>
      </w:r>
    </w:p>
    <w:p w:rsidR="00E03D79" w:rsidRPr="00636180" w:rsidRDefault="00E03D79" w:rsidP="00B03059">
      <w:pPr>
        <w:pStyle w:val="Heading2"/>
      </w:pPr>
      <w:r w:rsidRPr="00636180">
        <w:t>2.1</w:t>
      </w:r>
      <w:r w:rsidRPr="00636180">
        <w:tab/>
        <w:t>General</w:t>
      </w:r>
    </w:p>
    <w:p w:rsidR="00E03D79" w:rsidRPr="00636180" w:rsidRDefault="00E03D79" w:rsidP="00866469">
      <w:pPr>
        <w:spacing w:before="120"/>
        <w:rPr>
          <w:rFonts w:cs="Arial"/>
          <w:szCs w:val="24"/>
        </w:rPr>
      </w:pPr>
      <w:r w:rsidRPr="00636180">
        <w:rPr>
          <w:rFonts w:cs="Arial"/>
          <w:szCs w:val="24"/>
        </w:rPr>
        <w:t>The objectives of this Service are to provide:</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r>
      <w:proofErr w:type="gramStart"/>
      <w:r w:rsidRPr="00636180">
        <w:rPr>
          <w:rFonts w:cs="Arial"/>
          <w:szCs w:val="24"/>
        </w:rPr>
        <w:t>consultation</w:t>
      </w:r>
      <w:proofErr w:type="gramEnd"/>
      <w:r w:rsidRPr="00636180">
        <w:rPr>
          <w:rFonts w:cs="Arial"/>
          <w:szCs w:val="24"/>
        </w:rPr>
        <w:t xml:space="preserve"> and liaison services to the Ministry of Justice/Department of Corrections, the Court, Police and Community Mental Health Services Crisis Intervention teams</w:t>
      </w:r>
    </w:p>
    <w:p w:rsidR="00E03D79" w:rsidRPr="00636180" w:rsidRDefault="00E03D79" w:rsidP="00866469">
      <w:pPr>
        <w:ind w:left="567" w:hanging="567"/>
        <w:rPr>
          <w:rFonts w:cs="Arial"/>
          <w:szCs w:val="24"/>
        </w:rPr>
      </w:pPr>
      <w:r w:rsidRPr="00636180">
        <w:rPr>
          <w:rFonts w:cs="Arial"/>
          <w:szCs w:val="24"/>
        </w:rPr>
        <w:t>•</w:t>
      </w:r>
      <w:r w:rsidRPr="00636180">
        <w:rPr>
          <w:rFonts w:cs="Arial"/>
          <w:szCs w:val="24"/>
        </w:rPr>
        <w:tab/>
      </w:r>
      <w:proofErr w:type="gramStart"/>
      <w:r w:rsidRPr="00636180">
        <w:rPr>
          <w:rFonts w:cs="Arial"/>
          <w:szCs w:val="24"/>
        </w:rPr>
        <w:t>informal</w:t>
      </w:r>
      <w:proofErr w:type="gramEnd"/>
      <w:r w:rsidRPr="00636180">
        <w:rPr>
          <w:rFonts w:cs="Arial"/>
          <w:szCs w:val="24"/>
        </w:rPr>
        <w:t xml:space="preserve"> assessments, reports and recommendations to Court Judges, and information and advice to justice and mental health services about the Mental Health (Compulsory Assessment and Treatment) Act 1992.</w:t>
      </w:r>
    </w:p>
    <w:p w:rsidR="00E03D79" w:rsidRPr="00636180" w:rsidRDefault="00E03D79" w:rsidP="00B03059">
      <w:pPr>
        <w:pStyle w:val="Heading2"/>
      </w:pPr>
      <w:r w:rsidRPr="00636180">
        <w:lastRenderedPageBreak/>
        <w:t>2.2</w:t>
      </w:r>
      <w:r w:rsidRPr="00636180">
        <w:tab/>
        <w:t>Māori Health</w:t>
      </w:r>
    </w:p>
    <w:p w:rsidR="00E03D79" w:rsidRPr="00636180" w:rsidRDefault="00E03D79" w:rsidP="00866469">
      <w:pPr>
        <w:spacing w:before="120"/>
        <w:rPr>
          <w:rFonts w:cs="Arial"/>
          <w:szCs w:val="24"/>
        </w:rPr>
      </w:pPr>
      <w:r w:rsidRPr="00636180">
        <w:rPr>
          <w:rFonts w:cs="Arial"/>
          <w:szCs w:val="24"/>
        </w:rPr>
        <w:t>Refer to the tier one Mental Health and Addiction Services service specification.</w:t>
      </w:r>
    </w:p>
    <w:p w:rsidR="00E03D79" w:rsidRPr="00866469" w:rsidRDefault="00866469" w:rsidP="00866469">
      <w:pPr>
        <w:pStyle w:val="Heading1"/>
      </w:pPr>
      <w:r>
        <w:t>3.</w:t>
      </w:r>
      <w:r>
        <w:tab/>
      </w:r>
      <w:r w:rsidR="00E03D79" w:rsidRPr="00866469">
        <w:t>Service Users</w:t>
      </w:r>
    </w:p>
    <w:p w:rsidR="00E03D79" w:rsidRPr="00636180" w:rsidRDefault="00E03D79" w:rsidP="00866469">
      <w:pPr>
        <w:spacing w:before="120"/>
        <w:rPr>
          <w:rFonts w:cs="Arial"/>
          <w:szCs w:val="24"/>
        </w:rPr>
      </w:pPr>
      <w:r w:rsidRPr="00636180">
        <w:rPr>
          <w:rFonts w:cs="Arial"/>
          <w:szCs w:val="24"/>
        </w:rPr>
        <w:t>The Service Users will be eligible people that meet the criteria for Forensic Mental Health Services.  Young people should be transitioning to adult services up their 18th birthday, and until their 20th birthday if developmentally appropriate.</w:t>
      </w:r>
    </w:p>
    <w:p w:rsidR="00E03D79" w:rsidRPr="00636180" w:rsidRDefault="00E03D79" w:rsidP="00636180">
      <w:pPr>
        <w:pStyle w:val="Heading1"/>
      </w:pPr>
      <w:r w:rsidRPr="00636180">
        <w:t>4.</w:t>
      </w:r>
      <w:r w:rsidRPr="00636180">
        <w:tab/>
        <w:t>Access</w:t>
      </w:r>
    </w:p>
    <w:p w:rsidR="00E03D79" w:rsidRPr="00636180" w:rsidRDefault="00E03D79" w:rsidP="00B03059">
      <w:pPr>
        <w:pStyle w:val="Heading2"/>
      </w:pPr>
      <w:r w:rsidRPr="00636180">
        <w:t>4.1</w:t>
      </w:r>
      <w:r w:rsidRPr="00636180">
        <w:tab/>
        <w:t>General</w:t>
      </w:r>
    </w:p>
    <w:p w:rsidR="00E03D79" w:rsidRPr="00636180" w:rsidRDefault="00E03D79" w:rsidP="00866469">
      <w:pPr>
        <w:spacing w:before="120"/>
        <w:rPr>
          <w:rFonts w:cs="Arial"/>
          <w:szCs w:val="24"/>
        </w:rPr>
      </w:pPr>
      <w:r w:rsidRPr="00636180">
        <w:rPr>
          <w:rFonts w:cs="Arial"/>
          <w:szCs w:val="24"/>
        </w:rPr>
        <w:t>Referrals to forensic court liaison are from different sources.  There are requests for the Service to provide assessment and advice to the court (Judges, prosecution, counsel, probation, police) other mental health service providers.  Other requests may come from the individual, their family as to whether the defendant has a mental health issue and whether they are receiving treatment).</w:t>
      </w:r>
    </w:p>
    <w:p w:rsidR="00E03D79" w:rsidRPr="00636180" w:rsidRDefault="00E03D79" w:rsidP="00B03059">
      <w:pPr>
        <w:pStyle w:val="Heading2"/>
      </w:pPr>
      <w:r w:rsidRPr="00636180">
        <w:t>4.2</w:t>
      </w:r>
      <w:r w:rsidRPr="00636180">
        <w:tab/>
        <w:t>Exit Criteria</w:t>
      </w:r>
    </w:p>
    <w:p w:rsidR="00E03D79" w:rsidRPr="00636180" w:rsidRDefault="00E03D79" w:rsidP="00866469">
      <w:pPr>
        <w:spacing w:before="120"/>
        <w:rPr>
          <w:rFonts w:cs="Arial"/>
          <w:szCs w:val="24"/>
        </w:rPr>
      </w:pPr>
      <w:r w:rsidRPr="00636180">
        <w:rPr>
          <w:rFonts w:cs="Arial"/>
          <w:szCs w:val="24"/>
        </w:rPr>
        <w:t>Exit from forensic court liaison will only be when either all their criminal matters are completed, the defendant has been admitted to a mental health facility for treatment and their criminal matters are completed, or following assessment the defendant is deemed fit to stand trial the forensic court liaison service can no longer ‘assist’ the court.</w:t>
      </w:r>
    </w:p>
    <w:p w:rsidR="00E03D79" w:rsidRPr="00636180" w:rsidRDefault="00E03D79" w:rsidP="00636180">
      <w:pPr>
        <w:pStyle w:val="Heading1"/>
      </w:pPr>
      <w:r w:rsidRPr="00636180">
        <w:t>5.</w:t>
      </w:r>
      <w:r w:rsidRPr="00636180">
        <w:tab/>
        <w:t>Service Components</w:t>
      </w:r>
    </w:p>
    <w:p w:rsidR="00E03D79" w:rsidRPr="00636180" w:rsidRDefault="00E03D79" w:rsidP="00B03059">
      <w:pPr>
        <w:pStyle w:val="Heading2"/>
      </w:pPr>
      <w:r w:rsidRPr="00636180">
        <w:t>5.1</w:t>
      </w:r>
      <w:r w:rsidRPr="00636180">
        <w:tab/>
        <w:t>Processes</w:t>
      </w:r>
    </w:p>
    <w:p w:rsidR="00E03D79" w:rsidRPr="00636180" w:rsidRDefault="00E03D79" w:rsidP="00866469">
      <w:pPr>
        <w:spacing w:before="120"/>
        <w:rPr>
          <w:rFonts w:cs="Arial"/>
          <w:szCs w:val="24"/>
        </w:rPr>
      </w:pPr>
      <w:r w:rsidRPr="00636180">
        <w:rPr>
          <w:rFonts w:cs="Arial"/>
          <w:szCs w:val="24"/>
        </w:rPr>
        <w:t>Refer to the tier two Forensic Mental Health Services service specification.</w:t>
      </w:r>
    </w:p>
    <w:p w:rsidR="00E03D79" w:rsidRPr="00636180" w:rsidRDefault="00E03D79" w:rsidP="00B03059">
      <w:pPr>
        <w:pStyle w:val="Heading2"/>
      </w:pPr>
      <w:r w:rsidRPr="00636180">
        <w:t>5.2</w:t>
      </w:r>
      <w:r w:rsidRPr="00636180">
        <w:tab/>
        <w:t>Settings</w:t>
      </w:r>
    </w:p>
    <w:p w:rsidR="00E03D79" w:rsidRPr="00636180" w:rsidRDefault="00E03D79" w:rsidP="00866469">
      <w:pPr>
        <w:spacing w:before="120"/>
        <w:rPr>
          <w:rFonts w:cs="Arial"/>
          <w:szCs w:val="24"/>
        </w:rPr>
      </w:pPr>
      <w:r w:rsidRPr="00636180">
        <w:rPr>
          <w:rFonts w:cs="Arial"/>
          <w:szCs w:val="24"/>
        </w:rPr>
        <w:t>The Service is provided in the community or court settings.</w:t>
      </w:r>
    </w:p>
    <w:p w:rsidR="00E03D79" w:rsidRPr="00636180" w:rsidRDefault="00E03D79" w:rsidP="00B03059">
      <w:pPr>
        <w:pStyle w:val="Heading2"/>
      </w:pPr>
      <w:r w:rsidRPr="00636180">
        <w:t>5.3</w:t>
      </w:r>
      <w:r w:rsidRPr="00636180">
        <w:tab/>
        <w:t xml:space="preserve">Key Inputs </w:t>
      </w:r>
    </w:p>
    <w:p w:rsidR="00E03D79" w:rsidRPr="00636180" w:rsidRDefault="00E03D79" w:rsidP="00866469">
      <w:pPr>
        <w:spacing w:before="120"/>
        <w:rPr>
          <w:rFonts w:cs="Arial"/>
          <w:szCs w:val="24"/>
        </w:rPr>
      </w:pPr>
      <w:r w:rsidRPr="00636180">
        <w:rPr>
          <w:rFonts w:cs="Arial"/>
          <w:szCs w:val="24"/>
        </w:rPr>
        <w:t>Refer to the tier two Forensic Mental Health Services service specification.</w:t>
      </w:r>
    </w:p>
    <w:p w:rsidR="00E03D79" w:rsidRPr="00636180" w:rsidRDefault="00E03D79" w:rsidP="00B03059">
      <w:pPr>
        <w:pStyle w:val="Heading2"/>
      </w:pPr>
      <w:r w:rsidRPr="00636180">
        <w:t>5.4.</w:t>
      </w:r>
      <w:r w:rsidRPr="00636180">
        <w:tab/>
        <w:t xml:space="preserve">Pacific Health </w:t>
      </w:r>
    </w:p>
    <w:p w:rsidR="00E03D79" w:rsidRPr="00636180" w:rsidRDefault="00E03D79" w:rsidP="00866469">
      <w:pPr>
        <w:spacing w:before="120"/>
        <w:rPr>
          <w:rFonts w:cs="Arial"/>
          <w:szCs w:val="24"/>
        </w:rPr>
      </w:pPr>
      <w:r w:rsidRPr="00636180">
        <w:rPr>
          <w:rFonts w:cs="Arial"/>
          <w:szCs w:val="24"/>
        </w:rPr>
        <w:t>Refer to the tier one Mental Health and Addiction Services, service specification.</w:t>
      </w:r>
    </w:p>
    <w:p w:rsidR="00E03D79" w:rsidRPr="00636180" w:rsidRDefault="00E03D79" w:rsidP="00636180">
      <w:pPr>
        <w:pStyle w:val="Heading1"/>
      </w:pPr>
      <w:r w:rsidRPr="00636180">
        <w:t>6.</w:t>
      </w:r>
      <w:r w:rsidRPr="00636180">
        <w:tab/>
        <w:t>Service Linkages</w:t>
      </w:r>
    </w:p>
    <w:p w:rsidR="00E03D79" w:rsidRPr="00636180" w:rsidRDefault="00E03D79" w:rsidP="00866469">
      <w:pPr>
        <w:spacing w:before="120"/>
        <w:rPr>
          <w:rFonts w:cs="Arial"/>
          <w:szCs w:val="24"/>
        </w:rPr>
      </w:pPr>
      <w:r w:rsidRPr="00636180">
        <w:rPr>
          <w:rFonts w:cs="Arial"/>
          <w:szCs w:val="24"/>
        </w:rPr>
        <w:t>Linkages include, but are not limited to the following:</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701"/>
        <w:gridCol w:w="4536"/>
      </w:tblGrid>
      <w:tr w:rsidR="00812B1E" w:rsidRPr="00812B1E" w:rsidTr="00117575">
        <w:trPr>
          <w:tblHeader/>
        </w:trPr>
        <w:tc>
          <w:tcPr>
            <w:tcW w:w="1763" w:type="pct"/>
            <w:tcBorders>
              <w:top w:val="single" w:sz="4" w:space="0" w:color="auto"/>
              <w:left w:val="single" w:sz="4" w:space="0" w:color="auto"/>
              <w:bottom w:val="single" w:sz="4" w:space="0" w:color="auto"/>
              <w:right w:val="single" w:sz="4" w:space="0" w:color="auto"/>
            </w:tcBorders>
            <w:shd w:val="clear" w:color="auto" w:fill="D9D9D9"/>
          </w:tcPr>
          <w:p w:rsidR="00812B1E" w:rsidRPr="00812B1E" w:rsidRDefault="00812B1E" w:rsidP="00812B1E">
            <w:pPr>
              <w:spacing w:before="120" w:after="0"/>
              <w:rPr>
                <w:rFonts w:eastAsia="Times New Roman" w:cs="Arial"/>
                <w:b/>
                <w:szCs w:val="24"/>
                <w:lang w:val="en-GB"/>
              </w:rPr>
            </w:pPr>
            <w:bookmarkStart w:id="42" w:name="_Toc215319159"/>
            <w:r w:rsidRPr="00812B1E">
              <w:rPr>
                <w:rFonts w:eastAsia="Times New Roman" w:cs="Arial"/>
                <w:b/>
                <w:szCs w:val="24"/>
                <w:lang w:val="en-GB" w:eastAsia="en-GB"/>
              </w:rPr>
              <w:t>Service Provider</w:t>
            </w:r>
            <w:bookmarkEnd w:id="42"/>
          </w:p>
        </w:tc>
        <w:tc>
          <w:tcPr>
            <w:tcW w:w="883" w:type="pct"/>
            <w:tcBorders>
              <w:top w:val="single" w:sz="4" w:space="0" w:color="auto"/>
              <w:left w:val="single" w:sz="4" w:space="0" w:color="auto"/>
              <w:bottom w:val="single" w:sz="4" w:space="0" w:color="auto"/>
              <w:right w:val="single" w:sz="4" w:space="0" w:color="auto"/>
            </w:tcBorders>
            <w:shd w:val="clear" w:color="auto" w:fill="D9D9D9"/>
          </w:tcPr>
          <w:p w:rsidR="00812B1E" w:rsidRPr="00812B1E" w:rsidRDefault="00812B1E" w:rsidP="00812B1E">
            <w:pPr>
              <w:spacing w:before="120" w:after="0"/>
              <w:rPr>
                <w:rFonts w:eastAsia="Times New Roman" w:cs="Arial"/>
                <w:b/>
                <w:szCs w:val="24"/>
                <w:lang w:val="en-GB"/>
              </w:rPr>
            </w:pPr>
            <w:bookmarkStart w:id="43" w:name="_Toc215319160"/>
            <w:r w:rsidRPr="00812B1E">
              <w:rPr>
                <w:rFonts w:eastAsia="Times New Roman" w:cs="Arial"/>
                <w:b/>
                <w:szCs w:val="24"/>
                <w:lang w:val="en-GB" w:eastAsia="en-GB"/>
              </w:rPr>
              <w:t>Nature of Linkage</w:t>
            </w:r>
            <w:bookmarkEnd w:id="43"/>
          </w:p>
        </w:tc>
        <w:tc>
          <w:tcPr>
            <w:tcW w:w="2354" w:type="pct"/>
            <w:tcBorders>
              <w:top w:val="single" w:sz="4" w:space="0" w:color="auto"/>
              <w:left w:val="single" w:sz="4" w:space="0" w:color="auto"/>
              <w:bottom w:val="single" w:sz="4" w:space="0" w:color="auto"/>
              <w:right w:val="single" w:sz="4" w:space="0" w:color="auto"/>
            </w:tcBorders>
            <w:shd w:val="clear" w:color="auto" w:fill="D9D9D9"/>
          </w:tcPr>
          <w:p w:rsidR="00812B1E" w:rsidRPr="00812B1E" w:rsidRDefault="00812B1E" w:rsidP="00812B1E">
            <w:pPr>
              <w:spacing w:before="120" w:after="0"/>
              <w:rPr>
                <w:rFonts w:eastAsia="Times New Roman" w:cs="Arial"/>
                <w:b/>
                <w:szCs w:val="24"/>
                <w:lang w:val="en-GB"/>
              </w:rPr>
            </w:pPr>
            <w:bookmarkStart w:id="44" w:name="_Toc215319161"/>
            <w:r w:rsidRPr="00812B1E">
              <w:rPr>
                <w:rFonts w:eastAsia="Times New Roman" w:cs="Arial"/>
                <w:b/>
                <w:szCs w:val="24"/>
                <w:lang w:val="en-GB" w:eastAsia="en-GB"/>
              </w:rPr>
              <w:t>Accountabilities</w:t>
            </w:r>
            <w:bookmarkEnd w:id="44"/>
          </w:p>
        </w:tc>
      </w:tr>
      <w:tr w:rsidR="00812B1E" w:rsidRPr="00812B1E" w:rsidTr="00117575">
        <w:tc>
          <w:tcPr>
            <w:tcW w:w="1763" w:type="pct"/>
            <w:tcBorders>
              <w:top w:val="single" w:sz="4" w:space="0" w:color="auto"/>
              <w:left w:val="single" w:sz="4" w:space="0" w:color="auto"/>
              <w:bottom w:val="single" w:sz="4" w:space="0" w:color="auto"/>
              <w:right w:val="single" w:sz="4" w:space="0" w:color="auto"/>
            </w:tcBorders>
            <w:shd w:val="clear" w:color="auto" w:fill="auto"/>
          </w:tcPr>
          <w:p w:rsidR="00812B1E" w:rsidRPr="00812B1E" w:rsidRDefault="00812B1E" w:rsidP="00812B1E">
            <w:pPr>
              <w:spacing w:before="120"/>
              <w:rPr>
                <w:rFonts w:eastAsia="Times New Roman" w:cs="Arial"/>
                <w:szCs w:val="24"/>
                <w:lang w:val="en-GB"/>
              </w:rPr>
            </w:pPr>
            <w:r w:rsidRPr="00812B1E">
              <w:rPr>
                <w:rFonts w:eastAsia="Times New Roman" w:cs="Arial"/>
                <w:szCs w:val="24"/>
                <w:lang w:val="en-GB"/>
              </w:rPr>
              <w:t>Other providers of services to people in the justice system or a “Special” patient as defined by the Act.</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812B1E" w:rsidRPr="00812B1E" w:rsidRDefault="00812B1E" w:rsidP="00812B1E">
            <w:pPr>
              <w:spacing w:before="120"/>
              <w:rPr>
                <w:rFonts w:eastAsia="Times New Roman" w:cs="Arial"/>
                <w:szCs w:val="24"/>
                <w:lang w:val="en-GB" w:eastAsia="en-GB"/>
              </w:rPr>
            </w:pPr>
            <w:r w:rsidRPr="00812B1E">
              <w:rPr>
                <w:rFonts w:eastAsia="Times New Roman" w:cs="Arial"/>
                <w:szCs w:val="24"/>
                <w:lang w:val="en-GB" w:eastAsia="en-GB"/>
              </w:rPr>
              <w:t xml:space="preserve">Referral, liaison, networking, collaboration </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812B1E" w:rsidRPr="00812B1E" w:rsidRDefault="00812B1E" w:rsidP="00812B1E">
            <w:pPr>
              <w:spacing w:before="120"/>
              <w:rPr>
                <w:rFonts w:eastAsia="Times New Roman" w:cs="Arial"/>
                <w:szCs w:val="24"/>
                <w:lang w:val="en-GB" w:eastAsia="en-GB"/>
              </w:rPr>
            </w:pPr>
            <w:r w:rsidRPr="00812B1E">
              <w:rPr>
                <w:rFonts w:eastAsia="Times New Roman" w:cs="Arial"/>
                <w:szCs w:val="24"/>
                <w:lang w:val="en-GB" w:eastAsia="en-GB"/>
              </w:rPr>
              <w:t xml:space="preserve">Work collaboratively with other providers eg, Department of Corrections, Prisons, Courts </w:t>
            </w:r>
          </w:p>
        </w:tc>
      </w:tr>
    </w:tbl>
    <w:p w:rsidR="00117575" w:rsidRDefault="00117575">
      <w:pPr>
        <w:spacing w:after="160" w:line="259" w:lineRule="auto"/>
        <w:rPr>
          <w:rFonts w:eastAsiaTheme="majorEastAsia" w:cstheme="majorBidi"/>
          <w:b/>
          <w:szCs w:val="32"/>
        </w:rPr>
      </w:pPr>
      <w:r>
        <w:br w:type="page"/>
      </w:r>
    </w:p>
    <w:p w:rsidR="00117575" w:rsidRDefault="00117575" w:rsidP="00117575">
      <w:pPr>
        <w:pStyle w:val="Heading1"/>
      </w:pPr>
      <w:r w:rsidRPr="00636180">
        <w:lastRenderedPageBreak/>
        <w:t>7.</w:t>
      </w:r>
      <w:r w:rsidRPr="00636180">
        <w:tab/>
        <w:t>Purchase Units and Reporting Requirements</w:t>
      </w:r>
    </w:p>
    <w:p w:rsidR="00E03D79" w:rsidRPr="00636180" w:rsidRDefault="00E03D79" w:rsidP="00B03059">
      <w:pPr>
        <w:spacing w:before="120"/>
        <w:rPr>
          <w:rFonts w:cs="Arial"/>
          <w:szCs w:val="24"/>
        </w:rPr>
      </w:pPr>
      <w:r w:rsidRPr="00B03059">
        <w:rPr>
          <w:rFonts w:cs="Arial"/>
          <w:b/>
          <w:szCs w:val="24"/>
        </w:rPr>
        <w:t>7.1</w:t>
      </w:r>
      <w:r w:rsidRPr="00636180">
        <w:rPr>
          <w:rFonts w:cs="Arial"/>
          <w:szCs w:val="24"/>
        </w:rPr>
        <w:tab/>
        <w:t>Purchase Unit (PU) codes are defined in the joint DHB and Ministry’s Nationwide Service Framework Purchase Unit Data Dictionary.  The following codes apply to the Service.</w:t>
      </w:r>
    </w:p>
    <w:tbl>
      <w:tblPr>
        <w:tblW w:w="535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6"/>
        <w:gridCol w:w="1555"/>
        <w:gridCol w:w="5827"/>
        <w:gridCol w:w="1132"/>
      </w:tblGrid>
      <w:tr w:rsidR="006A7CC7" w:rsidRPr="00B03059" w:rsidTr="00866469">
        <w:trPr>
          <w:cantSplit/>
          <w:trHeight w:val="447"/>
          <w:tblHeader/>
        </w:trPr>
        <w:tc>
          <w:tcPr>
            <w:tcW w:w="593" w:type="pct"/>
            <w:shd w:val="clear" w:color="auto" w:fill="CCCCCC"/>
          </w:tcPr>
          <w:p w:rsidR="00B03059" w:rsidRPr="00B03059" w:rsidRDefault="00B03059" w:rsidP="00B03059">
            <w:pPr>
              <w:spacing w:before="120" w:after="0"/>
              <w:rPr>
                <w:rFonts w:eastAsia="Times New Roman" w:cs="Arial"/>
                <w:b/>
                <w:sz w:val="20"/>
                <w:szCs w:val="20"/>
                <w:lang w:val="en-GB" w:eastAsia="en-GB"/>
              </w:rPr>
            </w:pPr>
            <w:bookmarkStart w:id="45" w:name="_Toc215319174"/>
            <w:r w:rsidRPr="00B03059">
              <w:rPr>
                <w:rFonts w:eastAsia="Times New Roman" w:cs="Arial"/>
                <w:b/>
                <w:sz w:val="20"/>
                <w:szCs w:val="20"/>
                <w:lang w:val="en-GB" w:eastAsia="en-GB"/>
              </w:rPr>
              <w:t>PU Code</w:t>
            </w:r>
            <w:bookmarkEnd w:id="45"/>
          </w:p>
        </w:tc>
        <w:tc>
          <w:tcPr>
            <w:tcW w:w="805" w:type="pct"/>
            <w:tcBorders>
              <w:right w:val="single" w:sz="4" w:space="0" w:color="auto"/>
            </w:tcBorders>
            <w:shd w:val="clear" w:color="auto" w:fill="CCCCCC"/>
          </w:tcPr>
          <w:p w:rsidR="00B03059" w:rsidRPr="00B03059" w:rsidRDefault="00B03059" w:rsidP="00B03059">
            <w:pPr>
              <w:spacing w:before="120" w:after="0"/>
              <w:rPr>
                <w:rFonts w:eastAsia="Times New Roman" w:cs="Arial"/>
                <w:b/>
                <w:sz w:val="20"/>
                <w:szCs w:val="20"/>
                <w:lang w:val="en-GB" w:eastAsia="en-GB"/>
              </w:rPr>
            </w:pPr>
            <w:bookmarkStart w:id="46" w:name="_Toc215319175"/>
            <w:r w:rsidRPr="00B03059">
              <w:rPr>
                <w:rFonts w:eastAsia="Times New Roman" w:cs="Arial"/>
                <w:b/>
                <w:sz w:val="20"/>
                <w:szCs w:val="20"/>
                <w:lang w:val="en-GB" w:eastAsia="en-GB"/>
              </w:rPr>
              <w:t>PU Description</w:t>
            </w:r>
            <w:bookmarkEnd w:id="46"/>
          </w:p>
        </w:tc>
        <w:tc>
          <w:tcPr>
            <w:tcW w:w="3016" w:type="pct"/>
            <w:tcBorders>
              <w:left w:val="single" w:sz="4" w:space="0" w:color="auto"/>
            </w:tcBorders>
            <w:shd w:val="clear" w:color="auto" w:fill="CCCCCC"/>
          </w:tcPr>
          <w:p w:rsidR="00B03059" w:rsidRPr="00B03059" w:rsidRDefault="00B03059" w:rsidP="00B03059">
            <w:pPr>
              <w:spacing w:before="120" w:after="0"/>
              <w:rPr>
                <w:rFonts w:eastAsia="Times New Roman" w:cs="Arial"/>
                <w:b/>
                <w:sz w:val="20"/>
                <w:szCs w:val="20"/>
                <w:lang w:val="en-GB" w:eastAsia="en-GB"/>
              </w:rPr>
            </w:pPr>
            <w:r w:rsidRPr="00B03059">
              <w:rPr>
                <w:rFonts w:eastAsia="Times New Roman" w:cs="Arial"/>
                <w:b/>
                <w:sz w:val="20"/>
                <w:szCs w:val="20"/>
                <w:lang w:val="en-GB" w:eastAsia="en-GB"/>
              </w:rPr>
              <w:t>PU Definition</w:t>
            </w:r>
          </w:p>
        </w:tc>
        <w:tc>
          <w:tcPr>
            <w:tcW w:w="586" w:type="pct"/>
            <w:shd w:val="clear" w:color="auto" w:fill="CCCCCC"/>
          </w:tcPr>
          <w:p w:rsidR="00B03059" w:rsidRPr="00B03059" w:rsidRDefault="00B03059" w:rsidP="00B03059">
            <w:pPr>
              <w:spacing w:before="120" w:after="0"/>
              <w:rPr>
                <w:rFonts w:eastAsia="Times New Roman" w:cs="Arial"/>
                <w:b/>
                <w:sz w:val="20"/>
                <w:szCs w:val="20"/>
                <w:lang w:val="en-GB" w:eastAsia="en-GB"/>
              </w:rPr>
            </w:pPr>
            <w:bookmarkStart w:id="47" w:name="_Toc215319176"/>
            <w:r w:rsidRPr="00B03059">
              <w:rPr>
                <w:rFonts w:eastAsia="Times New Roman" w:cs="Arial"/>
                <w:b/>
                <w:sz w:val="20"/>
                <w:szCs w:val="20"/>
                <w:lang w:val="en-GB" w:eastAsia="en-GB"/>
              </w:rPr>
              <w:t>Unit of Measure</w:t>
            </w:r>
            <w:bookmarkEnd w:id="47"/>
          </w:p>
        </w:tc>
      </w:tr>
      <w:tr w:rsidR="006A7CC7" w:rsidRPr="00B03059" w:rsidTr="00866469">
        <w:trPr>
          <w:cantSplit/>
        </w:trPr>
        <w:tc>
          <w:tcPr>
            <w:tcW w:w="593"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MHF85A</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Forensic Mental Health – Court Liaison Service</w:t>
            </w:r>
            <w:r w:rsidRPr="00B03059">
              <w:rPr>
                <w:rFonts w:eastAsia="Times New Roman" w:cs="Arial"/>
                <w:bCs/>
                <w:iCs/>
                <w:sz w:val="20"/>
                <w:szCs w:val="20"/>
                <w:lang w:val="en-GB" w:eastAsia="en-GB"/>
              </w:rPr>
              <w:t xml:space="preserve"> – Senior medical staff</w:t>
            </w:r>
          </w:p>
        </w:tc>
        <w:tc>
          <w:tcPr>
            <w:tcW w:w="301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tabs>
                <w:tab w:val="left" w:pos="570"/>
              </w:tabs>
              <w:spacing w:before="60" w:after="60"/>
              <w:rPr>
                <w:rFonts w:eastAsia="Times New Roman" w:cs="Arial"/>
                <w:sz w:val="20"/>
                <w:szCs w:val="20"/>
                <w:lang w:val="en-GB" w:eastAsia="en-GB"/>
              </w:rPr>
            </w:pPr>
            <w:r w:rsidRPr="00B03059">
              <w:rPr>
                <w:rFonts w:eastAsia="Times New Roman" w:cs="Arial"/>
                <w:sz w:val="20"/>
                <w:szCs w:val="20"/>
                <w:lang w:val="en-GB" w:eastAsia="en-GB"/>
              </w:rPr>
              <w:t xml:space="preserve">Service to divert offenders from the Criminal Justice system into the health system with either a mental illness, alcohol </w:t>
            </w:r>
            <w:proofErr w:type="gramStart"/>
            <w:r w:rsidRPr="00B03059">
              <w:rPr>
                <w:rFonts w:eastAsia="Times New Roman" w:cs="Arial"/>
                <w:sz w:val="20"/>
                <w:szCs w:val="20"/>
                <w:lang w:val="en-GB" w:eastAsia="en-GB"/>
              </w:rPr>
              <w:t>and</w:t>
            </w:r>
            <w:proofErr w:type="gramEnd"/>
            <w:r w:rsidRPr="00B03059">
              <w:rPr>
                <w:rFonts w:eastAsia="Times New Roman" w:cs="Arial"/>
                <w:sz w:val="20"/>
                <w:szCs w:val="20"/>
                <w:lang w:val="en-GB" w:eastAsia="en-GB"/>
              </w:rPr>
              <w:t xml:space="preserve"> drugs, and/or intellectual disability where that is appropriate and acceptable to the court. It provides consultation and liaison to the Ministry of Justice/Department of Corrections, the Court, and Police.  This includes informal assessments, reports and recommendations to Court Judges, and information and advice to justice and mental health services about the Mental Health (Compulsory Assessment and Treatment) Act 1992. The service is provided by senior medical staff, a component of a multidisciplinary team.</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smartTag w:uri="urn:schemas-microsoft-com:office:smarttags" w:element="stockticker">
              <w:r w:rsidRPr="00B03059">
                <w:rPr>
                  <w:rFonts w:eastAsia="Times New Roman" w:cs="Arial"/>
                  <w:sz w:val="20"/>
                  <w:szCs w:val="20"/>
                  <w:lang w:val="en-GB" w:eastAsia="en-GB"/>
                </w:rPr>
                <w:t>FTE</w:t>
              </w:r>
            </w:smartTag>
          </w:p>
        </w:tc>
      </w:tr>
      <w:tr w:rsidR="006A7CC7" w:rsidRPr="00B03059" w:rsidTr="00866469">
        <w:trPr>
          <w:cantSplit/>
        </w:trPr>
        <w:tc>
          <w:tcPr>
            <w:tcW w:w="593"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MHF85B</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Forensic Mental Health – Court Liaison Service</w:t>
            </w:r>
            <w:r w:rsidRPr="00B03059">
              <w:rPr>
                <w:rFonts w:eastAsia="Times New Roman" w:cs="Arial"/>
                <w:bCs/>
                <w:iCs/>
                <w:sz w:val="20"/>
                <w:szCs w:val="20"/>
                <w:lang w:val="en-GB" w:eastAsia="en-GB"/>
              </w:rPr>
              <w:t xml:space="preserve"> – Junior medical staff</w:t>
            </w:r>
          </w:p>
        </w:tc>
        <w:tc>
          <w:tcPr>
            <w:tcW w:w="301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tabs>
                <w:tab w:val="left" w:pos="570"/>
              </w:tabs>
              <w:spacing w:before="60" w:after="60"/>
              <w:rPr>
                <w:rFonts w:eastAsia="Times New Roman" w:cs="Arial"/>
                <w:sz w:val="20"/>
                <w:szCs w:val="20"/>
                <w:lang w:val="en-GB" w:eastAsia="en-GB"/>
              </w:rPr>
            </w:pPr>
            <w:r w:rsidRPr="00B03059">
              <w:rPr>
                <w:rFonts w:eastAsia="Times New Roman" w:cs="Arial"/>
                <w:sz w:val="20"/>
                <w:szCs w:val="20"/>
                <w:lang w:val="en-GB" w:eastAsia="en-GB"/>
              </w:rPr>
              <w:t xml:space="preserve">Service to divert offenders from the Criminal Justice system into the health system with either a mental illness, alcohol </w:t>
            </w:r>
            <w:proofErr w:type="gramStart"/>
            <w:r w:rsidRPr="00B03059">
              <w:rPr>
                <w:rFonts w:eastAsia="Times New Roman" w:cs="Arial"/>
                <w:sz w:val="20"/>
                <w:szCs w:val="20"/>
                <w:lang w:val="en-GB" w:eastAsia="en-GB"/>
              </w:rPr>
              <w:t>and</w:t>
            </w:r>
            <w:proofErr w:type="gramEnd"/>
            <w:r w:rsidRPr="00B03059">
              <w:rPr>
                <w:rFonts w:eastAsia="Times New Roman" w:cs="Arial"/>
                <w:sz w:val="20"/>
                <w:szCs w:val="20"/>
                <w:lang w:val="en-GB" w:eastAsia="en-GB"/>
              </w:rPr>
              <w:t xml:space="preserve"> drugs, and/or intellectual disability where that is appropriate and acceptable to the court. It provides consultation and liaison to the Ministry of Justice/Department of Corrections, the Court, and Police.  This includes informal assessments, reports and recommendations to Court Judges, and information and advice to justice and mental health services about the Mental Health (Compulsory Assessment and Treatment) Act 1992. The service is provided by junior medical staff, a component of a multidisciplinary team.</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smartTag w:uri="urn:schemas-microsoft-com:office:smarttags" w:element="stockticker">
              <w:r w:rsidRPr="00B03059">
                <w:rPr>
                  <w:rFonts w:eastAsia="Times New Roman" w:cs="Arial"/>
                  <w:sz w:val="20"/>
                  <w:szCs w:val="20"/>
                  <w:lang w:val="en-GB" w:eastAsia="en-GB"/>
                </w:rPr>
                <w:t>FTE</w:t>
              </w:r>
            </w:smartTag>
          </w:p>
        </w:tc>
      </w:tr>
      <w:tr w:rsidR="006A7CC7" w:rsidRPr="00B03059" w:rsidTr="00866469">
        <w:trPr>
          <w:cantSplit/>
        </w:trPr>
        <w:tc>
          <w:tcPr>
            <w:tcW w:w="593"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MHF85C</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Forensic Mental Health – Court Liaison Service</w:t>
            </w:r>
            <w:r w:rsidRPr="00B03059">
              <w:rPr>
                <w:rFonts w:eastAsia="Times New Roman" w:cs="Arial"/>
                <w:bCs/>
                <w:iCs/>
                <w:sz w:val="20"/>
                <w:szCs w:val="20"/>
                <w:lang w:val="en-GB" w:eastAsia="en-GB"/>
              </w:rPr>
              <w:t xml:space="preserve"> – Nurses &amp; allied health staff</w:t>
            </w:r>
          </w:p>
        </w:tc>
        <w:tc>
          <w:tcPr>
            <w:tcW w:w="301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tabs>
                <w:tab w:val="left" w:pos="570"/>
              </w:tabs>
              <w:spacing w:before="60" w:after="60"/>
              <w:rPr>
                <w:rFonts w:eastAsia="Times New Roman" w:cs="Arial"/>
                <w:sz w:val="20"/>
                <w:szCs w:val="20"/>
                <w:lang w:val="en-GB" w:eastAsia="en-GB"/>
              </w:rPr>
            </w:pPr>
            <w:r w:rsidRPr="00B03059">
              <w:rPr>
                <w:rFonts w:eastAsia="Times New Roman" w:cs="Arial"/>
                <w:sz w:val="20"/>
                <w:szCs w:val="20"/>
                <w:lang w:val="en-GB" w:eastAsia="en-GB"/>
              </w:rPr>
              <w:t xml:space="preserve">Service to divert offenders from the Criminal Justice system into the health system with either a mental illness, alcohol </w:t>
            </w:r>
            <w:proofErr w:type="gramStart"/>
            <w:r w:rsidRPr="00B03059">
              <w:rPr>
                <w:rFonts w:eastAsia="Times New Roman" w:cs="Arial"/>
                <w:sz w:val="20"/>
                <w:szCs w:val="20"/>
                <w:lang w:val="en-GB" w:eastAsia="en-GB"/>
              </w:rPr>
              <w:t>and</w:t>
            </w:r>
            <w:proofErr w:type="gramEnd"/>
            <w:r w:rsidRPr="00B03059">
              <w:rPr>
                <w:rFonts w:eastAsia="Times New Roman" w:cs="Arial"/>
                <w:sz w:val="20"/>
                <w:szCs w:val="20"/>
                <w:lang w:val="en-GB" w:eastAsia="en-GB"/>
              </w:rPr>
              <w:t xml:space="preserve"> drugs, and/or and intellectual disability where that is appropriate and acceptable to the court. It provides consultation and liaison to the Ministry of Justice/Department of Corrections, the Court, and Police.  This includes informal assessments, reports and recommendations to Court Judges, and information and advice to justice and mental health services about the Mental Health (Compulsory Assessment and Treatment) Act 1992. The service is provided by n</w:t>
            </w:r>
            <w:r w:rsidRPr="00B03059">
              <w:rPr>
                <w:rFonts w:eastAsia="Times New Roman" w:cs="Arial"/>
                <w:bCs/>
                <w:iCs/>
                <w:sz w:val="20"/>
                <w:szCs w:val="20"/>
                <w:lang w:val="en-GB" w:eastAsia="en-GB"/>
              </w:rPr>
              <w:t>urses and allied health staff, a component of a multidisciplinary team.</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smartTag w:uri="urn:schemas-microsoft-com:office:smarttags" w:element="stockticker">
              <w:r w:rsidRPr="00B03059">
                <w:rPr>
                  <w:rFonts w:eastAsia="Times New Roman" w:cs="Arial"/>
                  <w:sz w:val="20"/>
                  <w:szCs w:val="20"/>
                  <w:lang w:val="en-GB" w:eastAsia="en-GB"/>
                </w:rPr>
                <w:t>FTE</w:t>
              </w:r>
            </w:smartTag>
          </w:p>
        </w:tc>
      </w:tr>
      <w:tr w:rsidR="006A7CC7" w:rsidRPr="00B03059" w:rsidTr="00866469">
        <w:trPr>
          <w:cantSplit/>
        </w:trPr>
        <w:tc>
          <w:tcPr>
            <w:tcW w:w="593"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MHF85D</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Forensic Mental Health – Court Liaison Service</w:t>
            </w:r>
            <w:r w:rsidRPr="00B03059">
              <w:rPr>
                <w:rFonts w:eastAsia="Times New Roman" w:cs="Arial"/>
                <w:bCs/>
                <w:iCs/>
                <w:sz w:val="20"/>
                <w:szCs w:val="20"/>
                <w:lang w:val="en-GB" w:eastAsia="en-GB"/>
              </w:rPr>
              <w:t xml:space="preserve"> – Non-clinical staff</w:t>
            </w:r>
          </w:p>
        </w:tc>
        <w:tc>
          <w:tcPr>
            <w:tcW w:w="301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tabs>
                <w:tab w:val="left" w:pos="570"/>
              </w:tabs>
              <w:spacing w:before="60" w:after="60"/>
              <w:rPr>
                <w:rFonts w:eastAsia="Times New Roman" w:cs="Arial"/>
                <w:sz w:val="20"/>
                <w:szCs w:val="20"/>
                <w:lang w:val="en-GB" w:eastAsia="en-GB"/>
              </w:rPr>
            </w:pPr>
            <w:r w:rsidRPr="00B03059">
              <w:rPr>
                <w:rFonts w:eastAsia="Times New Roman" w:cs="Arial"/>
                <w:sz w:val="20"/>
                <w:szCs w:val="20"/>
                <w:lang w:val="en-GB" w:eastAsia="en-GB"/>
              </w:rPr>
              <w:t xml:space="preserve">Service to divert offenders from the Criminal Justice system into the health system with either a mental illness, alcohol </w:t>
            </w:r>
            <w:proofErr w:type="gramStart"/>
            <w:r w:rsidRPr="00B03059">
              <w:rPr>
                <w:rFonts w:eastAsia="Times New Roman" w:cs="Arial"/>
                <w:sz w:val="20"/>
                <w:szCs w:val="20"/>
                <w:lang w:val="en-GB" w:eastAsia="en-GB"/>
              </w:rPr>
              <w:t>and</w:t>
            </w:r>
            <w:proofErr w:type="gramEnd"/>
            <w:r w:rsidRPr="00B03059">
              <w:rPr>
                <w:rFonts w:eastAsia="Times New Roman" w:cs="Arial"/>
                <w:sz w:val="20"/>
                <w:szCs w:val="20"/>
                <w:lang w:val="en-GB" w:eastAsia="en-GB"/>
              </w:rPr>
              <w:t xml:space="preserve"> drugs, and/or intellectual disability where that is appropriate and acceptable to the court. It provides consultation and liaison to the Ministry of Justice/Department of Corrections, the Court, and Police.  This includes informal assessments, reports and recommendations to Court Judges, and information and advice to justice and mental health services about the Mental Health (Compulsory Assessment and Treatment) Act 1992. The service is provided by non-clinical staff, a component of a multidisciplinary team.</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smartTag w:uri="urn:schemas-microsoft-com:office:smarttags" w:element="stockticker">
              <w:r w:rsidRPr="00B03059">
                <w:rPr>
                  <w:rFonts w:eastAsia="Times New Roman" w:cs="Arial"/>
                  <w:sz w:val="20"/>
                  <w:szCs w:val="20"/>
                  <w:lang w:val="en-GB" w:eastAsia="en-GB"/>
                </w:rPr>
                <w:t>FTE</w:t>
              </w:r>
            </w:smartTag>
          </w:p>
        </w:tc>
      </w:tr>
      <w:tr w:rsidR="006A7CC7" w:rsidRPr="00B03059" w:rsidTr="00866469">
        <w:trPr>
          <w:cantSplit/>
          <w:trHeight w:val="2663"/>
        </w:trPr>
        <w:tc>
          <w:tcPr>
            <w:tcW w:w="593"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lastRenderedPageBreak/>
              <w:t>MHF85E</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Forensic Mental Health – Court Liaison Service</w:t>
            </w:r>
            <w:r w:rsidRPr="00B03059">
              <w:rPr>
                <w:rFonts w:eastAsia="Times New Roman" w:cs="Arial"/>
                <w:bCs/>
                <w:iCs/>
                <w:sz w:val="20"/>
                <w:szCs w:val="20"/>
                <w:lang w:val="en-GB" w:eastAsia="en-GB"/>
              </w:rPr>
              <w:t xml:space="preserve"> – Cultural Support</w:t>
            </w:r>
          </w:p>
        </w:tc>
        <w:tc>
          <w:tcPr>
            <w:tcW w:w="301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tabs>
                <w:tab w:val="left" w:pos="570"/>
              </w:tabs>
              <w:spacing w:before="60" w:after="60"/>
              <w:rPr>
                <w:rFonts w:eastAsia="Times New Roman" w:cs="Arial"/>
                <w:sz w:val="20"/>
                <w:szCs w:val="20"/>
                <w:lang w:val="en-GB" w:eastAsia="en-GB"/>
              </w:rPr>
            </w:pPr>
            <w:r w:rsidRPr="00B03059">
              <w:rPr>
                <w:rFonts w:eastAsia="Times New Roman" w:cs="Arial"/>
                <w:sz w:val="20"/>
                <w:szCs w:val="20"/>
                <w:lang w:val="en-GB" w:eastAsia="en-GB"/>
              </w:rPr>
              <w:t xml:space="preserve">Service to divert offenders from the Criminal Justice system into the health system with either a mental illness, alcohol </w:t>
            </w:r>
            <w:proofErr w:type="gramStart"/>
            <w:r w:rsidRPr="00B03059">
              <w:rPr>
                <w:rFonts w:eastAsia="Times New Roman" w:cs="Arial"/>
                <w:sz w:val="20"/>
                <w:szCs w:val="20"/>
                <w:lang w:val="en-GB" w:eastAsia="en-GB"/>
              </w:rPr>
              <w:t>and</w:t>
            </w:r>
            <w:proofErr w:type="gramEnd"/>
            <w:r w:rsidRPr="00B03059">
              <w:rPr>
                <w:rFonts w:eastAsia="Times New Roman" w:cs="Arial"/>
                <w:sz w:val="20"/>
                <w:szCs w:val="20"/>
                <w:lang w:val="en-GB" w:eastAsia="en-GB"/>
              </w:rPr>
              <w:t xml:space="preserve"> drugs, and/or intellectual disability where that is appropriate and acceptable to the court. It provides consultation and liaison to the Ministry of Justice/Department of Corrections, the Court, and Police.  This includes informal assessments, reports and recommendations to Court Judges, and information and advice to justice and mental health services about the Mental Health (Compulsory Assessment and Treatment) Act 1992. The service is provided by cultural support, a component of a multidisciplinary team.</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smartTag w:uri="urn:schemas-microsoft-com:office:smarttags" w:element="stockticker">
              <w:r w:rsidRPr="00B03059">
                <w:rPr>
                  <w:rFonts w:eastAsia="Times New Roman" w:cs="Arial"/>
                  <w:sz w:val="20"/>
                  <w:szCs w:val="20"/>
                  <w:lang w:val="en-GB" w:eastAsia="en-GB"/>
                </w:rPr>
                <w:t>FTE</w:t>
              </w:r>
            </w:smartTag>
          </w:p>
        </w:tc>
      </w:tr>
      <w:tr w:rsidR="006A7CC7" w:rsidRPr="00B03059" w:rsidTr="00866469">
        <w:trPr>
          <w:cantSplit/>
          <w:trHeight w:val="2360"/>
        </w:trPr>
        <w:tc>
          <w:tcPr>
            <w:tcW w:w="593"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MHF85S</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Forensic Mental Health – Court Liaison Service</w:t>
            </w:r>
          </w:p>
        </w:tc>
        <w:tc>
          <w:tcPr>
            <w:tcW w:w="301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tabs>
                <w:tab w:val="left" w:pos="570"/>
              </w:tabs>
              <w:spacing w:before="60" w:after="60"/>
              <w:rPr>
                <w:rFonts w:eastAsia="Times New Roman" w:cs="Arial"/>
                <w:sz w:val="20"/>
                <w:szCs w:val="20"/>
                <w:lang w:val="en-GB" w:eastAsia="en-GB"/>
              </w:rPr>
            </w:pPr>
            <w:r w:rsidRPr="00B03059">
              <w:rPr>
                <w:rFonts w:eastAsia="Times New Roman" w:cs="Arial"/>
                <w:sz w:val="20"/>
                <w:szCs w:val="20"/>
                <w:lang w:val="en-GB" w:eastAsia="en-GB"/>
              </w:rPr>
              <w:t>Service to divert offenders from the Criminal Justice system into the health system with either a mental illness and/or and intellectual disability where that is appropriate and acceptable to the court. It provides consultation and liaison to the Ministry of Justice/Department of Corrections, the Court, and Police.  This includes informal assessments, reports and recommendations to Court Judges, and information and advice to justice and mental health services about the Mental Health (Compulsory Assessment and Treatment) Act 1992.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03059" w:rsidRPr="00B03059" w:rsidRDefault="00B03059" w:rsidP="00B03059">
            <w:pPr>
              <w:spacing w:before="60" w:after="60"/>
              <w:rPr>
                <w:rFonts w:eastAsia="Times New Roman" w:cs="Arial"/>
                <w:sz w:val="20"/>
                <w:szCs w:val="20"/>
                <w:lang w:val="en-GB" w:eastAsia="en-GB"/>
              </w:rPr>
            </w:pPr>
            <w:r w:rsidRPr="00B03059">
              <w:rPr>
                <w:rFonts w:eastAsia="Times New Roman" w:cs="Arial"/>
                <w:sz w:val="20"/>
                <w:szCs w:val="20"/>
                <w:lang w:val="en-GB" w:eastAsia="en-GB"/>
              </w:rPr>
              <w:t xml:space="preserve">Service </w:t>
            </w:r>
          </w:p>
        </w:tc>
      </w:tr>
    </w:tbl>
    <w:p w:rsidR="00E03D79" w:rsidRPr="00636180" w:rsidRDefault="00E03D79" w:rsidP="00E03D79">
      <w:pPr>
        <w:rPr>
          <w:rFonts w:cs="Arial"/>
          <w:szCs w:val="24"/>
        </w:rPr>
      </w:pPr>
    </w:p>
    <w:tbl>
      <w:tblPr>
        <w:tblStyle w:val="TableGrid"/>
        <w:tblW w:w="9634" w:type="dxa"/>
        <w:tblLook w:val="04A0" w:firstRow="1" w:lastRow="0" w:firstColumn="1" w:lastColumn="0" w:noHBand="0" w:noVBand="1"/>
      </w:tblPr>
      <w:tblGrid>
        <w:gridCol w:w="1129"/>
        <w:gridCol w:w="8505"/>
      </w:tblGrid>
      <w:tr w:rsidR="006A7CC7" w:rsidRPr="006A7CC7" w:rsidTr="00866469">
        <w:tc>
          <w:tcPr>
            <w:tcW w:w="1129" w:type="dxa"/>
            <w:shd w:val="clear" w:color="auto" w:fill="D9D9D9"/>
          </w:tcPr>
          <w:p w:rsidR="006A7CC7" w:rsidRPr="006A7CC7" w:rsidRDefault="006A7CC7" w:rsidP="006A7CC7">
            <w:pPr>
              <w:spacing w:before="120" w:after="0"/>
              <w:rPr>
                <w:rFonts w:cs="Arial"/>
                <w:b/>
                <w:sz w:val="20"/>
                <w:lang w:val="en-GB" w:eastAsia="en-GB"/>
              </w:rPr>
            </w:pPr>
            <w:r w:rsidRPr="006A7CC7">
              <w:rPr>
                <w:rFonts w:cs="Arial"/>
                <w:b/>
                <w:sz w:val="20"/>
                <w:lang w:val="en-GB" w:eastAsia="en-GB"/>
              </w:rPr>
              <w:t>Unit of Measure</w:t>
            </w:r>
          </w:p>
        </w:tc>
        <w:tc>
          <w:tcPr>
            <w:tcW w:w="8505" w:type="dxa"/>
            <w:shd w:val="clear" w:color="auto" w:fill="D9D9D9"/>
          </w:tcPr>
          <w:p w:rsidR="006A7CC7" w:rsidRPr="006A7CC7" w:rsidRDefault="006A7CC7" w:rsidP="006A7CC7">
            <w:pPr>
              <w:spacing w:before="120" w:after="0"/>
              <w:jc w:val="both"/>
              <w:rPr>
                <w:rFonts w:cs="Arial"/>
                <w:b/>
                <w:sz w:val="20"/>
                <w:lang w:val="en-GB" w:eastAsia="en-GB"/>
              </w:rPr>
            </w:pPr>
            <w:r w:rsidRPr="006A7CC7">
              <w:rPr>
                <w:rFonts w:cs="Arial"/>
                <w:b/>
                <w:sz w:val="20"/>
                <w:lang w:val="en-GB" w:eastAsia="en-GB"/>
              </w:rPr>
              <w:t>Unit of Measure Definition</w:t>
            </w:r>
          </w:p>
        </w:tc>
      </w:tr>
      <w:tr w:rsidR="006A7CC7" w:rsidRPr="006A7CC7" w:rsidTr="00866469">
        <w:tc>
          <w:tcPr>
            <w:tcW w:w="1129" w:type="dxa"/>
          </w:tcPr>
          <w:p w:rsidR="006A7CC7" w:rsidRPr="006A7CC7" w:rsidRDefault="006A7CC7" w:rsidP="00866469">
            <w:pPr>
              <w:spacing w:before="120"/>
              <w:jc w:val="both"/>
              <w:rPr>
                <w:rFonts w:cs="Arial"/>
                <w:sz w:val="20"/>
                <w:lang w:val="en-GB" w:eastAsia="en-GB"/>
              </w:rPr>
            </w:pPr>
            <w:r w:rsidRPr="006A7CC7">
              <w:rPr>
                <w:rFonts w:cs="Arial"/>
                <w:sz w:val="20"/>
                <w:lang w:val="en-GB" w:eastAsia="en-GB"/>
              </w:rPr>
              <w:t>FTE</w:t>
            </w:r>
          </w:p>
        </w:tc>
        <w:tc>
          <w:tcPr>
            <w:tcW w:w="8505" w:type="dxa"/>
          </w:tcPr>
          <w:p w:rsidR="006A7CC7" w:rsidRPr="006A7CC7" w:rsidRDefault="006A7CC7" w:rsidP="00866469">
            <w:pPr>
              <w:spacing w:before="120"/>
              <w:jc w:val="both"/>
              <w:rPr>
                <w:rFonts w:cs="Arial"/>
                <w:sz w:val="20"/>
                <w:lang w:val="en-GB" w:eastAsia="en-GB"/>
              </w:rPr>
            </w:pPr>
            <w:r w:rsidRPr="006A7CC7">
              <w:rPr>
                <w:rFonts w:cs="Arial"/>
                <w:sz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6A7CC7" w:rsidRPr="006A7CC7" w:rsidTr="00866469">
        <w:tc>
          <w:tcPr>
            <w:tcW w:w="1129" w:type="dxa"/>
          </w:tcPr>
          <w:p w:rsidR="006A7CC7" w:rsidRPr="006A7CC7" w:rsidRDefault="006A7CC7" w:rsidP="00866469">
            <w:pPr>
              <w:spacing w:before="120"/>
              <w:jc w:val="both"/>
              <w:rPr>
                <w:rFonts w:cs="Arial"/>
                <w:sz w:val="20"/>
                <w:lang w:val="en-GB" w:eastAsia="en-GB"/>
              </w:rPr>
            </w:pPr>
            <w:r w:rsidRPr="006A7CC7">
              <w:rPr>
                <w:rFonts w:cs="Arial"/>
                <w:sz w:val="20"/>
                <w:lang w:val="en-GB" w:eastAsia="en-GB"/>
              </w:rPr>
              <w:t>Service</w:t>
            </w:r>
          </w:p>
        </w:tc>
        <w:tc>
          <w:tcPr>
            <w:tcW w:w="8505" w:type="dxa"/>
          </w:tcPr>
          <w:p w:rsidR="006A7CC7" w:rsidRPr="006A7CC7" w:rsidRDefault="006A7CC7" w:rsidP="00866469">
            <w:pPr>
              <w:spacing w:before="120"/>
              <w:jc w:val="both"/>
              <w:rPr>
                <w:rFonts w:cs="Arial"/>
                <w:sz w:val="20"/>
                <w:lang w:val="en-GB" w:eastAsia="en-GB"/>
              </w:rPr>
            </w:pPr>
            <w:r w:rsidRPr="006A7CC7">
              <w:rPr>
                <w:rFonts w:cs="Arial"/>
                <w:sz w:val="20"/>
                <w:lang w:val="en-GB" w:eastAsia="en-GB"/>
              </w:rPr>
              <w:t>Service purchased in a block arrangement uniquely agreed between the parties to the agreement</w:t>
            </w:r>
          </w:p>
        </w:tc>
      </w:tr>
    </w:tbl>
    <w:p w:rsidR="00E03D79" w:rsidRPr="00636180" w:rsidRDefault="00E03D79" w:rsidP="006A7CC7">
      <w:pPr>
        <w:pStyle w:val="Heading2"/>
      </w:pPr>
      <w:r w:rsidRPr="00636180">
        <w:t>7.2</w:t>
      </w:r>
      <w:r w:rsidRPr="00636180">
        <w:tab/>
        <w:t>Reporting</w:t>
      </w:r>
    </w:p>
    <w:p w:rsidR="00E03D79" w:rsidRPr="00636180" w:rsidRDefault="00E03D79" w:rsidP="006A7CC7">
      <w:pPr>
        <w:spacing w:before="120"/>
      </w:pPr>
      <w:r w:rsidRPr="00636180">
        <w:t>The Provider must comply with the requirements of national data collections: PRIMHD.</w:t>
      </w:r>
    </w:p>
    <w:p w:rsidR="00E03D79" w:rsidRPr="00636180" w:rsidRDefault="00E03D79" w:rsidP="006A7CC7">
      <w:r w:rsidRPr="00636180">
        <w:t xml:space="preserve">Additional information to be reported and the frequency of collection are specified by the Funder in the Provider Specific Terms and Conditions as agreed with the Service Provider. </w:t>
      </w:r>
    </w:p>
    <w:p w:rsidR="00E03D79" w:rsidRPr="00636180" w:rsidRDefault="00E03D79" w:rsidP="006A7CC7">
      <w:r w:rsidRPr="00636180">
        <w:t>The information required by the Funder will be sent to:</w:t>
      </w:r>
    </w:p>
    <w:p w:rsidR="00E03D79" w:rsidRPr="00636180" w:rsidRDefault="00E03D79" w:rsidP="00866469">
      <w:pPr>
        <w:ind w:left="720"/>
      </w:pPr>
      <w:r w:rsidRPr="00636180">
        <w:t>Performance Reporting</w:t>
      </w:r>
    </w:p>
    <w:p w:rsidR="00E03D79" w:rsidRPr="00636180" w:rsidRDefault="00E03D79" w:rsidP="00866469">
      <w:pPr>
        <w:ind w:left="720"/>
      </w:pPr>
      <w:r w:rsidRPr="00636180">
        <w:t>Sector Operations</w:t>
      </w:r>
    </w:p>
    <w:p w:rsidR="00E03D79" w:rsidRPr="00636180" w:rsidRDefault="00E03D79" w:rsidP="00866469">
      <w:pPr>
        <w:ind w:left="720"/>
      </w:pPr>
      <w:r w:rsidRPr="00636180">
        <w:t>Ministry of Health</w:t>
      </w:r>
    </w:p>
    <w:p w:rsidR="00E03D79" w:rsidRPr="00636180" w:rsidRDefault="00E03D79" w:rsidP="00866469">
      <w:pPr>
        <w:ind w:left="720"/>
      </w:pPr>
      <w:r w:rsidRPr="00636180">
        <w:t>Private Bag 1942</w:t>
      </w:r>
    </w:p>
    <w:p w:rsidR="00E03D79" w:rsidRPr="00636180" w:rsidRDefault="00E03D79" w:rsidP="00866469">
      <w:pPr>
        <w:ind w:left="720"/>
      </w:pPr>
      <w:r w:rsidRPr="00636180">
        <w:t>Dunedin 9054</w:t>
      </w:r>
    </w:p>
    <w:p w:rsidR="00E03D79" w:rsidRPr="00636180" w:rsidRDefault="00E03D79" w:rsidP="00866469">
      <w:pPr>
        <w:ind w:left="720"/>
      </w:pPr>
      <w:r w:rsidRPr="00636180">
        <w:t>Email performance_reporting@moh.govt.nz</w:t>
      </w:r>
    </w:p>
    <w:p w:rsidR="00117575" w:rsidRPr="00636180" w:rsidRDefault="00E03D79" w:rsidP="006A7CC7">
      <w:r w:rsidRPr="00636180">
        <w:lastRenderedPageBreak/>
        <w:t>The Performance Monitoring Reporting tables for the Mental Health and Addiction Service Specifications may be used for performance monitoring if specified as agreed with the Funder.</w:t>
      </w:r>
    </w:p>
    <w:sectPr w:rsidR="00117575" w:rsidRPr="006361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7D" w:rsidRDefault="00DE347D" w:rsidP="00981455">
      <w:pPr>
        <w:spacing w:after="0"/>
      </w:pPr>
      <w:r>
        <w:separator/>
      </w:r>
    </w:p>
  </w:endnote>
  <w:endnote w:type="continuationSeparator" w:id="0">
    <w:p w:rsidR="00DE347D" w:rsidRDefault="00DE347D" w:rsidP="00981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55" w:rsidRDefault="00981455" w:rsidP="00981455">
    <w:pPr>
      <w:pStyle w:val="Footer"/>
      <w:pBdr>
        <w:top w:val="single" w:sz="4" w:space="1" w:color="auto"/>
      </w:pBdr>
      <w:tabs>
        <w:tab w:val="clear" w:pos="4513"/>
        <w:tab w:val="center" w:pos="4536"/>
      </w:tabs>
      <w:ind w:right="360"/>
      <w:rPr>
        <w:rFonts w:cs="Arial"/>
        <w:sz w:val="20"/>
      </w:rPr>
    </w:pPr>
    <w:r>
      <w:rPr>
        <w:rFonts w:cs="Arial"/>
        <w:sz w:val="20"/>
      </w:rPr>
      <w:t>Forensic Mental Health Court Liaison Service Mental Health and Addiction Services tier three service specification April 2017</w:t>
    </w:r>
  </w:p>
  <w:p w:rsidR="00981455" w:rsidRDefault="00981455" w:rsidP="00981455">
    <w:pPr>
      <w:pStyle w:val="Footer"/>
      <w:pBdr>
        <w:top w:val="single" w:sz="4" w:space="1" w:color="auto"/>
      </w:pBdr>
      <w:ind w:right="360"/>
    </w:pPr>
    <w:r>
      <w:rPr>
        <w:rFonts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7D" w:rsidRDefault="00DE347D" w:rsidP="00981455">
      <w:pPr>
        <w:spacing w:after="0"/>
      </w:pPr>
      <w:r>
        <w:separator/>
      </w:r>
    </w:p>
  </w:footnote>
  <w:footnote w:type="continuationSeparator" w:id="0">
    <w:p w:rsidR="00DE347D" w:rsidRDefault="00DE347D" w:rsidP="0098145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79"/>
    <w:rsid w:val="00023C34"/>
    <w:rsid w:val="00117575"/>
    <w:rsid w:val="00160D64"/>
    <w:rsid w:val="002A1312"/>
    <w:rsid w:val="003524D3"/>
    <w:rsid w:val="004512D6"/>
    <w:rsid w:val="004B38EF"/>
    <w:rsid w:val="00613BF3"/>
    <w:rsid w:val="00636180"/>
    <w:rsid w:val="006A7CC7"/>
    <w:rsid w:val="00812B1E"/>
    <w:rsid w:val="00866469"/>
    <w:rsid w:val="008742DD"/>
    <w:rsid w:val="00981455"/>
    <w:rsid w:val="00B03059"/>
    <w:rsid w:val="00DE347D"/>
    <w:rsid w:val="00E03D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DAF4228-8145-4BD6-AAC2-984EB823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80"/>
    <w:pPr>
      <w:spacing w:after="120" w:line="240" w:lineRule="auto"/>
    </w:pPr>
    <w:rPr>
      <w:rFonts w:ascii="Arial" w:hAnsi="Arial"/>
      <w:sz w:val="24"/>
    </w:rPr>
  </w:style>
  <w:style w:type="paragraph" w:styleId="Heading1">
    <w:name w:val="heading 1"/>
    <w:basedOn w:val="Normal"/>
    <w:next w:val="Normal"/>
    <w:link w:val="Heading1Char"/>
    <w:uiPriority w:val="9"/>
    <w:qFormat/>
    <w:rsid w:val="00636180"/>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03059"/>
    <w:pPr>
      <w:keepNext/>
      <w:keepLines/>
      <w:spacing w:before="12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80"/>
    <w:rPr>
      <w:rFonts w:ascii="Arial" w:eastAsiaTheme="majorEastAsia" w:hAnsi="Arial" w:cstheme="majorBidi"/>
      <w:b/>
      <w:sz w:val="24"/>
      <w:szCs w:val="32"/>
    </w:rPr>
  </w:style>
  <w:style w:type="character" w:styleId="Hyperlink">
    <w:name w:val="Hyperlink"/>
    <w:basedOn w:val="DefaultParagraphFont"/>
    <w:uiPriority w:val="99"/>
    <w:unhideWhenUsed/>
    <w:rsid w:val="002A1312"/>
    <w:rPr>
      <w:color w:val="0563C1" w:themeColor="hyperlink"/>
      <w:u w:val="single"/>
    </w:rPr>
  </w:style>
  <w:style w:type="character" w:customStyle="1" w:styleId="Heading2Char">
    <w:name w:val="Heading 2 Char"/>
    <w:basedOn w:val="DefaultParagraphFont"/>
    <w:link w:val="Heading2"/>
    <w:uiPriority w:val="9"/>
    <w:rsid w:val="00B03059"/>
    <w:rPr>
      <w:rFonts w:ascii="Arial" w:eastAsiaTheme="majorEastAsia" w:hAnsi="Arial" w:cstheme="majorBidi"/>
      <w:b/>
      <w:sz w:val="24"/>
      <w:szCs w:val="26"/>
    </w:rPr>
  </w:style>
  <w:style w:type="table" w:styleId="TableGrid">
    <w:name w:val="Table Grid"/>
    <w:basedOn w:val="TableNormal"/>
    <w:rsid w:val="006A7CC7"/>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455"/>
    <w:pPr>
      <w:tabs>
        <w:tab w:val="center" w:pos="4513"/>
        <w:tab w:val="right" w:pos="9026"/>
      </w:tabs>
      <w:spacing w:after="0"/>
    </w:pPr>
  </w:style>
  <w:style w:type="character" w:customStyle="1" w:styleId="HeaderChar">
    <w:name w:val="Header Char"/>
    <w:basedOn w:val="DefaultParagraphFont"/>
    <w:link w:val="Header"/>
    <w:uiPriority w:val="99"/>
    <w:rsid w:val="00981455"/>
    <w:rPr>
      <w:rFonts w:ascii="Arial" w:hAnsi="Arial"/>
      <w:sz w:val="24"/>
    </w:rPr>
  </w:style>
  <w:style w:type="paragraph" w:styleId="Footer">
    <w:name w:val="footer"/>
    <w:basedOn w:val="Normal"/>
    <w:link w:val="FooterChar"/>
    <w:unhideWhenUsed/>
    <w:rsid w:val="00981455"/>
    <w:pPr>
      <w:tabs>
        <w:tab w:val="center" w:pos="4513"/>
        <w:tab w:val="right" w:pos="9026"/>
      </w:tabs>
      <w:spacing w:after="0"/>
    </w:pPr>
  </w:style>
  <w:style w:type="character" w:customStyle="1" w:styleId="FooterChar">
    <w:name w:val="Footer Char"/>
    <w:basedOn w:val="DefaultParagraphFont"/>
    <w:link w:val="Footer"/>
    <w:rsid w:val="00981455"/>
    <w:rPr>
      <w:rFonts w:ascii="Arial" w:hAnsi="Arial"/>
      <w:sz w:val="24"/>
    </w:rPr>
  </w:style>
  <w:style w:type="character" w:styleId="PageNumber">
    <w:name w:val="page number"/>
    <w:basedOn w:val="DefaultParagraphFont"/>
    <w:semiHidden/>
    <w:unhideWhenUsed/>
    <w:rsid w:val="0098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C39F-A943-4B37-BF61-3E03CFFC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D0BD322C</Template>
  <TotalTime>0</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Craven</dc:creator>
  <cp:keywords/>
  <dc:description/>
  <cp:lastModifiedBy>Vickie Turnbull</cp:lastModifiedBy>
  <cp:revision>2</cp:revision>
  <dcterms:created xsi:type="dcterms:W3CDTF">2017-08-09T22:18:00Z</dcterms:created>
  <dcterms:modified xsi:type="dcterms:W3CDTF">2017-08-09T22:18:00Z</dcterms:modified>
</cp:coreProperties>
</file>