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92"/>
        <w:gridCol w:w="1970"/>
        <w:gridCol w:w="3827"/>
      </w:tblGrid>
      <w:tr w:rsidR="00F86EFE" w:rsidRPr="006B6A7F" w:rsidTr="007D1F70">
        <w:trPr>
          <w:cantSplit/>
        </w:trPr>
        <w:tc>
          <w:tcPr>
            <w:tcW w:w="4092" w:type="dxa"/>
            <w:vAlign w:val="center"/>
          </w:tcPr>
          <w:p w:rsidR="00F86EFE" w:rsidRDefault="00BF3ED2" w:rsidP="00F86EFE">
            <w:pPr>
              <w:rPr>
                <w:rFonts w:ascii="Arial" w:hAnsi="Arial" w:cs="Arial"/>
                <w:bCs/>
                <w:sz w:val="34"/>
                <w:szCs w:val="34"/>
              </w:rPr>
            </w:pPr>
            <w:bookmarkStart w:id="0" w:name="_GoBack"/>
            <w:bookmarkEnd w:id="0"/>
            <w:r w:rsidRPr="006B6A7F">
              <w:rPr>
                <w:rFonts w:ascii="Arial" w:hAnsi="Arial" w:cs="Arial"/>
                <w:noProof/>
                <w:sz w:val="23"/>
                <w:szCs w:val="23"/>
                <w:lang w:eastAsia="en-NZ"/>
              </w:rPr>
              <w:drawing>
                <wp:inline distT="0" distB="0" distL="0" distR="0" wp14:anchorId="30CF5081" wp14:editId="1C502920">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p w:rsidR="00A75E82" w:rsidRPr="006B6A7F" w:rsidRDefault="00A75E82" w:rsidP="00F86EFE">
            <w:pPr>
              <w:rPr>
                <w:rFonts w:ascii="Arial" w:hAnsi="Arial" w:cs="Arial"/>
                <w:bCs/>
                <w:sz w:val="34"/>
                <w:szCs w:val="34"/>
              </w:rPr>
            </w:pPr>
          </w:p>
        </w:tc>
        <w:tc>
          <w:tcPr>
            <w:tcW w:w="5797" w:type="dxa"/>
            <w:gridSpan w:val="2"/>
            <w:vAlign w:val="center"/>
          </w:tcPr>
          <w:p w:rsidR="00F86EFE" w:rsidRPr="006B6A7F" w:rsidRDefault="00F86EFE" w:rsidP="00F86EFE">
            <w:pPr>
              <w:jc w:val="right"/>
              <w:rPr>
                <w:rFonts w:ascii="Arial" w:hAnsi="Arial" w:cs="Arial"/>
              </w:rPr>
            </w:pPr>
          </w:p>
          <w:p w:rsidR="00F86EFE" w:rsidRPr="006B6A7F" w:rsidRDefault="00BB0423" w:rsidP="00BB0423">
            <w:pPr>
              <w:jc w:val="right"/>
              <w:rPr>
                <w:rFonts w:ascii="Arial" w:hAnsi="Arial" w:cs="Arial"/>
                <w:bCs/>
                <w:sz w:val="32"/>
                <w:szCs w:val="32"/>
              </w:rPr>
            </w:pPr>
            <w:r w:rsidRPr="006B6A7F">
              <w:rPr>
                <w:rFonts w:ascii="Arial" w:hAnsi="Arial" w:cs="Arial"/>
                <w:b/>
                <w:sz w:val="32"/>
                <w:szCs w:val="32"/>
              </w:rPr>
              <w:t>All District Health Boards</w:t>
            </w:r>
          </w:p>
        </w:tc>
      </w:tr>
      <w:tr w:rsidR="00F86EFE" w:rsidRPr="006B6A7F" w:rsidTr="007D1F70">
        <w:tc>
          <w:tcPr>
            <w:tcW w:w="9889" w:type="dxa"/>
            <w:gridSpan w:val="3"/>
          </w:tcPr>
          <w:p w:rsidR="00ED668B" w:rsidRPr="006B6A7F" w:rsidRDefault="00ED668B" w:rsidP="00107033">
            <w:pPr>
              <w:spacing w:before="1320"/>
              <w:jc w:val="center"/>
              <w:rPr>
                <w:rFonts w:ascii="Arial" w:hAnsi="Arial" w:cs="Arial"/>
                <w:b/>
                <w:sz w:val="36"/>
                <w:szCs w:val="36"/>
              </w:rPr>
            </w:pPr>
            <w:r w:rsidRPr="006B6A7F">
              <w:rPr>
                <w:rFonts w:ascii="Arial" w:hAnsi="Arial" w:cs="Arial"/>
                <w:b/>
                <w:sz w:val="36"/>
                <w:szCs w:val="36"/>
              </w:rPr>
              <w:t>EATING DISORDERS SERVICES -</w:t>
            </w:r>
          </w:p>
          <w:p w:rsidR="00F86EFE" w:rsidRPr="006B6A7F" w:rsidRDefault="00F86EFE" w:rsidP="00AB0D46">
            <w:pPr>
              <w:spacing w:before="120"/>
              <w:jc w:val="center"/>
              <w:rPr>
                <w:rFonts w:ascii="Arial" w:hAnsi="Arial" w:cs="Arial"/>
                <w:b/>
                <w:sz w:val="36"/>
                <w:szCs w:val="36"/>
              </w:rPr>
            </w:pPr>
            <w:r w:rsidRPr="006B6A7F">
              <w:rPr>
                <w:rFonts w:ascii="Arial" w:hAnsi="Arial" w:cs="Arial"/>
                <w:b/>
                <w:sz w:val="36"/>
                <w:szCs w:val="36"/>
              </w:rPr>
              <w:t>EATING DISORDERS INPATIENT, INTENSIVE TREATMENT AND CONSULTATIVE SERVICE</w:t>
            </w:r>
          </w:p>
          <w:p w:rsidR="00F86EFE" w:rsidRPr="006B6A7F" w:rsidRDefault="00F86EFE" w:rsidP="00AB0D46">
            <w:pPr>
              <w:spacing w:before="120"/>
              <w:jc w:val="center"/>
              <w:rPr>
                <w:rFonts w:ascii="Arial" w:hAnsi="Arial" w:cs="Arial"/>
                <w:b/>
                <w:sz w:val="36"/>
                <w:szCs w:val="36"/>
              </w:rPr>
            </w:pPr>
            <w:r w:rsidRPr="006B6A7F">
              <w:rPr>
                <w:rFonts w:ascii="Arial" w:hAnsi="Arial" w:cs="Arial"/>
                <w:b/>
                <w:sz w:val="36"/>
                <w:szCs w:val="36"/>
              </w:rPr>
              <w:t>TIER THREE</w:t>
            </w:r>
          </w:p>
          <w:p w:rsidR="00F86EFE" w:rsidRPr="006B6A7F" w:rsidRDefault="00F86EFE" w:rsidP="00107033">
            <w:pPr>
              <w:spacing w:before="120" w:after="600"/>
              <w:jc w:val="center"/>
              <w:rPr>
                <w:rFonts w:ascii="Arial" w:hAnsi="Arial" w:cs="Arial"/>
                <w:b/>
                <w:sz w:val="36"/>
                <w:szCs w:val="36"/>
              </w:rPr>
            </w:pPr>
            <w:r w:rsidRPr="006B6A7F">
              <w:rPr>
                <w:rFonts w:ascii="Arial" w:hAnsi="Arial" w:cs="Arial"/>
                <w:b/>
                <w:sz w:val="36"/>
                <w:szCs w:val="36"/>
              </w:rPr>
              <w:t>SERVICE SPECIFICATION</w:t>
            </w:r>
          </w:p>
          <w:p w:rsidR="00F86EFE" w:rsidRPr="006B6A7F" w:rsidRDefault="00F86EFE" w:rsidP="00F86EFE">
            <w:pPr>
              <w:jc w:val="both"/>
              <w:rPr>
                <w:rFonts w:ascii="Arial" w:hAnsi="Arial" w:cs="Arial"/>
              </w:rPr>
            </w:pPr>
          </w:p>
        </w:tc>
      </w:tr>
      <w:tr w:rsidR="007D1F70" w:rsidRPr="006B6A7F" w:rsidTr="001A7820">
        <w:tc>
          <w:tcPr>
            <w:tcW w:w="6062" w:type="dxa"/>
            <w:gridSpan w:val="2"/>
          </w:tcPr>
          <w:p w:rsidR="007D1F70" w:rsidRPr="007D1F70" w:rsidRDefault="007D1F70" w:rsidP="007D1F70">
            <w:pPr>
              <w:pStyle w:val="Heading1"/>
              <w:spacing w:after="240"/>
              <w:rPr>
                <w:b w:val="0"/>
              </w:rPr>
            </w:pPr>
            <w:bookmarkStart w:id="1" w:name="_Toc206389498"/>
            <w:bookmarkStart w:id="2" w:name="_Toc206401874"/>
            <w:bookmarkStart w:id="3" w:name="_Toc206403843"/>
            <w:bookmarkStart w:id="4" w:name="_Toc206404571"/>
            <w:bookmarkStart w:id="5" w:name="_Toc206405301"/>
            <w:bookmarkStart w:id="6" w:name="_Toc206405337"/>
            <w:bookmarkStart w:id="7" w:name="_Toc206406064"/>
            <w:bookmarkStart w:id="8" w:name="_Toc215319104"/>
            <w:r w:rsidRPr="007D1F70">
              <w:t xml:space="preserve">STATUS: </w:t>
            </w:r>
            <w:r w:rsidRPr="007D1F70">
              <w:rPr>
                <w:sz w:val="24"/>
                <w:szCs w:val="24"/>
              </w:rPr>
              <w:t>These service specifications may be amended to meet local agreement needs.</w:t>
            </w:r>
            <w:bookmarkEnd w:id="1"/>
            <w:bookmarkEnd w:id="2"/>
            <w:bookmarkEnd w:id="3"/>
            <w:bookmarkEnd w:id="4"/>
            <w:bookmarkEnd w:id="5"/>
            <w:bookmarkEnd w:id="6"/>
            <w:bookmarkEnd w:id="7"/>
            <w:bookmarkEnd w:id="8"/>
          </w:p>
        </w:tc>
        <w:tc>
          <w:tcPr>
            <w:tcW w:w="3827" w:type="dxa"/>
          </w:tcPr>
          <w:p w:rsidR="007D1F70" w:rsidRPr="007D1F70" w:rsidRDefault="007D1F70" w:rsidP="001A7820">
            <w:pPr>
              <w:spacing w:before="120"/>
              <w:rPr>
                <w:rFonts w:ascii="Arial" w:hAnsi="Arial" w:cs="Arial"/>
              </w:rPr>
            </w:pPr>
            <w:bookmarkStart w:id="9" w:name="_Toc206389499"/>
            <w:bookmarkStart w:id="10" w:name="_Toc215319108"/>
            <w:r w:rsidRPr="007D1F70">
              <w:rPr>
                <w:rFonts w:ascii="Arial" w:hAnsi="Arial" w:cs="Arial"/>
                <w:b/>
                <w:sz w:val="32"/>
                <w:szCs w:val="32"/>
              </w:rPr>
              <w:t>NON-MANDATORY</w:t>
            </w:r>
            <w:bookmarkEnd w:id="9"/>
            <w:bookmarkEnd w:id="10"/>
          </w:p>
        </w:tc>
      </w:tr>
      <w:tr w:rsidR="00ED668B" w:rsidRPr="006B6A7F" w:rsidTr="007D1F70">
        <w:tc>
          <w:tcPr>
            <w:tcW w:w="6062" w:type="dxa"/>
            <w:gridSpan w:val="2"/>
            <w:tcBorders>
              <w:top w:val="single" w:sz="6" w:space="0" w:color="auto"/>
              <w:left w:val="single" w:sz="4" w:space="0" w:color="auto"/>
              <w:bottom w:val="single" w:sz="6" w:space="0" w:color="auto"/>
              <w:right w:val="single" w:sz="6" w:space="0" w:color="auto"/>
            </w:tcBorders>
            <w:shd w:val="pct12" w:color="auto" w:fill="auto"/>
          </w:tcPr>
          <w:p w:rsidR="00ED668B" w:rsidRPr="00107033" w:rsidRDefault="00ED668B" w:rsidP="00F86EFE">
            <w:pPr>
              <w:pStyle w:val="Heading1"/>
              <w:spacing w:after="240"/>
              <w:rPr>
                <w:sz w:val="28"/>
                <w:szCs w:val="28"/>
              </w:rPr>
            </w:pPr>
            <w:r w:rsidRPr="00107033">
              <w:rPr>
                <w:szCs w:val="26"/>
              </w:rPr>
              <w:t>Review history</w:t>
            </w:r>
          </w:p>
        </w:tc>
        <w:tc>
          <w:tcPr>
            <w:tcW w:w="3827" w:type="dxa"/>
            <w:tcBorders>
              <w:top w:val="single" w:sz="6" w:space="0" w:color="auto"/>
              <w:left w:val="single" w:sz="6" w:space="0" w:color="auto"/>
              <w:bottom w:val="single" w:sz="6" w:space="0" w:color="auto"/>
              <w:right w:val="single" w:sz="4" w:space="0" w:color="auto"/>
            </w:tcBorders>
            <w:shd w:val="pct12" w:color="auto" w:fill="auto"/>
          </w:tcPr>
          <w:p w:rsidR="00ED668B" w:rsidRPr="00107033" w:rsidRDefault="00ED668B" w:rsidP="00F86EFE">
            <w:pPr>
              <w:pStyle w:val="Heading1"/>
              <w:spacing w:after="240"/>
              <w:rPr>
                <w:sz w:val="28"/>
                <w:szCs w:val="28"/>
              </w:rPr>
            </w:pPr>
            <w:r w:rsidRPr="00107033">
              <w:rPr>
                <w:szCs w:val="26"/>
              </w:rPr>
              <w:t>Date</w:t>
            </w:r>
          </w:p>
        </w:tc>
      </w:tr>
      <w:tr w:rsidR="00F86EFE" w:rsidRPr="006B6A7F" w:rsidTr="007D1F70">
        <w:tc>
          <w:tcPr>
            <w:tcW w:w="6062" w:type="dxa"/>
            <w:gridSpan w:val="2"/>
            <w:tcBorders>
              <w:top w:val="single" w:sz="6" w:space="0" w:color="auto"/>
              <w:left w:val="single" w:sz="4" w:space="0" w:color="auto"/>
              <w:bottom w:val="single" w:sz="4" w:space="0" w:color="auto"/>
              <w:right w:val="single" w:sz="6" w:space="0" w:color="auto"/>
            </w:tcBorders>
          </w:tcPr>
          <w:p w:rsidR="00F86EFE" w:rsidRPr="00E91BED" w:rsidRDefault="00ED668B" w:rsidP="00F86EFE">
            <w:pPr>
              <w:pStyle w:val="Heading1"/>
              <w:spacing w:after="240"/>
              <w:rPr>
                <w:b w:val="0"/>
                <w:sz w:val="28"/>
                <w:szCs w:val="28"/>
              </w:rPr>
            </w:pPr>
            <w:r w:rsidRPr="00E91BED">
              <w:rPr>
                <w:b w:val="0"/>
                <w:sz w:val="28"/>
                <w:szCs w:val="28"/>
              </w:rPr>
              <w:t xml:space="preserve">First </w:t>
            </w:r>
            <w:r w:rsidR="00F86EFE" w:rsidRPr="00E91BED">
              <w:rPr>
                <w:b w:val="0"/>
                <w:sz w:val="28"/>
                <w:szCs w:val="28"/>
              </w:rPr>
              <w:t>Published on NSF Library</w:t>
            </w:r>
          </w:p>
        </w:tc>
        <w:tc>
          <w:tcPr>
            <w:tcW w:w="3827" w:type="dxa"/>
            <w:tcBorders>
              <w:top w:val="single" w:sz="6" w:space="0" w:color="auto"/>
              <w:left w:val="single" w:sz="6" w:space="0" w:color="auto"/>
              <w:bottom w:val="single" w:sz="4" w:space="0" w:color="auto"/>
              <w:right w:val="single" w:sz="4" w:space="0" w:color="auto"/>
            </w:tcBorders>
          </w:tcPr>
          <w:p w:rsidR="00F86EFE" w:rsidRPr="001A7820" w:rsidRDefault="00F86EFE" w:rsidP="00F86EFE">
            <w:pPr>
              <w:pStyle w:val="Heading1"/>
              <w:spacing w:after="240"/>
              <w:rPr>
                <w:b w:val="0"/>
                <w:sz w:val="28"/>
                <w:szCs w:val="28"/>
              </w:rPr>
            </w:pPr>
            <w:r w:rsidRPr="001A7820">
              <w:rPr>
                <w:b w:val="0"/>
                <w:sz w:val="28"/>
                <w:szCs w:val="28"/>
              </w:rPr>
              <w:t>June 2009</w:t>
            </w:r>
          </w:p>
        </w:tc>
      </w:tr>
      <w:tr w:rsidR="00ED668B" w:rsidRPr="006B6A7F" w:rsidTr="007D1F70">
        <w:tc>
          <w:tcPr>
            <w:tcW w:w="6062" w:type="dxa"/>
            <w:gridSpan w:val="2"/>
            <w:tcBorders>
              <w:top w:val="single" w:sz="6" w:space="0" w:color="auto"/>
              <w:left w:val="single" w:sz="4" w:space="0" w:color="auto"/>
              <w:bottom w:val="single" w:sz="4" w:space="0" w:color="auto"/>
              <w:right w:val="single" w:sz="6" w:space="0" w:color="auto"/>
            </w:tcBorders>
          </w:tcPr>
          <w:p w:rsidR="00ED668B" w:rsidRPr="00E91BED" w:rsidRDefault="00ED668B" w:rsidP="00F86EFE">
            <w:pPr>
              <w:pStyle w:val="Heading1"/>
              <w:spacing w:after="240"/>
              <w:rPr>
                <w:b w:val="0"/>
                <w:sz w:val="24"/>
                <w:szCs w:val="24"/>
              </w:rPr>
            </w:pPr>
            <w:r w:rsidRPr="00E91BED">
              <w:rPr>
                <w:sz w:val="24"/>
                <w:szCs w:val="24"/>
              </w:rPr>
              <w:t>Amended</w:t>
            </w:r>
            <w:r w:rsidRPr="00E91BED">
              <w:rPr>
                <w:b w:val="0"/>
                <w:sz w:val="24"/>
                <w:szCs w:val="24"/>
              </w:rPr>
              <w:t>: clarified reporting requirements</w:t>
            </w:r>
          </w:p>
        </w:tc>
        <w:tc>
          <w:tcPr>
            <w:tcW w:w="3827" w:type="dxa"/>
            <w:tcBorders>
              <w:top w:val="single" w:sz="6" w:space="0" w:color="auto"/>
              <w:left w:val="single" w:sz="6" w:space="0" w:color="auto"/>
              <w:bottom w:val="single" w:sz="4" w:space="0" w:color="auto"/>
              <w:right w:val="single" w:sz="4" w:space="0" w:color="auto"/>
            </w:tcBorders>
          </w:tcPr>
          <w:p w:rsidR="00ED668B" w:rsidRPr="001A7820" w:rsidRDefault="00662482" w:rsidP="00F86EFE">
            <w:pPr>
              <w:pStyle w:val="Heading1"/>
              <w:spacing w:after="240"/>
              <w:rPr>
                <w:b w:val="0"/>
                <w:sz w:val="28"/>
                <w:szCs w:val="28"/>
              </w:rPr>
            </w:pPr>
            <w:r w:rsidRPr="001A7820">
              <w:rPr>
                <w:b w:val="0"/>
                <w:sz w:val="28"/>
                <w:szCs w:val="28"/>
              </w:rPr>
              <w:t>April</w:t>
            </w:r>
            <w:r w:rsidR="00ED668B" w:rsidRPr="001A7820">
              <w:rPr>
                <w:b w:val="0"/>
                <w:sz w:val="28"/>
                <w:szCs w:val="28"/>
              </w:rPr>
              <w:t xml:space="preserve"> 2013</w:t>
            </w:r>
          </w:p>
        </w:tc>
      </w:tr>
      <w:tr w:rsidR="00A75E82" w:rsidRPr="00C73B3D" w:rsidTr="007D1F70">
        <w:tc>
          <w:tcPr>
            <w:tcW w:w="6062" w:type="dxa"/>
            <w:gridSpan w:val="2"/>
            <w:tcBorders>
              <w:top w:val="single" w:sz="6" w:space="0" w:color="auto"/>
              <w:left w:val="single" w:sz="4" w:space="0" w:color="auto"/>
              <w:bottom w:val="single" w:sz="4" w:space="0" w:color="auto"/>
              <w:right w:val="single" w:sz="6" w:space="0" w:color="auto"/>
            </w:tcBorders>
          </w:tcPr>
          <w:p w:rsidR="00A75E82" w:rsidRPr="00E91BED" w:rsidRDefault="00A75E82" w:rsidP="00E91BED">
            <w:pPr>
              <w:pStyle w:val="Heading1"/>
              <w:spacing w:after="240"/>
              <w:rPr>
                <w:b w:val="0"/>
                <w:sz w:val="24"/>
                <w:szCs w:val="24"/>
              </w:rPr>
            </w:pPr>
            <w:r w:rsidRPr="00E91BED">
              <w:rPr>
                <w:sz w:val="24"/>
                <w:szCs w:val="24"/>
              </w:rPr>
              <w:t>Amend</w:t>
            </w:r>
            <w:r w:rsidR="00E91BED" w:rsidRPr="00E91BED">
              <w:rPr>
                <w:sz w:val="24"/>
                <w:szCs w:val="24"/>
              </w:rPr>
              <w:t>ed</w:t>
            </w:r>
            <w:r w:rsidRPr="00E91BED">
              <w:rPr>
                <w:sz w:val="24"/>
                <w:szCs w:val="24"/>
              </w:rPr>
              <w:t>:</w:t>
            </w:r>
            <w:r w:rsidRPr="00E91BED">
              <w:rPr>
                <w:b w:val="0"/>
                <w:sz w:val="24"/>
                <w:szCs w:val="24"/>
              </w:rPr>
              <w:t xml:space="preserve"> removed standard provider monitoring reporting tables</w:t>
            </w:r>
            <w:r w:rsidR="00485DDC" w:rsidRPr="00E91BED">
              <w:rPr>
                <w:b w:val="0"/>
                <w:sz w:val="24"/>
                <w:szCs w:val="24"/>
              </w:rPr>
              <w:t xml:space="preserve">. </w:t>
            </w:r>
            <w:r w:rsidRPr="00E91BED">
              <w:rPr>
                <w:b w:val="0"/>
                <w:sz w:val="24"/>
                <w:szCs w:val="24"/>
              </w:rPr>
              <w:t xml:space="preserve"> Minor editing.</w:t>
            </w:r>
          </w:p>
        </w:tc>
        <w:tc>
          <w:tcPr>
            <w:tcW w:w="3827" w:type="dxa"/>
            <w:tcBorders>
              <w:top w:val="single" w:sz="6" w:space="0" w:color="auto"/>
              <w:left w:val="single" w:sz="6" w:space="0" w:color="auto"/>
              <w:bottom w:val="single" w:sz="4" w:space="0" w:color="auto"/>
              <w:right w:val="single" w:sz="4" w:space="0" w:color="auto"/>
            </w:tcBorders>
          </w:tcPr>
          <w:p w:rsidR="00A75E82" w:rsidRPr="001A7820" w:rsidRDefault="00A75E82" w:rsidP="00A75E82">
            <w:pPr>
              <w:pStyle w:val="Heading1"/>
              <w:spacing w:after="240"/>
              <w:rPr>
                <w:b w:val="0"/>
                <w:sz w:val="28"/>
                <w:szCs w:val="28"/>
              </w:rPr>
            </w:pPr>
            <w:r w:rsidRPr="001A7820">
              <w:rPr>
                <w:b w:val="0"/>
                <w:sz w:val="28"/>
                <w:szCs w:val="28"/>
              </w:rPr>
              <w:t>July 2016</w:t>
            </w:r>
          </w:p>
        </w:tc>
      </w:tr>
      <w:tr w:rsidR="00ED668B" w:rsidRPr="006B6A7F" w:rsidTr="007D1F70">
        <w:tc>
          <w:tcPr>
            <w:tcW w:w="6062" w:type="dxa"/>
            <w:gridSpan w:val="2"/>
            <w:tcBorders>
              <w:top w:val="single" w:sz="6" w:space="0" w:color="auto"/>
              <w:left w:val="single" w:sz="4" w:space="0" w:color="auto"/>
              <w:bottom w:val="single" w:sz="4" w:space="0" w:color="auto"/>
              <w:right w:val="single" w:sz="6" w:space="0" w:color="auto"/>
            </w:tcBorders>
          </w:tcPr>
          <w:p w:rsidR="00ED668B" w:rsidRPr="006B6A7F" w:rsidRDefault="00ED668B" w:rsidP="00F86EFE">
            <w:pPr>
              <w:pStyle w:val="Heading1"/>
              <w:spacing w:after="240"/>
              <w:rPr>
                <w:b w:val="0"/>
                <w:szCs w:val="26"/>
              </w:rPr>
            </w:pPr>
            <w:r w:rsidRPr="006B6A7F">
              <w:rPr>
                <w:b w:val="0"/>
                <w:szCs w:val="26"/>
              </w:rPr>
              <w:t>Consideration for next Service Specification Review</w:t>
            </w:r>
          </w:p>
        </w:tc>
        <w:tc>
          <w:tcPr>
            <w:tcW w:w="3827" w:type="dxa"/>
            <w:tcBorders>
              <w:top w:val="single" w:sz="6" w:space="0" w:color="auto"/>
              <w:left w:val="single" w:sz="6" w:space="0" w:color="auto"/>
              <w:bottom w:val="single" w:sz="4" w:space="0" w:color="auto"/>
              <w:right w:val="single" w:sz="4" w:space="0" w:color="auto"/>
            </w:tcBorders>
          </w:tcPr>
          <w:p w:rsidR="00ED668B" w:rsidRPr="001A7820" w:rsidRDefault="00ED668B" w:rsidP="00F86EFE">
            <w:pPr>
              <w:pStyle w:val="Heading1"/>
              <w:spacing w:after="240"/>
              <w:rPr>
                <w:b w:val="0"/>
                <w:sz w:val="28"/>
                <w:szCs w:val="28"/>
              </w:rPr>
            </w:pPr>
            <w:r w:rsidRPr="001A7820">
              <w:rPr>
                <w:b w:val="0"/>
                <w:sz w:val="28"/>
                <w:szCs w:val="28"/>
              </w:rPr>
              <w:t>Within five years</w:t>
            </w:r>
          </w:p>
        </w:tc>
      </w:tr>
    </w:tbl>
    <w:p w:rsidR="00ED668B" w:rsidRPr="006B6A7F" w:rsidRDefault="00ED668B" w:rsidP="00ED668B">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cs="Arial"/>
          <w:lang w:val="en-GB" w:eastAsia="en-GB"/>
        </w:rPr>
      </w:pPr>
      <w:r w:rsidRPr="006B6A7F">
        <w:rPr>
          <w:rFonts w:ascii="Arial" w:hAnsi="Arial" w:cs="Arial"/>
          <w:b/>
          <w:lang w:val="en-GB" w:eastAsia="en-GB"/>
        </w:rPr>
        <w:t>Note:</w:t>
      </w:r>
      <w:r w:rsidRPr="006B6A7F">
        <w:rPr>
          <w:rFonts w:ascii="Arial" w:hAnsi="Arial" w:cs="Arial"/>
          <w:lang w:val="en-GB" w:eastAsia="en-GB"/>
        </w:rPr>
        <w:t xml:space="preserve"> Contact the Service Specification Programme Manager, </w:t>
      </w:r>
      <w:r w:rsidR="00A75E82">
        <w:rPr>
          <w:rFonts w:ascii="Arial" w:hAnsi="Arial" w:cs="Arial"/>
          <w:lang w:val="en-GB" w:eastAsia="en-GB"/>
        </w:rPr>
        <w:t>Service Commissioning</w:t>
      </w:r>
      <w:r w:rsidRPr="006B6A7F">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F86EFE" w:rsidRPr="006B6A7F" w:rsidRDefault="00ED668B" w:rsidP="0071352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cs="Arial"/>
          <w:sz w:val="18"/>
          <w:szCs w:val="18"/>
        </w:rPr>
      </w:pPr>
      <w:r w:rsidRPr="006B6A7F">
        <w:rPr>
          <w:rFonts w:ascii="Arial" w:hAnsi="Arial" w:cs="Arial"/>
          <w:lang w:val="en-GB" w:eastAsia="en-GB"/>
        </w:rPr>
        <w:t xml:space="preserve">Nationwide Service Framework Library web site </w:t>
      </w:r>
      <w:hyperlink r:id="rId8" w:history="1">
        <w:r w:rsidRPr="006B6A7F">
          <w:rPr>
            <w:rFonts w:ascii="Arial" w:hAnsi="Arial" w:cs="Arial"/>
            <w:color w:val="0000FF" w:themeColor="hyperlink"/>
            <w:u w:val="single"/>
            <w:lang w:val="en-GB" w:eastAsia="en-GB"/>
          </w:rPr>
          <w:t>http://www.nsfl.health.govt.nz</w:t>
        </w:r>
      </w:hyperlink>
      <w:r w:rsidRPr="006B6A7F">
        <w:rPr>
          <w:rFonts w:ascii="Arial" w:hAnsi="Arial" w:cs="Arial"/>
          <w:color w:val="0000FF" w:themeColor="hyperlink"/>
          <w:u w:val="single"/>
          <w:lang w:val="en-GB" w:eastAsia="en-GB"/>
        </w:rPr>
        <w:t xml:space="preserve"> </w:t>
      </w:r>
      <w:r w:rsidR="00F86EFE" w:rsidRPr="006B6A7F">
        <w:rPr>
          <w:rFonts w:ascii="Arial" w:hAnsi="Arial" w:cs="Arial"/>
          <w:lang w:eastAsia="en-NZ"/>
        </w:rPr>
        <w:t>.</w:t>
      </w:r>
      <w:r w:rsidR="00F86EFE" w:rsidRPr="006B6A7F">
        <w:rPr>
          <w:rFonts w:ascii="Arial" w:hAnsi="Arial" w:cs="Arial"/>
          <w:sz w:val="18"/>
          <w:szCs w:val="18"/>
        </w:rPr>
        <w:t xml:space="preserve"> </w:t>
      </w:r>
      <w:r w:rsidR="00F86EFE" w:rsidRPr="006B6A7F">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7"/>
      </w:tblGrid>
      <w:tr w:rsidR="00F86EFE" w:rsidRPr="006B6A7F">
        <w:tc>
          <w:tcPr>
            <w:tcW w:w="9627" w:type="dxa"/>
          </w:tcPr>
          <w:p w:rsidR="00ED668B" w:rsidRPr="006B6A7F" w:rsidRDefault="00F86EFE" w:rsidP="00F86EFE">
            <w:pPr>
              <w:jc w:val="center"/>
              <w:rPr>
                <w:rFonts w:ascii="Arial" w:hAnsi="Arial" w:cs="Arial"/>
                <w:b/>
              </w:rPr>
            </w:pPr>
            <w:r w:rsidRPr="006B6A7F">
              <w:rPr>
                <w:rFonts w:ascii="Arial" w:hAnsi="Arial" w:cs="Arial"/>
                <w:b/>
              </w:rPr>
              <w:lastRenderedPageBreak/>
              <w:t>EATING DISORDERS</w:t>
            </w:r>
            <w:r w:rsidR="00ED668B" w:rsidRPr="006B6A7F">
              <w:rPr>
                <w:rFonts w:ascii="Arial" w:hAnsi="Arial" w:cs="Arial"/>
                <w:b/>
              </w:rPr>
              <w:t xml:space="preserve"> –</w:t>
            </w:r>
          </w:p>
          <w:p w:rsidR="00F86EFE" w:rsidRPr="006B6A7F" w:rsidRDefault="00F86EFE" w:rsidP="00F86EFE">
            <w:pPr>
              <w:jc w:val="center"/>
              <w:rPr>
                <w:rFonts w:ascii="Arial" w:hAnsi="Arial" w:cs="Arial"/>
                <w:b/>
              </w:rPr>
            </w:pPr>
            <w:r w:rsidRPr="006B6A7F">
              <w:rPr>
                <w:rFonts w:ascii="Arial" w:hAnsi="Arial" w:cs="Arial"/>
                <w:b/>
              </w:rPr>
              <w:t>INPATIENT, INTENSIVE TREATMENT AND CONSULTATIVE SERVICE</w:t>
            </w:r>
          </w:p>
          <w:p w:rsidR="00F86EFE" w:rsidRPr="006B6A7F" w:rsidRDefault="00AB0D46" w:rsidP="00F86EFE">
            <w:pPr>
              <w:jc w:val="center"/>
              <w:rPr>
                <w:rFonts w:ascii="Arial" w:hAnsi="Arial" w:cs="Arial"/>
                <w:b/>
              </w:rPr>
            </w:pPr>
            <w:r>
              <w:rPr>
                <w:rFonts w:ascii="Arial" w:hAnsi="Arial" w:cs="Arial"/>
                <w:b/>
              </w:rPr>
              <w:t xml:space="preserve">TIER THREE </w:t>
            </w:r>
            <w:r w:rsidR="00F86EFE" w:rsidRPr="006B6A7F">
              <w:rPr>
                <w:rFonts w:ascii="Arial" w:hAnsi="Arial" w:cs="Arial"/>
                <w:b/>
              </w:rPr>
              <w:t>SERVICE SPECIFICATION</w:t>
            </w:r>
          </w:p>
          <w:p w:rsidR="00F86EFE" w:rsidRPr="006B6A7F" w:rsidRDefault="00F86EFE" w:rsidP="00F86EFE">
            <w:pPr>
              <w:jc w:val="center"/>
              <w:rPr>
                <w:rFonts w:ascii="Arial" w:hAnsi="Arial" w:cs="Arial"/>
                <w:b/>
              </w:rPr>
            </w:pPr>
            <w:r w:rsidRPr="006B6A7F">
              <w:rPr>
                <w:rFonts w:ascii="Arial" w:hAnsi="Arial" w:cs="Arial"/>
                <w:b/>
              </w:rPr>
              <w:t>MHE27</w:t>
            </w:r>
          </w:p>
        </w:tc>
      </w:tr>
    </w:tbl>
    <w:p w:rsidR="00F86EFE" w:rsidRPr="006B6A7F" w:rsidRDefault="00F86EFE" w:rsidP="00AB0D46">
      <w:pPr>
        <w:spacing w:before="120"/>
        <w:rPr>
          <w:rFonts w:ascii="Arial" w:hAnsi="Arial" w:cs="Arial"/>
        </w:rPr>
      </w:pPr>
      <w:r w:rsidRPr="006B6A7F">
        <w:rPr>
          <w:rFonts w:ascii="Arial" w:hAnsi="Arial" w:cs="Arial"/>
        </w:rPr>
        <w:t xml:space="preserve">This tier three service specification for Eating Disorders Inpatient, Intensive Treatment and Consultative Service (the Service) is linked to tier one Mental Health and Addiction </w:t>
      </w:r>
      <w:r w:rsidR="00E91BED">
        <w:rPr>
          <w:rFonts w:ascii="Arial" w:hAnsi="Arial" w:cs="Arial"/>
        </w:rPr>
        <w:t xml:space="preserve">Services </w:t>
      </w:r>
      <w:r w:rsidRPr="006B6A7F">
        <w:rPr>
          <w:rFonts w:ascii="Arial" w:hAnsi="Arial" w:cs="Arial"/>
        </w:rPr>
        <w:t>and tier two Eating Disorders Services</w:t>
      </w:r>
      <w:r w:rsidR="00E91BED" w:rsidRPr="00E91BED">
        <w:rPr>
          <w:rFonts w:ascii="Arial" w:hAnsi="Arial" w:cs="Arial"/>
        </w:rPr>
        <w:t xml:space="preserve"> </w:t>
      </w:r>
      <w:r w:rsidR="00E91BED" w:rsidRPr="006B6A7F">
        <w:rPr>
          <w:rFonts w:ascii="Arial" w:hAnsi="Arial" w:cs="Arial"/>
        </w:rPr>
        <w:t>service specification</w:t>
      </w:r>
      <w:r w:rsidR="00E91BED">
        <w:rPr>
          <w:rFonts w:ascii="Arial" w:hAnsi="Arial" w:cs="Arial"/>
        </w:rPr>
        <w:t>s</w:t>
      </w:r>
      <w:r w:rsidRPr="006B6A7F">
        <w:rPr>
          <w:rFonts w:ascii="Arial" w:hAnsi="Arial" w:cs="Arial"/>
        </w:rPr>
        <w:t xml:space="preserve">. </w:t>
      </w:r>
    </w:p>
    <w:p w:rsidR="00F86EFE" w:rsidRPr="006B6A7F" w:rsidRDefault="00F86EFE" w:rsidP="00F86EFE">
      <w:pPr>
        <w:numPr>
          <w:ilvl w:val="0"/>
          <w:numId w:val="2"/>
        </w:numPr>
        <w:tabs>
          <w:tab w:val="clear" w:pos="1080"/>
          <w:tab w:val="num" w:pos="570"/>
        </w:tabs>
        <w:spacing w:before="240" w:after="120"/>
        <w:ind w:left="570" w:hanging="513"/>
        <w:rPr>
          <w:rFonts w:ascii="Arial" w:hAnsi="Arial" w:cs="Arial"/>
          <w:b/>
        </w:rPr>
      </w:pPr>
      <w:r w:rsidRPr="006B6A7F">
        <w:rPr>
          <w:rFonts w:ascii="Arial" w:hAnsi="Arial" w:cs="Arial"/>
          <w:b/>
        </w:rPr>
        <w:t>Service Definition</w:t>
      </w:r>
    </w:p>
    <w:p w:rsidR="00F86EFE" w:rsidRPr="006B6A7F" w:rsidRDefault="00F86EFE" w:rsidP="00F86EFE">
      <w:pPr>
        <w:tabs>
          <w:tab w:val="left" w:pos="567"/>
          <w:tab w:val="left" w:pos="709"/>
          <w:tab w:val="left" w:pos="1701"/>
          <w:tab w:val="left" w:pos="2693"/>
        </w:tabs>
        <w:spacing w:before="120"/>
        <w:rPr>
          <w:rFonts w:ascii="Arial" w:hAnsi="Arial" w:cs="Arial"/>
          <w:color w:val="000000"/>
        </w:rPr>
      </w:pPr>
      <w:r w:rsidRPr="006B6A7F">
        <w:rPr>
          <w:rFonts w:ascii="Arial" w:hAnsi="Arial" w:cs="Arial"/>
          <w:color w:val="000000"/>
        </w:rPr>
        <w:t xml:space="preserve">The Service provides specialist recovery-orientated inpatient treatment for people with eating disorders in need of close medical and psychiatric observation and/or intensive support and treatment.  This will be provided in a dedicated eating disorder unit within a hospital setting with appropriately trained and experienced multi-disciplinary staff.  Inpatient treatment may be for a period of weeks or months, depending on the severity of illness and needs of the service user.  The aim of inpatient treatment is to reduce the physical risks associated with an eating disorder and focus on the psychological aspects of the eating disorder. </w:t>
      </w:r>
    </w:p>
    <w:p w:rsidR="00F86EFE" w:rsidRPr="006B6A7F" w:rsidRDefault="00F86EFE" w:rsidP="00F86EFE">
      <w:pPr>
        <w:tabs>
          <w:tab w:val="left" w:pos="567"/>
          <w:tab w:val="left" w:pos="709"/>
          <w:tab w:val="left" w:pos="1701"/>
          <w:tab w:val="left" w:pos="2693"/>
        </w:tabs>
        <w:spacing w:before="120"/>
        <w:rPr>
          <w:rFonts w:ascii="Arial" w:hAnsi="Arial" w:cs="Arial"/>
          <w:color w:val="000000"/>
        </w:rPr>
      </w:pPr>
      <w:r w:rsidRPr="006B6A7F">
        <w:rPr>
          <w:rFonts w:ascii="Arial" w:hAnsi="Arial" w:cs="Arial"/>
          <w:color w:val="000000"/>
        </w:rPr>
        <w:t xml:space="preserve">The Service will be integrated with a clinical outpatient service and may include a day programme as part of a stepped down continuum of care. </w:t>
      </w:r>
    </w:p>
    <w:p w:rsidR="00F86EFE" w:rsidRPr="006B6A7F" w:rsidRDefault="00F86EFE" w:rsidP="00F86EFE">
      <w:pPr>
        <w:spacing w:before="120"/>
        <w:rPr>
          <w:rFonts w:ascii="Arial" w:hAnsi="Arial" w:cs="Arial"/>
          <w:color w:val="000000"/>
        </w:rPr>
      </w:pPr>
      <w:r w:rsidRPr="006B6A7F">
        <w:rPr>
          <w:rFonts w:ascii="Arial" w:hAnsi="Arial" w:cs="Arial"/>
          <w:color w:val="000000"/>
        </w:rPr>
        <w:t>As a speciality service delivering to a wide geographical area, consultation will be provided to clinicians to support Service users where possible in their own communities, including provision of case discussions, team meetings, telephone contact, teleconferences, staff training and supervision.  The details for this Service is outlined in the specification</w:t>
      </w:r>
      <w:r w:rsidR="00AB0D46">
        <w:rPr>
          <w:rFonts w:ascii="Arial" w:hAnsi="Arial" w:cs="Arial"/>
          <w:color w:val="000000"/>
        </w:rPr>
        <w:t>:</w:t>
      </w:r>
      <w:r w:rsidRPr="006B6A7F">
        <w:rPr>
          <w:rFonts w:ascii="Arial" w:hAnsi="Arial" w:cs="Arial"/>
          <w:color w:val="000000"/>
        </w:rPr>
        <w:t xml:space="preserve"> </w:t>
      </w:r>
      <w:r w:rsidRPr="00AB0D46">
        <w:rPr>
          <w:rFonts w:ascii="Arial" w:hAnsi="Arial" w:cs="Arial"/>
          <w:color w:val="000000"/>
        </w:rPr>
        <w:t>Consultative Service within a Specialist Eating Disorder Service.</w:t>
      </w:r>
    </w:p>
    <w:p w:rsidR="00F86EFE" w:rsidRPr="006B6A7F" w:rsidRDefault="00F86EFE" w:rsidP="00F86EFE">
      <w:pPr>
        <w:tabs>
          <w:tab w:val="left" w:pos="570"/>
        </w:tabs>
        <w:spacing w:before="240" w:after="120"/>
        <w:rPr>
          <w:rFonts w:ascii="Arial" w:hAnsi="Arial" w:cs="Arial"/>
          <w:b/>
        </w:rPr>
      </w:pPr>
      <w:r w:rsidRPr="006B6A7F">
        <w:rPr>
          <w:rFonts w:ascii="Arial" w:hAnsi="Arial" w:cs="Arial"/>
          <w:b/>
        </w:rPr>
        <w:t>2.</w:t>
      </w:r>
      <w:r w:rsidRPr="006B6A7F">
        <w:rPr>
          <w:rFonts w:ascii="Arial" w:hAnsi="Arial" w:cs="Arial"/>
          <w:b/>
        </w:rPr>
        <w:tab/>
        <w:t>Service Objectives</w:t>
      </w:r>
    </w:p>
    <w:p w:rsidR="00ED668B" w:rsidRPr="006B6A7F" w:rsidRDefault="00ED668B" w:rsidP="00ED668B">
      <w:pPr>
        <w:tabs>
          <w:tab w:val="left" w:pos="570"/>
        </w:tabs>
        <w:spacing w:before="120" w:after="60"/>
        <w:rPr>
          <w:rFonts w:ascii="Arial" w:hAnsi="Arial" w:cs="Arial"/>
          <w:b/>
        </w:rPr>
      </w:pPr>
      <w:r w:rsidRPr="006B6A7F">
        <w:rPr>
          <w:rFonts w:ascii="Arial" w:hAnsi="Arial" w:cs="Arial"/>
          <w:b/>
        </w:rPr>
        <w:t>2.1</w:t>
      </w:r>
      <w:r w:rsidRPr="006B6A7F">
        <w:rPr>
          <w:rFonts w:ascii="Arial" w:hAnsi="Arial" w:cs="Arial"/>
          <w:b/>
        </w:rPr>
        <w:tab/>
        <w:t>General</w:t>
      </w:r>
    </w:p>
    <w:p w:rsidR="00F86EFE" w:rsidRPr="006B6A7F" w:rsidRDefault="00F86EFE" w:rsidP="00F86EFE">
      <w:pPr>
        <w:tabs>
          <w:tab w:val="left" w:pos="567"/>
          <w:tab w:val="left" w:pos="709"/>
          <w:tab w:val="left" w:pos="1701"/>
          <w:tab w:val="left" w:pos="2693"/>
        </w:tabs>
        <w:rPr>
          <w:rFonts w:ascii="Arial" w:hAnsi="Arial" w:cs="Arial"/>
          <w:color w:val="000000"/>
        </w:rPr>
      </w:pPr>
      <w:r w:rsidRPr="006B6A7F">
        <w:rPr>
          <w:rFonts w:ascii="Arial" w:hAnsi="Arial" w:cs="Arial"/>
          <w:color w:val="000000"/>
        </w:rPr>
        <w:t>This inpatient service will include, but is not limited to:</w:t>
      </w:r>
    </w:p>
    <w:p w:rsidR="00F86EFE" w:rsidRPr="006B6A7F" w:rsidRDefault="00F86EFE" w:rsidP="00F86EFE">
      <w:pPr>
        <w:widowControl w:val="0"/>
        <w:numPr>
          <w:ilvl w:val="0"/>
          <w:numId w:val="1"/>
        </w:numPr>
        <w:tabs>
          <w:tab w:val="left" w:pos="567"/>
          <w:tab w:val="left" w:pos="709"/>
          <w:tab w:val="left" w:pos="1701"/>
          <w:tab w:val="left" w:pos="2693"/>
        </w:tabs>
        <w:spacing w:before="120"/>
        <w:jc w:val="both"/>
        <w:rPr>
          <w:rFonts w:ascii="Arial" w:hAnsi="Arial" w:cs="Arial"/>
          <w:color w:val="000000"/>
        </w:rPr>
      </w:pPr>
      <w:r w:rsidRPr="006B6A7F">
        <w:rPr>
          <w:rFonts w:ascii="Arial" w:hAnsi="Arial" w:cs="Arial"/>
          <w:color w:val="000000"/>
        </w:rPr>
        <w:t>designated eating disorders inpatient beds in an age- and gender-appropriate hospital setting</w:t>
      </w:r>
    </w:p>
    <w:p w:rsidR="00F86EFE" w:rsidRPr="006B6A7F" w:rsidRDefault="00F86EFE" w:rsidP="00F86EFE">
      <w:pPr>
        <w:widowControl w:val="0"/>
        <w:numPr>
          <w:ilvl w:val="0"/>
          <w:numId w:val="1"/>
        </w:numPr>
        <w:tabs>
          <w:tab w:val="left" w:pos="567"/>
          <w:tab w:val="left" w:pos="709"/>
          <w:tab w:val="left" w:pos="1701"/>
          <w:tab w:val="left" w:pos="2693"/>
        </w:tabs>
        <w:spacing w:before="120"/>
        <w:jc w:val="both"/>
        <w:rPr>
          <w:rFonts w:ascii="Arial" w:hAnsi="Arial" w:cs="Arial"/>
          <w:color w:val="000000"/>
        </w:rPr>
      </w:pPr>
      <w:r w:rsidRPr="006B6A7F">
        <w:rPr>
          <w:rFonts w:ascii="Arial" w:hAnsi="Arial" w:cs="Arial"/>
          <w:color w:val="000000"/>
        </w:rPr>
        <w:t>medical and psychiatric treatment, monitoring, management, support and rehabilitation</w:t>
      </w:r>
    </w:p>
    <w:p w:rsidR="00F86EFE" w:rsidRPr="006B6A7F" w:rsidRDefault="00F86EFE" w:rsidP="00F86EFE">
      <w:pPr>
        <w:numPr>
          <w:ilvl w:val="0"/>
          <w:numId w:val="1"/>
        </w:numPr>
        <w:spacing w:before="120"/>
        <w:rPr>
          <w:rFonts w:ascii="Arial" w:hAnsi="Arial" w:cs="Arial"/>
        </w:rPr>
      </w:pPr>
      <w:r w:rsidRPr="006B6A7F">
        <w:rPr>
          <w:rFonts w:ascii="Arial" w:hAnsi="Arial" w:cs="Arial"/>
        </w:rPr>
        <w:t>engagement with the service user’s family and whānau and, where appropriate, family and whānau should be involved in the service user’s treatment programme</w:t>
      </w:r>
    </w:p>
    <w:p w:rsidR="00F86EFE" w:rsidRPr="006B6A7F" w:rsidRDefault="00F86EFE" w:rsidP="00F86EFE">
      <w:pPr>
        <w:widowControl w:val="0"/>
        <w:numPr>
          <w:ilvl w:val="0"/>
          <w:numId w:val="1"/>
        </w:numPr>
        <w:tabs>
          <w:tab w:val="left" w:pos="567"/>
          <w:tab w:val="left" w:pos="709"/>
          <w:tab w:val="left" w:pos="1701"/>
          <w:tab w:val="left" w:pos="2693"/>
        </w:tabs>
        <w:spacing w:before="120"/>
        <w:jc w:val="both"/>
        <w:rPr>
          <w:rFonts w:ascii="Arial" w:hAnsi="Arial" w:cs="Arial"/>
          <w:color w:val="000000"/>
        </w:rPr>
      </w:pPr>
      <w:r w:rsidRPr="006B6A7F">
        <w:rPr>
          <w:rFonts w:ascii="Arial" w:hAnsi="Arial" w:cs="Arial"/>
          <w:color w:val="000000"/>
        </w:rPr>
        <w:t xml:space="preserve">integration with clinical outpatient and community mental health services, including the District Health Board (DHB) where the patient resides </w:t>
      </w:r>
    </w:p>
    <w:p w:rsidR="00F86EFE" w:rsidRPr="006B6A7F" w:rsidRDefault="00F86EFE" w:rsidP="00F86EFE">
      <w:pPr>
        <w:widowControl w:val="0"/>
        <w:numPr>
          <w:ilvl w:val="0"/>
          <w:numId w:val="1"/>
        </w:numPr>
        <w:tabs>
          <w:tab w:val="left" w:pos="567"/>
          <w:tab w:val="left" w:pos="709"/>
          <w:tab w:val="left" w:pos="1701"/>
          <w:tab w:val="left" w:pos="2693"/>
        </w:tabs>
        <w:spacing w:before="120"/>
        <w:jc w:val="both"/>
        <w:rPr>
          <w:rFonts w:ascii="Arial" w:hAnsi="Arial" w:cs="Arial"/>
          <w:color w:val="000000"/>
        </w:rPr>
      </w:pPr>
      <w:r w:rsidRPr="006B6A7F">
        <w:rPr>
          <w:rFonts w:ascii="Arial" w:hAnsi="Arial" w:cs="Arial"/>
          <w:color w:val="000000"/>
        </w:rPr>
        <w:t>integrated clinical pathway and continuum of care</w:t>
      </w:r>
    </w:p>
    <w:p w:rsidR="00F86EFE" w:rsidRPr="006B6A7F" w:rsidRDefault="00F86EFE" w:rsidP="00F86EFE">
      <w:pPr>
        <w:numPr>
          <w:ilvl w:val="0"/>
          <w:numId w:val="1"/>
        </w:num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6B6A7F">
        <w:rPr>
          <w:rFonts w:ascii="Arial" w:hAnsi="Arial" w:cs="Arial"/>
          <w:color w:val="000000"/>
        </w:rPr>
        <w:t xml:space="preserve">supported and/or supervised meals </w:t>
      </w:r>
    </w:p>
    <w:p w:rsidR="00F86EFE" w:rsidRPr="006B6A7F" w:rsidRDefault="00F86EFE" w:rsidP="00F86EFE">
      <w:pPr>
        <w:numPr>
          <w:ilvl w:val="0"/>
          <w:numId w:val="1"/>
        </w:numPr>
        <w:spacing w:before="120"/>
        <w:rPr>
          <w:rFonts w:ascii="Arial" w:hAnsi="Arial" w:cs="Arial"/>
        </w:rPr>
      </w:pPr>
      <w:r w:rsidRPr="006B6A7F">
        <w:rPr>
          <w:rFonts w:ascii="Arial" w:hAnsi="Arial" w:cs="Arial"/>
        </w:rPr>
        <w:t>education about coping strategies and managing physical good health, including nutrition and eating practices</w:t>
      </w:r>
    </w:p>
    <w:p w:rsidR="00F86EFE" w:rsidRPr="006B6A7F" w:rsidRDefault="00F86EFE" w:rsidP="00F86EFE">
      <w:pPr>
        <w:widowControl w:val="0"/>
        <w:numPr>
          <w:ilvl w:val="0"/>
          <w:numId w:val="1"/>
        </w:numPr>
        <w:tabs>
          <w:tab w:val="left" w:pos="567"/>
          <w:tab w:val="left" w:pos="709"/>
          <w:tab w:val="left" w:pos="1701"/>
          <w:tab w:val="left" w:pos="2693"/>
        </w:tabs>
        <w:spacing w:before="120"/>
        <w:jc w:val="both"/>
        <w:rPr>
          <w:rFonts w:ascii="Arial" w:hAnsi="Arial" w:cs="Arial"/>
          <w:color w:val="000000"/>
        </w:rPr>
      </w:pPr>
      <w:r w:rsidRPr="006B6A7F">
        <w:rPr>
          <w:rFonts w:ascii="Arial" w:hAnsi="Arial" w:cs="Arial"/>
          <w:color w:val="000000"/>
        </w:rPr>
        <w:t xml:space="preserve">crisis intervention and prevention of the escalation of the service user’s illness </w:t>
      </w:r>
    </w:p>
    <w:p w:rsidR="00F86EFE" w:rsidRPr="006B6A7F" w:rsidRDefault="00F86EFE" w:rsidP="00F86EFE">
      <w:pPr>
        <w:widowControl w:val="0"/>
        <w:numPr>
          <w:ilvl w:val="0"/>
          <w:numId w:val="1"/>
        </w:numPr>
        <w:tabs>
          <w:tab w:val="left" w:pos="567"/>
          <w:tab w:val="left" w:pos="709"/>
          <w:tab w:val="left" w:pos="1701"/>
          <w:tab w:val="left" w:pos="2693"/>
        </w:tabs>
        <w:spacing w:before="120"/>
        <w:jc w:val="both"/>
        <w:rPr>
          <w:rFonts w:ascii="Arial" w:hAnsi="Arial" w:cs="Arial"/>
          <w:color w:val="000000"/>
        </w:rPr>
      </w:pPr>
      <w:r w:rsidRPr="006B6A7F">
        <w:rPr>
          <w:rFonts w:ascii="Arial" w:hAnsi="Arial" w:cs="Arial"/>
          <w:color w:val="000000"/>
        </w:rPr>
        <w:t>risk management within which the least restrictive intervention strategies are used</w:t>
      </w:r>
    </w:p>
    <w:p w:rsidR="00F86EFE" w:rsidRPr="006B6A7F" w:rsidRDefault="00F86EFE" w:rsidP="00F86EFE">
      <w:pPr>
        <w:widowControl w:val="0"/>
        <w:numPr>
          <w:ilvl w:val="0"/>
          <w:numId w:val="1"/>
        </w:numPr>
        <w:tabs>
          <w:tab w:val="left" w:pos="567"/>
          <w:tab w:val="left" w:pos="709"/>
          <w:tab w:val="left" w:pos="1701"/>
          <w:tab w:val="left" w:pos="2693"/>
        </w:tabs>
        <w:spacing w:before="120"/>
        <w:jc w:val="both"/>
        <w:rPr>
          <w:rFonts w:ascii="Arial" w:hAnsi="Arial" w:cs="Arial"/>
          <w:color w:val="000000"/>
        </w:rPr>
      </w:pPr>
      <w:r w:rsidRPr="006B6A7F">
        <w:rPr>
          <w:rFonts w:ascii="Arial" w:hAnsi="Arial" w:cs="Arial"/>
          <w:color w:val="000000"/>
        </w:rPr>
        <w:t>appropriate support and consultation for referrers on the waiting list for inpatient services</w:t>
      </w:r>
    </w:p>
    <w:p w:rsidR="00F86EFE" w:rsidRPr="006B6A7F" w:rsidRDefault="00F86EFE" w:rsidP="00F86EFE">
      <w:pPr>
        <w:widowControl w:val="0"/>
        <w:numPr>
          <w:ilvl w:val="0"/>
          <w:numId w:val="1"/>
        </w:numPr>
        <w:tabs>
          <w:tab w:val="left" w:pos="567"/>
          <w:tab w:val="left" w:pos="709"/>
          <w:tab w:val="left" w:pos="1701"/>
          <w:tab w:val="left" w:pos="2693"/>
        </w:tabs>
        <w:spacing w:before="120"/>
        <w:jc w:val="both"/>
        <w:rPr>
          <w:rFonts w:ascii="Arial" w:hAnsi="Arial" w:cs="Arial"/>
          <w:color w:val="000000"/>
        </w:rPr>
      </w:pPr>
      <w:r w:rsidRPr="006B6A7F">
        <w:rPr>
          <w:rFonts w:ascii="Arial" w:hAnsi="Arial" w:cs="Arial"/>
          <w:color w:val="000000"/>
        </w:rPr>
        <w:t xml:space="preserve">relapse prevention and maintenance, which may include discharge to outpatient and </w:t>
      </w:r>
      <w:r w:rsidRPr="006B6A7F">
        <w:rPr>
          <w:rFonts w:ascii="Arial" w:hAnsi="Arial" w:cs="Arial"/>
          <w:color w:val="000000"/>
        </w:rPr>
        <w:lastRenderedPageBreak/>
        <w:t>community services</w:t>
      </w:r>
    </w:p>
    <w:p w:rsidR="00F86EFE" w:rsidRPr="006B6A7F" w:rsidRDefault="00F86EFE" w:rsidP="00F86EFE">
      <w:pPr>
        <w:widowControl w:val="0"/>
        <w:numPr>
          <w:ilvl w:val="0"/>
          <w:numId w:val="1"/>
        </w:numPr>
        <w:tabs>
          <w:tab w:val="left" w:pos="567"/>
          <w:tab w:val="left" w:pos="709"/>
          <w:tab w:val="left" w:pos="1701"/>
          <w:tab w:val="left" w:pos="2693"/>
        </w:tabs>
        <w:jc w:val="both"/>
        <w:rPr>
          <w:rFonts w:ascii="Arial" w:hAnsi="Arial" w:cs="Arial"/>
        </w:rPr>
      </w:pPr>
      <w:r w:rsidRPr="006B6A7F">
        <w:rPr>
          <w:rFonts w:ascii="Arial" w:hAnsi="Arial" w:cs="Arial"/>
        </w:rPr>
        <w:t>wherever possible, evidence-based treatment in line with international guidelines should be used</w:t>
      </w:r>
    </w:p>
    <w:p w:rsidR="00F86EFE" w:rsidRPr="006B6A7F" w:rsidRDefault="00F86EFE" w:rsidP="00F86EFE">
      <w:pPr>
        <w:widowControl w:val="0"/>
        <w:numPr>
          <w:ilvl w:val="0"/>
          <w:numId w:val="1"/>
        </w:numPr>
        <w:tabs>
          <w:tab w:val="left" w:pos="567"/>
          <w:tab w:val="left" w:pos="709"/>
          <w:tab w:val="left" w:pos="1701"/>
          <w:tab w:val="left" w:pos="2693"/>
        </w:tabs>
        <w:jc w:val="both"/>
        <w:rPr>
          <w:rFonts w:ascii="Arial" w:hAnsi="Arial" w:cs="Arial"/>
        </w:rPr>
      </w:pPr>
      <w:r w:rsidRPr="006B6A7F">
        <w:rPr>
          <w:rFonts w:ascii="Arial" w:hAnsi="Arial" w:cs="Arial"/>
        </w:rPr>
        <w:t>appropriate transition planning and links with other services.</w:t>
      </w:r>
    </w:p>
    <w:p w:rsidR="00F86EFE" w:rsidRPr="006B6A7F" w:rsidRDefault="00F86EFE" w:rsidP="00F86EFE">
      <w:pPr>
        <w:tabs>
          <w:tab w:val="left" w:pos="567"/>
          <w:tab w:val="left" w:pos="709"/>
          <w:tab w:val="left" w:pos="1701"/>
          <w:tab w:val="left" w:pos="2693"/>
        </w:tabs>
        <w:spacing w:before="120"/>
        <w:rPr>
          <w:rFonts w:ascii="Arial" w:hAnsi="Arial" w:cs="Arial"/>
          <w:color w:val="000000"/>
        </w:rPr>
      </w:pPr>
      <w:r w:rsidRPr="006B6A7F">
        <w:rPr>
          <w:rFonts w:ascii="Arial" w:hAnsi="Arial" w:cs="Arial"/>
          <w:color w:val="000000"/>
        </w:rPr>
        <w:t>Individualised recovery plans encompassing treatment, risk and relapse prevention are developed with each person admitted to the service.  The plan should be comprehensive, based on assessed needs and include identified goals for the period of inpatient care.  Plans are developed in conjunction with the individual concerned, relevant community or outpatient services and, where appropriate, family and whānau.</w:t>
      </w:r>
    </w:p>
    <w:p w:rsidR="00F86EFE" w:rsidRPr="006B6A7F" w:rsidRDefault="00F86EFE" w:rsidP="00F86EFE">
      <w:pPr>
        <w:tabs>
          <w:tab w:val="left" w:pos="567"/>
          <w:tab w:val="left" w:pos="709"/>
          <w:tab w:val="left" w:pos="1701"/>
          <w:tab w:val="left" w:pos="2693"/>
        </w:tabs>
        <w:spacing w:before="120"/>
        <w:rPr>
          <w:rFonts w:ascii="Arial" w:hAnsi="Arial" w:cs="Arial"/>
          <w:color w:val="000000"/>
        </w:rPr>
      </w:pPr>
      <w:r w:rsidRPr="006B6A7F">
        <w:rPr>
          <w:rFonts w:ascii="Arial" w:hAnsi="Arial" w:cs="Arial"/>
          <w:color w:val="000000"/>
        </w:rPr>
        <w:t>Accommodation and personal care services are provided at no cost to the service user, including the provision of personal care items when such items are lacking on admission.</w:t>
      </w:r>
    </w:p>
    <w:p w:rsidR="00F86EFE" w:rsidRPr="006B6A7F" w:rsidRDefault="00F86EFE" w:rsidP="00F86EFE">
      <w:pPr>
        <w:tabs>
          <w:tab w:val="left" w:pos="570"/>
        </w:tabs>
        <w:spacing w:before="120"/>
        <w:rPr>
          <w:rFonts w:ascii="Arial" w:hAnsi="Arial" w:cs="Arial"/>
          <w:b/>
        </w:rPr>
      </w:pPr>
      <w:r w:rsidRPr="006B6A7F">
        <w:rPr>
          <w:rFonts w:ascii="Arial" w:hAnsi="Arial" w:cs="Arial"/>
          <w:b/>
        </w:rPr>
        <w:t>2.2</w:t>
      </w:r>
      <w:r w:rsidRPr="006B6A7F">
        <w:rPr>
          <w:rFonts w:ascii="Arial" w:hAnsi="Arial" w:cs="Arial"/>
          <w:b/>
        </w:rPr>
        <w:tab/>
        <w:t>M</w:t>
      </w:r>
      <w:r w:rsidRPr="006B6A7F">
        <w:rPr>
          <w:rFonts w:ascii="Arial" w:hAnsi="Arial" w:cs="Arial"/>
          <w:b/>
          <w:lang w:val="en-US"/>
        </w:rPr>
        <w:t>ā</w:t>
      </w:r>
      <w:r w:rsidRPr="006B6A7F">
        <w:rPr>
          <w:rFonts w:ascii="Arial" w:hAnsi="Arial" w:cs="Arial"/>
          <w:b/>
        </w:rPr>
        <w:t>ori Health</w:t>
      </w:r>
    </w:p>
    <w:p w:rsidR="00464894" w:rsidRPr="006B6A7F" w:rsidRDefault="00464894" w:rsidP="00713521">
      <w:pPr>
        <w:tabs>
          <w:tab w:val="left" w:pos="570"/>
        </w:tabs>
        <w:spacing w:before="120" w:after="120"/>
        <w:rPr>
          <w:rFonts w:ascii="Arial" w:hAnsi="Arial" w:cs="Arial"/>
          <w:color w:val="000000"/>
        </w:rPr>
      </w:pPr>
      <w:r w:rsidRPr="006B6A7F">
        <w:rPr>
          <w:rFonts w:ascii="Arial" w:hAnsi="Arial" w:cs="Arial"/>
          <w:color w:val="000000"/>
        </w:rPr>
        <w:t xml:space="preserve">Refer to the tier one Mental Health and Addiction Services service specification. </w:t>
      </w:r>
    </w:p>
    <w:p w:rsidR="00F86EFE" w:rsidRPr="006B6A7F" w:rsidRDefault="00F86EFE" w:rsidP="00F86EFE">
      <w:pPr>
        <w:tabs>
          <w:tab w:val="left" w:pos="570"/>
        </w:tabs>
        <w:spacing w:before="240" w:after="120"/>
        <w:rPr>
          <w:rFonts w:ascii="Arial" w:hAnsi="Arial" w:cs="Arial"/>
          <w:b/>
        </w:rPr>
      </w:pPr>
      <w:r w:rsidRPr="006B6A7F">
        <w:rPr>
          <w:rFonts w:ascii="Arial" w:hAnsi="Arial" w:cs="Arial"/>
          <w:b/>
        </w:rPr>
        <w:t>3.</w:t>
      </w:r>
      <w:r w:rsidRPr="006B6A7F">
        <w:rPr>
          <w:rFonts w:ascii="Arial" w:hAnsi="Arial" w:cs="Arial"/>
          <w:b/>
        </w:rPr>
        <w:tab/>
        <w:t>Service Users</w:t>
      </w:r>
    </w:p>
    <w:p w:rsidR="00F86EFE" w:rsidRPr="006B6A7F" w:rsidRDefault="00F86EFE" w:rsidP="00F86EFE">
      <w:pPr>
        <w:autoSpaceDE w:val="0"/>
        <w:autoSpaceDN w:val="0"/>
        <w:adjustRightInd w:val="0"/>
        <w:spacing w:after="60"/>
        <w:rPr>
          <w:rFonts w:ascii="Arial" w:hAnsi="Arial" w:cs="Arial"/>
          <w:bCs/>
          <w:color w:val="000000"/>
        </w:rPr>
      </w:pPr>
      <w:r w:rsidRPr="006B6A7F">
        <w:rPr>
          <w:rFonts w:ascii="Arial" w:hAnsi="Arial" w:cs="Arial"/>
          <w:bCs/>
          <w:color w:val="000000"/>
        </w:rPr>
        <w:t>This Service is for eligible people of any age.</w:t>
      </w:r>
    </w:p>
    <w:p w:rsidR="00F86EFE" w:rsidRPr="006B6A7F" w:rsidRDefault="00F86EFE" w:rsidP="00F86EFE">
      <w:pPr>
        <w:tabs>
          <w:tab w:val="left" w:pos="567"/>
          <w:tab w:val="left" w:pos="709"/>
          <w:tab w:val="left" w:pos="1701"/>
          <w:tab w:val="left" w:pos="2693"/>
        </w:tabs>
        <w:rPr>
          <w:rFonts w:ascii="Arial" w:hAnsi="Arial" w:cs="Arial"/>
          <w:color w:val="000000"/>
        </w:rPr>
      </w:pPr>
      <w:r w:rsidRPr="006B6A7F">
        <w:rPr>
          <w:rFonts w:ascii="Arial" w:hAnsi="Arial" w:cs="Arial"/>
          <w:color w:val="000000"/>
        </w:rPr>
        <w:t xml:space="preserve">Eating disorders in children and young adolescents differ from older age groups because of differences in physiology, development and cognition.  Involving family and whānau in treatment is crucial.  Children and young adolescents have a much higher risk of rapid deterioration, requiring a lower threshold for intervention. </w:t>
      </w:r>
    </w:p>
    <w:p w:rsidR="00F86EFE" w:rsidRPr="006B6A7F" w:rsidRDefault="00F86EFE" w:rsidP="00F86EFE">
      <w:pPr>
        <w:tabs>
          <w:tab w:val="left" w:pos="567"/>
          <w:tab w:val="left" w:pos="709"/>
          <w:tab w:val="left" w:pos="1701"/>
          <w:tab w:val="left" w:pos="2693"/>
        </w:tabs>
        <w:spacing w:before="120"/>
        <w:rPr>
          <w:rFonts w:ascii="Arial" w:hAnsi="Arial" w:cs="Arial"/>
          <w:b/>
          <w:color w:val="000000"/>
        </w:rPr>
      </w:pPr>
      <w:r w:rsidRPr="006B6A7F">
        <w:rPr>
          <w:rFonts w:ascii="Arial" w:hAnsi="Arial" w:cs="Arial"/>
          <w:color w:val="000000"/>
        </w:rPr>
        <w:t xml:space="preserve">A paediatric medical approach with eating disorder specialist input may be the most appropriate treatment for some children and adolescents aged 15 or under. </w:t>
      </w:r>
    </w:p>
    <w:p w:rsidR="00F86EFE" w:rsidRPr="006B6A7F" w:rsidRDefault="00F86EFE" w:rsidP="00F86EFE">
      <w:pPr>
        <w:tabs>
          <w:tab w:val="left" w:pos="570"/>
        </w:tabs>
        <w:spacing w:before="240" w:after="120"/>
        <w:rPr>
          <w:rFonts w:ascii="Arial" w:hAnsi="Arial" w:cs="Arial"/>
          <w:b/>
        </w:rPr>
      </w:pPr>
      <w:r w:rsidRPr="006B6A7F">
        <w:rPr>
          <w:rFonts w:ascii="Arial" w:hAnsi="Arial" w:cs="Arial"/>
          <w:b/>
        </w:rPr>
        <w:t>4.</w:t>
      </w:r>
      <w:r w:rsidRPr="006B6A7F">
        <w:rPr>
          <w:rFonts w:ascii="Arial" w:hAnsi="Arial" w:cs="Arial"/>
          <w:b/>
        </w:rPr>
        <w:tab/>
        <w:t>Access</w:t>
      </w:r>
    </w:p>
    <w:p w:rsidR="00F86EFE" w:rsidRPr="006B6A7F" w:rsidRDefault="00F86EFE" w:rsidP="00F86EFE">
      <w:pPr>
        <w:tabs>
          <w:tab w:val="left" w:pos="570"/>
        </w:tabs>
        <w:spacing w:before="120"/>
        <w:rPr>
          <w:rFonts w:ascii="Arial" w:hAnsi="Arial" w:cs="Arial"/>
          <w:b/>
        </w:rPr>
      </w:pPr>
      <w:r w:rsidRPr="006B6A7F">
        <w:rPr>
          <w:rFonts w:ascii="Arial" w:hAnsi="Arial" w:cs="Arial"/>
          <w:b/>
        </w:rPr>
        <w:t>4.1</w:t>
      </w:r>
      <w:r w:rsidRPr="006B6A7F">
        <w:rPr>
          <w:rFonts w:ascii="Arial" w:hAnsi="Arial" w:cs="Arial"/>
          <w:b/>
        </w:rPr>
        <w:tab/>
        <w:t xml:space="preserve">Entry and Exit Criteria </w:t>
      </w:r>
    </w:p>
    <w:p w:rsidR="00F86EFE" w:rsidRPr="006B6A7F" w:rsidRDefault="00F86EFE" w:rsidP="00F86EFE">
      <w:pPr>
        <w:tabs>
          <w:tab w:val="left" w:pos="567"/>
          <w:tab w:val="left" w:pos="709"/>
          <w:tab w:val="left" w:pos="1701"/>
          <w:tab w:val="left" w:pos="2693"/>
        </w:tabs>
        <w:spacing w:before="120"/>
        <w:rPr>
          <w:rFonts w:ascii="Arial" w:hAnsi="Arial" w:cs="Arial"/>
          <w:color w:val="000000"/>
        </w:rPr>
      </w:pPr>
      <w:r w:rsidRPr="006B6A7F">
        <w:rPr>
          <w:rFonts w:ascii="Arial" w:hAnsi="Arial" w:cs="Arial"/>
          <w:color w:val="000000"/>
        </w:rPr>
        <w:t>Referral to this Service is from a secondary mental health services generally, although it may be necessary for a primary care provider to refer a person in urgent need of tertiary care.</w:t>
      </w:r>
    </w:p>
    <w:p w:rsidR="00F86EFE" w:rsidRPr="006B6A7F" w:rsidRDefault="00F86EFE" w:rsidP="00F86EFE">
      <w:pPr>
        <w:tabs>
          <w:tab w:val="left" w:pos="570"/>
        </w:tabs>
        <w:spacing w:before="240"/>
        <w:rPr>
          <w:rFonts w:ascii="Arial" w:hAnsi="Arial" w:cs="Arial"/>
          <w:b/>
        </w:rPr>
      </w:pPr>
      <w:r w:rsidRPr="006B6A7F">
        <w:rPr>
          <w:rFonts w:ascii="Arial" w:hAnsi="Arial" w:cs="Arial"/>
          <w:b/>
        </w:rPr>
        <w:t>5.</w:t>
      </w:r>
      <w:r w:rsidRPr="006B6A7F">
        <w:rPr>
          <w:rFonts w:ascii="Arial" w:hAnsi="Arial" w:cs="Arial"/>
          <w:b/>
        </w:rPr>
        <w:tab/>
        <w:t>Service Components</w:t>
      </w:r>
    </w:p>
    <w:p w:rsidR="00F86EFE" w:rsidRPr="006B6A7F" w:rsidRDefault="00F86EFE" w:rsidP="00F86EFE">
      <w:pPr>
        <w:tabs>
          <w:tab w:val="left" w:pos="570"/>
        </w:tabs>
        <w:spacing w:before="120"/>
        <w:rPr>
          <w:rFonts w:ascii="Arial" w:hAnsi="Arial" w:cs="Arial"/>
          <w:b/>
        </w:rPr>
      </w:pPr>
      <w:r w:rsidRPr="006B6A7F">
        <w:rPr>
          <w:rFonts w:ascii="Arial" w:hAnsi="Arial" w:cs="Arial"/>
          <w:b/>
        </w:rPr>
        <w:t>5.1</w:t>
      </w:r>
      <w:r w:rsidRPr="006B6A7F">
        <w:rPr>
          <w:rFonts w:ascii="Arial" w:hAnsi="Arial" w:cs="Arial"/>
          <w:b/>
        </w:rPr>
        <w:tab/>
        <w:t xml:space="preserve">Processes </w:t>
      </w:r>
    </w:p>
    <w:p w:rsidR="00F86EFE" w:rsidRPr="006B6A7F" w:rsidRDefault="00F86EFE" w:rsidP="00F86EFE">
      <w:pPr>
        <w:spacing w:before="120"/>
        <w:rPr>
          <w:rFonts w:ascii="Arial" w:hAnsi="Arial" w:cs="Arial"/>
        </w:rPr>
      </w:pPr>
      <w:r w:rsidRPr="006B6A7F">
        <w:rPr>
          <w:rFonts w:ascii="Arial" w:hAnsi="Arial" w:cs="Arial"/>
        </w:rPr>
        <w:t xml:space="preserve">Processes include but are not limited to assessment; treatment, intervention and support, review, discharge, consultation and liaison. </w:t>
      </w:r>
    </w:p>
    <w:p w:rsidR="00F86EFE" w:rsidRPr="006B6A7F" w:rsidRDefault="00F86EFE" w:rsidP="00F86EFE">
      <w:pPr>
        <w:tabs>
          <w:tab w:val="left" w:pos="567"/>
          <w:tab w:val="left" w:pos="709"/>
          <w:tab w:val="left" w:pos="1701"/>
          <w:tab w:val="left" w:pos="2693"/>
        </w:tabs>
        <w:spacing w:before="120"/>
        <w:rPr>
          <w:rFonts w:ascii="Arial" w:hAnsi="Arial" w:cs="Arial"/>
          <w:b/>
          <w:color w:val="000000"/>
        </w:rPr>
      </w:pPr>
      <w:r w:rsidRPr="006B6A7F">
        <w:rPr>
          <w:rFonts w:ascii="Arial" w:hAnsi="Arial" w:cs="Arial"/>
          <w:color w:val="000000"/>
        </w:rPr>
        <w:t>More specifically Assessment in Eating Disorder Services require the following</w:t>
      </w:r>
      <w:r w:rsidRPr="006B6A7F">
        <w:rPr>
          <w:rFonts w:ascii="Arial" w:hAnsi="Arial" w:cs="Arial"/>
          <w:b/>
          <w:color w:val="000000"/>
        </w:rPr>
        <w:t>:</w:t>
      </w:r>
    </w:p>
    <w:p w:rsidR="00F86EFE" w:rsidRPr="006B6A7F" w:rsidRDefault="00F86EFE" w:rsidP="00F86EFE">
      <w:pPr>
        <w:numPr>
          <w:ilvl w:val="0"/>
          <w:numId w:val="6"/>
        </w:numPr>
        <w:tabs>
          <w:tab w:val="clear" w:pos="720"/>
          <w:tab w:val="num" w:pos="513"/>
        </w:tabs>
        <w:spacing w:before="120"/>
        <w:ind w:left="570" w:hanging="513"/>
        <w:rPr>
          <w:rFonts w:ascii="Arial" w:hAnsi="Arial" w:cs="Arial"/>
        </w:rPr>
      </w:pPr>
      <w:r w:rsidRPr="006B6A7F">
        <w:rPr>
          <w:rFonts w:ascii="Arial" w:hAnsi="Arial" w:cs="Arial"/>
        </w:rPr>
        <w:t>appropriate eating disorder specialist assessment including, but not limited to:</w:t>
      </w:r>
    </w:p>
    <w:p w:rsidR="00F86EFE" w:rsidRPr="006B6A7F" w:rsidRDefault="00F86EFE" w:rsidP="00F86EFE">
      <w:pPr>
        <w:numPr>
          <w:ilvl w:val="0"/>
          <w:numId w:val="7"/>
        </w:numPr>
        <w:spacing w:before="120"/>
        <w:rPr>
          <w:rFonts w:ascii="Arial" w:hAnsi="Arial" w:cs="Arial"/>
        </w:rPr>
      </w:pPr>
      <w:r w:rsidRPr="006B6A7F">
        <w:rPr>
          <w:rFonts w:ascii="Arial" w:hAnsi="Arial" w:cs="Arial"/>
        </w:rPr>
        <w:t>comprehensive physical state, including potential need for medical stabilisation and other physical health requirements</w:t>
      </w:r>
    </w:p>
    <w:p w:rsidR="00F86EFE" w:rsidRPr="006B6A7F" w:rsidRDefault="00F86EFE" w:rsidP="00F86EFE">
      <w:pPr>
        <w:numPr>
          <w:ilvl w:val="0"/>
          <w:numId w:val="7"/>
        </w:numPr>
        <w:rPr>
          <w:rFonts w:ascii="Arial" w:hAnsi="Arial" w:cs="Arial"/>
          <w:color w:val="000000"/>
        </w:rPr>
      </w:pPr>
      <w:r w:rsidRPr="006B6A7F">
        <w:rPr>
          <w:rFonts w:ascii="Arial" w:hAnsi="Arial" w:cs="Arial"/>
        </w:rPr>
        <w:t>full mental health assessment and focus on eating disorder symptomatology and co-existing disorders or issues, such as drug and alcohol use, personality disorders, risks.</w:t>
      </w:r>
    </w:p>
    <w:p w:rsidR="00F86EFE" w:rsidRPr="006B6A7F" w:rsidRDefault="00F86EFE" w:rsidP="00F86EFE">
      <w:pPr>
        <w:numPr>
          <w:ilvl w:val="0"/>
          <w:numId w:val="8"/>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7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70" w:hanging="570"/>
        <w:rPr>
          <w:rFonts w:ascii="Arial" w:hAnsi="Arial" w:cs="Arial"/>
          <w:color w:val="000000"/>
        </w:rPr>
      </w:pPr>
      <w:r w:rsidRPr="006B6A7F">
        <w:rPr>
          <w:rFonts w:ascii="Arial" w:hAnsi="Arial" w:cs="Arial"/>
          <w:color w:val="000000"/>
        </w:rPr>
        <w:t>Provision will be made for specialised assessments and intervention for particular sub-groups, including service users experiencing:</w:t>
      </w:r>
    </w:p>
    <w:p w:rsidR="00F86EFE" w:rsidRPr="006B6A7F" w:rsidRDefault="00F86EFE" w:rsidP="00F86EFE">
      <w:pPr>
        <w:widowControl w:val="0"/>
        <w:numPr>
          <w:ilvl w:val="0"/>
          <w:numId w:val="7"/>
        </w:numPr>
        <w:tabs>
          <w:tab w:val="clear" w:pos="720"/>
          <w:tab w:val="num" w:pos="1083"/>
        </w:tabs>
        <w:ind w:left="1140" w:hanging="570"/>
        <w:rPr>
          <w:rFonts w:ascii="Arial" w:hAnsi="Arial" w:cs="Arial"/>
          <w:color w:val="000000"/>
        </w:rPr>
      </w:pPr>
      <w:r w:rsidRPr="006B6A7F">
        <w:rPr>
          <w:rFonts w:ascii="Arial" w:hAnsi="Arial" w:cs="Arial"/>
          <w:color w:val="000000"/>
        </w:rPr>
        <w:t>anorexia, bulimia or EDNOS</w:t>
      </w:r>
    </w:p>
    <w:p w:rsidR="00F86EFE" w:rsidRPr="006B6A7F" w:rsidRDefault="00F86EFE" w:rsidP="00F86EFE">
      <w:pPr>
        <w:widowControl w:val="0"/>
        <w:numPr>
          <w:ilvl w:val="0"/>
          <w:numId w:val="7"/>
        </w:numPr>
        <w:tabs>
          <w:tab w:val="clear" w:pos="720"/>
          <w:tab w:val="num" w:pos="1083"/>
        </w:tabs>
        <w:ind w:left="1140" w:hanging="570"/>
        <w:rPr>
          <w:rFonts w:ascii="Arial" w:hAnsi="Arial" w:cs="Arial"/>
          <w:color w:val="000000"/>
        </w:rPr>
      </w:pPr>
      <w:r w:rsidRPr="006B6A7F">
        <w:rPr>
          <w:rFonts w:ascii="Arial" w:hAnsi="Arial" w:cs="Arial"/>
          <w:color w:val="000000"/>
        </w:rPr>
        <w:t>co-existing problems of eating disorders and substance abuse or other disorders</w:t>
      </w:r>
    </w:p>
    <w:p w:rsidR="00F86EFE" w:rsidRPr="006B6A7F" w:rsidRDefault="00F86EFE" w:rsidP="00F86EFE">
      <w:pPr>
        <w:widowControl w:val="0"/>
        <w:numPr>
          <w:ilvl w:val="0"/>
          <w:numId w:val="7"/>
        </w:numPr>
        <w:tabs>
          <w:tab w:val="clear" w:pos="720"/>
          <w:tab w:val="num" w:pos="1083"/>
        </w:tabs>
        <w:ind w:left="1140" w:hanging="570"/>
        <w:rPr>
          <w:rFonts w:ascii="Arial" w:hAnsi="Arial" w:cs="Arial"/>
          <w:color w:val="000000"/>
        </w:rPr>
      </w:pPr>
      <w:r w:rsidRPr="006B6A7F">
        <w:rPr>
          <w:rFonts w:ascii="Arial" w:hAnsi="Arial" w:cs="Arial"/>
          <w:color w:val="000000"/>
        </w:rPr>
        <w:t xml:space="preserve">severely compromised physical condition. </w:t>
      </w:r>
    </w:p>
    <w:p w:rsidR="00F86EFE" w:rsidRPr="006B6A7F" w:rsidRDefault="00F86EFE" w:rsidP="00F86EFE">
      <w:pPr>
        <w:numPr>
          <w:ilvl w:val="1"/>
          <w:numId w:val="3"/>
        </w:numPr>
        <w:tabs>
          <w:tab w:val="clear" w:pos="720"/>
          <w:tab w:val="num" w:pos="570"/>
        </w:tabs>
        <w:spacing w:before="120" w:after="60"/>
        <w:ind w:left="570" w:hanging="570"/>
        <w:rPr>
          <w:rFonts w:ascii="Arial" w:hAnsi="Arial" w:cs="Arial"/>
          <w:b/>
        </w:rPr>
      </w:pPr>
      <w:r w:rsidRPr="006B6A7F">
        <w:rPr>
          <w:rFonts w:ascii="Arial" w:hAnsi="Arial" w:cs="Arial"/>
          <w:b/>
        </w:rPr>
        <w:lastRenderedPageBreak/>
        <w:t>Settings</w:t>
      </w:r>
    </w:p>
    <w:p w:rsidR="00F86EFE" w:rsidRPr="006B6A7F" w:rsidRDefault="00F86EFE" w:rsidP="00F86EFE">
      <w:pPr>
        <w:tabs>
          <w:tab w:val="left" w:pos="567"/>
          <w:tab w:val="left" w:pos="709"/>
          <w:tab w:val="left" w:pos="1701"/>
          <w:tab w:val="left" w:pos="2693"/>
        </w:tabs>
        <w:rPr>
          <w:rFonts w:ascii="Arial" w:hAnsi="Arial" w:cs="Arial"/>
          <w:b/>
          <w:color w:val="000000"/>
        </w:rPr>
      </w:pPr>
      <w:r w:rsidRPr="006B6A7F">
        <w:rPr>
          <w:rFonts w:ascii="Arial" w:hAnsi="Arial" w:cs="Arial"/>
          <w:color w:val="000000"/>
        </w:rPr>
        <w:t>Separating children and young adolescents from adults in in-patient settings is strongly recommended.  This separation may occur within the same facility, or with separate facilities.</w:t>
      </w:r>
    </w:p>
    <w:p w:rsidR="00F86EFE" w:rsidRPr="006B6A7F" w:rsidRDefault="00F86EFE" w:rsidP="00F86EFE">
      <w:pPr>
        <w:tabs>
          <w:tab w:val="left" w:pos="570"/>
        </w:tabs>
        <w:spacing w:before="120" w:after="60"/>
        <w:rPr>
          <w:rFonts w:ascii="Arial" w:hAnsi="Arial" w:cs="Arial"/>
          <w:b/>
        </w:rPr>
      </w:pPr>
      <w:r w:rsidRPr="006B6A7F">
        <w:rPr>
          <w:rFonts w:ascii="Arial" w:hAnsi="Arial" w:cs="Arial"/>
          <w:b/>
        </w:rPr>
        <w:t>5.3</w:t>
      </w:r>
      <w:r w:rsidRPr="006B6A7F">
        <w:rPr>
          <w:rFonts w:ascii="Arial" w:hAnsi="Arial" w:cs="Arial"/>
          <w:b/>
        </w:rPr>
        <w:tab/>
        <w:t xml:space="preserve">Key Inputs </w:t>
      </w:r>
    </w:p>
    <w:p w:rsidR="00F86EFE" w:rsidRPr="006B6A7F" w:rsidRDefault="00F86EFE" w:rsidP="00F86EFE">
      <w:pPr>
        <w:autoSpaceDE w:val="0"/>
        <w:autoSpaceDN w:val="0"/>
        <w:adjustRightInd w:val="0"/>
        <w:spacing w:line="240" w:lineRule="atLeast"/>
        <w:rPr>
          <w:rFonts w:ascii="Arial" w:hAnsi="Arial" w:cs="Arial"/>
        </w:rPr>
      </w:pPr>
      <w:r w:rsidRPr="006B6A7F">
        <w:rPr>
          <w:rFonts w:ascii="Arial" w:hAnsi="Arial" w:cs="Arial"/>
        </w:rPr>
        <w:t xml:space="preserve">A multi-disciplinary team of people with </w:t>
      </w:r>
      <w:r w:rsidRPr="006B6A7F">
        <w:rPr>
          <w:rFonts w:ascii="Arial" w:hAnsi="Arial" w:cs="Arial"/>
          <w:bCs/>
        </w:rPr>
        <w:t xml:space="preserve">skills and experience in eating disorder intervention, treatment and support, and who belong in one of the following categories: </w:t>
      </w:r>
    </w:p>
    <w:p w:rsidR="00F86EFE" w:rsidRPr="006B6A7F" w:rsidRDefault="00F86EFE" w:rsidP="00F86EFE">
      <w:pPr>
        <w:pStyle w:val="Title"/>
        <w:numPr>
          <w:ilvl w:val="0"/>
          <w:numId w:val="9"/>
        </w:numPr>
        <w:tabs>
          <w:tab w:val="clear" w:pos="720"/>
          <w:tab w:val="num" w:pos="570"/>
        </w:tabs>
        <w:spacing w:before="120"/>
        <w:ind w:left="567" w:hanging="510"/>
        <w:jc w:val="left"/>
        <w:rPr>
          <w:rFonts w:cs="Arial"/>
          <w:b w:val="0"/>
          <w:sz w:val="24"/>
          <w:szCs w:val="24"/>
        </w:rPr>
      </w:pPr>
      <w:r w:rsidRPr="006B6A7F">
        <w:rPr>
          <w:rFonts w:cs="Arial"/>
          <w:b w:val="0"/>
          <w:sz w:val="24"/>
          <w:szCs w:val="24"/>
        </w:rPr>
        <w:t>health professionals regulated by the Health Practitioners Competence Assurance Act 2003</w:t>
      </w:r>
    </w:p>
    <w:p w:rsidR="00F86EFE" w:rsidRPr="006B6A7F" w:rsidRDefault="00F86EFE" w:rsidP="00F86EFE">
      <w:pPr>
        <w:pStyle w:val="Title"/>
        <w:numPr>
          <w:ilvl w:val="0"/>
          <w:numId w:val="9"/>
        </w:numPr>
        <w:tabs>
          <w:tab w:val="clear" w:pos="720"/>
          <w:tab w:val="num" w:pos="570"/>
        </w:tabs>
        <w:spacing w:before="120"/>
        <w:ind w:left="567" w:hanging="510"/>
        <w:jc w:val="left"/>
        <w:rPr>
          <w:rFonts w:cs="Arial"/>
          <w:b w:val="0"/>
          <w:sz w:val="24"/>
          <w:szCs w:val="24"/>
        </w:rPr>
      </w:pPr>
      <w:r w:rsidRPr="006B6A7F">
        <w:rPr>
          <w:rFonts w:cs="Arial"/>
          <w:b w:val="0"/>
          <w:sz w:val="24"/>
          <w:szCs w:val="24"/>
        </w:rPr>
        <w:t xml:space="preserve">people regulated by a health or social service professional body </w:t>
      </w:r>
    </w:p>
    <w:p w:rsidR="00F86EFE" w:rsidRPr="006B6A7F" w:rsidRDefault="00F86EFE" w:rsidP="00F86EFE">
      <w:pPr>
        <w:pStyle w:val="Title"/>
        <w:numPr>
          <w:ilvl w:val="0"/>
          <w:numId w:val="9"/>
        </w:numPr>
        <w:tabs>
          <w:tab w:val="clear" w:pos="720"/>
          <w:tab w:val="num" w:pos="570"/>
        </w:tabs>
        <w:spacing w:before="120"/>
        <w:ind w:left="567" w:hanging="510"/>
        <w:jc w:val="left"/>
        <w:rPr>
          <w:rFonts w:cs="Arial"/>
          <w:sz w:val="24"/>
          <w:szCs w:val="24"/>
        </w:rPr>
      </w:pPr>
      <w:r w:rsidRPr="006B6A7F">
        <w:rPr>
          <w:rFonts w:cs="Arial"/>
          <w:b w:val="0"/>
          <w:sz w:val="24"/>
          <w:szCs w:val="24"/>
        </w:rPr>
        <w:t>people who interact with service users and who are not subjected to regulatory requirements</w:t>
      </w:r>
      <w:r w:rsidRPr="006B6A7F">
        <w:rPr>
          <w:rFonts w:cs="Arial"/>
          <w:sz w:val="24"/>
          <w:szCs w:val="24"/>
        </w:rPr>
        <w:t xml:space="preserve"> </w:t>
      </w:r>
      <w:r w:rsidRPr="006B6A7F">
        <w:rPr>
          <w:rFonts w:cs="Arial"/>
          <w:b w:val="0"/>
          <w:sz w:val="24"/>
          <w:szCs w:val="24"/>
        </w:rPr>
        <w:t>under legislation or by any other means.</w:t>
      </w:r>
      <w:r w:rsidRPr="006B6A7F">
        <w:rPr>
          <w:rFonts w:cs="Arial"/>
          <w:sz w:val="24"/>
          <w:szCs w:val="24"/>
        </w:rPr>
        <w:t xml:space="preserve"> </w:t>
      </w:r>
    </w:p>
    <w:p w:rsidR="00F86EFE" w:rsidRPr="006B6A7F" w:rsidRDefault="00F86EFE" w:rsidP="00F86EFE">
      <w:pPr>
        <w:spacing w:before="240" w:after="120"/>
        <w:rPr>
          <w:rFonts w:ascii="Arial" w:hAnsi="Arial" w:cs="Arial"/>
          <w:b/>
        </w:rPr>
      </w:pPr>
      <w:r w:rsidRPr="006B6A7F">
        <w:rPr>
          <w:rFonts w:ascii="Arial" w:hAnsi="Arial" w:cs="Arial"/>
          <w:b/>
        </w:rPr>
        <w:t>6.</w:t>
      </w:r>
      <w:r w:rsidRPr="006B6A7F">
        <w:rPr>
          <w:rFonts w:ascii="Arial" w:hAnsi="Arial" w:cs="Arial"/>
          <w:b/>
        </w:rPr>
        <w:tab/>
        <w:t>Service Linkages</w:t>
      </w:r>
    </w:p>
    <w:p w:rsidR="00F86EFE" w:rsidRPr="006B6A7F" w:rsidRDefault="00F86EFE" w:rsidP="00F86EFE">
      <w:pPr>
        <w:spacing w:before="120" w:after="120"/>
        <w:rPr>
          <w:rFonts w:ascii="Arial" w:hAnsi="Arial" w:cs="Arial"/>
        </w:rPr>
      </w:pPr>
      <w:r w:rsidRPr="006B6A7F">
        <w:rPr>
          <w:rFonts w:ascii="Arial" w:hAnsi="Arial" w:cs="Arial"/>
        </w:rPr>
        <w:t>Linkages include, but are not limited to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621"/>
        <w:gridCol w:w="4899"/>
      </w:tblGrid>
      <w:tr w:rsidR="00F86EFE" w:rsidRPr="006B6A7F" w:rsidTr="00713521">
        <w:trPr>
          <w:tblHeader/>
        </w:trPr>
        <w:tc>
          <w:tcPr>
            <w:tcW w:w="1614" w:type="pct"/>
            <w:shd w:val="clear" w:color="auto" w:fill="D9D9D9"/>
          </w:tcPr>
          <w:p w:rsidR="00F86EFE" w:rsidRPr="006B6A7F" w:rsidRDefault="00F86EFE" w:rsidP="00F86EFE">
            <w:pPr>
              <w:spacing w:before="120"/>
              <w:rPr>
                <w:rFonts w:ascii="Arial" w:hAnsi="Arial" w:cs="Arial"/>
                <w:b/>
              </w:rPr>
            </w:pPr>
            <w:r w:rsidRPr="006B6A7F">
              <w:rPr>
                <w:rFonts w:ascii="Arial" w:hAnsi="Arial" w:cs="Arial"/>
                <w:b/>
              </w:rPr>
              <w:t>Service Provider</w:t>
            </w:r>
          </w:p>
        </w:tc>
        <w:tc>
          <w:tcPr>
            <w:tcW w:w="842" w:type="pct"/>
            <w:shd w:val="clear" w:color="auto" w:fill="D9D9D9"/>
          </w:tcPr>
          <w:p w:rsidR="00F86EFE" w:rsidRPr="006B6A7F" w:rsidDel="00E3468B" w:rsidRDefault="00F86EFE" w:rsidP="00F86EFE">
            <w:pPr>
              <w:spacing w:before="120"/>
              <w:rPr>
                <w:rFonts w:ascii="Arial" w:hAnsi="Arial" w:cs="Arial"/>
                <w:b/>
              </w:rPr>
            </w:pPr>
            <w:r w:rsidRPr="006B6A7F">
              <w:rPr>
                <w:rFonts w:ascii="Arial" w:hAnsi="Arial" w:cs="Arial"/>
                <w:b/>
              </w:rPr>
              <w:t>Nature of Linkage</w:t>
            </w:r>
          </w:p>
        </w:tc>
        <w:tc>
          <w:tcPr>
            <w:tcW w:w="2544" w:type="pct"/>
            <w:shd w:val="clear" w:color="auto" w:fill="D9D9D9"/>
          </w:tcPr>
          <w:p w:rsidR="00F86EFE" w:rsidRPr="006B6A7F" w:rsidRDefault="00F86EFE" w:rsidP="00F86EFE">
            <w:pPr>
              <w:spacing w:before="120"/>
              <w:rPr>
                <w:rFonts w:ascii="Arial" w:hAnsi="Arial" w:cs="Arial"/>
                <w:b/>
              </w:rPr>
            </w:pPr>
            <w:r w:rsidRPr="006B6A7F">
              <w:rPr>
                <w:rFonts w:ascii="Arial" w:hAnsi="Arial" w:cs="Arial"/>
                <w:b/>
              </w:rPr>
              <w:t>Accountabilities</w:t>
            </w:r>
          </w:p>
        </w:tc>
      </w:tr>
      <w:tr w:rsidR="00F86EFE" w:rsidRPr="006B6A7F" w:rsidTr="00713521">
        <w:tc>
          <w:tcPr>
            <w:tcW w:w="1614" w:type="pct"/>
          </w:tcPr>
          <w:p w:rsidR="00F86EFE" w:rsidRPr="006B6A7F" w:rsidRDefault="00F86EFE" w:rsidP="00F86EFE">
            <w:pPr>
              <w:spacing w:before="120"/>
              <w:rPr>
                <w:rFonts w:ascii="Arial" w:hAnsi="Arial" w:cs="Arial"/>
              </w:rPr>
            </w:pPr>
            <w:r w:rsidRPr="006B6A7F">
              <w:rPr>
                <w:rFonts w:ascii="Arial" w:hAnsi="Arial" w:cs="Arial"/>
              </w:rPr>
              <w:t xml:space="preserve">DHB Provider Arm Mental Health and Addiction  services </w:t>
            </w:r>
          </w:p>
        </w:tc>
        <w:tc>
          <w:tcPr>
            <w:tcW w:w="842" w:type="pct"/>
          </w:tcPr>
          <w:p w:rsidR="00F86EFE" w:rsidRPr="006B6A7F" w:rsidRDefault="00F86EFE" w:rsidP="00F86EFE">
            <w:pPr>
              <w:spacing w:before="120"/>
              <w:rPr>
                <w:rFonts w:ascii="Arial" w:hAnsi="Arial" w:cs="Arial"/>
              </w:rPr>
            </w:pPr>
            <w:r w:rsidRPr="006B6A7F">
              <w:rPr>
                <w:rFonts w:ascii="Arial" w:hAnsi="Arial" w:cs="Arial"/>
              </w:rPr>
              <w:t>Referrer</w:t>
            </w:r>
          </w:p>
        </w:tc>
        <w:tc>
          <w:tcPr>
            <w:tcW w:w="2544" w:type="pct"/>
          </w:tcPr>
          <w:p w:rsidR="00F86EFE" w:rsidRPr="006B6A7F" w:rsidRDefault="00F86EFE" w:rsidP="00F86EFE">
            <w:pPr>
              <w:spacing w:before="120"/>
              <w:rPr>
                <w:rFonts w:ascii="Arial" w:hAnsi="Arial" w:cs="Arial"/>
              </w:rPr>
            </w:pPr>
            <w:r w:rsidRPr="006B6A7F">
              <w:rPr>
                <w:rFonts w:ascii="Arial" w:hAnsi="Arial" w:cs="Arial"/>
              </w:rPr>
              <w:t>Identification of Eating Disorder and referral to Eating Disorder Services.</w:t>
            </w:r>
          </w:p>
        </w:tc>
      </w:tr>
      <w:tr w:rsidR="00F86EFE" w:rsidRPr="006B6A7F" w:rsidTr="00713521">
        <w:tc>
          <w:tcPr>
            <w:tcW w:w="1614" w:type="pct"/>
          </w:tcPr>
          <w:p w:rsidR="00F86EFE" w:rsidRPr="006B6A7F" w:rsidRDefault="00F86EFE" w:rsidP="00F86EFE">
            <w:pPr>
              <w:spacing w:before="120"/>
              <w:rPr>
                <w:rFonts w:ascii="Arial" w:hAnsi="Arial" w:cs="Arial"/>
              </w:rPr>
            </w:pPr>
            <w:r w:rsidRPr="006B6A7F">
              <w:rPr>
                <w:rFonts w:ascii="Arial" w:hAnsi="Arial" w:cs="Arial"/>
              </w:rPr>
              <w:t>Other DHBs where Eating Disorder inpatient and consultation and liaison service not provided</w:t>
            </w:r>
          </w:p>
        </w:tc>
        <w:tc>
          <w:tcPr>
            <w:tcW w:w="842" w:type="pct"/>
          </w:tcPr>
          <w:p w:rsidR="00F86EFE" w:rsidRPr="006B6A7F" w:rsidRDefault="00F86EFE" w:rsidP="00F86EFE">
            <w:pPr>
              <w:spacing w:before="120"/>
              <w:rPr>
                <w:rFonts w:ascii="Arial" w:hAnsi="Arial" w:cs="Arial"/>
              </w:rPr>
            </w:pPr>
            <w:r w:rsidRPr="006B6A7F">
              <w:rPr>
                <w:rFonts w:ascii="Arial" w:hAnsi="Arial" w:cs="Arial"/>
              </w:rPr>
              <w:t>Referrer</w:t>
            </w:r>
          </w:p>
          <w:p w:rsidR="00F86EFE" w:rsidRPr="006B6A7F" w:rsidRDefault="00F86EFE" w:rsidP="00F86EFE">
            <w:pPr>
              <w:spacing w:before="120"/>
              <w:rPr>
                <w:rFonts w:ascii="Arial" w:hAnsi="Arial" w:cs="Arial"/>
              </w:rPr>
            </w:pPr>
            <w:r w:rsidRPr="006B6A7F">
              <w:rPr>
                <w:rFonts w:ascii="Arial" w:hAnsi="Arial" w:cs="Arial"/>
              </w:rPr>
              <w:t>Receiver of consultation and advisory service</w:t>
            </w:r>
          </w:p>
        </w:tc>
        <w:tc>
          <w:tcPr>
            <w:tcW w:w="2544" w:type="pct"/>
          </w:tcPr>
          <w:p w:rsidR="00F86EFE" w:rsidRPr="006B6A7F" w:rsidRDefault="00F86EFE" w:rsidP="00F86EFE">
            <w:pPr>
              <w:spacing w:before="120"/>
              <w:rPr>
                <w:rFonts w:ascii="Arial" w:hAnsi="Arial" w:cs="Arial"/>
              </w:rPr>
            </w:pPr>
            <w:r w:rsidRPr="006B6A7F">
              <w:rPr>
                <w:rFonts w:ascii="Arial" w:hAnsi="Arial" w:cs="Arial"/>
              </w:rPr>
              <w:t>Refer for inpatient services</w:t>
            </w:r>
          </w:p>
          <w:p w:rsidR="00F86EFE" w:rsidRPr="006B6A7F" w:rsidRDefault="00F86EFE" w:rsidP="00F86EFE">
            <w:pPr>
              <w:spacing w:before="120"/>
              <w:rPr>
                <w:rFonts w:ascii="Arial" w:hAnsi="Arial" w:cs="Arial"/>
              </w:rPr>
            </w:pPr>
            <w:r w:rsidRPr="006B6A7F">
              <w:rPr>
                <w:rFonts w:ascii="Arial" w:hAnsi="Arial" w:cs="Arial"/>
              </w:rPr>
              <w:t>Seek advice regarding clinical management</w:t>
            </w:r>
          </w:p>
        </w:tc>
      </w:tr>
      <w:tr w:rsidR="00F86EFE" w:rsidRPr="006B6A7F" w:rsidTr="00713521">
        <w:tc>
          <w:tcPr>
            <w:tcW w:w="1614" w:type="pct"/>
          </w:tcPr>
          <w:p w:rsidR="00F86EFE" w:rsidRPr="006B6A7F" w:rsidRDefault="00F86EFE" w:rsidP="00F86EFE">
            <w:pPr>
              <w:spacing w:before="120"/>
              <w:rPr>
                <w:rFonts w:ascii="Arial" w:hAnsi="Arial" w:cs="Arial"/>
              </w:rPr>
            </w:pPr>
            <w:r w:rsidRPr="006B6A7F">
              <w:rPr>
                <w:rFonts w:ascii="Arial" w:hAnsi="Arial" w:cs="Arial"/>
              </w:rPr>
              <w:t>DHB Personal Health expertise</w:t>
            </w:r>
          </w:p>
        </w:tc>
        <w:tc>
          <w:tcPr>
            <w:tcW w:w="842" w:type="pct"/>
          </w:tcPr>
          <w:p w:rsidR="00F86EFE" w:rsidRPr="006B6A7F" w:rsidRDefault="00F86EFE" w:rsidP="00F86EFE">
            <w:pPr>
              <w:spacing w:before="120"/>
              <w:rPr>
                <w:rFonts w:ascii="Arial" w:hAnsi="Arial" w:cs="Arial"/>
              </w:rPr>
            </w:pPr>
            <w:r w:rsidRPr="006B6A7F">
              <w:rPr>
                <w:rFonts w:ascii="Arial" w:hAnsi="Arial" w:cs="Arial"/>
              </w:rPr>
              <w:t>Provider of consultation, advice and collaborative working.</w:t>
            </w:r>
          </w:p>
        </w:tc>
        <w:tc>
          <w:tcPr>
            <w:tcW w:w="2544" w:type="pct"/>
          </w:tcPr>
          <w:p w:rsidR="00F86EFE" w:rsidRPr="006B6A7F" w:rsidRDefault="00F86EFE" w:rsidP="00F86EFE">
            <w:pPr>
              <w:spacing w:before="120"/>
              <w:rPr>
                <w:rFonts w:ascii="Arial" w:hAnsi="Arial" w:cs="Arial"/>
              </w:rPr>
            </w:pPr>
            <w:r w:rsidRPr="006B6A7F">
              <w:rPr>
                <w:rFonts w:ascii="Arial" w:hAnsi="Arial" w:cs="Arial"/>
              </w:rPr>
              <w:t>Collaborative working to address complex medical needs of service user.</w:t>
            </w:r>
          </w:p>
        </w:tc>
      </w:tr>
    </w:tbl>
    <w:p w:rsidR="00F86EFE" w:rsidRPr="006B6A7F" w:rsidRDefault="00ED668B" w:rsidP="00AB0D46">
      <w:pPr>
        <w:spacing w:before="240"/>
        <w:rPr>
          <w:rFonts w:ascii="Arial" w:hAnsi="Arial" w:cs="Arial"/>
          <w:b/>
        </w:rPr>
      </w:pPr>
      <w:r w:rsidRPr="006B6A7F">
        <w:rPr>
          <w:rFonts w:ascii="Arial" w:hAnsi="Arial" w:cs="Arial"/>
          <w:b/>
        </w:rPr>
        <w:t>7.</w:t>
      </w:r>
      <w:r w:rsidRPr="006B6A7F">
        <w:rPr>
          <w:rFonts w:ascii="Arial" w:hAnsi="Arial" w:cs="Arial"/>
          <w:b/>
        </w:rPr>
        <w:tab/>
      </w:r>
      <w:r w:rsidR="00F86EFE" w:rsidRPr="006B6A7F">
        <w:rPr>
          <w:rFonts w:ascii="Arial" w:hAnsi="Arial" w:cs="Arial"/>
          <w:b/>
        </w:rPr>
        <w:t>Purchase Units and Reporting Requirements</w:t>
      </w:r>
    </w:p>
    <w:p w:rsidR="00F86EFE" w:rsidRPr="006B6A7F" w:rsidRDefault="00AB0D46" w:rsidP="00F86EFE">
      <w:pPr>
        <w:spacing w:before="120" w:after="120"/>
        <w:rPr>
          <w:rFonts w:ascii="Arial" w:hAnsi="Arial" w:cs="Arial"/>
        </w:rPr>
      </w:pPr>
      <w:r>
        <w:rPr>
          <w:rFonts w:ascii="Arial" w:hAnsi="Arial" w:cs="Arial"/>
          <w:b/>
        </w:rPr>
        <w:t>7.1</w:t>
      </w:r>
      <w:r>
        <w:rPr>
          <w:rFonts w:ascii="Arial" w:hAnsi="Arial" w:cs="Arial"/>
          <w:b/>
        </w:rPr>
        <w:tab/>
      </w:r>
      <w:r w:rsidR="00F86EFE" w:rsidRPr="006B6A7F">
        <w:rPr>
          <w:rFonts w:ascii="Arial" w:hAnsi="Arial" w:cs="Arial"/>
        </w:rPr>
        <w:t xml:space="preserve">Purchase Units </w:t>
      </w:r>
      <w:r w:rsidR="00A75E82">
        <w:rPr>
          <w:rFonts w:ascii="Arial" w:hAnsi="Arial" w:cs="Arial"/>
        </w:rPr>
        <w:t xml:space="preserve">(PU) Codes </w:t>
      </w:r>
      <w:r w:rsidR="00F86EFE" w:rsidRPr="006B6A7F">
        <w:rPr>
          <w:rFonts w:ascii="Arial" w:hAnsi="Arial" w:cs="Arial"/>
        </w:rPr>
        <w:t xml:space="preserve">are defined in the DHB and Ministry’s Nationwide Service Framework Purchase Unit Data Dictionary.  The following </w:t>
      </w:r>
      <w:r w:rsidR="00A75E82">
        <w:rPr>
          <w:rFonts w:ascii="Arial" w:hAnsi="Arial" w:cs="Arial"/>
        </w:rPr>
        <w:t>code</w:t>
      </w:r>
      <w:r w:rsidR="00F86EFE" w:rsidRPr="006B6A7F">
        <w:rPr>
          <w:rFonts w:ascii="Arial" w:hAnsi="Arial" w:cs="Arial"/>
        </w:rPr>
        <w:t xml:space="preserve"> appl</w:t>
      </w:r>
      <w:r>
        <w:rPr>
          <w:rFonts w:ascii="Arial" w:hAnsi="Arial" w:cs="Arial"/>
        </w:rPr>
        <w:t>ies</w:t>
      </w:r>
      <w:r w:rsidR="00F86EFE" w:rsidRPr="006B6A7F">
        <w:rPr>
          <w:rFonts w:ascii="Arial" w:hAnsi="Arial" w:cs="Arial"/>
        </w:rPr>
        <w:t xml:space="preserve"> to this Service.  </w:t>
      </w:r>
    </w:p>
    <w:tbl>
      <w:tblPr>
        <w:tblW w:w="5003" w:type="pct"/>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1"/>
        <w:gridCol w:w="1707"/>
        <w:gridCol w:w="5630"/>
        <w:gridCol w:w="1266"/>
      </w:tblGrid>
      <w:tr w:rsidR="00A75E82" w:rsidRPr="006B6A7F" w:rsidTr="001A7820">
        <w:trPr>
          <w:cantSplit/>
          <w:trHeight w:val="765"/>
          <w:tblHeader/>
        </w:trPr>
        <w:tc>
          <w:tcPr>
            <w:tcW w:w="535" w:type="pct"/>
            <w:shd w:val="clear" w:color="auto" w:fill="D9D9D9"/>
          </w:tcPr>
          <w:p w:rsidR="00A75E82" w:rsidRPr="006B6A7F" w:rsidRDefault="00A75E82" w:rsidP="00F86EFE">
            <w:pPr>
              <w:spacing w:before="120"/>
              <w:rPr>
                <w:rFonts w:ascii="Arial" w:hAnsi="Arial" w:cs="Arial"/>
                <w:b/>
                <w:sz w:val="20"/>
                <w:szCs w:val="20"/>
              </w:rPr>
            </w:pPr>
            <w:r w:rsidRPr="006B6A7F">
              <w:rPr>
                <w:rFonts w:ascii="Arial" w:hAnsi="Arial" w:cs="Arial"/>
                <w:b/>
                <w:sz w:val="20"/>
                <w:szCs w:val="20"/>
              </w:rPr>
              <w:t>PU Code</w:t>
            </w:r>
          </w:p>
        </w:tc>
        <w:tc>
          <w:tcPr>
            <w:tcW w:w="886" w:type="pct"/>
            <w:shd w:val="clear" w:color="auto" w:fill="D9D9D9"/>
          </w:tcPr>
          <w:p w:rsidR="00A75E82" w:rsidRPr="006B6A7F" w:rsidRDefault="00A75E82" w:rsidP="00F86EFE">
            <w:pPr>
              <w:spacing w:before="120"/>
              <w:rPr>
                <w:rFonts w:ascii="Arial" w:hAnsi="Arial" w:cs="Arial"/>
                <w:b/>
                <w:sz w:val="20"/>
                <w:szCs w:val="20"/>
              </w:rPr>
            </w:pPr>
            <w:r w:rsidRPr="006B6A7F">
              <w:rPr>
                <w:rFonts w:ascii="Arial" w:hAnsi="Arial" w:cs="Arial"/>
                <w:b/>
                <w:sz w:val="20"/>
                <w:szCs w:val="20"/>
              </w:rPr>
              <w:t>PU Description</w:t>
            </w:r>
          </w:p>
        </w:tc>
        <w:tc>
          <w:tcPr>
            <w:tcW w:w="2922" w:type="pct"/>
            <w:shd w:val="clear" w:color="auto" w:fill="D9D9D9"/>
          </w:tcPr>
          <w:p w:rsidR="00A75E82" w:rsidRPr="006B6A7F" w:rsidRDefault="00A75E82" w:rsidP="00F86EFE">
            <w:pPr>
              <w:spacing w:before="120"/>
              <w:rPr>
                <w:rFonts w:ascii="Arial" w:hAnsi="Arial" w:cs="Arial"/>
                <w:b/>
                <w:sz w:val="20"/>
                <w:szCs w:val="20"/>
              </w:rPr>
            </w:pPr>
            <w:r w:rsidRPr="006B6A7F">
              <w:rPr>
                <w:rFonts w:ascii="Arial" w:hAnsi="Arial" w:cs="Arial"/>
                <w:b/>
                <w:sz w:val="20"/>
                <w:szCs w:val="20"/>
              </w:rPr>
              <w:t>PU Definition</w:t>
            </w:r>
          </w:p>
        </w:tc>
        <w:tc>
          <w:tcPr>
            <w:tcW w:w="657" w:type="pct"/>
            <w:shd w:val="clear" w:color="auto" w:fill="D9D9D9"/>
          </w:tcPr>
          <w:p w:rsidR="00A75E82" w:rsidRPr="006B6A7F" w:rsidRDefault="00A75E82" w:rsidP="00F86EFE">
            <w:pPr>
              <w:spacing w:before="120"/>
              <w:rPr>
                <w:rFonts w:ascii="Arial" w:hAnsi="Arial" w:cs="Arial"/>
                <w:b/>
                <w:sz w:val="20"/>
                <w:szCs w:val="20"/>
              </w:rPr>
            </w:pPr>
            <w:r>
              <w:rPr>
                <w:rFonts w:ascii="Arial" w:hAnsi="Arial" w:cs="Arial"/>
                <w:b/>
                <w:sz w:val="20"/>
                <w:szCs w:val="20"/>
              </w:rPr>
              <w:t xml:space="preserve">Unit of </w:t>
            </w:r>
            <w:r w:rsidRPr="006B6A7F">
              <w:rPr>
                <w:rFonts w:ascii="Arial" w:hAnsi="Arial" w:cs="Arial"/>
                <w:b/>
                <w:sz w:val="20"/>
                <w:szCs w:val="20"/>
              </w:rPr>
              <w:t>Measure</w:t>
            </w:r>
          </w:p>
        </w:tc>
      </w:tr>
      <w:tr w:rsidR="00A75E82" w:rsidRPr="006B6A7F" w:rsidTr="001A7820">
        <w:trPr>
          <w:cantSplit/>
        </w:trPr>
        <w:tc>
          <w:tcPr>
            <w:tcW w:w="535" w:type="pct"/>
            <w:tcBorders>
              <w:top w:val="single" w:sz="4" w:space="0" w:color="auto"/>
              <w:left w:val="single" w:sz="4" w:space="0" w:color="auto"/>
              <w:bottom w:val="single" w:sz="4" w:space="0" w:color="auto"/>
              <w:right w:val="single" w:sz="4" w:space="0" w:color="auto"/>
            </w:tcBorders>
          </w:tcPr>
          <w:p w:rsidR="00A75E82" w:rsidRPr="006B6A7F" w:rsidRDefault="00A75E82" w:rsidP="00F86EFE">
            <w:pPr>
              <w:spacing w:before="120" w:after="120"/>
              <w:rPr>
                <w:rFonts w:ascii="Arial" w:hAnsi="Arial" w:cs="Arial"/>
                <w:sz w:val="20"/>
                <w:szCs w:val="20"/>
              </w:rPr>
            </w:pPr>
            <w:r w:rsidRPr="006B6A7F">
              <w:rPr>
                <w:rFonts w:ascii="Arial" w:hAnsi="Arial" w:cs="Arial"/>
                <w:sz w:val="20"/>
                <w:szCs w:val="20"/>
              </w:rPr>
              <w:t>MHE27</w:t>
            </w:r>
          </w:p>
        </w:tc>
        <w:tc>
          <w:tcPr>
            <w:tcW w:w="886" w:type="pct"/>
            <w:tcBorders>
              <w:top w:val="single" w:sz="4" w:space="0" w:color="auto"/>
              <w:left w:val="single" w:sz="4" w:space="0" w:color="auto"/>
              <w:bottom w:val="single" w:sz="4" w:space="0" w:color="auto"/>
              <w:right w:val="single" w:sz="4" w:space="0" w:color="auto"/>
            </w:tcBorders>
          </w:tcPr>
          <w:p w:rsidR="00A75E82" w:rsidRPr="006B6A7F" w:rsidRDefault="00A75E82" w:rsidP="00ED668B">
            <w:pPr>
              <w:spacing w:before="120" w:after="120"/>
              <w:rPr>
                <w:rFonts w:ascii="Arial" w:hAnsi="Arial" w:cs="Arial"/>
                <w:sz w:val="20"/>
                <w:szCs w:val="20"/>
              </w:rPr>
            </w:pPr>
            <w:r w:rsidRPr="006B6A7F">
              <w:rPr>
                <w:rFonts w:ascii="Arial" w:hAnsi="Arial" w:cs="Arial"/>
                <w:sz w:val="20"/>
                <w:szCs w:val="20"/>
              </w:rPr>
              <w:t>Intensive treatment and consultative service</w:t>
            </w:r>
          </w:p>
        </w:tc>
        <w:tc>
          <w:tcPr>
            <w:tcW w:w="2922" w:type="pct"/>
            <w:tcBorders>
              <w:top w:val="single" w:sz="4" w:space="0" w:color="auto"/>
              <w:left w:val="single" w:sz="4" w:space="0" w:color="auto"/>
              <w:bottom w:val="single" w:sz="4" w:space="0" w:color="auto"/>
              <w:right w:val="single" w:sz="4" w:space="0" w:color="auto"/>
            </w:tcBorders>
          </w:tcPr>
          <w:p w:rsidR="00A75E82" w:rsidRPr="006B6A7F" w:rsidRDefault="00A75E82" w:rsidP="00F86EFE">
            <w:pPr>
              <w:spacing w:before="120" w:after="120"/>
              <w:rPr>
                <w:rFonts w:ascii="Arial" w:hAnsi="Arial" w:cs="Arial"/>
                <w:sz w:val="20"/>
                <w:szCs w:val="20"/>
              </w:rPr>
            </w:pPr>
            <w:r w:rsidRPr="006B6A7F">
              <w:rPr>
                <w:rFonts w:ascii="Arial" w:hAnsi="Arial" w:cs="Arial"/>
                <w:sz w:val="20"/>
                <w:szCs w:val="20"/>
              </w:rPr>
              <w:t>Service to provide specialist recovery-orientated inpatient treatment for people with eating disorders in need of close medical and psychiatric observation and/or intensive support and treatment.  This will be provided in a dedicated eating disorder unit within a hospital setting with appropriately trained and experienced multi-disciplinary staff.</w:t>
            </w:r>
          </w:p>
        </w:tc>
        <w:tc>
          <w:tcPr>
            <w:tcW w:w="657" w:type="pct"/>
            <w:tcBorders>
              <w:top w:val="single" w:sz="4" w:space="0" w:color="auto"/>
              <w:left w:val="single" w:sz="4" w:space="0" w:color="auto"/>
              <w:bottom w:val="single" w:sz="4" w:space="0" w:color="auto"/>
              <w:right w:val="single" w:sz="4" w:space="0" w:color="auto"/>
            </w:tcBorders>
          </w:tcPr>
          <w:p w:rsidR="00A75E82" w:rsidRPr="006B6A7F" w:rsidRDefault="00AB0D46" w:rsidP="00F86EFE">
            <w:pPr>
              <w:spacing w:before="120" w:after="120"/>
              <w:rPr>
                <w:rFonts w:ascii="Arial" w:hAnsi="Arial" w:cs="Arial"/>
                <w:sz w:val="20"/>
                <w:szCs w:val="20"/>
              </w:rPr>
            </w:pPr>
            <w:r w:rsidRPr="007D1F70">
              <w:rPr>
                <w:rFonts w:ascii="Arial" w:hAnsi="Arial" w:cs="Arial"/>
                <w:sz w:val="20"/>
                <w:szCs w:val="20"/>
              </w:rPr>
              <w:t>Available Bed Day</w:t>
            </w:r>
          </w:p>
        </w:tc>
      </w:tr>
    </w:tbl>
    <w:p w:rsidR="00A75E82" w:rsidRDefault="00A75E82" w:rsidP="00ED668B">
      <w:pPr>
        <w:spacing w:before="120"/>
        <w:rPr>
          <w:rFonts w:ascii="Arial" w:hAnsi="Arial" w:cs="Arial"/>
          <w:b/>
          <w:lang w:val="en-GB" w:eastAsia="en-GB"/>
        </w:rPr>
      </w:pPr>
    </w:p>
    <w:tbl>
      <w:tblPr>
        <w:tblStyle w:val="TableGrid"/>
        <w:tblW w:w="0" w:type="auto"/>
        <w:tblLook w:val="04A0" w:firstRow="1" w:lastRow="0" w:firstColumn="1" w:lastColumn="0" w:noHBand="0" w:noVBand="1"/>
      </w:tblPr>
      <w:tblGrid>
        <w:gridCol w:w="2105"/>
        <w:gridCol w:w="7523"/>
      </w:tblGrid>
      <w:tr w:rsidR="00A75E82" w:rsidRPr="00A75E82" w:rsidTr="00E91BED">
        <w:tc>
          <w:tcPr>
            <w:tcW w:w="2122" w:type="dxa"/>
            <w:shd w:val="clear" w:color="auto" w:fill="D9D9D9" w:themeFill="background1" w:themeFillShade="D9"/>
          </w:tcPr>
          <w:p w:rsidR="00A75E82" w:rsidRPr="007D1F70" w:rsidRDefault="00A75E82" w:rsidP="00A75E82">
            <w:pPr>
              <w:spacing w:before="120"/>
              <w:rPr>
                <w:rFonts w:ascii="Arial" w:hAnsi="Arial" w:cs="Arial"/>
                <w:b/>
                <w:sz w:val="20"/>
                <w:szCs w:val="20"/>
                <w:lang w:val="en-GB" w:eastAsia="en-GB"/>
              </w:rPr>
            </w:pPr>
            <w:r w:rsidRPr="007D1F70">
              <w:rPr>
                <w:rFonts w:ascii="Arial" w:hAnsi="Arial" w:cs="Arial"/>
                <w:b/>
                <w:sz w:val="20"/>
                <w:szCs w:val="20"/>
                <w:lang w:val="en-GB" w:eastAsia="en-GB"/>
              </w:rPr>
              <w:lastRenderedPageBreak/>
              <w:t>Unit of Measure</w:t>
            </w:r>
          </w:p>
        </w:tc>
        <w:tc>
          <w:tcPr>
            <w:tcW w:w="7625" w:type="dxa"/>
            <w:shd w:val="clear" w:color="auto" w:fill="D9D9D9" w:themeFill="background1" w:themeFillShade="D9"/>
          </w:tcPr>
          <w:p w:rsidR="00A75E82" w:rsidRPr="007D1F70" w:rsidRDefault="00A75E82" w:rsidP="00A75E82">
            <w:pPr>
              <w:spacing w:before="120"/>
              <w:rPr>
                <w:rFonts w:ascii="Arial" w:hAnsi="Arial" w:cs="Arial"/>
                <w:b/>
                <w:sz w:val="20"/>
                <w:szCs w:val="20"/>
                <w:lang w:val="en-GB" w:eastAsia="en-GB"/>
              </w:rPr>
            </w:pPr>
            <w:r w:rsidRPr="007D1F70">
              <w:rPr>
                <w:rFonts w:ascii="Arial" w:hAnsi="Arial" w:cs="Arial"/>
                <w:b/>
                <w:sz w:val="20"/>
                <w:szCs w:val="20"/>
                <w:lang w:val="en-GB" w:eastAsia="en-GB"/>
              </w:rPr>
              <w:t>Unit of Measure Definition</w:t>
            </w:r>
          </w:p>
        </w:tc>
      </w:tr>
      <w:tr w:rsidR="00A75E82" w:rsidRPr="00A75E82" w:rsidTr="007D1F70">
        <w:tc>
          <w:tcPr>
            <w:tcW w:w="2122" w:type="dxa"/>
          </w:tcPr>
          <w:p w:rsidR="00A75E82" w:rsidRPr="00A75E82" w:rsidRDefault="00A75E82" w:rsidP="00A75E82">
            <w:pPr>
              <w:spacing w:before="120"/>
              <w:jc w:val="both"/>
              <w:rPr>
                <w:rFonts w:ascii="Arial" w:hAnsi="Arial" w:cs="Arial"/>
                <w:sz w:val="20"/>
                <w:szCs w:val="20"/>
                <w:lang w:val="en-GB" w:eastAsia="en-GB"/>
              </w:rPr>
            </w:pPr>
            <w:r w:rsidRPr="006B6A7F">
              <w:rPr>
                <w:rFonts w:ascii="Arial" w:hAnsi="Arial" w:cs="Arial"/>
                <w:sz w:val="20"/>
                <w:szCs w:val="20"/>
              </w:rPr>
              <w:t>Available bed day</w:t>
            </w:r>
          </w:p>
        </w:tc>
        <w:tc>
          <w:tcPr>
            <w:tcW w:w="7625" w:type="dxa"/>
          </w:tcPr>
          <w:p w:rsidR="00A75E82" w:rsidRPr="00A75E82" w:rsidRDefault="00A75E82" w:rsidP="00A75E82">
            <w:pPr>
              <w:spacing w:before="120"/>
              <w:jc w:val="both"/>
              <w:rPr>
                <w:rFonts w:ascii="Arial" w:hAnsi="Arial" w:cs="Arial"/>
                <w:sz w:val="20"/>
                <w:szCs w:val="20"/>
                <w:lang w:val="en-GB" w:eastAsia="en-GB"/>
              </w:rPr>
            </w:pPr>
            <w:r w:rsidRPr="006B6A7F">
              <w:rPr>
                <w:rFonts w:ascii="Arial" w:hAnsi="Arial" w:cs="Arial"/>
                <w:sz w:val="20"/>
                <w:szCs w:val="20"/>
              </w:rPr>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bl>
    <w:p w:rsidR="00ED668B" w:rsidRPr="006B6A7F" w:rsidRDefault="00AB0D46" w:rsidP="00ED668B">
      <w:pPr>
        <w:spacing w:before="120"/>
        <w:rPr>
          <w:rFonts w:ascii="Arial" w:hAnsi="Arial" w:cs="Arial"/>
          <w:b/>
          <w:lang w:val="en-GB" w:eastAsia="en-GB"/>
        </w:rPr>
      </w:pPr>
      <w:r>
        <w:rPr>
          <w:rFonts w:ascii="Arial" w:hAnsi="Arial" w:cs="Arial"/>
          <w:b/>
          <w:lang w:val="en-GB" w:eastAsia="en-GB"/>
        </w:rPr>
        <w:t>7.2</w:t>
      </w:r>
      <w:r w:rsidR="00ED668B" w:rsidRPr="006B6A7F">
        <w:rPr>
          <w:rFonts w:ascii="Arial" w:hAnsi="Arial" w:cs="Arial"/>
          <w:b/>
          <w:lang w:val="en-GB" w:eastAsia="en-GB"/>
        </w:rPr>
        <w:tab/>
        <w:t>Reporting</w:t>
      </w:r>
    </w:p>
    <w:p w:rsidR="007D1F70" w:rsidRPr="007D1F70" w:rsidRDefault="007D1F70" w:rsidP="007D1F70">
      <w:pPr>
        <w:spacing w:before="120"/>
        <w:rPr>
          <w:rFonts w:ascii="Arial" w:hAnsi="Arial" w:cs="Arial"/>
          <w:lang w:val="en-GB" w:eastAsia="en-GB"/>
        </w:rPr>
      </w:pPr>
      <w:r w:rsidRPr="007D1F70">
        <w:rPr>
          <w:rFonts w:ascii="Arial" w:hAnsi="Arial" w:cs="Arial"/>
          <w:lang w:val="en-GB" w:eastAsia="en-GB"/>
        </w:rPr>
        <w:t>The Provider must comply with the requirements of national data collections: PRIMHD.</w:t>
      </w:r>
    </w:p>
    <w:p w:rsidR="007D1F70" w:rsidRPr="007D1F70" w:rsidRDefault="007D1F70" w:rsidP="007D1F70">
      <w:pPr>
        <w:spacing w:before="120" w:after="120"/>
        <w:rPr>
          <w:rFonts w:ascii="Arial" w:hAnsi="Arial" w:cs="Arial"/>
          <w:lang w:val="en-GB" w:eastAsia="en-GB"/>
        </w:rPr>
      </w:pPr>
      <w:r w:rsidRPr="007D1F70">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7D1F70" w:rsidRPr="007D1F70" w:rsidRDefault="007D1F70" w:rsidP="007D1F70">
      <w:pPr>
        <w:spacing w:before="120"/>
        <w:rPr>
          <w:rFonts w:ascii="Arial" w:hAnsi="Arial" w:cs="Arial"/>
          <w:lang w:val="en-GB" w:eastAsia="en-GB"/>
        </w:rPr>
      </w:pPr>
      <w:r w:rsidRPr="007D1F70">
        <w:rPr>
          <w:rFonts w:ascii="Arial" w:hAnsi="Arial" w:cs="Arial"/>
          <w:lang w:val="en-GB" w:eastAsia="en-GB"/>
        </w:rPr>
        <w:t>The information required by the Funder will be sent to:</w:t>
      </w:r>
    </w:p>
    <w:p w:rsidR="007D1F70" w:rsidRPr="007D1F70" w:rsidRDefault="007D1F70" w:rsidP="007D1F70">
      <w:pPr>
        <w:spacing w:before="120"/>
        <w:ind w:left="720"/>
        <w:rPr>
          <w:rFonts w:ascii="Arial" w:hAnsi="Arial"/>
          <w:szCs w:val="20"/>
          <w:lang w:val="en-GB" w:eastAsia="en-GB"/>
        </w:rPr>
      </w:pPr>
      <w:r w:rsidRPr="007D1F70">
        <w:rPr>
          <w:rFonts w:ascii="Arial" w:hAnsi="Arial"/>
          <w:szCs w:val="20"/>
          <w:lang w:val="en-GB" w:eastAsia="en-GB"/>
        </w:rPr>
        <w:t>Performance Reporting</w:t>
      </w:r>
    </w:p>
    <w:p w:rsidR="007D1F70" w:rsidRPr="007D1F70" w:rsidRDefault="007D1F70" w:rsidP="007D1F70">
      <w:pPr>
        <w:spacing w:before="120"/>
        <w:ind w:left="720"/>
        <w:rPr>
          <w:rFonts w:ascii="Arial" w:hAnsi="Arial"/>
          <w:szCs w:val="20"/>
          <w:lang w:val="en-GB" w:eastAsia="en-GB"/>
        </w:rPr>
      </w:pPr>
      <w:r w:rsidRPr="007D1F70">
        <w:rPr>
          <w:rFonts w:ascii="Arial" w:hAnsi="Arial"/>
          <w:szCs w:val="20"/>
          <w:lang w:val="en-GB" w:eastAsia="en-GB"/>
        </w:rPr>
        <w:t>Sector Operations</w:t>
      </w:r>
    </w:p>
    <w:p w:rsidR="007D1F70" w:rsidRPr="007D1F70" w:rsidRDefault="007D1F70" w:rsidP="007D1F70">
      <w:pPr>
        <w:spacing w:before="120"/>
        <w:ind w:left="720"/>
        <w:rPr>
          <w:rFonts w:ascii="Arial" w:hAnsi="Arial"/>
          <w:szCs w:val="20"/>
          <w:lang w:val="en-GB" w:eastAsia="en-GB"/>
        </w:rPr>
      </w:pPr>
      <w:r w:rsidRPr="007D1F70">
        <w:rPr>
          <w:rFonts w:ascii="Arial" w:hAnsi="Arial"/>
          <w:szCs w:val="20"/>
          <w:lang w:val="en-GB" w:eastAsia="en-GB"/>
        </w:rPr>
        <w:t>Ministry of Health</w:t>
      </w:r>
    </w:p>
    <w:p w:rsidR="007D1F70" w:rsidRPr="007D1F70" w:rsidRDefault="007D1F70" w:rsidP="007D1F70">
      <w:pPr>
        <w:spacing w:before="120"/>
        <w:ind w:left="720"/>
        <w:rPr>
          <w:rFonts w:ascii="Arial" w:hAnsi="Arial"/>
          <w:szCs w:val="20"/>
          <w:lang w:val="en-GB" w:eastAsia="en-GB"/>
        </w:rPr>
      </w:pPr>
      <w:r w:rsidRPr="007D1F70">
        <w:rPr>
          <w:rFonts w:ascii="Arial" w:hAnsi="Arial"/>
          <w:szCs w:val="20"/>
          <w:lang w:val="en-GB" w:eastAsia="en-GB"/>
        </w:rPr>
        <w:t>Private Bag 1942</w:t>
      </w:r>
    </w:p>
    <w:p w:rsidR="007D1F70" w:rsidRPr="007D1F70" w:rsidRDefault="007D1F70" w:rsidP="007D1F70">
      <w:pPr>
        <w:spacing w:before="120"/>
        <w:ind w:left="720"/>
        <w:rPr>
          <w:rFonts w:ascii="Arial" w:hAnsi="Arial"/>
          <w:szCs w:val="20"/>
          <w:lang w:val="en-GB" w:eastAsia="en-GB"/>
        </w:rPr>
      </w:pPr>
      <w:r w:rsidRPr="007D1F70">
        <w:rPr>
          <w:rFonts w:ascii="Arial" w:hAnsi="Arial"/>
          <w:szCs w:val="20"/>
          <w:lang w:val="en-GB" w:eastAsia="en-GB"/>
        </w:rPr>
        <w:t>Dunedin 9054</w:t>
      </w:r>
    </w:p>
    <w:p w:rsidR="007D1F70" w:rsidRPr="007D1F70" w:rsidRDefault="007D1F70" w:rsidP="007D1F70">
      <w:pPr>
        <w:spacing w:before="120"/>
        <w:rPr>
          <w:rFonts w:ascii="Arial" w:hAnsi="Arial" w:cs="Arial"/>
          <w:lang w:val="en-GB" w:eastAsia="en-GB"/>
        </w:rPr>
      </w:pPr>
      <w:r w:rsidRPr="007D1F70">
        <w:rPr>
          <w:rFonts w:ascii="Arial" w:hAnsi="Arial" w:cs="Arial"/>
          <w:lang w:val="en-GB" w:eastAsia="en-GB"/>
        </w:rPr>
        <w:t xml:space="preserve">Email </w:t>
      </w:r>
      <w:hyperlink r:id="rId9" w:history="1">
        <w:r w:rsidRPr="007D1F70">
          <w:rPr>
            <w:rFonts w:ascii="Arial" w:hAnsi="Arial" w:cs="Arial"/>
            <w:color w:val="0000FF"/>
            <w:u w:val="single"/>
            <w:lang w:val="en-GB" w:eastAsia="en-GB"/>
          </w:rPr>
          <w:t>performance_reporting@moh.govt.nz</w:t>
        </w:r>
      </w:hyperlink>
    </w:p>
    <w:p w:rsidR="007D1F70" w:rsidRPr="007D1F70" w:rsidRDefault="007D1F70" w:rsidP="007D1F70">
      <w:pPr>
        <w:spacing w:before="120"/>
        <w:rPr>
          <w:rFonts w:ascii="Arial" w:hAnsi="Arial" w:cs="Arial"/>
          <w:sz w:val="22"/>
          <w:szCs w:val="20"/>
          <w:lang w:val="en-GB" w:eastAsia="en-GB"/>
        </w:rPr>
      </w:pPr>
      <w:r w:rsidRPr="007D1F70">
        <w:rPr>
          <w:rFonts w:ascii="Arial" w:hAnsi="Arial" w:cs="Arial"/>
          <w:color w:val="000000"/>
          <w:lang w:eastAsia="en-NZ"/>
        </w:rPr>
        <w:t xml:space="preserve">The Performance Monitoring </w:t>
      </w:r>
      <w:r w:rsidRPr="007D1F70">
        <w:rPr>
          <w:rFonts w:ascii="Arial" w:hAnsi="Arial" w:cs="Arial"/>
          <w:lang w:val="en-AU"/>
        </w:rPr>
        <w:t>Reporting tables for the Mental Health and Addiction Service Specifications</w:t>
      </w:r>
      <w:r w:rsidRPr="007D1F70">
        <w:rPr>
          <w:rFonts w:ascii="Arial" w:hAnsi="Arial" w:cs="Arial"/>
          <w:vertAlign w:val="superscript"/>
          <w:lang w:val="en-GB" w:eastAsia="en-GB"/>
        </w:rPr>
        <w:footnoteReference w:id="1"/>
      </w:r>
      <w:r w:rsidRPr="007D1F70">
        <w:rPr>
          <w:rFonts w:ascii="Arial" w:hAnsi="Arial" w:cs="Arial"/>
          <w:lang w:val="en-GB" w:eastAsia="en-GB"/>
        </w:rPr>
        <w:t xml:space="preserve"> may be used for performance monitoring if specified as agreed with the Funder.</w:t>
      </w:r>
    </w:p>
    <w:p w:rsidR="00D62D40" w:rsidRPr="006B6A7F" w:rsidRDefault="00D62D40" w:rsidP="00A75E82">
      <w:pPr>
        <w:spacing w:before="120"/>
        <w:rPr>
          <w:rFonts w:ascii="Arial" w:hAnsi="Arial" w:cs="Arial"/>
        </w:rPr>
      </w:pPr>
    </w:p>
    <w:sectPr w:rsidR="00D62D40" w:rsidRPr="006B6A7F" w:rsidSect="00176922">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1E3" w:rsidRDefault="00FB71E3">
      <w:r>
        <w:separator/>
      </w:r>
    </w:p>
  </w:endnote>
  <w:endnote w:type="continuationSeparator" w:id="0">
    <w:p w:rsidR="00FB71E3" w:rsidRDefault="00FB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5C" w:rsidRDefault="0064275C" w:rsidP="00642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75C" w:rsidRDefault="0064275C" w:rsidP="006427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5C" w:rsidRDefault="0064275C" w:rsidP="00642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FC8">
      <w:rPr>
        <w:rStyle w:val="PageNumber"/>
        <w:noProof/>
      </w:rPr>
      <w:t>5</w:t>
    </w:r>
    <w:r>
      <w:rPr>
        <w:rStyle w:val="PageNumber"/>
      </w:rPr>
      <w:fldChar w:fldCharType="end"/>
    </w:r>
  </w:p>
  <w:p w:rsidR="007D1F70" w:rsidRDefault="0064275C" w:rsidP="00176922">
    <w:pPr>
      <w:pStyle w:val="Header"/>
      <w:pBdr>
        <w:top w:val="single" w:sz="4" w:space="1" w:color="auto"/>
      </w:pBdr>
      <w:tabs>
        <w:tab w:val="clear" w:pos="4153"/>
        <w:tab w:val="clear" w:pos="8306"/>
        <w:tab w:val="center" w:pos="7371"/>
      </w:tabs>
      <w:ind w:right="360"/>
      <w:rPr>
        <w:rFonts w:ascii="Arial" w:hAnsi="Arial" w:cs="Arial"/>
        <w:sz w:val="20"/>
        <w:szCs w:val="20"/>
      </w:rPr>
    </w:pPr>
    <w:r w:rsidRPr="00713521">
      <w:rPr>
        <w:rFonts w:ascii="Arial" w:hAnsi="Arial" w:cs="Arial"/>
        <w:sz w:val="20"/>
        <w:szCs w:val="20"/>
      </w:rPr>
      <w:t>Eating Disorder</w:t>
    </w:r>
    <w:r w:rsidR="0098111D">
      <w:rPr>
        <w:rFonts w:ascii="Arial" w:hAnsi="Arial" w:cs="Arial"/>
        <w:sz w:val="20"/>
        <w:szCs w:val="20"/>
      </w:rPr>
      <w:t xml:space="preserve"> Services-</w:t>
    </w:r>
    <w:r w:rsidRPr="00713521">
      <w:rPr>
        <w:rFonts w:ascii="Arial" w:hAnsi="Arial" w:cs="Arial"/>
        <w:sz w:val="20"/>
        <w:szCs w:val="20"/>
      </w:rPr>
      <w:t xml:space="preserve"> Inpatient, Intensive Treatment and Consultative Service Tier Three Service Specification </w:t>
    </w:r>
    <w:r w:rsidR="007D1F70">
      <w:rPr>
        <w:rFonts w:ascii="Arial" w:hAnsi="Arial" w:cs="Arial"/>
        <w:sz w:val="20"/>
        <w:szCs w:val="20"/>
      </w:rPr>
      <w:t>April 2017</w:t>
    </w:r>
  </w:p>
  <w:p w:rsidR="0064275C" w:rsidRPr="00713521" w:rsidRDefault="0064275C" w:rsidP="00176922">
    <w:pPr>
      <w:pStyle w:val="Header"/>
      <w:pBdr>
        <w:top w:val="single" w:sz="4" w:space="1" w:color="auto"/>
      </w:pBdr>
      <w:tabs>
        <w:tab w:val="clear" w:pos="4153"/>
        <w:tab w:val="clear" w:pos="8306"/>
        <w:tab w:val="center" w:pos="7371"/>
      </w:tabs>
      <w:ind w:right="360"/>
      <w:rPr>
        <w:rFonts w:ascii="Arial" w:hAnsi="Arial" w:cs="Arial"/>
        <w:sz w:val="20"/>
        <w:szCs w:val="20"/>
      </w:rPr>
    </w:pPr>
    <w:r w:rsidRPr="00713521">
      <w:rPr>
        <w:rFonts w:ascii="Arial" w:hAnsi="Arial" w:cs="Arial"/>
        <w:sz w:val="20"/>
        <w:szCs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1E3" w:rsidRDefault="00FB71E3">
      <w:r>
        <w:separator/>
      </w:r>
    </w:p>
  </w:footnote>
  <w:footnote w:type="continuationSeparator" w:id="0">
    <w:p w:rsidR="00FB71E3" w:rsidRDefault="00FB71E3">
      <w:r>
        <w:continuationSeparator/>
      </w:r>
    </w:p>
  </w:footnote>
  <w:footnote w:id="1">
    <w:p w:rsidR="007D1F70" w:rsidRPr="006F249C" w:rsidRDefault="007D1F70" w:rsidP="007D1F70">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4A6"/>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1047330F"/>
    <w:multiLevelType w:val="hybridMultilevel"/>
    <w:tmpl w:val="FC341320"/>
    <w:lvl w:ilvl="0" w:tplc="00000000">
      <w:start w:val="1"/>
      <w:numFmt w:val="bullet"/>
      <w:lvlText w:val="·"/>
      <w:legacy w:legacy="1" w:legacySpace="0" w:legacyIndent="567"/>
      <w:lvlJc w:val="left"/>
      <w:pPr>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BC214C"/>
    <w:multiLevelType w:val="multilevel"/>
    <w:tmpl w:val="0B60DF7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4E61278"/>
    <w:multiLevelType w:val="hybridMultilevel"/>
    <w:tmpl w:val="6E622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DE066D"/>
    <w:multiLevelType w:val="hybridMultilevel"/>
    <w:tmpl w:val="84A07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3642AA"/>
    <w:multiLevelType w:val="hybridMultilevel"/>
    <w:tmpl w:val="8EB2B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6ABD2DF4"/>
    <w:multiLevelType w:val="hybridMultilevel"/>
    <w:tmpl w:val="2F682BE0"/>
    <w:lvl w:ilvl="0" w:tplc="B1849D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9E14A1"/>
    <w:multiLevelType w:val="hybridMultilevel"/>
    <w:tmpl w:val="DE68EC7E"/>
    <w:lvl w:ilvl="0" w:tplc="988EF68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7A2652F0"/>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1"/>
  </w:num>
  <w:num w:numId="2">
    <w:abstractNumId w:val="6"/>
  </w:num>
  <w:num w:numId="3">
    <w:abstractNumId w:val="2"/>
  </w:num>
  <w:num w:numId="4">
    <w:abstractNumId w:val="8"/>
  </w:num>
  <w:num w:numId="5">
    <w:abstractNumId w:val="0"/>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5D32"/>
    <w:rsid w:val="000A125E"/>
    <w:rsid w:val="00107033"/>
    <w:rsid w:val="00176922"/>
    <w:rsid w:val="001A7820"/>
    <w:rsid w:val="001A7B2A"/>
    <w:rsid w:val="001C567D"/>
    <w:rsid w:val="001F5CA8"/>
    <w:rsid w:val="00210DEF"/>
    <w:rsid w:val="002530E3"/>
    <w:rsid w:val="00421CF8"/>
    <w:rsid w:val="00464894"/>
    <w:rsid w:val="00485DDC"/>
    <w:rsid w:val="004A782A"/>
    <w:rsid w:val="005C0D3A"/>
    <w:rsid w:val="005F700E"/>
    <w:rsid w:val="005F7BE5"/>
    <w:rsid w:val="0064275C"/>
    <w:rsid w:val="00662482"/>
    <w:rsid w:val="006B6A7F"/>
    <w:rsid w:val="00713521"/>
    <w:rsid w:val="00767157"/>
    <w:rsid w:val="007D1F70"/>
    <w:rsid w:val="0098111D"/>
    <w:rsid w:val="00A33D98"/>
    <w:rsid w:val="00A74545"/>
    <w:rsid w:val="00A75E82"/>
    <w:rsid w:val="00AB0D46"/>
    <w:rsid w:val="00B52E67"/>
    <w:rsid w:val="00BB0423"/>
    <w:rsid w:val="00BB0A1E"/>
    <w:rsid w:val="00BD1E3B"/>
    <w:rsid w:val="00BF3ED2"/>
    <w:rsid w:val="00C67FC8"/>
    <w:rsid w:val="00D26237"/>
    <w:rsid w:val="00D30E73"/>
    <w:rsid w:val="00D62D40"/>
    <w:rsid w:val="00D719C6"/>
    <w:rsid w:val="00DC1464"/>
    <w:rsid w:val="00E263C7"/>
    <w:rsid w:val="00E728B0"/>
    <w:rsid w:val="00E91BED"/>
    <w:rsid w:val="00EA3501"/>
    <w:rsid w:val="00ED668B"/>
    <w:rsid w:val="00F13911"/>
    <w:rsid w:val="00F25504"/>
    <w:rsid w:val="00F841EE"/>
    <w:rsid w:val="00F86EFE"/>
    <w:rsid w:val="00FB71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C94D82-A7BE-40E0-8813-C62C2436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FE"/>
    <w:rPr>
      <w:sz w:val="24"/>
      <w:szCs w:val="24"/>
      <w:lang w:eastAsia="en-US"/>
    </w:rPr>
  </w:style>
  <w:style w:type="paragraph" w:styleId="Heading1">
    <w:name w:val="heading 1"/>
    <w:basedOn w:val="Normal"/>
    <w:next w:val="Normal"/>
    <w:qFormat/>
    <w:rsid w:val="00F86EF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86EFE"/>
    <w:pPr>
      <w:tabs>
        <w:tab w:val="left" w:pos="4253"/>
      </w:tabs>
      <w:spacing w:after="60"/>
      <w:ind w:left="851"/>
    </w:pPr>
    <w:rPr>
      <w:sz w:val="20"/>
    </w:rPr>
  </w:style>
  <w:style w:type="paragraph" w:styleId="Title">
    <w:name w:val="Title"/>
    <w:basedOn w:val="Normal"/>
    <w:qFormat/>
    <w:rsid w:val="00F86EFE"/>
    <w:pPr>
      <w:jc w:val="center"/>
    </w:pPr>
    <w:rPr>
      <w:rFonts w:ascii="Arial" w:hAnsi="Arial"/>
      <w:b/>
      <w:sz w:val="32"/>
      <w:szCs w:val="20"/>
    </w:rPr>
  </w:style>
  <w:style w:type="paragraph" w:customStyle="1" w:styleId="Char1CharChar">
    <w:name w:val="Char1 Char Char"/>
    <w:basedOn w:val="Normal"/>
    <w:rsid w:val="00F86EFE"/>
    <w:pPr>
      <w:spacing w:after="160" w:line="240" w:lineRule="exact"/>
    </w:pPr>
    <w:rPr>
      <w:rFonts w:ascii="Arial" w:hAnsi="Arial"/>
      <w:sz w:val="20"/>
      <w:szCs w:val="20"/>
      <w:lang w:val="en-US"/>
    </w:rPr>
  </w:style>
  <w:style w:type="paragraph" w:styleId="Footer">
    <w:name w:val="footer"/>
    <w:basedOn w:val="Normal"/>
    <w:rsid w:val="0064275C"/>
    <w:pPr>
      <w:tabs>
        <w:tab w:val="center" w:pos="4153"/>
        <w:tab w:val="right" w:pos="8306"/>
      </w:tabs>
    </w:pPr>
  </w:style>
  <w:style w:type="character" w:styleId="PageNumber">
    <w:name w:val="page number"/>
    <w:basedOn w:val="DefaultParagraphFont"/>
    <w:rsid w:val="0064275C"/>
  </w:style>
  <w:style w:type="paragraph" w:styleId="Header">
    <w:name w:val="header"/>
    <w:basedOn w:val="Normal"/>
    <w:rsid w:val="0064275C"/>
    <w:pPr>
      <w:tabs>
        <w:tab w:val="center" w:pos="4153"/>
        <w:tab w:val="right" w:pos="8306"/>
      </w:tabs>
    </w:pPr>
  </w:style>
  <w:style w:type="paragraph" w:styleId="BalloonText">
    <w:name w:val="Balloon Text"/>
    <w:basedOn w:val="Normal"/>
    <w:link w:val="BalloonTextChar"/>
    <w:uiPriority w:val="99"/>
    <w:semiHidden/>
    <w:unhideWhenUsed/>
    <w:rsid w:val="00E263C7"/>
    <w:rPr>
      <w:rFonts w:ascii="Tahoma" w:hAnsi="Tahoma" w:cs="Tahoma"/>
      <w:sz w:val="16"/>
      <w:szCs w:val="16"/>
    </w:rPr>
  </w:style>
  <w:style w:type="character" w:customStyle="1" w:styleId="BalloonTextChar">
    <w:name w:val="Balloon Text Char"/>
    <w:link w:val="BalloonText"/>
    <w:uiPriority w:val="99"/>
    <w:semiHidden/>
    <w:rsid w:val="00E263C7"/>
    <w:rPr>
      <w:rFonts w:ascii="Tahoma" w:hAnsi="Tahoma" w:cs="Tahoma"/>
      <w:sz w:val="16"/>
      <w:szCs w:val="16"/>
      <w:lang w:eastAsia="en-US"/>
    </w:rPr>
  </w:style>
  <w:style w:type="paragraph" w:customStyle="1" w:styleId="Char1CharChar0">
    <w:name w:val="Char1 Char Char"/>
    <w:basedOn w:val="Normal"/>
    <w:rsid w:val="00ED668B"/>
    <w:pPr>
      <w:spacing w:after="160" w:line="240" w:lineRule="exact"/>
    </w:pPr>
    <w:rPr>
      <w:rFonts w:ascii="Arial" w:hAnsi="Arial"/>
      <w:sz w:val="20"/>
      <w:szCs w:val="20"/>
      <w:lang w:val="en-US"/>
    </w:rPr>
  </w:style>
  <w:style w:type="paragraph" w:styleId="Revision">
    <w:name w:val="Revision"/>
    <w:hidden/>
    <w:uiPriority w:val="99"/>
    <w:semiHidden/>
    <w:rsid w:val="00ED668B"/>
    <w:rPr>
      <w:sz w:val="24"/>
      <w:szCs w:val="24"/>
      <w:lang w:eastAsia="en-US"/>
    </w:rPr>
  </w:style>
  <w:style w:type="table" w:styleId="TableGrid">
    <w:name w:val="Table Grid"/>
    <w:basedOn w:val="TableNormal"/>
    <w:rsid w:val="00A75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75E82"/>
    <w:rPr>
      <w:vertAlign w:val="superscript"/>
    </w:rPr>
  </w:style>
  <w:style w:type="character" w:styleId="Hyperlink">
    <w:name w:val="Hyperlink"/>
    <w:basedOn w:val="DefaultParagraphFont"/>
    <w:uiPriority w:val="99"/>
    <w:semiHidden/>
    <w:unhideWhenUsed/>
    <w:rsid w:val="00AB0D46"/>
    <w:rPr>
      <w:color w:val="0000FF" w:themeColor="hyperlink"/>
      <w:u w:val="single"/>
    </w:rPr>
  </w:style>
  <w:style w:type="character" w:customStyle="1" w:styleId="FootnoteTextChar">
    <w:name w:val="Footnote Text Char"/>
    <w:basedOn w:val="DefaultParagraphFont"/>
    <w:link w:val="FootnoteText"/>
    <w:uiPriority w:val="99"/>
    <w:semiHidden/>
    <w:rsid w:val="00AB0D46"/>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E34AA5CD</Template>
  <TotalTime>0</TotalTime>
  <Pages>5</Pages>
  <Words>1279</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dcterms:created xsi:type="dcterms:W3CDTF">2017-08-04T02:18:00Z</dcterms:created>
  <dcterms:modified xsi:type="dcterms:W3CDTF">2017-08-04T02:18:00Z</dcterms:modified>
</cp:coreProperties>
</file>