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Ind w:w="10" w:type="dxa"/>
        <w:tblLayout w:type="fixed"/>
        <w:tblLook w:val="0000" w:firstRow="0" w:lastRow="0" w:firstColumn="0" w:lastColumn="0" w:noHBand="0" w:noVBand="0"/>
      </w:tblPr>
      <w:tblGrid>
        <w:gridCol w:w="3872"/>
        <w:gridCol w:w="2615"/>
        <w:gridCol w:w="3147"/>
      </w:tblGrid>
      <w:tr w:rsidR="00701120" w:rsidRPr="008C6DAF" w:rsidTr="005B3887">
        <w:trPr>
          <w:cantSplit/>
        </w:trPr>
        <w:tc>
          <w:tcPr>
            <w:tcW w:w="3872" w:type="dxa"/>
            <w:vAlign w:val="center"/>
          </w:tcPr>
          <w:p w:rsidR="00701120" w:rsidRPr="008C6DAF" w:rsidRDefault="002926C8" w:rsidP="00701120">
            <w:pPr>
              <w:rPr>
                <w:rFonts w:ascii="Arial" w:hAnsi="Arial" w:cs="Arial"/>
                <w:bCs/>
                <w:sz w:val="34"/>
                <w:szCs w:val="34"/>
              </w:rPr>
            </w:pPr>
            <w:r>
              <w:rPr>
                <w:rFonts w:ascii="Arial" w:hAnsi="Arial" w:cs="Arial"/>
                <w:noProof/>
                <w:sz w:val="23"/>
                <w:szCs w:val="23"/>
                <w:lang w:eastAsia="en-NZ"/>
              </w:rPr>
              <w:drawing>
                <wp:inline distT="0" distB="0" distL="0" distR="0" wp14:anchorId="0F62045E" wp14:editId="3E4E34A2">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62" w:type="dxa"/>
            <w:gridSpan w:val="2"/>
            <w:vAlign w:val="center"/>
          </w:tcPr>
          <w:p w:rsidR="00701120" w:rsidRPr="005B3887" w:rsidRDefault="001948D4" w:rsidP="00701120">
            <w:pPr>
              <w:jc w:val="right"/>
              <w:rPr>
                <w:rFonts w:ascii="Arial" w:hAnsi="Arial" w:cs="Arial"/>
                <w:b/>
                <w:bCs/>
                <w:sz w:val="32"/>
                <w:szCs w:val="32"/>
              </w:rPr>
            </w:pPr>
            <w:r w:rsidRPr="005B3887">
              <w:rPr>
                <w:rFonts w:ascii="Arial" w:hAnsi="Arial" w:cs="Arial"/>
                <w:b/>
                <w:bCs/>
                <w:sz w:val="32"/>
                <w:szCs w:val="32"/>
              </w:rPr>
              <w:t>All District Health Boards</w:t>
            </w:r>
          </w:p>
        </w:tc>
      </w:tr>
      <w:tr w:rsidR="00701120" w:rsidRPr="008C6DAF" w:rsidTr="005B3887">
        <w:tc>
          <w:tcPr>
            <w:tcW w:w="9634" w:type="dxa"/>
            <w:gridSpan w:val="3"/>
            <w:tcBorders>
              <w:bottom w:val="single" w:sz="4" w:space="0" w:color="auto"/>
            </w:tcBorders>
          </w:tcPr>
          <w:p w:rsidR="00701120" w:rsidRPr="008C6DAF" w:rsidRDefault="00701120" w:rsidP="00D71D91">
            <w:pPr>
              <w:pStyle w:val="Heading9"/>
              <w:spacing w:before="1080" w:after="120"/>
              <w:jc w:val="center"/>
              <w:rPr>
                <w:b/>
                <w:bCs/>
                <w:sz w:val="36"/>
                <w:szCs w:val="36"/>
              </w:rPr>
            </w:pPr>
            <w:r w:rsidRPr="008C6DAF">
              <w:rPr>
                <w:b/>
                <w:bCs/>
                <w:sz w:val="36"/>
                <w:szCs w:val="36"/>
              </w:rPr>
              <w:t>EATI</w:t>
            </w:r>
            <w:bookmarkStart w:id="0" w:name="_GoBack"/>
            <w:bookmarkEnd w:id="0"/>
            <w:r w:rsidRPr="008C6DAF">
              <w:rPr>
                <w:b/>
                <w:bCs/>
                <w:sz w:val="36"/>
                <w:szCs w:val="36"/>
              </w:rPr>
              <w:t>NG DISORDERS</w:t>
            </w:r>
            <w:r w:rsidR="00446958" w:rsidRPr="008C6DAF">
              <w:rPr>
                <w:b/>
                <w:bCs/>
                <w:sz w:val="36"/>
                <w:szCs w:val="36"/>
              </w:rPr>
              <w:t xml:space="preserve"> SERVICES</w:t>
            </w:r>
            <w:r w:rsidR="00972BEB">
              <w:rPr>
                <w:b/>
                <w:bCs/>
                <w:sz w:val="36"/>
                <w:szCs w:val="36"/>
              </w:rPr>
              <w:t>-</w:t>
            </w:r>
          </w:p>
          <w:p w:rsidR="001948D4" w:rsidRPr="00C256AE" w:rsidRDefault="001948D4" w:rsidP="001948D4">
            <w:pPr>
              <w:spacing w:before="120" w:after="120"/>
              <w:jc w:val="center"/>
              <w:rPr>
                <w:rFonts w:ascii="Arial" w:hAnsi="Arial" w:cs="Arial"/>
                <w:b/>
                <w:bCs/>
                <w:sz w:val="36"/>
                <w:szCs w:val="36"/>
                <w:lang w:eastAsia="en-GB"/>
              </w:rPr>
            </w:pPr>
            <w:r w:rsidRPr="00C256AE">
              <w:rPr>
                <w:rFonts w:ascii="Arial" w:hAnsi="Arial" w:cs="Arial"/>
                <w:b/>
                <w:bCs/>
                <w:sz w:val="36"/>
                <w:szCs w:val="36"/>
                <w:lang w:eastAsia="en-GB"/>
              </w:rPr>
              <w:t xml:space="preserve">MENTAL HEALTH </w:t>
            </w:r>
            <w:smartTag w:uri="urn:schemas-microsoft-com:office:smarttags" w:element="stockticker">
              <w:r w:rsidRPr="00C256AE">
                <w:rPr>
                  <w:rFonts w:ascii="Arial" w:hAnsi="Arial" w:cs="Arial"/>
                  <w:b/>
                  <w:bCs/>
                  <w:sz w:val="36"/>
                  <w:szCs w:val="36"/>
                  <w:lang w:eastAsia="en-GB"/>
                </w:rPr>
                <w:t>AND</w:t>
              </w:r>
            </w:smartTag>
            <w:r w:rsidRPr="00C256AE">
              <w:rPr>
                <w:rFonts w:ascii="Arial" w:hAnsi="Arial" w:cs="Arial"/>
                <w:b/>
                <w:bCs/>
                <w:sz w:val="36"/>
                <w:szCs w:val="36"/>
                <w:lang w:eastAsia="en-GB"/>
              </w:rPr>
              <w:t xml:space="preserve"> ADDICTION SERVICES</w:t>
            </w:r>
          </w:p>
          <w:p w:rsidR="00701120" w:rsidRPr="008C6DAF" w:rsidRDefault="00701120" w:rsidP="000B0C9F">
            <w:pPr>
              <w:spacing w:before="120" w:after="120"/>
              <w:jc w:val="center"/>
              <w:rPr>
                <w:rFonts w:ascii="Arial" w:hAnsi="Arial" w:cs="Arial"/>
                <w:b/>
                <w:sz w:val="36"/>
                <w:szCs w:val="36"/>
              </w:rPr>
            </w:pPr>
            <w:r w:rsidRPr="008C6DAF">
              <w:rPr>
                <w:rFonts w:ascii="Arial" w:hAnsi="Arial" w:cs="Arial"/>
                <w:b/>
                <w:sz w:val="36"/>
                <w:szCs w:val="36"/>
              </w:rPr>
              <w:t>TIER TWO</w:t>
            </w:r>
          </w:p>
          <w:p w:rsidR="00701120" w:rsidRPr="008C6DAF" w:rsidRDefault="00701120" w:rsidP="006F1281">
            <w:pPr>
              <w:spacing w:before="120" w:after="480"/>
              <w:jc w:val="center"/>
              <w:rPr>
                <w:rFonts w:ascii="Arial" w:hAnsi="Arial" w:cs="Arial"/>
                <w:b/>
                <w:sz w:val="36"/>
                <w:szCs w:val="36"/>
              </w:rPr>
            </w:pPr>
            <w:r w:rsidRPr="008C6DAF">
              <w:rPr>
                <w:rFonts w:ascii="Arial" w:hAnsi="Arial" w:cs="Arial"/>
                <w:b/>
                <w:sz w:val="36"/>
                <w:szCs w:val="36"/>
              </w:rPr>
              <w:t>SERVICE SPECIFICATION</w:t>
            </w:r>
          </w:p>
          <w:p w:rsidR="00701120" w:rsidRPr="008C6DAF" w:rsidRDefault="00701120" w:rsidP="00701120">
            <w:pPr>
              <w:jc w:val="both"/>
              <w:rPr>
                <w:rFonts w:ascii="Arial" w:hAnsi="Arial" w:cs="Arial"/>
              </w:rPr>
            </w:pPr>
          </w:p>
        </w:tc>
      </w:tr>
      <w:tr w:rsidR="00701120" w:rsidRPr="008C6DAF" w:rsidTr="005B3887">
        <w:tc>
          <w:tcPr>
            <w:tcW w:w="6487" w:type="dxa"/>
            <w:gridSpan w:val="2"/>
            <w:tcBorders>
              <w:top w:val="single" w:sz="4" w:space="0" w:color="auto"/>
              <w:left w:val="single" w:sz="4" w:space="0" w:color="auto"/>
              <w:bottom w:val="single" w:sz="4" w:space="0" w:color="auto"/>
              <w:right w:val="single" w:sz="4" w:space="0" w:color="auto"/>
            </w:tcBorders>
          </w:tcPr>
          <w:p w:rsidR="00701120" w:rsidRPr="00D71D91" w:rsidRDefault="00701120" w:rsidP="000B0C9F">
            <w:pPr>
              <w:pStyle w:val="Heading1"/>
              <w:spacing w:before="120" w:after="240"/>
              <w:ind w:left="360"/>
              <w:jc w:val="both"/>
              <w:rPr>
                <w:sz w:val="36"/>
                <w:szCs w:val="36"/>
              </w:rPr>
            </w:pPr>
            <w:r w:rsidRPr="00D71D91">
              <w:rPr>
                <w:sz w:val="36"/>
                <w:szCs w:val="36"/>
              </w:rPr>
              <w:t>STATUS:</w:t>
            </w:r>
          </w:p>
          <w:p w:rsidR="00701120" w:rsidRPr="00690392" w:rsidRDefault="001948D4" w:rsidP="00701120">
            <w:pPr>
              <w:pStyle w:val="Heading1"/>
              <w:spacing w:after="240"/>
              <w:rPr>
                <w:b w:val="0"/>
              </w:rPr>
            </w:pPr>
            <w:r w:rsidRPr="00D71D91">
              <w:rPr>
                <w:b w:val="0"/>
                <w:lang w:eastAsia="en-NZ"/>
              </w:rPr>
              <w:t>It is compulsory to use this nationwide service specification when purchasing this service.</w:t>
            </w:r>
          </w:p>
        </w:tc>
        <w:tc>
          <w:tcPr>
            <w:tcW w:w="3147" w:type="dxa"/>
            <w:tcBorders>
              <w:top w:val="single" w:sz="4" w:space="0" w:color="auto"/>
              <w:left w:val="single" w:sz="4" w:space="0" w:color="auto"/>
              <w:bottom w:val="single" w:sz="4" w:space="0" w:color="auto"/>
              <w:right w:val="single" w:sz="4" w:space="0" w:color="auto"/>
            </w:tcBorders>
          </w:tcPr>
          <w:p w:rsidR="00701120" w:rsidRPr="00D71D91" w:rsidRDefault="001948D4" w:rsidP="00701120">
            <w:pPr>
              <w:pStyle w:val="Heading1"/>
              <w:spacing w:after="240"/>
              <w:rPr>
                <w:sz w:val="36"/>
                <w:szCs w:val="36"/>
              </w:rPr>
            </w:pPr>
            <w:r w:rsidRPr="00D71D91">
              <w:rPr>
                <w:sz w:val="36"/>
                <w:szCs w:val="36"/>
              </w:rPr>
              <w:t>MANDATORY</w:t>
            </w:r>
            <w:r w:rsidR="00701120" w:rsidRPr="00D71D91">
              <w:rPr>
                <w:sz w:val="36"/>
                <w:szCs w:val="36"/>
              </w:rPr>
              <w:t xml:space="preserve"> </w:t>
            </w:r>
          </w:p>
          <w:p w:rsidR="00701120" w:rsidRPr="00D71D91" w:rsidRDefault="00701120" w:rsidP="00701120">
            <w:pPr>
              <w:pStyle w:val="Heading1"/>
              <w:spacing w:after="240"/>
              <w:rPr>
                <w:sz w:val="36"/>
                <w:szCs w:val="36"/>
              </w:rPr>
            </w:pPr>
          </w:p>
        </w:tc>
      </w:tr>
      <w:tr w:rsidR="00701120" w:rsidRPr="008C6DAF" w:rsidTr="005B3887">
        <w:tc>
          <w:tcPr>
            <w:tcW w:w="6487" w:type="dxa"/>
            <w:gridSpan w:val="2"/>
            <w:tcBorders>
              <w:top w:val="single" w:sz="4" w:space="0" w:color="auto"/>
              <w:left w:val="single" w:sz="6" w:space="0" w:color="auto"/>
              <w:bottom w:val="single" w:sz="6" w:space="0" w:color="auto"/>
              <w:right w:val="single" w:sz="6" w:space="0" w:color="auto"/>
            </w:tcBorders>
            <w:shd w:val="clear" w:color="auto" w:fill="E0E0E0"/>
          </w:tcPr>
          <w:p w:rsidR="00701120" w:rsidRPr="008C6DAF" w:rsidRDefault="00701120" w:rsidP="00701120">
            <w:pPr>
              <w:pStyle w:val="Heading1"/>
              <w:spacing w:after="240"/>
            </w:pPr>
            <w:r w:rsidRPr="008C6DAF">
              <w:rPr>
                <w:bCs w:val="0"/>
                <w:kern w:val="0"/>
              </w:rPr>
              <w:t>Review history</w:t>
            </w:r>
          </w:p>
        </w:tc>
        <w:tc>
          <w:tcPr>
            <w:tcW w:w="3147" w:type="dxa"/>
            <w:tcBorders>
              <w:top w:val="single" w:sz="4" w:space="0" w:color="auto"/>
              <w:left w:val="single" w:sz="6" w:space="0" w:color="auto"/>
              <w:bottom w:val="single" w:sz="6" w:space="0" w:color="auto"/>
              <w:right w:val="single" w:sz="6" w:space="0" w:color="auto"/>
            </w:tcBorders>
            <w:shd w:val="clear" w:color="auto" w:fill="E0E0E0"/>
          </w:tcPr>
          <w:p w:rsidR="00701120" w:rsidRPr="008C6DAF" w:rsidRDefault="00701120" w:rsidP="00701120">
            <w:pPr>
              <w:pStyle w:val="Heading1"/>
              <w:spacing w:after="240"/>
              <w:jc w:val="both"/>
            </w:pPr>
            <w:r w:rsidRPr="008C6DAF">
              <w:t>Date</w:t>
            </w:r>
          </w:p>
        </w:tc>
      </w:tr>
      <w:tr w:rsidR="00701120" w:rsidRPr="008C6DAF" w:rsidTr="005B3887">
        <w:tc>
          <w:tcPr>
            <w:tcW w:w="6487" w:type="dxa"/>
            <w:gridSpan w:val="2"/>
            <w:tcBorders>
              <w:top w:val="single" w:sz="6" w:space="0" w:color="auto"/>
              <w:left w:val="single" w:sz="4" w:space="0" w:color="auto"/>
              <w:bottom w:val="single" w:sz="4" w:space="0" w:color="auto"/>
              <w:right w:val="single" w:sz="6" w:space="0" w:color="auto"/>
            </w:tcBorders>
          </w:tcPr>
          <w:p w:rsidR="00701120" w:rsidRPr="008C6DAF" w:rsidRDefault="000B0C9F" w:rsidP="000B0C9F">
            <w:pPr>
              <w:spacing w:before="120" w:after="120"/>
              <w:rPr>
                <w:rFonts w:ascii="Arial" w:hAnsi="Arial" w:cs="Arial"/>
                <w:sz w:val="28"/>
                <w:szCs w:val="28"/>
              </w:rPr>
            </w:pPr>
            <w:r w:rsidRPr="008C6DAF">
              <w:rPr>
                <w:rFonts w:ascii="Arial" w:hAnsi="Arial" w:cs="Arial"/>
                <w:sz w:val="28"/>
                <w:szCs w:val="28"/>
              </w:rPr>
              <w:t xml:space="preserve">First </w:t>
            </w:r>
            <w:r w:rsidR="00701120" w:rsidRPr="008C6DAF">
              <w:rPr>
                <w:rFonts w:ascii="Arial" w:hAnsi="Arial" w:cs="Arial"/>
                <w:sz w:val="28"/>
                <w:szCs w:val="28"/>
              </w:rPr>
              <w:t>Published on NSF Library</w:t>
            </w:r>
          </w:p>
        </w:tc>
        <w:tc>
          <w:tcPr>
            <w:tcW w:w="3147" w:type="dxa"/>
            <w:tcBorders>
              <w:top w:val="single" w:sz="6" w:space="0" w:color="auto"/>
              <w:left w:val="single" w:sz="6" w:space="0" w:color="auto"/>
              <w:bottom w:val="single" w:sz="4" w:space="0" w:color="auto"/>
              <w:right w:val="single" w:sz="4" w:space="0" w:color="auto"/>
            </w:tcBorders>
          </w:tcPr>
          <w:p w:rsidR="00701120" w:rsidRPr="008C6DAF" w:rsidRDefault="00701120" w:rsidP="000B0C9F">
            <w:pPr>
              <w:spacing w:before="120" w:after="120"/>
              <w:rPr>
                <w:rFonts w:ascii="Arial" w:hAnsi="Arial" w:cs="Arial"/>
                <w:sz w:val="28"/>
                <w:szCs w:val="28"/>
              </w:rPr>
            </w:pPr>
            <w:r w:rsidRPr="008C6DAF">
              <w:rPr>
                <w:rFonts w:ascii="Arial" w:hAnsi="Arial" w:cs="Arial"/>
                <w:sz w:val="28"/>
                <w:szCs w:val="28"/>
              </w:rPr>
              <w:t>June 2009</w:t>
            </w:r>
          </w:p>
        </w:tc>
      </w:tr>
      <w:tr w:rsidR="000B0C9F" w:rsidRPr="008C6DAF" w:rsidTr="005B3887">
        <w:tc>
          <w:tcPr>
            <w:tcW w:w="6487" w:type="dxa"/>
            <w:gridSpan w:val="2"/>
            <w:tcBorders>
              <w:top w:val="single" w:sz="6" w:space="0" w:color="auto"/>
              <w:left w:val="single" w:sz="4" w:space="0" w:color="auto"/>
              <w:bottom w:val="single" w:sz="4" w:space="0" w:color="auto"/>
              <w:right w:val="single" w:sz="6" w:space="0" w:color="auto"/>
            </w:tcBorders>
          </w:tcPr>
          <w:p w:rsidR="000B0C9F" w:rsidRPr="005B3887" w:rsidRDefault="000B0C9F" w:rsidP="005B3887">
            <w:pPr>
              <w:spacing w:before="120" w:after="120"/>
              <w:rPr>
                <w:rFonts w:ascii="Arial" w:hAnsi="Arial" w:cs="Arial"/>
              </w:rPr>
            </w:pPr>
            <w:r w:rsidRPr="005B3887">
              <w:rPr>
                <w:rFonts w:ascii="Arial" w:hAnsi="Arial" w:cs="Arial"/>
                <w:b/>
              </w:rPr>
              <w:t>Amend</w:t>
            </w:r>
            <w:r w:rsidR="005B3887" w:rsidRPr="005B3887">
              <w:rPr>
                <w:rFonts w:ascii="Arial" w:hAnsi="Arial" w:cs="Arial"/>
                <w:b/>
              </w:rPr>
              <w:t>ed</w:t>
            </w:r>
            <w:r w:rsidRPr="005B3887">
              <w:rPr>
                <w:rFonts w:ascii="Arial" w:hAnsi="Arial" w:cs="Arial"/>
                <w:b/>
              </w:rPr>
              <w:t>:</w:t>
            </w:r>
            <w:r w:rsidRPr="005B3887">
              <w:rPr>
                <w:rFonts w:ascii="Arial" w:hAnsi="Arial" w:cs="Arial"/>
              </w:rPr>
              <w:t xml:space="preserve"> </w:t>
            </w:r>
            <w:r w:rsidR="008C6DAF" w:rsidRPr="005B3887">
              <w:rPr>
                <w:rFonts w:ascii="Arial" w:hAnsi="Arial" w:cs="Arial"/>
              </w:rPr>
              <w:t>minor wording changes for consistency with other service specifications page 2 and Section 10.</w:t>
            </w:r>
          </w:p>
        </w:tc>
        <w:tc>
          <w:tcPr>
            <w:tcW w:w="3147" w:type="dxa"/>
            <w:tcBorders>
              <w:top w:val="single" w:sz="6" w:space="0" w:color="auto"/>
              <w:left w:val="single" w:sz="6" w:space="0" w:color="auto"/>
              <w:bottom w:val="single" w:sz="4" w:space="0" w:color="auto"/>
              <w:right w:val="single" w:sz="4" w:space="0" w:color="auto"/>
            </w:tcBorders>
          </w:tcPr>
          <w:p w:rsidR="000B0C9F" w:rsidRPr="008C6DAF" w:rsidRDefault="00B352DA" w:rsidP="000B0C9F">
            <w:pPr>
              <w:spacing w:before="120" w:after="120"/>
              <w:rPr>
                <w:rFonts w:ascii="Arial" w:hAnsi="Arial" w:cs="Arial"/>
                <w:sz w:val="28"/>
                <w:szCs w:val="28"/>
              </w:rPr>
            </w:pPr>
            <w:r w:rsidRPr="008C6DAF">
              <w:rPr>
                <w:rFonts w:ascii="Arial" w:hAnsi="Arial" w:cs="Arial"/>
                <w:sz w:val="28"/>
                <w:szCs w:val="28"/>
              </w:rPr>
              <w:t>February</w:t>
            </w:r>
            <w:r w:rsidR="000B0C9F" w:rsidRPr="008C6DAF">
              <w:rPr>
                <w:rFonts w:ascii="Arial" w:hAnsi="Arial" w:cs="Arial"/>
                <w:sz w:val="28"/>
                <w:szCs w:val="28"/>
              </w:rPr>
              <w:t xml:space="preserve"> 2012</w:t>
            </w:r>
          </w:p>
        </w:tc>
      </w:tr>
      <w:tr w:rsidR="001948D4" w:rsidRPr="008C6DAF" w:rsidTr="005B3887">
        <w:tc>
          <w:tcPr>
            <w:tcW w:w="6487" w:type="dxa"/>
            <w:gridSpan w:val="2"/>
            <w:tcBorders>
              <w:top w:val="single" w:sz="6" w:space="0" w:color="auto"/>
              <w:left w:val="single" w:sz="4" w:space="0" w:color="auto"/>
              <w:bottom w:val="single" w:sz="4" w:space="0" w:color="auto"/>
              <w:right w:val="single" w:sz="6" w:space="0" w:color="auto"/>
            </w:tcBorders>
          </w:tcPr>
          <w:p w:rsidR="001948D4" w:rsidRPr="005B3887" w:rsidRDefault="001948D4" w:rsidP="000B0C9F">
            <w:pPr>
              <w:spacing w:before="120" w:after="120"/>
              <w:rPr>
                <w:rFonts w:ascii="Arial" w:hAnsi="Arial" w:cs="Arial"/>
              </w:rPr>
            </w:pPr>
            <w:r w:rsidRPr="005B3887">
              <w:rPr>
                <w:rFonts w:ascii="Arial" w:hAnsi="Arial" w:cs="Arial"/>
                <w:b/>
              </w:rPr>
              <w:t>Amended</w:t>
            </w:r>
            <w:r w:rsidRPr="005B3887">
              <w:rPr>
                <w:rFonts w:ascii="Arial" w:hAnsi="Arial" w:cs="Arial"/>
              </w:rPr>
              <w:t>: clarified reporting requirements</w:t>
            </w:r>
          </w:p>
        </w:tc>
        <w:tc>
          <w:tcPr>
            <w:tcW w:w="3147" w:type="dxa"/>
            <w:tcBorders>
              <w:top w:val="single" w:sz="6" w:space="0" w:color="auto"/>
              <w:left w:val="single" w:sz="6" w:space="0" w:color="auto"/>
              <w:bottom w:val="single" w:sz="4" w:space="0" w:color="auto"/>
              <w:right w:val="single" w:sz="4" w:space="0" w:color="auto"/>
            </w:tcBorders>
          </w:tcPr>
          <w:p w:rsidR="001948D4" w:rsidRPr="008C6DAF" w:rsidRDefault="001948D4" w:rsidP="000B0C9F">
            <w:pPr>
              <w:spacing w:before="120" w:after="120"/>
              <w:rPr>
                <w:rFonts w:ascii="Arial" w:hAnsi="Arial" w:cs="Arial"/>
                <w:sz w:val="28"/>
                <w:szCs w:val="28"/>
              </w:rPr>
            </w:pPr>
            <w:r>
              <w:rPr>
                <w:rFonts w:ascii="Arial" w:hAnsi="Arial" w:cs="Arial"/>
                <w:sz w:val="28"/>
                <w:szCs w:val="28"/>
              </w:rPr>
              <w:t>March 2013</w:t>
            </w:r>
          </w:p>
        </w:tc>
      </w:tr>
      <w:tr w:rsidR="009B5C65" w:rsidRPr="008C6DAF" w:rsidTr="005B3887">
        <w:tc>
          <w:tcPr>
            <w:tcW w:w="6487" w:type="dxa"/>
            <w:gridSpan w:val="2"/>
            <w:tcBorders>
              <w:top w:val="single" w:sz="6" w:space="0" w:color="auto"/>
              <w:left w:val="single" w:sz="4" w:space="0" w:color="auto"/>
              <w:bottom w:val="single" w:sz="4" w:space="0" w:color="auto"/>
              <w:right w:val="single" w:sz="6" w:space="0" w:color="auto"/>
            </w:tcBorders>
          </w:tcPr>
          <w:p w:rsidR="009B5C65" w:rsidRPr="005B3887" w:rsidRDefault="009B5C65" w:rsidP="000B0C9F">
            <w:pPr>
              <w:spacing w:before="120" w:after="120"/>
              <w:rPr>
                <w:rFonts w:ascii="Arial" w:hAnsi="Arial" w:cs="Arial"/>
              </w:rPr>
            </w:pPr>
            <w:r w:rsidRPr="005B3887">
              <w:rPr>
                <w:rFonts w:ascii="Arial" w:hAnsi="Arial" w:cs="Arial"/>
                <w:b/>
              </w:rPr>
              <w:t xml:space="preserve">Amended: </w:t>
            </w:r>
            <w:r w:rsidRPr="005B3887">
              <w:rPr>
                <w:rFonts w:ascii="Arial" w:hAnsi="Arial" w:cs="Arial"/>
              </w:rPr>
              <w:t>added purchase units MHA “S” series</w:t>
            </w:r>
          </w:p>
        </w:tc>
        <w:tc>
          <w:tcPr>
            <w:tcW w:w="3147" w:type="dxa"/>
            <w:tcBorders>
              <w:top w:val="single" w:sz="6" w:space="0" w:color="auto"/>
              <w:left w:val="single" w:sz="6" w:space="0" w:color="auto"/>
              <w:bottom w:val="single" w:sz="4" w:space="0" w:color="auto"/>
              <w:right w:val="single" w:sz="4" w:space="0" w:color="auto"/>
            </w:tcBorders>
          </w:tcPr>
          <w:p w:rsidR="009B5C65" w:rsidRDefault="00D946EE" w:rsidP="00D946EE">
            <w:pPr>
              <w:spacing w:before="120" w:after="120"/>
              <w:rPr>
                <w:rFonts w:ascii="Arial" w:hAnsi="Arial" w:cs="Arial"/>
                <w:sz w:val="28"/>
                <w:szCs w:val="28"/>
              </w:rPr>
            </w:pPr>
            <w:r>
              <w:rPr>
                <w:rFonts w:ascii="Arial" w:hAnsi="Arial" w:cs="Arial"/>
                <w:sz w:val="28"/>
                <w:szCs w:val="28"/>
              </w:rPr>
              <w:t>April</w:t>
            </w:r>
            <w:r w:rsidR="009B5C65">
              <w:rPr>
                <w:rFonts w:ascii="Arial" w:hAnsi="Arial" w:cs="Arial"/>
                <w:sz w:val="28"/>
                <w:szCs w:val="28"/>
              </w:rPr>
              <w:t xml:space="preserve"> 201</w:t>
            </w:r>
            <w:r>
              <w:rPr>
                <w:rFonts w:ascii="Arial" w:hAnsi="Arial" w:cs="Arial"/>
                <w:sz w:val="28"/>
                <w:szCs w:val="28"/>
              </w:rPr>
              <w:t>7</w:t>
            </w:r>
          </w:p>
        </w:tc>
      </w:tr>
      <w:tr w:rsidR="000B0C9F" w:rsidRPr="008C6DAF" w:rsidTr="005B3887">
        <w:tc>
          <w:tcPr>
            <w:tcW w:w="6487" w:type="dxa"/>
            <w:gridSpan w:val="2"/>
            <w:tcBorders>
              <w:top w:val="single" w:sz="6" w:space="0" w:color="auto"/>
              <w:left w:val="single" w:sz="4" w:space="0" w:color="auto"/>
              <w:bottom w:val="single" w:sz="4" w:space="0" w:color="auto"/>
              <w:right w:val="single" w:sz="6" w:space="0" w:color="auto"/>
            </w:tcBorders>
          </w:tcPr>
          <w:p w:rsidR="000B0C9F" w:rsidRPr="008C6DAF" w:rsidRDefault="000B0C9F" w:rsidP="000B0C9F">
            <w:pPr>
              <w:spacing w:before="120" w:after="120"/>
              <w:rPr>
                <w:rFonts w:ascii="Arial" w:hAnsi="Arial" w:cs="Arial"/>
                <w:sz w:val="28"/>
                <w:szCs w:val="28"/>
              </w:rPr>
            </w:pPr>
            <w:r w:rsidRPr="008C6DAF">
              <w:rPr>
                <w:rFonts w:ascii="Arial" w:hAnsi="Arial" w:cs="Arial"/>
                <w:sz w:val="28"/>
                <w:szCs w:val="28"/>
              </w:rPr>
              <w:t>Consideration for next Service Specification Review</w:t>
            </w:r>
          </w:p>
        </w:tc>
        <w:tc>
          <w:tcPr>
            <w:tcW w:w="3147" w:type="dxa"/>
            <w:tcBorders>
              <w:top w:val="single" w:sz="6" w:space="0" w:color="auto"/>
              <w:left w:val="single" w:sz="6" w:space="0" w:color="auto"/>
              <w:bottom w:val="single" w:sz="4" w:space="0" w:color="auto"/>
              <w:right w:val="single" w:sz="4" w:space="0" w:color="auto"/>
            </w:tcBorders>
          </w:tcPr>
          <w:p w:rsidR="000B0C9F" w:rsidRPr="008C6DAF" w:rsidRDefault="000B0C9F" w:rsidP="000B0C9F">
            <w:pPr>
              <w:spacing w:before="120" w:after="120"/>
              <w:rPr>
                <w:rFonts w:ascii="Arial" w:hAnsi="Arial" w:cs="Arial"/>
                <w:sz w:val="28"/>
                <w:szCs w:val="28"/>
              </w:rPr>
            </w:pPr>
            <w:r w:rsidRPr="008C6DAF">
              <w:rPr>
                <w:rFonts w:ascii="Arial" w:hAnsi="Arial" w:cs="Arial"/>
                <w:sz w:val="28"/>
                <w:szCs w:val="28"/>
              </w:rPr>
              <w:t>Within five years</w:t>
            </w:r>
            <w:r w:rsidRPr="008C6DAF" w:rsidDel="000B0C9F">
              <w:rPr>
                <w:rFonts w:ascii="Arial" w:hAnsi="Arial" w:cs="Arial"/>
                <w:sz w:val="28"/>
                <w:szCs w:val="28"/>
              </w:rPr>
              <w:t xml:space="preserve"> </w:t>
            </w:r>
          </w:p>
        </w:tc>
      </w:tr>
    </w:tbl>
    <w:p w:rsidR="00690392" w:rsidRDefault="006F1281" w:rsidP="006F1281">
      <w:pPr>
        <w:spacing w:before="120"/>
        <w:rPr>
          <w:rFonts w:ascii="Arial" w:hAnsi="Arial" w:cs="Arial"/>
        </w:rPr>
      </w:pPr>
      <w:bookmarkStart w:id="1" w:name="_Toc215319119"/>
      <w:r w:rsidRPr="00D946EE">
        <w:rPr>
          <w:rFonts w:ascii="Arial" w:hAnsi="Arial" w:cs="Arial"/>
          <w:b/>
        </w:rPr>
        <w:t>Note</w:t>
      </w:r>
      <w:r w:rsidRPr="008C6DAF">
        <w:rPr>
          <w:rFonts w:ascii="Arial" w:hAnsi="Arial" w:cs="Arial"/>
        </w:rPr>
        <w:t>: Contact the Service Specification Programme Manager,</w:t>
      </w:r>
      <w:r w:rsidR="009B5C65">
        <w:rPr>
          <w:rFonts w:ascii="Arial" w:hAnsi="Arial" w:cs="Arial"/>
        </w:rPr>
        <w:t xml:space="preserve"> Service Commissioning</w:t>
      </w:r>
      <w:r w:rsidRPr="008C6DAF">
        <w:rPr>
          <w:rFonts w:ascii="Arial" w:hAnsi="Arial" w:cs="Arial"/>
        </w:rPr>
        <w:t xml:space="preserve">, Ministry of Health to discuss the process and guidance available in developing new or updating and revising existing service specifications.  </w:t>
      </w:r>
    </w:p>
    <w:p w:rsidR="00684DFD" w:rsidRDefault="006F1281" w:rsidP="00D71D91">
      <w:pPr>
        <w:spacing w:before="120"/>
        <w:rPr>
          <w:rFonts w:ascii="Arial" w:hAnsi="Arial" w:cs="Arial"/>
        </w:rPr>
      </w:pPr>
      <w:r w:rsidRPr="008C6DAF">
        <w:rPr>
          <w:rFonts w:ascii="Arial" w:hAnsi="Arial" w:cs="Arial"/>
        </w:rPr>
        <w:t>Nationwide Service Framework Library</w:t>
      </w:r>
      <w:r w:rsidR="009B5C65">
        <w:rPr>
          <w:rFonts w:ascii="Arial" w:hAnsi="Arial" w:cs="Arial"/>
        </w:rPr>
        <w:t xml:space="preserve"> web site</w:t>
      </w:r>
      <w:r w:rsidRPr="008C6DAF">
        <w:rPr>
          <w:rFonts w:ascii="Arial" w:hAnsi="Arial" w:cs="Arial"/>
        </w:rPr>
        <w:t xml:space="preserve">: </w:t>
      </w:r>
      <w:hyperlink r:id="rId9" w:history="1">
        <w:r w:rsidRPr="008C6DAF">
          <w:rPr>
            <w:rStyle w:val="Hyperlink"/>
            <w:rFonts w:ascii="Arial" w:hAnsi="Arial" w:cs="Arial"/>
          </w:rPr>
          <w:t>http://www.nsfl.health.govt.nz/</w:t>
        </w:r>
      </w:hyperlink>
      <w:r w:rsidRPr="008C6DAF">
        <w:rPr>
          <w:rFonts w:ascii="Arial" w:hAnsi="Arial" w:cs="Arial"/>
        </w:rPr>
        <w:t>.</w:t>
      </w:r>
      <w:bookmarkEnd w:id="1"/>
      <w:r w:rsidR="00690392">
        <w:rPr>
          <w:rFonts w:ascii="Arial" w:hAnsi="Arial" w:cs="Arial"/>
        </w:rPr>
        <w:t xml:space="preserve"> </w:t>
      </w:r>
      <w:r w:rsidR="00684DF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01120" w:rsidRPr="008C6DAF">
        <w:tc>
          <w:tcPr>
            <w:tcW w:w="9648" w:type="dxa"/>
          </w:tcPr>
          <w:p w:rsidR="00701120" w:rsidRDefault="00701120" w:rsidP="00701120">
            <w:pPr>
              <w:jc w:val="center"/>
              <w:rPr>
                <w:rFonts w:ascii="Arial" w:hAnsi="Arial" w:cs="Arial"/>
                <w:b/>
              </w:rPr>
            </w:pPr>
            <w:r w:rsidRPr="008C6DAF">
              <w:rPr>
                <w:rFonts w:ascii="Arial" w:hAnsi="Arial" w:cs="Arial"/>
                <w:b/>
              </w:rPr>
              <w:lastRenderedPageBreak/>
              <w:t>EATING DISORDERS SERVICES</w:t>
            </w:r>
            <w:r w:rsidR="00ED7284">
              <w:rPr>
                <w:rFonts w:ascii="Arial" w:hAnsi="Arial" w:cs="Arial"/>
                <w:b/>
              </w:rPr>
              <w:t xml:space="preserve"> -</w:t>
            </w:r>
          </w:p>
          <w:p w:rsidR="00ED7284" w:rsidRPr="008C6DAF" w:rsidRDefault="00ED7284" w:rsidP="00701120">
            <w:pPr>
              <w:jc w:val="center"/>
              <w:rPr>
                <w:rFonts w:ascii="Arial" w:hAnsi="Arial" w:cs="Arial"/>
                <w:b/>
              </w:rPr>
            </w:pPr>
            <w:r w:rsidRPr="008C6DAF">
              <w:rPr>
                <w:rFonts w:ascii="Arial" w:hAnsi="Arial" w:cs="Arial"/>
                <w:b/>
              </w:rPr>
              <w:t>MENTAL HEALTH AND ADDICTION SERVICES</w:t>
            </w:r>
          </w:p>
          <w:p w:rsidR="00701120" w:rsidRPr="008C6DAF" w:rsidRDefault="00701120" w:rsidP="00881812">
            <w:pPr>
              <w:jc w:val="center"/>
              <w:rPr>
                <w:rFonts w:ascii="Arial" w:hAnsi="Arial" w:cs="Arial"/>
                <w:b/>
              </w:rPr>
            </w:pPr>
            <w:r w:rsidRPr="008C6DAF">
              <w:rPr>
                <w:rFonts w:ascii="Arial" w:hAnsi="Arial" w:cs="Arial"/>
                <w:b/>
              </w:rPr>
              <w:t>TIER TWO</w:t>
            </w:r>
            <w:r w:rsidR="00881812">
              <w:rPr>
                <w:rFonts w:ascii="Arial" w:hAnsi="Arial" w:cs="Arial"/>
                <w:b/>
              </w:rPr>
              <w:t xml:space="preserve"> </w:t>
            </w:r>
            <w:r w:rsidRPr="008C6DAF">
              <w:rPr>
                <w:rFonts w:ascii="Arial" w:hAnsi="Arial" w:cs="Arial"/>
                <w:b/>
              </w:rPr>
              <w:t>SERVICE SPECIFICATION</w:t>
            </w:r>
          </w:p>
        </w:tc>
      </w:tr>
    </w:tbl>
    <w:p w:rsidR="009B5C65" w:rsidRPr="008C6DAF" w:rsidRDefault="009B5C65" w:rsidP="009B5C65">
      <w:pPr>
        <w:spacing w:before="120"/>
        <w:rPr>
          <w:rFonts w:ascii="Arial" w:hAnsi="Arial" w:cs="Arial"/>
        </w:rPr>
      </w:pPr>
      <w:bookmarkStart w:id="2" w:name="_Toc215319123"/>
      <w:r w:rsidRPr="008C6DAF">
        <w:rPr>
          <w:rFonts w:ascii="Arial" w:hAnsi="Arial" w:cs="Arial"/>
        </w:rPr>
        <w:t xml:space="preserve">This tier two service specification is the overarching document for the </w:t>
      </w:r>
      <w:r w:rsidR="00D946EE">
        <w:rPr>
          <w:rFonts w:ascii="Arial" w:hAnsi="Arial" w:cs="Arial"/>
        </w:rPr>
        <w:t xml:space="preserve">range of tier three </w:t>
      </w:r>
      <w:r w:rsidRPr="008C6DAF">
        <w:rPr>
          <w:rFonts w:ascii="Arial" w:hAnsi="Arial" w:cs="Arial"/>
        </w:rPr>
        <w:t>Eating Disorders Services specifications.  The service specification defines the services and their objectives in the delivery of a range of eating disorders services</w:t>
      </w:r>
      <w:r w:rsidRPr="008C6DAF">
        <w:rPr>
          <w:rFonts w:ascii="Arial" w:hAnsi="Arial" w:cs="Arial"/>
          <w:bCs/>
        </w:rPr>
        <w:t xml:space="preserve">. </w:t>
      </w:r>
    </w:p>
    <w:p w:rsidR="006F1281" w:rsidRPr="008C6DAF" w:rsidRDefault="00701120" w:rsidP="006F1281">
      <w:pPr>
        <w:spacing w:before="120"/>
        <w:rPr>
          <w:rFonts w:ascii="Arial" w:hAnsi="Arial" w:cs="Arial"/>
        </w:rPr>
      </w:pPr>
      <w:r w:rsidRPr="008C6DAF">
        <w:rPr>
          <w:rFonts w:ascii="Arial" w:hAnsi="Arial" w:cs="Arial"/>
        </w:rPr>
        <w:t xml:space="preserve">This service specification </w:t>
      </w:r>
      <w:r w:rsidR="006F1281" w:rsidRPr="008C6DAF">
        <w:rPr>
          <w:rFonts w:ascii="Arial" w:hAnsi="Arial" w:cs="Arial"/>
        </w:rPr>
        <w:t>must be used in conjunction with the</w:t>
      </w:r>
      <w:r w:rsidRPr="008C6DAF">
        <w:rPr>
          <w:rFonts w:ascii="Arial" w:hAnsi="Arial" w:cs="Arial"/>
        </w:rPr>
        <w:t xml:space="preserve"> tier one Mental Health and Addiction </w:t>
      </w:r>
      <w:r w:rsidR="000B0C9F" w:rsidRPr="008C6DAF">
        <w:rPr>
          <w:rFonts w:ascii="Arial" w:hAnsi="Arial" w:cs="Arial"/>
        </w:rPr>
        <w:t xml:space="preserve">Services service specification </w:t>
      </w:r>
      <w:r w:rsidR="00D946EE">
        <w:rPr>
          <w:rFonts w:ascii="Arial" w:hAnsi="Arial" w:cs="Arial"/>
        </w:rPr>
        <w:t>and</w:t>
      </w:r>
      <w:r w:rsidRPr="008C6DAF">
        <w:rPr>
          <w:rFonts w:ascii="Arial" w:hAnsi="Arial" w:cs="Arial"/>
        </w:rPr>
        <w:t xml:space="preserve"> tier three Eating Disorders Services</w:t>
      </w:r>
      <w:r w:rsidR="00D77643">
        <w:rPr>
          <w:rFonts w:ascii="Arial" w:hAnsi="Arial" w:cs="Arial"/>
        </w:rPr>
        <w:t xml:space="preserve"> service specifications listed in section 10 below</w:t>
      </w:r>
      <w:r w:rsidR="00B352DA" w:rsidRPr="008C6DAF">
        <w:rPr>
          <w:rFonts w:ascii="Arial" w:hAnsi="Arial" w:cs="Arial"/>
        </w:rPr>
        <w:t>.</w:t>
      </w:r>
      <w:r w:rsidR="000D1176">
        <w:rPr>
          <w:rFonts w:ascii="Arial" w:hAnsi="Arial" w:cs="Arial"/>
        </w:rPr>
        <w:t xml:space="preserve"> </w:t>
      </w:r>
      <w:r w:rsidR="000D1176" w:rsidRPr="00D946EE">
        <w:rPr>
          <w:rFonts w:ascii="Arial" w:hAnsi="Arial" w:cs="Arial"/>
        </w:rPr>
        <w:t>Local DHB service specifications may also be included under this service specification as appropriate.</w:t>
      </w:r>
    </w:p>
    <w:p w:rsidR="00701120" w:rsidRPr="008C6DAF" w:rsidRDefault="00701120" w:rsidP="00701120">
      <w:pPr>
        <w:tabs>
          <w:tab w:val="left" w:pos="570"/>
        </w:tabs>
        <w:spacing w:before="240" w:after="120"/>
        <w:rPr>
          <w:rFonts w:ascii="Arial" w:hAnsi="Arial" w:cs="Arial"/>
          <w:b/>
        </w:rPr>
      </w:pPr>
      <w:bookmarkStart w:id="3" w:name="_Toc215319135"/>
      <w:bookmarkEnd w:id="2"/>
      <w:r w:rsidRPr="008C6DAF">
        <w:rPr>
          <w:rFonts w:ascii="Arial" w:hAnsi="Arial" w:cs="Arial"/>
          <w:b/>
        </w:rPr>
        <w:t>1.</w:t>
      </w:r>
      <w:r w:rsidRPr="008C6DAF">
        <w:rPr>
          <w:rFonts w:ascii="Arial" w:hAnsi="Arial" w:cs="Arial"/>
          <w:b/>
        </w:rPr>
        <w:tab/>
        <w:t>Service Definition</w:t>
      </w:r>
      <w:bookmarkEnd w:id="3"/>
    </w:p>
    <w:p w:rsidR="00701120" w:rsidRPr="008C6DAF" w:rsidRDefault="00701120" w:rsidP="006F1281">
      <w:pPr>
        <w:spacing w:before="120"/>
        <w:rPr>
          <w:rFonts w:ascii="Arial" w:hAnsi="Arial" w:cs="Arial"/>
        </w:rPr>
      </w:pPr>
      <w:r w:rsidRPr="008C6DAF">
        <w:rPr>
          <w:rFonts w:ascii="Arial" w:hAnsi="Arial" w:cs="Arial"/>
        </w:rPr>
        <w:t xml:space="preserve">The term ‘eating disorders’ encompasses a range of conditions that have overlapping psychiatric and medical symptoms.  These conditions are considered to have multi-factorial aetiology with strong genetic as well as environmental factors.  They present with complex psychological, psychiatric and medical symptoms that may involve acute and chronic complications that can be life-threatening and/or life-long.  Eating disorder diagnoses include Anorexia Nervosa, Bulimia Nervosa and Eating Disorders Not Otherwise Specified (EDNOS). </w:t>
      </w:r>
    </w:p>
    <w:p w:rsidR="00701120" w:rsidRPr="008C6DAF" w:rsidRDefault="00701120" w:rsidP="00701120">
      <w:pPr>
        <w:tabs>
          <w:tab w:val="left" w:pos="570"/>
        </w:tabs>
        <w:spacing w:before="240" w:after="120"/>
        <w:rPr>
          <w:rFonts w:ascii="Arial" w:hAnsi="Arial" w:cs="Arial"/>
          <w:b/>
        </w:rPr>
      </w:pPr>
      <w:bookmarkStart w:id="4" w:name="_Toc215319136"/>
      <w:r w:rsidRPr="008C6DAF">
        <w:rPr>
          <w:rFonts w:ascii="Arial" w:hAnsi="Arial" w:cs="Arial"/>
          <w:b/>
        </w:rPr>
        <w:t>2.</w:t>
      </w:r>
      <w:r w:rsidRPr="008C6DAF">
        <w:rPr>
          <w:rFonts w:ascii="Arial" w:hAnsi="Arial" w:cs="Arial"/>
          <w:b/>
        </w:rPr>
        <w:tab/>
        <w:t>Service Objectives</w:t>
      </w:r>
      <w:bookmarkEnd w:id="4"/>
    </w:p>
    <w:p w:rsidR="00690392" w:rsidRPr="008C6DAF" w:rsidRDefault="00690392" w:rsidP="00690392">
      <w:pPr>
        <w:spacing w:before="120" w:after="60"/>
        <w:rPr>
          <w:rFonts w:ascii="Arial" w:hAnsi="Arial" w:cs="Arial"/>
          <w:b/>
        </w:rPr>
      </w:pPr>
      <w:r w:rsidRPr="008C6DAF">
        <w:rPr>
          <w:rFonts w:ascii="Arial" w:hAnsi="Arial" w:cs="Arial"/>
          <w:b/>
        </w:rPr>
        <w:t>2.1</w:t>
      </w:r>
      <w:r w:rsidRPr="008C6DAF">
        <w:rPr>
          <w:rFonts w:ascii="Arial" w:hAnsi="Arial" w:cs="Arial"/>
          <w:b/>
        </w:rPr>
        <w:tab/>
        <w:t>General</w:t>
      </w:r>
    </w:p>
    <w:p w:rsidR="00701120" w:rsidRPr="008C6DAF" w:rsidRDefault="00701120" w:rsidP="00701120">
      <w:pPr>
        <w:spacing w:before="120"/>
        <w:rPr>
          <w:rFonts w:ascii="Arial" w:hAnsi="Arial" w:cs="Arial"/>
        </w:rPr>
      </w:pPr>
      <w:r w:rsidRPr="008C6DAF">
        <w:rPr>
          <w:rFonts w:ascii="Arial" w:hAnsi="Arial" w:cs="Arial"/>
        </w:rPr>
        <w:t xml:space="preserve">As outlined in </w:t>
      </w:r>
      <w:r w:rsidRPr="008C6DAF">
        <w:rPr>
          <w:rFonts w:ascii="Arial" w:hAnsi="Arial" w:cs="Arial"/>
          <w:i/>
        </w:rPr>
        <w:t>Future Directions for Eating Disorders Services in New Zealand</w:t>
      </w:r>
      <w:r w:rsidRPr="008C6DAF">
        <w:rPr>
          <w:rFonts w:ascii="Arial" w:hAnsi="Arial" w:cs="Arial"/>
        </w:rPr>
        <w:t xml:space="preserve"> (Ministry of Health 2008), eating disorders services will:</w:t>
      </w:r>
    </w:p>
    <w:p w:rsidR="00701120" w:rsidRPr="008C6DAF" w:rsidRDefault="00701120" w:rsidP="00701120">
      <w:pPr>
        <w:numPr>
          <w:ilvl w:val="1"/>
          <w:numId w:val="2"/>
        </w:numPr>
        <w:tabs>
          <w:tab w:val="clear" w:pos="1440"/>
          <w:tab w:val="num" w:pos="540"/>
        </w:tabs>
        <w:spacing w:before="120"/>
        <w:ind w:left="539" w:hanging="539"/>
        <w:rPr>
          <w:rFonts w:ascii="Arial" w:hAnsi="Arial" w:cs="Arial"/>
        </w:rPr>
      </w:pPr>
      <w:r w:rsidRPr="008C6DAF">
        <w:rPr>
          <w:rFonts w:ascii="Arial" w:hAnsi="Arial" w:cs="Arial"/>
        </w:rPr>
        <w:t>provide seamless service delivery across primary, secondary and tertiary settings, straight-forward transitions between services, continuity of care and appropriate discharge planning</w:t>
      </w:r>
    </w:p>
    <w:p w:rsidR="00701120" w:rsidRPr="008C6DAF" w:rsidRDefault="00701120" w:rsidP="00701120">
      <w:pPr>
        <w:numPr>
          <w:ilvl w:val="1"/>
          <w:numId w:val="2"/>
        </w:numPr>
        <w:tabs>
          <w:tab w:val="clear" w:pos="1440"/>
          <w:tab w:val="num" w:pos="540"/>
        </w:tabs>
        <w:spacing w:before="120"/>
        <w:ind w:left="540" w:hanging="540"/>
        <w:rPr>
          <w:rFonts w:ascii="Arial" w:hAnsi="Arial" w:cs="Arial"/>
        </w:rPr>
      </w:pPr>
      <w:r w:rsidRPr="008C6DAF">
        <w:rPr>
          <w:rFonts w:ascii="Arial" w:hAnsi="Arial" w:cs="Arial"/>
        </w:rPr>
        <w:t>provide effective early identification and treatment</w:t>
      </w:r>
    </w:p>
    <w:p w:rsidR="00701120" w:rsidRPr="008C6DAF" w:rsidRDefault="00701120" w:rsidP="00701120">
      <w:pPr>
        <w:numPr>
          <w:ilvl w:val="1"/>
          <w:numId w:val="2"/>
        </w:numPr>
        <w:tabs>
          <w:tab w:val="clear" w:pos="1440"/>
          <w:tab w:val="num" w:pos="540"/>
        </w:tabs>
        <w:spacing w:before="120"/>
        <w:ind w:left="540" w:hanging="540"/>
        <w:rPr>
          <w:rFonts w:ascii="Arial" w:hAnsi="Arial" w:cs="Arial"/>
        </w:rPr>
      </w:pPr>
      <w:r w:rsidRPr="008C6DAF">
        <w:rPr>
          <w:rFonts w:ascii="Arial" w:hAnsi="Arial" w:cs="Arial"/>
        </w:rPr>
        <w:t>provide a range of services and a multi-disciplinary approach to care</w:t>
      </w:r>
    </w:p>
    <w:p w:rsidR="00701120" w:rsidRPr="008C6DAF" w:rsidRDefault="00701120" w:rsidP="00701120">
      <w:pPr>
        <w:numPr>
          <w:ilvl w:val="1"/>
          <w:numId w:val="2"/>
        </w:numPr>
        <w:tabs>
          <w:tab w:val="clear" w:pos="1440"/>
          <w:tab w:val="num" w:pos="540"/>
        </w:tabs>
        <w:spacing w:before="120"/>
        <w:ind w:left="540" w:hanging="540"/>
        <w:rPr>
          <w:rFonts w:ascii="Arial" w:hAnsi="Arial" w:cs="Arial"/>
        </w:rPr>
      </w:pPr>
      <w:r w:rsidRPr="008C6DAF">
        <w:rPr>
          <w:rFonts w:ascii="Arial" w:hAnsi="Arial" w:cs="Arial"/>
        </w:rPr>
        <w:t xml:space="preserve">enable </w:t>
      </w:r>
      <w:r w:rsidR="001948D4">
        <w:rPr>
          <w:rFonts w:ascii="Arial" w:hAnsi="Arial" w:cs="Arial"/>
        </w:rPr>
        <w:t>Service User</w:t>
      </w:r>
      <w:r w:rsidRPr="008C6DAF">
        <w:rPr>
          <w:rFonts w:ascii="Arial" w:hAnsi="Arial" w:cs="Arial"/>
        </w:rPr>
        <w:t>s to actively participate in the planning of th</w:t>
      </w:r>
      <w:smartTag w:uri="urn:schemas-microsoft-com:office:smarttags" w:element="stockticker">
        <w:r w:rsidRPr="008C6DAF">
          <w:rPr>
            <w:rFonts w:ascii="Arial" w:hAnsi="Arial" w:cs="Arial"/>
          </w:rPr>
          <w:t>ei</w:t>
        </w:r>
      </w:smartTag>
      <w:r w:rsidRPr="008C6DAF">
        <w:rPr>
          <w:rFonts w:ascii="Arial" w:hAnsi="Arial" w:cs="Arial"/>
        </w:rPr>
        <w:t>r own recovery</w:t>
      </w:r>
    </w:p>
    <w:p w:rsidR="00701120" w:rsidRPr="008C6DAF" w:rsidRDefault="00701120" w:rsidP="00701120">
      <w:pPr>
        <w:numPr>
          <w:ilvl w:val="1"/>
          <w:numId w:val="2"/>
        </w:numPr>
        <w:tabs>
          <w:tab w:val="clear" w:pos="1440"/>
          <w:tab w:val="num" w:pos="540"/>
        </w:tabs>
        <w:spacing w:before="120"/>
        <w:ind w:left="540" w:hanging="540"/>
        <w:rPr>
          <w:rFonts w:ascii="Arial" w:hAnsi="Arial" w:cs="Arial"/>
        </w:rPr>
      </w:pPr>
      <w:r w:rsidRPr="008C6DAF">
        <w:rPr>
          <w:rFonts w:ascii="Arial" w:hAnsi="Arial" w:cs="Arial"/>
        </w:rPr>
        <w:t xml:space="preserve">support </w:t>
      </w:r>
      <w:r w:rsidR="001948D4">
        <w:rPr>
          <w:rFonts w:ascii="Arial" w:hAnsi="Arial" w:cs="Arial"/>
        </w:rPr>
        <w:t>Service User</w:t>
      </w:r>
      <w:r w:rsidRPr="008C6DAF">
        <w:rPr>
          <w:rFonts w:ascii="Arial" w:hAnsi="Arial" w:cs="Arial"/>
        </w:rPr>
        <w:t>s as close to th</w:t>
      </w:r>
      <w:smartTag w:uri="urn:schemas-microsoft-com:office:smarttags" w:element="stockticker">
        <w:r w:rsidRPr="008C6DAF">
          <w:rPr>
            <w:rFonts w:ascii="Arial" w:hAnsi="Arial" w:cs="Arial"/>
          </w:rPr>
          <w:t>ei</w:t>
        </w:r>
      </w:smartTag>
      <w:r w:rsidRPr="008C6DAF">
        <w:rPr>
          <w:rFonts w:ascii="Arial" w:hAnsi="Arial" w:cs="Arial"/>
        </w:rPr>
        <w:t>r home as possible.</w:t>
      </w:r>
    </w:p>
    <w:p w:rsidR="00701120" w:rsidRPr="008C6DAF" w:rsidRDefault="001948D4" w:rsidP="00701120">
      <w:pPr>
        <w:spacing w:before="120"/>
        <w:rPr>
          <w:rFonts w:ascii="Arial" w:hAnsi="Arial" w:cs="Arial"/>
        </w:rPr>
      </w:pPr>
      <w:r>
        <w:rPr>
          <w:rFonts w:ascii="Arial" w:hAnsi="Arial" w:cs="Arial"/>
        </w:rPr>
        <w:t>Service User</w:t>
      </w:r>
      <w:r w:rsidR="00701120" w:rsidRPr="008C6DAF">
        <w:rPr>
          <w:rFonts w:ascii="Arial" w:hAnsi="Arial" w:cs="Arial"/>
        </w:rPr>
        <w:t>s have indicated the factors they value from an eating disorder service, in order of priority, are:</w:t>
      </w:r>
    </w:p>
    <w:p w:rsidR="00701120" w:rsidRPr="008C6DAF" w:rsidRDefault="00701120" w:rsidP="00701120">
      <w:pPr>
        <w:numPr>
          <w:ilvl w:val="0"/>
          <w:numId w:val="1"/>
        </w:numPr>
        <w:tabs>
          <w:tab w:val="clear" w:pos="720"/>
          <w:tab w:val="num" w:pos="540"/>
        </w:tabs>
        <w:spacing w:before="120"/>
        <w:ind w:hanging="720"/>
        <w:rPr>
          <w:rFonts w:ascii="Arial" w:hAnsi="Arial" w:cs="Arial"/>
        </w:rPr>
      </w:pPr>
      <w:r w:rsidRPr="008C6DAF">
        <w:rPr>
          <w:rFonts w:ascii="Arial" w:hAnsi="Arial" w:cs="Arial"/>
        </w:rPr>
        <w:t>maintaining a sense of autonomy over their lives</w:t>
      </w:r>
    </w:p>
    <w:p w:rsidR="00701120" w:rsidRPr="008C6DAF" w:rsidRDefault="00701120" w:rsidP="00701120">
      <w:pPr>
        <w:numPr>
          <w:ilvl w:val="0"/>
          <w:numId w:val="1"/>
        </w:numPr>
        <w:tabs>
          <w:tab w:val="clear" w:pos="720"/>
          <w:tab w:val="num" w:pos="540"/>
        </w:tabs>
        <w:spacing w:before="120"/>
        <w:ind w:hanging="720"/>
        <w:rPr>
          <w:rFonts w:ascii="Arial" w:hAnsi="Arial" w:cs="Arial"/>
        </w:rPr>
      </w:pPr>
      <w:r w:rsidRPr="008C6DAF">
        <w:rPr>
          <w:rFonts w:ascii="Arial" w:hAnsi="Arial" w:cs="Arial"/>
        </w:rPr>
        <w:t>respect</w:t>
      </w:r>
    </w:p>
    <w:p w:rsidR="00701120" w:rsidRPr="008C6DAF" w:rsidRDefault="00701120" w:rsidP="00701120">
      <w:pPr>
        <w:numPr>
          <w:ilvl w:val="0"/>
          <w:numId w:val="1"/>
        </w:numPr>
        <w:tabs>
          <w:tab w:val="clear" w:pos="720"/>
          <w:tab w:val="num" w:pos="540"/>
        </w:tabs>
        <w:spacing w:before="120"/>
        <w:ind w:hanging="720"/>
        <w:rPr>
          <w:rFonts w:ascii="Arial" w:hAnsi="Arial" w:cs="Arial"/>
        </w:rPr>
      </w:pPr>
      <w:r w:rsidRPr="008C6DAF">
        <w:rPr>
          <w:rFonts w:ascii="Arial" w:hAnsi="Arial" w:cs="Arial"/>
        </w:rPr>
        <w:t>confidentiality</w:t>
      </w:r>
    </w:p>
    <w:p w:rsidR="00701120" w:rsidRPr="008C6DAF" w:rsidRDefault="00701120" w:rsidP="00701120">
      <w:pPr>
        <w:numPr>
          <w:ilvl w:val="0"/>
          <w:numId w:val="1"/>
        </w:numPr>
        <w:tabs>
          <w:tab w:val="clear" w:pos="720"/>
          <w:tab w:val="num" w:pos="540"/>
        </w:tabs>
        <w:spacing w:before="120"/>
        <w:ind w:hanging="720"/>
        <w:rPr>
          <w:rFonts w:ascii="Arial" w:hAnsi="Arial" w:cs="Arial"/>
        </w:rPr>
      </w:pPr>
      <w:r w:rsidRPr="008C6DAF">
        <w:rPr>
          <w:rFonts w:ascii="Arial" w:hAnsi="Arial" w:cs="Arial"/>
        </w:rPr>
        <w:t>anonymity</w:t>
      </w:r>
    </w:p>
    <w:p w:rsidR="00701120" w:rsidRPr="008C6DAF" w:rsidRDefault="00701120" w:rsidP="00701120">
      <w:pPr>
        <w:numPr>
          <w:ilvl w:val="0"/>
          <w:numId w:val="1"/>
        </w:numPr>
        <w:tabs>
          <w:tab w:val="clear" w:pos="720"/>
          <w:tab w:val="num" w:pos="540"/>
        </w:tabs>
        <w:spacing w:before="120"/>
        <w:ind w:hanging="720"/>
        <w:rPr>
          <w:rFonts w:ascii="Arial" w:hAnsi="Arial" w:cs="Arial"/>
        </w:rPr>
      </w:pPr>
      <w:r w:rsidRPr="008C6DAF">
        <w:rPr>
          <w:rFonts w:ascii="Arial" w:hAnsi="Arial" w:cs="Arial"/>
        </w:rPr>
        <w:t>the need for a supportive and empathetic atmosphere</w:t>
      </w:r>
    </w:p>
    <w:p w:rsidR="00701120" w:rsidRPr="008C6DAF" w:rsidRDefault="00701120" w:rsidP="00701120">
      <w:pPr>
        <w:numPr>
          <w:ilvl w:val="0"/>
          <w:numId w:val="1"/>
        </w:numPr>
        <w:tabs>
          <w:tab w:val="clear" w:pos="720"/>
          <w:tab w:val="num" w:pos="540"/>
        </w:tabs>
        <w:spacing w:before="120"/>
        <w:ind w:hanging="720"/>
        <w:rPr>
          <w:rFonts w:ascii="Arial" w:hAnsi="Arial" w:cs="Arial"/>
        </w:rPr>
      </w:pPr>
      <w:r w:rsidRPr="008C6DAF">
        <w:rPr>
          <w:rFonts w:ascii="Arial" w:hAnsi="Arial" w:cs="Arial"/>
        </w:rPr>
        <w:t>being recognised and treated as an individual.</w:t>
      </w:r>
    </w:p>
    <w:p w:rsidR="00701120" w:rsidRPr="008C6DAF" w:rsidRDefault="00701120" w:rsidP="00701120">
      <w:pPr>
        <w:spacing w:before="120"/>
        <w:rPr>
          <w:rFonts w:ascii="Arial" w:hAnsi="Arial" w:cs="Arial"/>
        </w:rPr>
      </w:pPr>
      <w:r w:rsidRPr="008C6DAF">
        <w:rPr>
          <w:rFonts w:ascii="Arial" w:hAnsi="Arial" w:cs="Arial"/>
        </w:rPr>
        <w:t>Eating disorders services should actively support and promote these service values.</w:t>
      </w:r>
    </w:p>
    <w:p w:rsidR="00701120" w:rsidRPr="008C6DAF" w:rsidRDefault="00701120" w:rsidP="00701120">
      <w:pPr>
        <w:autoSpaceDE w:val="0"/>
        <w:autoSpaceDN w:val="0"/>
        <w:adjustRightInd w:val="0"/>
        <w:spacing w:before="120" w:line="240" w:lineRule="atLeast"/>
        <w:rPr>
          <w:rFonts w:ascii="Arial" w:hAnsi="Arial" w:cs="Arial"/>
        </w:rPr>
      </w:pPr>
      <w:r w:rsidRPr="008C6DAF">
        <w:rPr>
          <w:rFonts w:ascii="Arial" w:hAnsi="Arial" w:cs="Arial"/>
        </w:rPr>
        <w:lastRenderedPageBreak/>
        <w:t xml:space="preserve">The full continuum of care for eating disorders has been well recognised in best practice guidelines.  It is expected that this continuum will be available in line with current best practice.  Family and </w:t>
      </w:r>
      <w:proofErr w:type="spellStart"/>
      <w:r w:rsidRPr="008C6DAF">
        <w:rPr>
          <w:rFonts w:ascii="Arial" w:hAnsi="Arial" w:cs="Arial"/>
        </w:rPr>
        <w:t>whānau</w:t>
      </w:r>
      <w:proofErr w:type="spellEnd"/>
      <w:r w:rsidRPr="008C6DAF">
        <w:rPr>
          <w:rFonts w:ascii="Arial" w:hAnsi="Arial" w:cs="Arial"/>
        </w:rPr>
        <w:t xml:space="preserve"> often play a vital role in seeking treatment for and supporting the </w:t>
      </w:r>
      <w:r w:rsidR="001948D4">
        <w:rPr>
          <w:rFonts w:ascii="Arial" w:hAnsi="Arial" w:cs="Arial"/>
        </w:rPr>
        <w:t>Service User</w:t>
      </w:r>
      <w:r w:rsidRPr="008C6DAF">
        <w:rPr>
          <w:rFonts w:ascii="Arial" w:hAnsi="Arial" w:cs="Arial"/>
        </w:rPr>
        <w:t xml:space="preserve">.  Therefore it is important they are involved in the whole process from assessment and treatment to transition between and out of services. </w:t>
      </w:r>
    </w:p>
    <w:p w:rsidR="00701120" w:rsidRPr="008C6DAF" w:rsidRDefault="00701120" w:rsidP="00701120">
      <w:pPr>
        <w:spacing w:before="120"/>
        <w:rPr>
          <w:rFonts w:ascii="Arial" w:hAnsi="Arial" w:cs="Arial"/>
        </w:rPr>
      </w:pPr>
      <w:r w:rsidRPr="008C6DAF">
        <w:rPr>
          <w:rFonts w:ascii="Arial" w:hAnsi="Arial" w:cs="Arial"/>
        </w:rPr>
        <w:t xml:space="preserve">It is likely that the range of eating disorders services will be delivered by different providers, often in different areas.  Clear communication and referral processes will help to ensure that services work collaboratively to provide seamless services.  Long duration of treatment and relapse is common in eating disorders and services need to appropriately transition </w:t>
      </w:r>
      <w:r w:rsidR="001948D4">
        <w:rPr>
          <w:rFonts w:ascii="Arial" w:hAnsi="Arial" w:cs="Arial"/>
        </w:rPr>
        <w:t>Service User</w:t>
      </w:r>
      <w:r w:rsidRPr="008C6DAF">
        <w:rPr>
          <w:rFonts w:ascii="Arial" w:hAnsi="Arial" w:cs="Arial"/>
        </w:rPr>
        <w:t>s, while still retaining flexibility to re-engage with them if and when necessary.</w:t>
      </w:r>
    </w:p>
    <w:p w:rsidR="00701120" w:rsidRPr="008C6DAF" w:rsidRDefault="00701120" w:rsidP="00701120">
      <w:pPr>
        <w:spacing w:before="120" w:after="60"/>
        <w:rPr>
          <w:rFonts w:ascii="Arial" w:hAnsi="Arial" w:cs="Arial"/>
          <w:b/>
        </w:rPr>
      </w:pPr>
      <w:bookmarkStart w:id="5" w:name="_Toc215319138"/>
      <w:r w:rsidRPr="008C6DAF">
        <w:rPr>
          <w:rFonts w:ascii="Arial" w:hAnsi="Arial" w:cs="Arial"/>
          <w:b/>
        </w:rPr>
        <w:t>2.2</w:t>
      </w:r>
      <w:r w:rsidRPr="008C6DAF">
        <w:rPr>
          <w:rFonts w:ascii="Arial" w:hAnsi="Arial" w:cs="Arial"/>
          <w:b/>
        </w:rPr>
        <w:tab/>
        <w:t>M</w:t>
      </w:r>
      <w:r w:rsidRPr="008C6DAF">
        <w:rPr>
          <w:rFonts w:ascii="Arial" w:hAnsi="Arial" w:cs="Arial"/>
          <w:b/>
          <w:lang w:val="en-US"/>
        </w:rPr>
        <w:t>ā</w:t>
      </w:r>
      <w:proofErr w:type="spellStart"/>
      <w:r w:rsidRPr="008C6DAF">
        <w:rPr>
          <w:rFonts w:ascii="Arial" w:hAnsi="Arial" w:cs="Arial"/>
          <w:b/>
        </w:rPr>
        <w:t>ori</w:t>
      </w:r>
      <w:proofErr w:type="spellEnd"/>
      <w:r w:rsidRPr="008C6DAF">
        <w:rPr>
          <w:rFonts w:ascii="Arial" w:hAnsi="Arial" w:cs="Arial"/>
          <w:b/>
        </w:rPr>
        <w:t xml:space="preserve"> Health</w:t>
      </w:r>
      <w:bookmarkEnd w:id="5"/>
    </w:p>
    <w:p w:rsidR="006F1281" w:rsidRPr="008C6DAF" w:rsidRDefault="006F1281" w:rsidP="006F1281">
      <w:pPr>
        <w:spacing w:before="120"/>
        <w:rPr>
          <w:rFonts w:ascii="Arial" w:hAnsi="Arial" w:cs="Arial"/>
        </w:rPr>
      </w:pPr>
      <w:bookmarkStart w:id="6" w:name="_Toc215319139"/>
      <w:r w:rsidRPr="008C6DAF">
        <w:rPr>
          <w:rFonts w:ascii="Arial" w:hAnsi="Arial" w:cs="Arial"/>
        </w:rPr>
        <w:t xml:space="preserve">Refer to the tier one Mental Health and Addiction Services service specification. </w:t>
      </w:r>
    </w:p>
    <w:p w:rsidR="00701120" w:rsidRPr="008C6DAF" w:rsidRDefault="00701120" w:rsidP="00701120">
      <w:pPr>
        <w:numPr>
          <w:ilvl w:val="0"/>
          <w:numId w:val="3"/>
        </w:numPr>
        <w:tabs>
          <w:tab w:val="clear" w:pos="720"/>
          <w:tab w:val="num" w:pos="570"/>
        </w:tabs>
        <w:spacing w:before="240" w:after="120"/>
        <w:ind w:left="573" w:hanging="573"/>
        <w:rPr>
          <w:rFonts w:ascii="Arial" w:hAnsi="Arial" w:cs="Arial"/>
          <w:b/>
        </w:rPr>
      </w:pPr>
      <w:bookmarkStart w:id="7" w:name="_Toc215319140"/>
      <w:bookmarkEnd w:id="6"/>
      <w:r w:rsidRPr="008C6DAF">
        <w:rPr>
          <w:rFonts w:ascii="Arial" w:hAnsi="Arial" w:cs="Arial"/>
          <w:b/>
        </w:rPr>
        <w:t>Service Users</w:t>
      </w:r>
      <w:bookmarkEnd w:id="7"/>
    </w:p>
    <w:p w:rsidR="00701120" w:rsidRPr="008C6DAF" w:rsidRDefault="00701120" w:rsidP="00701120">
      <w:pPr>
        <w:spacing w:after="120"/>
        <w:rPr>
          <w:rFonts w:ascii="Arial" w:hAnsi="Arial" w:cs="Arial"/>
        </w:rPr>
      </w:pPr>
      <w:r w:rsidRPr="008C6DAF">
        <w:rPr>
          <w:rFonts w:ascii="Arial" w:hAnsi="Arial" w:cs="Arial"/>
        </w:rPr>
        <w:t xml:space="preserve">The </w:t>
      </w:r>
      <w:r w:rsidR="001948D4">
        <w:rPr>
          <w:rFonts w:ascii="Arial" w:hAnsi="Arial" w:cs="Arial"/>
        </w:rPr>
        <w:t>Service User</w:t>
      </w:r>
      <w:r w:rsidRPr="008C6DAF">
        <w:rPr>
          <w:rFonts w:ascii="Arial" w:hAnsi="Arial" w:cs="Arial"/>
        </w:rPr>
        <w:t>s are those eligible people of any age.</w:t>
      </w:r>
    </w:p>
    <w:p w:rsidR="00701120" w:rsidRPr="008C6DAF" w:rsidRDefault="00701120" w:rsidP="00701120">
      <w:pPr>
        <w:rPr>
          <w:rFonts w:ascii="Arial" w:hAnsi="Arial" w:cs="Arial"/>
        </w:rPr>
      </w:pPr>
      <w:r w:rsidRPr="008C6DAF">
        <w:rPr>
          <w:rFonts w:ascii="Arial" w:hAnsi="Arial" w:cs="Arial"/>
        </w:rPr>
        <w:t>Eating disorders in children and young adolescents differ from older age groups because of differences in physiology, development and cognition.  Early intervention along with involving and supporting families/</w:t>
      </w:r>
      <w:proofErr w:type="spellStart"/>
      <w:r w:rsidRPr="008C6DAF">
        <w:rPr>
          <w:rFonts w:ascii="Arial" w:hAnsi="Arial" w:cs="Arial"/>
        </w:rPr>
        <w:t>whānau</w:t>
      </w:r>
      <w:proofErr w:type="spellEnd"/>
      <w:r w:rsidRPr="008C6DAF">
        <w:rPr>
          <w:rFonts w:ascii="Arial" w:hAnsi="Arial" w:cs="Arial"/>
        </w:rPr>
        <w:t xml:space="preserve"> in treatment is crucial. </w:t>
      </w:r>
    </w:p>
    <w:p w:rsidR="00701120" w:rsidRPr="008C6DAF" w:rsidRDefault="00701120" w:rsidP="00701120">
      <w:pPr>
        <w:tabs>
          <w:tab w:val="left" w:pos="570"/>
        </w:tabs>
        <w:spacing w:before="240"/>
        <w:rPr>
          <w:rFonts w:ascii="Arial" w:hAnsi="Arial" w:cs="Arial"/>
          <w:b/>
        </w:rPr>
      </w:pPr>
      <w:bookmarkStart w:id="8" w:name="_Toc215319141"/>
      <w:r w:rsidRPr="008C6DAF">
        <w:rPr>
          <w:rFonts w:ascii="Arial" w:hAnsi="Arial" w:cs="Arial"/>
          <w:b/>
        </w:rPr>
        <w:t>4.</w:t>
      </w:r>
      <w:r w:rsidRPr="008C6DAF">
        <w:rPr>
          <w:rFonts w:ascii="Arial" w:hAnsi="Arial" w:cs="Arial"/>
          <w:b/>
        </w:rPr>
        <w:tab/>
        <w:t>Access</w:t>
      </w:r>
      <w:bookmarkEnd w:id="8"/>
    </w:p>
    <w:p w:rsidR="00701120" w:rsidRPr="008C6DAF" w:rsidRDefault="00701120" w:rsidP="00701120">
      <w:pPr>
        <w:spacing w:before="120"/>
        <w:rPr>
          <w:rFonts w:ascii="Arial" w:hAnsi="Arial" w:cs="Arial"/>
        </w:rPr>
      </w:pPr>
      <w:r w:rsidRPr="008C6DAF">
        <w:rPr>
          <w:rFonts w:ascii="Arial" w:hAnsi="Arial" w:cs="Arial"/>
        </w:rPr>
        <w:t>Referral criteria and processes to access Eating Disorders services are specific to the Service provided and are documented in tier three service specifications.</w:t>
      </w:r>
    </w:p>
    <w:p w:rsidR="00701120" w:rsidRPr="008C6DAF" w:rsidRDefault="00701120" w:rsidP="00701120">
      <w:pPr>
        <w:tabs>
          <w:tab w:val="left" w:pos="570"/>
        </w:tabs>
        <w:spacing w:before="120"/>
        <w:rPr>
          <w:rFonts w:ascii="Arial" w:hAnsi="Arial" w:cs="Arial"/>
          <w:b/>
        </w:rPr>
      </w:pPr>
      <w:bookmarkStart w:id="9" w:name="_Toc215319145"/>
      <w:r w:rsidRPr="008C6DAF">
        <w:rPr>
          <w:rFonts w:ascii="Arial" w:hAnsi="Arial" w:cs="Arial"/>
          <w:b/>
        </w:rPr>
        <w:t>5.</w:t>
      </w:r>
      <w:r w:rsidRPr="008C6DAF">
        <w:rPr>
          <w:rFonts w:ascii="Arial" w:hAnsi="Arial" w:cs="Arial"/>
          <w:b/>
        </w:rPr>
        <w:tab/>
        <w:t>Service Components</w:t>
      </w:r>
      <w:bookmarkEnd w:id="9"/>
    </w:p>
    <w:p w:rsidR="00701120" w:rsidRPr="008C6DAF" w:rsidRDefault="00701120" w:rsidP="00701120">
      <w:pPr>
        <w:tabs>
          <w:tab w:val="left" w:pos="570"/>
        </w:tabs>
        <w:spacing w:before="120"/>
        <w:rPr>
          <w:rFonts w:ascii="Arial" w:hAnsi="Arial" w:cs="Arial"/>
          <w:b/>
        </w:rPr>
      </w:pPr>
      <w:bookmarkStart w:id="10" w:name="_Toc215319146"/>
      <w:r w:rsidRPr="008C6DAF">
        <w:rPr>
          <w:rFonts w:ascii="Arial" w:hAnsi="Arial" w:cs="Arial"/>
          <w:b/>
        </w:rPr>
        <w:t>5.1</w:t>
      </w:r>
      <w:r w:rsidRPr="008C6DAF">
        <w:rPr>
          <w:rFonts w:ascii="Arial" w:hAnsi="Arial" w:cs="Arial"/>
          <w:b/>
        </w:rPr>
        <w:tab/>
        <w:t>Processes</w:t>
      </w:r>
      <w:bookmarkEnd w:id="10"/>
    </w:p>
    <w:p w:rsidR="00701120" w:rsidRPr="008C6DAF" w:rsidRDefault="00701120" w:rsidP="00701120">
      <w:pPr>
        <w:spacing w:before="120"/>
        <w:rPr>
          <w:rFonts w:ascii="Arial" w:hAnsi="Arial" w:cs="Arial"/>
        </w:rPr>
      </w:pPr>
      <w:r w:rsidRPr="008C6DAF">
        <w:rPr>
          <w:rFonts w:ascii="Arial" w:hAnsi="Arial" w:cs="Arial"/>
        </w:rPr>
        <w:t>The following processes apply but are not limited to: assessment; treatment, intervention and support; review; and support.</w:t>
      </w:r>
    </w:p>
    <w:p w:rsidR="00701120" w:rsidRPr="008C6DAF" w:rsidRDefault="00701120" w:rsidP="00701120">
      <w:pPr>
        <w:tabs>
          <w:tab w:val="left" w:pos="570"/>
        </w:tabs>
        <w:spacing w:before="120" w:after="60"/>
        <w:rPr>
          <w:rFonts w:ascii="Arial" w:hAnsi="Arial" w:cs="Arial"/>
          <w:b/>
        </w:rPr>
      </w:pPr>
      <w:bookmarkStart w:id="11" w:name="_Toc215319147"/>
      <w:r w:rsidRPr="008C6DAF">
        <w:rPr>
          <w:rFonts w:ascii="Arial" w:hAnsi="Arial" w:cs="Arial"/>
          <w:b/>
        </w:rPr>
        <w:t>5.2</w:t>
      </w:r>
      <w:r w:rsidRPr="008C6DAF">
        <w:rPr>
          <w:rFonts w:ascii="Arial" w:hAnsi="Arial" w:cs="Arial"/>
          <w:b/>
        </w:rPr>
        <w:tab/>
        <w:t>Settings</w:t>
      </w:r>
      <w:bookmarkEnd w:id="11"/>
    </w:p>
    <w:p w:rsidR="00701120" w:rsidRPr="008C6DAF" w:rsidRDefault="00701120" w:rsidP="00701120">
      <w:pPr>
        <w:spacing w:before="120"/>
        <w:rPr>
          <w:rFonts w:ascii="Arial" w:hAnsi="Arial" w:cs="Arial"/>
        </w:rPr>
      </w:pPr>
      <w:r w:rsidRPr="008C6DAF">
        <w:rPr>
          <w:rFonts w:ascii="Arial" w:hAnsi="Arial" w:cs="Arial"/>
        </w:rPr>
        <w:t xml:space="preserve">The treatment environment may be different for children and adolescents and, wherever possible, children and adolescents should be separated from adult </w:t>
      </w:r>
      <w:r w:rsidR="001948D4">
        <w:rPr>
          <w:rFonts w:ascii="Arial" w:hAnsi="Arial" w:cs="Arial"/>
        </w:rPr>
        <w:t>Service User</w:t>
      </w:r>
      <w:r w:rsidRPr="008C6DAF">
        <w:rPr>
          <w:rFonts w:ascii="Arial" w:hAnsi="Arial" w:cs="Arial"/>
        </w:rPr>
        <w:t>s.</w:t>
      </w:r>
    </w:p>
    <w:p w:rsidR="00701120" w:rsidRPr="008C6DAF" w:rsidRDefault="00701120" w:rsidP="00701120">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8C6DAF">
        <w:rPr>
          <w:rFonts w:ascii="Arial" w:hAnsi="Arial" w:cs="Arial"/>
        </w:rPr>
        <w:t>Typically, children (under 15 years old) need to be treated in a paediatric/child and adolescent mental health service (CAMHS) environment with specialist eating disorders liaison/consultation/support.  Older adolescents (15 to 19 years old) should be treated in a child, adolescence and youth and/or eating disorders environment, and adults should be treated by the eating disorders and community mental health team.  There needs to be flexibility based on developmental need rather than age.</w:t>
      </w:r>
    </w:p>
    <w:p w:rsidR="00701120" w:rsidRPr="008C6DAF" w:rsidRDefault="00701120" w:rsidP="00D946EE">
      <w:pPr>
        <w:tabs>
          <w:tab w:val="left" w:pos="570"/>
        </w:tabs>
        <w:spacing w:before="120"/>
        <w:rPr>
          <w:rFonts w:ascii="Arial" w:hAnsi="Arial" w:cs="Arial"/>
          <w:b/>
        </w:rPr>
      </w:pPr>
      <w:bookmarkStart w:id="12" w:name="_Toc215319151"/>
      <w:r w:rsidRPr="008C6DAF">
        <w:rPr>
          <w:rFonts w:ascii="Arial" w:hAnsi="Arial" w:cs="Arial"/>
          <w:b/>
        </w:rPr>
        <w:t>5.3</w:t>
      </w:r>
      <w:r w:rsidRPr="008C6DAF">
        <w:rPr>
          <w:rFonts w:ascii="Arial" w:hAnsi="Arial" w:cs="Arial"/>
          <w:b/>
        </w:rPr>
        <w:tab/>
        <w:t xml:space="preserve">Key Inputs </w:t>
      </w:r>
      <w:bookmarkEnd w:id="12"/>
    </w:p>
    <w:p w:rsidR="00701120" w:rsidRPr="008C6DAF" w:rsidRDefault="00701120" w:rsidP="00701120">
      <w:pPr>
        <w:spacing w:before="120"/>
        <w:rPr>
          <w:rFonts w:ascii="Arial" w:hAnsi="Arial" w:cs="Arial"/>
        </w:rPr>
      </w:pPr>
      <w:r w:rsidRPr="008C6DAF">
        <w:rPr>
          <w:rFonts w:ascii="Arial" w:hAnsi="Arial" w:cs="Arial"/>
        </w:rPr>
        <w:t>Staff as specified in the tier three service specifications.</w:t>
      </w:r>
      <w:bookmarkStart w:id="13" w:name="_Toc215319152"/>
    </w:p>
    <w:p w:rsidR="00D946EE" w:rsidRDefault="00D946EE">
      <w:pPr>
        <w:rPr>
          <w:rFonts w:ascii="Arial" w:hAnsi="Arial" w:cs="Arial"/>
          <w:b/>
        </w:rPr>
      </w:pPr>
      <w:bookmarkStart w:id="14" w:name="_Toc215319155"/>
      <w:bookmarkEnd w:id="13"/>
      <w:r>
        <w:rPr>
          <w:rFonts w:ascii="Arial" w:hAnsi="Arial" w:cs="Arial"/>
          <w:b/>
        </w:rPr>
        <w:br w:type="page"/>
      </w:r>
    </w:p>
    <w:p w:rsidR="00701120" w:rsidRPr="008C6DAF" w:rsidRDefault="00701120" w:rsidP="00701120">
      <w:pPr>
        <w:tabs>
          <w:tab w:val="left" w:pos="570"/>
        </w:tabs>
        <w:spacing w:before="240" w:after="120"/>
        <w:rPr>
          <w:rFonts w:ascii="Arial" w:hAnsi="Arial" w:cs="Arial"/>
          <w:b/>
        </w:rPr>
      </w:pPr>
      <w:r w:rsidRPr="008C6DAF">
        <w:rPr>
          <w:rFonts w:ascii="Arial" w:hAnsi="Arial" w:cs="Arial"/>
          <w:b/>
        </w:rPr>
        <w:lastRenderedPageBreak/>
        <w:t>6.</w:t>
      </w:r>
      <w:r w:rsidRPr="008C6DAF">
        <w:rPr>
          <w:rFonts w:ascii="Arial" w:hAnsi="Arial" w:cs="Arial"/>
          <w:b/>
        </w:rPr>
        <w:tab/>
        <w:t xml:space="preserve">Service </w:t>
      </w:r>
      <w:bookmarkEnd w:id="14"/>
      <w:r w:rsidRPr="008C6DAF">
        <w:rPr>
          <w:rFonts w:ascii="Arial" w:hAnsi="Arial" w:cs="Arial"/>
          <w:b/>
        </w:rPr>
        <w:t>Linkages</w:t>
      </w:r>
    </w:p>
    <w:p w:rsidR="00701120" w:rsidRPr="008C6DAF" w:rsidRDefault="00701120" w:rsidP="00701120">
      <w:pPr>
        <w:spacing w:before="120" w:after="120"/>
        <w:rPr>
          <w:rFonts w:ascii="Arial" w:hAnsi="Arial" w:cs="Arial"/>
        </w:rPr>
      </w:pPr>
      <w:bookmarkStart w:id="15" w:name="_Toc215319158"/>
      <w:r w:rsidRPr="008C6DAF">
        <w:rPr>
          <w:rFonts w:ascii="Arial" w:hAnsi="Arial" w:cs="Arial"/>
        </w:rPr>
        <w:t>Linkages include, but are not limited to the following:</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2813"/>
        <w:gridCol w:w="4071"/>
      </w:tblGrid>
      <w:tr w:rsidR="00701120" w:rsidRPr="008C6DAF" w:rsidTr="006F1281">
        <w:trPr>
          <w:tblHeader/>
        </w:trPr>
        <w:tc>
          <w:tcPr>
            <w:tcW w:w="1425" w:type="pct"/>
            <w:shd w:val="clear" w:color="auto" w:fill="D9D9D9"/>
          </w:tcPr>
          <w:p w:rsidR="00701120" w:rsidRPr="008C6DAF" w:rsidRDefault="00701120" w:rsidP="00701120">
            <w:pPr>
              <w:spacing w:before="120"/>
              <w:rPr>
                <w:rFonts w:ascii="Arial" w:hAnsi="Arial" w:cs="Arial"/>
                <w:b/>
              </w:rPr>
            </w:pPr>
            <w:bookmarkStart w:id="16" w:name="_Toc215319159"/>
            <w:r w:rsidRPr="008C6DAF">
              <w:rPr>
                <w:rFonts w:ascii="Arial" w:hAnsi="Arial" w:cs="Arial"/>
                <w:b/>
              </w:rPr>
              <w:t>Service Provider</w:t>
            </w:r>
            <w:bookmarkEnd w:id="16"/>
          </w:p>
        </w:tc>
        <w:tc>
          <w:tcPr>
            <w:tcW w:w="1461" w:type="pct"/>
            <w:shd w:val="clear" w:color="auto" w:fill="D9D9D9"/>
          </w:tcPr>
          <w:p w:rsidR="00701120" w:rsidRPr="008C6DAF" w:rsidDel="00E3468B" w:rsidRDefault="00701120" w:rsidP="00701120">
            <w:pPr>
              <w:spacing w:before="120"/>
              <w:rPr>
                <w:rFonts w:ascii="Arial" w:hAnsi="Arial" w:cs="Arial"/>
                <w:b/>
              </w:rPr>
            </w:pPr>
            <w:bookmarkStart w:id="17" w:name="_Toc215319160"/>
            <w:r w:rsidRPr="008C6DAF">
              <w:rPr>
                <w:rFonts w:ascii="Arial" w:hAnsi="Arial" w:cs="Arial"/>
                <w:b/>
              </w:rPr>
              <w:t>Nature of Linkage</w:t>
            </w:r>
            <w:bookmarkEnd w:id="17"/>
          </w:p>
        </w:tc>
        <w:tc>
          <w:tcPr>
            <w:tcW w:w="2114" w:type="pct"/>
            <w:shd w:val="clear" w:color="auto" w:fill="D9D9D9"/>
          </w:tcPr>
          <w:p w:rsidR="00701120" w:rsidRPr="008C6DAF" w:rsidRDefault="00701120" w:rsidP="00701120">
            <w:pPr>
              <w:spacing w:before="120"/>
              <w:rPr>
                <w:rFonts w:ascii="Arial" w:hAnsi="Arial" w:cs="Arial"/>
                <w:b/>
              </w:rPr>
            </w:pPr>
            <w:bookmarkStart w:id="18" w:name="_Toc215319161"/>
            <w:r w:rsidRPr="008C6DAF">
              <w:rPr>
                <w:rFonts w:ascii="Arial" w:hAnsi="Arial" w:cs="Arial"/>
                <w:b/>
              </w:rPr>
              <w:t>Accountabilities</w:t>
            </w:r>
            <w:bookmarkEnd w:id="18"/>
          </w:p>
        </w:tc>
      </w:tr>
      <w:tr w:rsidR="00701120" w:rsidRPr="008C6DAF" w:rsidTr="006F1281">
        <w:tc>
          <w:tcPr>
            <w:tcW w:w="1425" w:type="pct"/>
          </w:tcPr>
          <w:p w:rsidR="00701120" w:rsidRPr="008C6DAF" w:rsidRDefault="00701120" w:rsidP="006F1281">
            <w:pPr>
              <w:spacing w:before="60" w:after="60"/>
              <w:rPr>
                <w:rFonts w:ascii="Arial" w:hAnsi="Arial" w:cs="Arial"/>
              </w:rPr>
            </w:pPr>
            <w:r w:rsidRPr="008C6DAF">
              <w:rPr>
                <w:rFonts w:ascii="Arial" w:hAnsi="Arial" w:cs="Arial"/>
              </w:rPr>
              <w:t>Primary Health Care</w:t>
            </w:r>
          </w:p>
        </w:tc>
        <w:tc>
          <w:tcPr>
            <w:tcW w:w="1461" w:type="pct"/>
          </w:tcPr>
          <w:p w:rsidR="00701120" w:rsidRPr="008C6DAF" w:rsidRDefault="00701120" w:rsidP="006F1281">
            <w:pPr>
              <w:spacing w:before="60" w:after="60"/>
              <w:rPr>
                <w:rFonts w:ascii="Arial" w:hAnsi="Arial" w:cs="Arial"/>
              </w:rPr>
            </w:pPr>
            <w:r w:rsidRPr="008C6DAF">
              <w:rPr>
                <w:rFonts w:ascii="Arial" w:hAnsi="Arial" w:cs="Arial"/>
              </w:rPr>
              <w:t>Referrer</w:t>
            </w:r>
          </w:p>
          <w:p w:rsidR="00701120" w:rsidRPr="008C6DAF" w:rsidRDefault="00701120" w:rsidP="006F1281">
            <w:pPr>
              <w:spacing w:before="60" w:after="60"/>
              <w:rPr>
                <w:rFonts w:ascii="Arial" w:hAnsi="Arial" w:cs="Arial"/>
              </w:rPr>
            </w:pPr>
            <w:r w:rsidRPr="008C6DAF">
              <w:rPr>
                <w:rFonts w:ascii="Arial" w:hAnsi="Arial" w:cs="Arial"/>
              </w:rPr>
              <w:t xml:space="preserve">Care Provider at Primary Level </w:t>
            </w:r>
          </w:p>
        </w:tc>
        <w:tc>
          <w:tcPr>
            <w:tcW w:w="2114" w:type="pct"/>
          </w:tcPr>
          <w:p w:rsidR="00701120" w:rsidRPr="008C6DAF" w:rsidRDefault="00701120" w:rsidP="006F1281">
            <w:pPr>
              <w:spacing w:before="60" w:after="60"/>
              <w:rPr>
                <w:rFonts w:ascii="Arial" w:hAnsi="Arial" w:cs="Arial"/>
              </w:rPr>
            </w:pPr>
            <w:r w:rsidRPr="008C6DAF">
              <w:rPr>
                <w:rFonts w:ascii="Arial" w:hAnsi="Arial" w:cs="Arial"/>
              </w:rPr>
              <w:t>Early identification of an Eating Disorder and referral to secondary service</w:t>
            </w:r>
          </w:p>
          <w:p w:rsidR="00701120" w:rsidRPr="008C6DAF" w:rsidRDefault="00701120" w:rsidP="006F1281">
            <w:pPr>
              <w:spacing w:before="60" w:after="60"/>
              <w:rPr>
                <w:rFonts w:ascii="Arial" w:hAnsi="Arial" w:cs="Arial"/>
              </w:rPr>
            </w:pPr>
            <w:r w:rsidRPr="008C6DAF">
              <w:rPr>
                <w:rFonts w:ascii="Arial" w:hAnsi="Arial" w:cs="Arial"/>
              </w:rPr>
              <w:t>Management of care at a primary level</w:t>
            </w:r>
          </w:p>
        </w:tc>
      </w:tr>
      <w:tr w:rsidR="00701120" w:rsidRPr="008C6DAF" w:rsidTr="006F1281">
        <w:tc>
          <w:tcPr>
            <w:tcW w:w="1425" w:type="pct"/>
          </w:tcPr>
          <w:p w:rsidR="00701120" w:rsidRPr="008C6DAF" w:rsidRDefault="00701120" w:rsidP="006F1281">
            <w:pPr>
              <w:spacing w:before="60" w:after="60"/>
              <w:rPr>
                <w:rFonts w:ascii="Arial" w:hAnsi="Arial" w:cs="Arial"/>
              </w:rPr>
            </w:pPr>
            <w:r w:rsidRPr="008C6DAF">
              <w:rPr>
                <w:rFonts w:ascii="Arial" w:hAnsi="Arial" w:cs="Arial"/>
              </w:rPr>
              <w:t xml:space="preserve">Personal Health/General Hospital </w:t>
            </w:r>
          </w:p>
        </w:tc>
        <w:tc>
          <w:tcPr>
            <w:tcW w:w="1461" w:type="pct"/>
          </w:tcPr>
          <w:p w:rsidR="00701120" w:rsidRPr="008C6DAF" w:rsidRDefault="00701120" w:rsidP="006F1281">
            <w:pPr>
              <w:spacing w:before="60" w:after="60"/>
              <w:rPr>
                <w:rFonts w:ascii="Arial" w:hAnsi="Arial" w:cs="Arial"/>
              </w:rPr>
            </w:pPr>
            <w:r w:rsidRPr="008C6DAF">
              <w:rPr>
                <w:rFonts w:ascii="Arial" w:hAnsi="Arial" w:cs="Arial"/>
              </w:rPr>
              <w:t xml:space="preserve">Provide care for </w:t>
            </w:r>
            <w:r w:rsidR="001948D4">
              <w:rPr>
                <w:rFonts w:ascii="Arial" w:hAnsi="Arial" w:cs="Arial"/>
              </w:rPr>
              <w:t>Service User</w:t>
            </w:r>
            <w:r w:rsidRPr="008C6DAF">
              <w:rPr>
                <w:rFonts w:ascii="Arial" w:hAnsi="Arial" w:cs="Arial"/>
              </w:rPr>
              <w:t>s physical/ medical needs</w:t>
            </w:r>
          </w:p>
        </w:tc>
        <w:tc>
          <w:tcPr>
            <w:tcW w:w="2114" w:type="pct"/>
          </w:tcPr>
          <w:p w:rsidR="00701120" w:rsidRPr="008C6DAF" w:rsidRDefault="00701120" w:rsidP="006F1281">
            <w:pPr>
              <w:spacing w:before="60" w:after="60"/>
              <w:rPr>
                <w:rFonts w:ascii="Arial" w:hAnsi="Arial" w:cs="Arial"/>
              </w:rPr>
            </w:pPr>
            <w:r w:rsidRPr="008C6DAF">
              <w:rPr>
                <w:rFonts w:ascii="Arial" w:hAnsi="Arial" w:cs="Arial"/>
              </w:rPr>
              <w:t xml:space="preserve">Work with Eating Disorder Services  to meet the needs of the </w:t>
            </w:r>
            <w:r w:rsidR="001948D4">
              <w:rPr>
                <w:rFonts w:ascii="Arial" w:hAnsi="Arial" w:cs="Arial"/>
              </w:rPr>
              <w:t>Service User</w:t>
            </w:r>
            <w:r w:rsidRPr="008C6DAF">
              <w:rPr>
                <w:rFonts w:ascii="Arial" w:hAnsi="Arial" w:cs="Arial"/>
              </w:rPr>
              <w:t xml:space="preserve"> holistically</w:t>
            </w:r>
          </w:p>
        </w:tc>
      </w:tr>
    </w:tbl>
    <w:p w:rsidR="001948D4" w:rsidRPr="00606232" w:rsidRDefault="00701120" w:rsidP="00D71D91">
      <w:pPr>
        <w:tabs>
          <w:tab w:val="left" w:pos="570"/>
        </w:tabs>
        <w:spacing w:before="240"/>
        <w:rPr>
          <w:rFonts w:ascii="Arial" w:hAnsi="Arial" w:cs="Arial"/>
          <w:b/>
          <w:lang w:val="en-GB" w:eastAsia="en-GB"/>
        </w:rPr>
      </w:pPr>
      <w:bookmarkStart w:id="19" w:name="_Toc215319164"/>
      <w:r w:rsidRPr="008C6DAF">
        <w:rPr>
          <w:rFonts w:ascii="Arial" w:hAnsi="Arial" w:cs="Arial"/>
          <w:b/>
        </w:rPr>
        <w:t>7.</w:t>
      </w:r>
      <w:r w:rsidRPr="008C6DAF">
        <w:rPr>
          <w:rFonts w:ascii="Arial" w:hAnsi="Arial" w:cs="Arial"/>
          <w:b/>
        </w:rPr>
        <w:tab/>
      </w:r>
      <w:r w:rsidR="001948D4" w:rsidRPr="00606232">
        <w:rPr>
          <w:rFonts w:ascii="Arial" w:hAnsi="Arial" w:cs="Arial"/>
          <w:b/>
          <w:lang w:val="en-GB" w:eastAsia="en-GB"/>
        </w:rPr>
        <w:t>Exclusions</w:t>
      </w:r>
    </w:p>
    <w:p w:rsidR="001948D4" w:rsidRPr="00606232" w:rsidRDefault="001948D4" w:rsidP="00D71D91">
      <w:pPr>
        <w:tabs>
          <w:tab w:val="left" w:pos="570"/>
        </w:tabs>
        <w:spacing w:before="120" w:after="120"/>
        <w:rPr>
          <w:rFonts w:ascii="Arial" w:hAnsi="Arial" w:cs="Arial"/>
          <w:b/>
          <w:lang w:val="en-GB" w:eastAsia="en-GB"/>
        </w:rPr>
      </w:pPr>
      <w:r w:rsidRPr="00606232">
        <w:rPr>
          <w:rFonts w:ascii="Arial" w:hAnsi="Arial" w:cs="Arial"/>
          <w:lang w:val="en-GB" w:eastAsia="en-GB"/>
        </w:rPr>
        <w:t>Refer to the tier one Mental Health and Addiction Services service specification.</w:t>
      </w:r>
    </w:p>
    <w:p w:rsidR="00701120" w:rsidRPr="008C6DAF" w:rsidRDefault="001948D4" w:rsidP="00D71D91">
      <w:pPr>
        <w:spacing w:before="240"/>
        <w:rPr>
          <w:rFonts w:ascii="Arial" w:hAnsi="Arial" w:cs="Arial"/>
          <w:b/>
        </w:rPr>
      </w:pPr>
      <w:r>
        <w:rPr>
          <w:rFonts w:ascii="Arial" w:hAnsi="Arial" w:cs="Arial"/>
          <w:b/>
        </w:rPr>
        <w:t>8.</w:t>
      </w:r>
      <w:r>
        <w:rPr>
          <w:rFonts w:ascii="Arial" w:hAnsi="Arial" w:cs="Arial"/>
          <w:b/>
        </w:rPr>
        <w:tab/>
      </w:r>
      <w:r w:rsidR="00701120" w:rsidRPr="008C6DAF">
        <w:rPr>
          <w:rFonts w:ascii="Arial" w:hAnsi="Arial" w:cs="Arial"/>
          <w:b/>
        </w:rPr>
        <w:t>Quality Requirements</w:t>
      </w:r>
      <w:bookmarkEnd w:id="19"/>
    </w:p>
    <w:p w:rsidR="00881812" w:rsidRPr="00D946EE" w:rsidRDefault="00881812" w:rsidP="00881812">
      <w:pPr>
        <w:spacing w:before="120"/>
        <w:rPr>
          <w:rFonts w:ascii="Arial" w:hAnsi="Arial" w:cs="Arial"/>
          <w:lang w:eastAsia="en-GB"/>
        </w:rPr>
      </w:pPr>
      <w:bookmarkStart w:id="20" w:name="_Toc215319165"/>
      <w:r w:rsidRPr="00D946EE">
        <w:rPr>
          <w:rFonts w:ascii="Arial" w:hAnsi="Arial" w:cs="Arial"/>
        </w:rPr>
        <w:t>The Service must comply with the Provider Quality Standards described in the Operational Policy Framework</w:t>
      </w:r>
      <w:r w:rsidRPr="00D946EE">
        <w:rPr>
          <w:rStyle w:val="FootnoteReference"/>
          <w:rFonts w:ascii="Arial" w:hAnsi="Arial" w:cs="Arial"/>
        </w:rPr>
        <w:footnoteReference w:id="1"/>
      </w:r>
      <w:r w:rsidRPr="00D946EE">
        <w:rPr>
          <w:rFonts w:ascii="Arial" w:hAnsi="Arial" w:cs="Arial"/>
        </w:rPr>
        <w:t xml:space="preserve"> or, as applicable, Crown Funding Agreement Variations, contracts or service level agreements.</w:t>
      </w:r>
    </w:p>
    <w:p w:rsidR="00701120" w:rsidRPr="008C6DAF" w:rsidRDefault="001948D4" w:rsidP="00701120">
      <w:pPr>
        <w:spacing w:before="240" w:after="120"/>
        <w:rPr>
          <w:rFonts w:ascii="Arial" w:hAnsi="Arial" w:cs="Arial"/>
          <w:b/>
        </w:rPr>
      </w:pPr>
      <w:bookmarkStart w:id="21" w:name="_Toc215319172"/>
      <w:bookmarkEnd w:id="20"/>
      <w:r>
        <w:rPr>
          <w:rFonts w:ascii="Arial" w:hAnsi="Arial" w:cs="Arial"/>
          <w:b/>
        </w:rPr>
        <w:t>9</w:t>
      </w:r>
      <w:r w:rsidR="00701120" w:rsidRPr="008C6DAF">
        <w:rPr>
          <w:rFonts w:ascii="Arial" w:hAnsi="Arial" w:cs="Arial"/>
          <w:b/>
        </w:rPr>
        <w:t>.</w:t>
      </w:r>
      <w:r w:rsidR="00701120" w:rsidRPr="008C6DAF">
        <w:rPr>
          <w:rFonts w:ascii="Arial" w:hAnsi="Arial" w:cs="Arial"/>
          <w:b/>
        </w:rPr>
        <w:tab/>
        <w:t>Purchase Units and Reporting Requirements</w:t>
      </w:r>
      <w:bookmarkEnd w:id="21"/>
    </w:p>
    <w:p w:rsidR="00701120" w:rsidRPr="008C6DAF" w:rsidRDefault="00701120" w:rsidP="00701120">
      <w:pPr>
        <w:spacing w:before="120" w:after="120"/>
        <w:rPr>
          <w:rFonts w:ascii="Arial" w:hAnsi="Arial" w:cs="Arial"/>
        </w:rPr>
      </w:pPr>
      <w:bookmarkStart w:id="22" w:name="_Toc215319173"/>
      <w:r w:rsidRPr="008C6DAF">
        <w:rPr>
          <w:rFonts w:ascii="Arial" w:hAnsi="Arial" w:cs="Arial"/>
        </w:rPr>
        <w:t>Purchase Unit</w:t>
      </w:r>
      <w:r w:rsidR="00881812">
        <w:rPr>
          <w:rFonts w:ascii="Arial" w:hAnsi="Arial" w:cs="Arial"/>
        </w:rPr>
        <w:t xml:space="preserve"> Codes</w:t>
      </w:r>
      <w:r w:rsidRPr="008C6DAF">
        <w:rPr>
          <w:rFonts w:ascii="Arial" w:hAnsi="Arial" w:cs="Arial"/>
        </w:rPr>
        <w:t xml:space="preserve"> are defined in the DHB and Ministry’s Nationwide Service Framework Purchase Unit Data Dictionary.  </w:t>
      </w:r>
      <w:bookmarkEnd w:id="22"/>
    </w:p>
    <w:p w:rsidR="00193ECE" w:rsidRPr="00193ECE" w:rsidRDefault="00193ECE" w:rsidP="00193ECE">
      <w:pPr>
        <w:tabs>
          <w:tab w:val="left" w:pos="567"/>
          <w:tab w:val="left" w:pos="709"/>
          <w:tab w:val="left" w:pos="1701"/>
          <w:tab w:val="left" w:pos="2693"/>
        </w:tabs>
        <w:spacing w:before="120"/>
        <w:rPr>
          <w:rFonts w:ascii="Arial" w:hAnsi="Arial" w:cs="Arial"/>
          <w:lang w:val="en-GB" w:eastAsia="en-GB"/>
        </w:rPr>
      </w:pPr>
      <w:r w:rsidRPr="00193ECE">
        <w:rPr>
          <w:rFonts w:ascii="Arial" w:hAnsi="Arial" w:cs="Arial"/>
          <w:lang w:val="en-GB" w:eastAsia="en-GB"/>
        </w:rPr>
        <w:t>Specific reporting requirements apply at tier three service specifications.</w:t>
      </w:r>
    </w:p>
    <w:p w:rsidR="00701120" w:rsidRPr="008C6DAF" w:rsidRDefault="001948D4" w:rsidP="00D71D91">
      <w:pPr>
        <w:spacing w:before="240"/>
        <w:rPr>
          <w:rFonts w:ascii="Arial" w:hAnsi="Arial" w:cs="Arial"/>
          <w:b/>
        </w:rPr>
      </w:pPr>
      <w:r>
        <w:rPr>
          <w:rFonts w:ascii="Arial" w:hAnsi="Arial" w:cs="Arial"/>
          <w:b/>
        </w:rPr>
        <w:t>10</w:t>
      </w:r>
      <w:r w:rsidR="00701120" w:rsidRPr="008C6DAF">
        <w:rPr>
          <w:rFonts w:ascii="Arial" w:hAnsi="Arial" w:cs="Arial"/>
          <w:b/>
        </w:rPr>
        <w:t>.</w:t>
      </w:r>
      <w:r w:rsidR="00701120" w:rsidRPr="008C6DAF">
        <w:rPr>
          <w:rFonts w:ascii="Arial" w:hAnsi="Arial" w:cs="Arial"/>
          <w:b/>
        </w:rPr>
        <w:tab/>
        <w:t xml:space="preserve">Tier Three Service Specifications </w:t>
      </w:r>
    </w:p>
    <w:p w:rsidR="00B352DA" w:rsidRPr="008C6DAF" w:rsidRDefault="00B352DA" w:rsidP="00701120">
      <w:pPr>
        <w:spacing w:before="120" w:after="120"/>
        <w:rPr>
          <w:rFonts w:ascii="Arial" w:hAnsi="Arial" w:cs="Arial"/>
        </w:rPr>
      </w:pPr>
      <w:r w:rsidRPr="008C6DAF">
        <w:rPr>
          <w:rFonts w:ascii="Arial" w:hAnsi="Arial" w:cs="Arial"/>
        </w:rPr>
        <w:t xml:space="preserve">This range of tier three service specifications for Eating Disorders Mental Health and Addiction services has been developed to meet varied service needs.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0"/>
        <w:gridCol w:w="3568"/>
      </w:tblGrid>
      <w:tr w:rsidR="00701120" w:rsidRPr="008C6DAF" w:rsidTr="003119DC">
        <w:trPr>
          <w:tblHeader/>
        </w:trPr>
        <w:tc>
          <w:tcPr>
            <w:tcW w:w="6060" w:type="dxa"/>
            <w:shd w:val="clear" w:color="auto" w:fill="D9D9D9"/>
          </w:tcPr>
          <w:p w:rsidR="00701120" w:rsidRPr="008C6DAF" w:rsidRDefault="00701120" w:rsidP="0044193E">
            <w:pPr>
              <w:spacing w:before="60" w:after="60"/>
              <w:rPr>
                <w:rFonts w:ascii="Arial" w:hAnsi="Arial" w:cs="Arial"/>
                <w:b/>
              </w:rPr>
            </w:pPr>
            <w:r w:rsidRPr="008C6DAF">
              <w:rPr>
                <w:rFonts w:ascii="Arial" w:hAnsi="Arial" w:cs="Arial"/>
                <w:b/>
              </w:rPr>
              <w:t>Title</w:t>
            </w:r>
          </w:p>
        </w:tc>
        <w:tc>
          <w:tcPr>
            <w:tcW w:w="3568" w:type="dxa"/>
            <w:shd w:val="clear" w:color="auto" w:fill="D9D9D9"/>
          </w:tcPr>
          <w:p w:rsidR="00701120" w:rsidRPr="001B192D" w:rsidRDefault="001B192D" w:rsidP="0044193E">
            <w:pPr>
              <w:spacing w:before="60" w:after="60"/>
              <w:rPr>
                <w:rFonts w:ascii="Arial" w:hAnsi="Arial" w:cs="Arial"/>
                <w:b/>
              </w:rPr>
            </w:pPr>
            <w:r w:rsidRPr="001B192D">
              <w:rPr>
                <w:rFonts w:ascii="Arial" w:hAnsi="Arial" w:cs="Arial"/>
                <w:b/>
              </w:rPr>
              <w:t>Purchase Unit Codes</w:t>
            </w:r>
          </w:p>
        </w:tc>
      </w:tr>
      <w:tr w:rsidR="00701120" w:rsidRPr="008C6DAF" w:rsidTr="003119DC">
        <w:tc>
          <w:tcPr>
            <w:tcW w:w="6060" w:type="dxa"/>
            <w:shd w:val="clear" w:color="auto" w:fill="auto"/>
          </w:tcPr>
          <w:p w:rsidR="00701120" w:rsidRPr="008C6DAF" w:rsidRDefault="00701120" w:rsidP="006F1281">
            <w:pPr>
              <w:rPr>
                <w:rFonts w:ascii="Arial" w:hAnsi="Arial" w:cs="Arial"/>
              </w:rPr>
            </w:pPr>
            <w:r w:rsidRPr="008C6DAF">
              <w:rPr>
                <w:rFonts w:ascii="Arial" w:hAnsi="Arial" w:cs="Arial"/>
              </w:rPr>
              <w:t>Eating Disorders Inpatient, Intensive Treatment And Consultative Service</w:t>
            </w:r>
          </w:p>
        </w:tc>
        <w:tc>
          <w:tcPr>
            <w:tcW w:w="3568" w:type="dxa"/>
            <w:shd w:val="clear" w:color="auto" w:fill="auto"/>
          </w:tcPr>
          <w:p w:rsidR="00701120" w:rsidRPr="008C6DAF" w:rsidRDefault="00701120" w:rsidP="0044193E">
            <w:pPr>
              <w:spacing w:before="120"/>
              <w:rPr>
                <w:rFonts w:ascii="Arial" w:hAnsi="Arial" w:cs="Arial"/>
              </w:rPr>
            </w:pPr>
            <w:r w:rsidRPr="008C6DAF">
              <w:rPr>
                <w:rFonts w:ascii="Arial" w:hAnsi="Arial" w:cs="Arial"/>
              </w:rPr>
              <w:t>MHE27</w:t>
            </w:r>
          </w:p>
        </w:tc>
      </w:tr>
      <w:tr w:rsidR="00701120" w:rsidRPr="008C6DAF" w:rsidTr="003119DC">
        <w:tc>
          <w:tcPr>
            <w:tcW w:w="6060" w:type="dxa"/>
            <w:shd w:val="clear" w:color="auto" w:fill="auto"/>
          </w:tcPr>
          <w:p w:rsidR="00701120" w:rsidRPr="008C6DAF" w:rsidRDefault="00701120" w:rsidP="00D71D91">
            <w:pPr>
              <w:rPr>
                <w:rFonts w:ascii="Arial" w:hAnsi="Arial" w:cs="Arial"/>
              </w:rPr>
            </w:pPr>
            <w:r w:rsidRPr="008C6DAF">
              <w:rPr>
                <w:rFonts w:ascii="Arial" w:hAnsi="Arial" w:cs="Arial"/>
              </w:rPr>
              <w:t>Consultative Service Within A Specialist Eating Disorder Service</w:t>
            </w:r>
          </w:p>
        </w:tc>
        <w:tc>
          <w:tcPr>
            <w:tcW w:w="3568" w:type="dxa"/>
            <w:shd w:val="clear" w:color="auto" w:fill="auto"/>
          </w:tcPr>
          <w:p w:rsidR="00701120" w:rsidRPr="008C6DAF" w:rsidRDefault="00701120" w:rsidP="00701120">
            <w:pPr>
              <w:rPr>
                <w:rFonts w:ascii="Arial" w:hAnsi="Arial" w:cs="Arial"/>
              </w:rPr>
            </w:pPr>
            <w:r w:rsidRPr="008C6DAF">
              <w:rPr>
                <w:rFonts w:ascii="Arial" w:hAnsi="Arial" w:cs="Arial"/>
              </w:rPr>
              <w:t xml:space="preserve">MHE 28A, MHE28B, MHE28C, </w:t>
            </w:r>
            <w:r w:rsidR="0065721C">
              <w:rPr>
                <w:rFonts w:ascii="Arial" w:hAnsi="Arial" w:cs="Arial"/>
              </w:rPr>
              <w:t>MHE28S</w:t>
            </w:r>
          </w:p>
        </w:tc>
      </w:tr>
      <w:tr w:rsidR="00701120" w:rsidRPr="008C6DAF" w:rsidTr="003119DC">
        <w:tc>
          <w:tcPr>
            <w:tcW w:w="6060" w:type="dxa"/>
            <w:shd w:val="clear" w:color="auto" w:fill="auto"/>
          </w:tcPr>
          <w:p w:rsidR="00701120" w:rsidRPr="008C6DAF" w:rsidRDefault="00701120" w:rsidP="0046571E">
            <w:pPr>
              <w:rPr>
                <w:rFonts w:ascii="Arial" w:hAnsi="Arial" w:cs="Arial"/>
              </w:rPr>
            </w:pPr>
            <w:r w:rsidRPr="008C6DAF">
              <w:rPr>
                <w:rFonts w:ascii="Arial" w:hAnsi="Arial" w:cs="Arial"/>
              </w:rPr>
              <w:t>Clinical Outpatient Services For Eating Disorders</w:t>
            </w:r>
          </w:p>
        </w:tc>
        <w:tc>
          <w:tcPr>
            <w:tcW w:w="3568" w:type="dxa"/>
            <w:shd w:val="clear" w:color="auto" w:fill="auto"/>
          </w:tcPr>
          <w:p w:rsidR="00701120" w:rsidRPr="008C6DAF" w:rsidRDefault="00701120" w:rsidP="00701120">
            <w:pPr>
              <w:rPr>
                <w:rFonts w:ascii="Arial" w:hAnsi="Arial" w:cs="Arial"/>
              </w:rPr>
            </w:pPr>
            <w:r w:rsidRPr="008C6DAF">
              <w:rPr>
                <w:rFonts w:ascii="Arial" w:hAnsi="Arial" w:cs="Arial"/>
              </w:rPr>
              <w:t>MHE 29A, MHE29B, MHE29C, MHE29D, MHE29E</w:t>
            </w:r>
            <w:r w:rsidR="0065721C">
              <w:rPr>
                <w:rFonts w:ascii="Arial" w:hAnsi="Arial" w:cs="Arial"/>
              </w:rPr>
              <w:t>, MHE29S</w:t>
            </w:r>
          </w:p>
        </w:tc>
      </w:tr>
      <w:tr w:rsidR="00701120" w:rsidRPr="008C6DAF" w:rsidTr="003119DC">
        <w:tc>
          <w:tcPr>
            <w:tcW w:w="6060" w:type="dxa"/>
            <w:shd w:val="clear" w:color="auto" w:fill="auto"/>
          </w:tcPr>
          <w:p w:rsidR="00701120" w:rsidRPr="008C6DAF" w:rsidRDefault="00701120" w:rsidP="0046571E">
            <w:pPr>
              <w:rPr>
                <w:rFonts w:ascii="Arial" w:hAnsi="Arial" w:cs="Arial"/>
              </w:rPr>
            </w:pPr>
            <w:r w:rsidRPr="008C6DAF">
              <w:rPr>
                <w:rFonts w:ascii="Arial" w:hAnsi="Arial" w:cs="Arial"/>
              </w:rPr>
              <w:t>Community Service For Eating Disorders</w:t>
            </w:r>
          </w:p>
        </w:tc>
        <w:tc>
          <w:tcPr>
            <w:tcW w:w="3568" w:type="dxa"/>
            <w:shd w:val="clear" w:color="auto" w:fill="auto"/>
          </w:tcPr>
          <w:p w:rsidR="00701120" w:rsidRPr="008C6DAF" w:rsidRDefault="00701120" w:rsidP="00701120">
            <w:pPr>
              <w:rPr>
                <w:rFonts w:ascii="Arial" w:hAnsi="Arial" w:cs="Arial"/>
              </w:rPr>
            </w:pPr>
            <w:r w:rsidRPr="008C6DAF">
              <w:rPr>
                <w:rFonts w:ascii="Arial" w:hAnsi="Arial" w:cs="Arial"/>
              </w:rPr>
              <w:t>MHE30A, MHE30B, MHE30C, MHE30D, MHE30E</w:t>
            </w:r>
            <w:r w:rsidR="0065721C">
              <w:rPr>
                <w:rFonts w:ascii="Arial" w:hAnsi="Arial" w:cs="Arial"/>
              </w:rPr>
              <w:t>, MHE30S</w:t>
            </w:r>
          </w:p>
        </w:tc>
      </w:tr>
      <w:tr w:rsidR="00701120" w:rsidRPr="008C6DAF" w:rsidTr="003119DC">
        <w:tc>
          <w:tcPr>
            <w:tcW w:w="6060" w:type="dxa"/>
            <w:shd w:val="clear" w:color="auto" w:fill="auto"/>
          </w:tcPr>
          <w:p w:rsidR="00701120" w:rsidRPr="008C6DAF" w:rsidRDefault="00701120" w:rsidP="00684DFD">
            <w:pPr>
              <w:rPr>
                <w:rFonts w:ascii="Arial" w:hAnsi="Arial" w:cs="Arial"/>
              </w:rPr>
            </w:pPr>
            <w:r w:rsidRPr="008C6DAF">
              <w:rPr>
                <w:rFonts w:ascii="Arial" w:hAnsi="Arial" w:cs="Arial"/>
              </w:rPr>
              <w:t xml:space="preserve">Eating Disorders DHB Liaison Service </w:t>
            </w:r>
          </w:p>
        </w:tc>
        <w:tc>
          <w:tcPr>
            <w:tcW w:w="3568" w:type="dxa"/>
            <w:shd w:val="clear" w:color="auto" w:fill="auto"/>
          </w:tcPr>
          <w:p w:rsidR="00701120" w:rsidRPr="008C6DAF" w:rsidRDefault="00701120" w:rsidP="00701120">
            <w:pPr>
              <w:rPr>
                <w:rFonts w:ascii="Arial" w:hAnsi="Arial" w:cs="Arial"/>
              </w:rPr>
            </w:pPr>
            <w:r w:rsidRPr="008C6DAF">
              <w:rPr>
                <w:rFonts w:ascii="Arial" w:hAnsi="Arial" w:cs="Arial"/>
              </w:rPr>
              <w:t>MHE31A, MHE31B, MHE31C</w:t>
            </w:r>
            <w:r w:rsidR="0065721C">
              <w:rPr>
                <w:rFonts w:ascii="Arial" w:hAnsi="Arial" w:cs="Arial"/>
              </w:rPr>
              <w:t>, MHE31S</w:t>
            </w:r>
          </w:p>
        </w:tc>
      </w:tr>
      <w:tr w:rsidR="00701120" w:rsidRPr="008C6DAF" w:rsidTr="003119DC">
        <w:tc>
          <w:tcPr>
            <w:tcW w:w="6060" w:type="dxa"/>
            <w:shd w:val="clear" w:color="auto" w:fill="auto"/>
          </w:tcPr>
          <w:p w:rsidR="00701120" w:rsidRPr="008C6DAF" w:rsidRDefault="00701120" w:rsidP="00D71D91">
            <w:pPr>
              <w:rPr>
                <w:rFonts w:ascii="Arial" w:hAnsi="Arial" w:cs="Arial"/>
              </w:rPr>
            </w:pPr>
            <w:r w:rsidRPr="008C6DAF">
              <w:rPr>
                <w:rFonts w:ascii="Arial" w:hAnsi="Arial" w:cs="Arial"/>
              </w:rPr>
              <w:t>Specialist Eating Disorders Service (With Accommodation)</w:t>
            </w:r>
          </w:p>
        </w:tc>
        <w:tc>
          <w:tcPr>
            <w:tcW w:w="3568" w:type="dxa"/>
            <w:shd w:val="clear" w:color="auto" w:fill="auto"/>
          </w:tcPr>
          <w:p w:rsidR="00701120" w:rsidRPr="008C6DAF" w:rsidRDefault="00701120" w:rsidP="0044193E">
            <w:pPr>
              <w:spacing w:before="120"/>
              <w:rPr>
                <w:rFonts w:ascii="Arial" w:hAnsi="Arial" w:cs="Arial"/>
              </w:rPr>
            </w:pPr>
            <w:r w:rsidRPr="008C6DAF">
              <w:rPr>
                <w:rFonts w:ascii="Arial" w:hAnsi="Arial" w:cs="Arial"/>
              </w:rPr>
              <w:t>MHE32A, MHE32B, MHE32C, MHE32D, MHE32E</w:t>
            </w:r>
            <w:r w:rsidR="0065721C">
              <w:rPr>
                <w:rFonts w:ascii="Arial" w:hAnsi="Arial" w:cs="Arial"/>
              </w:rPr>
              <w:t>, MHE32S</w:t>
            </w:r>
          </w:p>
        </w:tc>
      </w:tr>
    </w:tbl>
    <w:p w:rsidR="00D62D40" w:rsidRPr="008C6DAF" w:rsidRDefault="00D62D40" w:rsidP="00701120">
      <w:pPr>
        <w:rPr>
          <w:rFonts w:ascii="Arial" w:hAnsi="Arial" w:cs="Arial"/>
        </w:rPr>
      </w:pPr>
    </w:p>
    <w:sectPr w:rsidR="00D62D40" w:rsidRPr="008C6DAF" w:rsidSect="0079276D">
      <w:footerReference w:type="even" r:id="rId10"/>
      <w:footerReference w:type="default" r:id="rId11"/>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594" w:rsidRDefault="00C86594">
      <w:r>
        <w:separator/>
      </w:r>
    </w:p>
  </w:endnote>
  <w:endnote w:type="continuationSeparator" w:id="0">
    <w:p w:rsidR="00C86594" w:rsidRDefault="00C8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38D" w:rsidRDefault="00F8438D" w:rsidP="00792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438D" w:rsidRDefault="00F8438D" w:rsidP="007927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38D" w:rsidRDefault="00F8438D" w:rsidP="00792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17A">
      <w:rPr>
        <w:rStyle w:val="PageNumber"/>
        <w:noProof/>
      </w:rPr>
      <w:t>4</w:t>
    </w:r>
    <w:r>
      <w:rPr>
        <w:rStyle w:val="PageNumber"/>
      </w:rPr>
      <w:fldChar w:fldCharType="end"/>
    </w:r>
  </w:p>
  <w:p w:rsidR="00F8438D" w:rsidRPr="00284682" w:rsidRDefault="001948D4" w:rsidP="00284682">
    <w:pPr>
      <w:pStyle w:val="Header"/>
      <w:pBdr>
        <w:top w:val="single" w:sz="4" w:space="1" w:color="auto"/>
      </w:pBdr>
      <w:tabs>
        <w:tab w:val="clear" w:pos="4153"/>
        <w:tab w:val="clear" w:pos="8306"/>
        <w:tab w:val="center" w:pos="7371"/>
      </w:tabs>
      <w:ind w:right="360"/>
      <w:rPr>
        <w:rFonts w:ascii="Arial" w:hAnsi="Arial" w:cs="Arial"/>
        <w:sz w:val="20"/>
        <w:szCs w:val="20"/>
      </w:rPr>
    </w:pPr>
    <w:r>
      <w:rPr>
        <w:rFonts w:ascii="Arial" w:hAnsi="Arial" w:cs="Arial"/>
        <w:sz w:val="20"/>
        <w:szCs w:val="20"/>
      </w:rPr>
      <w:t xml:space="preserve">Eating Disorders- </w:t>
    </w:r>
    <w:r w:rsidR="00B352DA">
      <w:rPr>
        <w:rFonts w:ascii="Arial" w:hAnsi="Arial" w:cs="Arial"/>
        <w:sz w:val="20"/>
        <w:szCs w:val="20"/>
      </w:rPr>
      <w:t xml:space="preserve">Mental Health and Addiction Services - </w:t>
    </w:r>
    <w:r w:rsidR="00F8438D" w:rsidRPr="00284682">
      <w:rPr>
        <w:rFonts w:ascii="Arial" w:hAnsi="Arial" w:cs="Arial"/>
        <w:sz w:val="20"/>
        <w:szCs w:val="20"/>
      </w:rPr>
      <w:t>Eating Disorders Services Tier Two Service S</w:t>
    </w:r>
    <w:r w:rsidR="00B352DA">
      <w:rPr>
        <w:rFonts w:ascii="Arial" w:hAnsi="Arial" w:cs="Arial"/>
        <w:sz w:val="20"/>
        <w:szCs w:val="20"/>
      </w:rPr>
      <w:t>p</w:t>
    </w:r>
    <w:r w:rsidR="00F8438D" w:rsidRPr="00284682">
      <w:rPr>
        <w:rFonts w:ascii="Arial" w:hAnsi="Arial" w:cs="Arial"/>
        <w:sz w:val="20"/>
        <w:szCs w:val="20"/>
      </w:rPr>
      <w:t xml:space="preserve">ecification </w:t>
    </w:r>
    <w:r w:rsidR="00D946EE">
      <w:rPr>
        <w:rFonts w:ascii="Arial" w:hAnsi="Arial" w:cs="Arial"/>
        <w:sz w:val="20"/>
        <w:szCs w:val="20"/>
      </w:rPr>
      <w:t>April 2017</w:t>
    </w:r>
  </w:p>
  <w:p w:rsidR="00F8438D" w:rsidRPr="00284682" w:rsidRDefault="00F8438D" w:rsidP="00284682">
    <w:pPr>
      <w:pStyle w:val="Header"/>
      <w:tabs>
        <w:tab w:val="clear" w:pos="4153"/>
        <w:tab w:val="clear" w:pos="8306"/>
        <w:tab w:val="center" w:pos="7371"/>
      </w:tabs>
      <w:rPr>
        <w:rFonts w:ascii="Arial" w:hAnsi="Arial" w:cs="Arial"/>
        <w:sz w:val="20"/>
        <w:szCs w:val="20"/>
      </w:rPr>
    </w:pPr>
    <w:r w:rsidRPr="00284682">
      <w:rPr>
        <w:rFonts w:ascii="Arial" w:hAnsi="Arial" w:cs="Arial"/>
        <w:sz w:val="20"/>
        <w:szCs w:val="20"/>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594" w:rsidRDefault="00C86594">
      <w:r>
        <w:separator/>
      </w:r>
    </w:p>
  </w:footnote>
  <w:footnote w:type="continuationSeparator" w:id="0">
    <w:p w:rsidR="00C86594" w:rsidRDefault="00C86594">
      <w:r>
        <w:continuationSeparator/>
      </w:r>
    </w:p>
  </w:footnote>
  <w:footnote w:id="1">
    <w:p w:rsidR="00881812" w:rsidRDefault="00881812" w:rsidP="00881812">
      <w:pPr>
        <w:pStyle w:val="FootnoteText"/>
      </w:pPr>
      <w:r>
        <w:rPr>
          <w:rStyle w:val="FootnoteReference"/>
        </w:rPr>
        <w:footnoteRef/>
      </w:r>
      <w:r>
        <w:t xml:space="preserve"> </w:t>
      </w:r>
      <w:r w:rsidRPr="00D946EE">
        <w:rPr>
          <w:rFonts w:ascii="Arial" w:hAnsi="Arial" w:cs="Arial"/>
        </w:rPr>
        <w:t>http://nsfl.health.govt.nz/accountability/operational-policy-framework-0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1280"/>
    <w:multiLevelType w:val="hybridMultilevel"/>
    <w:tmpl w:val="BE740744"/>
    <w:lvl w:ilvl="0" w:tplc="1528E294">
      <w:start w:val="1"/>
      <w:numFmt w:val="decimal"/>
      <w:lvlText w:val="%1."/>
      <w:lvlJc w:val="left"/>
      <w:pPr>
        <w:tabs>
          <w:tab w:val="num" w:pos="795"/>
        </w:tabs>
        <w:ind w:left="795" w:hanging="43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F73C0"/>
    <w:multiLevelType w:val="hybridMultilevel"/>
    <w:tmpl w:val="589CD0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AD5802"/>
    <w:multiLevelType w:val="hybridMultilevel"/>
    <w:tmpl w:val="F5E84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B336DB"/>
    <w:multiLevelType w:val="hybridMultilevel"/>
    <w:tmpl w:val="EA321C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nsid w:val="3DA76880"/>
    <w:multiLevelType w:val="hybridMultilevel"/>
    <w:tmpl w:val="AC0CEB4E"/>
    <w:lvl w:ilvl="0" w:tplc="77044902">
      <w:start w:val="1"/>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14F454F"/>
    <w:multiLevelType w:val="multilevel"/>
    <w:tmpl w:val="AC0CEB4E"/>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019B"/>
    <w:rsid w:val="00032A4B"/>
    <w:rsid w:val="000B0C9F"/>
    <w:rsid w:val="000D1176"/>
    <w:rsid w:val="00117D8D"/>
    <w:rsid w:val="00193ECE"/>
    <w:rsid w:val="001948D4"/>
    <w:rsid w:val="001B192D"/>
    <w:rsid w:val="001D373F"/>
    <w:rsid w:val="00284682"/>
    <w:rsid w:val="002926C8"/>
    <w:rsid w:val="002C460A"/>
    <w:rsid w:val="003119DC"/>
    <w:rsid w:val="00387115"/>
    <w:rsid w:val="003F48F1"/>
    <w:rsid w:val="00427DD8"/>
    <w:rsid w:val="0044193E"/>
    <w:rsid w:val="004462DD"/>
    <w:rsid w:val="00446958"/>
    <w:rsid w:val="0046571E"/>
    <w:rsid w:val="004E682D"/>
    <w:rsid w:val="00556B6E"/>
    <w:rsid w:val="005B3887"/>
    <w:rsid w:val="005C0819"/>
    <w:rsid w:val="0065721C"/>
    <w:rsid w:val="00684DFD"/>
    <w:rsid w:val="00690392"/>
    <w:rsid w:val="006F1281"/>
    <w:rsid w:val="00701120"/>
    <w:rsid w:val="0079276D"/>
    <w:rsid w:val="007E36C2"/>
    <w:rsid w:val="00881812"/>
    <w:rsid w:val="008C6DAF"/>
    <w:rsid w:val="00947DBE"/>
    <w:rsid w:val="009561D8"/>
    <w:rsid w:val="00972BEB"/>
    <w:rsid w:val="009B5C65"/>
    <w:rsid w:val="009D4F0F"/>
    <w:rsid w:val="009E7822"/>
    <w:rsid w:val="00A023FB"/>
    <w:rsid w:val="00A45C2E"/>
    <w:rsid w:val="00AB3877"/>
    <w:rsid w:val="00AB517A"/>
    <w:rsid w:val="00B15DCE"/>
    <w:rsid w:val="00B352DA"/>
    <w:rsid w:val="00B52E67"/>
    <w:rsid w:val="00C03691"/>
    <w:rsid w:val="00C62861"/>
    <w:rsid w:val="00C86594"/>
    <w:rsid w:val="00D62D40"/>
    <w:rsid w:val="00D719C6"/>
    <w:rsid w:val="00D71D91"/>
    <w:rsid w:val="00D77643"/>
    <w:rsid w:val="00D946EE"/>
    <w:rsid w:val="00DB73E4"/>
    <w:rsid w:val="00DC1DE5"/>
    <w:rsid w:val="00E61D2A"/>
    <w:rsid w:val="00E728B0"/>
    <w:rsid w:val="00ED7284"/>
    <w:rsid w:val="00F8438D"/>
    <w:rsid w:val="00F973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F671072-5488-4502-9E3A-418008EE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120"/>
    <w:rPr>
      <w:sz w:val="24"/>
      <w:szCs w:val="24"/>
      <w:lang w:eastAsia="en-US"/>
    </w:rPr>
  </w:style>
  <w:style w:type="paragraph" w:styleId="Heading1">
    <w:name w:val="heading 1"/>
    <w:basedOn w:val="Normal"/>
    <w:next w:val="Normal"/>
    <w:qFormat/>
    <w:rsid w:val="00701120"/>
    <w:pPr>
      <w:keepNext/>
      <w:spacing w:before="240" w:after="60"/>
      <w:outlineLvl w:val="0"/>
    </w:pPr>
    <w:rPr>
      <w:rFonts w:ascii="Arial" w:hAnsi="Arial" w:cs="Arial"/>
      <w:b/>
      <w:bCs/>
      <w:kern w:val="32"/>
      <w:sz w:val="32"/>
      <w:szCs w:val="32"/>
    </w:rPr>
  </w:style>
  <w:style w:type="paragraph" w:styleId="Heading9">
    <w:name w:val="heading 9"/>
    <w:basedOn w:val="Normal"/>
    <w:next w:val="Normal"/>
    <w:qFormat/>
    <w:rsid w:val="007011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1120"/>
    <w:pPr>
      <w:jc w:val="center"/>
    </w:pPr>
    <w:rPr>
      <w:rFonts w:ascii="Arial" w:hAnsi="Arial"/>
      <w:b/>
      <w:sz w:val="32"/>
      <w:szCs w:val="20"/>
    </w:rPr>
  </w:style>
  <w:style w:type="paragraph" w:customStyle="1" w:styleId="a">
    <w:basedOn w:val="Normal"/>
    <w:rsid w:val="00701120"/>
    <w:pPr>
      <w:spacing w:after="160" w:line="240" w:lineRule="exact"/>
    </w:pPr>
    <w:rPr>
      <w:rFonts w:ascii="Arial" w:hAnsi="Arial"/>
      <w:sz w:val="20"/>
      <w:szCs w:val="20"/>
      <w:lang w:val="en-US"/>
    </w:rPr>
  </w:style>
  <w:style w:type="table" w:styleId="TableGrid">
    <w:name w:val="Table Grid"/>
    <w:basedOn w:val="TableNormal"/>
    <w:rsid w:val="00701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9276D"/>
    <w:pPr>
      <w:tabs>
        <w:tab w:val="center" w:pos="4153"/>
        <w:tab w:val="right" w:pos="8306"/>
      </w:tabs>
    </w:pPr>
  </w:style>
  <w:style w:type="paragraph" w:styleId="Footer">
    <w:name w:val="footer"/>
    <w:basedOn w:val="Normal"/>
    <w:rsid w:val="0079276D"/>
    <w:pPr>
      <w:tabs>
        <w:tab w:val="center" w:pos="4153"/>
        <w:tab w:val="right" w:pos="8306"/>
      </w:tabs>
    </w:pPr>
  </w:style>
  <w:style w:type="character" w:styleId="PageNumber">
    <w:name w:val="page number"/>
    <w:basedOn w:val="DefaultParagraphFont"/>
    <w:rsid w:val="0079276D"/>
  </w:style>
  <w:style w:type="paragraph" w:styleId="BalloonText">
    <w:name w:val="Balloon Text"/>
    <w:basedOn w:val="Normal"/>
    <w:semiHidden/>
    <w:rsid w:val="000B0C9F"/>
    <w:rPr>
      <w:rFonts w:ascii="Tahoma" w:hAnsi="Tahoma" w:cs="Tahoma"/>
      <w:sz w:val="16"/>
      <w:szCs w:val="16"/>
    </w:rPr>
  </w:style>
  <w:style w:type="paragraph" w:customStyle="1" w:styleId="CharCharChar">
    <w:name w:val="Char Char Char"/>
    <w:basedOn w:val="Normal"/>
    <w:rsid w:val="000B0C9F"/>
    <w:pPr>
      <w:spacing w:after="160" w:line="240" w:lineRule="exact"/>
    </w:pPr>
    <w:rPr>
      <w:rFonts w:ascii="Arial" w:hAnsi="Arial"/>
      <w:sz w:val="20"/>
      <w:szCs w:val="20"/>
      <w:lang w:val="en-US"/>
    </w:rPr>
  </w:style>
  <w:style w:type="character" w:styleId="Hyperlink">
    <w:name w:val="Hyperlink"/>
    <w:rsid w:val="006F1281"/>
    <w:rPr>
      <w:color w:val="0000FF"/>
      <w:u w:val="single"/>
    </w:rPr>
  </w:style>
  <w:style w:type="paragraph" w:styleId="FootnoteText">
    <w:name w:val="footnote text"/>
    <w:basedOn w:val="Normal"/>
    <w:link w:val="FootnoteTextChar"/>
    <w:semiHidden/>
    <w:unhideWhenUsed/>
    <w:rsid w:val="00881812"/>
    <w:rPr>
      <w:sz w:val="20"/>
      <w:szCs w:val="20"/>
    </w:rPr>
  </w:style>
  <w:style w:type="character" w:customStyle="1" w:styleId="FootnoteTextChar">
    <w:name w:val="Footnote Text Char"/>
    <w:basedOn w:val="DefaultParagraphFont"/>
    <w:link w:val="FootnoteText"/>
    <w:semiHidden/>
    <w:rsid w:val="00881812"/>
    <w:rPr>
      <w:lang w:eastAsia="en-US"/>
    </w:rPr>
  </w:style>
  <w:style w:type="character" w:styleId="FootnoteReference">
    <w:name w:val="footnote reference"/>
    <w:semiHidden/>
    <w:unhideWhenUsed/>
    <w:rsid w:val="00881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9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l.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F9860-BEAF-4134-8E4B-9677E6FF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F1642066</Template>
  <TotalTime>0</TotalTime>
  <Pages>4</Pages>
  <Words>1026</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7388</CharactersWithSpaces>
  <SharedDoc>false</SharedDoc>
  <HLinks>
    <vt:vector size="6" baseType="variant">
      <vt:variant>
        <vt:i4>2687081</vt:i4>
      </vt:variant>
      <vt:variant>
        <vt:i4>0</vt:i4>
      </vt:variant>
      <vt:variant>
        <vt:i4>0</vt:i4>
      </vt:variant>
      <vt:variant>
        <vt:i4>5</vt:i4>
      </vt:variant>
      <vt:variant>
        <vt:lpwstr>http://www.nsfl.health.govt.nz/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Vickie Turnbull</cp:lastModifiedBy>
  <cp:revision>2</cp:revision>
  <dcterms:created xsi:type="dcterms:W3CDTF">2017-08-03T02:23:00Z</dcterms:created>
  <dcterms:modified xsi:type="dcterms:W3CDTF">2017-08-03T02:23:00Z</dcterms:modified>
</cp:coreProperties>
</file>