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003"/>
        <w:gridCol w:w="2626"/>
        <w:gridCol w:w="3019"/>
      </w:tblGrid>
      <w:tr w:rsidR="00A52DE0" w:rsidRPr="00A52DE0" w:rsidTr="00DE48BB">
        <w:trPr>
          <w:cantSplit/>
        </w:trPr>
        <w:tc>
          <w:tcPr>
            <w:tcW w:w="4003" w:type="dxa"/>
            <w:vAlign w:val="center"/>
          </w:tcPr>
          <w:p w:rsidR="00422EB2" w:rsidRPr="00A52DE0" w:rsidRDefault="00634D6E" w:rsidP="00422EB2">
            <w:pPr>
              <w:rPr>
                <w:rFonts w:ascii="Arial" w:hAnsi="Arial" w:cs="Arial"/>
                <w:bCs/>
                <w:sz w:val="34"/>
                <w:szCs w:val="34"/>
              </w:rPr>
            </w:pPr>
            <w:bookmarkStart w:id="0" w:name="_GoBack"/>
            <w:bookmarkEnd w:id="0"/>
            <w:r w:rsidRPr="00A52DE0">
              <w:rPr>
                <w:rFonts w:cs="Arial"/>
                <w:noProof/>
                <w:sz w:val="23"/>
                <w:szCs w:val="23"/>
                <w:lang w:eastAsia="en-NZ"/>
              </w:rPr>
              <w:drawing>
                <wp:inline distT="0" distB="0" distL="0" distR="0" wp14:anchorId="5AC30C70" wp14:editId="07C0FD8E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5" w:type="dxa"/>
            <w:gridSpan w:val="2"/>
            <w:vAlign w:val="center"/>
          </w:tcPr>
          <w:p w:rsidR="00422EB2" w:rsidRPr="00A52DE0" w:rsidRDefault="00422EB2" w:rsidP="00422EB2">
            <w:pPr>
              <w:jc w:val="right"/>
              <w:rPr>
                <w:rFonts w:ascii="Arial" w:hAnsi="Arial" w:cs="Arial"/>
              </w:rPr>
            </w:pPr>
          </w:p>
          <w:p w:rsidR="00422EB2" w:rsidRPr="000F29E9" w:rsidRDefault="006E6075" w:rsidP="006E6075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F29E9">
              <w:rPr>
                <w:rFonts w:ascii="Arial" w:hAnsi="Arial" w:cs="Arial"/>
                <w:b/>
                <w:sz w:val="32"/>
                <w:szCs w:val="32"/>
              </w:rPr>
              <w:t>All</w:t>
            </w:r>
            <w:r w:rsidR="00D95B27" w:rsidRPr="000F29E9">
              <w:rPr>
                <w:rFonts w:ascii="Arial" w:hAnsi="Arial" w:cs="Arial"/>
                <w:b/>
                <w:sz w:val="32"/>
                <w:szCs w:val="32"/>
              </w:rPr>
              <w:t xml:space="preserve"> District Health Boards</w:t>
            </w:r>
            <w:r w:rsidR="00D95B27" w:rsidRPr="000F29E9" w:rsidDel="00D95B2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A52DE0" w:rsidRPr="00A52DE0" w:rsidTr="00DE48BB">
        <w:tc>
          <w:tcPr>
            <w:tcW w:w="9648" w:type="dxa"/>
            <w:gridSpan w:val="3"/>
          </w:tcPr>
          <w:p w:rsidR="00D95B27" w:rsidRPr="00A52DE0" w:rsidRDefault="006E6075" w:rsidP="00DE48BB">
            <w:pPr>
              <w:pStyle w:val="Heading9"/>
              <w:spacing w:before="1080" w:after="0"/>
              <w:jc w:val="center"/>
              <w:rPr>
                <w:b/>
                <w:bCs/>
                <w:sz w:val="36"/>
                <w:szCs w:val="36"/>
              </w:rPr>
            </w:pPr>
            <w:r w:rsidRPr="00A52DE0">
              <w:rPr>
                <w:b/>
                <w:sz w:val="36"/>
                <w:szCs w:val="36"/>
              </w:rPr>
              <w:t>SERVICES PROVIDING CONSUMER LEADERSHIP</w:t>
            </w:r>
            <w:r w:rsidRPr="00A52DE0">
              <w:rPr>
                <w:b/>
                <w:bCs/>
                <w:sz w:val="36"/>
                <w:szCs w:val="36"/>
              </w:rPr>
              <w:t xml:space="preserve"> </w:t>
            </w:r>
            <w:r w:rsidR="00D95B27" w:rsidRPr="00A52DE0">
              <w:rPr>
                <w:b/>
                <w:bCs/>
                <w:sz w:val="36"/>
                <w:szCs w:val="36"/>
              </w:rPr>
              <w:t>MENTAL HEALTH AND ADDICTION SERVICES -</w:t>
            </w:r>
          </w:p>
          <w:p w:rsidR="00422EB2" w:rsidRPr="00A52DE0" w:rsidRDefault="00422EB2" w:rsidP="00BA5649">
            <w:pPr>
              <w:pStyle w:val="Heading5"/>
              <w:spacing w:before="120"/>
              <w:rPr>
                <w:rFonts w:cs="Arial"/>
                <w:sz w:val="36"/>
                <w:szCs w:val="36"/>
              </w:rPr>
            </w:pPr>
            <w:r w:rsidRPr="00A52DE0">
              <w:rPr>
                <w:rFonts w:cs="Arial"/>
                <w:sz w:val="36"/>
                <w:szCs w:val="36"/>
              </w:rPr>
              <w:t>TIER TWO</w:t>
            </w:r>
          </w:p>
          <w:p w:rsidR="006C7B18" w:rsidRPr="00A52DE0" w:rsidRDefault="00422EB2" w:rsidP="00DE48BB">
            <w:pPr>
              <w:spacing w:before="120" w:after="60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2DE0">
              <w:rPr>
                <w:rFonts w:ascii="Arial" w:hAnsi="Arial" w:cs="Arial"/>
                <w:b/>
                <w:sz w:val="36"/>
                <w:szCs w:val="36"/>
              </w:rPr>
              <w:t>SERVICE SPECIFICATION</w:t>
            </w:r>
          </w:p>
          <w:p w:rsidR="00422EB2" w:rsidRPr="00A52DE0" w:rsidRDefault="00422EB2" w:rsidP="00422EB2">
            <w:pPr>
              <w:jc w:val="both"/>
              <w:rPr>
                <w:rFonts w:ascii="Arial" w:hAnsi="Arial" w:cs="Arial"/>
              </w:rPr>
            </w:pPr>
          </w:p>
        </w:tc>
      </w:tr>
      <w:tr w:rsidR="00DE48BB" w:rsidRPr="00A52DE0" w:rsidTr="00DE48BB">
        <w:tc>
          <w:tcPr>
            <w:tcW w:w="6629" w:type="dxa"/>
            <w:gridSpan w:val="2"/>
          </w:tcPr>
          <w:p w:rsidR="00DE48BB" w:rsidRDefault="00DE48BB" w:rsidP="00DE48BB">
            <w:pPr>
              <w:pStyle w:val="Heading1"/>
              <w:spacing w:before="12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STATUS:</w:t>
            </w:r>
          </w:p>
          <w:p w:rsidR="00DE48BB" w:rsidRDefault="00DE48BB" w:rsidP="00DE48BB">
            <w:pPr>
              <w:pStyle w:val="Heading1"/>
              <w:spacing w:after="240"/>
              <w:rPr>
                <w:b w:val="0"/>
              </w:rPr>
            </w:pPr>
            <w:r>
              <w:rPr>
                <w:b w:val="0"/>
                <w:lang w:eastAsia="en-NZ"/>
              </w:rPr>
              <w:t>It is compulsory to use this nationwide service specification when purchasing this service.</w:t>
            </w:r>
          </w:p>
        </w:tc>
        <w:tc>
          <w:tcPr>
            <w:tcW w:w="3019" w:type="dxa"/>
          </w:tcPr>
          <w:p w:rsidR="00DE48BB" w:rsidRDefault="00DE48BB" w:rsidP="00DE48BB">
            <w:pPr>
              <w:pStyle w:val="Heading1"/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MANDATORY </w:t>
            </w:r>
          </w:p>
        </w:tc>
      </w:tr>
      <w:tr w:rsidR="00A52DE0" w:rsidRPr="00A52DE0" w:rsidTr="00DE48BB">
        <w:tc>
          <w:tcPr>
            <w:tcW w:w="6629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22EB2" w:rsidRPr="00A52DE0" w:rsidRDefault="00422EB2" w:rsidP="00932DB5">
            <w:pPr>
              <w:spacing w:before="120" w:after="120"/>
              <w:rPr>
                <w:sz w:val="28"/>
                <w:szCs w:val="28"/>
              </w:rPr>
            </w:pPr>
            <w:r w:rsidRPr="00A52DE0">
              <w:rPr>
                <w:rFonts w:ascii="Arial" w:hAnsi="Arial" w:cs="Arial"/>
                <w:b/>
                <w:sz w:val="28"/>
                <w:szCs w:val="28"/>
              </w:rPr>
              <w:t>Review history</w:t>
            </w:r>
          </w:p>
        </w:tc>
        <w:tc>
          <w:tcPr>
            <w:tcW w:w="301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422EB2" w:rsidRPr="00A52DE0" w:rsidRDefault="00422EB2" w:rsidP="00932DB5">
            <w:pPr>
              <w:spacing w:before="120" w:after="120"/>
              <w:rPr>
                <w:sz w:val="28"/>
                <w:szCs w:val="28"/>
              </w:rPr>
            </w:pPr>
            <w:r w:rsidRPr="00A52DE0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  <w:tr w:rsidR="00A52DE0" w:rsidRPr="00A52DE0" w:rsidTr="00DE48BB"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2EB2" w:rsidRPr="00A52DE0" w:rsidRDefault="00033D75" w:rsidP="00033D75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p</w:t>
            </w:r>
            <w:r w:rsidR="00422EB2" w:rsidRPr="00A52DE0">
              <w:rPr>
                <w:rFonts w:ascii="Arial" w:hAnsi="Arial" w:cs="Arial"/>
                <w:sz w:val="28"/>
                <w:szCs w:val="28"/>
              </w:rPr>
              <w:t>ublished on NSF Library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2EB2" w:rsidRPr="00A52DE0" w:rsidRDefault="00422EB2" w:rsidP="00932DB5">
            <w:pPr>
              <w:spacing w:before="120" w:after="120"/>
              <w:rPr>
                <w:sz w:val="28"/>
                <w:szCs w:val="28"/>
              </w:rPr>
            </w:pPr>
            <w:r w:rsidRPr="00A52DE0">
              <w:rPr>
                <w:rFonts w:ascii="Arial" w:hAnsi="Arial" w:cs="Arial"/>
                <w:sz w:val="28"/>
                <w:szCs w:val="28"/>
              </w:rPr>
              <w:t>June 2009</w:t>
            </w:r>
          </w:p>
        </w:tc>
      </w:tr>
      <w:tr w:rsidR="00A52DE0" w:rsidRPr="00A52DE0" w:rsidTr="00DE48BB"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3E84" w:rsidRPr="00292FB7" w:rsidRDefault="009C3E84" w:rsidP="000F29E9">
            <w:pPr>
              <w:spacing w:before="120" w:after="120"/>
              <w:rPr>
                <w:rFonts w:ascii="Arial" w:hAnsi="Arial" w:cs="Arial"/>
                <w:bCs/>
                <w:kern w:val="32"/>
              </w:rPr>
            </w:pPr>
            <w:r w:rsidRPr="000F29E9">
              <w:rPr>
                <w:rFonts w:ascii="Arial" w:hAnsi="Arial" w:cs="Arial"/>
                <w:b/>
                <w:bCs/>
                <w:kern w:val="32"/>
              </w:rPr>
              <w:t>Amend</w:t>
            </w:r>
            <w:r w:rsidR="000F29E9" w:rsidRPr="000F29E9">
              <w:rPr>
                <w:rFonts w:ascii="Arial" w:hAnsi="Arial" w:cs="Arial"/>
                <w:b/>
                <w:bCs/>
                <w:kern w:val="32"/>
              </w:rPr>
              <w:t>ed</w:t>
            </w:r>
            <w:r w:rsidR="00033D75" w:rsidRPr="000F29E9">
              <w:rPr>
                <w:rFonts w:ascii="Arial" w:hAnsi="Arial" w:cs="Arial"/>
                <w:b/>
                <w:bCs/>
                <w:kern w:val="32"/>
              </w:rPr>
              <w:t>:</w:t>
            </w:r>
            <w:r w:rsidRPr="00603694">
              <w:rPr>
                <w:rFonts w:ascii="Arial" w:hAnsi="Arial" w:cs="Arial"/>
                <w:bCs/>
                <w:kern w:val="32"/>
              </w:rPr>
              <w:t xml:space="preserve"> Removal of </w:t>
            </w:r>
            <w:r w:rsidR="006C7B18" w:rsidRPr="00603694">
              <w:rPr>
                <w:rFonts w:ascii="Arial" w:hAnsi="Arial" w:cs="Arial"/>
                <w:bCs/>
                <w:kern w:val="32"/>
              </w:rPr>
              <w:t>u</w:t>
            </w:r>
            <w:r w:rsidRPr="00603694">
              <w:rPr>
                <w:rFonts w:ascii="Arial" w:hAnsi="Arial" w:cs="Arial"/>
                <w:bCs/>
                <w:kern w:val="32"/>
              </w:rPr>
              <w:t xml:space="preserve">napproved Purchase Units </w:t>
            </w:r>
            <w:r w:rsidR="00033D75" w:rsidRPr="00603694">
              <w:rPr>
                <w:rFonts w:ascii="Arial" w:hAnsi="Arial" w:cs="Arial"/>
                <w:bCs/>
                <w:kern w:val="32"/>
              </w:rPr>
              <w:t xml:space="preserve">(PU) </w:t>
            </w:r>
            <w:r w:rsidRPr="00603694">
              <w:rPr>
                <w:rFonts w:ascii="Arial" w:hAnsi="Arial" w:cs="Arial"/>
                <w:bCs/>
                <w:kern w:val="32"/>
              </w:rPr>
              <w:t>MHCK36D, MHCK36F, MHCK37F</w:t>
            </w:r>
            <w:r w:rsidR="006C7B18" w:rsidRPr="00603694">
              <w:rPr>
                <w:rFonts w:ascii="Arial" w:hAnsi="Arial" w:cs="Arial"/>
                <w:bCs/>
                <w:kern w:val="32"/>
              </w:rPr>
              <w:t>. Minor editing changes for consistency.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3E84" w:rsidRPr="00A52DE0" w:rsidRDefault="009C3E84" w:rsidP="00932DB5">
            <w:pPr>
              <w:spacing w:before="120" w:after="120"/>
              <w:rPr>
                <w:sz w:val="28"/>
                <w:szCs w:val="28"/>
              </w:rPr>
            </w:pPr>
            <w:r w:rsidRPr="00A52DE0">
              <w:rPr>
                <w:rFonts w:ascii="Arial" w:hAnsi="Arial" w:cs="Arial"/>
                <w:sz w:val="28"/>
                <w:szCs w:val="28"/>
              </w:rPr>
              <w:t>February 2011</w:t>
            </w:r>
          </w:p>
        </w:tc>
      </w:tr>
      <w:tr w:rsidR="00A52DE0" w:rsidRPr="00A52DE0" w:rsidTr="00DE48BB"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B27" w:rsidRPr="00292FB7" w:rsidRDefault="00A82511" w:rsidP="000F29E9">
            <w:pPr>
              <w:spacing w:before="120" w:after="120"/>
              <w:rPr>
                <w:rFonts w:ascii="Arial" w:hAnsi="Arial" w:cs="Arial"/>
                <w:bCs/>
                <w:kern w:val="32"/>
              </w:rPr>
            </w:pPr>
            <w:r w:rsidRPr="000F29E9">
              <w:rPr>
                <w:rFonts w:ascii="Arial" w:hAnsi="Arial" w:cs="Arial"/>
                <w:b/>
                <w:bCs/>
                <w:kern w:val="32"/>
              </w:rPr>
              <w:t>Amend</w:t>
            </w:r>
            <w:r w:rsidR="000F29E9" w:rsidRPr="000F29E9">
              <w:rPr>
                <w:rFonts w:ascii="Arial" w:hAnsi="Arial" w:cs="Arial"/>
                <w:b/>
                <w:bCs/>
                <w:kern w:val="32"/>
              </w:rPr>
              <w:t>ed</w:t>
            </w:r>
            <w:r w:rsidRPr="000F29E9">
              <w:rPr>
                <w:rFonts w:ascii="Arial" w:hAnsi="Arial" w:cs="Arial"/>
                <w:b/>
                <w:bCs/>
                <w:kern w:val="32"/>
              </w:rPr>
              <w:t>:</w:t>
            </w:r>
            <w:r w:rsidR="00CE1329" w:rsidRPr="00603694">
              <w:rPr>
                <w:rFonts w:ascii="Arial" w:hAnsi="Arial" w:cs="Arial"/>
                <w:bCs/>
                <w:kern w:val="32"/>
              </w:rPr>
              <w:t xml:space="preserve"> </w:t>
            </w:r>
            <w:r w:rsidR="00CE1329" w:rsidRPr="00BC3121">
              <w:rPr>
                <w:rFonts w:ascii="Arial" w:hAnsi="Arial" w:cs="Arial"/>
                <w:bCs/>
                <w:kern w:val="32"/>
              </w:rPr>
              <w:t>minor wording changes for consistency with other service specifications page 2 and Section 10.</w:t>
            </w:r>
            <w:r w:rsidR="005B4AC8" w:rsidRPr="00BC3121">
              <w:rPr>
                <w:rFonts w:ascii="Arial" w:hAnsi="Arial" w:cs="Arial"/>
                <w:bCs/>
                <w:kern w:val="32"/>
              </w:rPr>
              <w:t xml:space="preserve"> </w:t>
            </w:r>
            <w:r w:rsidR="005713B2" w:rsidRPr="00BC3121">
              <w:rPr>
                <w:rFonts w:ascii="Arial" w:hAnsi="Arial" w:cs="Arial"/>
                <w:bCs/>
                <w:kern w:val="32"/>
              </w:rPr>
              <w:t xml:space="preserve">PU change from </w:t>
            </w:r>
            <w:r w:rsidR="00BC10A1" w:rsidRPr="00BC3121">
              <w:rPr>
                <w:rFonts w:ascii="Arial" w:hAnsi="Arial" w:cs="Arial"/>
                <w:bCs/>
                <w:kern w:val="32"/>
              </w:rPr>
              <w:t>MHC38F</w:t>
            </w:r>
            <w:r w:rsidR="00CE1329" w:rsidRPr="00BC3121">
              <w:rPr>
                <w:rFonts w:ascii="Arial" w:hAnsi="Arial" w:cs="Arial"/>
                <w:bCs/>
                <w:kern w:val="32"/>
              </w:rPr>
              <w:t xml:space="preserve"> </w:t>
            </w:r>
            <w:r w:rsidR="00BB19AF">
              <w:rPr>
                <w:rFonts w:ascii="Arial" w:hAnsi="Arial" w:cs="Arial"/>
                <w:bCs/>
                <w:kern w:val="32"/>
              </w:rPr>
              <w:t xml:space="preserve">to </w:t>
            </w:r>
            <w:r w:rsidR="00BB19AF" w:rsidRPr="00BC3121">
              <w:rPr>
                <w:rFonts w:ascii="Arial" w:hAnsi="Arial" w:cs="Arial"/>
                <w:bCs/>
                <w:kern w:val="32"/>
              </w:rPr>
              <w:t>MHC102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27" w:rsidRPr="00A52DE0" w:rsidRDefault="00D13440" w:rsidP="00932DB5">
            <w:pPr>
              <w:spacing w:before="120" w:after="120"/>
              <w:rPr>
                <w:sz w:val="28"/>
                <w:szCs w:val="28"/>
              </w:rPr>
            </w:pPr>
            <w:r w:rsidRPr="00A52DE0">
              <w:rPr>
                <w:rFonts w:ascii="Arial" w:hAnsi="Arial" w:cs="Arial"/>
                <w:sz w:val="28"/>
                <w:szCs w:val="28"/>
              </w:rPr>
              <w:t>February</w:t>
            </w:r>
            <w:r w:rsidR="00D95B27" w:rsidRPr="00A52DE0">
              <w:rPr>
                <w:rFonts w:ascii="Arial" w:hAnsi="Arial" w:cs="Arial"/>
                <w:sz w:val="28"/>
                <w:szCs w:val="28"/>
              </w:rPr>
              <w:t xml:space="preserve"> 2012</w:t>
            </w:r>
          </w:p>
        </w:tc>
      </w:tr>
      <w:tr w:rsidR="00A52DE0" w:rsidRPr="00A52DE0" w:rsidTr="00DE48BB"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075" w:rsidRPr="00292FB7" w:rsidRDefault="006E6075" w:rsidP="000F29E9">
            <w:pPr>
              <w:spacing w:before="120" w:after="120"/>
              <w:rPr>
                <w:rFonts w:ascii="Arial" w:hAnsi="Arial" w:cs="Arial"/>
                <w:bCs/>
                <w:kern w:val="32"/>
              </w:rPr>
            </w:pPr>
            <w:r w:rsidRPr="000F29E9">
              <w:rPr>
                <w:rFonts w:ascii="Arial" w:hAnsi="Arial" w:cs="Arial"/>
                <w:b/>
                <w:bCs/>
                <w:kern w:val="32"/>
              </w:rPr>
              <w:t>Amend</w:t>
            </w:r>
            <w:r w:rsidR="000F29E9" w:rsidRPr="000F29E9">
              <w:rPr>
                <w:rFonts w:ascii="Arial" w:hAnsi="Arial" w:cs="Arial"/>
                <w:b/>
                <w:bCs/>
                <w:kern w:val="32"/>
              </w:rPr>
              <w:t>ed</w:t>
            </w:r>
            <w:r w:rsidRPr="000F29E9">
              <w:rPr>
                <w:rFonts w:ascii="Arial" w:hAnsi="Arial" w:cs="Arial"/>
                <w:b/>
                <w:bCs/>
                <w:kern w:val="32"/>
              </w:rPr>
              <w:t>:</w:t>
            </w:r>
            <w:r w:rsidRPr="00603694">
              <w:rPr>
                <w:rFonts w:ascii="Arial" w:hAnsi="Arial" w:cs="Arial"/>
                <w:bCs/>
                <w:kern w:val="32"/>
              </w:rPr>
              <w:t xml:space="preserve"> clarified reporting requirements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075" w:rsidRPr="00A52DE0" w:rsidRDefault="006E6075" w:rsidP="00932DB5">
            <w:pPr>
              <w:spacing w:before="120" w:after="120"/>
              <w:rPr>
                <w:sz w:val="28"/>
                <w:szCs w:val="28"/>
              </w:rPr>
            </w:pPr>
            <w:r w:rsidRPr="00A52DE0">
              <w:rPr>
                <w:rFonts w:ascii="Arial" w:hAnsi="Arial" w:cs="Arial"/>
                <w:sz w:val="28"/>
                <w:szCs w:val="28"/>
              </w:rPr>
              <w:t>March 2013</w:t>
            </w:r>
          </w:p>
        </w:tc>
      </w:tr>
      <w:tr w:rsidR="00603694" w:rsidRPr="00A52DE0" w:rsidTr="00DE48BB"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694" w:rsidRPr="00603694" w:rsidRDefault="00603694" w:rsidP="000F29E9">
            <w:pPr>
              <w:spacing w:before="120" w:after="120"/>
              <w:rPr>
                <w:rFonts w:ascii="Arial" w:hAnsi="Arial" w:cs="Arial"/>
                <w:bCs/>
                <w:kern w:val="32"/>
              </w:rPr>
            </w:pPr>
            <w:r w:rsidRPr="000F29E9">
              <w:rPr>
                <w:rFonts w:ascii="Arial" w:hAnsi="Arial" w:cs="Arial"/>
                <w:b/>
                <w:bCs/>
                <w:kern w:val="32"/>
              </w:rPr>
              <w:t>Amend</w:t>
            </w:r>
            <w:r w:rsidR="000F29E9" w:rsidRPr="000F29E9">
              <w:rPr>
                <w:rFonts w:ascii="Arial" w:hAnsi="Arial" w:cs="Arial"/>
                <w:b/>
                <w:bCs/>
                <w:kern w:val="32"/>
              </w:rPr>
              <w:t>ed</w:t>
            </w:r>
            <w:r w:rsidRPr="000F29E9">
              <w:rPr>
                <w:rFonts w:ascii="Arial" w:hAnsi="Arial" w:cs="Arial"/>
                <w:b/>
                <w:bCs/>
                <w:kern w:val="32"/>
              </w:rPr>
              <w:t>:</w:t>
            </w:r>
            <w:r w:rsidRPr="00603694">
              <w:rPr>
                <w:rFonts w:ascii="Arial" w:hAnsi="Arial" w:cs="Arial"/>
                <w:bCs/>
                <w:kern w:val="32"/>
              </w:rPr>
              <w:t xml:space="preserve"> added purchase units MHC “S” series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694" w:rsidRPr="00A52DE0" w:rsidRDefault="00292FB7" w:rsidP="00292FB7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2017</w:t>
            </w:r>
          </w:p>
        </w:tc>
      </w:tr>
      <w:tr w:rsidR="00A52DE0" w:rsidRPr="00A52DE0" w:rsidTr="00DE48BB"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5B27" w:rsidRPr="00A52DE0" w:rsidRDefault="00D95B27" w:rsidP="00932DB5">
            <w:pPr>
              <w:spacing w:before="120" w:after="120"/>
              <w:rPr>
                <w:sz w:val="28"/>
                <w:szCs w:val="28"/>
              </w:rPr>
            </w:pPr>
            <w:r w:rsidRPr="00A52DE0">
              <w:rPr>
                <w:rFonts w:ascii="Arial" w:hAnsi="Arial" w:cs="Arial"/>
                <w:sz w:val="28"/>
                <w:szCs w:val="28"/>
              </w:rPr>
              <w:t>Consideration for next Service Specification Review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5B27" w:rsidRPr="00A52DE0" w:rsidRDefault="00D95B27" w:rsidP="00932DB5">
            <w:pPr>
              <w:spacing w:before="120" w:after="120"/>
              <w:rPr>
                <w:sz w:val="28"/>
                <w:szCs w:val="28"/>
              </w:rPr>
            </w:pPr>
            <w:r w:rsidRPr="00A52DE0">
              <w:rPr>
                <w:rFonts w:ascii="Arial" w:hAnsi="Arial" w:cs="Arial"/>
                <w:sz w:val="28"/>
                <w:szCs w:val="28"/>
              </w:rPr>
              <w:t>Within five years</w:t>
            </w:r>
          </w:p>
        </w:tc>
      </w:tr>
    </w:tbl>
    <w:p w:rsidR="006E6075" w:rsidRPr="00A52DE0" w:rsidRDefault="006E6075" w:rsidP="006E6075">
      <w:pPr>
        <w:spacing w:before="120"/>
        <w:rPr>
          <w:rFonts w:ascii="Arial" w:hAnsi="Arial"/>
          <w:lang w:val="en-GB" w:eastAsia="en-GB"/>
        </w:rPr>
      </w:pPr>
      <w:bookmarkStart w:id="1" w:name="_Toc215319119"/>
      <w:r w:rsidRPr="00A52DE0">
        <w:rPr>
          <w:rFonts w:ascii="Arial" w:hAnsi="Arial"/>
          <w:b/>
          <w:lang w:val="en-GB" w:eastAsia="en-GB"/>
        </w:rPr>
        <w:t>Note:</w:t>
      </w:r>
      <w:r w:rsidRPr="00A52DE0">
        <w:rPr>
          <w:rFonts w:ascii="Arial" w:hAnsi="Arial"/>
          <w:lang w:val="en-GB" w:eastAsia="en-GB"/>
        </w:rPr>
        <w:t xml:space="preserve"> Contact the Service Specification Programme Manager, </w:t>
      </w:r>
      <w:r w:rsidR="00603694">
        <w:rPr>
          <w:rFonts w:ascii="Arial" w:hAnsi="Arial"/>
          <w:lang w:val="en-GB" w:eastAsia="en-GB"/>
        </w:rPr>
        <w:t>Service Commissioning</w:t>
      </w:r>
      <w:r w:rsidRPr="00A52DE0">
        <w:rPr>
          <w:rFonts w:ascii="Arial" w:hAnsi="Arial"/>
          <w:lang w:val="en-GB" w:eastAsia="en-GB"/>
        </w:rPr>
        <w:t xml:space="preserve">, Ministry of Health to discuss proposed amendments to the service specifications and guidance in developing new or updating and revising existing service specifications. </w:t>
      </w:r>
    </w:p>
    <w:p w:rsidR="00BC3121" w:rsidRDefault="006E6075" w:rsidP="00981532">
      <w:pPr>
        <w:spacing w:before="120"/>
        <w:rPr>
          <w:rFonts w:ascii="Arial" w:hAnsi="Arial"/>
          <w:lang w:val="en-GB" w:eastAsia="en-GB"/>
        </w:rPr>
      </w:pPr>
      <w:r w:rsidRPr="00A52DE0">
        <w:rPr>
          <w:rFonts w:ascii="Arial" w:hAnsi="Arial"/>
          <w:lang w:val="en-GB" w:eastAsia="en-GB"/>
        </w:rPr>
        <w:t xml:space="preserve">Nationwide Service Framework Library web site </w:t>
      </w:r>
      <w:hyperlink r:id="rId9" w:history="1">
        <w:r w:rsidRPr="00A52DE0">
          <w:rPr>
            <w:rFonts w:ascii="Arial" w:hAnsi="Arial"/>
            <w:u w:val="single"/>
            <w:lang w:val="en-GB" w:eastAsia="en-GB"/>
          </w:rPr>
          <w:t>http://www.nsfl.health.govt.nz/</w:t>
        </w:r>
      </w:hyperlink>
      <w:r w:rsidRPr="00A52DE0">
        <w:rPr>
          <w:rFonts w:ascii="Arial" w:hAnsi="Arial"/>
          <w:lang w:val="en-GB" w:eastAsia="en-GB"/>
        </w:rPr>
        <w:t xml:space="preserve"> </w:t>
      </w:r>
      <w:bookmarkEnd w:id="1"/>
      <w:r w:rsidR="00BC3121">
        <w:rPr>
          <w:rFonts w:ascii="Arial" w:hAnsi="Arial"/>
          <w:lang w:val="en-GB" w:eastAsia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6"/>
      </w:tblGrid>
      <w:tr w:rsidR="00A52DE0" w:rsidRPr="00A52DE0" w:rsidTr="00036B4C">
        <w:tc>
          <w:tcPr>
            <w:tcW w:w="9736" w:type="dxa"/>
          </w:tcPr>
          <w:p w:rsidR="006E6075" w:rsidRPr="00A52DE0" w:rsidRDefault="00422EB2">
            <w:pPr>
              <w:jc w:val="center"/>
              <w:rPr>
                <w:rFonts w:ascii="Arial" w:hAnsi="Arial" w:cs="Arial"/>
                <w:b/>
              </w:rPr>
            </w:pPr>
            <w:r w:rsidRPr="00A52DE0">
              <w:rPr>
                <w:rFonts w:ascii="Arial" w:hAnsi="Arial" w:cs="Arial"/>
              </w:rPr>
              <w:lastRenderedPageBreak/>
              <w:br w:type="page"/>
            </w:r>
            <w:r w:rsidRPr="00A52DE0">
              <w:rPr>
                <w:rFonts w:ascii="Arial" w:hAnsi="Arial" w:cs="Arial"/>
                <w:b/>
              </w:rPr>
              <w:br w:type="page"/>
            </w:r>
            <w:r w:rsidR="006E6075" w:rsidRPr="00A52DE0">
              <w:rPr>
                <w:rFonts w:ascii="Arial" w:hAnsi="Arial" w:cs="Arial"/>
                <w:b/>
              </w:rPr>
              <w:t>SERVICES PROVIDING CONSUMER LEADERSHIP -</w:t>
            </w:r>
          </w:p>
          <w:p w:rsidR="00D95B27" w:rsidRPr="00A52DE0" w:rsidRDefault="00D95B27">
            <w:pPr>
              <w:jc w:val="center"/>
              <w:rPr>
                <w:rFonts w:ascii="Arial" w:hAnsi="Arial" w:cs="Arial"/>
                <w:b/>
              </w:rPr>
            </w:pPr>
            <w:r w:rsidRPr="00A52DE0">
              <w:rPr>
                <w:rFonts w:ascii="Arial" w:hAnsi="Arial" w:cs="Arial"/>
                <w:b/>
              </w:rPr>
              <w:t xml:space="preserve">MENTAL HEALTH </w:t>
            </w:r>
            <w:smartTag w:uri="urn:schemas-microsoft-com:office:smarttags" w:element="stockticker">
              <w:r w:rsidRPr="00A52DE0">
                <w:rPr>
                  <w:rFonts w:ascii="Arial" w:hAnsi="Arial" w:cs="Arial"/>
                  <w:b/>
                </w:rPr>
                <w:t>AND</w:t>
              </w:r>
            </w:smartTag>
            <w:r w:rsidRPr="00A52DE0">
              <w:rPr>
                <w:rFonts w:ascii="Arial" w:hAnsi="Arial" w:cs="Arial"/>
                <w:b/>
              </w:rPr>
              <w:t xml:space="preserve"> ADDICTION SERVICES -</w:t>
            </w:r>
          </w:p>
          <w:p w:rsidR="00422EB2" w:rsidRPr="00A52DE0" w:rsidRDefault="00422EB2" w:rsidP="00292FB7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stockticker">
              <w:r w:rsidRPr="00A52DE0">
                <w:rPr>
                  <w:rFonts w:ascii="Arial" w:hAnsi="Arial" w:cs="Arial"/>
                  <w:b/>
                </w:rPr>
                <w:t>TIER</w:t>
              </w:r>
            </w:smartTag>
            <w:r w:rsidRPr="00A52DE0">
              <w:rPr>
                <w:rFonts w:ascii="Arial" w:hAnsi="Arial" w:cs="Arial"/>
                <w:b/>
              </w:rPr>
              <w:t xml:space="preserve"> TWO</w:t>
            </w:r>
            <w:r w:rsidR="00603694">
              <w:rPr>
                <w:rFonts w:ascii="Arial" w:hAnsi="Arial" w:cs="Arial"/>
                <w:b/>
              </w:rPr>
              <w:t xml:space="preserve"> </w:t>
            </w:r>
            <w:r w:rsidRPr="00A52DE0">
              <w:rPr>
                <w:rFonts w:ascii="Arial" w:hAnsi="Arial" w:cs="Arial"/>
                <w:b/>
              </w:rPr>
              <w:t>SERVICE SPECIFICATION</w:t>
            </w:r>
          </w:p>
        </w:tc>
      </w:tr>
    </w:tbl>
    <w:p w:rsidR="00036B4C" w:rsidRDefault="00036B4C" w:rsidP="00292FB7">
      <w:pPr>
        <w:spacing w:before="120"/>
        <w:rPr>
          <w:rFonts w:ascii="Arial" w:hAnsi="Arial" w:cs="Arial"/>
        </w:rPr>
      </w:pPr>
      <w:bookmarkStart w:id="2" w:name="_Toc215319123"/>
      <w:r w:rsidRPr="00A52DE0">
        <w:rPr>
          <w:rFonts w:ascii="Arial" w:hAnsi="Arial" w:cs="Arial"/>
        </w:rPr>
        <w:t xml:space="preserve">This tier two service specification </w:t>
      </w:r>
      <w:r w:rsidR="00F02A50">
        <w:rPr>
          <w:rFonts w:ascii="Arial" w:hAnsi="Arial" w:cs="Arial"/>
        </w:rPr>
        <w:t xml:space="preserve">for </w:t>
      </w:r>
      <w:r w:rsidR="00F02A50" w:rsidRPr="00A52DE0">
        <w:rPr>
          <w:rFonts w:ascii="Arial" w:hAnsi="Arial" w:cs="Arial"/>
        </w:rPr>
        <w:t>Services Providing Consumer Leadership</w:t>
      </w:r>
      <w:r w:rsidR="00F02A50">
        <w:rPr>
          <w:rFonts w:ascii="Arial" w:hAnsi="Arial" w:cs="Arial"/>
        </w:rPr>
        <w:t xml:space="preserve"> (the Service) </w:t>
      </w:r>
      <w:r w:rsidRPr="00A52DE0">
        <w:rPr>
          <w:rFonts w:ascii="Arial" w:hAnsi="Arial" w:cs="Arial"/>
        </w:rPr>
        <w:t xml:space="preserve">is the overarching document for the </w:t>
      </w:r>
      <w:r>
        <w:rPr>
          <w:rFonts w:ascii="Arial" w:hAnsi="Arial" w:cs="Arial"/>
        </w:rPr>
        <w:t xml:space="preserve">range of </w:t>
      </w:r>
      <w:r w:rsidR="008F73F0">
        <w:rPr>
          <w:rFonts w:ascii="Arial" w:hAnsi="Arial" w:cs="Arial"/>
        </w:rPr>
        <w:t xml:space="preserve">tier three </w:t>
      </w:r>
      <w:r w:rsidR="00C51842" w:rsidRPr="00A52DE0">
        <w:rPr>
          <w:rFonts w:ascii="Arial" w:hAnsi="Arial" w:cs="Arial"/>
        </w:rPr>
        <w:t xml:space="preserve">service </w:t>
      </w:r>
      <w:r w:rsidR="00295960" w:rsidRPr="00A52DE0">
        <w:rPr>
          <w:rFonts w:ascii="Arial" w:hAnsi="Arial" w:cs="Arial"/>
        </w:rPr>
        <w:t xml:space="preserve">specifications </w:t>
      </w:r>
      <w:r w:rsidR="00295960">
        <w:rPr>
          <w:rFonts w:ascii="Arial" w:hAnsi="Arial" w:cs="Arial"/>
        </w:rPr>
        <w:t>for</w:t>
      </w:r>
      <w:r w:rsidR="00C51842">
        <w:rPr>
          <w:rFonts w:ascii="Arial" w:hAnsi="Arial" w:cs="Arial"/>
        </w:rPr>
        <w:t xml:space="preserve"> </w:t>
      </w:r>
      <w:r w:rsidRPr="00A52DE0">
        <w:rPr>
          <w:rFonts w:ascii="Arial" w:hAnsi="Arial" w:cs="Arial"/>
        </w:rPr>
        <w:t>Services Providing Consumer Leadership.  Th</w:t>
      </w:r>
      <w:r>
        <w:rPr>
          <w:rFonts w:ascii="Arial" w:hAnsi="Arial" w:cs="Arial"/>
        </w:rPr>
        <w:t>is</w:t>
      </w:r>
      <w:r w:rsidRPr="00A52DE0">
        <w:rPr>
          <w:rFonts w:ascii="Arial" w:hAnsi="Arial" w:cs="Arial"/>
        </w:rPr>
        <w:t xml:space="preserve"> service specification defines Services Providing Consumer Leadership and their objectives in the delivery of services</w:t>
      </w:r>
      <w:r>
        <w:rPr>
          <w:rFonts w:ascii="Arial" w:hAnsi="Arial" w:cs="Arial"/>
        </w:rPr>
        <w:t>.</w:t>
      </w:r>
    </w:p>
    <w:p w:rsidR="00D95B27" w:rsidRPr="00A52DE0" w:rsidRDefault="00422EB2" w:rsidP="00292FB7">
      <w:pPr>
        <w:spacing w:before="120"/>
        <w:rPr>
          <w:rFonts w:ascii="Arial" w:hAnsi="Arial" w:cs="Arial"/>
        </w:rPr>
      </w:pPr>
      <w:r w:rsidRPr="00A52DE0">
        <w:rPr>
          <w:rFonts w:ascii="Arial" w:hAnsi="Arial" w:cs="Arial"/>
        </w:rPr>
        <w:t>This</w:t>
      </w:r>
      <w:r w:rsidR="008F73F0">
        <w:rPr>
          <w:rFonts w:ascii="Arial" w:hAnsi="Arial" w:cs="Arial"/>
        </w:rPr>
        <w:t xml:space="preserve"> </w:t>
      </w:r>
      <w:r w:rsidRPr="00A52DE0">
        <w:rPr>
          <w:rFonts w:ascii="Arial" w:hAnsi="Arial" w:cs="Arial"/>
        </w:rPr>
        <w:t xml:space="preserve">service specification </w:t>
      </w:r>
      <w:r w:rsidR="00D95B27" w:rsidRPr="00A52DE0">
        <w:rPr>
          <w:rFonts w:ascii="Arial" w:hAnsi="Arial" w:cs="Arial"/>
        </w:rPr>
        <w:t>must be used in conjunction with</w:t>
      </w:r>
      <w:r w:rsidRPr="00A52DE0">
        <w:rPr>
          <w:rFonts w:ascii="Arial" w:hAnsi="Arial" w:cs="Arial"/>
        </w:rPr>
        <w:t xml:space="preserve"> tier one Mental Health and Addiction </w:t>
      </w:r>
      <w:r w:rsidR="006C7B18" w:rsidRPr="00A52DE0">
        <w:rPr>
          <w:rFonts w:ascii="Arial" w:hAnsi="Arial" w:cs="Arial"/>
        </w:rPr>
        <w:t xml:space="preserve">Services </w:t>
      </w:r>
      <w:r w:rsidRPr="00A52DE0">
        <w:rPr>
          <w:rFonts w:ascii="Arial" w:hAnsi="Arial" w:cs="Arial"/>
        </w:rPr>
        <w:t>service specification</w:t>
      </w:r>
      <w:r w:rsidR="008F73F0">
        <w:rPr>
          <w:rFonts w:ascii="Arial" w:hAnsi="Arial" w:cs="Arial"/>
        </w:rPr>
        <w:t xml:space="preserve"> and their three</w:t>
      </w:r>
      <w:r w:rsidRPr="00A52DE0">
        <w:rPr>
          <w:rFonts w:ascii="Arial" w:hAnsi="Arial" w:cs="Arial"/>
        </w:rPr>
        <w:t xml:space="preserve"> Services Providing Consumer Leadership service specifications</w:t>
      </w:r>
      <w:r w:rsidR="00292FB7">
        <w:rPr>
          <w:rFonts w:ascii="Arial" w:hAnsi="Arial" w:cs="Arial"/>
        </w:rPr>
        <w:t xml:space="preserve"> </w:t>
      </w:r>
      <w:r w:rsidR="00A5488F">
        <w:rPr>
          <w:rFonts w:ascii="Arial" w:hAnsi="Arial" w:cs="Arial"/>
        </w:rPr>
        <w:t>listed in section 10 below</w:t>
      </w:r>
      <w:r w:rsidR="00194DD3">
        <w:rPr>
          <w:rFonts w:ascii="Arial" w:hAnsi="Arial" w:cs="Arial"/>
        </w:rPr>
        <w:t>.</w:t>
      </w:r>
      <w:r w:rsidR="00B7269E" w:rsidRPr="00B7269E">
        <w:rPr>
          <w:rFonts w:cs="Arial"/>
        </w:rPr>
        <w:t xml:space="preserve"> </w:t>
      </w:r>
      <w:r w:rsidR="00B7269E" w:rsidRPr="00292FB7">
        <w:rPr>
          <w:rFonts w:ascii="Arial" w:hAnsi="Arial" w:cs="Arial"/>
        </w:rPr>
        <w:t>Local DHB service specifications may also be included under this service specification as appropriate.</w:t>
      </w:r>
      <w:r w:rsidR="00B7269E">
        <w:rPr>
          <w:rFonts w:cs="Arial"/>
        </w:rPr>
        <w:t xml:space="preserve"> </w:t>
      </w:r>
      <w:bookmarkEnd w:id="2"/>
    </w:p>
    <w:p w:rsidR="004F1097" w:rsidRPr="00A52DE0" w:rsidRDefault="004F1097" w:rsidP="004F1097">
      <w:pPr>
        <w:spacing w:before="240"/>
        <w:rPr>
          <w:rFonts w:ascii="Arial" w:hAnsi="Arial" w:cs="Arial"/>
          <w:b/>
        </w:rPr>
      </w:pPr>
      <w:r w:rsidRPr="00A52DE0">
        <w:rPr>
          <w:rFonts w:ascii="Arial" w:hAnsi="Arial" w:cs="Arial"/>
          <w:b/>
        </w:rPr>
        <w:t>Introduction</w:t>
      </w:r>
    </w:p>
    <w:p w:rsidR="00422EB2" w:rsidRPr="00A52DE0" w:rsidRDefault="00422EB2" w:rsidP="00422EB2">
      <w:pPr>
        <w:spacing w:before="120"/>
        <w:rPr>
          <w:rFonts w:ascii="Arial" w:hAnsi="Arial" w:cs="Arial"/>
        </w:rPr>
      </w:pPr>
      <w:r w:rsidRPr="00A52DE0">
        <w:rPr>
          <w:rFonts w:ascii="Arial" w:hAnsi="Arial" w:cs="Arial"/>
        </w:rPr>
        <w:t xml:space="preserve">Consumer leadership, advice and participation can make an important contribution to ensuring the mental health and addiction’s sector is </w:t>
      </w:r>
      <w:r w:rsidR="006C7B18" w:rsidRPr="00A52DE0">
        <w:rPr>
          <w:rFonts w:ascii="Arial" w:hAnsi="Arial" w:cs="Arial"/>
        </w:rPr>
        <w:t>S</w:t>
      </w:r>
      <w:r w:rsidRPr="00A52DE0">
        <w:rPr>
          <w:rFonts w:ascii="Arial" w:hAnsi="Arial" w:cs="Arial"/>
        </w:rPr>
        <w:t xml:space="preserve">ervice-user focused with an emphasis on recovery and wellness.  People with a lived experience of mental illness or addiction need to be effectively involved in the planning, implementation and evaluation of mental health and addiction services at all levels. </w:t>
      </w:r>
    </w:p>
    <w:p w:rsidR="00422EB2" w:rsidRPr="00A52DE0" w:rsidRDefault="00422EB2" w:rsidP="00422EB2">
      <w:pPr>
        <w:spacing w:before="120"/>
        <w:rPr>
          <w:rFonts w:ascii="Arial" w:hAnsi="Arial" w:cs="Arial"/>
        </w:rPr>
      </w:pPr>
      <w:r w:rsidRPr="00A52DE0">
        <w:rPr>
          <w:rFonts w:ascii="Arial" w:hAnsi="Arial" w:cs="Arial"/>
        </w:rPr>
        <w:t>Services that provide consumer leadership work in partnership with other clinical and non-clinical mental health and addiction services.  These services can be provided directly by a District Health Board (DHB), as an external service or under the umbrella of another organisation.</w:t>
      </w:r>
    </w:p>
    <w:p w:rsidR="00422EB2" w:rsidRPr="00A52DE0" w:rsidRDefault="00422EB2" w:rsidP="00422EB2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A52DE0">
        <w:rPr>
          <w:rFonts w:ascii="Arial" w:hAnsi="Arial" w:cs="Arial"/>
        </w:rPr>
        <w:t xml:space="preserve">Service specifications apply to both the mental health and addiction sectors.  To be effective, those who are delivering these services must have a ‘lived experience of recovery’ in the sector they are working. </w:t>
      </w:r>
    </w:p>
    <w:p w:rsidR="00422EB2" w:rsidRPr="00A52DE0" w:rsidRDefault="00422EB2" w:rsidP="00422EB2">
      <w:pPr>
        <w:tabs>
          <w:tab w:val="left" w:pos="513"/>
        </w:tabs>
        <w:spacing w:before="240" w:after="120"/>
        <w:jc w:val="both"/>
        <w:rPr>
          <w:rFonts w:ascii="Arial" w:hAnsi="Arial" w:cs="Arial"/>
          <w:b/>
        </w:rPr>
      </w:pPr>
      <w:bookmarkStart w:id="3" w:name="_Toc215319135"/>
      <w:r w:rsidRPr="00A52DE0">
        <w:rPr>
          <w:rFonts w:ascii="Arial" w:hAnsi="Arial" w:cs="Arial"/>
          <w:b/>
        </w:rPr>
        <w:t>1.</w:t>
      </w:r>
      <w:r w:rsidRPr="00A52DE0">
        <w:rPr>
          <w:rFonts w:ascii="Arial" w:hAnsi="Arial" w:cs="Arial"/>
          <w:b/>
        </w:rPr>
        <w:tab/>
        <w:t>Service Definition</w:t>
      </w:r>
      <w:bookmarkEnd w:id="3"/>
    </w:p>
    <w:p w:rsidR="00422EB2" w:rsidRPr="00A52DE0" w:rsidRDefault="00422EB2" w:rsidP="00422EB2">
      <w:pPr>
        <w:pStyle w:val="1"/>
        <w:rPr>
          <w:rFonts w:ascii="Arial" w:hAnsi="Arial" w:cs="Arial"/>
          <w:b w:val="0"/>
          <w:sz w:val="24"/>
          <w:szCs w:val="24"/>
          <w:lang w:val="en-NZ"/>
        </w:rPr>
      </w:pPr>
      <w:r w:rsidRPr="00A52DE0">
        <w:rPr>
          <w:rFonts w:ascii="Arial" w:hAnsi="Arial" w:cs="Arial"/>
          <w:b w:val="0"/>
          <w:sz w:val="24"/>
          <w:szCs w:val="24"/>
          <w:lang w:val="en-NZ"/>
        </w:rPr>
        <w:t xml:space="preserve">Services specifically refer to mental health and addiction services provided by people who identify as current or former mental health and/or addiction </w:t>
      </w:r>
      <w:r w:rsidR="00BC3121">
        <w:rPr>
          <w:rFonts w:ascii="Arial" w:hAnsi="Arial" w:cs="Arial"/>
          <w:b w:val="0"/>
          <w:sz w:val="24"/>
          <w:szCs w:val="24"/>
          <w:lang w:val="en-NZ"/>
        </w:rPr>
        <w:t>Service User</w:t>
      </w:r>
      <w:r w:rsidRPr="00A52DE0">
        <w:rPr>
          <w:rFonts w:ascii="Arial" w:hAnsi="Arial" w:cs="Arial"/>
          <w:b w:val="0"/>
          <w:sz w:val="24"/>
          <w:szCs w:val="24"/>
          <w:lang w:val="en-NZ"/>
        </w:rPr>
        <w:t xml:space="preserve">s.  These services place emphasis on the value of the lived experience and expertise of people with experience of mental illness or addiction.  </w:t>
      </w:r>
    </w:p>
    <w:p w:rsidR="00422EB2" w:rsidRPr="00A52DE0" w:rsidRDefault="00422EB2" w:rsidP="00422EB2">
      <w:pPr>
        <w:pStyle w:val="1"/>
        <w:spacing w:before="120"/>
        <w:rPr>
          <w:rFonts w:ascii="Arial" w:hAnsi="Arial" w:cs="Arial"/>
          <w:b w:val="0"/>
          <w:sz w:val="24"/>
          <w:szCs w:val="24"/>
          <w:lang w:val="en-NZ"/>
        </w:rPr>
      </w:pPr>
      <w:r w:rsidRPr="00A52DE0">
        <w:rPr>
          <w:rFonts w:ascii="Arial" w:hAnsi="Arial" w:cs="Arial"/>
          <w:b w:val="0"/>
          <w:sz w:val="24"/>
          <w:szCs w:val="24"/>
          <w:lang w:val="en-NZ"/>
        </w:rPr>
        <w:t xml:space="preserve">Services that provide consumer leadership are based on the concepts of mutual support and the importance of shared experience.  Tier three service specifications provide details on a range of those services.  However, services led by consumers are not precluded from also providing other types of mental health and addiction services. </w:t>
      </w:r>
    </w:p>
    <w:p w:rsidR="00422EB2" w:rsidRPr="00A52DE0" w:rsidRDefault="00422EB2" w:rsidP="00292FB7">
      <w:pPr>
        <w:tabs>
          <w:tab w:val="left" w:pos="570"/>
        </w:tabs>
        <w:spacing w:before="240" w:after="120"/>
        <w:rPr>
          <w:rFonts w:ascii="Arial" w:hAnsi="Arial" w:cs="Arial"/>
          <w:b/>
        </w:rPr>
      </w:pPr>
      <w:bookmarkStart w:id="4" w:name="_Toc215319136"/>
      <w:r w:rsidRPr="00A52DE0">
        <w:rPr>
          <w:rFonts w:ascii="Arial" w:hAnsi="Arial" w:cs="Arial"/>
          <w:b/>
        </w:rPr>
        <w:t>2.</w:t>
      </w:r>
      <w:r w:rsidRPr="00A52DE0">
        <w:rPr>
          <w:rFonts w:ascii="Arial" w:hAnsi="Arial" w:cs="Arial"/>
          <w:b/>
        </w:rPr>
        <w:tab/>
        <w:t>Service Objectives</w:t>
      </w:r>
      <w:bookmarkEnd w:id="4"/>
    </w:p>
    <w:p w:rsidR="00880067" w:rsidRPr="00A52DE0" w:rsidRDefault="00880067" w:rsidP="00880067">
      <w:pPr>
        <w:tabs>
          <w:tab w:val="left" w:pos="570"/>
        </w:tabs>
        <w:spacing w:before="120" w:after="60"/>
        <w:jc w:val="both"/>
        <w:rPr>
          <w:rFonts w:ascii="Arial" w:hAnsi="Arial" w:cs="Arial"/>
          <w:b/>
        </w:rPr>
      </w:pPr>
      <w:r w:rsidRPr="00A52DE0">
        <w:rPr>
          <w:rFonts w:ascii="Arial" w:hAnsi="Arial" w:cs="Arial"/>
          <w:b/>
        </w:rPr>
        <w:t>2.1</w:t>
      </w:r>
      <w:r w:rsidRPr="00A52DE0">
        <w:rPr>
          <w:rFonts w:ascii="Arial" w:hAnsi="Arial" w:cs="Arial"/>
          <w:b/>
        </w:rPr>
        <w:tab/>
        <w:t>General</w:t>
      </w:r>
    </w:p>
    <w:p w:rsidR="00422EB2" w:rsidRPr="00A52DE0" w:rsidRDefault="00422EB2" w:rsidP="00422EB2">
      <w:pPr>
        <w:rPr>
          <w:rFonts w:ascii="Arial" w:hAnsi="Arial" w:cs="Arial"/>
        </w:rPr>
      </w:pPr>
      <w:r w:rsidRPr="00A52DE0">
        <w:rPr>
          <w:rFonts w:ascii="Arial" w:hAnsi="Arial" w:cs="Arial"/>
        </w:rPr>
        <w:t>The following Service objectives apply:</w:t>
      </w:r>
    </w:p>
    <w:p w:rsidR="00422EB2" w:rsidRPr="00A52DE0" w:rsidRDefault="00422EB2" w:rsidP="00422EB2">
      <w:pPr>
        <w:numPr>
          <w:ilvl w:val="0"/>
          <w:numId w:val="1"/>
        </w:numPr>
        <w:tabs>
          <w:tab w:val="clear" w:pos="720"/>
          <w:tab w:val="num" w:pos="570"/>
        </w:tabs>
        <w:spacing w:before="120"/>
        <w:ind w:left="573" w:hanging="573"/>
        <w:rPr>
          <w:rFonts w:ascii="Arial" w:hAnsi="Arial" w:cs="Arial"/>
        </w:rPr>
      </w:pPr>
      <w:r w:rsidRPr="00A52DE0">
        <w:rPr>
          <w:rFonts w:ascii="Arial" w:hAnsi="Arial" w:cs="Arial"/>
        </w:rPr>
        <w:t>to recognise consumers as key stakeholders in mental health and addiction services</w:t>
      </w:r>
    </w:p>
    <w:p w:rsidR="00422EB2" w:rsidRPr="00A52DE0" w:rsidRDefault="00422EB2" w:rsidP="00422EB2">
      <w:pPr>
        <w:numPr>
          <w:ilvl w:val="0"/>
          <w:numId w:val="1"/>
        </w:numPr>
        <w:tabs>
          <w:tab w:val="clear" w:pos="720"/>
          <w:tab w:val="num" w:pos="570"/>
        </w:tabs>
        <w:spacing w:before="120"/>
        <w:ind w:left="570" w:hanging="570"/>
        <w:rPr>
          <w:rFonts w:ascii="Arial" w:hAnsi="Arial" w:cs="Arial"/>
        </w:rPr>
      </w:pPr>
      <w:r w:rsidRPr="00A52DE0">
        <w:rPr>
          <w:rFonts w:ascii="Arial" w:hAnsi="Arial" w:cs="Arial"/>
        </w:rPr>
        <w:t xml:space="preserve">to build a culture of partnership between </w:t>
      </w:r>
      <w:r w:rsidR="00BC3121">
        <w:rPr>
          <w:rFonts w:ascii="Arial" w:hAnsi="Arial" w:cs="Arial"/>
        </w:rPr>
        <w:t>Service User</w:t>
      </w:r>
      <w:r w:rsidRPr="00A52DE0">
        <w:rPr>
          <w:rFonts w:ascii="Arial" w:hAnsi="Arial" w:cs="Arial"/>
        </w:rPr>
        <w:t>s and providers through consumer participation</w:t>
      </w:r>
    </w:p>
    <w:p w:rsidR="00422EB2" w:rsidRPr="00A52DE0" w:rsidRDefault="00422EB2" w:rsidP="00422EB2">
      <w:pPr>
        <w:numPr>
          <w:ilvl w:val="0"/>
          <w:numId w:val="1"/>
        </w:numPr>
        <w:tabs>
          <w:tab w:val="clear" w:pos="720"/>
          <w:tab w:val="num" w:pos="570"/>
        </w:tabs>
        <w:spacing w:before="120"/>
        <w:ind w:left="570" w:hanging="570"/>
        <w:rPr>
          <w:rFonts w:ascii="Arial" w:hAnsi="Arial" w:cs="Arial"/>
        </w:rPr>
      </w:pPr>
      <w:r w:rsidRPr="00A52DE0">
        <w:rPr>
          <w:rFonts w:ascii="Arial" w:hAnsi="Arial" w:cs="Arial"/>
        </w:rPr>
        <w:t xml:space="preserve">to provide complementary resources for service providers and </w:t>
      </w:r>
      <w:r w:rsidR="00BC3121">
        <w:rPr>
          <w:rFonts w:ascii="Arial" w:hAnsi="Arial" w:cs="Arial"/>
        </w:rPr>
        <w:t>Service User</w:t>
      </w:r>
      <w:r w:rsidRPr="00A52DE0">
        <w:rPr>
          <w:rFonts w:ascii="Arial" w:hAnsi="Arial" w:cs="Arial"/>
        </w:rPr>
        <w:t>s by consumer leadership and consumer led services</w:t>
      </w:r>
    </w:p>
    <w:p w:rsidR="00422EB2" w:rsidRPr="00A52DE0" w:rsidRDefault="00422EB2" w:rsidP="00422EB2">
      <w:pPr>
        <w:numPr>
          <w:ilvl w:val="0"/>
          <w:numId w:val="1"/>
        </w:numPr>
        <w:tabs>
          <w:tab w:val="clear" w:pos="720"/>
          <w:tab w:val="num" w:pos="570"/>
        </w:tabs>
        <w:spacing w:before="120"/>
        <w:ind w:left="570" w:hanging="570"/>
        <w:rPr>
          <w:rFonts w:ascii="Arial" w:hAnsi="Arial" w:cs="Arial"/>
        </w:rPr>
      </w:pPr>
      <w:r w:rsidRPr="00A52DE0">
        <w:rPr>
          <w:rFonts w:ascii="Arial" w:hAnsi="Arial" w:cs="Arial"/>
        </w:rPr>
        <w:lastRenderedPageBreak/>
        <w:t>to role model recovery and wellness helping to counter both internal and external stigma</w:t>
      </w:r>
    </w:p>
    <w:p w:rsidR="00422EB2" w:rsidRPr="00A52DE0" w:rsidRDefault="00422EB2" w:rsidP="00422EB2">
      <w:pPr>
        <w:numPr>
          <w:ilvl w:val="0"/>
          <w:numId w:val="1"/>
        </w:numPr>
        <w:tabs>
          <w:tab w:val="clear" w:pos="720"/>
          <w:tab w:val="num" w:pos="570"/>
        </w:tabs>
        <w:spacing w:before="120"/>
        <w:ind w:left="570" w:hanging="570"/>
        <w:rPr>
          <w:rFonts w:ascii="Arial" w:hAnsi="Arial" w:cs="Arial"/>
        </w:rPr>
      </w:pPr>
      <w:r w:rsidRPr="00A52DE0">
        <w:rPr>
          <w:rFonts w:ascii="Arial" w:hAnsi="Arial" w:cs="Arial"/>
        </w:rPr>
        <w:t>to support and promote recovery among others who are confronting the challenges of mental illness and</w:t>
      </w:r>
      <w:r w:rsidR="00A1795B" w:rsidRPr="00A52DE0">
        <w:rPr>
          <w:rFonts w:ascii="Arial" w:hAnsi="Arial" w:cs="Arial"/>
        </w:rPr>
        <w:t xml:space="preserve"> </w:t>
      </w:r>
      <w:r w:rsidRPr="00A52DE0">
        <w:rPr>
          <w:rFonts w:ascii="Arial" w:hAnsi="Arial" w:cs="Arial"/>
        </w:rPr>
        <w:t>/</w:t>
      </w:r>
      <w:r w:rsidR="00A1795B" w:rsidRPr="00A52DE0">
        <w:rPr>
          <w:rFonts w:ascii="Arial" w:hAnsi="Arial" w:cs="Arial"/>
        </w:rPr>
        <w:t xml:space="preserve"> </w:t>
      </w:r>
      <w:r w:rsidRPr="00A52DE0">
        <w:rPr>
          <w:rFonts w:ascii="Arial" w:hAnsi="Arial" w:cs="Arial"/>
        </w:rPr>
        <w:t>or addiction</w:t>
      </w:r>
    </w:p>
    <w:p w:rsidR="00BC3121" w:rsidRDefault="00422EB2" w:rsidP="00BC3121">
      <w:pPr>
        <w:pStyle w:val="ListParagraph"/>
        <w:numPr>
          <w:ilvl w:val="0"/>
          <w:numId w:val="1"/>
        </w:numPr>
        <w:tabs>
          <w:tab w:val="clear" w:pos="720"/>
        </w:tabs>
        <w:ind w:left="567" w:hanging="567"/>
        <w:rPr>
          <w:rFonts w:ascii="Arial" w:hAnsi="Arial" w:cs="Arial"/>
        </w:rPr>
      </w:pPr>
      <w:r w:rsidRPr="00BC3121">
        <w:rPr>
          <w:rFonts w:ascii="Arial" w:hAnsi="Arial" w:cs="Arial"/>
        </w:rPr>
        <w:t xml:space="preserve">to involve a combined approach, through building strengths and resilience, advocacy, upholding </w:t>
      </w:r>
      <w:r w:rsidR="00BC3121" w:rsidRPr="00BC3121">
        <w:rPr>
          <w:rFonts w:ascii="Arial" w:hAnsi="Arial" w:cs="Arial"/>
        </w:rPr>
        <w:t>Service User</w:t>
      </w:r>
      <w:r w:rsidRPr="00BC3121">
        <w:rPr>
          <w:rFonts w:ascii="Arial" w:hAnsi="Arial" w:cs="Arial"/>
        </w:rPr>
        <w:t>s’ rights, providing advice, encouraging social integration and promoting optimal health of the individual or services.</w:t>
      </w:r>
      <w:r w:rsidR="00BC3121" w:rsidRPr="00BC3121">
        <w:rPr>
          <w:rFonts w:ascii="Arial" w:hAnsi="Arial" w:cs="Arial"/>
        </w:rPr>
        <w:t xml:space="preserve"> </w:t>
      </w:r>
    </w:p>
    <w:p w:rsidR="00422EB2" w:rsidRPr="00BC3121" w:rsidRDefault="00422EB2" w:rsidP="00BC3121">
      <w:pPr>
        <w:spacing w:before="120"/>
        <w:rPr>
          <w:rFonts w:ascii="Arial" w:hAnsi="Arial" w:cs="Arial"/>
        </w:rPr>
      </w:pPr>
      <w:r w:rsidRPr="00BC3121">
        <w:rPr>
          <w:rFonts w:ascii="Arial" w:hAnsi="Arial" w:cs="Arial"/>
        </w:rPr>
        <w:t xml:space="preserve">With a wide workforce to draw upon, services providing consumer leadership have the potential to continue expanding.  Along with a lived experience of mental illness, it is important that the consumer workforce is trained specifically for the roles they are working in. </w:t>
      </w:r>
      <w:r w:rsidR="00BC3121">
        <w:rPr>
          <w:rFonts w:ascii="Arial" w:hAnsi="Arial" w:cs="Arial"/>
        </w:rPr>
        <w:t xml:space="preserve"> </w:t>
      </w:r>
      <w:r w:rsidRPr="00BC3121">
        <w:rPr>
          <w:rFonts w:ascii="Arial" w:hAnsi="Arial" w:cs="Arial"/>
        </w:rPr>
        <w:t>Training and professional development should be ongoing.</w:t>
      </w:r>
    </w:p>
    <w:p w:rsidR="00422EB2" w:rsidRPr="00A52DE0" w:rsidRDefault="00422EB2" w:rsidP="006C7B18">
      <w:pPr>
        <w:numPr>
          <w:ilvl w:val="1"/>
          <w:numId w:val="3"/>
        </w:numPr>
        <w:spacing w:before="120" w:after="60"/>
        <w:rPr>
          <w:rFonts w:ascii="Arial" w:hAnsi="Arial" w:cs="Arial"/>
          <w:b/>
        </w:rPr>
      </w:pPr>
      <w:bookmarkStart w:id="5" w:name="_Toc215319138"/>
      <w:r w:rsidRPr="00A52DE0">
        <w:rPr>
          <w:rFonts w:ascii="Arial" w:hAnsi="Arial" w:cs="Arial"/>
          <w:b/>
        </w:rPr>
        <w:t>M</w:t>
      </w:r>
      <w:r w:rsidRPr="00A52DE0">
        <w:rPr>
          <w:rFonts w:ascii="Arial" w:hAnsi="Arial" w:cs="Arial"/>
          <w:b/>
          <w:lang w:val="en-US"/>
        </w:rPr>
        <w:t>ā</w:t>
      </w:r>
      <w:r w:rsidRPr="00A52DE0">
        <w:rPr>
          <w:rFonts w:ascii="Arial" w:hAnsi="Arial" w:cs="Arial"/>
          <w:b/>
        </w:rPr>
        <w:t>ori Health</w:t>
      </w:r>
      <w:bookmarkEnd w:id="5"/>
    </w:p>
    <w:p w:rsidR="00C04196" w:rsidRPr="00A52DE0" w:rsidRDefault="00C04196" w:rsidP="004F1097">
      <w:pPr>
        <w:tabs>
          <w:tab w:val="left" w:pos="570"/>
        </w:tabs>
        <w:spacing w:before="120" w:after="120"/>
        <w:rPr>
          <w:rFonts w:ascii="Arial" w:hAnsi="Arial" w:cs="Arial"/>
        </w:rPr>
      </w:pPr>
      <w:bookmarkStart w:id="6" w:name="_Toc215319140"/>
      <w:r w:rsidRPr="00A52DE0">
        <w:rPr>
          <w:rFonts w:ascii="Arial" w:hAnsi="Arial" w:cs="Arial"/>
        </w:rPr>
        <w:t>Refer to the tier one Mental Health and Addiction Services service specification.</w:t>
      </w:r>
    </w:p>
    <w:p w:rsidR="00422EB2" w:rsidRPr="00A52DE0" w:rsidRDefault="00422EB2" w:rsidP="00422EB2">
      <w:pPr>
        <w:tabs>
          <w:tab w:val="left" w:pos="570"/>
        </w:tabs>
        <w:spacing w:before="240" w:after="120"/>
        <w:rPr>
          <w:rFonts w:ascii="Arial" w:hAnsi="Arial" w:cs="Arial"/>
          <w:b/>
        </w:rPr>
      </w:pPr>
      <w:r w:rsidRPr="00A52DE0">
        <w:rPr>
          <w:rFonts w:ascii="Arial" w:hAnsi="Arial" w:cs="Arial"/>
          <w:b/>
        </w:rPr>
        <w:t>3.</w:t>
      </w:r>
      <w:r w:rsidRPr="00A52DE0">
        <w:rPr>
          <w:rFonts w:ascii="Arial" w:hAnsi="Arial" w:cs="Arial"/>
          <w:b/>
        </w:rPr>
        <w:tab/>
      </w:r>
      <w:r w:rsidR="00BC3121">
        <w:rPr>
          <w:rFonts w:ascii="Arial" w:hAnsi="Arial" w:cs="Arial"/>
          <w:b/>
        </w:rPr>
        <w:t>Service User</w:t>
      </w:r>
      <w:r w:rsidRPr="00A52DE0">
        <w:rPr>
          <w:rFonts w:ascii="Arial" w:hAnsi="Arial" w:cs="Arial"/>
          <w:b/>
        </w:rPr>
        <w:t>s</w:t>
      </w:r>
      <w:bookmarkEnd w:id="6"/>
    </w:p>
    <w:p w:rsidR="00422EB2" w:rsidRPr="00A52DE0" w:rsidRDefault="00422EB2" w:rsidP="00422EB2">
      <w:pPr>
        <w:spacing w:before="120"/>
        <w:rPr>
          <w:rFonts w:ascii="Arial" w:hAnsi="Arial" w:cs="Arial"/>
        </w:rPr>
      </w:pPr>
      <w:r w:rsidRPr="00A52DE0">
        <w:rPr>
          <w:rFonts w:ascii="Arial" w:hAnsi="Arial" w:cs="Arial"/>
        </w:rPr>
        <w:t xml:space="preserve">The </w:t>
      </w:r>
      <w:r w:rsidR="00BC3121">
        <w:rPr>
          <w:rFonts w:ascii="Arial" w:hAnsi="Arial" w:cs="Arial"/>
        </w:rPr>
        <w:t>Service User</w:t>
      </w:r>
      <w:r w:rsidRPr="00A52DE0">
        <w:rPr>
          <w:rFonts w:ascii="Arial" w:hAnsi="Arial" w:cs="Arial"/>
        </w:rPr>
        <w:t>s are eligible people of any age.</w:t>
      </w:r>
    </w:p>
    <w:p w:rsidR="00422EB2" w:rsidRPr="00A52DE0" w:rsidRDefault="00422EB2" w:rsidP="00422EB2">
      <w:pPr>
        <w:tabs>
          <w:tab w:val="left" w:pos="570"/>
        </w:tabs>
        <w:spacing w:before="240" w:after="120"/>
        <w:rPr>
          <w:rFonts w:ascii="Arial" w:hAnsi="Arial" w:cs="Arial"/>
          <w:b/>
        </w:rPr>
      </w:pPr>
      <w:bookmarkStart w:id="7" w:name="_Toc215319141"/>
      <w:r w:rsidRPr="00A52DE0">
        <w:rPr>
          <w:rFonts w:ascii="Arial" w:hAnsi="Arial" w:cs="Arial"/>
          <w:b/>
        </w:rPr>
        <w:t>4.</w:t>
      </w:r>
      <w:r w:rsidRPr="00A52DE0">
        <w:rPr>
          <w:rFonts w:ascii="Arial" w:hAnsi="Arial" w:cs="Arial"/>
          <w:b/>
        </w:rPr>
        <w:tab/>
        <w:t>Access</w:t>
      </w:r>
      <w:bookmarkEnd w:id="7"/>
    </w:p>
    <w:p w:rsidR="00422EB2" w:rsidRPr="00A52DE0" w:rsidRDefault="00422EB2" w:rsidP="00422EB2">
      <w:pPr>
        <w:tabs>
          <w:tab w:val="left" w:pos="570"/>
        </w:tabs>
        <w:spacing w:before="120" w:after="60"/>
        <w:rPr>
          <w:rFonts w:ascii="Arial" w:hAnsi="Arial" w:cs="Arial"/>
          <w:b/>
        </w:rPr>
      </w:pPr>
      <w:bookmarkStart w:id="8" w:name="_Toc215319142"/>
      <w:r w:rsidRPr="00A52DE0">
        <w:rPr>
          <w:rFonts w:ascii="Arial" w:hAnsi="Arial" w:cs="Arial"/>
          <w:b/>
        </w:rPr>
        <w:t>4.1</w:t>
      </w:r>
      <w:r w:rsidRPr="00A52DE0">
        <w:rPr>
          <w:rFonts w:ascii="Arial" w:hAnsi="Arial" w:cs="Arial"/>
          <w:b/>
        </w:rPr>
        <w:tab/>
        <w:t>Entry Criteria</w:t>
      </w:r>
      <w:bookmarkEnd w:id="8"/>
      <w:r w:rsidRPr="00A52DE0">
        <w:rPr>
          <w:rFonts w:ascii="Arial" w:hAnsi="Arial" w:cs="Arial"/>
          <w:b/>
        </w:rPr>
        <w:t xml:space="preserve"> </w:t>
      </w:r>
    </w:p>
    <w:p w:rsidR="00422EB2" w:rsidRPr="00A52DE0" w:rsidRDefault="00422EB2" w:rsidP="00422EB2">
      <w:pPr>
        <w:spacing w:before="120"/>
        <w:rPr>
          <w:rFonts w:ascii="Arial" w:hAnsi="Arial" w:cs="Arial"/>
        </w:rPr>
      </w:pPr>
      <w:r w:rsidRPr="00A52DE0">
        <w:rPr>
          <w:rFonts w:ascii="Arial" w:hAnsi="Arial" w:cs="Arial"/>
        </w:rPr>
        <w:t>Access to services using referral processes are detailed in the specific tier three service specification.</w:t>
      </w:r>
    </w:p>
    <w:p w:rsidR="00422EB2" w:rsidRPr="00A52DE0" w:rsidRDefault="00422EB2" w:rsidP="00422EB2">
      <w:pPr>
        <w:tabs>
          <w:tab w:val="left" w:pos="570"/>
        </w:tabs>
        <w:spacing w:before="240" w:after="120"/>
        <w:rPr>
          <w:rFonts w:ascii="Arial" w:hAnsi="Arial" w:cs="Arial"/>
          <w:b/>
        </w:rPr>
      </w:pPr>
      <w:bookmarkStart w:id="9" w:name="_Toc215319145"/>
      <w:r w:rsidRPr="00A52DE0">
        <w:rPr>
          <w:rFonts w:ascii="Arial" w:hAnsi="Arial" w:cs="Arial"/>
          <w:b/>
        </w:rPr>
        <w:t>5.</w:t>
      </w:r>
      <w:r w:rsidRPr="00A52DE0">
        <w:rPr>
          <w:rFonts w:ascii="Arial" w:hAnsi="Arial" w:cs="Arial"/>
          <w:b/>
        </w:rPr>
        <w:tab/>
        <w:t>Service Components</w:t>
      </w:r>
      <w:bookmarkEnd w:id="9"/>
    </w:p>
    <w:p w:rsidR="00422EB2" w:rsidRPr="00A52DE0" w:rsidRDefault="00422EB2" w:rsidP="00422EB2">
      <w:pPr>
        <w:tabs>
          <w:tab w:val="left" w:pos="570"/>
        </w:tabs>
        <w:spacing w:before="120" w:after="60"/>
        <w:rPr>
          <w:rFonts w:ascii="Arial" w:hAnsi="Arial" w:cs="Arial"/>
          <w:b/>
        </w:rPr>
      </w:pPr>
      <w:bookmarkStart w:id="10" w:name="_Toc215319146"/>
      <w:r w:rsidRPr="00A52DE0">
        <w:rPr>
          <w:rFonts w:ascii="Arial" w:hAnsi="Arial" w:cs="Arial"/>
          <w:b/>
        </w:rPr>
        <w:t>5.1</w:t>
      </w:r>
      <w:r w:rsidRPr="00A52DE0">
        <w:rPr>
          <w:rFonts w:ascii="Arial" w:hAnsi="Arial" w:cs="Arial"/>
          <w:b/>
        </w:rPr>
        <w:tab/>
        <w:t>Processes</w:t>
      </w:r>
      <w:bookmarkEnd w:id="10"/>
    </w:p>
    <w:p w:rsidR="00422EB2" w:rsidRPr="00A52DE0" w:rsidRDefault="00422EB2" w:rsidP="00422EB2">
      <w:pPr>
        <w:spacing w:before="120"/>
        <w:rPr>
          <w:rFonts w:ascii="Arial" w:hAnsi="Arial" w:cs="Arial"/>
        </w:rPr>
      </w:pPr>
      <w:r w:rsidRPr="00A52DE0">
        <w:rPr>
          <w:rFonts w:ascii="Arial" w:hAnsi="Arial" w:cs="Arial"/>
        </w:rPr>
        <w:t>The following processes apply but are not limited to: engagement, consultation, liaison, advice and support.</w:t>
      </w:r>
    </w:p>
    <w:p w:rsidR="00422EB2" w:rsidRPr="00A52DE0" w:rsidRDefault="00422EB2" w:rsidP="00422EB2">
      <w:pPr>
        <w:tabs>
          <w:tab w:val="left" w:pos="570"/>
        </w:tabs>
        <w:spacing w:before="120" w:after="120"/>
        <w:rPr>
          <w:rFonts w:ascii="Arial" w:hAnsi="Arial" w:cs="Arial"/>
          <w:b/>
        </w:rPr>
      </w:pPr>
      <w:bookmarkStart w:id="11" w:name="_Toc215319147"/>
      <w:r w:rsidRPr="00A52DE0">
        <w:rPr>
          <w:rFonts w:ascii="Arial" w:hAnsi="Arial" w:cs="Arial"/>
          <w:b/>
        </w:rPr>
        <w:t>5.2</w:t>
      </w:r>
      <w:r w:rsidRPr="00A52DE0">
        <w:rPr>
          <w:rFonts w:ascii="Arial" w:hAnsi="Arial" w:cs="Arial"/>
          <w:b/>
        </w:rPr>
        <w:tab/>
        <w:t>Settings</w:t>
      </w:r>
      <w:bookmarkEnd w:id="11"/>
    </w:p>
    <w:p w:rsidR="00422EB2" w:rsidRPr="00A52DE0" w:rsidRDefault="00422EB2" w:rsidP="00422EB2">
      <w:pPr>
        <w:spacing w:before="120"/>
        <w:rPr>
          <w:rFonts w:ascii="Arial" w:hAnsi="Arial" w:cs="Arial"/>
        </w:rPr>
      </w:pPr>
      <w:r w:rsidRPr="00A52DE0">
        <w:rPr>
          <w:rFonts w:ascii="Arial" w:hAnsi="Arial" w:cs="Arial"/>
        </w:rPr>
        <w:t xml:space="preserve">The Service is provided in a community or hospital based setting. </w:t>
      </w:r>
    </w:p>
    <w:p w:rsidR="00422EB2" w:rsidRPr="00A52DE0" w:rsidRDefault="00422EB2" w:rsidP="00422EB2">
      <w:pPr>
        <w:tabs>
          <w:tab w:val="left" w:pos="570"/>
        </w:tabs>
        <w:spacing w:before="120" w:after="60"/>
        <w:rPr>
          <w:rFonts w:ascii="Arial" w:hAnsi="Arial" w:cs="Arial"/>
          <w:b/>
        </w:rPr>
      </w:pPr>
      <w:bookmarkStart w:id="12" w:name="_Toc215319151"/>
      <w:r w:rsidRPr="00A52DE0">
        <w:rPr>
          <w:rFonts w:ascii="Arial" w:hAnsi="Arial" w:cs="Arial"/>
          <w:b/>
        </w:rPr>
        <w:t>5.3</w:t>
      </w:r>
      <w:r w:rsidRPr="00A52DE0">
        <w:rPr>
          <w:rFonts w:ascii="Arial" w:hAnsi="Arial" w:cs="Arial"/>
          <w:b/>
        </w:rPr>
        <w:tab/>
        <w:t xml:space="preserve">Key Inputs </w:t>
      </w:r>
      <w:bookmarkEnd w:id="12"/>
    </w:p>
    <w:p w:rsidR="00422EB2" w:rsidRPr="00A52DE0" w:rsidRDefault="006C7B18" w:rsidP="00422EB2">
      <w:pPr>
        <w:spacing w:before="120"/>
        <w:rPr>
          <w:rFonts w:ascii="Arial" w:hAnsi="Arial" w:cs="Arial"/>
        </w:rPr>
      </w:pPr>
      <w:r w:rsidRPr="00A52DE0">
        <w:rPr>
          <w:rFonts w:ascii="Arial" w:hAnsi="Arial" w:cs="Arial"/>
        </w:rPr>
        <w:t xml:space="preserve">The </w:t>
      </w:r>
      <w:r w:rsidR="00BC3121">
        <w:rPr>
          <w:rFonts w:ascii="Arial" w:hAnsi="Arial" w:cs="Arial"/>
        </w:rPr>
        <w:t>Service User</w:t>
      </w:r>
      <w:r w:rsidR="00422EB2" w:rsidRPr="00A52DE0">
        <w:rPr>
          <w:rFonts w:ascii="Arial" w:hAnsi="Arial" w:cs="Arial"/>
        </w:rPr>
        <w:t xml:space="preserve"> workforce. </w:t>
      </w:r>
    </w:p>
    <w:p w:rsidR="00422EB2" w:rsidRPr="00A52DE0" w:rsidRDefault="00422EB2" w:rsidP="00292FB7">
      <w:pPr>
        <w:tabs>
          <w:tab w:val="left" w:pos="570"/>
        </w:tabs>
        <w:spacing w:before="240" w:after="120"/>
        <w:jc w:val="both"/>
        <w:rPr>
          <w:rFonts w:ascii="Arial" w:hAnsi="Arial" w:cs="Arial"/>
          <w:b/>
        </w:rPr>
      </w:pPr>
      <w:bookmarkStart w:id="13" w:name="_Toc215319155"/>
      <w:r w:rsidRPr="00A52DE0">
        <w:rPr>
          <w:rFonts w:ascii="Arial" w:hAnsi="Arial" w:cs="Arial"/>
          <w:b/>
        </w:rPr>
        <w:t>6.</w:t>
      </w:r>
      <w:r w:rsidRPr="00A52DE0">
        <w:rPr>
          <w:rFonts w:ascii="Arial" w:hAnsi="Arial" w:cs="Arial"/>
          <w:b/>
        </w:rPr>
        <w:tab/>
        <w:t>Service Linkages</w:t>
      </w:r>
      <w:bookmarkEnd w:id="13"/>
    </w:p>
    <w:p w:rsidR="00422EB2" w:rsidRPr="00A52DE0" w:rsidRDefault="00422EB2" w:rsidP="00422EB2">
      <w:pPr>
        <w:spacing w:before="120" w:after="120"/>
        <w:jc w:val="both"/>
        <w:rPr>
          <w:rFonts w:ascii="Arial" w:hAnsi="Arial" w:cs="Arial"/>
        </w:rPr>
      </w:pPr>
      <w:bookmarkStart w:id="14" w:name="_Toc215319158"/>
      <w:r w:rsidRPr="00A52DE0">
        <w:rPr>
          <w:rFonts w:ascii="Arial" w:hAnsi="Arial" w:cs="Arial"/>
        </w:rPr>
        <w:t>Linkages include, but are not limited to the following: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7"/>
        <w:gridCol w:w="1949"/>
        <w:gridCol w:w="4650"/>
      </w:tblGrid>
      <w:tr w:rsidR="00A52DE0" w:rsidRPr="00A52DE0" w:rsidTr="006C7B18">
        <w:trPr>
          <w:tblHeader/>
        </w:trPr>
        <w:tc>
          <w:tcPr>
            <w:tcW w:w="1611" w:type="pct"/>
            <w:shd w:val="clear" w:color="auto" w:fill="D9D9D9"/>
          </w:tcPr>
          <w:p w:rsidR="00422EB2" w:rsidRPr="00A52DE0" w:rsidRDefault="00422EB2" w:rsidP="00422EB2">
            <w:pPr>
              <w:spacing w:before="120"/>
              <w:rPr>
                <w:rFonts w:ascii="Arial" w:hAnsi="Arial" w:cs="Arial"/>
                <w:b/>
              </w:rPr>
            </w:pPr>
            <w:bookmarkStart w:id="15" w:name="_Toc215319159"/>
            <w:r w:rsidRPr="00A52DE0">
              <w:rPr>
                <w:rFonts w:ascii="Arial" w:hAnsi="Arial" w:cs="Arial"/>
                <w:b/>
              </w:rPr>
              <w:t>Service Provider</w:t>
            </w:r>
            <w:bookmarkEnd w:id="15"/>
          </w:p>
        </w:tc>
        <w:tc>
          <w:tcPr>
            <w:tcW w:w="1001" w:type="pct"/>
            <w:shd w:val="clear" w:color="auto" w:fill="D9D9D9"/>
          </w:tcPr>
          <w:p w:rsidR="00422EB2" w:rsidRPr="00A52DE0" w:rsidDel="00E3468B" w:rsidRDefault="00422EB2" w:rsidP="00422EB2">
            <w:pPr>
              <w:spacing w:before="120"/>
              <w:rPr>
                <w:rFonts w:ascii="Arial" w:hAnsi="Arial" w:cs="Arial"/>
                <w:b/>
              </w:rPr>
            </w:pPr>
            <w:bookmarkStart w:id="16" w:name="_Toc215319160"/>
            <w:r w:rsidRPr="00A52DE0">
              <w:rPr>
                <w:rFonts w:ascii="Arial" w:hAnsi="Arial" w:cs="Arial"/>
                <w:b/>
              </w:rPr>
              <w:t>Nature of Linkage</w:t>
            </w:r>
            <w:bookmarkEnd w:id="16"/>
          </w:p>
        </w:tc>
        <w:tc>
          <w:tcPr>
            <w:tcW w:w="2388" w:type="pct"/>
            <w:shd w:val="clear" w:color="auto" w:fill="D9D9D9"/>
          </w:tcPr>
          <w:p w:rsidR="00422EB2" w:rsidRPr="00A52DE0" w:rsidRDefault="00422EB2" w:rsidP="00422EB2">
            <w:pPr>
              <w:spacing w:before="120"/>
              <w:rPr>
                <w:rFonts w:ascii="Arial" w:hAnsi="Arial" w:cs="Arial"/>
                <w:b/>
              </w:rPr>
            </w:pPr>
            <w:bookmarkStart w:id="17" w:name="_Toc215319161"/>
            <w:r w:rsidRPr="00A52DE0">
              <w:rPr>
                <w:rFonts w:ascii="Arial" w:hAnsi="Arial" w:cs="Arial"/>
                <w:b/>
              </w:rPr>
              <w:t>Accountabilities</w:t>
            </w:r>
            <w:bookmarkEnd w:id="17"/>
          </w:p>
        </w:tc>
      </w:tr>
      <w:tr w:rsidR="00A52DE0" w:rsidRPr="00A52DE0" w:rsidTr="006C7B18">
        <w:tc>
          <w:tcPr>
            <w:tcW w:w="1611" w:type="pct"/>
          </w:tcPr>
          <w:p w:rsidR="00422EB2" w:rsidRPr="00A52DE0" w:rsidRDefault="00422EB2" w:rsidP="00D13440">
            <w:pPr>
              <w:spacing w:before="120"/>
              <w:rPr>
                <w:rFonts w:ascii="Arial" w:hAnsi="Arial" w:cs="Arial"/>
              </w:rPr>
            </w:pPr>
            <w:r w:rsidRPr="00A52DE0">
              <w:rPr>
                <w:rFonts w:ascii="Arial" w:hAnsi="Arial" w:cs="Arial"/>
              </w:rPr>
              <w:t>Stakeholders of the mental health and addiction sector</w:t>
            </w:r>
            <w:r w:rsidR="006C7B18" w:rsidRPr="00A52DE0">
              <w:rPr>
                <w:rFonts w:ascii="Arial" w:hAnsi="Arial" w:cs="Arial"/>
              </w:rPr>
              <w:t>.</w:t>
            </w:r>
          </w:p>
        </w:tc>
        <w:tc>
          <w:tcPr>
            <w:tcW w:w="1001" w:type="pct"/>
          </w:tcPr>
          <w:p w:rsidR="00422EB2" w:rsidRPr="00A52DE0" w:rsidRDefault="00422EB2" w:rsidP="00422EB2">
            <w:pPr>
              <w:spacing w:before="120"/>
              <w:rPr>
                <w:rFonts w:ascii="Arial" w:hAnsi="Arial" w:cs="Arial"/>
              </w:rPr>
            </w:pPr>
            <w:r w:rsidRPr="00A52DE0">
              <w:rPr>
                <w:rFonts w:ascii="Arial" w:hAnsi="Arial" w:cs="Arial"/>
              </w:rPr>
              <w:t>Communication and network mechanisms</w:t>
            </w:r>
            <w:r w:rsidR="006C7B18" w:rsidRPr="00A52DE0">
              <w:rPr>
                <w:rFonts w:ascii="Arial" w:hAnsi="Arial" w:cs="Arial"/>
              </w:rPr>
              <w:t>.</w:t>
            </w:r>
          </w:p>
        </w:tc>
        <w:tc>
          <w:tcPr>
            <w:tcW w:w="2388" w:type="pct"/>
          </w:tcPr>
          <w:p w:rsidR="00422EB2" w:rsidRPr="00A52DE0" w:rsidRDefault="00422EB2" w:rsidP="00422EB2">
            <w:pPr>
              <w:spacing w:before="120"/>
              <w:rPr>
                <w:rFonts w:ascii="Arial" w:hAnsi="Arial" w:cs="Arial"/>
              </w:rPr>
            </w:pPr>
            <w:r w:rsidRPr="00A52DE0">
              <w:rPr>
                <w:rFonts w:ascii="Arial" w:hAnsi="Arial" w:cs="Arial"/>
              </w:rPr>
              <w:t xml:space="preserve">Mechanisms are in place to strengthen relationships with other providers in the sector and support the referral of </w:t>
            </w:r>
            <w:r w:rsidR="00BC3121">
              <w:rPr>
                <w:rFonts w:ascii="Arial" w:hAnsi="Arial" w:cs="Arial"/>
              </w:rPr>
              <w:t>Service User</w:t>
            </w:r>
            <w:r w:rsidRPr="00A52DE0">
              <w:rPr>
                <w:rFonts w:ascii="Arial" w:hAnsi="Arial" w:cs="Arial"/>
              </w:rPr>
              <w:t>s to other services provided within the continuum</w:t>
            </w:r>
            <w:r w:rsidR="006C7B18" w:rsidRPr="00A52DE0">
              <w:rPr>
                <w:rFonts w:ascii="Arial" w:hAnsi="Arial" w:cs="Arial"/>
              </w:rPr>
              <w:t>.</w:t>
            </w:r>
          </w:p>
        </w:tc>
      </w:tr>
    </w:tbl>
    <w:p w:rsidR="006E6075" w:rsidRPr="00A52DE0" w:rsidRDefault="00422EB2" w:rsidP="00422EB2">
      <w:pPr>
        <w:tabs>
          <w:tab w:val="left" w:pos="570"/>
        </w:tabs>
        <w:spacing w:before="240"/>
        <w:rPr>
          <w:rFonts w:ascii="Arial" w:hAnsi="Arial" w:cs="Arial"/>
          <w:b/>
        </w:rPr>
      </w:pPr>
      <w:bookmarkStart w:id="18" w:name="_Toc215319164"/>
      <w:r w:rsidRPr="00A52DE0">
        <w:rPr>
          <w:rFonts w:ascii="Arial" w:hAnsi="Arial" w:cs="Arial"/>
          <w:b/>
        </w:rPr>
        <w:t>7.</w:t>
      </w:r>
      <w:r w:rsidRPr="00A52DE0">
        <w:rPr>
          <w:rFonts w:ascii="Arial" w:hAnsi="Arial" w:cs="Arial"/>
          <w:b/>
        </w:rPr>
        <w:tab/>
      </w:r>
      <w:r w:rsidR="006E6075" w:rsidRPr="00A52DE0">
        <w:rPr>
          <w:rFonts w:ascii="Arial" w:hAnsi="Arial" w:cs="Arial"/>
          <w:b/>
        </w:rPr>
        <w:t>Exclusions</w:t>
      </w:r>
    </w:p>
    <w:p w:rsidR="00194DD3" w:rsidRDefault="006E6075" w:rsidP="003F1721">
      <w:pPr>
        <w:tabs>
          <w:tab w:val="left" w:pos="570"/>
        </w:tabs>
        <w:spacing w:before="120" w:after="120"/>
        <w:rPr>
          <w:rFonts w:ascii="Arial" w:hAnsi="Arial" w:cs="Arial"/>
          <w:b/>
        </w:rPr>
      </w:pPr>
      <w:r w:rsidRPr="00A52DE0">
        <w:rPr>
          <w:rFonts w:ascii="Arial" w:hAnsi="Arial" w:cs="Arial"/>
          <w:lang w:val="en-GB" w:eastAsia="en-GB"/>
        </w:rPr>
        <w:t>Refer to the tier one Mental Health and Addiction Services service specification.</w:t>
      </w:r>
      <w:r w:rsidR="00194DD3">
        <w:rPr>
          <w:rFonts w:ascii="Arial" w:hAnsi="Arial" w:cs="Arial"/>
          <w:b/>
        </w:rPr>
        <w:br w:type="page"/>
      </w:r>
    </w:p>
    <w:p w:rsidR="00422EB2" w:rsidRPr="00A52DE0" w:rsidRDefault="006E6075" w:rsidP="00422EB2">
      <w:pPr>
        <w:tabs>
          <w:tab w:val="left" w:pos="570"/>
        </w:tabs>
        <w:spacing w:before="240"/>
        <w:rPr>
          <w:rFonts w:ascii="Arial" w:hAnsi="Arial" w:cs="Arial"/>
          <w:b/>
        </w:rPr>
      </w:pPr>
      <w:r w:rsidRPr="00A52DE0">
        <w:rPr>
          <w:rFonts w:ascii="Arial" w:hAnsi="Arial" w:cs="Arial"/>
          <w:b/>
        </w:rPr>
        <w:lastRenderedPageBreak/>
        <w:t>8.</w:t>
      </w:r>
      <w:r w:rsidRPr="00A52DE0">
        <w:rPr>
          <w:rFonts w:ascii="Arial" w:hAnsi="Arial" w:cs="Arial"/>
          <w:b/>
        </w:rPr>
        <w:tab/>
      </w:r>
      <w:r w:rsidR="00422EB2" w:rsidRPr="00A52DE0">
        <w:rPr>
          <w:rFonts w:ascii="Arial" w:hAnsi="Arial" w:cs="Arial"/>
          <w:b/>
        </w:rPr>
        <w:t>Quality Requirements</w:t>
      </w:r>
      <w:bookmarkEnd w:id="18"/>
    </w:p>
    <w:p w:rsidR="00422EB2" w:rsidRPr="00A52DE0" w:rsidRDefault="00422EB2" w:rsidP="00422EB2">
      <w:pPr>
        <w:spacing w:before="120"/>
        <w:rPr>
          <w:rFonts w:ascii="Arial" w:hAnsi="Arial" w:cs="Arial"/>
        </w:rPr>
      </w:pPr>
      <w:bookmarkStart w:id="19" w:name="_Toc215319165"/>
      <w:r w:rsidRPr="00A52DE0">
        <w:rPr>
          <w:rFonts w:ascii="Arial" w:hAnsi="Arial" w:cs="Arial"/>
        </w:rPr>
        <w:t>The Service must comply with the Provider Quality Standards described in the Operational Policy Framework</w:t>
      </w:r>
      <w:r w:rsidR="00603694" w:rsidRPr="00603694">
        <w:rPr>
          <w:rFonts w:ascii="Arial" w:hAnsi="Arial" w:cs="Arial"/>
          <w:vertAlign w:val="superscript"/>
          <w:lang w:val="en-GB" w:eastAsia="en-GB"/>
        </w:rPr>
        <w:footnoteReference w:id="1"/>
      </w:r>
      <w:r w:rsidRPr="00A52DE0">
        <w:rPr>
          <w:rFonts w:ascii="Arial" w:hAnsi="Arial" w:cs="Arial"/>
        </w:rPr>
        <w:t xml:space="preserve"> or, as applicable, Crown Funding Agreement Variations, contracts or service level agreements.</w:t>
      </w:r>
      <w:bookmarkEnd w:id="19"/>
    </w:p>
    <w:p w:rsidR="00422EB2" w:rsidRPr="00A52DE0" w:rsidRDefault="006E6075" w:rsidP="00422EB2">
      <w:pPr>
        <w:tabs>
          <w:tab w:val="left" w:pos="570"/>
        </w:tabs>
        <w:spacing w:before="240" w:after="120"/>
        <w:rPr>
          <w:rFonts w:ascii="Arial" w:hAnsi="Arial" w:cs="Arial"/>
          <w:b/>
        </w:rPr>
      </w:pPr>
      <w:bookmarkStart w:id="20" w:name="_Toc215319172"/>
      <w:r w:rsidRPr="00A52DE0">
        <w:rPr>
          <w:rFonts w:ascii="Arial" w:hAnsi="Arial" w:cs="Arial"/>
          <w:b/>
        </w:rPr>
        <w:t>9</w:t>
      </w:r>
      <w:r w:rsidR="00422EB2" w:rsidRPr="00A52DE0">
        <w:rPr>
          <w:rFonts w:ascii="Arial" w:hAnsi="Arial" w:cs="Arial"/>
          <w:b/>
        </w:rPr>
        <w:t>.</w:t>
      </w:r>
      <w:r w:rsidR="00422EB2" w:rsidRPr="00A52DE0">
        <w:rPr>
          <w:rFonts w:ascii="Arial" w:hAnsi="Arial" w:cs="Arial"/>
          <w:b/>
        </w:rPr>
        <w:tab/>
        <w:t>Purchase Units and Reporting Requirements</w:t>
      </w:r>
      <w:bookmarkEnd w:id="20"/>
    </w:p>
    <w:p w:rsidR="00422EB2" w:rsidRDefault="00422EB2" w:rsidP="00422EB2">
      <w:pPr>
        <w:spacing w:before="120" w:after="120"/>
        <w:rPr>
          <w:rFonts w:ascii="Arial" w:hAnsi="Arial" w:cs="Arial"/>
        </w:rPr>
      </w:pPr>
      <w:bookmarkStart w:id="21" w:name="_Toc215319173"/>
      <w:r w:rsidRPr="00A52DE0">
        <w:rPr>
          <w:rFonts w:ascii="Arial" w:hAnsi="Arial" w:cs="Arial"/>
        </w:rPr>
        <w:t>Purchase Unit</w:t>
      </w:r>
      <w:r w:rsidR="00BD34FC">
        <w:rPr>
          <w:rFonts w:ascii="Arial" w:hAnsi="Arial" w:cs="Arial"/>
        </w:rPr>
        <w:t xml:space="preserve"> Codes</w:t>
      </w:r>
      <w:r w:rsidRPr="00A52DE0">
        <w:rPr>
          <w:rFonts w:ascii="Arial" w:hAnsi="Arial" w:cs="Arial"/>
        </w:rPr>
        <w:t xml:space="preserve"> are defined in the DHB and Ministry’s Nationwide Service Framework Purchase Unit Data Dictionary.  </w:t>
      </w:r>
      <w:bookmarkStart w:id="22" w:name="_Toc215319180"/>
      <w:bookmarkEnd w:id="21"/>
    </w:p>
    <w:p w:rsidR="00BB6D53" w:rsidRPr="00A52DE0" w:rsidRDefault="00BB6D53" w:rsidP="00BB6D53">
      <w:pPr>
        <w:tabs>
          <w:tab w:val="left" w:pos="567"/>
          <w:tab w:val="left" w:pos="709"/>
          <w:tab w:val="left" w:pos="1701"/>
          <w:tab w:val="left" w:pos="2693"/>
        </w:tabs>
        <w:spacing w:before="120"/>
        <w:rPr>
          <w:rFonts w:ascii="Arial" w:hAnsi="Arial" w:cs="Arial"/>
        </w:rPr>
      </w:pPr>
      <w:r w:rsidRPr="00BB6D53">
        <w:rPr>
          <w:rFonts w:ascii="Arial" w:hAnsi="Arial" w:cs="Arial"/>
          <w:lang w:val="en-GB" w:eastAsia="en-GB"/>
        </w:rPr>
        <w:t>Specific reporting requirements apply at tier t</w:t>
      </w:r>
      <w:r w:rsidR="00BD34FC">
        <w:rPr>
          <w:rFonts w:ascii="Arial" w:hAnsi="Arial" w:cs="Arial"/>
          <w:lang w:val="en-GB" w:eastAsia="en-GB"/>
        </w:rPr>
        <w:t>hree</w:t>
      </w:r>
      <w:r w:rsidRPr="00BB6D53">
        <w:rPr>
          <w:rFonts w:ascii="Arial" w:hAnsi="Arial" w:cs="Arial"/>
          <w:lang w:val="en-GB" w:eastAsia="en-GB"/>
        </w:rPr>
        <w:t xml:space="preserve"> service specifications.</w:t>
      </w:r>
    </w:p>
    <w:bookmarkEnd w:id="22"/>
    <w:p w:rsidR="00422EB2" w:rsidRPr="00A52DE0" w:rsidRDefault="00422EB2" w:rsidP="006E6075">
      <w:pPr>
        <w:pStyle w:val="ListParagraph"/>
        <w:numPr>
          <w:ilvl w:val="0"/>
          <w:numId w:val="6"/>
        </w:numPr>
        <w:tabs>
          <w:tab w:val="left" w:pos="-1099"/>
          <w:tab w:val="left" w:pos="-720"/>
          <w:tab w:val="left" w:pos="0"/>
          <w:tab w:val="left" w:pos="1080"/>
          <w:tab w:val="left" w:pos="1440"/>
          <w:tab w:val="left" w:pos="1701"/>
          <w:tab w:val="left" w:pos="1800"/>
          <w:tab w:val="left" w:pos="2693"/>
        </w:tabs>
        <w:spacing w:before="240"/>
        <w:ind w:left="709" w:hanging="709"/>
        <w:rPr>
          <w:rFonts w:ascii="Arial" w:hAnsi="Arial" w:cs="Arial"/>
          <w:b/>
        </w:rPr>
      </w:pPr>
      <w:r w:rsidRPr="00A52DE0">
        <w:rPr>
          <w:rFonts w:ascii="Arial" w:hAnsi="Arial" w:cs="Arial"/>
          <w:b/>
        </w:rPr>
        <w:t xml:space="preserve">Tier Three Service Specifications </w:t>
      </w:r>
    </w:p>
    <w:p w:rsidR="00422EB2" w:rsidRPr="00A52DE0" w:rsidRDefault="00A82511" w:rsidP="00295960">
      <w:pPr>
        <w:tabs>
          <w:tab w:val="left" w:pos="1701"/>
          <w:tab w:val="left" w:pos="2693"/>
        </w:tabs>
        <w:spacing w:before="120"/>
        <w:rPr>
          <w:rFonts w:ascii="Arial" w:hAnsi="Arial" w:cs="Arial"/>
        </w:rPr>
      </w:pPr>
      <w:r w:rsidRPr="00A52DE0">
        <w:rPr>
          <w:rFonts w:ascii="Arial" w:hAnsi="Arial" w:cs="Arial"/>
        </w:rPr>
        <w:t xml:space="preserve">This range of tier three service specifications for Consumer Leadership Mental Health and Addiction services has been developed to meet varied service needs.  </w:t>
      </w:r>
    </w:p>
    <w:p w:rsidR="00422EB2" w:rsidRPr="00A52DE0" w:rsidRDefault="00422EB2" w:rsidP="00422EB2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line="24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645"/>
      </w:tblGrid>
      <w:tr w:rsidR="00A52DE0" w:rsidRPr="00A52DE0" w:rsidTr="00BF566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2EB2" w:rsidRPr="00A52DE0" w:rsidRDefault="00422EB2" w:rsidP="00700256">
            <w:pPr>
              <w:spacing w:before="60" w:after="60"/>
              <w:rPr>
                <w:rFonts w:ascii="Arial" w:hAnsi="Arial" w:cs="Arial"/>
                <w:b/>
              </w:rPr>
            </w:pPr>
            <w:r w:rsidRPr="00A52DE0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2EB2" w:rsidRPr="00A52DE0" w:rsidRDefault="00422EB2" w:rsidP="00295960">
            <w:pPr>
              <w:spacing w:before="60" w:after="60"/>
              <w:rPr>
                <w:rFonts w:ascii="Arial" w:hAnsi="Arial" w:cs="Arial"/>
                <w:b/>
              </w:rPr>
            </w:pPr>
            <w:r w:rsidRPr="00A52DE0">
              <w:rPr>
                <w:rFonts w:ascii="Arial" w:hAnsi="Arial" w:cs="Arial"/>
                <w:b/>
              </w:rPr>
              <w:t>P</w:t>
            </w:r>
            <w:r w:rsidR="00295960">
              <w:rPr>
                <w:rFonts w:ascii="Arial" w:hAnsi="Arial" w:cs="Arial"/>
                <w:b/>
              </w:rPr>
              <w:t>urchase Unit</w:t>
            </w:r>
            <w:r w:rsidRPr="00A52DE0">
              <w:rPr>
                <w:rFonts w:ascii="Arial" w:hAnsi="Arial" w:cs="Arial"/>
                <w:b/>
              </w:rPr>
              <w:t xml:space="preserve"> Code</w:t>
            </w:r>
            <w:r w:rsidR="00295960">
              <w:rPr>
                <w:rFonts w:ascii="Arial" w:hAnsi="Arial" w:cs="Arial"/>
                <w:b/>
              </w:rPr>
              <w:t>s</w:t>
            </w:r>
          </w:p>
        </w:tc>
      </w:tr>
      <w:tr w:rsidR="00A52DE0" w:rsidRPr="00A52DE0" w:rsidTr="00BF5661">
        <w:tc>
          <w:tcPr>
            <w:tcW w:w="6091" w:type="dxa"/>
            <w:tcBorders>
              <w:top w:val="single" w:sz="4" w:space="0" w:color="auto"/>
            </w:tcBorders>
            <w:shd w:val="clear" w:color="auto" w:fill="auto"/>
          </w:tcPr>
          <w:p w:rsidR="00422EB2" w:rsidRPr="00A52DE0" w:rsidRDefault="00422EB2" w:rsidP="00422EB2">
            <w:pPr>
              <w:rPr>
                <w:rFonts w:ascii="Arial" w:hAnsi="Arial" w:cs="Arial"/>
              </w:rPr>
            </w:pPr>
            <w:r w:rsidRPr="00A52DE0">
              <w:rPr>
                <w:rFonts w:ascii="Arial" w:hAnsi="Arial" w:cs="Arial"/>
              </w:rPr>
              <w:t>Consumer Leadership, Consultancy And Liaison</w:t>
            </w:r>
          </w:p>
        </w:tc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</w:tcPr>
          <w:p w:rsidR="00422EB2" w:rsidRPr="00A52DE0" w:rsidRDefault="00422EB2" w:rsidP="00295960">
            <w:pPr>
              <w:rPr>
                <w:rFonts w:ascii="Arial" w:hAnsi="Arial" w:cs="Arial"/>
              </w:rPr>
            </w:pPr>
            <w:r w:rsidRPr="00A52DE0">
              <w:rPr>
                <w:rFonts w:ascii="Arial" w:hAnsi="Arial" w:cs="Arial"/>
              </w:rPr>
              <w:t>MHC33C, MHC33D, MHC33E, MHC33F</w:t>
            </w:r>
            <w:r w:rsidR="00603694">
              <w:rPr>
                <w:rFonts w:ascii="Arial" w:hAnsi="Arial" w:cs="Arial"/>
              </w:rPr>
              <w:t>, MHC33S</w:t>
            </w:r>
          </w:p>
        </w:tc>
      </w:tr>
      <w:tr w:rsidR="00A52DE0" w:rsidRPr="00A52DE0" w:rsidTr="00BF5661">
        <w:tc>
          <w:tcPr>
            <w:tcW w:w="6091" w:type="dxa"/>
            <w:shd w:val="clear" w:color="auto" w:fill="auto"/>
          </w:tcPr>
          <w:p w:rsidR="00422EB2" w:rsidRPr="00A52DE0" w:rsidRDefault="00422EB2" w:rsidP="00422EB2">
            <w:pPr>
              <w:rPr>
                <w:rFonts w:ascii="Arial" w:hAnsi="Arial" w:cs="Arial"/>
              </w:rPr>
            </w:pPr>
            <w:r w:rsidRPr="00A52DE0">
              <w:rPr>
                <w:rFonts w:ascii="Arial" w:hAnsi="Arial" w:cs="Arial"/>
              </w:rPr>
              <w:t>Consumer Advocacy Service</w:t>
            </w:r>
          </w:p>
        </w:tc>
        <w:tc>
          <w:tcPr>
            <w:tcW w:w="3645" w:type="dxa"/>
            <w:shd w:val="clear" w:color="auto" w:fill="auto"/>
          </w:tcPr>
          <w:p w:rsidR="00422EB2" w:rsidRPr="00A52DE0" w:rsidRDefault="00422EB2" w:rsidP="00295960">
            <w:pPr>
              <w:rPr>
                <w:rFonts w:ascii="Arial" w:hAnsi="Arial" w:cs="Arial"/>
              </w:rPr>
            </w:pPr>
            <w:r w:rsidRPr="00A52DE0">
              <w:rPr>
                <w:rFonts w:ascii="Arial" w:hAnsi="Arial" w:cs="Arial"/>
              </w:rPr>
              <w:t>MHC34F</w:t>
            </w:r>
            <w:r w:rsidR="00603694">
              <w:rPr>
                <w:rFonts w:ascii="Arial" w:hAnsi="Arial" w:cs="Arial"/>
              </w:rPr>
              <w:t>, MHC33S</w:t>
            </w:r>
          </w:p>
        </w:tc>
      </w:tr>
      <w:tr w:rsidR="00A52DE0" w:rsidRPr="00A52DE0" w:rsidTr="00BF5661">
        <w:tc>
          <w:tcPr>
            <w:tcW w:w="6091" w:type="dxa"/>
            <w:shd w:val="clear" w:color="auto" w:fill="auto"/>
          </w:tcPr>
          <w:p w:rsidR="00422EB2" w:rsidRPr="00A52DE0" w:rsidRDefault="00422EB2" w:rsidP="00422EB2">
            <w:pPr>
              <w:rPr>
                <w:rFonts w:ascii="Arial" w:hAnsi="Arial" w:cs="Arial"/>
              </w:rPr>
            </w:pPr>
            <w:r w:rsidRPr="00A52DE0">
              <w:rPr>
                <w:rFonts w:ascii="Arial" w:hAnsi="Arial" w:cs="Arial"/>
              </w:rPr>
              <w:t>Consumer Resource And Information Service</w:t>
            </w:r>
          </w:p>
        </w:tc>
        <w:tc>
          <w:tcPr>
            <w:tcW w:w="3645" w:type="dxa"/>
            <w:shd w:val="clear" w:color="auto" w:fill="auto"/>
          </w:tcPr>
          <w:p w:rsidR="00422EB2" w:rsidRPr="00A52DE0" w:rsidRDefault="00422EB2" w:rsidP="00295960">
            <w:pPr>
              <w:rPr>
                <w:rFonts w:ascii="Arial" w:hAnsi="Arial" w:cs="Arial"/>
              </w:rPr>
            </w:pPr>
            <w:r w:rsidRPr="00A52DE0">
              <w:rPr>
                <w:rFonts w:ascii="Arial" w:hAnsi="Arial" w:cs="Arial"/>
              </w:rPr>
              <w:t>MHC35F</w:t>
            </w:r>
            <w:r w:rsidR="00603694">
              <w:rPr>
                <w:rFonts w:ascii="Arial" w:hAnsi="Arial" w:cs="Arial"/>
              </w:rPr>
              <w:t>, MHC33S</w:t>
            </w:r>
          </w:p>
        </w:tc>
      </w:tr>
      <w:tr w:rsidR="00A52DE0" w:rsidRPr="00A52DE0" w:rsidTr="00BF5661">
        <w:tc>
          <w:tcPr>
            <w:tcW w:w="6091" w:type="dxa"/>
            <w:shd w:val="clear" w:color="auto" w:fill="auto"/>
          </w:tcPr>
          <w:p w:rsidR="00422EB2" w:rsidRPr="00A52DE0" w:rsidRDefault="00422EB2" w:rsidP="00422EB2">
            <w:pPr>
              <w:rPr>
                <w:rFonts w:ascii="Arial" w:hAnsi="Arial" w:cs="Arial"/>
              </w:rPr>
            </w:pPr>
            <w:r w:rsidRPr="00A52DE0">
              <w:rPr>
                <w:rFonts w:ascii="Arial" w:hAnsi="Arial" w:cs="Arial"/>
              </w:rPr>
              <w:t>Peer Support Service For Adults</w:t>
            </w:r>
          </w:p>
        </w:tc>
        <w:tc>
          <w:tcPr>
            <w:tcW w:w="3645" w:type="dxa"/>
            <w:shd w:val="clear" w:color="auto" w:fill="auto"/>
          </w:tcPr>
          <w:p w:rsidR="00422EB2" w:rsidRPr="00A52DE0" w:rsidRDefault="00422EB2" w:rsidP="00295960">
            <w:pPr>
              <w:rPr>
                <w:rFonts w:ascii="Arial" w:hAnsi="Arial" w:cs="Arial"/>
              </w:rPr>
            </w:pPr>
            <w:r w:rsidRPr="00A52DE0">
              <w:rPr>
                <w:rFonts w:ascii="Arial" w:hAnsi="Arial" w:cs="Arial"/>
              </w:rPr>
              <w:t>MHC36F</w:t>
            </w:r>
            <w:r w:rsidR="00603694">
              <w:rPr>
                <w:rFonts w:ascii="Arial" w:hAnsi="Arial" w:cs="Arial"/>
              </w:rPr>
              <w:t>, MHC33S</w:t>
            </w:r>
          </w:p>
        </w:tc>
      </w:tr>
      <w:tr w:rsidR="00A52DE0" w:rsidRPr="00A52DE0" w:rsidTr="00BF5661">
        <w:tc>
          <w:tcPr>
            <w:tcW w:w="6091" w:type="dxa"/>
            <w:shd w:val="clear" w:color="auto" w:fill="auto"/>
          </w:tcPr>
          <w:p w:rsidR="00422EB2" w:rsidRPr="00A52DE0" w:rsidRDefault="00422EB2" w:rsidP="00422EB2">
            <w:pPr>
              <w:rPr>
                <w:rFonts w:ascii="Arial" w:hAnsi="Arial" w:cs="Arial"/>
              </w:rPr>
            </w:pPr>
            <w:r w:rsidRPr="00A52DE0">
              <w:rPr>
                <w:rFonts w:ascii="Arial" w:hAnsi="Arial" w:cs="Arial"/>
              </w:rPr>
              <w:t>Peer Support Service Children, Adolescent And Youth</w:t>
            </w:r>
          </w:p>
        </w:tc>
        <w:tc>
          <w:tcPr>
            <w:tcW w:w="3645" w:type="dxa"/>
            <w:shd w:val="clear" w:color="auto" w:fill="auto"/>
          </w:tcPr>
          <w:p w:rsidR="00422EB2" w:rsidRPr="00A52DE0" w:rsidRDefault="00422EB2" w:rsidP="00422EB2">
            <w:pPr>
              <w:rPr>
                <w:rFonts w:ascii="Arial" w:hAnsi="Arial" w:cs="Arial"/>
              </w:rPr>
            </w:pPr>
            <w:r w:rsidRPr="00A52DE0">
              <w:rPr>
                <w:rFonts w:ascii="Arial" w:hAnsi="Arial" w:cs="Arial"/>
              </w:rPr>
              <w:t>MHCI37F</w:t>
            </w:r>
            <w:r w:rsidR="00603694">
              <w:rPr>
                <w:rFonts w:ascii="Arial" w:hAnsi="Arial" w:cs="Arial"/>
              </w:rPr>
              <w:t>, MHC33S</w:t>
            </w:r>
          </w:p>
        </w:tc>
      </w:tr>
      <w:tr w:rsidR="00422EB2" w:rsidRPr="00A52DE0" w:rsidTr="00BF5661">
        <w:tc>
          <w:tcPr>
            <w:tcW w:w="6091" w:type="dxa"/>
            <w:shd w:val="clear" w:color="auto" w:fill="auto"/>
          </w:tcPr>
          <w:p w:rsidR="00422EB2" w:rsidRPr="00A52DE0" w:rsidRDefault="00BC10A1" w:rsidP="00BF5661">
            <w:pPr>
              <w:rPr>
                <w:rFonts w:ascii="Arial" w:hAnsi="Arial" w:cs="Arial"/>
              </w:rPr>
            </w:pPr>
            <w:r w:rsidRPr="00A52DE0">
              <w:rPr>
                <w:rFonts w:ascii="Arial" w:hAnsi="Arial" w:cs="Arial"/>
              </w:rPr>
              <w:t xml:space="preserve">Community </w:t>
            </w:r>
            <w:r w:rsidR="00422EB2" w:rsidRPr="00A52DE0">
              <w:rPr>
                <w:rFonts w:ascii="Arial" w:hAnsi="Arial" w:cs="Arial"/>
              </w:rPr>
              <w:t>Phone Service</w:t>
            </w:r>
            <w:r w:rsidR="00BC3121">
              <w:rPr>
                <w:rFonts w:ascii="Arial" w:hAnsi="Arial" w:cs="Arial"/>
              </w:rPr>
              <w:t>s</w:t>
            </w:r>
          </w:p>
        </w:tc>
        <w:tc>
          <w:tcPr>
            <w:tcW w:w="3645" w:type="dxa"/>
            <w:shd w:val="clear" w:color="auto" w:fill="auto"/>
          </w:tcPr>
          <w:p w:rsidR="00422EB2" w:rsidRPr="00A52DE0" w:rsidRDefault="00422EB2" w:rsidP="00BC3121">
            <w:pPr>
              <w:rPr>
                <w:rFonts w:ascii="Arial" w:hAnsi="Arial" w:cs="Arial"/>
              </w:rPr>
            </w:pPr>
            <w:r w:rsidRPr="00A52DE0">
              <w:rPr>
                <w:rFonts w:ascii="Arial" w:hAnsi="Arial" w:cs="Arial"/>
              </w:rPr>
              <w:t>MHC</w:t>
            </w:r>
            <w:r w:rsidR="00BC3121">
              <w:rPr>
                <w:rFonts w:ascii="Arial" w:hAnsi="Arial" w:cs="Arial"/>
              </w:rPr>
              <w:t>102</w:t>
            </w:r>
          </w:p>
        </w:tc>
      </w:tr>
    </w:tbl>
    <w:p w:rsidR="00D62D40" w:rsidRPr="00A52DE0" w:rsidRDefault="00D62D40" w:rsidP="004F1097"/>
    <w:sectPr w:rsidR="00D62D40" w:rsidRPr="00A52DE0" w:rsidSect="00482F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22" w:rsidRDefault="00706622">
      <w:r>
        <w:separator/>
      </w:r>
    </w:p>
  </w:endnote>
  <w:endnote w:type="continuationSeparator" w:id="0">
    <w:p w:rsidR="00706622" w:rsidRDefault="0070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EB" w:rsidRDefault="00CB21EB" w:rsidP="001825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1EB" w:rsidRDefault="00CB21EB" w:rsidP="001825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EB" w:rsidRDefault="00CB21EB" w:rsidP="001825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DE7">
      <w:rPr>
        <w:rStyle w:val="PageNumber"/>
        <w:noProof/>
      </w:rPr>
      <w:t>2</w:t>
    </w:r>
    <w:r>
      <w:rPr>
        <w:rStyle w:val="PageNumber"/>
      </w:rPr>
      <w:fldChar w:fldCharType="end"/>
    </w:r>
  </w:p>
  <w:p w:rsidR="00CB21EB" w:rsidRPr="00292FB7" w:rsidRDefault="006E6075" w:rsidP="00621598">
    <w:pPr>
      <w:pStyle w:val="Header"/>
      <w:pBdr>
        <w:top w:val="single" w:sz="4" w:space="1" w:color="auto"/>
      </w:pBdr>
      <w:tabs>
        <w:tab w:val="clear" w:pos="4153"/>
        <w:tab w:val="clear" w:pos="8306"/>
        <w:tab w:val="center" w:pos="7371"/>
      </w:tabs>
      <w:ind w:right="360"/>
      <w:rPr>
        <w:rFonts w:ascii="Arial" w:hAnsi="Arial" w:cs="Arial"/>
        <w:sz w:val="20"/>
        <w:szCs w:val="20"/>
      </w:rPr>
    </w:pPr>
    <w:r w:rsidRPr="00292FB7">
      <w:rPr>
        <w:rFonts w:ascii="Arial" w:hAnsi="Arial" w:cs="Arial"/>
        <w:sz w:val="20"/>
        <w:szCs w:val="20"/>
      </w:rPr>
      <w:t xml:space="preserve">Services Providing Consumer Leadership, </w:t>
    </w:r>
    <w:r w:rsidR="00CB21EB" w:rsidRPr="00292FB7">
      <w:rPr>
        <w:rFonts w:ascii="Arial" w:hAnsi="Arial" w:cs="Arial"/>
        <w:sz w:val="20"/>
        <w:szCs w:val="20"/>
      </w:rPr>
      <w:t xml:space="preserve">Mental Health and Addiction Services -- tier two service specification </w:t>
    </w:r>
    <w:r w:rsidR="003F1721">
      <w:rPr>
        <w:rFonts w:ascii="Arial" w:hAnsi="Arial" w:cs="Arial"/>
        <w:sz w:val="20"/>
        <w:szCs w:val="20"/>
      </w:rPr>
      <w:t>April 2017</w:t>
    </w:r>
  </w:p>
  <w:p w:rsidR="00CB21EB" w:rsidRPr="00292FB7" w:rsidRDefault="00CB21EB" w:rsidP="006C7B18">
    <w:pPr>
      <w:pStyle w:val="Header"/>
      <w:tabs>
        <w:tab w:val="clear" w:pos="4153"/>
        <w:tab w:val="clear" w:pos="8306"/>
        <w:tab w:val="center" w:pos="7371"/>
      </w:tabs>
      <w:ind w:right="360"/>
      <w:rPr>
        <w:sz w:val="20"/>
        <w:szCs w:val="20"/>
      </w:rPr>
    </w:pPr>
    <w:r w:rsidRPr="00292FB7">
      <w:rPr>
        <w:rFonts w:ascii="Arial" w:hAnsi="Arial" w:cs="Arial"/>
        <w:sz w:val="20"/>
        <w:szCs w:val="20"/>
      </w:rPr>
      <w:t xml:space="preserve">Nationwide Service Framework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21" w:rsidRDefault="003F1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22" w:rsidRDefault="00706622">
      <w:r>
        <w:separator/>
      </w:r>
    </w:p>
  </w:footnote>
  <w:footnote w:type="continuationSeparator" w:id="0">
    <w:p w:rsidR="00706622" w:rsidRDefault="00706622">
      <w:r>
        <w:continuationSeparator/>
      </w:r>
    </w:p>
  </w:footnote>
  <w:footnote w:id="1">
    <w:p w:rsidR="00603694" w:rsidRPr="00FB779F" w:rsidRDefault="00603694" w:rsidP="00603694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0C7810">
        <w:t>http://nsfl.health.govt.nz/accountability/operational-policy-framework-0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21" w:rsidRDefault="003F1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21" w:rsidRDefault="003F17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21" w:rsidRDefault="003F1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E43B2"/>
    <w:multiLevelType w:val="multilevel"/>
    <w:tmpl w:val="A29E044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4C04425"/>
    <w:multiLevelType w:val="hybridMultilevel"/>
    <w:tmpl w:val="C03AE6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8C5002"/>
    <w:multiLevelType w:val="hybridMultilevel"/>
    <w:tmpl w:val="22128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D34E6A"/>
    <w:multiLevelType w:val="hybridMultilevel"/>
    <w:tmpl w:val="10028B32"/>
    <w:lvl w:ilvl="0" w:tplc="AC7A4330">
      <w:start w:val="9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55CEA"/>
    <w:multiLevelType w:val="hybridMultilevel"/>
    <w:tmpl w:val="80E8BD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587988"/>
    <w:multiLevelType w:val="hybridMultilevel"/>
    <w:tmpl w:val="E26CDD44"/>
    <w:lvl w:ilvl="0" w:tplc="B57E1C02">
      <w:start w:val="10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3" w:hanging="360"/>
      </w:pPr>
    </w:lvl>
    <w:lvl w:ilvl="2" w:tplc="1409001B" w:tentative="1">
      <w:start w:val="1"/>
      <w:numFmt w:val="lowerRoman"/>
      <w:lvlText w:val="%3."/>
      <w:lvlJc w:val="right"/>
      <w:pPr>
        <w:ind w:left="2373" w:hanging="180"/>
      </w:pPr>
    </w:lvl>
    <w:lvl w:ilvl="3" w:tplc="1409000F" w:tentative="1">
      <w:start w:val="1"/>
      <w:numFmt w:val="decimal"/>
      <w:lvlText w:val="%4."/>
      <w:lvlJc w:val="left"/>
      <w:pPr>
        <w:ind w:left="3093" w:hanging="360"/>
      </w:pPr>
    </w:lvl>
    <w:lvl w:ilvl="4" w:tplc="14090019" w:tentative="1">
      <w:start w:val="1"/>
      <w:numFmt w:val="lowerLetter"/>
      <w:lvlText w:val="%5."/>
      <w:lvlJc w:val="left"/>
      <w:pPr>
        <w:ind w:left="3813" w:hanging="360"/>
      </w:pPr>
    </w:lvl>
    <w:lvl w:ilvl="5" w:tplc="1409001B" w:tentative="1">
      <w:start w:val="1"/>
      <w:numFmt w:val="lowerRoman"/>
      <w:lvlText w:val="%6."/>
      <w:lvlJc w:val="right"/>
      <w:pPr>
        <w:ind w:left="4533" w:hanging="180"/>
      </w:pPr>
    </w:lvl>
    <w:lvl w:ilvl="6" w:tplc="1409000F" w:tentative="1">
      <w:start w:val="1"/>
      <w:numFmt w:val="decimal"/>
      <w:lvlText w:val="%7."/>
      <w:lvlJc w:val="left"/>
      <w:pPr>
        <w:ind w:left="5253" w:hanging="360"/>
      </w:pPr>
    </w:lvl>
    <w:lvl w:ilvl="7" w:tplc="14090019" w:tentative="1">
      <w:start w:val="1"/>
      <w:numFmt w:val="lowerLetter"/>
      <w:lvlText w:val="%8."/>
      <w:lvlJc w:val="left"/>
      <w:pPr>
        <w:ind w:left="5973" w:hanging="360"/>
      </w:pPr>
    </w:lvl>
    <w:lvl w:ilvl="8" w:tplc="140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0"/>
    <w:rsid w:val="00033D75"/>
    <w:rsid w:val="00036B4C"/>
    <w:rsid w:val="00053DE7"/>
    <w:rsid w:val="00061A20"/>
    <w:rsid w:val="00065BFE"/>
    <w:rsid w:val="000B4BAC"/>
    <w:rsid w:val="000F29E9"/>
    <w:rsid w:val="001825F6"/>
    <w:rsid w:val="00194DD3"/>
    <w:rsid w:val="002670B4"/>
    <w:rsid w:val="00292FB7"/>
    <w:rsid w:val="00295960"/>
    <w:rsid w:val="002A0330"/>
    <w:rsid w:val="003436D5"/>
    <w:rsid w:val="00383EC4"/>
    <w:rsid w:val="00394E38"/>
    <w:rsid w:val="003F1721"/>
    <w:rsid w:val="00422EB2"/>
    <w:rsid w:val="00427015"/>
    <w:rsid w:val="004451A9"/>
    <w:rsid w:val="004547A0"/>
    <w:rsid w:val="00482F0F"/>
    <w:rsid w:val="004922EE"/>
    <w:rsid w:val="004E43AB"/>
    <w:rsid w:val="004F1097"/>
    <w:rsid w:val="005027C6"/>
    <w:rsid w:val="0053088C"/>
    <w:rsid w:val="005713B2"/>
    <w:rsid w:val="005970CE"/>
    <w:rsid w:val="005B4AC8"/>
    <w:rsid w:val="005D5A07"/>
    <w:rsid w:val="005F0A85"/>
    <w:rsid w:val="00603694"/>
    <w:rsid w:val="00621598"/>
    <w:rsid w:val="00634D6E"/>
    <w:rsid w:val="006C7B18"/>
    <w:rsid w:val="006E6075"/>
    <w:rsid w:val="00700256"/>
    <w:rsid w:val="00706103"/>
    <w:rsid w:val="00706622"/>
    <w:rsid w:val="00713439"/>
    <w:rsid w:val="0073588D"/>
    <w:rsid w:val="007406F0"/>
    <w:rsid w:val="00806C29"/>
    <w:rsid w:val="00880067"/>
    <w:rsid w:val="008F73F0"/>
    <w:rsid w:val="008F747E"/>
    <w:rsid w:val="00932DB5"/>
    <w:rsid w:val="00981532"/>
    <w:rsid w:val="009C3E84"/>
    <w:rsid w:val="00A1795B"/>
    <w:rsid w:val="00A3096E"/>
    <w:rsid w:val="00A50279"/>
    <w:rsid w:val="00A52DE0"/>
    <w:rsid w:val="00A5488F"/>
    <w:rsid w:val="00A82511"/>
    <w:rsid w:val="00AF23B8"/>
    <w:rsid w:val="00B27298"/>
    <w:rsid w:val="00B273E1"/>
    <w:rsid w:val="00B52E67"/>
    <w:rsid w:val="00B7269E"/>
    <w:rsid w:val="00B81DB6"/>
    <w:rsid w:val="00BA5649"/>
    <w:rsid w:val="00BB19AF"/>
    <w:rsid w:val="00BB6D53"/>
    <w:rsid w:val="00BC10A1"/>
    <w:rsid w:val="00BC3121"/>
    <w:rsid w:val="00BD34FC"/>
    <w:rsid w:val="00BF5661"/>
    <w:rsid w:val="00C02BAF"/>
    <w:rsid w:val="00C04196"/>
    <w:rsid w:val="00C13F90"/>
    <w:rsid w:val="00C21B04"/>
    <w:rsid w:val="00C51842"/>
    <w:rsid w:val="00C679F0"/>
    <w:rsid w:val="00CB21EB"/>
    <w:rsid w:val="00CC7725"/>
    <w:rsid w:val="00CE1329"/>
    <w:rsid w:val="00CF384F"/>
    <w:rsid w:val="00D13440"/>
    <w:rsid w:val="00D62D40"/>
    <w:rsid w:val="00D719C6"/>
    <w:rsid w:val="00D95B27"/>
    <w:rsid w:val="00DB6AB9"/>
    <w:rsid w:val="00DE48BB"/>
    <w:rsid w:val="00E30B47"/>
    <w:rsid w:val="00E728B0"/>
    <w:rsid w:val="00EE3957"/>
    <w:rsid w:val="00F02A50"/>
    <w:rsid w:val="00F1209C"/>
    <w:rsid w:val="00F45583"/>
    <w:rsid w:val="00FA39E9"/>
    <w:rsid w:val="00FF2EA7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548E2B6-58C1-4CE5-93A9-13247B00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EB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22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422EB2"/>
    <w:pPr>
      <w:keepNext/>
      <w:jc w:val="center"/>
      <w:outlineLvl w:val="4"/>
    </w:pPr>
    <w:rPr>
      <w:rFonts w:ascii="Arial" w:hAnsi="Arial"/>
      <w:b/>
      <w:sz w:val="28"/>
      <w:szCs w:val="20"/>
      <w:lang w:val="en-GB" w:eastAsia="en-GB"/>
    </w:rPr>
  </w:style>
  <w:style w:type="paragraph" w:styleId="Heading9">
    <w:name w:val="heading 9"/>
    <w:basedOn w:val="Normal"/>
    <w:next w:val="Normal"/>
    <w:qFormat/>
    <w:rsid w:val="0042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rsid w:val="00422EB2"/>
    <w:pPr>
      <w:tabs>
        <w:tab w:val="left" w:pos="567"/>
      </w:tabs>
    </w:pPr>
    <w:rPr>
      <w:rFonts w:ascii="Arial Mäori" w:hAnsi="Arial Mäori"/>
      <w:b/>
      <w:sz w:val="20"/>
      <w:szCs w:val="20"/>
      <w:lang w:val="en-GB" w:eastAsia="en-GB"/>
    </w:rPr>
  </w:style>
  <w:style w:type="paragraph" w:styleId="Title">
    <w:name w:val="Title"/>
    <w:basedOn w:val="Normal"/>
    <w:qFormat/>
    <w:rsid w:val="00422EB2"/>
    <w:pPr>
      <w:jc w:val="center"/>
    </w:pPr>
    <w:rPr>
      <w:rFonts w:ascii="Arial" w:hAnsi="Arial"/>
      <w:b/>
      <w:sz w:val="32"/>
      <w:szCs w:val="20"/>
    </w:rPr>
  </w:style>
  <w:style w:type="paragraph" w:customStyle="1" w:styleId="a">
    <w:basedOn w:val="Normal"/>
    <w:rsid w:val="00422EB2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table" w:styleId="TableGrid">
    <w:name w:val="Table Grid"/>
    <w:basedOn w:val="TableNormal"/>
    <w:rsid w:val="00422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451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51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51A9"/>
  </w:style>
  <w:style w:type="paragraph" w:styleId="BalloonText">
    <w:name w:val="Balloon Text"/>
    <w:basedOn w:val="Normal"/>
    <w:semiHidden/>
    <w:rsid w:val="004922EE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95B27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E607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03694"/>
    <w:rPr>
      <w:rFonts w:ascii="Arial" w:hAnsi="Arial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03694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rsid w:val="006036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E48BB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fl.health.govt.n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EF13-552B-4B66-A971-88FF8A4E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F4AF64CF</Template>
  <TotalTime>0</TotalTime>
  <Pages>4</Pages>
  <Words>942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Vickie Turnbull</cp:lastModifiedBy>
  <cp:revision>2</cp:revision>
  <dcterms:created xsi:type="dcterms:W3CDTF">2017-08-11T01:30:00Z</dcterms:created>
  <dcterms:modified xsi:type="dcterms:W3CDTF">2017-08-11T01:30:00Z</dcterms:modified>
</cp:coreProperties>
</file>