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013"/>
        <w:gridCol w:w="2758"/>
        <w:gridCol w:w="3057"/>
      </w:tblGrid>
      <w:tr w:rsidR="00C757A0" w:rsidRPr="00063831" w:rsidTr="00593ECA">
        <w:trPr>
          <w:cantSplit/>
        </w:trPr>
        <w:tc>
          <w:tcPr>
            <w:tcW w:w="4013" w:type="dxa"/>
            <w:vAlign w:val="center"/>
          </w:tcPr>
          <w:p w:rsidR="00C757A0" w:rsidRPr="00063831" w:rsidRDefault="004C6067" w:rsidP="00C757A0">
            <w:pPr>
              <w:jc w:val="center"/>
              <w:rPr>
                <w:rFonts w:cs="Arial"/>
                <w:bCs/>
                <w:sz w:val="36"/>
              </w:rPr>
            </w:pPr>
            <w:r>
              <w:rPr>
                <w:rFonts w:cs="Arial"/>
                <w:noProof/>
                <w:lang w:val="en-NZ" w:eastAsia="en-NZ"/>
              </w:rPr>
              <w:drawing>
                <wp:inline distT="0" distB="0" distL="0" distR="0" wp14:anchorId="56EA13CD" wp14:editId="6D067FD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C757A0" w:rsidRPr="00063831" w:rsidRDefault="00C757A0" w:rsidP="00C757A0">
            <w:pPr>
              <w:jc w:val="right"/>
              <w:rPr>
                <w:rFonts w:cs="Arial"/>
              </w:rPr>
            </w:pPr>
          </w:p>
          <w:p w:rsidR="00C757A0" w:rsidRPr="004613EA" w:rsidRDefault="00593ECA" w:rsidP="00593ECA">
            <w:pPr>
              <w:jc w:val="right"/>
              <w:rPr>
                <w:rFonts w:cs="Arial"/>
                <w:bCs/>
                <w:sz w:val="32"/>
                <w:szCs w:val="32"/>
              </w:rPr>
            </w:pPr>
            <w:r w:rsidRPr="004613EA">
              <w:rPr>
                <w:rFonts w:cs="Arial"/>
                <w:b/>
                <w:bCs/>
                <w:sz w:val="32"/>
                <w:szCs w:val="32"/>
              </w:rPr>
              <w:t>All District Health Board</w:t>
            </w:r>
            <w:r w:rsidR="00C757A0" w:rsidRPr="004613EA">
              <w:rPr>
                <w:rFonts w:cs="Arial"/>
                <w:b/>
                <w:bCs/>
                <w:sz w:val="32"/>
                <w:szCs w:val="32"/>
              </w:rPr>
              <w:t>s</w:t>
            </w:r>
          </w:p>
        </w:tc>
      </w:tr>
      <w:tr w:rsidR="00C757A0" w:rsidRPr="00063831" w:rsidTr="00593ECA">
        <w:tc>
          <w:tcPr>
            <w:tcW w:w="9828" w:type="dxa"/>
            <w:gridSpan w:val="3"/>
            <w:tcBorders>
              <w:bottom w:val="single" w:sz="4" w:space="0" w:color="auto"/>
            </w:tcBorders>
          </w:tcPr>
          <w:p w:rsidR="00593ECA" w:rsidRPr="002C45CD" w:rsidRDefault="004613EA" w:rsidP="00644C8C">
            <w:pPr>
              <w:pStyle w:val="Heading1"/>
              <w:spacing w:before="2280" w:after="240"/>
              <w:ind w:left="360"/>
              <w:jc w:val="center"/>
              <w:rPr>
                <w:rFonts w:cs="Arial"/>
                <w:sz w:val="36"/>
                <w:szCs w:val="36"/>
              </w:rPr>
            </w:pPr>
            <w:r>
              <w:rPr>
                <w:rFonts w:cs="Arial"/>
                <w:sz w:val="36"/>
                <w:szCs w:val="36"/>
              </w:rPr>
              <w:t>ADULT MENTAL HEALTH</w:t>
            </w:r>
            <w:r w:rsidR="00593ECA" w:rsidRPr="002C45CD">
              <w:rPr>
                <w:rFonts w:cs="Arial"/>
                <w:sz w:val="36"/>
                <w:szCs w:val="36"/>
              </w:rPr>
              <w:t xml:space="preserve">- </w:t>
            </w:r>
          </w:p>
          <w:p w:rsidR="00593ECA" w:rsidRDefault="00C757A0" w:rsidP="00B873C3">
            <w:pPr>
              <w:pStyle w:val="Heading1"/>
              <w:spacing w:before="0" w:after="240"/>
              <w:ind w:left="360"/>
              <w:jc w:val="center"/>
              <w:rPr>
                <w:rFonts w:cs="Arial"/>
                <w:sz w:val="36"/>
                <w:szCs w:val="36"/>
              </w:rPr>
            </w:pPr>
            <w:r w:rsidRPr="00063831">
              <w:rPr>
                <w:rFonts w:cs="Arial"/>
                <w:sz w:val="36"/>
                <w:szCs w:val="36"/>
              </w:rPr>
              <w:t xml:space="preserve">SUPPORTIVE LANDLORD SERVICE </w:t>
            </w:r>
            <w:r w:rsidR="00593ECA">
              <w:rPr>
                <w:rFonts w:cs="Arial"/>
                <w:sz w:val="36"/>
                <w:szCs w:val="36"/>
              </w:rPr>
              <w:t>–</w:t>
            </w:r>
          </w:p>
          <w:p w:rsidR="00593ECA" w:rsidRPr="002C45CD" w:rsidRDefault="00593ECA" w:rsidP="00B873C3">
            <w:pPr>
              <w:pStyle w:val="Heading1"/>
              <w:spacing w:before="0" w:after="240"/>
              <w:ind w:left="360"/>
              <w:jc w:val="center"/>
              <w:rPr>
                <w:rFonts w:cs="Arial"/>
                <w:sz w:val="36"/>
                <w:szCs w:val="36"/>
              </w:rPr>
            </w:pPr>
            <w:r w:rsidRPr="002C45CD">
              <w:rPr>
                <w:rFonts w:cs="Arial"/>
                <w:sz w:val="36"/>
                <w:szCs w:val="36"/>
              </w:rPr>
              <w:t xml:space="preserve">MENTAL HEALTH </w:t>
            </w:r>
            <w:smartTag w:uri="urn:schemas-microsoft-com:office:smarttags" w:element="stockticker">
              <w:r w:rsidRPr="002C45CD">
                <w:rPr>
                  <w:rFonts w:cs="Arial"/>
                  <w:sz w:val="36"/>
                  <w:szCs w:val="36"/>
                </w:rPr>
                <w:t>AND</w:t>
              </w:r>
            </w:smartTag>
            <w:r w:rsidRPr="002C45CD">
              <w:rPr>
                <w:rFonts w:cs="Arial"/>
                <w:sz w:val="36"/>
                <w:szCs w:val="36"/>
              </w:rPr>
              <w:t xml:space="preserve"> ADDICTION SERVICES –</w:t>
            </w:r>
          </w:p>
          <w:p w:rsidR="004613EA" w:rsidRDefault="00C757A0" w:rsidP="00B873C3">
            <w:pPr>
              <w:pStyle w:val="Heading1"/>
              <w:spacing w:before="0" w:after="240"/>
              <w:ind w:left="360"/>
              <w:jc w:val="center"/>
              <w:rPr>
                <w:rFonts w:cs="Arial"/>
                <w:caps/>
                <w:sz w:val="36"/>
                <w:szCs w:val="36"/>
              </w:rPr>
            </w:pPr>
            <w:r w:rsidRPr="00063831">
              <w:rPr>
                <w:rFonts w:cs="Arial"/>
                <w:caps/>
                <w:sz w:val="36"/>
                <w:szCs w:val="36"/>
              </w:rPr>
              <w:t xml:space="preserve">Service Specification </w:t>
            </w:r>
          </w:p>
          <w:p w:rsidR="004613EA" w:rsidRPr="00063831" w:rsidRDefault="004613EA" w:rsidP="00644C8C">
            <w:pPr>
              <w:pStyle w:val="Heading1"/>
              <w:spacing w:before="0" w:after="1200"/>
              <w:ind w:left="360"/>
              <w:jc w:val="center"/>
              <w:rPr>
                <w:rFonts w:cs="Arial"/>
                <w:caps/>
                <w:sz w:val="36"/>
                <w:szCs w:val="36"/>
              </w:rPr>
            </w:pPr>
            <w:r w:rsidRPr="00063831">
              <w:rPr>
                <w:rFonts w:cs="Arial"/>
                <w:caps/>
                <w:sz w:val="36"/>
                <w:szCs w:val="36"/>
              </w:rPr>
              <w:t>Tier THREE</w:t>
            </w:r>
          </w:p>
          <w:p w:rsidR="00C757A0" w:rsidRPr="00063831" w:rsidRDefault="00C757A0" w:rsidP="00C757A0">
            <w:pPr>
              <w:ind w:left="360"/>
              <w:rPr>
                <w:rFonts w:cs="Arial"/>
                <w:lang w:val="en-US"/>
              </w:rPr>
            </w:pPr>
          </w:p>
        </w:tc>
      </w:tr>
      <w:tr w:rsidR="00644C8C" w:rsidRPr="00063831" w:rsidTr="00B37A50">
        <w:trPr>
          <w:trHeight w:val="1691"/>
        </w:trPr>
        <w:tc>
          <w:tcPr>
            <w:tcW w:w="6771" w:type="dxa"/>
            <w:gridSpan w:val="2"/>
          </w:tcPr>
          <w:p w:rsidR="00644C8C" w:rsidRPr="00395B06" w:rsidRDefault="00644C8C" w:rsidP="00644C8C">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057" w:type="dxa"/>
          </w:tcPr>
          <w:p w:rsidR="00644C8C" w:rsidRPr="00395B06" w:rsidRDefault="00644C8C" w:rsidP="00644C8C">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C757A0" w:rsidRPr="00063831" w:rsidTr="00593ECA">
        <w:trPr>
          <w:trHeight w:val="297"/>
        </w:trPr>
        <w:tc>
          <w:tcPr>
            <w:tcW w:w="6771" w:type="dxa"/>
            <w:gridSpan w:val="2"/>
            <w:tcBorders>
              <w:top w:val="single" w:sz="4" w:space="0" w:color="auto"/>
              <w:bottom w:val="single" w:sz="4" w:space="0" w:color="auto"/>
            </w:tcBorders>
            <w:shd w:val="clear" w:color="auto" w:fill="CCCCCC"/>
          </w:tcPr>
          <w:p w:rsidR="00C757A0" w:rsidRPr="00B37A50" w:rsidRDefault="00C757A0" w:rsidP="00C757A0">
            <w:pPr>
              <w:pStyle w:val="Heading1"/>
              <w:spacing w:after="240"/>
              <w:rPr>
                <w:rFonts w:cs="Arial"/>
              </w:rPr>
            </w:pPr>
            <w:r w:rsidRPr="00B37A50">
              <w:rPr>
                <w:rFonts w:cs="Arial"/>
              </w:rPr>
              <w:t>Review History</w:t>
            </w:r>
          </w:p>
        </w:tc>
        <w:tc>
          <w:tcPr>
            <w:tcW w:w="3057" w:type="dxa"/>
            <w:tcBorders>
              <w:top w:val="single" w:sz="4" w:space="0" w:color="auto"/>
              <w:bottom w:val="single" w:sz="4" w:space="0" w:color="auto"/>
            </w:tcBorders>
            <w:shd w:val="clear" w:color="auto" w:fill="CCCCCC"/>
          </w:tcPr>
          <w:p w:rsidR="00C757A0" w:rsidRPr="00B37A50" w:rsidRDefault="00C757A0" w:rsidP="00C757A0">
            <w:pPr>
              <w:pStyle w:val="Heading1"/>
              <w:spacing w:after="240"/>
              <w:jc w:val="center"/>
              <w:rPr>
                <w:rFonts w:cs="Arial"/>
              </w:rPr>
            </w:pPr>
            <w:r w:rsidRPr="00B37A50">
              <w:rPr>
                <w:rFonts w:cs="Arial"/>
              </w:rPr>
              <w:t>Date</w:t>
            </w:r>
          </w:p>
        </w:tc>
      </w:tr>
      <w:tr w:rsidR="00C757A0" w:rsidRPr="00063831" w:rsidTr="00593ECA">
        <w:tc>
          <w:tcPr>
            <w:tcW w:w="6771" w:type="dxa"/>
            <w:gridSpan w:val="2"/>
            <w:tcBorders>
              <w:top w:val="single" w:sz="4" w:space="0" w:color="auto"/>
              <w:left w:val="single" w:sz="4" w:space="0" w:color="auto"/>
              <w:bottom w:val="single" w:sz="6" w:space="0" w:color="auto"/>
              <w:right w:val="single" w:sz="6" w:space="0" w:color="auto"/>
            </w:tcBorders>
            <w:vAlign w:val="center"/>
          </w:tcPr>
          <w:p w:rsidR="00C757A0" w:rsidRPr="00153AD5" w:rsidRDefault="00593ECA" w:rsidP="00C757A0">
            <w:pPr>
              <w:pStyle w:val="BodyText"/>
              <w:spacing w:before="120"/>
              <w:rPr>
                <w:rFonts w:ascii="Arial" w:hAnsi="Arial" w:cs="Arial"/>
                <w:szCs w:val="24"/>
              </w:rPr>
            </w:pPr>
            <w:r w:rsidRPr="00153AD5">
              <w:rPr>
                <w:rFonts w:ascii="Arial" w:hAnsi="Arial" w:cs="Arial"/>
                <w:szCs w:val="24"/>
              </w:rPr>
              <w:t xml:space="preserve">First </w:t>
            </w:r>
            <w:r w:rsidR="00C757A0" w:rsidRPr="00153AD5">
              <w:rPr>
                <w:rFonts w:ascii="Arial" w:hAnsi="Arial" w:cs="Arial"/>
                <w:szCs w:val="24"/>
              </w:rPr>
              <w:t>Published on NSFL</w:t>
            </w:r>
          </w:p>
        </w:tc>
        <w:tc>
          <w:tcPr>
            <w:tcW w:w="3057" w:type="dxa"/>
            <w:tcBorders>
              <w:top w:val="single" w:sz="4" w:space="0" w:color="auto"/>
              <w:left w:val="single" w:sz="6" w:space="0" w:color="auto"/>
              <w:bottom w:val="single" w:sz="6" w:space="0" w:color="auto"/>
              <w:right w:val="single" w:sz="4" w:space="0" w:color="auto"/>
            </w:tcBorders>
            <w:vAlign w:val="center"/>
          </w:tcPr>
          <w:p w:rsidR="00C757A0" w:rsidRPr="00063831" w:rsidRDefault="00C757A0" w:rsidP="00C757A0">
            <w:pPr>
              <w:spacing w:before="120"/>
              <w:jc w:val="center"/>
              <w:rPr>
                <w:rFonts w:cs="Arial"/>
                <w:sz w:val="28"/>
              </w:rPr>
            </w:pPr>
            <w:r>
              <w:rPr>
                <w:rFonts w:cs="Arial"/>
                <w:sz w:val="28"/>
              </w:rPr>
              <w:t>June 2009</w:t>
            </w:r>
          </w:p>
        </w:tc>
      </w:tr>
      <w:tr w:rsidR="00593ECA" w:rsidRPr="00063831" w:rsidTr="00593ECA">
        <w:tc>
          <w:tcPr>
            <w:tcW w:w="6771" w:type="dxa"/>
            <w:gridSpan w:val="2"/>
            <w:tcBorders>
              <w:top w:val="single" w:sz="6" w:space="0" w:color="auto"/>
              <w:left w:val="single" w:sz="4" w:space="0" w:color="auto"/>
              <w:bottom w:val="single" w:sz="6" w:space="0" w:color="auto"/>
              <w:right w:val="single" w:sz="6" w:space="0" w:color="auto"/>
            </w:tcBorders>
            <w:vAlign w:val="center"/>
          </w:tcPr>
          <w:p w:rsidR="00593ECA" w:rsidRPr="00B37A50" w:rsidRDefault="00593ECA" w:rsidP="00593ECA">
            <w:pPr>
              <w:pStyle w:val="BodyText"/>
              <w:spacing w:before="120"/>
              <w:jc w:val="left"/>
              <w:rPr>
                <w:rFonts w:ascii="Arial" w:hAnsi="Arial" w:cs="Arial"/>
                <w:szCs w:val="24"/>
              </w:rPr>
            </w:pPr>
            <w:r w:rsidRPr="00B37A50">
              <w:rPr>
                <w:rFonts w:ascii="Arial" w:hAnsi="Arial" w:cs="Arial"/>
                <w:b/>
                <w:szCs w:val="24"/>
              </w:rPr>
              <w:t>Amended:</w:t>
            </w:r>
            <w:r w:rsidRPr="00B37A50">
              <w:rPr>
                <w:rFonts w:ascii="Arial" w:hAnsi="Arial" w:cs="Arial"/>
                <w:szCs w:val="24"/>
              </w:rPr>
              <w:t xml:space="preserve">  clarified reporting requirements</w:t>
            </w:r>
          </w:p>
        </w:tc>
        <w:tc>
          <w:tcPr>
            <w:tcW w:w="3057" w:type="dxa"/>
            <w:tcBorders>
              <w:top w:val="single" w:sz="6" w:space="0" w:color="auto"/>
              <w:left w:val="single" w:sz="6" w:space="0" w:color="auto"/>
              <w:bottom w:val="single" w:sz="6" w:space="0" w:color="auto"/>
              <w:right w:val="single" w:sz="4" w:space="0" w:color="auto"/>
            </w:tcBorders>
            <w:vAlign w:val="center"/>
          </w:tcPr>
          <w:p w:rsidR="00593ECA" w:rsidRPr="00063831" w:rsidRDefault="00593ECA" w:rsidP="00C757A0">
            <w:pPr>
              <w:spacing w:before="120"/>
              <w:jc w:val="center"/>
              <w:rPr>
                <w:rFonts w:cs="Arial"/>
                <w:sz w:val="28"/>
              </w:rPr>
            </w:pPr>
            <w:r>
              <w:rPr>
                <w:rFonts w:cs="Arial"/>
                <w:sz w:val="28"/>
              </w:rPr>
              <w:t>February 2013</w:t>
            </w:r>
          </w:p>
        </w:tc>
      </w:tr>
      <w:tr w:rsidR="00B370AA" w:rsidRPr="00C73B3D" w:rsidTr="00B370AA">
        <w:tc>
          <w:tcPr>
            <w:tcW w:w="6771" w:type="dxa"/>
            <w:gridSpan w:val="2"/>
            <w:tcBorders>
              <w:top w:val="single" w:sz="6" w:space="0" w:color="auto"/>
              <w:left w:val="single" w:sz="4" w:space="0" w:color="auto"/>
              <w:bottom w:val="single" w:sz="6" w:space="0" w:color="auto"/>
              <w:right w:val="single" w:sz="6" w:space="0" w:color="auto"/>
            </w:tcBorders>
            <w:vAlign w:val="center"/>
          </w:tcPr>
          <w:p w:rsidR="00B370AA" w:rsidRPr="00B37A50" w:rsidRDefault="00B370AA" w:rsidP="00B37A50">
            <w:pPr>
              <w:pStyle w:val="BodyText"/>
              <w:spacing w:before="120"/>
              <w:jc w:val="left"/>
              <w:rPr>
                <w:rFonts w:ascii="Arial" w:hAnsi="Arial" w:cs="Arial"/>
                <w:szCs w:val="24"/>
              </w:rPr>
            </w:pPr>
            <w:r w:rsidRPr="00B37A50">
              <w:rPr>
                <w:rFonts w:ascii="Arial" w:hAnsi="Arial" w:cs="Arial"/>
                <w:b/>
                <w:szCs w:val="24"/>
              </w:rPr>
              <w:t>Amend</w:t>
            </w:r>
            <w:r w:rsidR="00B37A50" w:rsidRPr="00B37A50">
              <w:rPr>
                <w:rFonts w:ascii="Arial" w:hAnsi="Arial" w:cs="Arial"/>
                <w:b/>
                <w:szCs w:val="24"/>
              </w:rPr>
              <w:t>ed</w:t>
            </w:r>
            <w:r w:rsidRPr="00B37A50">
              <w:rPr>
                <w:rFonts w:ascii="Arial" w:hAnsi="Arial" w:cs="Arial"/>
                <w:b/>
                <w:szCs w:val="24"/>
              </w:rPr>
              <w:t>:</w:t>
            </w:r>
            <w:r w:rsidRPr="00B37A50">
              <w:rPr>
                <w:rFonts w:ascii="Arial" w:hAnsi="Arial" w:cs="Arial"/>
                <w:szCs w:val="24"/>
              </w:rPr>
              <w:t xml:space="preserve"> removed standard provider monitoring reporting tables. Minor editing.</w:t>
            </w:r>
          </w:p>
        </w:tc>
        <w:tc>
          <w:tcPr>
            <w:tcW w:w="3057" w:type="dxa"/>
            <w:tcBorders>
              <w:top w:val="single" w:sz="6" w:space="0" w:color="auto"/>
              <w:left w:val="single" w:sz="6" w:space="0" w:color="auto"/>
              <w:bottom w:val="single" w:sz="6" w:space="0" w:color="auto"/>
              <w:right w:val="single" w:sz="4" w:space="0" w:color="auto"/>
            </w:tcBorders>
            <w:vAlign w:val="center"/>
          </w:tcPr>
          <w:p w:rsidR="00B370AA" w:rsidRPr="00024AB7" w:rsidRDefault="00644C8C" w:rsidP="00B370AA">
            <w:pPr>
              <w:spacing w:before="120"/>
              <w:jc w:val="center"/>
              <w:rPr>
                <w:rFonts w:cs="Arial"/>
                <w:sz w:val="28"/>
              </w:rPr>
            </w:pPr>
            <w:r>
              <w:rPr>
                <w:rFonts w:cs="Arial"/>
                <w:sz w:val="28"/>
              </w:rPr>
              <w:t>April 2017</w:t>
            </w:r>
          </w:p>
        </w:tc>
      </w:tr>
      <w:tr w:rsidR="00C757A0" w:rsidRPr="00063831" w:rsidTr="00593ECA">
        <w:tc>
          <w:tcPr>
            <w:tcW w:w="6771" w:type="dxa"/>
            <w:gridSpan w:val="2"/>
            <w:tcBorders>
              <w:top w:val="single" w:sz="6" w:space="0" w:color="auto"/>
              <w:left w:val="single" w:sz="4" w:space="0" w:color="auto"/>
              <w:bottom w:val="single" w:sz="6" w:space="0" w:color="auto"/>
              <w:right w:val="single" w:sz="6" w:space="0" w:color="auto"/>
            </w:tcBorders>
            <w:vAlign w:val="center"/>
          </w:tcPr>
          <w:p w:rsidR="00C757A0" w:rsidRPr="00063831" w:rsidRDefault="00C757A0" w:rsidP="00593ECA">
            <w:pPr>
              <w:pStyle w:val="BodyText"/>
              <w:spacing w:before="120"/>
              <w:jc w:val="left"/>
              <w:rPr>
                <w:rFonts w:ascii="Arial" w:hAnsi="Arial" w:cs="Arial"/>
                <w:sz w:val="28"/>
              </w:rPr>
            </w:pPr>
            <w:r w:rsidRPr="00063831">
              <w:rPr>
                <w:rFonts w:ascii="Arial" w:hAnsi="Arial" w:cs="Arial"/>
                <w:sz w:val="28"/>
              </w:rPr>
              <w:t>Consideration for next Service Specification Review</w:t>
            </w:r>
          </w:p>
        </w:tc>
        <w:tc>
          <w:tcPr>
            <w:tcW w:w="3057" w:type="dxa"/>
            <w:tcBorders>
              <w:top w:val="single" w:sz="6" w:space="0" w:color="auto"/>
              <w:left w:val="single" w:sz="6" w:space="0" w:color="auto"/>
              <w:bottom w:val="single" w:sz="6" w:space="0" w:color="auto"/>
              <w:right w:val="single" w:sz="4" w:space="0" w:color="auto"/>
            </w:tcBorders>
            <w:vAlign w:val="center"/>
          </w:tcPr>
          <w:p w:rsidR="00C757A0" w:rsidRPr="00063831" w:rsidRDefault="00C757A0" w:rsidP="00593ECA">
            <w:pPr>
              <w:spacing w:before="120"/>
              <w:jc w:val="center"/>
              <w:rPr>
                <w:rFonts w:cs="Arial"/>
                <w:sz w:val="28"/>
              </w:rPr>
            </w:pPr>
            <w:r w:rsidRPr="00063831">
              <w:rPr>
                <w:rFonts w:cs="Arial"/>
                <w:sz w:val="28"/>
              </w:rPr>
              <w:t xml:space="preserve">Within </w:t>
            </w:r>
            <w:r w:rsidR="00593ECA">
              <w:rPr>
                <w:rFonts w:cs="Arial"/>
                <w:sz w:val="28"/>
              </w:rPr>
              <w:t>five</w:t>
            </w:r>
            <w:r w:rsidRPr="00063831">
              <w:rPr>
                <w:rFonts w:cs="Arial"/>
                <w:sz w:val="28"/>
              </w:rPr>
              <w:t xml:space="preserve"> years</w:t>
            </w:r>
          </w:p>
        </w:tc>
      </w:tr>
    </w:tbl>
    <w:p w:rsidR="00DC2BBD" w:rsidRDefault="00593ECA" w:rsidP="00593EC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EF26CB">
        <w:rPr>
          <w:b/>
          <w:szCs w:val="24"/>
        </w:rPr>
        <w:t>Note:</w:t>
      </w:r>
      <w:r w:rsidRPr="00EF26CB">
        <w:rPr>
          <w:szCs w:val="24"/>
        </w:rPr>
        <w:t xml:space="preserve"> Contact the Service Specification Programme Manager, </w:t>
      </w:r>
      <w:r w:rsidR="00B370AA">
        <w:rPr>
          <w:szCs w:val="24"/>
        </w:rPr>
        <w:t>Service Commissioning</w:t>
      </w:r>
      <w:r w:rsidRPr="00EF26CB">
        <w:rPr>
          <w:szCs w:val="24"/>
        </w:rPr>
        <w:t xml:space="preserve">, Ministry of Health to discuss proposed amendments to the service specifications and guidance in developing new or updating and revising existing service specifications. </w:t>
      </w:r>
    </w:p>
    <w:p w:rsidR="00593ECA" w:rsidRPr="00EF26CB" w:rsidRDefault="00593ECA" w:rsidP="00593EC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EF26CB">
        <w:rPr>
          <w:szCs w:val="24"/>
        </w:rPr>
        <w:t xml:space="preserve">Nationwide Service Framework Library web site </w:t>
      </w:r>
      <w:hyperlink r:id="rId9" w:history="1">
        <w:r w:rsidRPr="00EF26CB">
          <w:rPr>
            <w:color w:val="0000FF" w:themeColor="hyperlink"/>
            <w:szCs w:val="24"/>
            <w:u w:val="single"/>
          </w:rPr>
          <w:t>http://www.nsfl.health.govt.nz</w:t>
        </w:r>
      </w:hyperlink>
    </w:p>
    <w:p w:rsidR="00C757A0" w:rsidRPr="00063831" w:rsidRDefault="00C757A0" w:rsidP="00C757A0">
      <w:pPr>
        <w:tabs>
          <w:tab w:val="left" w:pos="-1099"/>
          <w:tab w:val="left" w:pos="-720"/>
          <w:tab w:val="left" w:pos="0"/>
          <w:tab w:val="left" w:pos="567"/>
          <w:tab w:val="left" w:pos="709"/>
          <w:tab w:val="left" w:pos="1080"/>
          <w:tab w:val="left" w:pos="1440"/>
          <w:tab w:val="left" w:pos="1701"/>
          <w:tab w:val="left" w:pos="1800"/>
          <w:tab w:val="left" w:pos="2693"/>
        </w:tabs>
        <w:spacing w:line="240" w:lineRule="exact"/>
        <w:rPr>
          <w:rFonts w:cs="Arial"/>
          <w:color w:val="000000"/>
          <w:sz w:val="22"/>
          <w:lang w:val="en-NZ"/>
        </w:rPr>
      </w:pPr>
      <w:r w:rsidRPr="00063831">
        <w:rPr>
          <w:rFonts w:cs="Arial"/>
          <w:color w:val="000000"/>
          <w:sz w:val="22"/>
          <w:lang w:val="en-NZ"/>
        </w:rPr>
        <w:br w:type="page"/>
      </w:r>
    </w:p>
    <w:p w:rsidR="00593ECA" w:rsidRDefault="00593ECA" w:rsidP="00C757A0">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ADULT MENTAL HEALTH</w:t>
      </w:r>
      <w:r w:rsidR="004613EA">
        <w:rPr>
          <w:rFonts w:cs="Arial"/>
          <w:b/>
          <w:szCs w:val="24"/>
        </w:rPr>
        <w:t xml:space="preserve">- </w:t>
      </w:r>
      <w:r w:rsidR="00C757A0" w:rsidRPr="00063831">
        <w:rPr>
          <w:rFonts w:cs="Arial"/>
          <w:b/>
          <w:szCs w:val="24"/>
        </w:rPr>
        <w:t>SUPPORTIVE LANDLORD SERVICE</w:t>
      </w:r>
      <w:r>
        <w:rPr>
          <w:rFonts w:cs="Arial"/>
          <w:b/>
          <w:szCs w:val="24"/>
        </w:rPr>
        <w:t>-</w:t>
      </w:r>
    </w:p>
    <w:p w:rsidR="00C757A0" w:rsidRPr="00063831" w:rsidRDefault="00593ECA" w:rsidP="00C757A0">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C757A0" w:rsidRPr="00063831" w:rsidRDefault="00C757A0" w:rsidP="00C757A0">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B37A50">
        <w:rPr>
          <w:rFonts w:cs="Arial"/>
          <w:b/>
          <w:szCs w:val="24"/>
        </w:rPr>
        <w:t xml:space="preserve"> </w:t>
      </w:r>
      <w:r w:rsidRPr="00063831">
        <w:rPr>
          <w:rFonts w:cs="Arial"/>
          <w:b/>
          <w:szCs w:val="24"/>
        </w:rPr>
        <w:t>SERVICE SPECIFICATION</w:t>
      </w:r>
    </w:p>
    <w:p w:rsidR="00C757A0" w:rsidRPr="00063831" w:rsidRDefault="00C757A0" w:rsidP="00C757A0">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MHA26</w:t>
      </w:r>
    </w:p>
    <w:p w:rsidR="00C757A0" w:rsidRPr="00063831" w:rsidRDefault="00C757A0" w:rsidP="00C757A0">
      <w:pPr>
        <w:spacing w:before="120"/>
        <w:rPr>
          <w:rFonts w:cs="Arial"/>
          <w:szCs w:val="24"/>
        </w:rPr>
      </w:pPr>
      <w:r w:rsidRPr="00063831">
        <w:rPr>
          <w:rFonts w:cs="Arial"/>
          <w:szCs w:val="24"/>
        </w:rPr>
        <w:t xml:space="preserve">This tier three service specification for Supportive Landlord Service (the Service) is linked to tier one Mental Health and Addiction Services and tier two Adult Mental Health service specifications. </w:t>
      </w:r>
    </w:p>
    <w:p w:rsidR="00C757A0" w:rsidRPr="00063831" w:rsidRDefault="00C757A0" w:rsidP="00C757A0">
      <w:pPr>
        <w:spacing w:before="240" w:after="120"/>
        <w:rPr>
          <w:rFonts w:cs="Arial"/>
          <w:b/>
          <w:szCs w:val="24"/>
        </w:rPr>
      </w:pPr>
      <w:r w:rsidRPr="00063831">
        <w:rPr>
          <w:rFonts w:cs="Arial"/>
          <w:b/>
          <w:szCs w:val="24"/>
        </w:rPr>
        <w:t>1.</w:t>
      </w:r>
      <w:r w:rsidRPr="00063831">
        <w:rPr>
          <w:rFonts w:cs="Arial"/>
          <w:b/>
          <w:szCs w:val="24"/>
        </w:rPr>
        <w:tab/>
        <w:t>Service Definition</w:t>
      </w:r>
    </w:p>
    <w:p w:rsidR="00C757A0" w:rsidRDefault="00C757A0" w:rsidP="00C757A0">
      <w:pPr>
        <w:rPr>
          <w:rFonts w:cs="Arial"/>
          <w:color w:val="000000"/>
          <w:szCs w:val="24"/>
          <w:lang w:val="en-NZ"/>
        </w:rPr>
      </w:pPr>
      <w:r w:rsidRPr="00063831">
        <w:rPr>
          <w:rFonts w:cs="Arial"/>
          <w:color w:val="000000"/>
          <w:szCs w:val="24"/>
          <w:lang w:val="en-NZ"/>
        </w:rPr>
        <w:t xml:space="preserve">The Service will include recovery-oriented, regular practical contact and social support to persons with mental illness in their own rented accommodation. </w:t>
      </w:r>
    </w:p>
    <w:p w:rsidR="00644C8C" w:rsidRPr="00063831" w:rsidRDefault="00644C8C" w:rsidP="00644C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This Service is for people with recognised mental health and/or drug and alcohol related disabilities who need assistance to maintain housing such as is normally obtained via commercial channels.  These persons do not need, or may have refused, high levels of ongoing support in other service options.</w:t>
      </w:r>
    </w:p>
    <w:p w:rsidR="00C757A0" w:rsidRPr="00063831" w:rsidRDefault="00C757A0" w:rsidP="00C757A0">
      <w:pPr>
        <w:spacing w:before="120"/>
        <w:rPr>
          <w:rFonts w:cs="Arial"/>
          <w:color w:val="000000"/>
          <w:szCs w:val="24"/>
          <w:lang w:val="en-NZ"/>
        </w:rPr>
      </w:pPr>
      <w:r w:rsidRPr="00063831">
        <w:rPr>
          <w:rFonts w:cs="Arial"/>
          <w:color w:val="000000"/>
          <w:szCs w:val="24"/>
          <w:lang w:val="en-NZ"/>
        </w:rPr>
        <w:t>Standard accommodation within the community is provided, for example:</w:t>
      </w:r>
    </w:p>
    <w:p w:rsidR="00C757A0" w:rsidRPr="00063831" w:rsidRDefault="00C757A0" w:rsidP="00DC2BBD">
      <w:pPr>
        <w:numPr>
          <w:ilvl w:val="0"/>
          <w:numId w:val="2"/>
        </w:numPr>
        <w:tabs>
          <w:tab w:val="clear" w:pos="76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proofErr w:type="gramStart"/>
      <w:r w:rsidRPr="00063831">
        <w:rPr>
          <w:rFonts w:cs="Arial"/>
          <w:color w:val="000000"/>
          <w:szCs w:val="24"/>
          <w:lang w:val="en-NZ"/>
        </w:rPr>
        <w:t>clean</w:t>
      </w:r>
      <w:proofErr w:type="gramEnd"/>
      <w:r w:rsidRPr="00063831">
        <w:rPr>
          <w:rFonts w:cs="Arial"/>
          <w:color w:val="000000"/>
          <w:szCs w:val="24"/>
          <w:lang w:val="en-NZ"/>
        </w:rPr>
        <w:t xml:space="preserve">, furnished or semi-furnished self-contained individual accommodation (except for couples who choose to share). </w:t>
      </w:r>
      <w:r>
        <w:rPr>
          <w:rFonts w:cs="Arial"/>
          <w:color w:val="000000"/>
          <w:szCs w:val="24"/>
          <w:lang w:val="en-NZ"/>
        </w:rPr>
        <w:t xml:space="preserve"> </w:t>
      </w:r>
      <w:r w:rsidRPr="00063831">
        <w:rPr>
          <w:rFonts w:cs="Arial"/>
          <w:color w:val="000000"/>
          <w:szCs w:val="24"/>
          <w:lang w:val="en-NZ"/>
        </w:rPr>
        <w:t>Some may also wish to share with a flatmate or flatmates of their choosing in larger accommodation</w:t>
      </w:r>
    </w:p>
    <w:p w:rsidR="00C757A0" w:rsidRPr="00063831" w:rsidRDefault="00C757A0" w:rsidP="00395B06">
      <w:pPr>
        <w:widowControl w:val="0"/>
        <w:numPr>
          <w:ilvl w:val="0"/>
          <w:numId w:val="2"/>
        </w:numPr>
        <w:tabs>
          <w:tab w:val="clear" w:pos="765"/>
          <w:tab w:val="num" w:pos="540"/>
        </w:tabs>
        <w:spacing w:before="120"/>
        <w:ind w:left="539" w:hanging="539"/>
        <w:rPr>
          <w:rFonts w:cs="Arial"/>
          <w:szCs w:val="24"/>
          <w:lang w:val="en-NZ"/>
        </w:rPr>
      </w:pPr>
      <w:r w:rsidRPr="00063831">
        <w:rPr>
          <w:rFonts w:cs="Arial"/>
          <w:szCs w:val="24"/>
          <w:lang w:val="en-NZ"/>
        </w:rPr>
        <w:t>regular, unobtrusive inspections and maintenance to take place by the landlord</w:t>
      </w:r>
    </w:p>
    <w:p w:rsidR="00C757A0" w:rsidRPr="00063831" w:rsidRDefault="00C757A0" w:rsidP="00395B06">
      <w:pPr>
        <w:widowControl w:val="0"/>
        <w:numPr>
          <w:ilvl w:val="0"/>
          <w:numId w:val="2"/>
        </w:numPr>
        <w:tabs>
          <w:tab w:val="clear" w:pos="765"/>
          <w:tab w:val="num" w:pos="540"/>
        </w:tabs>
        <w:spacing w:before="120"/>
        <w:ind w:left="539" w:hanging="539"/>
        <w:rPr>
          <w:rFonts w:cs="Arial"/>
          <w:szCs w:val="24"/>
          <w:lang w:val="en-NZ"/>
        </w:rPr>
      </w:pPr>
      <w:r w:rsidRPr="00063831">
        <w:rPr>
          <w:rFonts w:cs="Arial"/>
          <w:szCs w:val="24"/>
          <w:lang w:val="en-NZ"/>
        </w:rPr>
        <w:t>external maintenance, such as gardening and lawn mowing done by the landlord</w:t>
      </w:r>
    </w:p>
    <w:p w:rsidR="00C757A0" w:rsidRPr="00063831" w:rsidRDefault="00C757A0" w:rsidP="00395B06">
      <w:pPr>
        <w:widowControl w:val="0"/>
        <w:numPr>
          <w:ilvl w:val="0"/>
          <w:numId w:val="2"/>
        </w:numPr>
        <w:tabs>
          <w:tab w:val="clear" w:pos="765"/>
          <w:tab w:val="num" w:pos="540"/>
        </w:tabs>
        <w:spacing w:before="120"/>
        <w:ind w:left="539" w:hanging="539"/>
        <w:rPr>
          <w:rFonts w:cs="Arial"/>
          <w:szCs w:val="24"/>
          <w:lang w:val="en-NZ"/>
        </w:rPr>
      </w:pPr>
      <w:r w:rsidRPr="00063831">
        <w:rPr>
          <w:rFonts w:cs="Arial"/>
          <w:szCs w:val="24"/>
          <w:lang w:val="en-NZ"/>
        </w:rPr>
        <w:t>payment of rates and insurance on the property paid by the landlord</w:t>
      </w:r>
    </w:p>
    <w:p w:rsidR="00C757A0" w:rsidRPr="00063831" w:rsidRDefault="00C757A0" w:rsidP="00395B06">
      <w:pPr>
        <w:widowControl w:val="0"/>
        <w:numPr>
          <w:ilvl w:val="0"/>
          <w:numId w:val="2"/>
        </w:numPr>
        <w:tabs>
          <w:tab w:val="clear" w:pos="765"/>
          <w:tab w:val="num" w:pos="540"/>
        </w:tabs>
        <w:spacing w:before="120"/>
        <w:ind w:left="539" w:hanging="539"/>
        <w:rPr>
          <w:rFonts w:cs="Arial"/>
          <w:szCs w:val="24"/>
          <w:lang w:val="en-NZ"/>
        </w:rPr>
      </w:pPr>
      <w:r w:rsidRPr="00063831">
        <w:rPr>
          <w:rFonts w:cs="Arial"/>
          <w:szCs w:val="24"/>
          <w:lang w:val="en-NZ"/>
        </w:rPr>
        <w:t xml:space="preserve">landlord will assist </w:t>
      </w:r>
      <w:r w:rsidR="00593ECA">
        <w:rPr>
          <w:rFonts w:cs="Arial"/>
          <w:szCs w:val="24"/>
          <w:lang w:val="en-NZ"/>
        </w:rPr>
        <w:t>Service User</w:t>
      </w:r>
      <w:r w:rsidRPr="00063831">
        <w:rPr>
          <w:rFonts w:cs="Arial"/>
          <w:szCs w:val="24"/>
          <w:lang w:val="en-NZ"/>
        </w:rPr>
        <w:t xml:space="preserve">s to maintain ongoing contact with appropriately trained and supervised community support workers, who are acceptable to the </w:t>
      </w:r>
      <w:r w:rsidR="00593ECA">
        <w:rPr>
          <w:rFonts w:cs="Arial"/>
          <w:szCs w:val="24"/>
          <w:lang w:val="en-NZ"/>
        </w:rPr>
        <w:t>Service User</w:t>
      </w:r>
      <w:r w:rsidRPr="00063831">
        <w:rPr>
          <w:rFonts w:cs="Arial"/>
          <w:szCs w:val="24"/>
          <w:lang w:val="en-NZ"/>
        </w:rPr>
        <w:t xml:space="preserve"> </w:t>
      </w:r>
    </w:p>
    <w:p w:rsidR="00C757A0" w:rsidRPr="00063831" w:rsidRDefault="00C757A0" w:rsidP="00395B06">
      <w:pPr>
        <w:widowControl w:val="0"/>
        <w:numPr>
          <w:ilvl w:val="0"/>
          <w:numId w:val="2"/>
        </w:numPr>
        <w:tabs>
          <w:tab w:val="clear" w:pos="765"/>
          <w:tab w:val="num" w:pos="540"/>
        </w:tabs>
        <w:spacing w:before="120"/>
        <w:ind w:left="539" w:hanging="539"/>
        <w:rPr>
          <w:rFonts w:cs="Arial"/>
          <w:szCs w:val="24"/>
          <w:lang w:val="en-NZ"/>
        </w:rPr>
      </w:pPr>
      <w:proofErr w:type="gramStart"/>
      <w:r w:rsidRPr="00063831">
        <w:rPr>
          <w:rFonts w:cs="Arial"/>
          <w:szCs w:val="24"/>
          <w:lang w:val="en-NZ"/>
        </w:rPr>
        <w:t>all</w:t>
      </w:r>
      <w:proofErr w:type="gramEnd"/>
      <w:r w:rsidRPr="00063831">
        <w:rPr>
          <w:rFonts w:cs="Arial"/>
          <w:szCs w:val="24"/>
          <w:lang w:val="en-NZ"/>
        </w:rPr>
        <w:t xml:space="preserve"> tenants receive regular education to ensure they are familiar with appropriate action to be taken in the event of fire or emergency.</w:t>
      </w:r>
      <w:r>
        <w:rPr>
          <w:rFonts w:cs="Arial"/>
          <w:szCs w:val="24"/>
          <w:lang w:val="en-NZ"/>
        </w:rPr>
        <w:t xml:space="preserve"> </w:t>
      </w:r>
      <w:r w:rsidRPr="00063831">
        <w:rPr>
          <w:rFonts w:cs="Arial"/>
          <w:szCs w:val="24"/>
          <w:lang w:val="en-NZ"/>
        </w:rPr>
        <w:t xml:space="preserve"> Note: this responsibility can be taken on by the ‘lead tenant’ where appropriate.</w:t>
      </w:r>
    </w:p>
    <w:p w:rsidR="00C757A0" w:rsidRPr="00063831" w:rsidRDefault="00C757A0" w:rsidP="00C757A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The Service will assist the development of a mutually agreed care/support plan developed jointly by the tenant, and allocated support people from a contracted provider who are acceptable to the </w:t>
      </w:r>
      <w:r w:rsidR="00593ECA">
        <w:rPr>
          <w:rFonts w:cs="Arial"/>
          <w:color w:val="000000"/>
          <w:szCs w:val="24"/>
          <w:lang w:val="en-NZ"/>
        </w:rPr>
        <w:t>Service User</w:t>
      </w:r>
      <w:r w:rsidRPr="00063831">
        <w:rPr>
          <w:rFonts w:cs="Arial"/>
          <w:color w:val="000000"/>
          <w:szCs w:val="24"/>
          <w:lang w:val="en-NZ"/>
        </w:rPr>
        <w:t>.</w:t>
      </w:r>
    </w:p>
    <w:p w:rsidR="00C757A0" w:rsidRPr="00063831" w:rsidRDefault="00C757A0" w:rsidP="00C757A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Where boarding-type settings are preferred by the </w:t>
      </w:r>
      <w:r w:rsidR="00593ECA">
        <w:rPr>
          <w:rFonts w:cs="Arial"/>
          <w:color w:val="000000"/>
          <w:szCs w:val="24"/>
          <w:lang w:val="en-NZ"/>
        </w:rPr>
        <w:t>Service User</w:t>
      </w:r>
      <w:r w:rsidRPr="00063831">
        <w:rPr>
          <w:rFonts w:cs="Arial"/>
          <w:color w:val="000000"/>
          <w:szCs w:val="24"/>
          <w:lang w:val="en-NZ"/>
        </w:rPr>
        <w:t>, the accommodation must not be restricted nor solely provided to people with mental health or addiction issues.</w:t>
      </w:r>
    </w:p>
    <w:p w:rsidR="00C757A0" w:rsidRPr="00063831" w:rsidRDefault="00C757A0" w:rsidP="00C757A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The rental is to be no more than current market rates as can be determined under the Residential Tenancy Act 1986 and amendments.</w:t>
      </w:r>
    </w:p>
    <w:p w:rsidR="00C757A0" w:rsidRPr="00063831" w:rsidRDefault="00C757A0" w:rsidP="00C757A0">
      <w:pPr>
        <w:tabs>
          <w:tab w:val="left" w:pos="540"/>
        </w:tabs>
        <w:spacing w:before="240" w:after="120"/>
        <w:rPr>
          <w:rFonts w:cs="Arial"/>
          <w:b/>
          <w:szCs w:val="24"/>
        </w:rPr>
      </w:pPr>
      <w:r w:rsidRPr="00063831">
        <w:rPr>
          <w:rFonts w:cs="Arial"/>
          <w:b/>
          <w:szCs w:val="24"/>
        </w:rPr>
        <w:t>2.</w:t>
      </w:r>
      <w:r w:rsidRPr="00063831">
        <w:rPr>
          <w:rFonts w:cs="Arial"/>
          <w:b/>
          <w:szCs w:val="24"/>
        </w:rPr>
        <w:tab/>
        <w:t>Service Objectives</w:t>
      </w:r>
    </w:p>
    <w:p w:rsidR="00DC2BBD" w:rsidRPr="00395B06" w:rsidRDefault="00DC2BBD" w:rsidP="00C757A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395B06">
        <w:rPr>
          <w:rFonts w:cs="Arial"/>
          <w:b/>
          <w:color w:val="000000"/>
          <w:szCs w:val="24"/>
          <w:lang w:val="en-NZ"/>
        </w:rPr>
        <w:t>2.1</w:t>
      </w:r>
      <w:r w:rsidRPr="00395B06">
        <w:rPr>
          <w:rFonts w:cs="Arial"/>
          <w:b/>
          <w:color w:val="000000"/>
          <w:szCs w:val="24"/>
          <w:lang w:val="en-NZ"/>
        </w:rPr>
        <w:tab/>
        <w:t>General</w:t>
      </w:r>
    </w:p>
    <w:p w:rsidR="00C757A0" w:rsidRPr="00063831" w:rsidRDefault="00C757A0" w:rsidP="00395B06">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230"/>
          <w:tab w:val="left" w:pos="7740"/>
          <w:tab w:val="left" w:pos="8460"/>
        </w:tabs>
        <w:spacing w:before="120"/>
        <w:rPr>
          <w:rFonts w:cs="Arial"/>
          <w:color w:val="000000"/>
          <w:szCs w:val="24"/>
          <w:lang w:val="en-NZ"/>
        </w:rPr>
      </w:pPr>
      <w:r w:rsidRPr="00063831">
        <w:rPr>
          <w:rFonts w:cs="Arial"/>
          <w:color w:val="000000"/>
          <w:szCs w:val="24"/>
          <w:lang w:val="en-NZ"/>
        </w:rPr>
        <w:t>The Service objectives are:</w:t>
      </w:r>
    </w:p>
    <w:p w:rsidR="00C757A0" w:rsidRPr="00063831" w:rsidRDefault="00C757A0" w:rsidP="00C757A0">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proofErr w:type="gramStart"/>
      <w:r w:rsidRPr="00063831">
        <w:rPr>
          <w:rFonts w:cs="Arial"/>
          <w:color w:val="000000"/>
          <w:szCs w:val="24"/>
          <w:lang w:val="en-NZ"/>
        </w:rPr>
        <w:t>to</w:t>
      </w:r>
      <w:proofErr w:type="gramEnd"/>
      <w:r w:rsidRPr="00063831">
        <w:rPr>
          <w:rFonts w:cs="Arial"/>
          <w:color w:val="000000"/>
          <w:szCs w:val="24"/>
          <w:lang w:val="en-NZ"/>
        </w:rPr>
        <w:t xml:space="preserve"> provide flexible community-based, affordable, furnished or unfurnished flats with regular social support for people with mental health disabilities. </w:t>
      </w:r>
    </w:p>
    <w:p w:rsidR="00C757A0" w:rsidRPr="00063831" w:rsidRDefault="00C757A0" w:rsidP="00C757A0">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proofErr w:type="gramStart"/>
      <w:r>
        <w:rPr>
          <w:rFonts w:cs="Arial"/>
          <w:color w:val="000000"/>
          <w:szCs w:val="24"/>
          <w:lang w:val="en-NZ"/>
        </w:rPr>
        <w:t>t</w:t>
      </w:r>
      <w:r w:rsidRPr="00063831">
        <w:rPr>
          <w:rFonts w:cs="Arial"/>
          <w:color w:val="000000"/>
          <w:szCs w:val="24"/>
          <w:lang w:val="en-NZ"/>
        </w:rPr>
        <w:t>enants</w:t>
      </w:r>
      <w:proofErr w:type="gramEnd"/>
      <w:r w:rsidRPr="00063831">
        <w:rPr>
          <w:rFonts w:cs="Arial"/>
          <w:color w:val="000000"/>
          <w:szCs w:val="24"/>
          <w:lang w:val="en-NZ"/>
        </w:rPr>
        <w:t xml:space="preserve"> will have security of tenure and social supports will be minimally intrusive. Tenants will enjoy all the rights and responsibilities of tenancy as defined within the Residential Tenancy Act 1986 or its amendments and successors.</w:t>
      </w:r>
    </w:p>
    <w:p w:rsidR="00C757A0" w:rsidRDefault="00C757A0" w:rsidP="00395B06">
      <w:pPr>
        <w:tabs>
          <w:tab w:val="left" w:pos="540"/>
        </w:tabs>
        <w:spacing w:before="120" w:after="120"/>
        <w:rPr>
          <w:rFonts w:cs="Arial"/>
          <w:b/>
          <w:szCs w:val="24"/>
        </w:rPr>
      </w:pPr>
      <w:r w:rsidRPr="00063831">
        <w:rPr>
          <w:rFonts w:cs="Arial"/>
          <w:b/>
          <w:szCs w:val="24"/>
        </w:rPr>
        <w:lastRenderedPageBreak/>
        <w:t>2.</w:t>
      </w:r>
      <w:r w:rsidR="00DC2BBD">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52456E" w:rsidRPr="00063831" w:rsidRDefault="0052456E" w:rsidP="0052456E">
      <w:pPr>
        <w:spacing w:before="120"/>
        <w:rPr>
          <w:rFonts w:cs="Arial"/>
          <w:szCs w:val="24"/>
        </w:rPr>
      </w:pPr>
      <w:r w:rsidRPr="0052456E">
        <w:rPr>
          <w:rFonts w:cs="Arial"/>
          <w:szCs w:val="24"/>
        </w:rPr>
        <w:t xml:space="preserve">Refer to the </w:t>
      </w:r>
      <w:r w:rsidRPr="00063831">
        <w:rPr>
          <w:rFonts w:cs="Arial"/>
          <w:szCs w:val="24"/>
        </w:rPr>
        <w:t xml:space="preserve">tier one Mental Health and Addiction Services service specifications. </w:t>
      </w:r>
    </w:p>
    <w:p w:rsidR="00C757A0" w:rsidRPr="00063831" w:rsidRDefault="00C757A0" w:rsidP="00C757A0">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C757A0" w:rsidRPr="00063831" w:rsidRDefault="00C757A0" w:rsidP="00C757A0">
      <w:pPr>
        <w:spacing w:before="120"/>
        <w:rPr>
          <w:rFonts w:cs="Arial"/>
          <w:szCs w:val="24"/>
        </w:rPr>
      </w:pPr>
      <w:r>
        <w:rPr>
          <w:rFonts w:cs="Arial"/>
          <w:szCs w:val="24"/>
        </w:rPr>
        <w:t xml:space="preserve">The </w:t>
      </w:r>
      <w:r w:rsidR="00593ECA">
        <w:rPr>
          <w:rFonts w:cs="Arial"/>
          <w:szCs w:val="24"/>
        </w:rPr>
        <w:t>Service User</w:t>
      </w:r>
      <w:r w:rsidRPr="00063831">
        <w:rPr>
          <w:rFonts w:cs="Arial"/>
          <w:szCs w:val="24"/>
        </w:rPr>
        <w:t>s are eligible adults as de</w:t>
      </w:r>
      <w:r w:rsidR="00644C8C">
        <w:rPr>
          <w:rFonts w:cs="Arial"/>
          <w:szCs w:val="24"/>
        </w:rPr>
        <w:t xml:space="preserve">scribed </w:t>
      </w:r>
      <w:r w:rsidRPr="00063831">
        <w:rPr>
          <w:rFonts w:cs="Arial"/>
          <w:szCs w:val="24"/>
        </w:rPr>
        <w:t>in the tier two Adult Mental Health service specification</w:t>
      </w:r>
      <w:r>
        <w:rPr>
          <w:rFonts w:cs="Arial"/>
          <w:szCs w:val="24"/>
        </w:rPr>
        <w:t>.</w:t>
      </w:r>
      <w:r w:rsidRPr="00063831">
        <w:rPr>
          <w:rFonts w:cs="Arial"/>
          <w:szCs w:val="24"/>
        </w:rPr>
        <w:t xml:space="preserve"> </w:t>
      </w:r>
    </w:p>
    <w:p w:rsidR="00C757A0" w:rsidRPr="00063831" w:rsidRDefault="00C757A0" w:rsidP="00C757A0">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C757A0" w:rsidRPr="00063831" w:rsidRDefault="00C757A0" w:rsidP="00C757A0">
      <w:pPr>
        <w:tabs>
          <w:tab w:val="left" w:pos="540"/>
        </w:tabs>
        <w:spacing w:before="120" w:after="60"/>
        <w:rPr>
          <w:rFonts w:cs="Arial"/>
          <w:b/>
          <w:szCs w:val="24"/>
        </w:rPr>
      </w:pPr>
      <w:r w:rsidRPr="00063831">
        <w:rPr>
          <w:rFonts w:cs="Arial"/>
          <w:b/>
          <w:szCs w:val="24"/>
        </w:rPr>
        <w:t>4.1</w:t>
      </w:r>
      <w:r w:rsidRPr="00063831">
        <w:rPr>
          <w:rFonts w:cs="Arial"/>
          <w:b/>
          <w:szCs w:val="24"/>
        </w:rPr>
        <w:tab/>
        <w:t xml:space="preserve">Entry and Exit Criteria </w:t>
      </w:r>
    </w:p>
    <w:p w:rsidR="00C757A0" w:rsidRPr="00063831" w:rsidRDefault="00C757A0" w:rsidP="00644C8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Referral </w:t>
      </w:r>
      <w:r>
        <w:rPr>
          <w:rFonts w:cs="Arial"/>
          <w:color w:val="000000"/>
          <w:szCs w:val="24"/>
          <w:lang w:val="en-NZ"/>
        </w:rPr>
        <w:t xml:space="preserve">to the Service is </w:t>
      </w:r>
      <w:r w:rsidRPr="00063831">
        <w:rPr>
          <w:rFonts w:cs="Arial"/>
          <w:color w:val="000000"/>
          <w:szCs w:val="24"/>
          <w:lang w:val="en-NZ"/>
        </w:rPr>
        <w:t>from community mental health workers or mental health inpatient services, or primary health services, or needs assessor and service co-ordinators.</w:t>
      </w:r>
    </w:p>
    <w:p w:rsidR="00C757A0" w:rsidRPr="00063831" w:rsidRDefault="00C757A0" w:rsidP="00C757A0">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C757A0" w:rsidRPr="00063831" w:rsidRDefault="00C757A0" w:rsidP="00C757A0">
      <w:pPr>
        <w:tabs>
          <w:tab w:val="left" w:pos="540"/>
        </w:tabs>
        <w:spacing w:before="120"/>
        <w:rPr>
          <w:rFonts w:cs="Arial"/>
          <w:b/>
          <w:szCs w:val="24"/>
        </w:rPr>
      </w:pPr>
      <w:r w:rsidRPr="00063831">
        <w:rPr>
          <w:rFonts w:cs="Arial"/>
          <w:b/>
          <w:szCs w:val="24"/>
        </w:rPr>
        <w:t>5.1</w:t>
      </w:r>
      <w:r w:rsidRPr="00063831">
        <w:rPr>
          <w:rFonts w:cs="Arial"/>
          <w:b/>
          <w:szCs w:val="24"/>
        </w:rPr>
        <w:tab/>
        <w:t>Processes</w:t>
      </w:r>
    </w:p>
    <w:p w:rsidR="00C757A0" w:rsidRPr="00063831" w:rsidRDefault="00C757A0" w:rsidP="00C757A0">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C757A0" w:rsidRPr="00063831" w:rsidRDefault="00C757A0" w:rsidP="00940074">
      <w:pPr>
        <w:tabs>
          <w:tab w:val="left" w:pos="540"/>
        </w:tabs>
        <w:spacing w:before="240"/>
        <w:rPr>
          <w:rFonts w:cs="Arial"/>
          <w:b/>
          <w:szCs w:val="24"/>
        </w:rPr>
      </w:pPr>
      <w:r w:rsidRPr="00063831">
        <w:rPr>
          <w:rFonts w:cs="Arial"/>
          <w:b/>
          <w:szCs w:val="24"/>
        </w:rPr>
        <w:t>5.2</w:t>
      </w:r>
      <w:r w:rsidRPr="00063831">
        <w:rPr>
          <w:rFonts w:cs="Arial"/>
          <w:b/>
          <w:szCs w:val="24"/>
        </w:rPr>
        <w:tab/>
        <w:t>Settings</w:t>
      </w:r>
    </w:p>
    <w:p w:rsidR="00C757A0" w:rsidRPr="00063831" w:rsidRDefault="00C757A0" w:rsidP="00C757A0">
      <w:pPr>
        <w:spacing w:before="120"/>
        <w:rPr>
          <w:rFonts w:cs="Arial"/>
          <w:szCs w:val="24"/>
        </w:rPr>
      </w:pPr>
      <w:r>
        <w:rPr>
          <w:rFonts w:cs="Arial"/>
          <w:szCs w:val="24"/>
        </w:rPr>
        <w:t>The Service is c</w:t>
      </w:r>
      <w:r w:rsidRPr="00063831">
        <w:rPr>
          <w:rFonts w:cs="Arial"/>
          <w:szCs w:val="24"/>
        </w:rPr>
        <w:t xml:space="preserve">ommunity based. </w:t>
      </w:r>
    </w:p>
    <w:p w:rsidR="00C757A0" w:rsidRPr="00063831" w:rsidRDefault="00C757A0" w:rsidP="00C757A0">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C757A0" w:rsidRPr="00063831" w:rsidRDefault="00C757A0" w:rsidP="00C757A0">
      <w:pPr>
        <w:spacing w:before="120" w:after="120"/>
        <w:rPr>
          <w:rFonts w:cs="Arial"/>
          <w:szCs w:val="24"/>
        </w:rPr>
      </w:pPr>
      <w:r w:rsidRPr="00063831">
        <w:rPr>
          <w:rFonts w:cs="Arial"/>
          <w:szCs w:val="24"/>
        </w:rPr>
        <w:t xml:space="preserve">Linkages include, but are not limited to the following described in tier one Mental Health and Addiction Services and tier two Adult Mental Health service specifications. </w:t>
      </w:r>
    </w:p>
    <w:p w:rsidR="00C757A0" w:rsidRPr="00063831" w:rsidRDefault="00C757A0" w:rsidP="00644C8C">
      <w:pPr>
        <w:tabs>
          <w:tab w:val="left" w:pos="57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593ECA" w:rsidRDefault="00B370AA" w:rsidP="00395B06">
      <w:pPr>
        <w:spacing w:before="120" w:after="120"/>
        <w:rPr>
          <w:rFonts w:cs="Arial"/>
          <w:szCs w:val="24"/>
        </w:rPr>
      </w:pPr>
      <w:r>
        <w:rPr>
          <w:rFonts w:cs="Arial"/>
          <w:b/>
          <w:szCs w:val="24"/>
        </w:rPr>
        <w:t>7</w:t>
      </w:r>
      <w:r w:rsidR="00593ECA" w:rsidRPr="00395B06">
        <w:rPr>
          <w:rFonts w:cs="Arial"/>
          <w:b/>
          <w:szCs w:val="24"/>
        </w:rPr>
        <w:t>.1</w:t>
      </w:r>
      <w:r w:rsidR="00593ECA" w:rsidRPr="00395B06">
        <w:rPr>
          <w:rFonts w:cs="Arial"/>
          <w:b/>
          <w:szCs w:val="24"/>
        </w:rPr>
        <w:tab/>
      </w:r>
      <w:r w:rsidR="00C757A0" w:rsidRPr="00063831">
        <w:rPr>
          <w:rFonts w:cs="Arial"/>
          <w:szCs w:val="24"/>
        </w:rPr>
        <w:t>Purchase Unit</w:t>
      </w:r>
      <w:r>
        <w:rPr>
          <w:rFonts w:cs="Arial"/>
          <w:szCs w:val="24"/>
        </w:rPr>
        <w:t xml:space="preserve"> (PU) Code</w:t>
      </w:r>
      <w:r w:rsidR="00C757A0" w:rsidRPr="00063831">
        <w:rPr>
          <w:rFonts w:cs="Arial"/>
          <w:szCs w:val="24"/>
        </w:rPr>
        <w:t xml:space="preserve">s are defined in the DHB and Ministry’s Nationwide Service Framework Purchase Unit Data Dictionary.  The following </w:t>
      </w:r>
      <w:r>
        <w:rPr>
          <w:rFonts w:cs="Arial"/>
          <w:szCs w:val="24"/>
        </w:rPr>
        <w:t>codes</w:t>
      </w:r>
      <w:r w:rsidR="00C757A0" w:rsidRPr="00063831">
        <w:rPr>
          <w:rFonts w:cs="Arial"/>
          <w:szCs w:val="24"/>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3"/>
        <w:gridCol w:w="1354"/>
        <w:gridCol w:w="5992"/>
        <w:gridCol w:w="1269"/>
      </w:tblGrid>
      <w:tr w:rsidR="00B370AA" w:rsidRPr="00063831" w:rsidTr="00B37A50">
        <w:trPr>
          <w:cantSplit/>
        </w:trPr>
        <w:tc>
          <w:tcPr>
            <w:tcW w:w="526" w:type="pct"/>
            <w:tcBorders>
              <w:top w:val="single" w:sz="4" w:space="0" w:color="auto"/>
              <w:left w:val="single" w:sz="4" w:space="0" w:color="auto"/>
              <w:bottom w:val="single" w:sz="4" w:space="0" w:color="auto"/>
              <w:right w:val="single" w:sz="4" w:space="0" w:color="auto"/>
            </w:tcBorders>
            <w:shd w:val="clear" w:color="auto" w:fill="E0E0E0"/>
          </w:tcPr>
          <w:p w:rsidR="00B370AA" w:rsidRPr="00395B06" w:rsidRDefault="00B370AA" w:rsidP="00C757A0">
            <w:pPr>
              <w:spacing w:before="120"/>
              <w:rPr>
                <w:rFonts w:cs="Arial"/>
                <w:b/>
                <w:sz w:val="20"/>
              </w:rPr>
            </w:pPr>
            <w:r w:rsidRPr="00395B06">
              <w:rPr>
                <w:rFonts w:cs="Arial"/>
                <w:b/>
                <w:sz w:val="20"/>
              </w:rPr>
              <w:t>PU Code</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B370AA" w:rsidRPr="00395B06" w:rsidDel="00DA6263" w:rsidRDefault="00B370AA" w:rsidP="00C757A0">
            <w:pPr>
              <w:spacing w:before="120"/>
              <w:rPr>
                <w:rFonts w:cs="Arial"/>
                <w:b/>
                <w:sz w:val="20"/>
              </w:rPr>
            </w:pPr>
            <w:r w:rsidRPr="00395B06">
              <w:rPr>
                <w:rFonts w:cs="Arial"/>
                <w:b/>
                <w:sz w:val="20"/>
              </w:rPr>
              <w:t>PU Description</w:t>
            </w:r>
          </w:p>
        </w:tc>
        <w:tc>
          <w:tcPr>
            <w:tcW w:w="3112" w:type="pct"/>
            <w:tcBorders>
              <w:top w:val="single" w:sz="4" w:space="0" w:color="auto"/>
              <w:left w:val="single" w:sz="4" w:space="0" w:color="auto"/>
              <w:bottom w:val="single" w:sz="4" w:space="0" w:color="auto"/>
              <w:right w:val="single" w:sz="4" w:space="0" w:color="auto"/>
            </w:tcBorders>
            <w:shd w:val="clear" w:color="auto" w:fill="E0E0E0"/>
          </w:tcPr>
          <w:p w:rsidR="00B370AA" w:rsidRPr="00395B06" w:rsidRDefault="00B370AA" w:rsidP="00C757A0">
            <w:pPr>
              <w:spacing w:before="120"/>
              <w:rPr>
                <w:rFonts w:cs="Arial"/>
                <w:b/>
                <w:sz w:val="20"/>
              </w:rPr>
            </w:pPr>
            <w:r w:rsidRPr="00395B06">
              <w:rPr>
                <w:rFonts w:cs="Arial"/>
                <w:b/>
                <w:sz w:val="20"/>
              </w:rPr>
              <w:t>PU Definition</w:t>
            </w:r>
          </w:p>
        </w:tc>
        <w:tc>
          <w:tcPr>
            <w:tcW w:w="659" w:type="pct"/>
            <w:tcBorders>
              <w:top w:val="single" w:sz="4" w:space="0" w:color="auto"/>
              <w:left w:val="single" w:sz="4" w:space="0" w:color="auto"/>
              <w:bottom w:val="single" w:sz="4" w:space="0" w:color="auto"/>
              <w:right w:val="single" w:sz="4" w:space="0" w:color="auto"/>
            </w:tcBorders>
            <w:shd w:val="clear" w:color="auto" w:fill="E0E0E0"/>
          </w:tcPr>
          <w:p w:rsidR="00B370AA" w:rsidRPr="00395B06" w:rsidRDefault="00B370AA" w:rsidP="0052456E">
            <w:pPr>
              <w:spacing w:before="120"/>
              <w:rPr>
                <w:rFonts w:cs="Arial"/>
                <w:b/>
                <w:sz w:val="20"/>
              </w:rPr>
            </w:pPr>
            <w:r w:rsidRPr="00395B06">
              <w:rPr>
                <w:rFonts w:cs="Arial"/>
                <w:b/>
                <w:sz w:val="20"/>
              </w:rPr>
              <w:t>PU Measure</w:t>
            </w:r>
          </w:p>
        </w:tc>
      </w:tr>
      <w:tr w:rsidR="00B370AA" w:rsidRPr="00063831" w:rsidTr="00B37A50">
        <w:trPr>
          <w:cantSplit/>
        </w:trPr>
        <w:tc>
          <w:tcPr>
            <w:tcW w:w="526" w:type="pct"/>
            <w:tcBorders>
              <w:top w:val="single" w:sz="4" w:space="0" w:color="auto"/>
              <w:left w:val="single" w:sz="4" w:space="0" w:color="auto"/>
              <w:bottom w:val="single" w:sz="4" w:space="0" w:color="auto"/>
              <w:right w:val="single" w:sz="4" w:space="0" w:color="auto"/>
            </w:tcBorders>
          </w:tcPr>
          <w:p w:rsidR="00B370AA" w:rsidRPr="00395B06" w:rsidRDefault="00B370AA" w:rsidP="00C757A0">
            <w:pPr>
              <w:spacing w:before="120" w:after="120"/>
              <w:rPr>
                <w:rFonts w:cs="Arial"/>
                <w:sz w:val="20"/>
              </w:rPr>
            </w:pPr>
            <w:r w:rsidRPr="00395B06">
              <w:rPr>
                <w:rFonts w:cs="Arial"/>
                <w:sz w:val="20"/>
              </w:rPr>
              <w:t>MHA26</w:t>
            </w:r>
          </w:p>
        </w:tc>
        <w:tc>
          <w:tcPr>
            <w:tcW w:w="703" w:type="pct"/>
            <w:tcBorders>
              <w:top w:val="single" w:sz="4" w:space="0" w:color="auto"/>
              <w:left w:val="single" w:sz="4" w:space="0" w:color="auto"/>
              <w:bottom w:val="single" w:sz="4" w:space="0" w:color="auto"/>
              <w:right w:val="single" w:sz="4" w:space="0" w:color="auto"/>
            </w:tcBorders>
          </w:tcPr>
          <w:p w:rsidR="00B370AA" w:rsidRPr="00395B06" w:rsidRDefault="00B370AA" w:rsidP="00C757A0">
            <w:pPr>
              <w:spacing w:before="120" w:after="120"/>
              <w:rPr>
                <w:rFonts w:cs="Arial"/>
                <w:sz w:val="20"/>
              </w:rPr>
            </w:pPr>
            <w:r w:rsidRPr="00395B06">
              <w:rPr>
                <w:rFonts w:cs="Arial"/>
                <w:sz w:val="20"/>
              </w:rPr>
              <w:t xml:space="preserve">Supportive landlord service </w:t>
            </w:r>
          </w:p>
        </w:tc>
        <w:tc>
          <w:tcPr>
            <w:tcW w:w="3112" w:type="pct"/>
            <w:tcBorders>
              <w:top w:val="single" w:sz="4" w:space="0" w:color="auto"/>
              <w:left w:val="single" w:sz="4" w:space="0" w:color="auto"/>
              <w:bottom w:val="single" w:sz="4" w:space="0" w:color="auto"/>
              <w:right w:val="single" w:sz="4" w:space="0" w:color="auto"/>
            </w:tcBorders>
          </w:tcPr>
          <w:p w:rsidR="00B370AA" w:rsidRPr="00395B06" w:rsidRDefault="00B370AA" w:rsidP="00C757A0">
            <w:pPr>
              <w:spacing w:before="120" w:after="120"/>
              <w:rPr>
                <w:rFonts w:cs="Arial"/>
                <w:sz w:val="20"/>
              </w:rPr>
            </w:pPr>
            <w:r w:rsidRPr="00395B06">
              <w:rPr>
                <w:rFonts w:cs="Arial"/>
                <w:sz w:val="20"/>
              </w:rPr>
              <w:t>A service to provide flexible community-based, affordable, furnished or unfurnished flats with regular social support for people with mental health disabilities. Tenants will have security of tenure and social supports will be minimally intrusive.</w:t>
            </w:r>
          </w:p>
        </w:tc>
        <w:tc>
          <w:tcPr>
            <w:tcW w:w="659" w:type="pct"/>
            <w:tcBorders>
              <w:top w:val="single" w:sz="4" w:space="0" w:color="auto"/>
              <w:left w:val="single" w:sz="4" w:space="0" w:color="auto"/>
              <w:bottom w:val="single" w:sz="4" w:space="0" w:color="auto"/>
              <w:right w:val="single" w:sz="4" w:space="0" w:color="auto"/>
            </w:tcBorders>
          </w:tcPr>
          <w:p w:rsidR="00B370AA" w:rsidRPr="00395B06" w:rsidRDefault="00B370AA" w:rsidP="00C757A0">
            <w:pPr>
              <w:spacing w:before="120" w:after="120"/>
              <w:rPr>
                <w:rFonts w:cs="Arial"/>
                <w:sz w:val="20"/>
              </w:rPr>
            </w:pPr>
            <w:r w:rsidRPr="00395B06">
              <w:rPr>
                <w:rFonts w:cs="Arial"/>
                <w:sz w:val="20"/>
              </w:rPr>
              <w:t>Client</w:t>
            </w:r>
          </w:p>
        </w:tc>
      </w:tr>
    </w:tbl>
    <w:p w:rsidR="00B370AA" w:rsidRDefault="00B370AA" w:rsidP="00593ECA">
      <w:pPr>
        <w:spacing w:before="120"/>
        <w:jc w:val="both"/>
        <w:rPr>
          <w:rFonts w:cs="Arial"/>
          <w:b/>
          <w:szCs w:val="24"/>
        </w:rPr>
      </w:pPr>
    </w:p>
    <w:tbl>
      <w:tblPr>
        <w:tblStyle w:val="TableGrid"/>
        <w:tblW w:w="9781" w:type="dxa"/>
        <w:tblInd w:w="-34" w:type="dxa"/>
        <w:tblLook w:val="04A0" w:firstRow="1" w:lastRow="0" w:firstColumn="1" w:lastColumn="0" w:noHBand="0" w:noVBand="1"/>
      </w:tblPr>
      <w:tblGrid>
        <w:gridCol w:w="2156"/>
        <w:gridCol w:w="7625"/>
      </w:tblGrid>
      <w:tr w:rsidR="00B370AA" w:rsidRPr="00024AB7" w:rsidTr="00B37A50">
        <w:tc>
          <w:tcPr>
            <w:tcW w:w="2156" w:type="dxa"/>
            <w:shd w:val="clear" w:color="auto" w:fill="D9D9D9" w:themeFill="background1" w:themeFillShade="D9"/>
          </w:tcPr>
          <w:p w:rsidR="00B370AA" w:rsidRPr="00644C8C" w:rsidRDefault="00B370AA" w:rsidP="00FE4D5D">
            <w:pPr>
              <w:spacing w:before="120"/>
              <w:rPr>
                <w:rFonts w:cs="Arial"/>
                <w:b/>
                <w:sz w:val="20"/>
              </w:rPr>
            </w:pPr>
            <w:r w:rsidRPr="00644C8C">
              <w:rPr>
                <w:rFonts w:cs="Arial"/>
                <w:b/>
                <w:sz w:val="20"/>
              </w:rPr>
              <w:t>Unit of Measure</w:t>
            </w:r>
          </w:p>
        </w:tc>
        <w:tc>
          <w:tcPr>
            <w:tcW w:w="7625" w:type="dxa"/>
            <w:shd w:val="clear" w:color="auto" w:fill="D9D9D9" w:themeFill="background1" w:themeFillShade="D9"/>
          </w:tcPr>
          <w:p w:rsidR="00B370AA" w:rsidRPr="00644C8C" w:rsidRDefault="00B370AA" w:rsidP="00FE4D5D">
            <w:pPr>
              <w:spacing w:before="120"/>
              <w:rPr>
                <w:rFonts w:cs="Arial"/>
                <w:b/>
                <w:sz w:val="20"/>
              </w:rPr>
            </w:pPr>
            <w:r w:rsidRPr="00644C8C">
              <w:rPr>
                <w:rFonts w:cs="Arial"/>
                <w:b/>
                <w:sz w:val="20"/>
              </w:rPr>
              <w:t>Unit of Measure Definition</w:t>
            </w:r>
          </w:p>
        </w:tc>
      </w:tr>
      <w:tr w:rsidR="00B370AA" w:rsidRPr="009D1520" w:rsidTr="00B370AA">
        <w:tc>
          <w:tcPr>
            <w:tcW w:w="2156" w:type="dxa"/>
          </w:tcPr>
          <w:p w:rsidR="00B370AA" w:rsidRPr="009D1520" w:rsidRDefault="00B370AA" w:rsidP="00FE4D5D">
            <w:pPr>
              <w:rPr>
                <w:rFonts w:cs="Arial"/>
                <w:sz w:val="20"/>
              </w:rPr>
            </w:pPr>
            <w:r w:rsidRPr="009D1520">
              <w:rPr>
                <w:rFonts w:cs="Arial"/>
                <w:sz w:val="20"/>
              </w:rPr>
              <w:t>Client</w:t>
            </w:r>
          </w:p>
          <w:p w:rsidR="00B370AA" w:rsidRPr="009D1520" w:rsidRDefault="00B370AA" w:rsidP="00FE4D5D">
            <w:pPr>
              <w:rPr>
                <w:rFonts w:cs="Arial"/>
                <w:sz w:val="20"/>
              </w:rPr>
            </w:pPr>
          </w:p>
        </w:tc>
        <w:tc>
          <w:tcPr>
            <w:tcW w:w="7625" w:type="dxa"/>
          </w:tcPr>
          <w:p w:rsidR="00B370AA" w:rsidRPr="009D1520" w:rsidRDefault="00B370AA" w:rsidP="00FE4D5D">
            <w:pPr>
              <w:rPr>
                <w:rFonts w:cs="Arial"/>
                <w:sz w:val="20"/>
              </w:rPr>
            </w:pPr>
            <w:r w:rsidRPr="009D1520">
              <w:rPr>
                <w:rFonts w:cs="Arial"/>
                <w:sz w:val="20"/>
                <w:lang w:val="en-NZ"/>
              </w:rPr>
              <w:t>Number of clients managed by the service in the reporting period (period is annual 1st July - 30th June) i.e. caseload at the beginning of the period plus all new cases in the period 'Client' and 'Service user' are interchangeable.</w:t>
            </w:r>
          </w:p>
        </w:tc>
      </w:tr>
    </w:tbl>
    <w:p w:rsidR="00593ECA" w:rsidRPr="00EF26CB" w:rsidRDefault="00B370AA" w:rsidP="00593ECA">
      <w:pPr>
        <w:spacing w:before="120"/>
        <w:jc w:val="both"/>
        <w:rPr>
          <w:rFonts w:cs="Arial"/>
          <w:b/>
          <w:szCs w:val="24"/>
        </w:rPr>
      </w:pPr>
      <w:r>
        <w:rPr>
          <w:rFonts w:cs="Arial"/>
          <w:b/>
          <w:szCs w:val="24"/>
        </w:rPr>
        <w:t>7</w:t>
      </w:r>
      <w:r w:rsidR="00593ECA" w:rsidRPr="00EF26CB">
        <w:rPr>
          <w:rFonts w:cs="Arial"/>
          <w:b/>
          <w:szCs w:val="24"/>
        </w:rPr>
        <w:t>.2</w:t>
      </w:r>
      <w:r w:rsidR="00593ECA" w:rsidRPr="00EF26CB">
        <w:rPr>
          <w:rFonts w:cs="Arial"/>
          <w:b/>
          <w:szCs w:val="24"/>
        </w:rPr>
        <w:tab/>
        <w:t>Reporting</w:t>
      </w:r>
    </w:p>
    <w:p w:rsidR="00644C8C" w:rsidRPr="00AE105A" w:rsidRDefault="00644C8C" w:rsidP="00644C8C">
      <w:pPr>
        <w:spacing w:before="120"/>
        <w:rPr>
          <w:rFonts w:cs="Arial"/>
          <w:szCs w:val="24"/>
        </w:rPr>
      </w:pPr>
      <w:r w:rsidRPr="00AE105A">
        <w:rPr>
          <w:rFonts w:cs="Arial"/>
          <w:szCs w:val="24"/>
        </w:rPr>
        <w:t>The Provider must comply with the requirements of national data collections: PRIMHD.</w:t>
      </w:r>
    </w:p>
    <w:p w:rsidR="00644C8C" w:rsidRPr="00AE105A" w:rsidRDefault="00644C8C" w:rsidP="00644C8C">
      <w:pPr>
        <w:spacing w:before="120" w:after="120"/>
        <w:rPr>
          <w:rFonts w:cs="Arial"/>
          <w:szCs w:val="24"/>
        </w:rPr>
      </w:pPr>
      <w:r w:rsidRPr="00AE105A">
        <w:rPr>
          <w:rFonts w:cs="Arial"/>
          <w:szCs w:val="24"/>
        </w:rPr>
        <w:t xml:space="preserve">Additional information to be reported and the frequency of collection are specified by the Funder in the Provider Specific Terms and Conditions as agreed with the Service Provider. </w:t>
      </w:r>
    </w:p>
    <w:p w:rsidR="00B37A50" w:rsidRDefault="00B37A50">
      <w:pPr>
        <w:rPr>
          <w:rFonts w:cs="Arial"/>
          <w:szCs w:val="24"/>
        </w:rPr>
      </w:pPr>
      <w:r>
        <w:rPr>
          <w:rFonts w:cs="Arial"/>
          <w:szCs w:val="24"/>
        </w:rPr>
        <w:br w:type="page"/>
      </w:r>
    </w:p>
    <w:p w:rsidR="00644C8C" w:rsidRPr="00AE105A" w:rsidRDefault="00644C8C" w:rsidP="00644C8C">
      <w:pPr>
        <w:spacing w:before="120"/>
        <w:rPr>
          <w:rFonts w:cs="Arial"/>
          <w:szCs w:val="24"/>
        </w:rPr>
      </w:pPr>
      <w:bookmarkStart w:id="10" w:name="_GoBack"/>
      <w:bookmarkEnd w:id="10"/>
      <w:r w:rsidRPr="00AE105A">
        <w:rPr>
          <w:rFonts w:cs="Arial"/>
          <w:szCs w:val="24"/>
        </w:rPr>
        <w:lastRenderedPageBreak/>
        <w:t>The information required by the Funder will be sent to:</w:t>
      </w:r>
    </w:p>
    <w:p w:rsidR="00644C8C" w:rsidRPr="00AE105A" w:rsidRDefault="00644C8C" w:rsidP="00644C8C">
      <w:pPr>
        <w:spacing w:before="120"/>
        <w:ind w:left="720"/>
      </w:pPr>
      <w:r w:rsidRPr="00AE105A">
        <w:t>Performance Reporting</w:t>
      </w:r>
    </w:p>
    <w:p w:rsidR="00644C8C" w:rsidRPr="00AE105A" w:rsidRDefault="00644C8C" w:rsidP="00644C8C">
      <w:pPr>
        <w:spacing w:before="120"/>
        <w:ind w:left="720"/>
      </w:pPr>
      <w:r w:rsidRPr="00AE105A">
        <w:t>Sector Operations</w:t>
      </w:r>
    </w:p>
    <w:p w:rsidR="00644C8C" w:rsidRPr="00AE105A" w:rsidRDefault="00644C8C" w:rsidP="00644C8C">
      <w:pPr>
        <w:spacing w:before="120"/>
        <w:ind w:left="720"/>
      </w:pPr>
      <w:r w:rsidRPr="00AE105A">
        <w:t>Ministry of Health</w:t>
      </w:r>
    </w:p>
    <w:p w:rsidR="00644C8C" w:rsidRPr="00AE105A" w:rsidRDefault="00644C8C" w:rsidP="00644C8C">
      <w:pPr>
        <w:spacing w:before="120"/>
        <w:ind w:left="720"/>
      </w:pPr>
      <w:r w:rsidRPr="00AE105A">
        <w:t>Private Bag 1942</w:t>
      </w:r>
    </w:p>
    <w:p w:rsidR="00644C8C" w:rsidRPr="00AE105A" w:rsidRDefault="00644C8C" w:rsidP="00644C8C">
      <w:pPr>
        <w:spacing w:before="120"/>
        <w:ind w:left="720"/>
      </w:pPr>
      <w:r w:rsidRPr="00AE105A">
        <w:t>Dunedin 9054</w:t>
      </w:r>
    </w:p>
    <w:p w:rsidR="00644C8C" w:rsidRPr="00AE105A" w:rsidRDefault="00644C8C" w:rsidP="00644C8C">
      <w:pPr>
        <w:spacing w:before="120"/>
        <w:rPr>
          <w:rFonts w:cs="Arial"/>
          <w:szCs w:val="24"/>
        </w:rPr>
      </w:pPr>
      <w:r w:rsidRPr="00AE105A">
        <w:rPr>
          <w:rFonts w:cs="Arial"/>
          <w:szCs w:val="24"/>
        </w:rPr>
        <w:t xml:space="preserve">Email </w:t>
      </w:r>
      <w:hyperlink r:id="rId10" w:history="1">
        <w:r w:rsidRPr="00AE105A">
          <w:rPr>
            <w:rFonts w:cs="Arial"/>
            <w:color w:val="0000FF"/>
            <w:szCs w:val="24"/>
            <w:u w:val="single"/>
          </w:rPr>
          <w:t>performance_reporting@moh.govt.nz</w:t>
        </w:r>
      </w:hyperlink>
    </w:p>
    <w:p w:rsidR="00D62D40" w:rsidRDefault="00644C8C" w:rsidP="00940074">
      <w:pPr>
        <w:spacing w:before="120" w:after="120"/>
      </w:pPr>
      <w:r w:rsidRPr="00AE105A">
        <w:rPr>
          <w:rFonts w:cs="Arial"/>
          <w:color w:val="000000"/>
          <w:szCs w:val="24"/>
          <w:lang w:val="en-NZ" w:eastAsia="en-NZ"/>
        </w:rPr>
        <w:t xml:space="preserve">The Performance Monitoring </w:t>
      </w:r>
      <w:r w:rsidRPr="00AE105A">
        <w:rPr>
          <w:rFonts w:cs="Arial"/>
          <w:szCs w:val="24"/>
          <w:lang w:val="en-AU" w:eastAsia="en-US"/>
        </w:rPr>
        <w:t>Reporting tables for the Mental Health and Addiction Service Specifications</w:t>
      </w:r>
      <w:r w:rsidRPr="00AE105A">
        <w:rPr>
          <w:rFonts w:cs="Arial"/>
          <w:szCs w:val="24"/>
          <w:vertAlign w:val="superscript"/>
        </w:rPr>
        <w:footnoteReference w:id="1"/>
      </w:r>
      <w:r w:rsidRPr="00AE105A">
        <w:rPr>
          <w:rFonts w:cs="Arial"/>
          <w:szCs w:val="24"/>
        </w:rPr>
        <w:t xml:space="preserve"> may be used for performance monitoring if specified as agreed with the Funder.</w:t>
      </w:r>
    </w:p>
    <w:sectPr w:rsidR="00D62D40" w:rsidSect="00416B16">
      <w:footerReference w:type="even" r:id="rId11"/>
      <w:footerReference w:type="default" r:id="rId12"/>
      <w:pgSz w:w="11906" w:h="16838" w:code="9"/>
      <w:pgMar w:top="1134" w:right="1134" w:bottom="1134" w:left="1134"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35" w:rsidRDefault="00CB3D35">
      <w:r>
        <w:separator/>
      </w:r>
    </w:p>
  </w:endnote>
  <w:endnote w:type="continuationSeparator" w:id="0">
    <w:p w:rsidR="00CB3D35" w:rsidRDefault="00CB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16" w:rsidRDefault="00416B16" w:rsidP="00C75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B16" w:rsidRDefault="00416B16" w:rsidP="00C75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16" w:rsidRPr="007601DD" w:rsidRDefault="00416B16" w:rsidP="00C757A0">
    <w:pPr>
      <w:pStyle w:val="Footer"/>
      <w:framePr w:wrap="around" w:vAnchor="text" w:hAnchor="margin" w:xAlign="right" w:y="1"/>
      <w:rPr>
        <w:rStyle w:val="PageNumber"/>
        <w:rFonts w:ascii="Arial" w:hAnsi="Arial" w:cs="Arial"/>
        <w:sz w:val="20"/>
      </w:rPr>
    </w:pPr>
    <w:r w:rsidRPr="007601DD">
      <w:rPr>
        <w:rStyle w:val="PageNumber"/>
        <w:rFonts w:ascii="Arial" w:hAnsi="Arial" w:cs="Arial"/>
        <w:sz w:val="20"/>
      </w:rPr>
      <w:fldChar w:fldCharType="begin"/>
    </w:r>
    <w:r w:rsidRPr="007601DD">
      <w:rPr>
        <w:rStyle w:val="PageNumber"/>
        <w:rFonts w:ascii="Arial" w:hAnsi="Arial" w:cs="Arial"/>
        <w:sz w:val="20"/>
      </w:rPr>
      <w:instrText xml:space="preserve">PAGE  </w:instrText>
    </w:r>
    <w:r w:rsidRPr="007601DD">
      <w:rPr>
        <w:rStyle w:val="PageNumber"/>
        <w:rFonts w:ascii="Arial" w:hAnsi="Arial" w:cs="Arial"/>
        <w:sz w:val="20"/>
      </w:rPr>
      <w:fldChar w:fldCharType="separate"/>
    </w:r>
    <w:r w:rsidR="00B37A50">
      <w:rPr>
        <w:rStyle w:val="PageNumber"/>
        <w:rFonts w:ascii="Arial" w:hAnsi="Arial" w:cs="Arial"/>
        <w:noProof/>
        <w:sz w:val="20"/>
      </w:rPr>
      <w:t>3</w:t>
    </w:r>
    <w:r w:rsidRPr="007601DD">
      <w:rPr>
        <w:rStyle w:val="PageNumber"/>
        <w:rFonts w:ascii="Arial" w:hAnsi="Arial" w:cs="Arial"/>
        <w:sz w:val="20"/>
      </w:rPr>
      <w:fldChar w:fldCharType="end"/>
    </w:r>
  </w:p>
  <w:p w:rsidR="00644C8C" w:rsidRDefault="00593ECA" w:rsidP="00395B06">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w:t>
    </w:r>
    <w:r w:rsidR="00826205">
      <w:rPr>
        <w:rFonts w:ascii="Arial Mäori" w:hAnsi="Arial Mäori"/>
        <w:sz w:val="20"/>
      </w:rPr>
      <w:t>Supportive Landlord Service</w:t>
    </w:r>
    <w:r>
      <w:rPr>
        <w:rFonts w:ascii="Arial Mäori" w:hAnsi="Arial Mäori"/>
        <w:sz w:val="20"/>
      </w:rPr>
      <w:t xml:space="preserve">, Mental Health and Addiction Services </w:t>
    </w:r>
    <w:r w:rsidR="00416B16">
      <w:rPr>
        <w:rFonts w:ascii="Arial Mäori" w:hAnsi="Arial Mäori"/>
        <w:sz w:val="20"/>
      </w:rPr>
      <w:t>Tier Three Service Specification</w:t>
    </w:r>
    <w:r w:rsidR="00644C8C">
      <w:rPr>
        <w:rFonts w:ascii="Arial Mäori" w:hAnsi="Arial Mäori"/>
        <w:sz w:val="20"/>
      </w:rPr>
      <w:t xml:space="preserve"> April 2017</w:t>
    </w:r>
  </w:p>
  <w:p w:rsidR="00416B16" w:rsidRDefault="00416B16" w:rsidP="00395B06">
    <w:pPr>
      <w:pStyle w:val="Footer"/>
      <w:pBdr>
        <w:top w:val="single" w:sz="6" w:space="1" w:color="000000"/>
      </w:pBdr>
      <w:tabs>
        <w:tab w:val="center" w:pos="4536"/>
      </w:tabs>
      <w:ind w:right="360"/>
      <w:rPr>
        <w:rStyle w:val="PageNumber"/>
        <w:rFonts w:ascii="Arial" w:hAnsi="Arial"/>
        <w:sz w:val="20"/>
      </w:rPr>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35" w:rsidRDefault="00CB3D35">
      <w:r>
        <w:separator/>
      </w:r>
    </w:p>
  </w:footnote>
  <w:footnote w:type="continuationSeparator" w:id="0">
    <w:p w:rsidR="00CB3D35" w:rsidRDefault="00CB3D35">
      <w:r>
        <w:continuationSeparator/>
      </w:r>
    </w:p>
  </w:footnote>
  <w:footnote w:id="1">
    <w:p w:rsidR="00644C8C" w:rsidRPr="00CF6BC1" w:rsidRDefault="00644C8C" w:rsidP="00644C8C">
      <w:pPr>
        <w:pStyle w:val="FootnoteText"/>
        <w:rPr>
          <w:lang w:val="en-NZ"/>
        </w:rPr>
      </w:pPr>
      <w:r>
        <w:rPr>
          <w:rStyle w:val="FootnoteReference"/>
        </w:rPr>
        <w:footnoteRef/>
      </w:r>
      <w:r>
        <w:t xml:space="preserve"> </w:t>
      </w:r>
      <w:r w:rsidRPr="00644C8C">
        <w:rPr>
          <w:sz w:val="20"/>
        </w:rPr>
        <w:t>Performance Monitoring Reporting</w:t>
      </w:r>
      <w:r w:rsidRPr="00644C8C">
        <w:rPr>
          <w:rFonts w:cs="Arial"/>
          <w:sz w:val="20"/>
          <w:lang w:eastAsia="en-US"/>
        </w:rPr>
        <w:t xml:space="preserve"> cluster tables for Mental Health and Addiction Services</w:t>
      </w:r>
      <w:r w:rsidRPr="00644C8C">
        <w:rPr>
          <w:rFonts w:cs="Arial"/>
          <w:sz w:val="20"/>
        </w:rPr>
        <w:t xml:space="preserve"> are published on the Nationwide Service Framework Library, Mental Health and Addiction Service specifications page, Downloads section www.</w:t>
      </w:r>
      <w:r w:rsidRPr="00644C8C">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4B2642F6"/>
    <w:multiLevelType w:val="hybridMultilevel"/>
    <w:tmpl w:val="22101B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90443A"/>
    <w:multiLevelType w:val="hybridMultilevel"/>
    <w:tmpl w:val="2DF6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318F9"/>
    <w:rsid w:val="00153AD5"/>
    <w:rsid w:val="001D664E"/>
    <w:rsid w:val="0023245E"/>
    <w:rsid w:val="00380139"/>
    <w:rsid w:val="00395B06"/>
    <w:rsid w:val="003F6ED5"/>
    <w:rsid w:val="00416B16"/>
    <w:rsid w:val="004613EA"/>
    <w:rsid w:val="004C453F"/>
    <w:rsid w:val="004C6067"/>
    <w:rsid w:val="0052456E"/>
    <w:rsid w:val="00593ECA"/>
    <w:rsid w:val="005C467A"/>
    <w:rsid w:val="0062322D"/>
    <w:rsid w:val="00644C8C"/>
    <w:rsid w:val="006B6225"/>
    <w:rsid w:val="006C3663"/>
    <w:rsid w:val="00826205"/>
    <w:rsid w:val="009146A8"/>
    <w:rsid w:val="00940074"/>
    <w:rsid w:val="00951AC3"/>
    <w:rsid w:val="00951C4A"/>
    <w:rsid w:val="009E08CF"/>
    <w:rsid w:val="00B370AA"/>
    <w:rsid w:val="00B37A50"/>
    <w:rsid w:val="00B52E67"/>
    <w:rsid w:val="00B873C3"/>
    <w:rsid w:val="00BD51A4"/>
    <w:rsid w:val="00C00ED2"/>
    <w:rsid w:val="00C757A0"/>
    <w:rsid w:val="00CB3D35"/>
    <w:rsid w:val="00CC1BBF"/>
    <w:rsid w:val="00D62D40"/>
    <w:rsid w:val="00D719C6"/>
    <w:rsid w:val="00DC2BBD"/>
    <w:rsid w:val="00DD30D7"/>
    <w:rsid w:val="00DD6757"/>
    <w:rsid w:val="00E728B0"/>
    <w:rsid w:val="00F239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FF4A607-C63A-43CE-A7C3-CCFC946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A0"/>
    <w:rPr>
      <w:rFonts w:ascii="Arial" w:hAnsi="Arial"/>
      <w:sz w:val="24"/>
      <w:lang w:val="en-GB" w:eastAsia="en-GB"/>
    </w:rPr>
  </w:style>
  <w:style w:type="paragraph" w:styleId="Heading1">
    <w:name w:val="heading 1"/>
    <w:basedOn w:val="Normal"/>
    <w:next w:val="Normal"/>
    <w:qFormat/>
    <w:rsid w:val="00C757A0"/>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57A0"/>
    <w:pPr>
      <w:spacing w:after="120"/>
      <w:jc w:val="both"/>
    </w:pPr>
    <w:rPr>
      <w:rFonts w:ascii="Times New Roman" w:hAnsi="Times New Roman"/>
      <w:lang w:val="en-AU"/>
    </w:rPr>
  </w:style>
  <w:style w:type="paragraph" w:styleId="Footer">
    <w:name w:val="footer"/>
    <w:basedOn w:val="Normal"/>
    <w:rsid w:val="00C757A0"/>
    <w:pPr>
      <w:tabs>
        <w:tab w:val="center" w:pos="4153"/>
        <w:tab w:val="right" w:pos="8306"/>
      </w:tabs>
      <w:jc w:val="both"/>
    </w:pPr>
    <w:rPr>
      <w:rFonts w:ascii="Times New Roman" w:hAnsi="Times New Roman"/>
      <w:lang w:val="en-NZ"/>
    </w:rPr>
  </w:style>
  <w:style w:type="character" w:styleId="PageNumber">
    <w:name w:val="page number"/>
    <w:basedOn w:val="DefaultParagraphFont"/>
    <w:rsid w:val="00C757A0"/>
  </w:style>
  <w:style w:type="paragraph" w:styleId="FootnoteText">
    <w:name w:val="footnote text"/>
    <w:basedOn w:val="Normal"/>
    <w:semiHidden/>
    <w:rsid w:val="00C757A0"/>
    <w:pPr>
      <w:jc w:val="both"/>
    </w:pPr>
    <w:rPr>
      <w:lang w:val="en-AU"/>
    </w:rPr>
  </w:style>
  <w:style w:type="paragraph" w:customStyle="1" w:styleId="Char1CharChar">
    <w:name w:val="Char1 Char Char"/>
    <w:basedOn w:val="Normal"/>
    <w:rsid w:val="00C757A0"/>
    <w:pPr>
      <w:spacing w:after="160" w:line="240" w:lineRule="exact"/>
    </w:pPr>
    <w:rPr>
      <w:sz w:val="20"/>
      <w:lang w:val="en-US" w:eastAsia="en-US"/>
    </w:rPr>
  </w:style>
  <w:style w:type="paragraph" w:styleId="Header">
    <w:name w:val="header"/>
    <w:basedOn w:val="Normal"/>
    <w:rsid w:val="00826205"/>
    <w:pPr>
      <w:tabs>
        <w:tab w:val="center" w:pos="4153"/>
        <w:tab w:val="right" w:pos="8306"/>
      </w:tabs>
    </w:pPr>
  </w:style>
  <w:style w:type="paragraph" w:styleId="BalloonText">
    <w:name w:val="Balloon Text"/>
    <w:basedOn w:val="Normal"/>
    <w:link w:val="BalloonTextChar"/>
    <w:uiPriority w:val="99"/>
    <w:semiHidden/>
    <w:unhideWhenUsed/>
    <w:rsid w:val="00593ECA"/>
    <w:rPr>
      <w:rFonts w:ascii="Tahoma" w:hAnsi="Tahoma" w:cs="Tahoma"/>
      <w:sz w:val="16"/>
      <w:szCs w:val="16"/>
    </w:rPr>
  </w:style>
  <w:style w:type="character" w:customStyle="1" w:styleId="BalloonTextChar">
    <w:name w:val="Balloon Text Char"/>
    <w:basedOn w:val="DefaultParagraphFont"/>
    <w:link w:val="BalloonText"/>
    <w:uiPriority w:val="99"/>
    <w:semiHidden/>
    <w:rsid w:val="00593ECA"/>
    <w:rPr>
      <w:rFonts w:ascii="Tahoma" w:hAnsi="Tahoma" w:cs="Tahoma"/>
      <w:sz w:val="16"/>
      <w:szCs w:val="16"/>
      <w:lang w:val="en-GB" w:eastAsia="en-GB"/>
    </w:rPr>
  </w:style>
  <w:style w:type="paragraph" w:styleId="Revision">
    <w:name w:val="Revision"/>
    <w:hidden/>
    <w:uiPriority w:val="99"/>
    <w:semiHidden/>
    <w:rsid w:val="00593ECA"/>
    <w:rPr>
      <w:rFonts w:ascii="Arial" w:hAnsi="Arial"/>
      <w:sz w:val="24"/>
      <w:lang w:val="en-GB" w:eastAsia="en-GB"/>
    </w:rPr>
  </w:style>
  <w:style w:type="table" w:styleId="TableGrid">
    <w:name w:val="Table Grid"/>
    <w:basedOn w:val="TableNormal"/>
    <w:rsid w:val="00B37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B37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9908-D8F2-4321-BBD8-0E490AFD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F559A9FB</Template>
  <TotalTime>2</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2017-04-11T00:32:00Z</dcterms:created>
  <dcterms:modified xsi:type="dcterms:W3CDTF">2017-05-02T22:16:00Z</dcterms:modified>
</cp:coreProperties>
</file>