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7" w:type="dxa"/>
        <w:tblLook w:val="0000" w:firstRow="0" w:lastRow="0" w:firstColumn="0" w:lastColumn="0" w:noHBand="0" w:noVBand="0"/>
      </w:tblPr>
      <w:tblGrid>
        <w:gridCol w:w="4428"/>
        <w:gridCol w:w="1893"/>
        <w:gridCol w:w="3306"/>
      </w:tblGrid>
      <w:tr w:rsidR="00027868" w:rsidRPr="0070584C">
        <w:trPr>
          <w:cantSplit/>
        </w:trPr>
        <w:tc>
          <w:tcPr>
            <w:tcW w:w="4428" w:type="dxa"/>
            <w:vAlign w:val="center"/>
          </w:tcPr>
          <w:p w:rsidR="00027868" w:rsidRPr="0070584C" w:rsidRDefault="00ED2EF0" w:rsidP="0080483F">
            <w:pPr>
              <w:rPr>
                <w:rFonts w:cs="Arial"/>
                <w:bCs/>
                <w:sz w:val="34"/>
                <w:szCs w:val="34"/>
                <w:lang w:val="en-NZ"/>
              </w:rPr>
            </w:pPr>
            <w:bookmarkStart w:id="0" w:name="_GoBack"/>
            <w:bookmarkEnd w:id="0"/>
            <w:r w:rsidRPr="0070584C">
              <w:rPr>
                <w:rFonts w:cs="Arial"/>
                <w:noProof/>
                <w:sz w:val="23"/>
                <w:szCs w:val="23"/>
                <w:lang w:val="en-NZ" w:eastAsia="en-NZ"/>
              </w:rPr>
              <w:drawing>
                <wp:inline distT="0" distB="0" distL="0" distR="0" wp14:anchorId="7B1FFD85" wp14:editId="154DC889">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199" w:type="dxa"/>
            <w:gridSpan w:val="2"/>
            <w:vAlign w:val="center"/>
          </w:tcPr>
          <w:p w:rsidR="002E2D4A" w:rsidRPr="0070584C" w:rsidRDefault="00230DFB" w:rsidP="0080483F">
            <w:pPr>
              <w:jc w:val="right"/>
              <w:rPr>
                <w:rFonts w:cs="Arial"/>
                <w:b/>
                <w:sz w:val="36"/>
                <w:szCs w:val="36"/>
                <w:lang w:val="en-NZ"/>
              </w:rPr>
            </w:pPr>
            <w:r w:rsidRPr="00A179CE">
              <w:rPr>
                <w:rFonts w:cs="Arial"/>
                <w:b/>
                <w:sz w:val="36"/>
                <w:szCs w:val="36"/>
                <w:lang w:val="en-NZ"/>
              </w:rPr>
              <w:t>All</w:t>
            </w:r>
            <w:r w:rsidR="002E2D4A" w:rsidRPr="0070584C">
              <w:rPr>
                <w:rFonts w:cs="Arial"/>
                <w:b/>
                <w:sz w:val="36"/>
                <w:szCs w:val="36"/>
                <w:lang w:val="en-NZ"/>
              </w:rPr>
              <w:t xml:space="preserve"> District Health Boards</w:t>
            </w:r>
          </w:p>
          <w:p w:rsidR="00027868" w:rsidRPr="0070584C" w:rsidRDefault="00027868" w:rsidP="0080483F">
            <w:pPr>
              <w:jc w:val="right"/>
              <w:rPr>
                <w:rFonts w:cs="Arial"/>
                <w:bCs/>
                <w:sz w:val="34"/>
                <w:szCs w:val="34"/>
                <w:lang w:val="en-NZ"/>
              </w:rPr>
            </w:pPr>
          </w:p>
        </w:tc>
      </w:tr>
      <w:tr w:rsidR="00027868" w:rsidRPr="0070584C" w:rsidTr="00230DFB">
        <w:tc>
          <w:tcPr>
            <w:tcW w:w="9627" w:type="dxa"/>
            <w:gridSpan w:val="3"/>
            <w:tcBorders>
              <w:bottom w:val="single" w:sz="4" w:space="0" w:color="auto"/>
            </w:tcBorders>
          </w:tcPr>
          <w:p w:rsidR="005E43C3" w:rsidRPr="0070584C" w:rsidRDefault="002E2D4A" w:rsidP="00AD5980">
            <w:pPr>
              <w:spacing w:before="1800"/>
              <w:jc w:val="center"/>
              <w:rPr>
                <w:rFonts w:cs="Arial"/>
                <w:b/>
                <w:bCs/>
                <w:sz w:val="36"/>
                <w:szCs w:val="36"/>
                <w:lang w:val="en-NZ"/>
              </w:rPr>
            </w:pPr>
            <w:bookmarkStart w:id="1" w:name="_Toc206389497"/>
            <w:bookmarkStart w:id="2" w:name="_Toc206401873"/>
            <w:bookmarkStart w:id="3" w:name="_Toc206403842"/>
            <w:bookmarkStart w:id="4" w:name="_Toc206404570"/>
            <w:bookmarkStart w:id="5" w:name="_Toc206405300"/>
            <w:bookmarkStart w:id="6" w:name="_Toc206405336"/>
            <w:bookmarkStart w:id="7" w:name="_Toc206406063"/>
            <w:bookmarkStart w:id="8" w:name="_Toc206406491"/>
            <w:bookmarkStart w:id="9" w:name="_Toc215319102"/>
            <w:r w:rsidRPr="0070584C">
              <w:rPr>
                <w:rFonts w:cs="Arial"/>
                <w:b/>
                <w:bCs/>
                <w:sz w:val="36"/>
                <w:szCs w:val="36"/>
                <w:lang w:val="en-NZ"/>
              </w:rPr>
              <w:t>ADDICTION SERVICES</w:t>
            </w:r>
            <w:r w:rsidR="00491623" w:rsidRPr="0070584C">
              <w:rPr>
                <w:rFonts w:cs="Arial"/>
                <w:b/>
                <w:bCs/>
                <w:sz w:val="36"/>
                <w:szCs w:val="36"/>
                <w:lang w:val="en-NZ"/>
              </w:rPr>
              <w:t xml:space="preserve"> </w:t>
            </w:r>
            <w:r w:rsidRPr="0070584C">
              <w:rPr>
                <w:rFonts w:cs="Arial"/>
                <w:b/>
                <w:bCs/>
                <w:sz w:val="36"/>
                <w:szCs w:val="36"/>
                <w:lang w:val="en-NZ"/>
              </w:rPr>
              <w:t>-</w:t>
            </w:r>
          </w:p>
          <w:p w:rsidR="00027868" w:rsidRPr="0070584C" w:rsidRDefault="009B046A" w:rsidP="00AD5980">
            <w:pPr>
              <w:spacing w:before="120"/>
              <w:jc w:val="center"/>
              <w:rPr>
                <w:rFonts w:cs="Arial"/>
                <w:b/>
                <w:bCs/>
                <w:sz w:val="36"/>
                <w:szCs w:val="36"/>
                <w:lang w:val="en-NZ"/>
              </w:rPr>
            </w:pPr>
            <w:r w:rsidRPr="0070584C">
              <w:rPr>
                <w:rFonts w:cs="Arial"/>
                <w:b/>
                <w:bCs/>
                <w:sz w:val="36"/>
                <w:szCs w:val="36"/>
                <w:lang w:val="en-NZ"/>
              </w:rPr>
              <w:t xml:space="preserve">MANAGED WITHDRAWAL- </w:t>
            </w:r>
            <w:r w:rsidR="00AE6B73" w:rsidRPr="0070584C">
              <w:rPr>
                <w:rFonts w:cs="Arial"/>
                <w:b/>
                <w:bCs/>
                <w:sz w:val="36"/>
                <w:szCs w:val="36"/>
                <w:lang w:val="en-NZ"/>
              </w:rPr>
              <w:t>HOME</w:t>
            </w:r>
            <w:r w:rsidR="002E2D4A" w:rsidRPr="0070584C">
              <w:rPr>
                <w:rFonts w:cs="Arial"/>
                <w:b/>
                <w:bCs/>
                <w:sz w:val="36"/>
                <w:szCs w:val="36"/>
                <w:lang w:val="en-NZ"/>
              </w:rPr>
              <w:t xml:space="preserve"> </w:t>
            </w:r>
            <w:r w:rsidR="00AE6B73" w:rsidRPr="0070584C">
              <w:rPr>
                <w:rFonts w:cs="Arial"/>
                <w:b/>
                <w:bCs/>
                <w:sz w:val="36"/>
                <w:szCs w:val="36"/>
                <w:lang w:val="en-NZ"/>
              </w:rPr>
              <w:t>/</w:t>
            </w:r>
            <w:r w:rsidR="002E2D4A" w:rsidRPr="0070584C">
              <w:rPr>
                <w:rFonts w:cs="Arial"/>
                <w:b/>
                <w:bCs/>
                <w:sz w:val="36"/>
                <w:szCs w:val="36"/>
                <w:lang w:val="en-NZ"/>
              </w:rPr>
              <w:t xml:space="preserve"> </w:t>
            </w:r>
            <w:r w:rsidR="00AE6B73" w:rsidRPr="0070584C">
              <w:rPr>
                <w:rFonts w:cs="Arial"/>
                <w:b/>
                <w:bCs/>
                <w:sz w:val="36"/>
                <w:szCs w:val="36"/>
                <w:lang w:val="en-NZ"/>
              </w:rPr>
              <w:t>COMMUNITY</w:t>
            </w:r>
          </w:p>
          <w:p w:rsidR="002E2D4A" w:rsidRPr="0070584C" w:rsidRDefault="002E2D4A" w:rsidP="00AD5980">
            <w:pPr>
              <w:spacing w:before="120"/>
              <w:jc w:val="center"/>
              <w:rPr>
                <w:rFonts w:cs="Arial"/>
                <w:b/>
                <w:sz w:val="36"/>
                <w:szCs w:val="36"/>
              </w:rPr>
            </w:pPr>
            <w:r w:rsidRPr="0070584C">
              <w:rPr>
                <w:rFonts w:cs="Arial"/>
                <w:b/>
                <w:bCs/>
                <w:sz w:val="36"/>
                <w:szCs w:val="36"/>
                <w:lang w:val="en-NZ"/>
              </w:rPr>
              <w:t>MENTAL HEALTH AND ADDICTION SERVICES</w:t>
            </w:r>
          </w:p>
          <w:bookmarkEnd w:id="1"/>
          <w:bookmarkEnd w:id="2"/>
          <w:bookmarkEnd w:id="3"/>
          <w:bookmarkEnd w:id="4"/>
          <w:bookmarkEnd w:id="5"/>
          <w:bookmarkEnd w:id="6"/>
          <w:bookmarkEnd w:id="7"/>
          <w:bookmarkEnd w:id="8"/>
          <w:bookmarkEnd w:id="9"/>
          <w:p w:rsidR="00027868" w:rsidRPr="0070584C" w:rsidRDefault="00027868" w:rsidP="00AD5980">
            <w:pPr>
              <w:spacing w:before="120"/>
              <w:jc w:val="center"/>
              <w:rPr>
                <w:rFonts w:cs="Arial"/>
                <w:b/>
                <w:sz w:val="36"/>
                <w:szCs w:val="36"/>
              </w:rPr>
            </w:pPr>
            <w:r w:rsidRPr="0070584C">
              <w:rPr>
                <w:rFonts w:cs="Arial"/>
                <w:b/>
                <w:sz w:val="36"/>
                <w:szCs w:val="36"/>
              </w:rPr>
              <w:t xml:space="preserve">TIER </w:t>
            </w:r>
            <w:r w:rsidR="00665AA2" w:rsidRPr="0070584C">
              <w:rPr>
                <w:rFonts w:cs="Arial"/>
                <w:b/>
                <w:sz w:val="36"/>
                <w:szCs w:val="36"/>
              </w:rPr>
              <w:t>THREE</w:t>
            </w:r>
          </w:p>
          <w:p w:rsidR="00027868" w:rsidRDefault="00027868" w:rsidP="00AD5980">
            <w:pPr>
              <w:spacing w:before="120" w:after="720"/>
              <w:jc w:val="center"/>
              <w:rPr>
                <w:rFonts w:cs="Arial"/>
                <w:b/>
                <w:sz w:val="36"/>
                <w:szCs w:val="36"/>
              </w:rPr>
            </w:pPr>
            <w:bookmarkStart w:id="10" w:name="_Toc206406492"/>
            <w:bookmarkStart w:id="11" w:name="_Toc215319103"/>
            <w:r w:rsidRPr="0070584C">
              <w:rPr>
                <w:rFonts w:cs="Arial"/>
                <w:b/>
                <w:sz w:val="36"/>
                <w:szCs w:val="36"/>
              </w:rPr>
              <w:t>SERVICE SPECIFICATION</w:t>
            </w:r>
            <w:bookmarkEnd w:id="10"/>
            <w:bookmarkEnd w:id="11"/>
          </w:p>
          <w:p w:rsidR="005E43C3" w:rsidRPr="006A2A3E" w:rsidRDefault="005E43C3" w:rsidP="0080483F">
            <w:pPr>
              <w:jc w:val="center"/>
              <w:rPr>
                <w:rFonts w:cs="Arial"/>
              </w:rPr>
            </w:pPr>
          </w:p>
        </w:tc>
      </w:tr>
      <w:tr w:rsidR="00E02497" w:rsidRPr="0070584C" w:rsidTr="00AD5980">
        <w:trPr>
          <w:trHeight w:val="1524"/>
        </w:trPr>
        <w:tc>
          <w:tcPr>
            <w:tcW w:w="6321" w:type="dxa"/>
            <w:gridSpan w:val="2"/>
          </w:tcPr>
          <w:p w:rsidR="00E02497" w:rsidRPr="00AD5980" w:rsidRDefault="00E02497" w:rsidP="00E02497">
            <w:pPr>
              <w:spacing w:before="120"/>
              <w:ind w:left="360"/>
              <w:rPr>
                <w:rFonts w:cs="Arial"/>
                <w:b/>
                <w:sz w:val="36"/>
                <w:szCs w:val="36"/>
              </w:rPr>
            </w:pPr>
            <w:bookmarkStart w:id="12" w:name="_Toc206389498"/>
            <w:bookmarkStart w:id="13" w:name="_Toc206401874"/>
            <w:bookmarkStart w:id="14" w:name="_Toc206403843"/>
            <w:bookmarkStart w:id="15" w:name="_Toc206404571"/>
            <w:bookmarkStart w:id="16" w:name="_Toc206405301"/>
            <w:bookmarkStart w:id="17" w:name="_Toc206405337"/>
            <w:bookmarkStart w:id="18" w:name="_Toc206406064"/>
            <w:bookmarkStart w:id="19" w:name="_Toc215319104"/>
            <w:r w:rsidRPr="00AD5980">
              <w:rPr>
                <w:b/>
                <w:sz w:val="32"/>
                <w:szCs w:val="32"/>
              </w:rPr>
              <w:t xml:space="preserve">STATUS: </w:t>
            </w:r>
            <w:r w:rsidRPr="00AD5980">
              <w:rPr>
                <w:b/>
                <w:sz w:val="24"/>
                <w:szCs w:val="24"/>
              </w:rPr>
              <w:t>These service specifications may be amended to meet local agreement needs.</w:t>
            </w:r>
            <w:bookmarkEnd w:id="12"/>
            <w:bookmarkEnd w:id="13"/>
            <w:bookmarkEnd w:id="14"/>
            <w:bookmarkEnd w:id="15"/>
            <w:bookmarkEnd w:id="16"/>
            <w:bookmarkEnd w:id="17"/>
            <w:bookmarkEnd w:id="18"/>
            <w:bookmarkEnd w:id="19"/>
          </w:p>
        </w:tc>
        <w:tc>
          <w:tcPr>
            <w:tcW w:w="3306" w:type="dxa"/>
          </w:tcPr>
          <w:p w:rsidR="00E02497" w:rsidRPr="00AD5980" w:rsidRDefault="00E02497" w:rsidP="00E02497">
            <w:pPr>
              <w:spacing w:before="120" w:after="120"/>
              <w:rPr>
                <w:rFonts w:cs="Arial"/>
                <w:b/>
                <w:sz w:val="36"/>
                <w:szCs w:val="36"/>
              </w:rPr>
            </w:pPr>
            <w:bookmarkStart w:id="20" w:name="_Toc206389499"/>
            <w:bookmarkStart w:id="21" w:name="_Toc215319108"/>
            <w:r w:rsidRPr="00AD5980">
              <w:rPr>
                <w:b/>
                <w:sz w:val="32"/>
                <w:szCs w:val="32"/>
              </w:rPr>
              <w:t>NON-MANDATORY</w:t>
            </w:r>
            <w:bookmarkEnd w:id="20"/>
            <w:bookmarkEnd w:id="21"/>
          </w:p>
        </w:tc>
      </w:tr>
      <w:tr w:rsidR="00027868" w:rsidRPr="0070584C" w:rsidTr="00230DFB">
        <w:trPr>
          <w:trHeight w:val="297"/>
        </w:trPr>
        <w:tc>
          <w:tcPr>
            <w:tcW w:w="6321" w:type="dxa"/>
            <w:gridSpan w:val="2"/>
            <w:tcBorders>
              <w:top w:val="single" w:sz="4" w:space="0" w:color="auto"/>
              <w:bottom w:val="single" w:sz="4" w:space="0" w:color="auto"/>
            </w:tcBorders>
            <w:shd w:val="clear" w:color="auto" w:fill="CCCCCC"/>
          </w:tcPr>
          <w:p w:rsidR="00027868" w:rsidRPr="006A2A3E" w:rsidRDefault="00027868" w:rsidP="00027868">
            <w:pPr>
              <w:spacing w:before="120" w:after="120"/>
              <w:rPr>
                <w:rFonts w:cs="Arial"/>
                <w:b/>
                <w:sz w:val="32"/>
                <w:szCs w:val="32"/>
              </w:rPr>
            </w:pPr>
            <w:bookmarkStart w:id="22" w:name="_Toc206389500"/>
            <w:bookmarkStart w:id="23" w:name="_Toc206401875"/>
            <w:bookmarkStart w:id="24" w:name="_Toc206403844"/>
            <w:bookmarkStart w:id="25" w:name="_Toc206404572"/>
            <w:bookmarkStart w:id="26" w:name="_Toc206405302"/>
            <w:bookmarkStart w:id="27" w:name="_Toc206405338"/>
            <w:bookmarkStart w:id="28" w:name="_Toc206406065"/>
            <w:bookmarkStart w:id="29" w:name="_Toc215319110"/>
            <w:r w:rsidRPr="006A2A3E">
              <w:rPr>
                <w:rFonts w:cs="Arial"/>
                <w:b/>
                <w:sz w:val="32"/>
                <w:szCs w:val="32"/>
              </w:rPr>
              <w:t>Review History</w:t>
            </w:r>
            <w:bookmarkEnd w:id="22"/>
            <w:bookmarkEnd w:id="23"/>
            <w:bookmarkEnd w:id="24"/>
            <w:bookmarkEnd w:id="25"/>
            <w:bookmarkEnd w:id="26"/>
            <w:bookmarkEnd w:id="27"/>
            <w:bookmarkEnd w:id="28"/>
            <w:bookmarkEnd w:id="29"/>
          </w:p>
        </w:tc>
        <w:tc>
          <w:tcPr>
            <w:tcW w:w="3306" w:type="dxa"/>
            <w:tcBorders>
              <w:top w:val="single" w:sz="4" w:space="0" w:color="auto"/>
              <w:bottom w:val="single" w:sz="4" w:space="0" w:color="auto"/>
            </w:tcBorders>
            <w:shd w:val="clear" w:color="auto" w:fill="CCCCCC"/>
          </w:tcPr>
          <w:p w:rsidR="00027868" w:rsidRPr="006A2A3E" w:rsidRDefault="00027868" w:rsidP="00027868">
            <w:pPr>
              <w:spacing w:before="120" w:after="120"/>
              <w:rPr>
                <w:rFonts w:cs="Arial"/>
                <w:b/>
                <w:sz w:val="32"/>
                <w:szCs w:val="32"/>
              </w:rPr>
            </w:pPr>
            <w:bookmarkStart w:id="30" w:name="_Toc206389501"/>
            <w:bookmarkStart w:id="31" w:name="_Toc206401876"/>
            <w:bookmarkStart w:id="32" w:name="_Toc206403845"/>
            <w:bookmarkStart w:id="33" w:name="_Toc206404573"/>
            <w:bookmarkStart w:id="34" w:name="_Toc206405303"/>
            <w:bookmarkStart w:id="35" w:name="_Toc206405339"/>
            <w:bookmarkStart w:id="36" w:name="_Toc206406066"/>
            <w:bookmarkStart w:id="37" w:name="_Toc206406493"/>
            <w:bookmarkStart w:id="38" w:name="_Toc215319111"/>
            <w:r w:rsidRPr="006A2A3E">
              <w:rPr>
                <w:rFonts w:cs="Arial"/>
                <w:b/>
                <w:sz w:val="32"/>
                <w:szCs w:val="32"/>
              </w:rPr>
              <w:t>Date</w:t>
            </w:r>
            <w:bookmarkEnd w:id="30"/>
            <w:bookmarkEnd w:id="31"/>
            <w:bookmarkEnd w:id="32"/>
            <w:bookmarkEnd w:id="33"/>
            <w:bookmarkEnd w:id="34"/>
            <w:bookmarkEnd w:id="35"/>
            <w:bookmarkEnd w:id="36"/>
            <w:bookmarkEnd w:id="37"/>
            <w:bookmarkEnd w:id="38"/>
          </w:p>
        </w:tc>
      </w:tr>
      <w:tr w:rsidR="00027868" w:rsidRPr="0070584C">
        <w:tc>
          <w:tcPr>
            <w:tcW w:w="6321" w:type="dxa"/>
            <w:gridSpan w:val="2"/>
            <w:tcBorders>
              <w:top w:val="single" w:sz="4" w:space="0" w:color="auto"/>
              <w:left w:val="single" w:sz="4" w:space="0" w:color="auto"/>
              <w:bottom w:val="single" w:sz="6" w:space="0" w:color="auto"/>
              <w:right w:val="single" w:sz="6" w:space="0" w:color="auto"/>
            </w:tcBorders>
            <w:vAlign w:val="center"/>
          </w:tcPr>
          <w:p w:rsidR="00027868" w:rsidRPr="00F22E2D" w:rsidRDefault="00197EFC" w:rsidP="00027868">
            <w:pPr>
              <w:spacing w:before="120" w:after="120"/>
              <w:rPr>
                <w:rFonts w:cs="Arial"/>
                <w:sz w:val="28"/>
                <w:szCs w:val="28"/>
              </w:rPr>
            </w:pPr>
            <w:bookmarkStart w:id="39" w:name="_Toc215319113"/>
            <w:r w:rsidRPr="00F22E2D">
              <w:rPr>
                <w:rFonts w:cs="Arial"/>
                <w:sz w:val="28"/>
                <w:szCs w:val="28"/>
              </w:rPr>
              <w:t xml:space="preserve">First </w:t>
            </w:r>
            <w:r w:rsidR="00027868" w:rsidRPr="00F22E2D">
              <w:rPr>
                <w:rFonts w:cs="Arial"/>
                <w:sz w:val="28"/>
                <w:szCs w:val="28"/>
              </w:rPr>
              <w:t>Published on NSFL</w:t>
            </w:r>
            <w:bookmarkEnd w:id="39"/>
          </w:p>
        </w:tc>
        <w:tc>
          <w:tcPr>
            <w:tcW w:w="3306" w:type="dxa"/>
            <w:tcBorders>
              <w:top w:val="single" w:sz="4" w:space="0" w:color="auto"/>
              <w:left w:val="single" w:sz="6" w:space="0" w:color="auto"/>
              <w:bottom w:val="single" w:sz="6" w:space="0" w:color="auto"/>
              <w:right w:val="single" w:sz="4" w:space="0" w:color="auto"/>
            </w:tcBorders>
            <w:vAlign w:val="center"/>
          </w:tcPr>
          <w:p w:rsidR="00027868" w:rsidRPr="00AD1B22" w:rsidRDefault="006B7963" w:rsidP="00027868">
            <w:pPr>
              <w:spacing w:before="120" w:after="120"/>
              <w:rPr>
                <w:rFonts w:cs="Arial"/>
                <w:sz w:val="28"/>
                <w:szCs w:val="28"/>
              </w:rPr>
            </w:pPr>
            <w:r w:rsidRPr="00AD1B22">
              <w:rPr>
                <w:rFonts w:cs="Arial"/>
                <w:sz w:val="28"/>
                <w:szCs w:val="28"/>
              </w:rPr>
              <w:t>January 2010</w:t>
            </w:r>
          </w:p>
        </w:tc>
      </w:tr>
      <w:tr w:rsidR="00230DFB" w:rsidRPr="0070584C">
        <w:tc>
          <w:tcPr>
            <w:tcW w:w="6321" w:type="dxa"/>
            <w:gridSpan w:val="2"/>
            <w:tcBorders>
              <w:top w:val="single" w:sz="6" w:space="0" w:color="auto"/>
              <w:left w:val="single" w:sz="4" w:space="0" w:color="auto"/>
              <w:bottom w:val="single" w:sz="6" w:space="0" w:color="auto"/>
              <w:right w:val="single" w:sz="6" w:space="0" w:color="auto"/>
            </w:tcBorders>
            <w:vAlign w:val="center"/>
          </w:tcPr>
          <w:p w:rsidR="00230DFB" w:rsidRPr="009078A7" w:rsidRDefault="00230DFB" w:rsidP="009042EF">
            <w:pPr>
              <w:spacing w:before="120" w:after="120"/>
              <w:rPr>
                <w:rFonts w:cs="Arial"/>
                <w:sz w:val="24"/>
                <w:szCs w:val="24"/>
              </w:rPr>
            </w:pPr>
            <w:r w:rsidRPr="009078A7">
              <w:rPr>
                <w:rFonts w:cs="Arial"/>
                <w:b/>
                <w:sz w:val="24"/>
                <w:szCs w:val="24"/>
              </w:rPr>
              <w:t>Amended</w:t>
            </w:r>
            <w:r w:rsidRPr="009078A7">
              <w:rPr>
                <w:rFonts w:cs="Arial"/>
                <w:sz w:val="24"/>
                <w:szCs w:val="24"/>
              </w:rPr>
              <w:t>: clarified reporting requirements</w:t>
            </w:r>
          </w:p>
        </w:tc>
        <w:tc>
          <w:tcPr>
            <w:tcW w:w="3306" w:type="dxa"/>
            <w:tcBorders>
              <w:top w:val="single" w:sz="6" w:space="0" w:color="auto"/>
              <w:left w:val="single" w:sz="6" w:space="0" w:color="auto"/>
              <w:bottom w:val="single" w:sz="6" w:space="0" w:color="auto"/>
              <w:right w:val="single" w:sz="4" w:space="0" w:color="auto"/>
            </w:tcBorders>
            <w:vAlign w:val="center"/>
          </w:tcPr>
          <w:p w:rsidR="00230DFB" w:rsidRPr="00AD1B22" w:rsidRDefault="00230DFB" w:rsidP="00027868">
            <w:pPr>
              <w:spacing w:before="120" w:after="120"/>
              <w:rPr>
                <w:rFonts w:cs="Arial"/>
                <w:sz w:val="28"/>
                <w:szCs w:val="28"/>
              </w:rPr>
            </w:pPr>
            <w:r w:rsidRPr="00AD1B22">
              <w:rPr>
                <w:rFonts w:cs="Arial"/>
                <w:sz w:val="28"/>
                <w:szCs w:val="28"/>
              </w:rPr>
              <w:t>February 2013</w:t>
            </w:r>
          </w:p>
        </w:tc>
      </w:tr>
      <w:tr w:rsidR="00556AE7" w:rsidRPr="00C73B3D" w:rsidTr="00556AE7">
        <w:tc>
          <w:tcPr>
            <w:tcW w:w="6321" w:type="dxa"/>
            <w:gridSpan w:val="2"/>
            <w:tcBorders>
              <w:top w:val="single" w:sz="6" w:space="0" w:color="auto"/>
              <w:left w:val="single" w:sz="4" w:space="0" w:color="auto"/>
              <w:bottom w:val="single" w:sz="6" w:space="0" w:color="auto"/>
              <w:right w:val="single" w:sz="6" w:space="0" w:color="auto"/>
            </w:tcBorders>
            <w:vAlign w:val="center"/>
          </w:tcPr>
          <w:p w:rsidR="00556AE7" w:rsidRPr="009078A7" w:rsidRDefault="00556AE7" w:rsidP="009078A7">
            <w:pPr>
              <w:spacing w:before="120" w:after="120"/>
              <w:rPr>
                <w:rFonts w:cs="Arial"/>
                <w:sz w:val="24"/>
                <w:szCs w:val="24"/>
              </w:rPr>
            </w:pPr>
            <w:r w:rsidRPr="009078A7">
              <w:rPr>
                <w:rFonts w:cs="Arial"/>
                <w:b/>
                <w:sz w:val="24"/>
                <w:szCs w:val="24"/>
              </w:rPr>
              <w:t>Amend</w:t>
            </w:r>
            <w:r w:rsidR="009078A7" w:rsidRPr="009078A7">
              <w:rPr>
                <w:rFonts w:cs="Arial"/>
                <w:b/>
                <w:sz w:val="24"/>
                <w:szCs w:val="24"/>
              </w:rPr>
              <w:t>ed</w:t>
            </w:r>
            <w:r w:rsidRPr="009078A7">
              <w:rPr>
                <w:rFonts w:cs="Arial"/>
                <w:b/>
                <w:sz w:val="24"/>
                <w:szCs w:val="24"/>
              </w:rPr>
              <w:t>:</w:t>
            </w:r>
            <w:r w:rsidRPr="009078A7">
              <w:rPr>
                <w:rFonts w:cs="Arial"/>
                <w:sz w:val="24"/>
                <w:szCs w:val="24"/>
              </w:rPr>
              <w:t xml:space="preserve"> added MHD</w:t>
            </w:r>
            <w:r w:rsidR="00C3334D" w:rsidRPr="009078A7">
              <w:rPr>
                <w:rFonts w:cs="Arial"/>
                <w:sz w:val="24"/>
                <w:szCs w:val="24"/>
              </w:rPr>
              <w:t>78</w:t>
            </w:r>
            <w:r w:rsidRPr="009078A7">
              <w:rPr>
                <w:rFonts w:cs="Arial"/>
                <w:sz w:val="24"/>
                <w:szCs w:val="24"/>
              </w:rPr>
              <w:t>S purchase unit code, removed standard provider monitoring reporting tables. Minor editing.</w:t>
            </w:r>
          </w:p>
        </w:tc>
        <w:tc>
          <w:tcPr>
            <w:tcW w:w="3306" w:type="dxa"/>
            <w:tcBorders>
              <w:top w:val="single" w:sz="6" w:space="0" w:color="auto"/>
              <w:left w:val="single" w:sz="6" w:space="0" w:color="auto"/>
              <w:bottom w:val="single" w:sz="6" w:space="0" w:color="auto"/>
              <w:right w:val="single" w:sz="4" w:space="0" w:color="auto"/>
            </w:tcBorders>
            <w:vAlign w:val="center"/>
          </w:tcPr>
          <w:p w:rsidR="00556AE7" w:rsidRPr="00556AE7" w:rsidRDefault="00E02497" w:rsidP="006719D9">
            <w:pPr>
              <w:spacing w:before="120" w:after="120"/>
              <w:rPr>
                <w:rFonts w:cs="Arial"/>
                <w:sz w:val="28"/>
                <w:szCs w:val="28"/>
              </w:rPr>
            </w:pPr>
            <w:r>
              <w:rPr>
                <w:rFonts w:cs="Arial"/>
                <w:sz w:val="28"/>
                <w:szCs w:val="28"/>
              </w:rPr>
              <w:t>April 2017</w:t>
            </w:r>
          </w:p>
        </w:tc>
      </w:tr>
      <w:tr w:rsidR="00027868" w:rsidRPr="0070584C">
        <w:tc>
          <w:tcPr>
            <w:tcW w:w="6321" w:type="dxa"/>
            <w:gridSpan w:val="2"/>
            <w:tcBorders>
              <w:top w:val="single" w:sz="6" w:space="0" w:color="auto"/>
              <w:left w:val="single" w:sz="4" w:space="0" w:color="auto"/>
              <w:bottom w:val="single" w:sz="6" w:space="0" w:color="auto"/>
              <w:right w:val="single" w:sz="6" w:space="0" w:color="auto"/>
            </w:tcBorders>
            <w:vAlign w:val="center"/>
          </w:tcPr>
          <w:p w:rsidR="00027868" w:rsidRPr="00AD1B22" w:rsidRDefault="00027868" w:rsidP="00027868">
            <w:pPr>
              <w:spacing w:before="120" w:after="120"/>
              <w:rPr>
                <w:rFonts w:cs="Arial"/>
                <w:sz w:val="28"/>
                <w:szCs w:val="28"/>
              </w:rPr>
            </w:pPr>
            <w:bookmarkStart w:id="40" w:name="_Toc215319116"/>
            <w:r w:rsidRPr="00F22E2D">
              <w:rPr>
                <w:rFonts w:cs="Arial"/>
                <w:sz w:val="28"/>
                <w:szCs w:val="28"/>
              </w:rPr>
              <w:t>Consideration for next Service Specification Review</w:t>
            </w:r>
            <w:bookmarkEnd w:id="40"/>
          </w:p>
        </w:tc>
        <w:tc>
          <w:tcPr>
            <w:tcW w:w="3306" w:type="dxa"/>
            <w:tcBorders>
              <w:top w:val="single" w:sz="6" w:space="0" w:color="auto"/>
              <w:left w:val="single" w:sz="6" w:space="0" w:color="auto"/>
              <w:bottom w:val="single" w:sz="6" w:space="0" w:color="auto"/>
              <w:right w:val="single" w:sz="4" w:space="0" w:color="auto"/>
            </w:tcBorders>
            <w:vAlign w:val="center"/>
          </w:tcPr>
          <w:p w:rsidR="00027868" w:rsidRPr="006A2A3E" w:rsidRDefault="00027868" w:rsidP="00230DFB">
            <w:pPr>
              <w:spacing w:before="120" w:after="120"/>
              <w:rPr>
                <w:rFonts w:cs="Arial"/>
                <w:sz w:val="28"/>
                <w:szCs w:val="28"/>
              </w:rPr>
            </w:pPr>
            <w:bookmarkStart w:id="41" w:name="_Toc215319117"/>
            <w:r w:rsidRPr="00AD1B22">
              <w:rPr>
                <w:rFonts w:cs="Arial"/>
                <w:sz w:val="28"/>
                <w:szCs w:val="28"/>
              </w:rPr>
              <w:t xml:space="preserve">Within </w:t>
            </w:r>
            <w:r w:rsidR="00230DFB" w:rsidRPr="006A2A3E">
              <w:rPr>
                <w:rFonts w:cs="Arial"/>
                <w:sz w:val="28"/>
                <w:szCs w:val="28"/>
              </w:rPr>
              <w:t>five</w:t>
            </w:r>
            <w:r w:rsidRPr="006A2A3E">
              <w:rPr>
                <w:rFonts w:cs="Arial"/>
                <w:sz w:val="28"/>
                <w:szCs w:val="28"/>
              </w:rPr>
              <w:t xml:space="preserve"> years</w:t>
            </w:r>
            <w:bookmarkEnd w:id="41"/>
          </w:p>
        </w:tc>
      </w:tr>
    </w:tbl>
    <w:p w:rsidR="00AD1B22" w:rsidRDefault="005B4447" w:rsidP="005B4447">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 w:val="24"/>
          <w:szCs w:val="24"/>
        </w:rPr>
      </w:pPr>
      <w:bookmarkStart w:id="42" w:name="_Toc215319119"/>
      <w:r w:rsidRPr="00F22E2D">
        <w:rPr>
          <w:rFonts w:cs="Arial"/>
          <w:b/>
          <w:sz w:val="24"/>
          <w:szCs w:val="24"/>
        </w:rPr>
        <w:t>Note:</w:t>
      </w:r>
      <w:r w:rsidRPr="00F22E2D">
        <w:rPr>
          <w:rFonts w:cs="Arial"/>
          <w:sz w:val="24"/>
          <w:szCs w:val="24"/>
        </w:rPr>
        <w:t xml:space="preserve"> Contact the Service Specification Programme Manager, </w:t>
      </w:r>
      <w:r w:rsidR="00556AE7">
        <w:rPr>
          <w:rFonts w:cs="Arial"/>
          <w:sz w:val="24"/>
          <w:szCs w:val="24"/>
        </w:rPr>
        <w:t>Service Commissioning</w:t>
      </w:r>
      <w:r w:rsidRPr="00F22E2D">
        <w:rPr>
          <w:rFonts w:cs="Arial"/>
          <w:sz w:val="24"/>
          <w:szCs w:val="24"/>
        </w:rPr>
        <w:t xml:space="preserve">, Ministry of Health to discuss proposed amendments to the service specifications and guidance in developing new or updating and revising existing service specifications. </w:t>
      </w:r>
    </w:p>
    <w:p w:rsidR="005B4447" w:rsidRPr="0070584C" w:rsidRDefault="005B4447" w:rsidP="005B4447">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 w:val="24"/>
          <w:szCs w:val="24"/>
        </w:rPr>
      </w:pPr>
      <w:r w:rsidRPr="00F22E2D">
        <w:rPr>
          <w:rFonts w:cs="Arial"/>
          <w:sz w:val="24"/>
          <w:szCs w:val="24"/>
        </w:rPr>
        <w:t xml:space="preserve">Nationwide Service Framework Library web site </w:t>
      </w:r>
      <w:hyperlink r:id="rId9" w:history="1">
        <w:r w:rsidRPr="00A179CE">
          <w:rPr>
            <w:rStyle w:val="Hyperlink"/>
            <w:rFonts w:cs="Arial"/>
            <w:sz w:val="24"/>
            <w:szCs w:val="24"/>
          </w:rPr>
          <w:t>http://www.nsfl.health.govt.nz</w:t>
        </w:r>
      </w:hyperlink>
    </w:p>
    <w:bookmarkEnd w:id="42"/>
    <w:p w:rsidR="00722043" w:rsidRPr="006A2A3E" w:rsidRDefault="00027868" w:rsidP="00491623">
      <w:pPr>
        <w:pBdr>
          <w:top w:val="single" w:sz="4" w:space="1" w:color="auto"/>
          <w:left w:val="single" w:sz="4" w:space="4" w:color="auto"/>
          <w:bottom w:val="single" w:sz="4" w:space="1" w:color="auto"/>
          <w:right w:val="single" w:sz="4" w:space="4" w:color="auto"/>
        </w:pBdr>
        <w:tabs>
          <w:tab w:val="left" w:pos="-1099"/>
          <w:tab w:val="left" w:pos="-720"/>
          <w:tab w:val="left" w:pos="0"/>
          <w:tab w:val="left" w:pos="567"/>
          <w:tab w:val="left" w:pos="709"/>
          <w:tab w:val="left" w:pos="1080"/>
          <w:tab w:val="left" w:pos="1440"/>
          <w:tab w:val="left" w:pos="1701"/>
          <w:tab w:val="left" w:pos="1800"/>
          <w:tab w:val="left" w:pos="2693"/>
        </w:tabs>
        <w:spacing w:line="240" w:lineRule="exact"/>
        <w:jc w:val="center"/>
        <w:rPr>
          <w:rFonts w:cs="Arial"/>
          <w:b/>
          <w:sz w:val="24"/>
          <w:lang w:val="en-NZ"/>
        </w:rPr>
      </w:pPr>
      <w:r w:rsidRPr="00F22E2D">
        <w:rPr>
          <w:rFonts w:cs="Arial"/>
          <w:sz w:val="20"/>
        </w:rPr>
        <w:br w:type="page"/>
      </w:r>
      <w:bookmarkStart w:id="43" w:name="_Toc215319122"/>
      <w:r w:rsidR="002E2D4A" w:rsidRPr="00F22E2D">
        <w:rPr>
          <w:rFonts w:cs="Arial"/>
          <w:b/>
          <w:sz w:val="24"/>
          <w:lang w:val="en-NZ"/>
        </w:rPr>
        <w:lastRenderedPageBreak/>
        <w:t xml:space="preserve">ADDICTION SERVICES - </w:t>
      </w:r>
      <w:r w:rsidR="003179C0" w:rsidRPr="00F22E2D">
        <w:rPr>
          <w:rFonts w:cs="Arial"/>
          <w:b/>
          <w:sz w:val="24"/>
          <w:lang w:val="en-NZ"/>
        </w:rPr>
        <w:t xml:space="preserve">MANAGED WITHDRAWAL- </w:t>
      </w:r>
      <w:r w:rsidR="00AE6B73" w:rsidRPr="00F22E2D">
        <w:rPr>
          <w:rFonts w:cs="Arial"/>
          <w:b/>
          <w:sz w:val="24"/>
          <w:lang w:val="en-NZ"/>
        </w:rPr>
        <w:t>HOME</w:t>
      </w:r>
      <w:r w:rsidR="006F3EB0" w:rsidRPr="00AD1B22">
        <w:rPr>
          <w:rFonts w:cs="Arial"/>
          <w:b/>
          <w:sz w:val="24"/>
          <w:lang w:val="en-NZ"/>
        </w:rPr>
        <w:t xml:space="preserve"> </w:t>
      </w:r>
      <w:r w:rsidR="00AE6B73" w:rsidRPr="00AD1B22">
        <w:rPr>
          <w:rFonts w:cs="Arial"/>
          <w:b/>
          <w:sz w:val="24"/>
          <w:lang w:val="en-NZ"/>
        </w:rPr>
        <w:t>/</w:t>
      </w:r>
      <w:r w:rsidR="006F3EB0" w:rsidRPr="006A2A3E">
        <w:rPr>
          <w:rFonts w:cs="Arial"/>
          <w:b/>
          <w:sz w:val="24"/>
          <w:lang w:val="en-NZ"/>
        </w:rPr>
        <w:t xml:space="preserve"> </w:t>
      </w:r>
      <w:r w:rsidR="00AE6B73" w:rsidRPr="006A2A3E">
        <w:rPr>
          <w:rFonts w:cs="Arial"/>
          <w:b/>
          <w:sz w:val="24"/>
          <w:lang w:val="en-NZ"/>
        </w:rPr>
        <w:t>COMMUNITY</w:t>
      </w:r>
    </w:p>
    <w:p w:rsidR="002E2D4A" w:rsidRPr="006A2A3E" w:rsidRDefault="002E2D4A" w:rsidP="00491623">
      <w:pPr>
        <w:pBdr>
          <w:top w:val="single" w:sz="4" w:space="1" w:color="auto"/>
          <w:left w:val="single" w:sz="4" w:space="4" w:color="auto"/>
          <w:bottom w:val="single" w:sz="4" w:space="1" w:color="auto"/>
          <w:right w:val="single" w:sz="4" w:space="4" w:color="auto"/>
        </w:pBdr>
        <w:jc w:val="center"/>
        <w:rPr>
          <w:rFonts w:cs="Arial"/>
          <w:b/>
          <w:sz w:val="24"/>
          <w:lang w:val="en-NZ"/>
        </w:rPr>
      </w:pPr>
      <w:r w:rsidRPr="006A2A3E">
        <w:rPr>
          <w:rFonts w:cs="Arial"/>
          <w:b/>
          <w:sz w:val="24"/>
          <w:lang w:val="en-NZ"/>
        </w:rPr>
        <w:t>MENTAL HEALTH AND ADDICTION SERVICES</w:t>
      </w:r>
    </w:p>
    <w:p w:rsidR="00027868" w:rsidRPr="006A2A3E" w:rsidRDefault="00BC11D7" w:rsidP="00491623">
      <w:pPr>
        <w:pBdr>
          <w:top w:val="single" w:sz="4" w:space="1" w:color="auto"/>
          <w:left w:val="single" w:sz="4" w:space="4" w:color="auto"/>
          <w:bottom w:val="single" w:sz="4" w:space="1" w:color="auto"/>
          <w:right w:val="single" w:sz="4" w:space="4" w:color="auto"/>
        </w:pBdr>
        <w:jc w:val="center"/>
        <w:rPr>
          <w:rFonts w:cs="Arial"/>
        </w:rPr>
      </w:pPr>
      <w:r w:rsidRPr="0070584C">
        <w:rPr>
          <w:rFonts w:cs="Arial"/>
          <w:b/>
          <w:sz w:val="24"/>
          <w:szCs w:val="24"/>
        </w:rPr>
        <w:t>TIER THREE</w:t>
      </w:r>
      <w:r w:rsidR="009042EF">
        <w:rPr>
          <w:rFonts w:cs="Arial"/>
          <w:b/>
          <w:sz w:val="24"/>
          <w:szCs w:val="24"/>
        </w:rPr>
        <w:t xml:space="preserve"> </w:t>
      </w:r>
      <w:r w:rsidRPr="00F22E2D">
        <w:rPr>
          <w:rFonts w:cs="Arial"/>
          <w:b/>
          <w:sz w:val="24"/>
          <w:lang w:val="en-NZ"/>
        </w:rPr>
        <w:t>S</w:t>
      </w:r>
      <w:r w:rsidR="00027868" w:rsidRPr="00F22E2D">
        <w:rPr>
          <w:rFonts w:cs="Arial"/>
          <w:b/>
          <w:sz w:val="24"/>
          <w:lang w:val="en-NZ"/>
        </w:rPr>
        <w:t>ERVICE SPECIFICATION</w:t>
      </w:r>
    </w:p>
    <w:bookmarkEnd w:id="43"/>
    <w:p w:rsidR="005B4A5C" w:rsidRPr="0070584C" w:rsidRDefault="003179C0" w:rsidP="00491623">
      <w:pPr>
        <w:pBdr>
          <w:top w:val="single" w:sz="4" w:space="1" w:color="auto"/>
          <w:left w:val="single" w:sz="4" w:space="4" w:color="auto"/>
          <w:bottom w:val="single" w:sz="4" w:space="1" w:color="auto"/>
          <w:right w:val="single" w:sz="4" w:space="4" w:color="auto"/>
        </w:pBdr>
        <w:jc w:val="center"/>
        <w:rPr>
          <w:rFonts w:cs="Arial"/>
          <w:b/>
          <w:sz w:val="24"/>
          <w:szCs w:val="24"/>
        </w:rPr>
      </w:pPr>
      <w:r w:rsidRPr="0070584C">
        <w:rPr>
          <w:rFonts w:cs="Arial"/>
          <w:b/>
          <w:sz w:val="24"/>
          <w:szCs w:val="24"/>
        </w:rPr>
        <w:t>MHD</w:t>
      </w:r>
      <w:r w:rsidR="00AE6B73" w:rsidRPr="0070584C">
        <w:rPr>
          <w:rFonts w:cs="Arial"/>
          <w:b/>
          <w:sz w:val="24"/>
          <w:szCs w:val="24"/>
        </w:rPr>
        <w:t>78, MHD78A, MHD78B, MHD78C, MHD78D</w:t>
      </w:r>
      <w:r w:rsidR="009762A5" w:rsidRPr="0070584C">
        <w:rPr>
          <w:rFonts w:cs="Arial"/>
          <w:b/>
          <w:sz w:val="24"/>
          <w:szCs w:val="24"/>
        </w:rPr>
        <w:t xml:space="preserve">, </w:t>
      </w:r>
      <w:r w:rsidR="00556AE7" w:rsidRPr="0070584C">
        <w:rPr>
          <w:rFonts w:cs="Arial"/>
          <w:b/>
          <w:sz w:val="24"/>
          <w:szCs w:val="24"/>
        </w:rPr>
        <w:t>M</w:t>
      </w:r>
      <w:r w:rsidR="00556AE7">
        <w:rPr>
          <w:rFonts w:cs="Arial"/>
          <w:b/>
          <w:sz w:val="24"/>
          <w:szCs w:val="24"/>
        </w:rPr>
        <w:t>HD78S</w:t>
      </w:r>
    </w:p>
    <w:p w:rsidR="001013E2" w:rsidRPr="0070584C" w:rsidRDefault="00027868" w:rsidP="001013E2">
      <w:pPr>
        <w:spacing w:before="120"/>
        <w:rPr>
          <w:rFonts w:cs="Arial"/>
          <w:sz w:val="24"/>
          <w:szCs w:val="24"/>
        </w:rPr>
      </w:pPr>
      <w:bookmarkStart w:id="44" w:name="_Toc215319123"/>
      <w:r w:rsidRPr="0070584C">
        <w:rPr>
          <w:rFonts w:cs="Arial"/>
          <w:sz w:val="24"/>
          <w:szCs w:val="24"/>
        </w:rPr>
        <w:t>Th</w:t>
      </w:r>
      <w:r w:rsidR="006F3EB0" w:rsidRPr="0070584C">
        <w:rPr>
          <w:rFonts w:cs="Arial"/>
          <w:sz w:val="24"/>
          <w:szCs w:val="24"/>
        </w:rPr>
        <w:t>is</w:t>
      </w:r>
      <w:r w:rsidRPr="0070584C">
        <w:rPr>
          <w:rFonts w:cs="Arial"/>
          <w:sz w:val="24"/>
          <w:szCs w:val="24"/>
        </w:rPr>
        <w:t xml:space="preserve"> tier </w:t>
      </w:r>
      <w:r w:rsidR="00934047" w:rsidRPr="0070584C">
        <w:rPr>
          <w:rFonts w:cs="Arial"/>
          <w:sz w:val="24"/>
          <w:szCs w:val="24"/>
        </w:rPr>
        <w:t>three</w:t>
      </w:r>
      <w:r w:rsidRPr="0070584C">
        <w:rPr>
          <w:rFonts w:cs="Arial"/>
          <w:sz w:val="24"/>
          <w:szCs w:val="24"/>
        </w:rPr>
        <w:t xml:space="preserve"> service specification for </w:t>
      </w:r>
      <w:r w:rsidR="003179C0" w:rsidRPr="0070584C">
        <w:rPr>
          <w:rFonts w:cs="Arial"/>
          <w:sz w:val="24"/>
          <w:szCs w:val="24"/>
        </w:rPr>
        <w:t xml:space="preserve">Managed Withdrawal- </w:t>
      </w:r>
      <w:r w:rsidR="00AE6B73" w:rsidRPr="0070584C">
        <w:rPr>
          <w:rFonts w:cs="Arial"/>
          <w:sz w:val="24"/>
          <w:szCs w:val="24"/>
        </w:rPr>
        <w:t>Home</w:t>
      </w:r>
      <w:r w:rsidR="00C861E2" w:rsidRPr="0070584C">
        <w:rPr>
          <w:rFonts w:cs="Arial"/>
          <w:sz w:val="24"/>
          <w:szCs w:val="24"/>
        </w:rPr>
        <w:t xml:space="preserve"> </w:t>
      </w:r>
      <w:r w:rsidR="00AE6B73" w:rsidRPr="0070584C">
        <w:rPr>
          <w:rFonts w:cs="Arial"/>
          <w:sz w:val="24"/>
          <w:szCs w:val="24"/>
        </w:rPr>
        <w:t>/</w:t>
      </w:r>
      <w:r w:rsidR="00C861E2" w:rsidRPr="0070584C">
        <w:rPr>
          <w:rFonts w:cs="Arial"/>
          <w:sz w:val="24"/>
          <w:szCs w:val="24"/>
        </w:rPr>
        <w:t xml:space="preserve"> </w:t>
      </w:r>
      <w:r w:rsidR="00AE6B73" w:rsidRPr="0070584C">
        <w:rPr>
          <w:rFonts w:cs="Arial"/>
          <w:sz w:val="24"/>
          <w:szCs w:val="24"/>
        </w:rPr>
        <w:t>Community</w:t>
      </w:r>
      <w:r w:rsidR="003179C0" w:rsidRPr="0070584C">
        <w:rPr>
          <w:rFonts w:cs="Arial"/>
          <w:sz w:val="24"/>
          <w:szCs w:val="24"/>
        </w:rPr>
        <w:t xml:space="preserve"> </w:t>
      </w:r>
      <w:r w:rsidR="00E02283" w:rsidRPr="0070584C">
        <w:rPr>
          <w:rFonts w:cs="Arial"/>
          <w:sz w:val="24"/>
          <w:szCs w:val="24"/>
        </w:rPr>
        <w:t xml:space="preserve">Service </w:t>
      </w:r>
      <w:r w:rsidR="005E43C3" w:rsidRPr="0070584C">
        <w:rPr>
          <w:rFonts w:cs="Arial"/>
          <w:sz w:val="24"/>
          <w:szCs w:val="24"/>
        </w:rPr>
        <w:t xml:space="preserve">(the Service) </w:t>
      </w:r>
      <w:bookmarkEnd w:id="44"/>
      <w:r w:rsidR="00420A7B" w:rsidRPr="0070584C">
        <w:rPr>
          <w:rFonts w:cs="Arial"/>
          <w:sz w:val="24"/>
          <w:szCs w:val="24"/>
        </w:rPr>
        <w:t xml:space="preserve">must be </w:t>
      </w:r>
      <w:r w:rsidR="006F3EB0" w:rsidRPr="0070584C">
        <w:rPr>
          <w:rFonts w:cs="Arial"/>
          <w:sz w:val="24"/>
          <w:szCs w:val="24"/>
        </w:rPr>
        <w:t xml:space="preserve">used </w:t>
      </w:r>
      <w:r w:rsidR="00420A7B" w:rsidRPr="0070584C">
        <w:rPr>
          <w:rFonts w:cs="Arial"/>
          <w:sz w:val="24"/>
          <w:szCs w:val="24"/>
        </w:rPr>
        <w:t xml:space="preserve">in conjunction with </w:t>
      </w:r>
      <w:r w:rsidR="001013E2" w:rsidRPr="0070584C">
        <w:rPr>
          <w:rFonts w:cs="Arial"/>
          <w:sz w:val="24"/>
          <w:szCs w:val="24"/>
        </w:rPr>
        <w:t xml:space="preserve">the tier one Mental Health and Addiction Services </w:t>
      </w:r>
      <w:r w:rsidR="00E02497">
        <w:rPr>
          <w:rFonts w:cs="Arial"/>
          <w:sz w:val="24"/>
          <w:szCs w:val="24"/>
        </w:rPr>
        <w:t>and</w:t>
      </w:r>
      <w:r w:rsidR="00E02497" w:rsidRPr="0070584C">
        <w:rPr>
          <w:rFonts w:cs="Arial"/>
          <w:sz w:val="24"/>
          <w:szCs w:val="24"/>
        </w:rPr>
        <w:t xml:space="preserve"> tier two Addiction Services</w:t>
      </w:r>
      <w:r w:rsidR="00E02497">
        <w:rPr>
          <w:rFonts w:cs="Arial"/>
          <w:sz w:val="24"/>
          <w:szCs w:val="24"/>
        </w:rPr>
        <w:t xml:space="preserve"> </w:t>
      </w:r>
      <w:r w:rsidR="001013E2" w:rsidRPr="0070584C">
        <w:rPr>
          <w:rFonts w:cs="Arial"/>
          <w:sz w:val="24"/>
          <w:szCs w:val="24"/>
        </w:rPr>
        <w:t>service specification</w:t>
      </w:r>
      <w:r w:rsidR="00E02497">
        <w:rPr>
          <w:rFonts w:cs="Arial"/>
          <w:sz w:val="24"/>
          <w:szCs w:val="24"/>
        </w:rPr>
        <w:t>s</w:t>
      </w:r>
      <w:r w:rsidR="001013E2" w:rsidRPr="0070584C">
        <w:rPr>
          <w:rFonts w:cs="Arial"/>
          <w:sz w:val="24"/>
          <w:szCs w:val="24"/>
        </w:rPr>
        <w:t>.</w:t>
      </w:r>
    </w:p>
    <w:p w:rsidR="00027868" w:rsidRPr="0070584C" w:rsidRDefault="00027868" w:rsidP="00BC11D7">
      <w:pPr>
        <w:numPr>
          <w:ilvl w:val="0"/>
          <w:numId w:val="2"/>
        </w:numPr>
        <w:tabs>
          <w:tab w:val="clear" w:pos="1080"/>
          <w:tab w:val="num" w:pos="540"/>
          <w:tab w:val="left" w:pos="570"/>
        </w:tabs>
        <w:spacing w:before="240" w:after="120"/>
        <w:ind w:left="540" w:hanging="540"/>
        <w:rPr>
          <w:rFonts w:cs="Arial"/>
          <w:b/>
          <w:sz w:val="24"/>
          <w:szCs w:val="24"/>
        </w:rPr>
      </w:pPr>
      <w:bookmarkStart w:id="45" w:name="_Toc215319135"/>
      <w:r w:rsidRPr="0070584C">
        <w:rPr>
          <w:rFonts w:cs="Arial"/>
          <w:b/>
          <w:sz w:val="24"/>
          <w:szCs w:val="24"/>
        </w:rPr>
        <w:t>Service Definition</w:t>
      </w:r>
      <w:bookmarkEnd w:id="45"/>
    </w:p>
    <w:p w:rsidR="004C4A01" w:rsidRPr="0070584C" w:rsidRDefault="004C4A01" w:rsidP="005E43C3">
      <w:pPr>
        <w:spacing w:before="120"/>
        <w:rPr>
          <w:rFonts w:cs="Arial"/>
          <w:sz w:val="24"/>
          <w:szCs w:val="24"/>
        </w:rPr>
      </w:pPr>
      <w:r w:rsidRPr="0070584C">
        <w:rPr>
          <w:rFonts w:cs="Arial"/>
          <w:sz w:val="24"/>
          <w:szCs w:val="24"/>
        </w:rPr>
        <w:t xml:space="preserve">Community managed withdrawal services are generally provided as </w:t>
      </w:r>
      <w:r w:rsidR="00330968" w:rsidRPr="0070584C">
        <w:rPr>
          <w:rFonts w:cs="Arial"/>
          <w:sz w:val="24"/>
          <w:szCs w:val="24"/>
        </w:rPr>
        <w:t xml:space="preserve">a </w:t>
      </w:r>
      <w:r w:rsidRPr="0070584C">
        <w:rPr>
          <w:rFonts w:cs="Arial"/>
          <w:sz w:val="24"/>
          <w:szCs w:val="24"/>
        </w:rPr>
        <w:t xml:space="preserve">planned intervention, matching the needs of </w:t>
      </w:r>
      <w:r w:rsidR="005E43C3" w:rsidRPr="0070584C">
        <w:rPr>
          <w:rFonts w:cs="Arial"/>
          <w:sz w:val="24"/>
          <w:szCs w:val="24"/>
        </w:rPr>
        <w:t xml:space="preserve">the </w:t>
      </w:r>
      <w:r w:rsidR="00230DFB" w:rsidRPr="0070584C">
        <w:rPr>
          <w:rFonts w:cs="Arial"/>
          <w:sz w:val="24"/>
          <w:szCs w:val="24"/>
        </w:rPr>
        <w:t>Service User</w:t>
      </w:r>
      <w:r w:rsidRPr="0070584C">
        <w:rPr>
          <w:rFonts w:cs="Arial"/>
          <w:sz w:val="24"/>
          <w:szCs w:val="24"/>
        </w:rPr>
        <w:t>s.  Involvement with and or entry to other substance abuse treatment services then usually occurs.</w:t>
      </w:r>
    </w:p>
    <w:p w:rsidR="004C4A01" w:rsidRPr="0070584C" w:rsidRDefault="004C4A01" w:rsidP="005E43C3">
      <w:pPr>
        <w:spacing w:before="120"/>
        <w:rPr>
          <w:rFonts w:cs="Arial"/>
          <w:sz w:val="24"/>
          <w:szCs w:val="24"/>
        </w:rPr>
      </w:pPr>
      <w:r w:rsidRPr="0070584C">
        <w:rPr>
          <w:rFonts w:cs="Arial"/>
          <w:sz w:val="24"/>
          <w:szCs w:val="24"/>
        </w:rPr>
        <w:t xml:space="preserve">The </w:t>
      </w:r>
      <w:r w:rsidR="005E43C3" w:rsidRPr="0070584C">
        <w:rPr>
          <w:rFonts w:cs="Arial"/>
          <w:sz w:val="24"/>
          <w:szCs w:val="24"/>
        </w:rPr>
        <w:t>S</w:t>
      </w:r>
      <w:r w:rsidRPr="0070584C">
        <w:rPr>
          <w:rFonts w:cs="Arial"/>
          <w:sz w:val="24"/>
          <w:szCs w:val="24"/>
        </w:rPr>
        <w:t xml:space="preserve">ervice is available within outpatient and community settings. </w:t>
      </w:r>
    </w:p>
    <w:p w:rsidR="004C4A01" w:rsidRPr="0070584C" w:rsidRDefault="004C4A01" w:rsidP="005E43C3">
      <w:pPr>
        <w:pStyle w:val="BodyTextIndent3"/>
        <w:spacing w:before="120" w:after="0"/>
        <w:ind w:left="0"/>
        <w:rPr>
          <w:rFonts w:ascii="Arial" w:hAnsi="Arial" w:cs="Arial"/>
          <w:sz w:val="24"/>
          <w:szCs w:val="24"/>
          <w:lang w:val="en-NZ"/>
        </w:rPr>
      </w:pPr>
      <w:r w:rsidRPr="0070584C">
        <w:rPr>
          <w:rFonts w:ascii="Arial" w:hAnsi="Arial" w:cs="Arial"/>
          <w:sz w:val="24"/>
          <w:szCs w:val="24"/>
          <w:lang w:val="en-NZ"/>
        </w:rPr>
        <w:t xml:space="preserve">Assessments for managed withdrawal are conducted primarily by community clinicians in accordance with clinical guidelines.  These are developed by the </w:t>
      </w:r>
      <w:r w:rsidR="005E43C3" w:rsidRPr="0070584C">
        <w:rPr>
          <w:rFonts w:ascii="Arial" w:hAnsi="Arial" w:cs="Arial"/>
          <w:sz w:val="24"/>
          <w:szCs w:val="24"/>
          <w:lang w:val="en-NZ"/>
        </w:rPr>
        <w:t>S</w:t>
      </w:r>
      <w:r w:rsidRPr="0070584C">
        <w:rPr>
          <w:rFonts w:ascii="Arial" w:hAnsi="Arial" w:cs="Arial"/>
          <w:sz w:val="24"/>
          <w:szCs w:val="24"/>
          <w:lang w:val="en-NZ"/>
        </w:rPr>
        <w:t>ervice and subjected to peer review.</w:t>
      </w:r>
    </w:p>
    <w:p w:rsidR="004C4A01" w:rsidRPr="0070584C" w:rsidRDefault="004C4A01" w:rsidP="005E43C3">
      <w:pPr>
        <w:spacing w:before="120"/>
        <w:rPr>
          <w:rFonts w:cs="Arial"/>
          <w:sz w:val="24"/>
          <w:szCs w:val="24"/>
        </w:rPr>
      </w:pPr>
      <w:r w:rsidRPr="0070584C">
        <w:rPr>
          <w:rFonts w:cs="Arial"/>
          <w:sz w:val="24"/>
          <w:szCs w:val="24"/>
        </w:rPr>
        <w:t xml:space="preserve">These </w:t>
      </w:r>
      <w:r w:rsidR="000A5220" w:rsidRPr="0070584C">
        <w:rPr>
          <w:rFonts w:cs="Arial"/>
          <w:sz w:val="24"/>
          <w:szCs w:val="24"/>
        </w:rPr>
        <w:t>S</w:t>
      </w:r>
      <w:r w:rsidRPr="0070584C">
        <w:rPr>
          <w:rFonts w:cs="Arial"/>
          <w:sz w:val="24"/>
          <w:szCs w:val="24"/>
        </w:rPr>
        <w:t>ervices will:</w:t>
      </w:r>
    </w:p>
    <w:p w:rsidR="004C4A01" w:rsidRPr="0070584C" w:rsidRDefault="004C4A01" w:rsidP="005E43C3">
      <w:pPr>
        <w:widowControl w:val="0"/>
        <w:numPr>
          <w:ilvl w:val="0"/>
          <w:numId w:val="41"/>
        </w:numPr>
        <w:spacing w:before="120"/>
        <w:rPr>
          <w:rFonts w:cs="Arial"/>
          <w:sz w:val="24"/>
          <w:szCs w:val="24"/>
        </w:rPr>
      </w:pPr>
      <w:r w:rsidRPr="0070584C">
        <w:rPr>
          <w:rFonts w:cs="Arial"/>
          <w:sz w:val="24"/>
          <w:szCs w:val="24"/>
        </w:rPr>
        <w:t>perform the assessment</w:t>
      </w:r>
    </w:p>
    <w:p w:rsidR="004C4A01" w:rsidRPr="0070584C" w:rsidRDefault="004C4A01" w:rsidP="005E43C3">
      <w:pPr>
        <w:widowControl w:val="0"/>
        <w:numPr>
          <w:ilvl w:val="0"/>
          <w:numId w:val="41"/>
        </w:numPr>
        <w:spacing w:before="120"/>
        <w:rPr>
          <w:rFonts w:cs="Arial"/>
          <w:sz w:val="24"/>
          <w:szCs w:val="24"/>
        </w:rPr>
      </w:pPr>
      <w:r w:rsidRPr="0070584C">
        <w:rPr>
          <w:rFonts w:cs="Arial"/>
          <w:sz w:val="24"/>
          <w:szCs w:val="24"/>
        </w:rPr>
        <w:t>facilitate access to any medical, nursing and/or general mental health service input required</w:t>
      </w:r>
    </w:p>
    <w:p w:rsidR="004C4A01" w:rsidRPr="0070584C" w:rsidRDefault="004C4A01" w:rsidP="00E9356D">
      <w:pPr>
        <w:widowControl w:val="0"/>
        <w:numPr>
          <w:ilvl w:val="0"/>
          <w:numId w:val="41"/>
        </w:numPr>
        <w:spacing w:before="240"/>
        <w:rPr>
          <w:rFonts w:cs="Arial"/>
          <w:sz w:val="24"/>
          <w:szCs w:val="24"/>
        </w:rPr>
      </w:pPr>
      <w:r w:rsidRPr="0070584C">
        <w:rPr>
          <w:rFonts w:cs="Arial"/>
          <w:sz w:val="24"/>
          <w:szCs w:val="24"/>
        </w:rPr>
        <w:t xml:space="preserve">refer and arrange admission to the appropriate level of managed withdrawal service (see also </w:t>
      </w:r>
      <w:r w:rsidR="00774C30" w:rsidRPr="0070584C">
        <w:rPr>
          <w:rFonts w:cs="Arial"/>
          <w:sz w:val="24"/>
          <w:szCs w:val="24"/>
        </w:rPr>
        <w:t>Managed Withdrawal - Inpatient</w:t>
      </w:r>
      <w:r w:rsidR="008A09CD" w:rsidRPr="0070584C">
        <w:rPr>
          <w:rFonts w:cs="Arial"/>
          <w:sz w:val="24"/>
          <w:szCs w:val="24"/>
        </w:rPr>
        <w:t xml:space="preserve"> Services service specification</w:t>
      </w:r>
      <w:r w:rsidRPr="0070584C">
        <w:rPr>
          <w:rFonts w:cs="Arial"/>
          <w:sz w:val="24"/>
          <w:szCs w:val="24"/>
        </w:rPr>
        <w:t>, or to any other treatment services</w:t>
      </w:r>
      <w:r w:rsidR="00E9356D" w:rsidRPr="0070584C">
        <w:rPr>
          <w:rFonts w:cs="Arial"/>
          <w:sz w:val="24"/>
          <w:szCs w:val="24"/>
        </w:rPr>
        <w:t>)</w:t>
      </w:r>
    </w:p>
    <w:p w:rsidR="004C4A01" w:rsidRPr="0070584C" w:rsidRDefault="004C4A01" w:rsidP="005E43C3">
      <w:pPr>
        <w:widowControl w:val="0"/>
        <w:numPr>
          <w:ilvl w:val="0"/>
          <w:numId w:val="41"/>
        </w:numPr>
        <w:spacing w:before="120"/>
        <w:rPr>
          <w:rFonts w:cs="Arial"/>
          <w:sz w:val="24"/>
          <w:szCs w:val="24"/>
        </w:rPr>
      </w:pPr>
      <w:r w:rsidRPr="0070584C">
        <w:rPr>
          <w:rFonts w:cs="Arial"/>
          <w:sz w:val="24"/>
          <w:szCs w:val="24"/>
        </w:rPr>
        <w:t>provide mobile home managed withdrawal</w:t>
      </w:r>
      <w:r w:rsidR="00774C30" w:rsidRPr="0070584C">
        <w:rPr>
          <w:rFonts w:cs="Arial"/>
          <w:sz w:val="24"/>
          <w:szCs w:val="24"/>
        </w:rPr>
        <w:t xml:space="preserve"> service or provide a community based managed withdrawal service (that is non-hospital 24-hour supervised care setting in the community)</w:t>
      </w:r>
    </w:p>
    <w:p w:rsidR="004C4A01" w:rsidRPr="0070584C" w:rsidRDefault="004C4A01" w:rsidP="005E43C3">
      <w:pPr>
        <w:widowControl w:val="0"/>
        <w:numPr>
          <w:ilvl w:val="0"/>
          <w:numId w:val="41"/>
        </w:numPr>
        <w:spacing w:before="120"/>
        <w:rPr>
          <w:rFonts w:cs="Arial"/>
          <w:sz w:val="24"/>
          <w:szCs w:val="24"/>
        </w:rPr>
      </w:pPr>
      <w:r w:rsidRPr="0070584C">
        <w:rPr>
          <w:rFonts w:cs="Arial"/>
          <w:sz w:val="24"/>
          <w:szCs w:val="24"/>
        </w:rPr>
        <w:t>liaise with approved referrers regarding referral to community based alcohol a</w:t>
      </w:r>
      <w:r w:rsidR="00774C30" w:rsidRPr="0070584C">
        <w:rPr>
          <w:rFonts w:cs="Arial"/>
          <w:sz w:val="24"/>
          <w:szCs w:val="24"/>
        </w:rPr>
        <w:t>nd other drug treatment and</w:t>
      </w:r>
      <w:r w:rsidR="006F3EB0" w:rsidRPr="0070584C">
        <w:rPr>
          <w:rFonts w:cs="Arial"/>
          <w:sz w:val="24"/>
          <w:szCs w:val="24"/>
        </w:rPr>
        <w:t xml:space="preserve"> </w:t>
      </w:r>
      <w:r w:rsidR="00774C30" w:rsidRPr="0070584C">
        <w:rPr>
          <w:rFonts w:cs="Arial"/>
          <w:sz w:val="24"/>
          <w:szCs w:val="24"/>
        </w:rPr>
        <w:t xml:space="preserve">or </w:t>
      </w:r>
      <w:r w:rsidRPr="0070584C">
        <w:rPr>
          <w:rFonts w:cs="Arial"/>
          <w:sz w:val="24"/>
          <w:szCs w:val="24"/>
        </w:rPr>
        <w:t xml:space="preserve"> managed withdrawal</w:t>
      </w:r>
    </w:p>
    <w:p w:rsidR="00774C30" w:rsidRPr="0070584C" w:rsidRDefault="00774C30" w:rsidP="005E43C3">
      <w:pPr>
        <w:widowControl w:val="0"/>
        <w:numPr>
          <w:ilvl w:val="0"/>
          <w:numId w:val="41"/>
        </w:numPr>
        <w:spacing w:before="120"/>
        <w:rPr>
          <w:rFonts w:cs="Arial"/>
          <w:sz w:val="24"/>
          <w:szCs w:val="24"/>
        </w:rPr>
      </w:pPr>
      <w:r w:rsidRPr="0070584C">
        <w:rPr>
          <w:rFonts w:cs="Arial"/>
          <w:sz w:val="24"/>
          <w:szCs w:val="24"/>
        </w:rPr>
        <w:t>facilitate access to medical, nursing or other mental health services as required</w:t>
      </w:r>
    </w:p>
    <w:p w:rsidR="004C4A01" w:rsidRPr="0070584C" w:rsidRDefault="004C4A01" w:rsidP="005E43C3">
      <w:pPr>
        <w:widowControl w:val="0"/>
        <w:numPr>
          <w:ilvl w:val="0"/>
          <w:numId w:val="41"/>
        </w:numPr>
        <w:spacing w:before="120"/>
        <w:rPr>
          <w:rFonts w:cs="Arial"/>
          <w:sz w:val="24"/>
          <w:szCs w:val="24"/>
        </w:rPr>
      </w:pPr>
      <w:r w:rsidRPr="0070584C">
        <w:rPr>
          <w:rFonts w:cs="Arial"/>
          <w:sz w:val="24"/>
          <w:szCs w:val="24"/>
        </w:rPr>
        <w:t>provide consultation</w:t>
      </w:r>
      <w:r w:rsidR="006F3EB0" w:rsidRPr="0070584C">
        <w:rPr>
          <w:rFonts w:cs="Arial"/>
          <w:sz w:val="24"/>
          <w:szCs w:val="24"/>
        </w:rPr>
        <w:t xml:space="preserve"> and or </w:t>
      </w:r>
      <w:r w:rsidRPr="0070584C">
        <w:rPr>
          <w:rFonts w:cs="Arial"/>
          <w:sz w:val="24"/>
          <w:szCs w:val="24"/>
        </w:rPr>
        <w:t>liaison to primary care workers and other health and social service workers</w:t>
      </w:r>
    </w:p>
    <w:p w:rsidR="00774C30" w:rsidRPr="0070584C" w:rsidRDefault="00BC11D7" w:rsidP="005E43C3">
      <w:pPr>
        <w:numPr>
          <w:ilvl w:val="0"/>
          <w:numId w:val="41"/>
        </w:numPr>
        <w:tabs>
          <w:tab w:val="left" w:pos="-3889"/>
          <w:tab w:val="left" w:pos="-3510"/>
          <w:tab w:val="left" w:pos="-2790"/>
          <w:tab w:val="left" w:pos="-2070"/>
          <w:tab w:val="left" w:pos="-1710"/>
          <w:tab w:val="left" w:pos="-1350"/>
          <w:tab w:val="left" w:pos="-990"/>
          <w:tab w:val="left" w:pos="-630"/>
          <w:tab w:val="left" w:pos="0"/>
          <w:tab w:val="left" w:pos="90"/>
          <w:tab w:val="left" w:pos="567"/>
          <w:tab w:val="left" w:pos="810"/>
          <w:tab w:val="left" w:pos="1134"/>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rPr>
          <w:rFonts w:cs="Arial"/>
          <w:sz w:val="24"/>
          <w:szCs w:val="24"/>
        </w:rPr>
      </w:pPr>
      <w:r w:rsidRPr="0070584C">
        <w:rPr>
          <w:rFonts w:cs="Arial"/>
          <w:sz w:val="24"/>
          <w:szCs w:val="24"/>
        </w:rPr>
        <w:t>m</w:t>
      </w:r>
      <w:r w:rsidR="00774C30" w:rsidRPr="0070584C">
        <w:rPr>
          <w:rFonts w:cs="Arial"/>
          <w:sz w:val="24"/>
          <w:szCs w:val="24"/>
        </w:rPr>
        <w:t xml:space="preserve">edication may or may not be required to assist the </w:t>
      </w:r>
      <w:r w:rsidR="00330968" w:rsidRPr="0070584C">
        <w:rPr>
          <w:rFonts w:cs="Arial"/>
          <w:sz w:val="24"/>
          <w:szCs w:val="24"/>
        </w:rPr>
        <w:t>managed withdrawal</w:t>
      </w:r>
      <w:r w:rsidR="00774C30" w:rsidRPr="0070584C">
        <w:rPr>
          <w:rFonts w:cs="Arial"/>
          <w:sz w:val="24"/>
          <w:szCs w:val="24"/>
        </w:rPr>
        <w:t xml:space="preserve"> process</w:t>
      </w:r>
    </w:p>
    <w:p w:rsidR="004C4A01" w:rsidRPr="006A2A3E" w:rsidRDefault="004C4A01" w:rsidP="005E43C3">
      <w:pPr>
        <w:numPr>
          <w:ilvl w:val="0"/>
          <w:numId w:val="43"/>
        </w:numPr>
        <w:tabs>
          <w:tab w:val="clear" w:pos="720"/>
          <w:tab w:val="num" w:pos="540"/>
        </w:tabs>
        <w:spacing w:before="120"/>
        <w:ind w:left="540" w:hanging="540"/>
        <w:rPr>
          <w:rFonts w:cs="Arial"/>
          <w:sz w:val="24"/>
          <w:szCs w:val="24"/>
        </w:rPr>
      </w:pPr>
      <w:r w:rsidRPr="00F22E2D">
        <w:rPr>
          <w:rFonts w:cs="Arial"/>
          <w:sz w:val="24"/>
          <w:szCs w:val="24"/>
        </w:rPr>
        <w:t xml:space="preserve">ensure the </w:t>
      </w:r>
      <w:r w:rsidR="00230DFB" w:rsidRPr="00AD1B22">
        <w:rPr>
          <w:rFonts w:cs="Arial"/>
          <w:sz w:val="24"/>
          <w:szCs w:val="24"/>
        </w:rPr>
        <w:t>Service User</w:t>
      </w:r>
      <w:r w:rsidRPr="00AD1B22">
        <w:rPr>
          <w:rFonts w:cs="Arial"/>
          <w:sz w:val="24"/>
          <w:szCs w:val="24"/>
        </w:rPr>
        <w:t xml:space="preserve"> is linked into services to help support and maintain their recovery.</w:t>
      </w:r>
    </w:p>
    <w:p w:rsidR="004C4A01" w:rsidRPr="0070584C" w:rsidRDefault="004C4A01" w:rsidP="005E43C3">
      <w:pPr>
        <w:tabs>
          <w:tab w:val="left" w:pos="-3889"/>
          <w:tab w:val="left" w:pos="-3510"/>
          <w:tab w:val="left" w:pos="-2790"/>
          <w:tab w:val="left" w:pos="-2070"/>
          <w:tab w:val="left" w:pos="-1710"/>
          <w:tab w:val="left" w:pos="-1350"/>
          <w:tab w:val="left" w:pos="-990"/>
          <w:tab w:val="left" w:pos="-630"/>
          <w:tab w:val="left" w:pos="-18"/>
          <w:tab w:val="left" w:pos="90"/>
          <w:tab w:val="left" w:pos="567"/>
          <w:tab w:val="left" w:pos="810"/>
          <w:tab w:val="left" w:pos="1134"/>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ind w:left="74" w:firstLine="17"/>
        <w:rPr>
          <w:rFonts w:cs="Arial"/>
          <w:sz w:val="24"/>
          <w:szCs w:val="24"/>
        </w:rPr>
      </w:pPr>
      <w:r w:rsidRPr="0070584C">
        <w:rPr>
          <w:rFonts w:cs="Arial"/>
          <w:sz w:val="24"/>
          <w:szCs w:val="24"/>
        </w:rPr>
        <w:t>Wherever possible, managed withdrawal will form part of a negotiated treatment plan, rather than as an emergency service.</w:t>
      </w:r>
    </w:p>
    <w:p w:rsidR="004C4A01" w:rsidRPr="0070584C" w:rsidRDefault="004C4A01" w:rsidP="005E43C3">
      <w:pPr>
        <w:tabs>
          <w:tab w:val="left" w:pos="-3889"/>
          <w:tab w:val="left" w:pos="-3510"/>
          <w:tab w:val="left" w:pos="-2790"/>
          <w:tab w:val="left" w:pos="-2070"/>
          <w:tab w:val="left" w:pos="-1710"/>
          <w:tab w:val="left" w:pos="-1350"/>
          <w:tab w:val="left" w:pos="-990"/>
          <w:tab w:val="left" w:pos="-630"/>
          <w:tab w:val="left" w:pos="90"/>
          <w:tab w:val="left" w:pos="330"/>
          <w:tab w:val="left" w:pos="567"/>
          <w:tab w:val="left" w:pos="810"/>
          <w:tab w:val="left" w:pos="1134"/>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ind w:left="91"/>
        <w:rPr>
          <w:rFonts w:cs="Arial"/>
          <w:sz w:val="24"/>
          <w:szCs w:val="24"/>
        </w:rPr>
      </w:pPr>
      <w:r w:rsidRPr="0070584C">
        <w:rPr>
          <w:rFonts w:cs="Arial"/>
          <w:sz w:val="24"/>
          <w:szCs w:val="24"/>
        </w:rPr>
        <w:t>For crisis</w:t>
      </w:r>
      <w:r w:rsidR="006F3EB0" w:rsidRPr="0070584C">
        <w:rPr>
          <w:rFonts w:cs="Arial"/>
          <w:sz w:val="24"/>
          <w:szCs w:val="24"/>
        </w:rPr>
        <w:t xml:space="preserve"> and or </w:t>
      </w:r>
      <w:r w:rsidRPr="0070584C">
        <w:rPr>
          <w:rFonts w:cs="Arial"/>
          <w:sz w:val="24"/>
          <w:szCs w:val="24"/>
        </w:rPr>
        <w:t>acute cases in some centres, generic community alcohol and other drug services (including Kaupapa M</w:t>
      </w:r>
      <w:r w:rsidR="006F3EB0" w:rsidRPr="0070584C">
        <w:rPr>
          <w:rFonts w:cs="Arial"/>
          <w:sz w:val="24"/>
          <w:szCs w:val="24"/>
        </w:rPr>
        <w:t>ā</w:t>
      </w:r>
      <w:r w:rsidRPr="0070584C">
        <w:rPr>
          <w:rFonts w:cs="Arial"/>
          <w:sz w:val="24"/>
          <w:szCs w:val="24"/>
        </w:rPr>
        <w:t xml:space="preserve">ori Mental Health Services) may refer to </w:t>
      </w:r>
      <w:r w:rsidR="001A517B" w:rsidRPr="0070584C">
        <w:rPr>
          <w:rFonts w:cs="Arial"/>
          <w:sz w:val="24"/>
          <w:szCs w:val="24"/>
        </w:rPr>
        <w:t xml:space="preserve">emergency </w:t>
      </w:r>
      <w:r w:rsidRPr="0070584C">
        <w:rPr>
          <w:rFonts w:cs="Arial"/>
          <w:sz w:val="24"/>
          <w:szCs w:val="24"/>
        </w:rPr>
        <w:t>services, the persons</w:t>
      </w:r>
      <w:r w:rsidR="006F3EB0" w:rsidRPr="0070584C">
        <w:rPr>
          <w:rFonts w:cs="Arial"/>
          <w:sz w:val="24"/>
          <w:szCs w:val="24"/>
        </w:rPr>
        <w:t>’</w:t>
      </w:r>
      <w:r w:rsidRPr="0070584C">
        <w:rPr>
          <w:rFonts w:cs="Arial"/>
          <w:sz w:val="24"/>
          <w:szCs w:val="24"/>
        </w:rPr>
        <w:t xml:space="preserve"> </w:t>
      </w:r>
      <w:r w:rsidR="006F3EB0" w:rsidRPr="0070584C">
        <w:rPr>
          <w:rFonts w:cs="Arial"/>
          <w:sz w:val="24"/>
          <w:szCs w:val="24"/>
        </w:rPr>
        <w:t>G</w:t>
      </w:r>
      <w:r w:rsidRPr="0070584C">
        <w:rPr>
          <w:rFonts w:cs="Arial"/>
          <w:sz w:val="24"/>
          <w:szCs w:val="24"/>
        </w:rPr>
        <w:t xml:space="preserve">eneral </w:t>
      </w:r>
      <w:r w:rsidR="006F3EB0" w:rsidRPr="0070584C">
        <w:rPr>
          <w:rFonts w:cs="Arial"/>
          <w:sz w:val="24"/>
          <w:szCs w:val="24"/>
        </w:rPr>
        <w:t>P</w:t>
      </w:r>
      <w:r w:rsidRPr="0070584C">
        <w:rPr>
          <w:rFonts w:cs="Arial"/>
          <w:sz w:val="24"/>
          <w:szCs w:val="24"/>
        </w:rPr>
        <w:t xml:space="preserve">ractitioner or </w:t>
      </w:r>
      <w:r w:rsidR="006F3EB0" w:rsidRPr="0070584C">
        <w:rPr>
          <w:rFonts w:cs="Arial"/>
          <w:sz w:val="24"/>
          <w:szCs w:val="24"/>
        </w:rPr>
        <w:t xml:space="preserve">to </w:t>
      </w:r>
      <w:r w:rsidRPr="0070584C">
        <w:rPr>
          <w:rFonts w:cs="Arial"/>
          <w:sz w:val="24"/>
          <w:szCs w:val="24"/>
        </w:rPr>
        <w:t xml:space="preserve">specialist inpatient </w:t>
      </w:r>
      <w:r w:rsidR="00774C30" w:rsidRPr="0070584C">
        <w:rPr>
          <w:rFonts w:cs="Arial"/>
          <w:sz w:val="24"/>
          <w:szCs w:val="24"/>
        </w:rPr>
        <w:t>managed withdrawal</w:t>
      </w:r>
      <w:r w:rsidRPr="0070584C">
        <w:rPr>
          <w:rFonts w:cs="Arial"/>
          <w:sz w:val="24"/>
          <w:szCs w:val="24"/>
        </w:rPr>
        <w:t xml:space="preserve"> services.  Such arrangements should be in accordance with pre-established referral protocols.</w:t>
      </w:r>
    </w:p>
    <w:p w:rsidR="00774C30" w:rsidRPr="0070584C" w:rsidRDefault="00774C30" w:rsidP="006F3EB0">
      <w:pPr>
        <w:tabs>
          <w:tab w:val="left" w:pos="-1099"/>
          <w:tab w:val="left" w:pos="-720"/>
          <w:tab w:val="left" w:pos="180"/>
          <w:tab w:val="left" w:pos="567"/>
          <w:tab w:val="left" w:pos="720"/>
          <w:tab w:val="left" w:pos="1080"/>
          <w:tab w:val="left" w:pos="1134"/>
          <w:tab w:val="left" w:pos="1440"/>
          <w:tab w:val="left" w:pos="1800"/>
        </w:tabs>
        <w:spacing w:before="120"/>
        <w:ind w:left="91"/>
        <w:rPr>
          <w:rFonts w:cs="Arial"/>
          <w:sz w:val="24"/>
          <w:szCs w:val="24"/>
        </w:rPr>
      </w:pPr>
      <w:r w:rsidRPr="0070584C">
        <w:rPr>
          <w:rFonts w:cs="Arial"/>
          <w:sz w:val="24"/>
          <w:szCs w:val="24"/>
        </w:rPr>
        <w:lastRenderedPageBreak/>
        <w:t xml:space="preserve">Upon discharge, attention will be paid to ensure the </w:t>
      </w:r>
      <w:r w:rsidR="00230DFB" w:rsidRPr="0070584C">
        <w:rPr>
          <w:rFonts w:cs="Arial"/>
          <w:sz w:val="24"/>
          <w:szCs w:val="24"/>
        </w:rPr>
        <w:t>Service User</w:t>
      </w:r>
      <w:r w:rsidRPr="0070584C">
        <w:rPr>
          <w:rFonts w:cs="Arial"/>
          <w:sz w:val="24"/>
          <w:szCs w:val="24"/>
        </w:rPr>
        <w:t xml:space="preserve"> is linked into services to help support and maintain their recovery.</w:t>
      </w:r>
    </w:p>
    <w:p w:rsidR="00027868" w:rsidRPr="0070584C" w:rsidRDefault="00027868" w:rsidP="00AF0B08">
      <w:pPr>
        <w:numPr>
          <w:ilvl w:val="0"/>
          <w:numId w:val="2"/>
        </w:numPr>
        <w:tabs>
          <w:tab w:val="clear" w:pos="1080"/>
          <w:tab w:val="num" w:pos="570"/>
        </w:tabs>
        <w:spacing w:before="240" w:after="120"/>
        <w:ind w:left="0" w:firstLine="0"/>
        <w:rPr>
          <w:rFonts w:cs="Arial"/>
          <w:b/>
          <w:sz w:val="24"/>
          <w:szCs w:val="24"/>
        </w:rPr>
      </w:pPr>
      <w:bookmarkStart w:id="46" w:name="_Toc215319136"/>
      <w:r w:rsidRPr="0070584C">
        <w:rPr>
          <w:rFonts w:cs="Arial"/>
          <w:b/>
          <w:sz w:val="24"/>
          <w:szCs w:val="24"/>
        </w:rPr>
        <w:t>Service Objectives</w:t>
      </w:r>
      <w:bookmarkEnd w:id="46"/>
    </w:p>
    <w:p w:rsidR="004C4A01" w:rsidRPr="0070584C" w:rsidRDefault="004C4A01" w:rsidP="004C4A01">
      <w:pPr>
        <w:rPr>
          <w:rFonts w:cs="Arial"/>
          <w:sz w:val="24"/>
          <w:szCs w:val="24"/>
        </w:rPr>
      </w:pPr>
      <w:r w:rsidRPr="0070584C">
        <w:rPr>
          <w:rFonts w:cs="Arial"/>
          <w:sz w:val="24"/>
          <w:szCs w:val="24"/>
        </w:rPr>
        <w:t>To provide programmes that</w:t>
      </w:r>
      <w:r w:rsidR="00E9356D" w:rsidRPr="0070584C">
        <w:rPr>
          <w:rFonts w:cs="Arial"/>
          <w:sz w:val="24"/>
          <w:szCs w:val="24"/>
        </w:rPr>
        <w:t xml:space="preserve"> </w:t>
      </w:r>
      <w:r w:rsidRPr="0070584C">
        <w:rPr>
          <w:rFonts w:cs="Arial"/>
          <w:sz w:val="24"/>
          <w:szCs w:val="24"/>
        </w:rPr>
        <w:t xml:space="preserve">support a controlled and safe withdrawal from alcohol and other drugs.  The programmes will acknowledge and work with </w:t>
      </w:r>
      <w:r w:rsidR="00E9356D" w:rsidRPr="0070584C">
        <w:rPr>
          <w:rFonts w:cs="Arial"/>
          <w:sz w:val="24"/>
          <w:szCs w:val="24"/>
        </w:rPr>
        <w:t xml:space="preserve">people who experience </w:t>
      </w:r>
      <w:r w:rsidRPr="0070584C">
        <w:rPr>
          <w:rFonts w:cs="Arial"/>
          <w:sz w:val="24"/>
          <w:szCs w:val="24"/>
        </w:rPr>
        <w:t>co-existing mental health problems.</w:t>
      </w:r>
    </w:p>
    <w:p w:rsidR="00027868" w:rsidRPr="0070584C" w:rsidRDefault="00027868" w:rsidP="00AF0B08">
      <w:pPr>
        <w:numPr>
          <w:ilvl w:val="1"/>
          <w:numId w:val="44"/>
        </w:numPr>
        <w:spacing w:before="120"/>
        <w:rPr>
          <w:rFonts w:cs="Arial"/>
          <w:b/>
          <w:sz w:val="24"/>
          <w:szCs w:val="24"/>
        </w:rPr>
      </w:pPr>
      <w:bookmarkStart w:id="47" w:name="_Toc215319138"/>
      <w:r w:rsidRPr="0070584C">
        <w:rPr>
          <w:rFonts w:cs="Arial"/>
          <w:b/>
          <w:sz w:val="24"/>
          <w:szCs w:val="24"/>
        </w:rPr>
        <w:t>M</w:t>
      </w:r>
      <w:r w:rsidRPr="00F22E2D">
        <w:rPr>
          <w:rFonts w:cs="Arial"/>
          <w:b/>
          <w:bCs/>
        </w:rPr>
        <w:t>ā</w:t>
      </w:r>
      <w:r w:rsidRPr="0070584C">
        <w:rPr>
          <w:rFonts w:cs="Arial"/>
          <w:b/>
          <w:sz w:val="24"/>
          <w:szCs w:val="24"/>
        </w:rPr>
        <w:t>ori Health</w:t>
      </w:r>
      <w:bookmarkEnd w:id="47"/>
    </w:p>
    <w:p w:rsidR="001013E2" w:rsidRPr="0070584C" w:rsidRDefault="001013E2" w:rsidP="001013E2">
      <w:pPr>
        <w:spacing w:before="120"/>
        <w:rPr>
          <w:rFonts w:cs="Arial"/>
          <w:sz w:val="24"/>
          <w:szCs w:val="24"/>
        </w:rPr>
      </w:pPr>
      <w:r w:rsidRPr="0070584C">
        <w:rPr>
          <w:rFonts w:cs="Arial"/>
          <w:sz w:val="24"/>
          <w:szCs w:val="24"/>
        </w:rPr>
        <w:t>Refer to the tier one Mental Health and Addiction Services service specification.</w:t>
      </w:r>
    </w:p>
    <w:p w:rsidR="00027868" w:rsidRPr="0070584C" w:rsidRDefault="00027868" w:rsidP="00027868">
      <w:pPr>
        <w:tabs>
          <w:tab w:val="left" w:pos="570"/>
        </w:tabs>
        <w:spacing w:before="240" w:after="120"/>
        <w:rPr>
          <w:rFonts w:cs="Arial"/>
          <w:b/>
          <w:sz w:val="24"/>
          <w:szCs w:val="24"/>
        </w:rPr>
      </w:pPr>
      <w:bookmarkStart w:id="48" w:name="_Toc215319140"/>
      <w:r w:rsidRPr="0070584C">
        <w:rPr>
          <w:rFonts w:cs="Arial"/>
          <w:b/>
          <w:sz w:val="24"/>
          <w:szCs w:val="24"/>
        </w:rPr>
        <w:t>3.</w:t>
      </w:r>
      <w:r w:rsidRPr="0070584C">
        <w:rPr>
          <w:rFonts w:cs="Arial"/>
          <w:b/>
          <w:sz w:val="24"/>
          <w:szCs w:val="24"/>
        </w:rPr>
        <w:tab/>
      </w:r>
      <w:r w:rsidR="00230DFB" w:rsidRPr="0070584C">
        <w:rPr>
          <w:rFonts w:cs="Arial"/>
          <w:b/>
          <w:sz w:val="24"/>
          <w:szCs w:val="24"/>
        </w:rPr>
        <w:t>Service User</w:t>
      </w:r>
      <w:r w:rsidRPr="0070584C">
        <w:rPr>
          <w:rFonts w:cs="Arial"/>
          <w:b/>
          <w:sz w:val="24"/>
          <w:szCs w:val="24"/>
        </w:rPr>
        <w:t>s</w:t>
      </w:r>
      <w:bookmarkEnd w:id="48"/>
    </w:p>
    <w:p w:rsidR="001013E2" w:rsidRPr="0070584C" w:rsidRDefault="001013E2" w:rsidP="001013E2">
      <w:pPr>
        <w:spacing w:before="120"/>
        <w:rPr>
          <w:rFonts w:cs="Arial"/>
          <w:sz w:val="24"/>
          <w:szCs w:val="24"/>
        </w:rPr>
      </w:pPr>
      <w:r w:rsidRPr="0070584C">
        <w:rPr>
          <w:rFonts w:cs="Arial"/>
          <w:sz w:val="24"/>
          <w:szCs w:val="24"/>
        </w:rPr>
        <w:t>Refer to the tier one Mental Health and Addiction Services service specification.</w:t>
      </w:r>
    </w:p>
    <w:p w:rsidR="00027868" w:rsidRPr="0070584C" w:rsidRDefault="00027868" w:rsidP="001013E2">
      <w:pPr>
        <w:spacing w:before="120"/>
        <w:rPr>
          <w:rFonts w:cs="Arial"/>
          <w:b/>
          <w:sz w:val="24"/>
          <w:szCs w:val="24"/>
        </w:rPr>
      </w:pPr>
      <w:bookmarkStart w:id="49" w:name="_Toc215319141"/>
      <w:r w:rsidRPr="0070584C">
        <w:rPr>
          <w:rFonts w:cs="Arial"/>
          <w:b/>
          <w:sz w:val="24"/>
          <w:szCs w:val="24"/>
        </w:rPr>
        <w:t>4.</w:t>
      </w:r>
      <w:r w:rsidRPr="0070584C">
        <w:rPr>
          <w:rFonts w:cs="Arial"/>
          <w:b/>
          <w:sz w:val="24"/>
          <w:szCs w:val="24"/>
        </w:rPr>
        <w:tab/>
        <w:t>Access</w:t>
      </w:r>
      <w:bookmarkEnd w:id="49"/>
    </w:p>
    <w:p w:rsidR="00027868" w:rsidRPr="0070584C" w:rsidRDefault="00027868" w:rsidP="006B7963">
      <w:pPr>
        <w:tabs>
          <w:tab w:val="left" w:pos="570"/>
        </w:tabs>
        <w:spacing w:before="60" w:after="60"/>
        <w:rPr>
          <w:rFonts w:cs="Arial"/>
          <w:b/>
          <w:sz w:val="24"/>
          <w:szCs w:val="24"/>
        </w:rPr>
      </w:pPr>
      <w:bookmarkStart w:id="50" w:name="_Toc215319142"/>
      <w:r w:rsidRPr="0070584C">
        <w:rPr>
          <w:rFonts w:cs="Arial"/>
          <w:b/>
          <w:sz w:val="24"/>
          <w:szCs w:val="24"/>
        </w:rPr>
        <w:t>4.1</w:t>
      </w:r>
      <w:r w:rsidRPr="0070584C">
        <w:rPr>
          <w:rFonts w:cs="Arial"/>
          <w:b/>
          <w:sz w:val="24"/>
          <w:szCs w:val="24"/>
        </w:rPr>
        <w:tab/>
        <w:t>Entry Criteria</w:t>
      </w:r>
      <w:bookmarkEnd w:id="50"/>
      <w:r w:rsidRPr="0070584C">
        <w:rPr>
          <w:rFonts w:cs="Arial"/>
          <w:b/>
          <w:sz w:val="24"/>
          <w:szCs w:val="24"/>
        </w:rPr>
        <w:t xml:space="preserve"> </w:t>
      </w:r>
    </w:p>
    <w:p w:rsidR="003179C0" w:rsidRPr="0070584C" w:rsidRDefault="003179C0" w:rsidP="00816BC3">
      <w:pPr>
        <w:rPr>
          <w:rFonts w:cs="Arial"/>
          <w:sz w:val="24"/>
          <w:szCs w:val="24"/>
        </w:rPr>
      </w:pPr>
      <w:r w:rsidRPr="0070584C">
        <w:rPr>
          <w:rFonts w:cs="Arial"/>
          <w:sz w:val="24"/>
          <w:szCs w:val="24"/>
        </w:rPr>
        <w:t xml:space="preserve">Referral </w:t>
      </w:r>
      <w:r w:rsidR="00F802C2" w:rsidRPr="0070584C">
        <w:rPr>
          <w:rFonts w:cs="Arial"/>
          <w:sz w:val="24"/>
          <w:szCs w:val="24"/>
        </w:rPr>
        <w:t xml:space="preserve">is </w:t>
      </w:r>
      <w:r w:rsidRPr="0070584C">
        <w:rPr>
          <w:rFonts w:cs="Arial"/>
          <w:sz w:val="24"/>
          <w:szCs w:val="24"/>
        </w:rPr>
        <w:t>from other alcohol and other drug services, emergency</w:t>
      </w:r>
      <w:r w:rsidR="00854447" w:rsidRPr="0070584C">
        <w:rPr>
          <w:rFonts w:cs="Arial"/>
          <w:sz w:val="24"/>
          <w:szCs w:val="24"/>
        </w:rPr>
        <w:t xml:space="preserve"> services</w:t>
      </w:r>
      <w:r w:rsidRPr="0070584C">
        <w:rPr>
          <w:rFonts w:cs="Arial"/>
          <w:sz w:val="24"/>
          <w:szCs w:val="24"/>
        </w:rPr>
        <w:t>, and general practitioners in consultation with alcohol and other drug community assessment and treatment services</w:t>
      </w:r>
      <w:r w:rsidR="00420A7B" w:rsidRPr="0070584C">
        <w:rPr>
          <w:rFonts w:cs="Arial"/>
          <w:sz w:val="24"/>
          <w:szCs w:val="24"/>
        </w:rPr>
        <w:t>.</w:t>
      </w:r>
    </w:p>
    <w:p w:rsidR="00027868" w:rsidRPr="0070584C" w:rsidRDefault="00027868" w:rsidP="00AF0B08">
      <w:pPr>
        <w:tabs>
          <w:tab w:val="left" w:pos="570"/>
        </w:tabs>
        <w:spacing w:before="240"/>
        <w:rPr>
          <w:rFonts w:cs="Arial"/>
          <w:b/>
          <w:sz w:val="24"/>
          <w:szCs w:val="24"/>
        </w:rPr>
      </w:pPr>
      <w:bookmarkStart w:id="51" w:name="_Toc215319145"/>
      <w:r w:rsidRPr="0070584C">
        <w:rPr>
          <w:rFonts w:cs="Arial"/>
          <w:b/>
          <w:sz w:val="24"/>
          <w:szCs w:val="24"/>
        </w:rPr>
        <w:t>5.</w:t>
      </w:r>
      <w:r w:rsidRPr="0070584C">
        <w:rPr>
          <w:rFonts w:cs="Arial"/>
          <w:b/>
          <w:sz w:val="24"/>
          <w:szCs w:val="24"/>
        </w:rPr>
        <w:tab/>
        <w:t>Service Components</w:t>
      </w:r>
      <w:bookmarkEnd w:id="51"/>
    </w:p>
    <w:p w:rsidR="00027868" w:rsidRPr="0070584C" w:rsidRDefault="00027868" w:rsidP="00027868">
      <w:pPr>
        <w:tabs>
          <w:tab w:val="left" w:pos="570"/>
        </w:tabs>
        <w:spacing w:before="120" w:after="60"/>
        <w:rPr>
          <w:rFonts w:cs="Arial"/>
          <w:b/>
          <w:sz w:val="24"/>
          <w:szCs w:val="24"/>
        </w:rPr>
      </w:pPr>
      <w:bookmarkStart w:id="52" w:name="_Toc215319146"/>
      <w:r w:rsidRPr="0070584C">
        <w:rPr>
          <w:rFonts w:cs="Arial"/>
          <w:b/>
          <w:sz w:val="24"/>
          <w:szCs w:val="24"/>
        </w:rPr>
        <w:t>5.1</w:t>
      </w:r>
      <w:r w:rsidRPr="0070584C">
        <w:rPr>
          <w:rFonts w:cs="Arial"/>
          <w:b/>
          <w:sz w:val="24"/>
          <w:szCs w:val="24"/>
        </w:rPr>
        <w:tab/>
        <w:t>Processes</w:t>
      </w:r>
      <w:bookmarkEnd w:id="52"/>
    </w:p>
    <w:p w:rsidR="005B4A5C" w:rsidRPr="0070584C" w:rsidRDefault="005B4A5C" w:rsidP="005B4A5C">
      <w:pPr>
        <w:spacing w:after="60"/>
        <w:rPr>
          <w:rFonts w:cs="Arial"/>
          <w:sz w:val="24"/>
          <w:szCs w:val="24"/>
        </w:rPr>
      </w:pPr>
      <w:r w:rsidRPr="0070584C">
        <w:rPr>
          <w:rFonts w:cs="Arial"/>
          <w:sz w:val="24"/>
          <w:szCs w:val="24"/>
        </w:rPr>
        <w:t xml:space="preserve">The processes include but are not limited to the following: engagement; assessment, information provision, </w:t>
      </w:r>
      <w:r w:rsidR="0083463D" w:rsidRPr="0070584C">
        <w:rPr>
          <w:rFonts w:cs="Arial"/>
          <w:sz w:val="24"/>
          <w:szCs w:val="24"/>
        </w:rPr>
        <w:t xml:space="preserve">treatment, </w:t>
      </w:r>
      <w:r w:rsidR="003179C0" w:rsidRPr="0070584C">
        <w:rPr>
          <w:rFonts w:cs="Arial"/>
          <w:sz w:val="24"/>
          <w:szCs w:val="24"/>
        </w:rPr>
        <w:t xml:space="preserve">medication management; </w:t>
      </w:r>
      <w:r w:rsidRPr="0070584C">
        <w:rPr>
          <w:rFonts w:cs="Arial"/>
          <w:sz w:val="24"/>
          <w:szCs w:val="24"/>
        </w:rPr>
        <w:t xml:space="preserve">consultation, liaison, advocacy, support, review process </w:t>
      </w:r>
      <w:r w:rsidR="007D42C7" w:rsidRPr="0070584C">
        <w:rPr>
          <w:rFonts w:cs="Arial"/>
          <w:sz w:val="24"/>
          <w:szCs w:val="24"/>
        </w:rPr>
        <w:t xml:space="preserve">and </w:t>
      </w:r>
      <w:r w:rsidRPr="0070584C">
        <w:rPr>
          <w:rFonts w:cs="Arial"/>
          <w:sz w:val="24"/>
          <w:szCs w:val="24"/>
        </w:rPr>
        <w:t>discharge</w:t>
      </w:r>
      <w:r w:rsidR="005E43C3" w:rsidRPr="0070584C">
        <w:rPr>
          <w:rFonts w:cs="Arial"/>
          <w:sz w:val="24"/>
          <w:szCs w:val="24"/>
        </w:rPr>
        <w:t>.</w:t>
      </w:r>
    </w:p>
    <w:p w:rsidR="00027868" w:rsidRPr="0070584C" w:rsidRDefault="00027868" w:rsidP="00027868">
      <w:pPr>
        <w:tabs>
          <w:tab w:val="left" w:pos="570"/>
        </w:tabs>
        <w:spacing w:before="120" w:after="60"/>
        <w:rPr>
          <w:rFonts w:cs="Arial"/>
          <w:b/>
          <w:sz w:val="24"/>
          <w:szCs w:val="24"/>
        </w:rPr>
      </w:pPr>
      <w:bookmarkStart w:id="53" w:name="_Toc215319147"/>
      <w:r w:rsidRPr="0070584C">
        <w:rPr>
          <w:rFonts w:cs="Arial"/>
          <w:b/>
          <w:sz w:val="24"/>
          <w:szCs w:val="24"/>
        </w:rPr>
        <w:t>5.2</w:t>
      </w:r>
      <w:r w:rsidRPr="0070584C">
        <w:rPr>
          <w:rFonts w:cs="Arial"/>
          <w:b/>
          <w:sz w:val="24"/>
          <w:szCs w:val="24"/>
        </w:rPr>
        <w:tab/>
        <w:t>Settings</w:t>
      </w:r>
      <w:bookmarkEnd w:id="53"/>
    </w:p>
    <w:p w:rsidR="00330968" w:rsidRPr="0070584C" w:rsidRDefault="00330968" w:rsidP="00330968">
      <w:pPr>
        <w:tabs>
          <w:tab w:val="left" w:pos="-1099"/>
          <w:tab w:val="left" w:pos="-720"/>
          <w:tab w:val="left" w:pos="0"/>
          <w:tab w:val="left" w:pos="567"/>
          <w:tab w:val="left" w:pos="720"/>
          <w:tab w:val="left" w:pos="1080"/>
          <w:tab w:val="left" w:pos="1134"/>
          <w:tab w:val="left" w:pos="1440"/>
          <w:tab w:val="left" w:pos="1800"/>
        </w:tabs>
        <w:rPr>
          <w:rFonts w:cs="Arial"/>
          <w:sz w:val="24"/>
          <w:szCs w:val="24"/>
        </w:rPr>
      </w:pPr>
      <w:r w:rsidRPr="0070584C">
        <w:rPr>
          <w:rFonts w:cs="Arial"/>
          <w:sz w:val="24"/>
          <w:szCs w:val="24"/>
        </w:rPr>
        <w:t xml:space="preserve">This </w:t>
      </w:r>
      <w:r w:rsidR="007D42C7" w:rsidRPr="0070584C">
        <w:rPr>
          <w:rFonts w:cs="Arial"/>
          <w:sz w:val="24"/>
          <w:szCs w:val="24"/>
        </w:rPr>
        <w:t>S</w:t>
      </w:r>
      <w:r w:rsidRPr="0070584C">
        <w:rPr>
          <w:rFonts w:cs="Arial"/>
          <w:sz w:val="24"/>
          <w:szCs w:val="24"/>
        </w:rPr>
        <w:t xml:space="preserve">ervice may be provided in the </w:t>
      </w:r>
      <w:r w:rsidR="00230DFB" w:rsidRPr="0070584C">
        <w:rPr>
          <w:rFonts w:cs="Arial"/>
          <w:sz w:val="24"/>
          <w:szCs w:val="24"/>
        </w:rPr>
        <w:t>Service User</w:t>
      </w:r>
      <w:r w:rsidR="002032D6" w:rsidRPr="0070584C">
        <w:rPr>
          <w:rFonts w:cs="Arial"/>
          <w:sz w:val="24"/>
          <w:szCs w:val="24"/>
        </w:rPr>
        <w:t>’</w:t>
      </w:r>
      <w:r w:rsidRPr="0070584C">
        <w:rPr>
          <w:rFonts w:cs="Arial"/>
          <w:sz w:val="24"/>
          <w:szCs w:val="24"/>
        </w:rPr>
        <w:t>s home or (in accordance with the needs of the individual) within alcohol and other drug treatment</w:t>
      </w:r>
      <w:r w:rsidR="00F802C2" w:rsidRPr="0070584C">
        <w:rPr>
          <w:rFonts w:cs="Arial"/>
          <w:sz w:val="24"/>
          <w:szCs w:val="24"/>
        </w:rPr>
        <w:t xml:space="preserve"> and or </w:t>
      </w:r>
      <w:r w:rsidRPr="0070584C">
        <w:rPr>
          <w:rFonts w:cs="Arial"/>
          <w:sz w:val="24"/>
          <w:szCs w:val="24"/>
        </w:rPr>
        <w:t>care facilities, or within a range of other community settings including marae or specifically designated managed withdrawal settings.</w:t>
      </w:r>
    </w:p>
    <w:p w:rsidR="00027868" w:rsidRPr="0070584C" w:rsidRDefault="00027868" w:rsidP="00027868">
      <w:pPr>
        <w:tabs>
          <w:tab w:val="left" w:pos="570"/>
        </w:tabs>
        <w:spacing w:before="120" w:after="60"/>
        <w:rPr>
          <w:rFonts w:cs="Arial"/>
          <w:b/>
          <w:sz w:val="24"/>
          <w:szCs w:val="24"/>
        </w:rPr>
      </w:pPr>
      <w:bookmarkStart w:id="54" w:name="_Toc215319151"/>
      <w:r w:rsidRPr="0070584C">
        <w:rPr>
          <w:rFonts w:cs="Arial"/>
          <w:b/>
          <w:sz w:val="24"/>
          <w:szCs w:val="24"/>
        </w:rPr>
        <w:t>5.3</w:t>
      </w:r>
      <w:r w:rsidRPr="0070584C">
        <w:rPr>
          <w:rFonts w:cs="Arial"/>
          <w:b/>
          <w:sz w:val="24"/>
          <w:szCs w:val="24"/>
        </w:rPr>
        <w:tab/>
        <w:t xml:space="preserve">Key Inputs </w:t>
      </w:r>
      <w:bookmarkStart w:id="55" w:name="_Toc215319152"/>
      <w:bookmarkEnd w:id="54"/>
    </w:p>
    <w:p w:rsidR="003179C0" w:rsidRPr="0070584C" w:rsidRDefault="003179C0" w:rsidP="003179C0">
      <w:pPr>
        <w:autoSpaceDE w:val="0"/>
        <w:autoSpaceDN w:val="0"/>
        <w:adjustRightInd w:val="0"/>
        <w:spacing w:line="240" w:lineRule="atLeast"/>
        <w:rPr>
          <w:rFonts w:cs="Arial"/>
          <w:sz w:val="24"/>
          <w:szCs w:val="24"/>
        </w:rPr>
      </w:pPr>
      <w:r w:rsidRPr="0070584C">
        <w:rPr>
          <w:rFonts w:cs="Arial"/>
          <w:sz w:val="24"/>
          <w:szCs w:val="24"/>
        </w:rPr>
        <w:t xml:space="preserve">Medical staff will provide oversight of this </w:t>
      </w:r>
      <w:r w:rsidR="000030AD" w:rsidRPr="0070584C">
        <w:rPr>
          <w:rFonts w:cs="Arial"/>
          <w:sz w:val="24"/>
          <w:szCs w:val="24"/>
        </w:rPr>
        <w:t>S</w:t>
      </w:r>
      <w:r w:rsidRPr="0070584C">
        <w:rPr>
          <w:rFonts w:cs="Arial"/>
          <w:sz w:val="24"/>
          <w:szCs w:val="24"/>
        </w:rPr>
        <w:t xml:space="preserve">ervice.  The </w:t>
      </w:r>
      <w:r w:rsidR="005E43C3" w:rsidRPr="0070584C">
        <w:rPr>
          <w:rFonts w:cs="Arial"/>
          <w:sz w:val="24"/>
          <w:szCs w:val="24"/>
        </w:rPr>
        <w:t>S</w:t>
      </w:r>
      <w:r w:rsidRPr="0070584C">
        <w:rPr>
          <w:rFonts w:cs="Arial"/>
          <w:sz w:val="24"/>
          <w:szCs w:val="24"/>
        </w:rPr>
        <w:t>ervice will be delivered by</w:t>
      </w:r>
      <w:r w:rsidRPr="0070584C">
        <w:rPr>
          <w:rFonts w:cs="Arial"/>
          <w:sz w:val="24"/>
          <w:szCs w:val="24"/>
          <w:u w:val="single"/>
        </w:rPr>
        <w:t xml:space="preserve"> </w:t>
      </w:r>
      <w:r w:rsidRPr="0070584C">
        <w:rPr>
          <w:rFonts w:cs="Arial"/>
          <w:sz w:val="24"/>
          <w:szCs w:val="24"/>
        </w:rPr>
        <w:t xml:space="preserve">people with </w:t>
      </w:r>
      <w:r w:rsidRPr="0070584C">
        <w:rPr>
          <w:rFonts w:cs="Arial"/>
          <w:bCs/>
          <w:sz w:val="24"/>
          <w:szCs w:val="24"/>
        </w:rPr>
        <w:t xml:space="preserve">skills and experience in alcohol and other drug </w:t>
      </w:r>
      <w:r w:rsidR="00E9356D" w:rsidRPr="0070584C">
        <w:rPr>
          <w:rFonts w:cs="Arial"/>
          <w:bCs/>
          <w:sz w:val="24"/>
          <w:szCs w:val="24"/>
        </w:rPr>
        <w:t>withdrawal</w:t>
      </w:r>
      <w:r w:rsidRPr="0070584C">
        <w:rPr>
          <w:rFonts w:cs="Arial"/>
          <w:bCs/>
          <w:sz w:val="24"/>
          <w:szCs w:val="24"/>
        </w:rPr>
        <w:t xml:space="preserve">, and who belong in one of the following categories: </w:t>
      </w:r>
    </w:p>
    <w:p w:rsidR="003179C0" w:rsidRPr="0070584C" w:rsidRDefault="003179C0" w:rsidP="005E43C3">
      <w:pPr>
        <w:pStyle w:val="Header"/>
        <w:numPr>
          <w:ilvl w:val="0"/>
          <w:numId w:val="26"/>
        </w:numPr>
        <w:tabs>
          <w:tab w:val="clear" w:pos="360"/>
          <w:tab w:val="clear" w:pos="4153"/>
          <w:tab w:val="clear" w:pos="8306"/>
          <w:tab w:val="num" w:pos="540"/>
        </w:tabs>
        <w:spacing w:before="120"/>
        <w:ind w:left="539" w:hanging="539"/>
        <w:rPr>
          <w:rFonts w:cs="Arial"/>
          <w:sz w:val="24"/>
          <w:szCs w:val="24"/>
        </w:rPr>
      </w:pPr>
      <w:r w:rsidRPr="0070584C">
        <w:rPr>
          <w:rFonts w:cs="Arial"/>
          <w:sz w:val="24"/>
          <w:szCs w:val="24"/>
        </w:rPr>
        <w:t>health professionals regulated by the Health Practitioners Competence Assurance Act 2003</w:t>
      </w:r>
    </w:p>
    <w:p w:rsidR="003179C0" w:rsidRPr="0070584C" w:rsidRDefault="003179C0" w:rsidP="005E43C3">
      <w:pPr>
        <w:pStyle w:val="Header"/>
        <w:numPr>
          <w:ilvl w:val="0"/>
          <w:numId w:val="26"/>
        </w:numPr>
        <w:tabs>
          <w:tab w:val="clear" w:pos="360"/>
          <w:tab w:val="clear" w:pos="4153"/>
          <w:tab w:val="clear" w:pos="8306"/>
          <w:tab w:val="num" w:pos="540"/>
        </w:tabs>
        <w:spacing w:before="120"/>
        <w:ind w:left="539" w:hanging="539"/>
        <w:rPr>
          <w:rFonts w:cs="Arial"/>
          <w:sz w:val="24"/>
          <w:szCs w:val="24"/>
        </w:rPr>
      </w:pPr>
      <w:r w:rsidRPr="0070584C">
        <w:rPr>
          <w:rFonts w:cs="Arial"/>
          <w:sz w:val="24"/>
          <w:szCs w:val="24"/>
        </w:rPr>
        <w:t>people regulated by</w:t>
      </w:r>
      <w:r w:rsidR="00624127" w:rsidRPr="0070584C">
        <w:rPr>
          <w:rFonts w:cs="Arial"/>
          <w:sz w:val="24"/>
          <w:szCs w:val="24"/>
        </w:rPr>
        <w:t xml:space="preserve"> the</w:t>
      </w:r>
      <w:r w:rsidRPr="0070584C">
        <w:rPr>
          <w:rFonts w:cs="Arial"/>
          <w:sz w:val="24"/>
          <w:szCs w:val="24"/>
        </w:rPr>
        <w:t xml:space="preserve"> </w:t>
      </w:r>
      <w:r w:rsidR="00624127" w:rsidRPr="0070584C">
        <w:rPr>
          <w:rFonts w:cs="Arial"/>
          <w:sz w:val="24"/>
          <w:szCs w:val="24"/>
        </w:rPr>
        <w:t>Drug and Alcohol Practitioners Association Aotearoa New Zealand</w:t>
      </w:r>
      <w:r w:rsidR="00624127" w:rsidRPr="00F22E2D">
        <w:rPr>
          <w:rFonts w:cs="Arial"/>
        </w:rPr>
        <w:t xml:space="preserve"> (</w:t>
      </w:r>
      <w:r w:rsidRPr="0070584C">
        <w:rPr>
          <w:rFonts w:cs="Arial"/>
          <w:sz w:val="24"/>
          <w:szCs w:val="24"/>
        </w:rPr>
        <w:t>DAP</w:t>
      </w:r>
      <w:r w:rsidR="007D42C7" w:rsidRPr="0070584C">
        <w:rPr>
          <w:rFonts w:cs="Arial"/>
          <w:sz w:val="24"/>
          <w:szCs w:val="24"/>
        </w:rPr>
        <w:t>A</w:t>
      </w:r>
      <w:r w:rsidRPr="0070584C">
        <w:rPr>
          <w:rFonts w:cs="Arial"/>
          <w:sz w:val="24"/>
          <w:szCs w:val="24"/>
        </w:rPr>
        <w:t>ANZ</w:t>
      </w:r>
      <w:r w:rsidR="00624127" w:rsidRPr="0070584C">
        <w:rPr>
          <w:rFonts w:cs="Arial"/>
          <w:sz w:val="24"/>
          <w:szCs w:val="24"/>
        </w:rPr>
        <w:t>)</w:t>
      </w:r>
      <w:r w:rsidRPr="0070584C">
        <w:rPr>
          <w:rFonts w:cs="Arial"/>
          <w:sz w:val="24"/>
          <w:szCs w:val="24"/>
        </w:rPr>
        <w:t xml:space="preserve"> or another health or social service professional body</w:t>
      </w:r>
      <w:r w:rsidR="00AF0B08" w:rsidRPr="0070584C">
        <w:rPr>
          <w:rFonts w:cs="Arial"/>
          <w:sz w:val="24"/>
          <w:szCs w:val="24"/>
        </w:rPr>
        <w:t>.</w:t>
      </w:r>
    </w:p>
    <w:p w:rsidR="00DD7388" w:rsidRPr="0070584C" w:rsidRDefault="00DD7388" w:rsidP="00AF0B08">
      <w:pPr>
        <w:tabs>
          <w:tab w:val="left" w:pos="570"/>
        </w:tabs>
        <w:spacing w:before="120" w:after="60"/>
        <w:rPr>
          <w:rFonts w:cs="Arial"/>
          <w:b/>
          <w:sz w:val="24"/>
          <w:szCs w:val="24"/>
        </w:rPr>
      </w:pPr>
      <w:r w:rsidRPr="0070584C">
        <w:rPr>
          <w:rFonts w:cs="Arial"/>
          <w:b/>
          <w:sz w:val="24"/>
          <w:szCs w:val="24"/>
        </w:rPr>
        <w:t>5.4.</w:t>
      </w:r>
      <w:r w:rsidRPr="0070584C">
        <w:rPr>
          <w:rFonts w:cs="Arial"/>
          <w:b/>
          <w:sz w:val="24"/>
          <w:szCs w:val="24"/>
        </w:rPr>
        <w:tab/>
        <w:t xml:space="preserve">Pacific Health </w:t>
      </w:r>
    </w:p>
    <w:p w:rsidR="000C796E" w:rsidRPr="0070584C" w:rsidRDefault="00DD7388" w:rsidP="00DD7388">
      <w:pPr>
        <w:spacing w:after="120"/>
        <w:rPr>
          <w:rFonts w:cs="Arial"/>
          <w:sz w:val="24"/>
          <w:szCs w:val="24"/>
        </w:rPr>
      </w:pPr>
      <w:bookmarkStart w:id="56" w:name="_Toc215318968"/>
      <w:r w:rsidRPr="0070584C">
        <w:rPr>
          <w:rFonts w:cs="Arial"/>
          <w:sz w:val="24"/>
          <w:szCs w:val="24"/>
        </w:rPr>
        <w:t xml:space="preserve">The Service must take account of key strategic frameworks, principles and be relevant to Pacific health needs and identified concerns.  For regions that have significant Pacific populations, the </w:t>
      </w:r>
      <w:r w:rsidR="00AD1B22">
        <w:rPr>
          <w:rFonts w:cs="Arial"/>
          <w:sz w:val="24"/>
          <w:szCs w:val="24"/>
        </w:rPr>
        <w:t>S</w:t>
      </w:r>
      <w:r w:rsidRPr="0070584C">
        <w:rPr>
          <w:rFonts w:cs="Arial"/>
          <w:sz w:val="24"/>
          <w:szCs w:val="24"/>
        </w:rPr>
        <w:t xml:space="preserve">ervice must link service delivery to the improvement of Pacific health outcomes.  Overall, the </w:t>
      </w:r>
      <w:r w:rsidR="005E43C3" w:rsidRPr="0070584C">
        <w:rPr>
          <w:rFonts w:cs="Arial"/>
          <w:sz w:val="24"/>
          <w:szCs w:val="24"/>
        </w:rPr>
        <w:t>S</w:t>
      </w:r>
      <w:r w:rsidRPr="0070584C">
        <w:rPr>
          <w:rFonts w:cs="Arial"/>
          <w:sz w:val="24"/>
          <w:szCs w:val="24"/>
        </w:rPr>
        <w:t>ervice activity should contribute to reducing inequalities</w:t>
      </w:r>
      <w:bookmarkEnd w:id="56"/>
      <w:r w:rsidRPr="0070584C">
        <w:rPr>
          <w:rFonts w:cs="Arial"/>
          <w:sz w:val="24"/>
          <w:szCs w:val="24"/>
        </w:rPr>
        <w:t>.</w:t>
      </w:r>
    </w:p>
    <w:p w:rsidR="000C796E" w:rsidRPr="0070584C" w:rsidRDefault="000C796E">
      <w:pPr>
        <w:rPr>
          <w:rFonts w:cs="Arial"/>
          <w:sz w:val="24"/>
          <w:szCs w:val="24"/>
        </w:rPr>
      </w:pPr>
      <w:r w:rsidRPr="0070584C">
        <w:rPr>
          <w:rFonts w:cs="Arial"/>
          <w:sz w:val="24"/>
          <w:szCs w:val="24"/>
        </w:rPr>
        <w:br w:type="page"/>
      </w:r>
    </w:p>
    <w:p w:rsidR="00027868" w:rsidRPr="0070584C" w:rsidRDefault="00027868" w:rsidP="00420A7B">
      <w:pPr>
        <w:tabs>
          <w:tab w:val="left" w:pos="570"/>
        </w:tabs>
        <w:spacing w:after="120"/>
        <w:rPr>
          <w:rFonts w:cs="Arial"/>
          <w:b/>
          <w:sz w:val="24"/>
          <w:szCs w:val="24"/>
        </w:rPr>
      </w:pPr>
      <w:bookmarkStart w:id="57" w:name="_Toc215319155"/>
      <w:bookmarkEnd w:id="55"/>
      <w:r w:rsidRPr="0070584C">
        <w:rPr>
          <w:rFonts w:cs="Arial"/>
          <w:b/>
          <w:sz w:val="24"/>
          <w:szCs w:val="24"/>
        </w:rPr>
        <w:lastRenderedPageBreak/>
        <w:t>6.</w:t>
      </w:r>
      <w:r w:rsidRPr="0070584C">
        <w:rPr>
          <w:rFonts w:cs="Arial"/>
          <w:b/>
          <w:sz w:val="24"/>
          <w:szCs w:val="24"/>
        </w:rPr>
        <w:tab/>
        <w:t>Service Linkages</w:t>
      </w:r>
      <w:bookmarkEnd w:id="57"/>
    </w:p>
    <w:p w:rsidR="005B4A5C" w:rsidRPr="0070584C" w:rsidRDefault="005B4A5C" w:rsidP="005B4A5C">
      <w:pPr>
        <w:spacing w:before="120" w:after="120"/>
        <w:rPr>
          <w:rFonts w:cs="Arial"/>
          <w:sz w:val="24"/>
          <w:szCs w:val="24"/>
        </w:rPr>
      </w:pPr>
      <w:bookmarkStart w:id="58" w:name="_Toc215319158"/>
      <w:bookmarkStart w:id="59" w:name="_Toc215319164"/>
      <w:r w:rsidRPr="0070584C">
        <w:rPr>
          <w:rFonts w:cs="Arial"/>
          <w:sz w:val="24"/>
          <w:szCs w:val="24"/>
        </w:rPr>
        <w:t xml:space="preserve">Linkages </w:t>
      </w:r>
      <w:bookmarkEnd w:id="58"/>
      <w:r w:rsidRPr="0070584C">
        <w:rPr>
          <w:rFonts w:cs="Arial"/>
          <w:sz w:val="24"/>
          <w:szCs w:val="24"/>
        </w:rPr>
        <w:t xml:space="preserve">are as described in </w:t>
      </w:r>
      <w:r w:rsidR="00E02497" w:rsidRPr="0070584C">
        <w:rPr>
          <w:rFonts w:cs="Arial"/>
          <w:sz w:val="24"/>
          <w:szCs w:val="24"/>
        </w:rPr>
        <w:t xml:space="preserve">tier one </w:t>
      </w:r>
      <w:r w:rsidRPr="0070584C">
        <w:rPr>
          <w:rFonts w:cs="Arial"/>
          <w:sz w:val="24"/>
          <w:szCs w:val="24"/>
        </w:rPr>
        <w:t xml:space="preserve">Mental Health and </w:t>
      </w:r>
      <w:r w:rsidR="00E02497" w:rsidRPr="0070584C">
        <w:rPr>
          <w:rFonts w:cs="Arial"/>
          <w:sz w:val="24"/>
          <w:szCs w:val="24"/>
        </w:rPr>
        <w:t xml:space="preserve">tier two </w:t>
      </w:r>
      <w:r w:rsidRPr="0070584C">
        <w:rPr>
          <w:rFonts w:cs="Arial"/>
          <w:sz w:val="24"/>
          <w:szCs w:val="24"/>
        </w:rPr>
        <w:t xml:space="preserve">Addiction Services and </w:t>
      </w:r>
      <w:r w:rsidR="003C1A63" w:rsidRPr="0070584C">
        <w:rPr>
          <w:rFonts w:cs="Arial"/>
          <w:sz w:val="24"/>
          <w:szCs w:val="24"/>
        </w:rPr>
        <w:t>Addiction</w:t>
      </w:r>
      <w:r w:rsidRPr="0070584C">
        <w:rPr>
          <w:rFonts w:cs="Arial"/>
          <w:sz w:val="24"/>
          <w:szCs w:val="24"/>
        </w:rPr>
        <w:t xml:space="preserve"> service specifications</w:t>
      </w:r>
      <w:r w:rsidR="00E02497">
        <w:rPr>
          <w:rFonts w:cs="Arial"/>
          <w:sz w:val="24"/>
          <w:szCs w:val="24"/>
        </w:rPr>
        <w:t>.</w:t>
      </w:r>
    </w:p>
    <w:p w:rsidR="00027868" w:rsidRPr="0070584C" w:rsidRDefault="00027868" w:rsidP="00AD5980">
      <w:pPr>
        <w:tabs>
          <w:tab w:val="left" w:pos="570"/>
        </w:tabs>
        <w:spacing w:before="240" w:after="120"/>
        <w:jc w:val="both"/>
        <w:rPr>
          <w:rFonts w:cs="Arial"/>
          <w:b/>
          <w:sz w:val="24"/>
          <w:szCs w:val="24"/>
        </w:rPr>
      </w:pPr>
      <w:r w:rsidRPr="0070584C">
        <w:rPr>
          <w:rFonts w:cs="Arial"/>
          <w:b/>
          <w:sz w:val="24"/>
          <w:szCs w:val="24"/>
        </w:rPr>
        <w:t>7.</w:t>
      </w:r>
      <w:r w:rsidRPr="0070584C">
        <w:rPr>
          <w:rFonts w:cs="Arial"/>
          <w:b/>
          <w:sz w:val="24"/>
          <w:szCs w:val="24"/>
        </w:rPr>
        <w:tab/>
      </w:r>
      <w:bookmarkStart w:id="60" w:name="_Toc215319172"/>
      <w:bookmarkEnd w:id="59"/>
      <w:r w:rsidRPr="0070584C">
        <w:rPr>
          <w:rFonts w:cs="Arial"/>
          <w:b/>
          <w:sz w:val="24"/>
          <w:szCs w:val="24"/>
        </w:rPr>
        <w:t>Purchase Units and Reporting Requirements</w:t>
      </w:r>
      <w:bookmarkEnd w:id="60"/>
    </w:p>
    <w:p w:rsidR="007D42C7" w:rsidRPr="0070584C" w:rsidRDefault="00391316" w:rsidP="00AD5980">
      <w:pPr>
        <w:tabs>
          <w:tab w:val="left" w:pos="567"/>
          <w:tab w:val="left" w:pos="709"/>
          <w:tab w:val="left" w:pos="1701"/>
          <w:tab w:val="left" w:pos="2693"/>
        </w:tabs>
        <w:spacing w:after="120"/>
        <w:rPr>
          <w:rFonts w:cs="Arial"/>
          <w:sz w:val="24"/>
          <w:szCs w:val="24"/>
        </w:rPr>
      </w:pPr>
      <w:bookmarkStart w:id="61" w:name="_Toc215319173"/>
      <w:r>
        <w:rPr>
          <w:rFonts w:cs="Arial"/>
          <w:b/>
          <w:sz w:val="24"/>
          <w:szCs w:val="24"/>
        </w:rPr>
        <w:t>7</w:t>
      </w:r>
      <w:r w:rsidR="00230DFB" w:rsidRPr="0070584C">
        <w:rPr>
          <w:rFonts w:cs="Arial"/>
          <w:b/>
          <w:sz w:val="24"/>
          <w:szCs w:val="24"/>
        </w:rPr>
        <w:t>.1</w:t>
      </w:r>
      <w:r w:rsidR="00230DFB" w:rsidRPr="0070584C">
        <w:rPr>
          <w:rFonts w:cs="Arial"/>
          <w:sz w:val="24"/>
          <w:szCs w:val="24"/>
        </w:rPr>
        <w:tab/>
      </w:r>
      <w:r w:rsidR="00027868" w:rsidRPr="0070584C">
        <w:rPr>
          <w:rFonts w:cs="Arial"/>
          <w:sz w:val="24"/>
          <w:szCs w:val="24"/>
        </w:rPr>
        <w:t>Purchase Unit</w:t>
      </w:r>
      <w:r>
        <w:rPr>
          <w:rFonts w:cs="Arial"/>
          <w:sz w:val="24"/>
          <w:szCs w:val="24"/>
        </w:rPr>
        <w:t xml:space="preserve"> (PU) code</w:t>
      </w:r>
      <w:r w:rsidR="00027868" w:rsidRPr="0070584C">
        <w:rPr>
          <w:rFonts w:cs="Arial"/>
          <w:sz w:val="24"/>
          <w:szCs w:val="24"/>
        </w:rPr>
        <w:t xml:space="preserve">s are defined in the DHB and Ministry’s Nationwide Service Framework Purchase Unit Data Dictionary.  </w:t>
      </w:r>
      <w:r w:rsidR="007D42C7" w:rsidRPr="0070584C">
        <w:rPr>
          <w:rFonts w:cs="Arial"/>
          <w:sz w:val="24"/>
          <w:szCs w:val="24"/>
        </w:rPr>
        <w:t xml:space="preserve">The following </w:t>
      </w:r>
      <w:r w:rsidR="009042EF">
        <w:rPr>
          <w:rFonts w:cs="Arial"/>
          <w:sz w:val="24"/>
          <w:szCs w:val="24"/>
        </w:rPr>
        <w:t>codes</w:t>
      </w:r>
      <w:r w:rsidR="007D42C7" w:rsidRPr="0070584C">
        <w:rPr>
          <w:rFonts w:cs="Arial"/>
          <w:sz w:val="24"/>
          <w:szCs w:val="24"/>
        </w:rPr>
        <w:t xml:space="preserve"> apply to this Service.</w:t>
      </w:r>
    </w:p>
    <w:tbl>
      <w:tblPr>
        <w:tblW w:w="501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
        <w:gridCol w:w="1523"/>
        <w:gridCol w:w="5954"/>
        <w:gridCol w:w="1109"/>
      </w:tblGrid>
      <w:tr w:rsidR="00FB7038" w:rsidRPr="0070584C" w:rsidTr="00AD5980">
        <w:trPr>
          <w:cantSplit/>
          <w:trHeight w:val="447"/>
          <w:tblHeader/>
        </w:trPr>
        <w:tc>
          <w:tcPr>
            <w:tcW w:w="557" w:type="pct"/>
            <w:shd w:val="clear" w:color="auto" w:fill="D9D9D9"/>
          </w:tcPr>
          <w:p w:rsidR="00391316" w:rsidRPr="0070584C" w:rsidRDefault="00391316" w:rsidP="005B4A5C">
            <w:pPr>
              <w:spacing w:before="120"/>
              <w:rPr>
                <w:rFonts w:cs="Arial"/>
                <w:b/>
                <w:sz w:val="20"/>
              </w:rPr>
            </w:pPr>
            <w:bookmarkStart w:id="62" w:name="_Toc215319174"/>
            <w:bookmarkEnd w:id="61"/>
            <w:r w:rsidRPr="0070584C">
              <w:rPr>
                <w:rFonts w:cs="Arial"/>
                <w:b/>
                <w:sz w:val="20"/>
              </w:rPr>
              <w:t>PU Code</w:t>
            </w:r>
            <w:bookmarkEnd w:id="62"/>
          </w:p>
        </w:tc>
        <w:tc>
          <w:tcPr>
            <w:tcW w:w="788" w:type="pct"/>
            <w:shd w:val="clear" w:color="auto" w:fill="D9D9D9"/>
          </w:tcPr>
          <w:p w:rsidR="00391316" w:rsidRPr="0070584C" w:rsidRDefault="00391316" w:rsidP="005B4A5C">
            <w:pPr>
              <w:spacing w:before="120"/>
              <w:rPr>
                <w:rFonts w:cs="Arial"/>
                <w:b/>
                <w:sz w:val="20"/>
              </w:rPr>
            </w:pPr>
            <w:bookmarkStart w:id="63" w:name="_Toc215319175"/>
            <w:r w:rsidRPr="0070584C">
              <w:rPr>
                <w:rFonts w:cs="Arial"/>
                <w:b/>
                <w:sz w:val="20"/>
              </w:rPr>
              <w:t>PU Description</w:t>
            </w:r>
            <w:bookmarkEnd w:id="63"/>
          </w:p>
        </w:tc>
        <w:tc>
          <w:tcPr>
            <w:tcW w:w="3081" w:type="pct"/>
            <w:shd w:val="clear" w:color="auto" w:fill="D9D9D9"/>
          </w:tcPr>
          <w:p w:rsidR="00391316" w:rsidRPr="0070584C" w:rsidRDefault="00391316" w:rsidP="005B4A5C">
            <w:pPr>
              <w:spacing w:before="120"/>
              <w:rPr>
                <w:rFonts w:cs="Arial"/>
                <w:b/>
                <w:sz w:val="20"/>
              </w:rPr>
            </w:pPr>
            <w:r w:rsidRPr="0070584C">
              <w:rPr>
                <w:rFonts w:cs="Arial"/>
                <w:b/>
                <w:sz w:val="20"/>
              </w:rPr>
              <w:t>PU Definition</w:t>
            </w:r>
          </w:p>
        </w:tc>
        <w:tc>
          <w:tcPr>
            <w:tcW w:w="574" w:type="pct"/>
            <w:shd w:val="clear" w:color="auto" w:fill="D9D9D9"/>
          </w:tcPr>
          <w:p w:rsidR="00391316" w:rsidRPr="0070584C" w:rsidRDefault="009042EF" w:rsidP="005B4A5C">
            <w:pPr>
              <w:spacing w:before="120"/>
              <w:rPr>
                <w:rFonts w:cs="Arial"/>
                <w:b/>
                <w:sz w:val="20"/>
              </w:rPr>
            </w:pPr>
            <w:bookmarkStart w:id="64" w:name="_Toc215319176"/>
            <w:r>
              <w:rPr>
                <w:rFonts w:cs="Arial"/>
                <w:b/>
                <w:sz w:val="20"/>
              </w:rPr>
              <w:t xml:space="preserve">Unit of </w:t>
            </w:r>
            <w:r w:rsidR="00391316" w:rsidRPr="0070584C">
              <w:rPr>
                <w:rFonts w:cs="Arial"/>
                <w:b/>
                <w:sz w:val="20"/>
              </w:rPr>
              <w:t>Measure</w:t>
            </w:r>
            <w:bookmarkEnd w:id="64"/>
          </w:p>
        </w:tc>
      </w:tr>
      <w:tr w:rsidR="00FB7038" w:rsidRPr="0070584C" w:rsidTr="00AD5980">
        <w:trPr>
          <w:cantSplit/>
        </w:trPr>
        <w:tc>
          <w:tcPr>
            <w:tcW w:w="557" w:type="pct"/>
            <w:tcBorders>
              <w:top w:val="single" w:sz="4" w:space="0" w:color="auto"/>
              <w:left w:val="single" w:sz="4" w:space="0" w:color="auto"/>
              <w:bottom w:val="single" w:sz="4" w:space="0" w:color="auto"/>
              <w:right w:val="single" w:sz="4" w:space="0" w:color="auto"/>
            </w:tcBorders>
          </w:tcPr>
          <w:p w:rsidR="00391316" w:rsidRPr="0070584C" w:rsidRDefault="00391316" w:rsidP="00AD5980">
            <w:pPr>
              <w:rPr>
                <w:rFonts w:cs="Arial"/>
                <w:sz w:val="20"/>
              </w:rPr>
            </w:pPr>
            <w:r w:rsidRPr="0070584C">
              <w:rPr>
                <w:rFonts w:cs="Arial"/>
                <w:sz w:val="20"/>
              </w:rPr>
              <w:t>MHD78</w:t>
            </w:r>
          </w:p>
        </w:tc>
        <w:tc>
          <w:tcPr>
            <w:tcW w:w="788" w:type="pct"/>
            <w:tcBorders>
              <w:top w:val="single" w:sz="4" w:space="0" w:color="auto"/>
              <w:left w:val="single" w:sz="4" w:space="0" w:color="auto"/>
              <w:bottom w:val="single" w:sz="4" w:space="0" w:color="auto"/>
              <w:right w:val="single" w:sz="4" w:space="0" w:color="auto"/>
            </w:tcBorders>
          </w:tcPr>
          <w:p w:rsidR="00391316" w:rsidRPr="0070584C" w:rsidRDefault="00391316" w:rsidP="00AD5980">
            <w:pPr>
              <w:rPr>
                <w:rFonts w:cs="Arial"/>
                <w:sz w:val="20"/>
              </w:rPr>
            </w:pPr>
            <w:r w:rsidRPr="0070584C">
              <w:rPr>
                <w:rFonts w:cs="Arial"/>
                <w:sz w:val="20"/>
              </w:rPr>
              <w:t>Managed withdrawal home community</w:t>
            </w:r>
          </w:p>
        </w:tc>
        <w:tc>
          <w:tcPr>
            <w:tcW w:w="3081" w:type="pct"/>
            <w:tcBorders>
              <w:top w:val="single" w:sz="4" w:space="0" w:color="auto"/>
              <w:left w:val="single" w:sz="4" w:space="0" w:color="auto"/>
              <w:bottom w:val="single" w:sz="4" w:space="0" w:color="auto"/>
              <w:right w:val="single" w:sz="4" w:space="0" w:color="auto"/>
            </w:tcBorders>
          </w:tcPr>
          <w:p w:rsidR="00391316" w:rsidRPr="0070584C" w:rsidRDefault="00391316" w:rsidP="00AD5980">
            <w:pPr>
              <w:rPr>
                <w:rFonts w:cs="Arial"/>
                <w:sz w:val="20"/>
              </w:rPr>
            </w:pPr>
            <w:r w:rsidRPr="0070584C">
              <w:rPr>
                <w:rFonts w:cs="Arial"/>
                <w:sz w:val="20"/>
                <w:lang w:val="en-US" w:eastAsia="en-US"/>
              </w:rPr>
              <w:t xml:space="preserve">Service providing programmes that support a controlled and safe withdrawal from alcohol and other drugs. The programmes will acknowledge and work with people with co-existing mental health problems. These programmes are available within outpatient and community settings. </w:t>
            </w:r>
          </w:p>
        </w:tc>
        <w:tc>
          <w:tcPr>
            <w:tcW w:w="574" w:type="pct"/>
            <w:tcBorders>
              <w:top w:val="single" w:sz="4" w:space="0" w:color="auto"/>
              <w:left w:val="single" w:sz="4" w:space="0" w:color="auto"/>
              <w:bottom w:val="single" w:sz="4" w:space="0" w:color="auto"/>
              <w:right w:val="single" w:sz="4" w:space="0" w:color="auto"/>
            </w:tcBorders>
          </w:tcPr>
          <w:p w:rsidR="00391316" w:rsidRPr="0070584C" w:rsidRDefault="00391316" w:rsidP="00AD5980">
            <w:pPr>
              <w:rPr>
                <w:rFonts w:cs="Arial"/>
                <w:sz w:val="20"/>
              </w:rPr>
            </w:pPr>
            <w:r w:rsidRPr="0070584C">
              <w:rPr>
                <w:rFonts w:cs="Arial"/>
                <w:sz w:val="20"/>
              </w:rPr>
              <w:t>Available Bed Day</w:t>
            </w:r>
          </w:p>
          <w:p w:rsidR="00391316" w:rsidRPr="0070584C" w:rsidRDefault="00391316" w:rsidP="00AD5980">
            <w:pPr>
              <w:rPr>
                <w:rFonts w:cs="Arial"/>
                <w:sz w:val="20"/>
              </w:rPr>
            </w:pPr>
          </w:p>
        </w:tc>
      </w:tr>
      <w:tr w:rsidR="00FB7038" w:rsidRPr="0070584C" w:rsidTr="00AD5980">
        <w:trPr>
          <w:cantSplit/>
        </w:trPr>
        <w:tc>
          <w:tcPr>
            <w:tcW w:w="557" w:type="pct"/>
            <w:tcBorders>
              <w:top w:val="single" w:sz="4" w:space="0" w:color="auto"/>
              <w:left w:val="single" w:sz="4" w:space="0" w:color="auto"/>
              <w:bottom w:val="single" w:sz="4" w:space="0" w:color="auto"/>
              <w:right w:val="single" w:sz="4" w:space="0" w:color="auto"/>
            </w:tcBorders>
          </w:tcPr>
          <w:p w:rsidR="00391316" w:rsidRPr="0070584C" w:rsidDel="003F6AF0" w:rsidRDefault="00391316" w:rsidP="00AD5980">
            <w:pPr>
              <w:rPr>
                <w:rFonts w:cs="Arial"/>
                <w:sz w:val="20"/>
              </w:rPr>
            </w:pPr>
            <w:r w:rsidRPr="0070584C">
              <w:rPr>
                <w:rFonts w:cs="Arial"/>
                <w:sz w:val="20"/>
              </w:rPr>
              <w:t>MHD78A</w:t>
            </w:r>
          </w:p>
        </w:tc>
        <w:tc>
          <w:tcPr>
            <w:tcW w:w="788" w:type="pct"/>
            <w:tcBorders>
              <w:top w:val="single" w:sz="4" w:space="0" w:color="auto"/>
              <w:left w:val="single" w:sz="4" w:space="0" w:color="auto"/>
              <w:bottom w:val="single" w:sz="4" w:space="0" w:color="auto"/>
              <w:right w:val="single" w:sz="4" w:space="0" w:color="auto"/>
            </w:tcBorders>
          </w:tcPr>
          <w:p w:rsidR="00391316" w:rsidRPr="0070584C" w:rsidRDefault="00391316" w:rsidP="00AD5980">
            <w:pPr>
              <w:rPr>
                <w:rFonts w:cs="Arial"/>
                <w:sz w:val="20"/>
              </w:rPr>
            </w:pPr>
            <w:r w:rsidRPr="0070584C">
              <w:rPr>
                <w:rFonts w:cs="Arial"/>
                <w:sz w:val="20"/>
              </w:rPr>
              <w:t>Managed withdrawal home community – Senior medical staff</w:t>
            </w:r>
          </w:p>
        </w:tc>
        <w:tc>
          <w:tcPr>
            <w:tcW w:w="3081" w:type="pct"/>
            <w:tcBorders>
              <w:top w:val="single" w:sz="4" w:space="0" w:color="auto"/>
              <w:left w:val="single" w:sz="4" w:space="0" w:color="auto"/>
              <w:bottom w:val="single" w:sz="4" w:space="0" w:color="auto"/>
              <w:right w:val="single" w:sz="4" w:space="0" w:color="auto"/>
            </w:tcBorders>
          </w:tcPr>
          <w:p w:rsidR="00391316" w:rsidRPr="0070584C" w:rsidRDefault="00391316" w:rsidP="00AD5980">
            <w:pPr>
              <w:rPr>
                <w:rFonts w:cs="Arial"/>
                <w:sz w:val="20"/>
              </w:rPr>
            </w:pPr>
            <w:r w:rsidRPr="0070584C">
              <w:rPr>
                <w:rFonts w:cs="Arial"/>
                <w:sz w:val="20"/>
                <w:lang w:val="en-US" w:eastAsia="en-US"/>
              </w:rPr>
              <w:t>Service providing programmes that support a controlled and safe withdrawal from alcohol and other drugs. The programmes will acknowledge and work with people with co-existing mental health problems. These programmes are available within outpatient and community settings. The service is provided by senior medical staff.</w:t>
            </w:r>
          </w:p>
        </w:tc>
        <w:tc>
          <w:tcPr>
            <w:tcW w:w="574" w:type="pct"/>
            <w:tcBorders>
              <w:top w:val="single" w:sz="4" w:space="0" w:color="auto"/>
              <w:left w:val="single" w:sz="4" w:space="0" w:color="auto"/>
              <w:bottom w:val="single" w:sz="4" w:space="0" w:color="auto"/>
              <w:right w:val="single" w:sz="4" w:space="0" w:color="auto"/>
            </w:tcBorders>
          </w:tcPr>
          <w:p w:rsidR="00391316" w:rsidRPr="0070584C" w:rsidRDefault="00391316" w:rsidP="00AD5980">
            <w:pPr>
              <w:rPr>
                <w:rFonts w:cs="Arial"/>
                <w:sz w:val="20"/>
              </w:rPr>
            </w:pPr>
            <w:r w:rsidRPr="0070584C">
              <w:rPr>
                <w:rFonts w:cs="Arial"/>
                <w:sz w:val="20"/>
              </w:rPr>
              <w:t>FTE</w:t>
            </w:r>
          </w:p>
        </w:tc>
      </w:tr>
      <w:tr w:rsidR="00FB7038" w:rsidRPr="0070584C" w:rsidTr="00AD5980">
        <w:trPr>
          <w:cantSplit/>
        </w:trPr>
        <w:tc>
          <w:tcPr>
            <w:tcW w:w="557" w:type="pct"/>
            <w:tcBorders>
              <w:top w:val="single" w:sz="4" w:space="0" w:color="auto"/>
              <w:left w:val="single" w:sz="4" w:space="0" w:color="auto"/>
              <w:bottom w:val="single" w:sz="4" w:space="0" w:color="auto"/>
              <w:right w:val="single" w:sz="4" w:space="0" w:color="auto"/>
            </w:tcBorders>
          </w:tcPr>
          <w:p w:rsidR="00391316" w:rsidRPr="0070584C" w:rsidDel="003F6AF0" w:rsidRDefault="00391316" w:rsidP="00AD5980">
            <w:pPr>
              <w:rPr>
                <w:rFonts w:cs="Arial"/>
                <w:sz w:val="20"/>
              </w:rPr>
            </w:pPr>
            <w:r w:rsidRPr="0070584C">
              <w:rPr>
                <w:rFonts w:cs="Arial"/>
                <w:sz w:val="20"/>
              </w:rPr>
              <w:t>MHD78B</w:t>
            </w:r>
          </w:p>
        </w:tc>
        <w:tc>
          <w:tcPr>
            <w:tcW w:w="788" w:type="pct"/>
            <w:tcBorders>
              <w:top w:val="single" w:sz="4" w:space="0" w:color="auto"/>
              <w:left w:val="single" w:sz="4" w:space="0" w:color="auto"/>
              <w:bottom w:val="single" w:sz="4" w:space="0" w:color="auto"/>
              <w:right w:val="single" w:sz="4" w:space="0" w:color="auto"/>
            </w:tcBorders>
          </w:tcPr>
          <w:p w:rsidR="00391316" w:rsidRPr="0070584C" w:rsidRDefault="00391316" w:rsidP="00AD5980">
            <w:pPr>
              <w:rPr>
                <w:rFonts w:cs="Arial"/>
                <w:sz w:val="20"/>
              </w:rPr>
            </w:pPr>
            <w:r w:rsidRPr="0070584C">
              <w:rPr>
                <w:rFonts w:cs="Arial"/>
                <w:sz w:val="20"/>
              </w:rPr>
              <w:t>Managed withdrawal home community – Junior medical staff</w:t>
            </w:r>
          </w:p>
        </w:tc>
        <w:tc>
          <w:tcPr>
            <w:tcW w:w="3081" w:type="pct"/>
            <w:tcBorders>
              <w:top w:val="single" w:sz="4" w:space="0" w:color="auto"/>
              <w:left w:val="single" w:sz="4" w:space="0" w:color="auto"/>
              <w:bottom w:val="single" w:sz="4" w:space="0" w:color="auto"/>
              <w:right w:val="single" w:sz="4" w:space="0" w:color="auto"/>
            </w:tcBorders>
          </w:tcPr>
          <w:p w:rsidR="00391316" w:rsidRPr="0070584C" w:rsidRDefault="00391316" w:rsidP="00AD5980">
            <w:pPr>
              <w:rPr>
                <w:rFonts w:cs="Arial"/>
                <w:sz w:val="20"/>
              </w:rPr>
            </w:pPr>
            <w:r w:rsidRPr="0070584C">
              <w:rPr>
                <w:rFonts w:cs="Arial"/>
                <w:sz w:val="20"/>
                <w:lang w:val="en-US" w:eastAsia="en-US"/>
              </w:rPr>
              <w:t>Service providing programmes that support a controlled and safe withdrawal from alcohol and other drugs. The programmes will acknowledge and work with people with co-existing mental health problems. These programmes are available within outpatient and community settings. The service is provided by junior medical staff.</w:t>
            </w:r>
          </w:p>
        </w:tc>
        <w:tc>
          <w:tcPr>
            <w:tcW w:w="574" w:type="pct"/>
            <w:tcBorders>
              <w:top w:val="single" w:sz="4" w:space="0" w:color="auto"/>
              <w:left w:val="single" w:sz="4" w:space="0" w:color="auto"/>
              <w:bottom w:val="single" w:sz="4" w:space="0" w:color="auto"/>
              <w:right w:val="single" w:sz="4" w:space="0" w:color="auto"/>
            </w:tcBorders>
          </w:tcPr>
          <w:p w:rsidR="00391316" w:rsidRPr="0070584C" w:rsidRDefault="00391316" w:rsidP="00AD5980">
            <w:pPr>
              <w:rPr>
                <w:rFonts w:cs="Arial"/>
                <w:sz w:val="20"/>
              </w:rPr>
            </w:pPr>
            <w:r w:rsidRPr="0070584C">
              <w:rPr>
                <w:rFonts w:cs="Arial"/>
                <w:sz w:val="20"/>
              </w:rPr>
              <w:t>FTE</w:t>
            </w:r>
          </w:p>
        </w:tc>
      </w:tr>
      <w:tr w:rsidR="00FB7038" w:rsidRPr="0070584C" w:rsidTr="00AD5980">
        <w:trPr>
          <w:cantSplit/>
        </w:trPr>
        <w:tc>
          <w:tcPr>
            <w:tcW w:w="557" w:type="pct"/>
            <w:tcBorders>
              <w:top w:val="single" w:sz="4" w:space="0" w:color="auto"/>
              <w:left w:val="single" w:sz="4" w:space="0" w:color="auto"/>
              <w:bottom w:val="single" w:sz="4" w:space="0" w:color="auto"/>
              <w:right w:val="single" w:sz="4" w:space="0" w:color="auto"/>
            </w:tcBorders>
          </w:tcPr>
          <w:p w:rsidR="00391316" w:rsidRPr="0070584C" w:rsidDel="003F6AF0" w:rsidRDefault="00391316" w:rsidP="00AD5980">
            <w:pPr>
              <w:rPr>
                <w:rFonts w:cs="Arial"/>
                <w:sz w:val="20"/>
              </w:rPr>
            </w:pPr>
            <w:r w:rsidRPr="0070584C">
              <w:rPr>
                <w:rFonts w:cs="Arial"/>
                <w:sz w:val="20"/>
              </w:rPr>
              <w:t>MHD78C</w:t>
            </w:r>
          </w:p>
        </w:tc>
        <w:tc>
          <w:tcPr>
            <w:tcW w:w="788" w:type="pct"/>
            <w:tcBorders>
              <w:top w:val="single" w:sz="4" w:space="0" w:color="auto"/>
              <w:left w:val="single" w:sz="4" w:space="0" w:color="auto"/>
              <w:bottom w:val="single" w:sz="4" w:space="0" w:color="auto"/>
              <w:right w:val="single" w:sz="4" w:space="0" w:color="auto"/>
            </w:tcBorders>
          </w:tcPr>
          <w:p w:rsidR="00391316" w:rsidRPr="0070584C" w:rsidRDefault="00391316" w:rsidP="00AD5980">
            <w:pPr>
              <w:rPr>
                <w:rFonts w:cs="Arial"/>
                <w:sz w:val="20"/>
              </w:rPr>
            </w:pPr>
            <w:r w:rsidRPr="0070584C">
              <w:rPr>
                <w:rFonts w:cs="Arial"/>
                <w:sz w:val="20"/>
              </w:rPr>
              <w:t>Managed withdrawal home community – Nursing and allied health staff</w:t>
            </w:r>
          </w:p>
        </w:tc>
        <w:tc>
          <w:tcPr>
            <w:tcW w:w="3081" w:type="pct"/>
            <w:tcBorders>
              <w:top w:val="single" w:sz="4" w:space="0" w:color="auto"/>
              <w:left w:val="single" w:sz="4" w:space="0" w:color="auto"/>
              <w:bottom w:val="single" w:sz="4" w:space="0" w:color="auto"/>
              <w:right w:val="single" w:sz="4" w:space="0" w:color="auto"/>
            </w:tcBorders>
          </w:tcPr>
          <w:p w:rsidR="00391316" w:rsidRPr="0070584C" w:rsidRDefault="00391316" w:rsidP="00AD5980">
            <w:pPr>
              <w:rPr>
                <w:rFonts w:cs="Arial"/>
                <w:sz w:val="20"/>
              </w:rPr>
            </w:pPr>
            <w:r w:rsidRPr="0070584C">
              <w:rPr>
                <w:rFonts w:cs="Arial"/>
                <w:sz w:val="20"/>
                <w:lang w:val="en-US" w:eastAsia="en-US"/>
              </w:rPr>
              <w:t xml:space="preserve">Service providing programmes that support a controlled and safe withdrawal from alcohol and other drugs. The programmes will acknowledge and work with people with co-existing mental health problems. These programmes are available within outpatient and community settings. The service is provided by nursing and allied health staff. </w:t>
            </w:r>
          </w:p>
        </w:tc>
        <w:tc>
          <w:tcPr>
            <w:tcW w:w="574" w:type="pct"/>
            <w:tcBorders>
              <w:top w:val="single" w:sz="4" w:space="0" w:color="auto"/>
              <w:left w:val="single" w:sz="4" w:space="0" w:color="auto"/>
              <w:bottom w:val="single" w:sz="4" w:space="0" w:color="auto"/>
              <w:right w:val="single" w:sz="4" w:space="0" w:color="auto"/>
            </w:tcBorders>
          </w:tcPr>
          <w:p w:rsidR="00391316" w:rsidRPr="0070584C" w:rsidRDefault="00391316" w:rsidP="00AD5980">
            <w:pPr>
              <w:rPr>
                <w:rFonts w:cs="Arial"/>
                <w:sz w:val="20"/>
              </w:rPr>
            </w:pPr>
            <w:r w:rsidRPr="0070584C">
              <w:rPr>
                <w:rFonts w:cs="Arial"/>
                <w:sz w:val="20"/>
              </w:rPr>
              <w:t>FTE</w:t>
            </w:r>
          </w:p>
        </w:tc>
      </w:tr>
      <w:tr w:rsidR="00FB7038" w:rsidRPr="0070584C" w:rsidTr="00AD5980">
        <w:trPr>
          <w:cantSplit/>
        </w:trPr>
        <w:tc>
          <w:tcPr>
            <w:tcW w:w="557" w:type="pct"/>
            <w:tcBorders>
              <w:top w:val="single" w:sz="4" w:space="0" w:color="auto"/>
              <w:left w:val="single" w:sz="4" w:space="0" w:color="auto"/>
              <w:bottom w:val="single" w:sz="4" w:space="0" w:color="auto"/>
              <w:right w:val="single" w:sz="4" w:space="0" w:color="auto"/>
            </w:tcBorders>
          </w:tcPr>
          <w:p w:rsidR="00391316" w:rsidRPr="0070584C" w:rsidRDefault="00391316" w:rsidP="00AD5980">
            <w:pPr>
              <w:rPr>
                <w:rFonts w:cs="Arial"/>
                <w:sz w:val="20"/>
              </w:rPr>
            </w:pPr>
            <w:r w:rsidRPr="0070584C">
              <w:rPr>
                <w:rFonts w:cs="Arial"/>
                <w:sz w:val="20"/>
              </w:rPr>
              <w:t>MHD78D</w:t>
            </w:r>
          </w:p>
        </w:tc>
        <w:tc>
          <w:tcPr>
            <w:tcW w:w="788" w:type="pct"/>
            <w:tcBorders>
              <w:top w:val="single" w:sz="4" w:space="0" w:color="auto"/>
              <w:left w:val="single" w:sz="4" w:space="0" w:color="auto"/>
              <w:bottom w:val="single" w:sz="4" w:space="0" w:color="auto"/>
              <w:right w:val="single" w:sz="4" w:space="0" w:color="auto"/>
            </w:tcBorders>
          </w:tcPr>
          <w:p w:rsidR="00391316" w:rsidRPr="0070584C" w:rsidRDefault="00391316" w:rsidP="00AD5980">
            <w:pPr>
              <w:rPr>
                <w:rFonts w:cs="Arial"/>
                <w:sz w:val="20"/>
              </w:rPr>
            </w:pPr>
            <w:r w:rsidRPr="0070584C">
              <w:rPr>
                <w:rFonts w:cs="Arial"/>
                <w:sz w:val="20"/>
              </w:rPr>
              <w:t>Managed withdrawal home community – Non-clinical staff</w:t>
            </w:r>
          </w:p>
        </w:tc>
        <w:tc>
          <w:tcPr>
            <w:tcW w:w="3081" w:type="pct"/>
            <w:tcBorders>
              <w:top w:val="single" w:sz="4" w:space="0" w:color="auto"/>
              <w:left w:val="single" w:sz="4" w:space="0" w:color="auto"/>
              <w:bottom w:val="single" w:sz="4" w:space="0" w:color="auto"/>
              <w:right w:val="single" w:sz="4" w:space="0" w:color="auto"/>
            </w:tcBorders>
          </w:tcPr>
          <w:p w:rsidR="00391316" w:rsidRPr="0070584C" w:rsidRDefault="00391316" w:rsidP="00AD5980">
            <w:pPr>
              <w:rPr>
                <w:rFonts w:cs="Arial"/>
                <w:sz w:val="20"/>
              </w:rPr>
            </w:pPr>
            <w:r w:rsidRPr="0070584C">
              <w:rPr>
                <w:rFonts w:cs="Arial"/>
                <w:sz w:val="20"/>
                <w:lang w:val="en-US" w:eastAsia="en-US"/>
              </w:rPr>
              <w:t>Service providing programmes that support a controlled and safe withdrawal from alcohol and other drugs. The programmes will acknowledge and work with people with co-existing mental health problems. These programmes are available within outpatient and community settings. The service is provided by non-clinical staff.</w:t>
            </w:r>
          </w:p>
        </w:tc>
        <w:tc>
          <w:tcPr>
            <w:tcW w:w="574" w:type="pct"/>
            <w:tcBorders>
              <w:top w:val="single" w:sz="4" w:space="0" w:color="auto"/>
              <w:left w:val="single" w:sz="4" w:space="0" w:color="auto"/>
              <w:bottom w:val="single" w:sz="4" w:space="0" w:color="auto"/>
              <w:right w:val="single" w:sz="4" w:space="0" w:color="auto"/>
            </w:tcBorders>
          </w:tcPr>
          <w:p w:rsidR="00391316" w:rsidRPr="0070584C" w:rsidRDefault="00391316" w:rsidP="00AD5980">
            <w:pPr>
              <w:rPr>
                <w:rFonts w:cs="Arial"/>
                <w:sz w:val="20"/>
              </w:rPr>
            </w:pPr>
            <w:r w:rsidRPr="0070584C">
              <w:rPr>
                <w:rFonts w:cs="Arial"/>
                <w:sz w:val="20"/>
              </w:rPr>
              <w:t>FTE</w:t>
            </w:r>
          </w:p>
        </w:tc>
      </w:tr>
      <w:tr w:rsidR="005F2E67" w:rsidRPr="0070584C" w:rsidTr="00FB7038">
        <w:trPr>
          <w:cantSplit/>
        </w:trPr>
        <w:tc>
          <w:tcPr>
            <w:tcW w:w="557" w:type="pct"/>
            <w:tcBorders>
              <w:top w:val="single" w:sz="4" w:space="0" w:color="auto"/>
              <w:left w:val="single" w:sz="4" w:space="0" w:color="auto"/>
              <w:bottom w:val="single" w:sz="4" w:space="0" w:color="auto"/>
              <w:right w:val="single" w:sz="4" w:space="0" w:color="auto"/>
            </w:tcBorders>
          </w:tcPr>
          <w:p w:rsidR="005F2E67" w:rsidRPr="0070584C" w:rsidRDefault="005F2E67" w:rsidP="00AD5980">
            <w:pPr>
              <w:rPr>
                <w:rFonts w:cs="Arial"/>
                <w:sz w:val="20"/>
              </w:rPr>
            </w:pPr>
            <w:r>
              <w:rPr>
                <w:rFonts w:cs="Arial"/>
                <w:sz w:val="20"/>
              </w:rPr>
              <w:t>MHD78S</w:t>
            </w:r>
          </w:p>
        </w:tc>
        <w:tc>
          <w:tcPr>
            <w:tcW w:w="788" w:type="pct"/>
            <w:tcBorders>
              <w:top w:val="single" w:sz="4" w:space="0" w:color="auto"/>
              <w:left w:val="single" w:sz="4" w:space="0" w:color="auto"/>
              <w:bottom w:val="single" w:sz="4" w:space="0" w:color="auto"/>
              <w:right w:val="single" w:sz="4" w:space="0" w:color="auto"/>
            </w:tcBorders>
          </w:tcPr>
          <w:p w:rsidR="005F2E67" w:rsidRPr="0070584C" w:rsidRDefault="005F2E67" w:rsidP="00AD5980">
            <w:pPr>
              <w:rPr>
                <w:rFonts w:cs="Arial"/>
                <w:sz w:val="20"/>
              </w:rPr>
            </w:pPr>
            <w:r>
              <w:rPr>
                <w:rFonts w:cs="Arial"/>
                <w:sz w:val="20"/>
              </w:rPr>
              <w:t>Managed withdrawal home community</w:t>
            </w:r>
          </w:p>
        </w:tc>
        <w:tc>
          <w:tcPr>
            <w:tcW w:w="3081" w:type="pct"/>
            <w:tcBorders>
              <w:top w:val="single" w:sz="4" w:space="0" w:color="auto"/>
              <w:left w:val="single" w:sz="4" w:space="0" w:color="auto"/>
              <w:bottom w:val="single" w:sz="4" w:space="0" w:color="auto"/>
              <w:right w:val="single" w:sz="4" w:space="0" w:color="auto"/>
            </w:tcBorders>
          </w:tcPr>
          <w:p w:rsidR="005F2E67" w:rsidRPr="0070584C" w:rsidRDefault="005F2E67" w:rsidP="00AD5980">
            <w:pPr>
              <w:rPr>
                <w:rFonts w:cs="Arial"/>
                <w:sz w:val="20"/>
                <w:lang w:val="en-US" w:eastAsia="en-US"/>
              </w:rPr>
            </w:pPr>
            <w:r w:rsidRPr="005F2E67">
              <w:rPr>
                <w:rFonts w:cs="Arial"/>
                <w:sz w:val="20"/>
                <w:lang w:val="en-US" w:eastAsia="en-US"/>
              </w:rPr>
              <w:t>Service providing programmes that support a controlled and safe withdrawal from alcohol and other drugs. The programmes will acknowledge and work with people with co-existing mental health problems. These programmes are available within outpatient and community settings</w:t>
            </w:r>
          </w:p>
        </w:tc>
        <w:tc>
          <w:tcPr>
            <w:tcW w:w="574" w:type="pct"/>
            <w:tcBorders>
              <w:top w:val="single" w:sz="4" w:space="0" w:color="auto"/>
              <w:left w:val="single" w:sz="4" w:space="0" w:color="auto"/>
              <w:bottom w:val="single" w:sz="4" w:space="0" w:color="auto"/>
              <w:right w:val="single" w:sz="4" w:space="0" w:color="auto"/>
            </w:tcBorders>
          </w:tcPr>
          <w:p w:rsidR="005F2E67" w:rsidRPr="0070584C" w:rsidRDefault="005F2E67" w:rsidP="00AD5980">
            <w:pPr>
              <w:rPr>
                <w:rFonts w:cs="Arial"/>
                <w:sz w:val="20"/>
              </w:rPr>
            </w:pPr>
            <w:r>
              <w:rPr>
                <w:rFonts w:cs="Arial"/>
                <w:sz w:val="20"/>
              </w:rPr>
              <w:t>Service</w:t>
            </w:r>
          </w:p>
        </w:tc>
      </w:tr>
    </w:tbl>
    <w:p w:rsidR="009042EF" w:rsidRDefault="009042EF">
      <w:pPr>
        <w:rPr>
          <w:rFonts w:cs="Arial"/>
          <w:b/>
          <w:sz w:val="24"/>
          <w:szCs w:val="24"/>
        </w:rPr>
      </w:pPr>
    </w:p>
    <w:tbl>
      <w:tblPr>
        <w:tblStyle w:val="TableGrid"/>
        <w:tblW w:w="9810" w:type="dxa"/>
        <w:tblInd w:w="-34" w:type="dxa"/>
        <w:tblLook w:val="04A0" w:firstRow="1" w:lastRow="0" w:firstColumn="1" w:lastColumn="0" w:noHBand="0" w:noVBand="1"/>
      </w:tblPr>
      <w:tblGrid>
        <w:gridCol w:w="1560"/>
        <w:gridCol w:w="8250"/>
      </w:tblGrid>
      <w:tr w:rsidR="00391316" w:rsidRPr="00733B37" w:rsidTr="009078A7">
        <w:tc>
          <w:tcPr>
            <w:tcW w:w="1560" w:type="dxa"/>
            <w:shd w:val="clear" w:color="auto" w:fill="D9D9D9" w:themeFill="background1" w:themeFillShade="D9"/>
          </w:tcPr>
          <w:p w:rsidR="00391316" w:rsidRPr="00AD5980" w:rsidRDefault="00391316" w:rsidP="006719D9">
            <w:pPr>
              <w:spacing w:before="120"/>
              <w:rPr>
                <w:rFonts w:cs="Arial"/>
                <w:b/>
                <w:sz w:val="20"/>
              </w:rPr>
            </w:pPr>
            <w:r w:rsidRPr="00AD5980">
              <w:rPr>
                <w:rFonts w:cs="Arial"/>
                <w:b/>
                <w:sz w:val="20"/>
              </w:rPr>
              <w:t>Unit of Measure</w:t>
            </w:r>
          </w:p>
        </w:tc>
        <w:tc>
          <w:tcPr>
            <w:tcW w:w="8250" w:type="dxa"/>
            <w:shd w:val="clear" w:color="auto" w:fill="D9D9D9" w:themeFill="background1" w:themeFillShade="D9"/>
          </w:tcPr>
          <w:p w:rsidR="00391316" w:rsidRPr="00AD5980" w:rsidRDefault="00391316" w:rsidP="006719D9">
            <w:pPr>
              <w:spacing w:before="120"/>
              <w:rPr>
                <w:rFonts w:cs="Arial"/>
                <w:b/>
                <w:sz w:val="20"/>
              </w:rPr>
            </w:pPr>
            <w:r w:rsidRPr="00AD5980">
              <w:rPr>
                <w:rFonts w:cs="Arial"/>
                <w:b/>
                <w:sz w:val="20"/>
              </w:rPr>
              <w:t>Unit of Measure Definition</w:t>
            </w:r>
          </w:p>
        </w:tc>
      </w:tr>
      <w:tr w:rsidR="00391316" w:rsidRPr="00733B37" w:rsidTr="009078A7">
        <w:tc>
          <w:tcPr>
            <w:tcW w:w="1560" w:type="dxa"/>
          </w:tcPr>
          <w:p w:rsidR="00391316" w:rsidRPr="00733B37" w:rsidRDefault="00391316" w:rsidP="00AD5980">
            <w:pPr>
              <w:jc w:val="both"/>
              <w:rPr>
                <w:rFonts w:cs="Arial"/>
                <w:sz w:val="20"/>
              </w:rPr>
            </w:pPr>
            <w:r>
              <w:rPr>
                <w:rFonts w:cs="Arial"/>
                <w:sz w:val="20"/>
              </w:rPr>
              <w:t>Available Day Bed</w:t>
            </w:r>
          </w:p>
        </w:tc>
        <w:tc>
          <w:tcPr>
            <w:tcW w:w="8250" w:type="dxa"/>
          </w:tcPr>
          <w:p w:rsidR="00391316" w:rsidRPr="00733B37" w:rsidRDefault="00391316" w:rsidP="00AD5980">
            <w:pPr>
              <w:jc w:val="both"/>
              <w:rPr>
                <w:rFonts w:cs="Arial"/>
                <w:sz w:val="20"/>
              </w:rPr>
            </w:pPr>
            <w:r w:rsidRPr="0070584C">
              <w:rPr>
                <w:rFonts w:cs="Arial"/>
                <w:sz w:val="20"/>
                <w:lang w:val="en-US" w:eastAsia="en-US"/>
              </w:rPr>
              <w:t>Total number of inpatient beds that are available to be occupied during the period multiplied by the number of days they are available during that period. To be counted as available the bed must be resourced, and either empty or occupied by a user of this service.</w:t>
            </w:r>
          </w:p>
        </w:tc>
      </w:tr>
      <w:tr w:rsidR="00391316" w:rsidRPr="00733B37" w:rsidTr="009078A7">
        <w:tc>
          <w:tcPr>
            <w:tcW w:w="1560" w:type="dxa"/>
          </w:tcPr>
          <w:p w:rsidR="00391316" w:rsidRPr="00733B37" w:rsidRDefault="00391316" w:rsidP="00AD5980">
            <w:pPr>
              <w:jc w:val="both"/>
              <w:rPr>
                <w:rFonts w:cs="Arial"/>
                <w:sz w:val="20"/>
              </w:rPr>
            </w:pPr>
            <w:r w:rsidRPr="00733B37">
              <w:rPr>
                <w:rFonts w:cs="Arial"/>
                <w:sz w:val="20"/>
              </w:rPr>
              <w:t>FTE</w:t>
            </w:r>
          </w:p>
        </w:tc>
        <w:tc>
          <w:tcPr>
            <w:tcW w:w="8250" w:type="dxa"/>
          </w:tcPr>
          <w:p w:rsidR="00391316" w:rsidRPr="00733B37" w:rsidRDefault="00391316" w:rsidP="00AD5980">
            <w:pPr>
              <w:jc w:val="both"/>
              <w:rPr>
                <w:rFonts w:cs="Arial"/>
                <w:sz w:val="20"/>
              </w:rPr>
            </w:pPr>
            <w:r w:rsidRPr="00733B37">
              <w:rPr>
                <w:rFonts w:cs="Arial"/>
                <w:sz w:val="20"/>
              </w:rPr>
              <w:t>Full-time equivalent staff member (clinical or non-clinical) involved in direct delivery of services to consumers.  Exclude time that is formally devoted to administrative or management functions e.g. half-time coordination of a community team.</w:t>
            </w:r>
          </w:p>
        </w:tc>
      </w:tr>
      <w:tr w:rsidR="00391316" w:rsidRPr="00733B37" w:rsidTr="009078A7">
        <w:tc>
          <w:tcPr>
            <w:tcW w:w="1560" w:type="dxa"/>
          </w:tcPr>
          <w:p w:rsidR="00391316" w:rsidRPr="00733B37" w:rsidRDefault="00391316" w:rsidP="00AD5980">
            <w:pPr>
              <w:jc w:val="both"/>
              <w:rPr>
                <w:rFonts w:cs="Arial"/>
                <w:sz w:val="20"/>
              </w:rPr>
            </w:pPr>
            <w:r w:rsidRPr="00733B37">
              <w:rPr>
                <w:rFonts w:cs="Arial"/>
                <w:sz w:val="20"/>
              </w:rPr>
              <w:t>Service</w:t>
            </w:r>
          </w:p>
        </w:tc>
        <w:tc>
          <w:tcPr>
            <w:tcW w:w="8250" w:type="dxa"/>
          </w:tcPr>
          <w:p w:rsidR="00FB7038" w:rsidRPr="00733B37" w:rsidRDefault="00391316" w:rsidP="00AD5980">
            <w:pPr>
              <w:jc w:val="both"/>
              <w:rPr>
                <w:rFonts w:cs="Arial"/>
                <w:sz w:val="20"/>
              </w:rPr>
            </w:pPr>
            <w:r w:rsidRPr="00733B37">
              <w:rPr>
                <w:rFonts w:cs="Arial"/>
                <w:sz w:val="20"/>
              </w:rPr>
              <w:t>Service purchased in a block arrangement uniquely agreed between the parties to the agreement</w:t>
            </w:r>
            <w:r w:rsidR="00AD5980">
              <w:rPr>
                <w:rFonts w:cs="Arial"/>
                <w:sz w:val="20"/>
              </w:rPr>
              <w:t>.</w:t>
            </w:r>
          </w:p>
        </w:tc>
      </w:tr>
    </w:tbl>
    <w:p w:rsidR="00230DFB" w:rsidRPr="0070584C" w:rsidRDefault="009042EF" w:rsidP="006A2A3E">
      <w:pPr>
        <w:jc w:val="both"/>
        <w:rPr>
          <w:rFonts w:cs="Arial"/>
          <w:b/>
          <w:sz w:val="24"/>
          <w:szCs w:val="24"/>
        </w:rPr>
      </w:pPr>
      <w:r>
        <w:rPr>
          <w:rFonts w:cs="Arial"/>
          <w:b/>
          <w:sz w:val="24"/>
          <w:szCs w:val="24"/>
        </w:rPr>
        <w:lastRenderedPageBreak/>
        <w:t>7.2</w:t>
      </w:r>
      <w:r w:rsidR="00230DFB" w:rsidRPr="0070584C">
        <w:rPr>
          <w:rFonts w:cs="Arial"/>
          <w:b/>
          <w:sz w:val="24"/>
          <w:szCs w:val="24"/>
        </w:rPr>
        <w:tab/>
        <w:t>Reporting</w:t>
      </w:r>
    </w:p>
    <w:p w:rsidR="00E02497" w:rsidRPr="00291C5E" w:rsidRDefault="00E02497" w:rsidP="00E02497">
      <w:pPr>
        <w:spacing w:before="120"/>
        <w:rPr>
          <w:rFonts w:cs="Arial"/>
          <w:sz w:val="24"/>
          <w:szCs w:val="24"/>
        </w:rPr>
      </w:pPr>
      <w:r w:rsidRPr="00291C5E">
        <w:rPr>
          <w:rFonts w:cs="Arial"/>
          <w:sz w:val="24"/>
          <w:szCs w:val="24"/>
        </w:rPr>
        <w:t>The Provider must comply with the requirements of national data collections: PRIMHD.</w:t>
      </w:r>
    </w:p>
    <w:p w:rsidR="00E02497" w:rsidRPr="00291C5E" w:rsidRDefault="00E02497" w:rsidP="00E02497">
      <w:pPr>
        <w:spacing w:before="120" w:after="120"/>
        <w:rPr>
          <w:rFonts w:cs="Arial"/>
          <w:sz w:val="24"/>
          <w:szCs w:val="24"/>
        </w:rPr>
      </w:pPr>
      <w:r w:rsidRPr="00291C5E">
        <w:rPr>
          <w:rFonts w:cs="Arial"/>
          <w:sz w:val="24"/>
          <w:szCs w:val="24"/>
        </w:rPr>
        <w:t xml:space="preserve">Additional information to be reported and the frequency of collection are specified by the Funder in the Provider Specific Terms and Conditions as agreed with the Service Provider. </w:t>
      </w:r>
    </w:p>
    <w:p w:rsidR="00E02497" w:rsidRPr="00291C5E" w:rsidRDefault="00E02497" w:rsidP="00E02497">
      <w:pPr>
        <w:spacing w:before="120"/>
        <w:rPr>
          <w:rFonts w:cs="Arial"/>
          <w:sz w:val="24"/>
          <w:szCs w:val="24"/>
        </w:rPr>
      </w:pPr>
      <w:r w:rsidRPr="00291C5E">
        <w:rPr>
          <w:rFonts w:cs="Arial"/>
          <w:sz w:val="24"/>
          <w:szCs w:val="24"/>
        </w:rPr>
        <w:t>The information required by the Funder will be sent to:</w:t>
      </w:r>
    </w:p>
    <w:p w:rsidR="00E02497" w:rsidRPr="00291C5E" w:rsidRDefault="00E02497" w:rsidP="00E02497">
      <w:pPr>
        <w:spacing w:before="120"/>
        <w:ind w:left="720"/>
        <w:rPr>
          <w:sz w:val="24"/>
        </w:rPr>
      </w:pPr>
      <w:r w:rsidRPr="00291C5E">
        <w:rPr>
          <w:sz w:val="24"/>
        </w:rPr>
        <w:t>Performance Reporting</w:t>
      </w:r>
    </w:p>
    <w:p w:rsidR="00E02497" w:rsidRPr="00291C5E" w:rsidRDefault="00E02497" w:rsidP="00E02497">
      <w:pPr>
        <w:spacing w:before="120"/>
        <w:ind w:left="720"/>
        <w:rPr>
          <w:sz w:val="24"/>
        </w:rPr>
      </w:pPr>
      <w:r w:rsidRPr="00291C5E">
        <w:rPr>
          <w:sz w:val="24"/>
        </w:rPr>
        <w:t>Sector Operations</w:t>
      </w:r>
    </w:p>
    <w:p w:rsidR="00E02497" w:rsidRPr="00291C5E" w:rsidRDefault="00E02497" w:rsidP="00E02497">
      <w:pPr>
        <w:spacing w:before="120"/>
        <w:ind w:left="720"/>
        <w:rPr>
          <w:sz w:val="24"/>
        </w:rPr>
      </w:pPr>
      <w:r w:rsidRPr="00291C5E">
        <w:rPr>
          <w:sz w:val="24"/>
        </w:rPr>
        <w:t>Ministry of Health</w:t>
      </w:r>
    </w:p>
    <w:p w:rsidR="00E02497" w:rsidRPr="00291C5E" w:rsidRDefault="00E02497" w:rsidP="00E02497">
      <w:pPr>
        <w:spacing w:before="120"/>
        <w:ind w:left="720"/>
        <w:rPr>
          <w:sz w:val="24"/>
        </w:rPr>
      </w:pPr>
      <w:r w:rsidRPr="00291C5E">
        <w:rPr>
          <w:sz w:val="24"/>
        </w:rPr>
        <w:t>Private Bag 1942</w:t>
      </w:r>
    </w:p>
    <w:p w:rsidR="00E02497" w:rsidRPr="00291C5E" w:rsidRDefault="00E02497" w:rsidP="00E02497">
      <w:pPr>
        <w:spacing w:before="120"/>
        <w:ind w:left="720"/>
        <w:rPr>
          <w:sz w:val="24"/>
        </w:rPr>
      </w:pPr>
      <w:r w:rsidRPr="00291C5E">
        <w:rPr>
          <w:sz w:val="24"/>
        </w:rPr>
        <w:t>Dunedin 9054</w:t>
      </w:r>
    </w:p>
    <w:p w:rsidR="00E02497" w:rsidRPr="00291C5E" w:rsidRDefault="00E02497" w:rsidP="00E02497">
      <w:pPr>
        <w:spacing w:before="120"/>
        <w:rPr>
          <w:rFonts w:cs="Arial"/>
          <w:sz w:val="24"/>
          <w:szCs w:val="24"/>
        </w:rPr>
      </w:pPr>
      <w:r w:rsidRPr="00291C5E">
        <w:rPr>
          <w:rFonts w:cs="Arial"/>
          <w:sz w:val="24"/>
          <w:szCs w:val="24"/>
        </w:rPr>
        <w:t xml:space="preserve">Email </w:t>
      </w:r>
      <w:hyperlink r:id="rId10" w:history="1">
        <w:r w:rsidRPr="00291C5E">
          <w:rPr>
            <w:rFonts w:cs="Arial"/>
            <w:color w:val="0000FF"/>
            <w:sz w:val="24"/>
            <w:szCs w:val="24"/>
            <w:u w:val="single"/>
          </w:rPr>
          <w:t>performance_reporting@moh.govt.nz</w:t>
        </w:r>
      </w:hyperlink>
    </w:p>
    <w:p w:rsidR="00FB7038" w:rsidRPr="0070584C" w:rsidRDefault="00E02497" w:rsidP="006A2A3E">
      <w:pPr>
        <w:tabs>
          <w:tab w:val="left" w:pos="567"/>
          <w:tab w:val="left" w:pos="709"/>
          <w:tab w:val="left" w:pos="1701"/>
          <w:tab w:val="left" w:pos="2693"/>
        </w:tabs>
        <w:spacing w:before="120"/>
        <w:rPr>
          <w:rFonts w:cs="Arial"/>
          <w:sz w:val="24"/>
          <w:szCs w:val="24"/>
        </w:rPr>
      </w:pPr>
      <w:r w:rsidRPr="00291C5E">
        <w:rPr>
          <w:rFonts w:cs="Arial"/>
          <w:color w:val="000000"/>
          <w:sz w:val="24"/>
          <w:szCs w:val="24"/>
          <w:lang w:val="en-NZ" w:eastAsia="en-NZ"/>
        </w:rPr>
        <w:t xml:space="preserve">The Performance Monitoring </w:t>
      </w:r>
      <w:r w:rsidRPr="00291C5E">
        <w:rPr>
          <w:rFonts w:cs="Arial"/>
          <w:sz w:val="24"/>
          <w:szCs w:val="24"/>
          <w:lang w:val="en-AU" w:eastAsia="en-US"/>
        </w:rPr>
        <w:t>Reporting tables for the Mental Health and Addiction Service Specifications</w:t>
      </w:r>
      <w:r w:rsidRPr="00291C5E">
        <w:rPr>
          <w:rFonts w:cs="Arial"/>
          <w:sz w:val="24"/>
          <w:szCs w:val="24"/>
          <w:vertAlign w:val="superscript"/>
        </w:rPr>
        <w:footnoteReference w:id="1"/>
      </w:r>
      <w:r w:rsidRPr="00291C5E">
        <w:rPr>
          <w:rFonts w:cs="Arial"/>
          <w:sz w:val="24"/>
          <w:szCs w:val="24"/>
        </w:rPr>
        <w:t xml:space="preserve"> may be used for performance monitoring if specified as agreed with the Funder.</w:t>
      </w:r>
    </w:p>
    <w:sectPr w:rsidR="00FB7038" w:rsidRPr="0070584C" w:rsidSect="000030AD">
      <w:headerReference w:type="even" r:id="rId11"/>
      <w:footerReference w:type="even" r:id="rId12"/>
      <w:footerReference w:type="default" r:id="rId13"/>
      <w:pgSz w:w="11906" w:h="16838" w:code="9"/>
      <w:pgMar w:top="1440" w:right="1134" w:bottom="1440"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40E" w:rsidRDefault="0021240E">
      <w:r>
        <w:separator/>
      </w:r>
    </w:p>
  </w:endnote>
  <w:endnote w:type="continuationSeparator" w:id="0">
    <w:p w:rsidR="0021240E" w:rsidRDefault="0021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968" w:rsidRDefault="00330968"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0968" w:rsidRDefault="00330968" w:rsidP="000278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968" w:rsidRDefault="00330968"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4D31">
      <w:rPr>
        <w:rStyle w:val="PageNumber"/>
        <w:noProof/>
      </w:rPr>
      <w:t>2</w:t>
    </w:r>
    <w:r>
      <w:rPr>
        <w:rStyle w:val="PageNumber"/>
      </w:rPr>
      <w:fldChar w:fldCharType="end"/>
    </w:r>
  </w:p>
  <w:p w:rsidR="00330968" w:rsidRPr="00A82DC4" w:rsidRDefault="004D5125" w:rsidP="002E2D4A">
    <w:pPr>
      <w:pStyle w:val="Footer"/>
      <w:pBdr>
        <w:top w:val="single" w:sz="4" w:space="1" w:color="auto"/>
      </w:pBdr>
      <w:tabs>
        <w:tab w:val="center" w:pos="4536"/>
      </w:tabs>
      <w:ind w:right="360"/>
      <w:jc w:val="left"/>
      <w:rPr>
        <w:rFonts w:ascii="Arial" w:hAnsi="Arial" w:cs="Arial"/>
        <w:sz w:val="20"/>
      </w:rPr>
    </w:pPr>
    <w:r>
      <w:rPr>
        <w:rFonts w:ascii="Arial" w:hAnsi="Arial" w:cs="Arial"/>
        <w:sz w:val="20"/>
      </w:rPr>
      <w:t>Mental H</w:t>
    </w:r>
    <w:r w:rsidR="002E2D4A">
      <w:rPr>
        <w:rFonts w:ascii="Arial" w:hAnsi="Arial" w:cs="Arial"/>
        <w:sz w:val="20"/>
      </w:rPr>
      <w:t>ealth and Addiction Services</w:t>
    </w:r>
    <w:r>
      <w:rPr>
        <w:rFonts w:ascii="Arial" w:hAnsi="Arial" w:cs="Arial"/>
        <w:sz w:val="20"/>
      </w:rPr>
      <w:t>,</w:t>
    </w:r>
    <w:r w:rsidR="002E2D4A">
      <w:rPr>
        <w:rFonts w:ascii="Arial" w:hAnsi="Arial" w:cs="Arial"/>
        <w:sz w:val="20"/>
      </w:rPr>
      <w:t xml:space="preserve"> Addiction Services - </w:t>
    </w:r>
    <w:r w:rsidR="00330968">
      <w:rPr>
        <w:rFonts w:ascii="Arial" w:hAnsi="Arial" w:cs="Arial"/>
        <w:sz w:val="20"/>
      </w:rPr>
      <w:t xml:space="preserve">Managed Withdrawal Home or Community </w:t>
    </w:r>
    <w:r w:rsidR="005E43C3">
      <w:rPr>
        <w:rFonts w:ascii="Arial" w:hAnsi="Arial" w:cs="Arial"/>
        <w:sz w:val="20"/>
      </w:rPr>
      <w:t>t</w:t>
    </w:r>
    <w:r w:rsidR="00330968" w:rsidRPr="00A82DC4">
      <w:rPr>
        <w:rFonts w:ascii="Arial" w:hAnsi="Arial" w:cs="Arial"/>
        <w:sz w:val="20"/>
      </w:rPr>
      <w:t xml:space="preserve">ier </w:t>
    </w:r>
    <w:r w:rsidR="005E43C3">
      <w:rPr>
        <w:rFonts w:ascii="Arial" w:hAnsi="Arial" w:cs="Arial"/>
        <w:sz w:val="20"/>
      </w:rPr>
      <w:t>t</w:t>
    </w:r>
    <w:r w:rsidR="00330968">
      <w:rPr>
        <w:rFonts w:ascii="Arial" w:hAnsi="Arial" w:cs="Arial"/>
        <w:sz w:val="20"/>
      </w:rPr>
      <w:t xml:space="preserve">hree </w:t>
    </w:r>
    <w:r>
      <w:rPr>
        <w:rFonts w:ascii="Arial" w:hAnsi="Arial" w:cs="Arial"/>
        <w:sz w:val="20"/>
      </w:rPr>
      <w:t>service s</w:t>
    </w:r>
    <w:r w:rsidRPr="00A82DC4">
      <w:rPr>
        <w:rFonts w:ascii="Arial" w:hAnsi="Arial" w:cs="Arial"/>
        <w:sz w:val="20"/>
      </w:rPr>
      <w:t xml:space="preserve">pecification </w:t>
    </w:r>
    <w:r w:rsidR="007A00C0">
      <w:rPr>
        <w:rFonts w:ascii="Arial" w:hAnsi="Arial" w:cs="Arial"/>
        <w:sz w:val="20"/>
      </w:rPr>
      <w:t>April 2017</w:t>
    </w:r>
  </w:p>
  <w:p w:rsidR="00330968" w:rsidRDefault="00330968" w:rsidP="00027868">
    <w:pPr>
      <w:pStyle w:val="Footer"/>
      <w:tabs>
        <w:tab w:val="center" w:pos="4536"/>
      </w:tabs>
      <w:jc w:val="left"/>
      <w:rPr>
        <w:rStyle w:val="PageNumber"/>
        <w:rFonts w:ascii="Arial" w:hAnsi="Arial"/>
        <w:sz w:val="20"/>
      </w:rPr>
    </w:pPr>
    <w:r w:rsidRPr="00A82DC4">
      <w:rPr>
        <w:rFonts w:ascii="Arial" w:hAnsi="Arial" w:cs="Arial"/>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40E" w:rsidRDefault="0021240E">
      <w:r>
        <w:separator/>
      </w:r>
    </w:p>
  </w:footnote>
  <w:footnote w:type="continuationSeparator" w:id="0">
    <w:p w:rsidR="0021240E" w:rsidRDefault="0021240E">
      <w:r>
        <w:continuationSeparator/>
      </w:r>
    </w:p>
  </w:footnote>
  <w:footnote w:id="1">
    <w:p w:rsidR="00E02497" w:rsidRPr="006F249C" w:rsidRDefault="00E02497" w:rsidP="00E02497">
      <w:pPr>
        <w:pStyle w:val="FootnoteText"/>
        <w:rPr>
          <w:lang w:val="en-NZ"/>
        </w:rPr>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968" w:rsidRDefault="00284D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4.5pt;height:181.8pt;rotation:315;z-index:-251658752;mso-position-horizontal:center;mso-position-horizontal-relative:margin;mso-position-vertical:center;mso-position-vertical-relative:margin" wrapcoords="21386 1339 17786 1428 17750 1517 17750 2321 17323 1428 16717 982 16539 1339 11085 1428 10479 6337 8305 2053 7842 1250 7735 1517 6879 1339 5275 1339 5168 1517 5097 2588 5133 3035 5097 4998 2994 1607 2067 1250 463 1428 463 16691 570 17048 2638 17048 3208 16423 3636 15531 3992 14281 4776 16334 5632 17583 5810 16869 5810 10800 7556 15174 8875 17673 9125 17048 9945 17137 10087 16602 10515 12496 10729 13031 13081 17137 13117 17048 13545 17048 13723 16780 13794 16602 14650 17226 14792 17137 14828 16334 14828 11157 15184 10086 15968 9997 16717 11871 19461 17226 19568 17048 19889 17048 19925 16869 19960 11871 20602 3392 21457 3481 21493 2767 21493 1607 21386 1339"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611E"/>
    <w:multiLevelType w:val="hybridMultilevel"/>
    <w:tmpl w:val="9E86081E"/>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287"/>
        </w:tabs>
        <w:ind w:left="1287" w:hanging="360"/>
      </w:pPr>
      <w:rPr>
        <w:rFonts w:ascii="Courier New" w:hAnsi="Courier New" w:cs="Courier New" w:hint="default"/>
      </w:rPr>
    </w:lvl>
    <w:lvl w:ilvl="2" w:tplc="08090005" w:tentative="1">
      <w:start w:val="1"/>
      <w:numFmt w:val="bullet"/>
      <w:lvlText w:val=""/>
      <w:lvlJc w:val="left"/>
      <w:pPr>
        <w:tabs>
          <w:tab w:val="num" w:pos="2007"/>
        </w:tabs>
        <w:ind w:left="2007" w:hanging="360"/>
      </w:pPr>
      <w:rPr>
        <w:rFonts w:ascii="Wingdings" w:hAnsi="Wingdings" w:hint="default"/>
      </w:rPr>
    </w:lvl>
    <w:lvl w:ilvl="3" w:tplc="08090001" w:tentative="1">
      <w:start w:val="1"/>
      <w:numFmt w:val="bullet"/>
      <w:lvlText w:val=""/>
      <w:lvlJc w:val="left"/>
      <w:pPr>
        <w:tabs>
          <w:tab w:val="num" w:pos="2727"/>
        </w:tabs>
        <w:ind w:left="2727" w:hanging="360"/>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1">
    <w:nsid w:val="061B6349"/>
    <w:multiLevelType w:val="multilevel"/>
    <w:tmpl w:val="67A48E8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982AAD"/>
    <w:multiLevelType w:val="hybridMultilevel"/>
    <w:tmpl w:val="934666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DD58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09D854B0"/>
    <w:multiLevelType w:val="singleLevel"/>
    <w:tmpl w:val="CF00BBEE"/>
    <w:lvl w:ilvl="0">
      <w:start w:val="1"/>
      <w:numFmt w:val="bullet"/>
      <w:lvlText w:val=""/>
      <w:lvlJc w:val="left"/>
      <w:pPr>
        <w:tabs>
          <w:tab w:val="num" w:pos="360"/>
        </w:tabs>
        <w:ind w:left="340" w:hanging="340"/>
      </w:pPr>
      <w:rPr>
        <w:rFonts w:ascii="Symbol" w:hAnsi="Symbol" w:hint="default"/>
      </w:rPr>
    </w:lvl>
  </w:abstractNum>
  <w:abstractNum w:abstractNumId="5">
    <w:nsid w:val="0A384738"/>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6">
    <w:nsid w:val="0A440E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0A9A6272"/>
    <w:multiLevelType w:val="hybridMultilevel"/>
    <w:tmpl w:val="0B749AE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C816B71"/>
    <w:multiLevelType w:val="singleLevel"/>
    <w:tmpl w:val="6666C10A"/>
    <w:lvl w:ilvl="0">
      <w:start w:val="1"/>
      <w:numFmt w:val="bullet"/>
      <w:lvlText w:val=""/>
      <w:lvlJc w:val="left"/>
      <w:pPr>
        <w:tabs>
          <w:tab w:val="num" w:pos="417"/>
        </w:tabs>
        <w:ind w:left="397" w:hanging="340"/>
      </w:pPr>
      <w:rPr>
        <w:rFonts w:ascii="Symbol" w:hAnsi="Symbol" w:hint="default"/>
      </w:rPr>
    </w:lvl>
  </w:abstractNum>
  <w:abstractNum w:abstractNumId="9">
    <w:nsid w:val="138F04DB"/>
    <w:multiLevelType w:val="hybridMultilevel"/>
    <w:tmpl w:val="D0501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7E72451"/>
    <w:multiLevelType w:val="hybridMultilevel"/>
    <w:tmpl w:val="E0A47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46031B"/>
    <w:multiLevelType w:val="hybridMultilevel"/>
    <w:tmpl w:val="FD0C69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18470A6"/>
    <w:multiLevelType w:val="multilevel"/>
    <w:tmpl w:val="E03CFB0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2AD1120"/>
    <w:multiLevelType w:val="multilevel"/>
    <w:tmpl w:val="2242B43A"/>
    <w:lvl w:ilvl="0">
      <w:start w:val="1"/>
      <w:numFmt w:val="decimal"/>
      <w:pStyle w:val="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11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4754F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B13295B"/>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6">
    <w:nsid w:val="2B336CC5"/>
    <w:multiLevelType w:val="hybridMultilevel"/>
    <w:tmpl w:val="BC884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1CB740F"/>
    <w:multiLevelType w:val="hybridMultilevel"/>
    <w:tmpl w:val="66EE43AE"/>
    <w:lvl w:ilvl="0" w:tplc="FB7A22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E67E47"/>
    <w:multiLevelType w:val="hybridMultilevel"/>
    <w:tmpl w:val="9CECA272"/>
    <w:lvl w:ilvl="0" w:tplc="C452F67C">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A57FCF"/>
    <w:multiLevelType w:val="hybridMultilevel"/>
    <w:tmpl w:val="00ECCC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AB55F1C"/>
    <w:multiLevelType w:val="hybridMultilevel"/>
    <w:tmpl w:val="0BAAB3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CC17BC7"/>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22">
    <w:nsid w:val="3DC62181"/>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23">
    <w:nsid w:val="3DD54F35"/>
    <w:multiLevelType w:val="hybridMultilevel"/>
    <w:tmpl w:val="C2420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E4B7D9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3ECB41A3"/>
    <w:multiLevelType w:val="hybridMultilevel"/>
    <w:tmpl w:val="9BB88A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nsid w:val="435C6355"/>
    <w:multiLevelType w:val="hybridMultilevel"/>
    <w:tmpl w:val="F79A65BE"/>
    <w:lvl w:ilvl="0" w:tplc="B7224522">
      <w:start w:val="1"/>
      <w:numFmt w:val="bullet"/>
      <w:lvlText w:val="-"/>
      <w:lvlJc w:val="left"/>
      <w:pPr>
        <w:ind w:left="720" w:hanging="360"/>
      </w:pPr>
      <w:rPr>
        <w:rFonts w:ascii="Arial" w:eastAsia="Times New Roman"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57B430E"/>
    <w:multiLevelType w:val="hybridMultilevel"/>
    <w:tmpl w:val="B0A08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6AF697D"/>
    <w:multiLevelType w:val="hybridMultilevel"/>
    <w:tmpl w:val="6516695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9">
    <w:nsid w:val="4C8548B9"/>
    <w:multiLevelType w:val="hybridMultilevel"/>
    <w:tmpl w:val="04C4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CD37933"/>
    <w:multiLevelType w:val="hybridMultilevel"/>
    <w:tmpl w:val="BCE05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E7F1BA3"/>
    <w:multiLevelType w:val="singleLevel"/>
    <w:tmpl w:val="BA70F070"/>
    <w:lvl w:ilvl="0">
      <w:start w:val="1"/>
      <w:numFmt w:val="bullet"/>
      <w:lvlText w:val=""/>
      <w:lvlJc w:val="left"/>
      <w:pPr>
        <w:tabs>
          <w:tab w:val="num" w:pos="360"/>
        </w:tabs>
        <w:ind w:left="340" w:hanging="340"/>
      </w:pPr>
      <w:rPr>
        <w:rFonts w:ascii="Symbol" w:hAnsi="Symbol" w:hint="default"/>
      </w:rPr>
    </w:lvl>
  </w:abstractNum>
  <w:abstractNum w:abstractNumId="32">
    <w:nsid w:val="506613A0"/>
    <w:multiLevelType w:val="singleLevel"/>
    <w:tmpl w:val="6666C10A"/>
    <w:lvl w:ilvl="0">
      <w:start w:val="1"/>
      <w:numFmt w:val="bullet"/>
      <w:lvlText w:val=""/>
      <w:lvlJc w:val="left"/>
      <w:pPr>
        <w:tabs>
          <w:tab w:val="num" w:pos="417"/>
        </w:tabs>
        <w:ind w:left="397" w:hanging="340"/>
      </w:pPr>
      <w:rPr>
        <w:rFonts w:ascii="Symbol" w:hAnsi="Symbol" w:hint="default"/>
      </w:rPr>
    </w:lvl>
  </w:abstractNum>
  <w:abstractNum w:abstractNumId="33">
    <w:nsid w:val="51F143E3"/>
    <w:multiLevelType w:val="hybridMultilevel"/>
    <w:tmpl w:val="E7D20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5101BE3"/>
    <w:multiLevelType w:val="singleLevel"/>
    <w:tmpl w:val="6666C10A"/>
    <w:lvl w:ilvl="0">
      <w:start w:val="1"/>
      <w:numFmt w:val="bullet"/>
      <w:lvlText w:val=""/>
      <w:lvlJc w:val="left"/>
      <w:pPr>
        <w:tabs>
          <w:tab w:val="num" w:pos="417"/>
        </w:tabs>
        <w:ind w:left="397" w:hanging="340"/>
      </w:pPr>
      <w:rPr>
        <w:rFonts w:ascii="Symbol" w:hAnsi="Symbol" w:hint="default"/>
      </w:rPr>
    </w:lvl>
  </w:abstractNum>
  <w:abstractNum w:abstractNumId="35">
    <w:nsid w:val="6126349B"/>
    <w:multiLevelType w:val="hybridMultilevel"/>
    <w:tmpl w:val="C04E28D4"/>
    <w:lvl w:ilvl="0" w:tplc="08090001">
      <w:start w:val="1"/>
      <w:numFmt w:val="bullet"/>
      <w:lvlText w:val=""/>
      <w:lvlJc w:val="left"/>
      <w:pPr>
        <w:tabs>
          <w:tab w:val="num" w:pos="1108"/>
        </w:tabs>
        <w:ind w:left="1108" w:hanging="360"/>
      </w:pPr>
      <w:rPr>
        <w:rFonts w:ascii="Symbol" w:hAnsi="Symbol" w:hint="default"/>
      </w:rPr>
    </w:lvl>
    <w:lvl w:ilvl="1" w:tplc="08090003" w:tentative="1">
      <w:start w:val="1"/>
      <w:numFmt w:val="bullet"/>
      <w:lvlText w:val="o"/>
      <w:lvlJc w:val="left"/>
      <w:pPr>
        <w:tabs>
          <w:tab w:val="num" w:pos="1828"/>
        </w:tabs>
        <w:ind w:left="1828" w:hanging="360"/>
      </w:pPr>
      <w:rPr>
        <w:rFonts w:ascii="Courier New" w:hAnsi="Courier New" w:cs="Courier New" w:hint="default"/>
      </w:rPr>
    </w:lvl>
    <w:lvl w:ilvl="2" w:tplc="08090005" w:tentative="1">
      <w:start w:val="1"/>
      <w:numFmt w:val="bullet"/>
      <w:lvlText w:val=""/>
      <w:lvlJc w:val="left"/>
      <w:pPr>
        <w:tabs>
          <w:tab w:val="num" w:pos="2548"/>
        </w:tabs>
        <w:ind w:left="2548" w:hanging="360"/>
      </w:pPr>
      <w:rPr>
        <w:rFonts w:ascii="Wingdings" w:hAnsi="Wingdings" w:hint="default"/>
      </w:rPr>
    </w:lvl>
    <w:lvl w:ilvl="3" w:tplc="08090001" w:tentative="1">
      <w:start w:val="1"/>
      <w:numFmt w:val="bullet"/>
      <w:lvlText w:val=""/>
      <w:lvlJc w:val="left"/>
      <w:pPr>
        <w:tabs>
          <w:tab w:val="num" w:pos="3268"/>
        </w:tabs>
        <w:ind w:left="3268" w:hanging="360"/>
      </w:pPr>
      <w:rPr>
        <w:rFonts w:ascii="Symbol" w:hAnsi="Symbol" w:hint="default"/>
      </w:rPr>
    </w:lvl>
    <w:lvl w:ilvl="4" w:tplc="08090003" w:tentative="1">
      <w:start w:val="1"/>
      <w:numFmt w:val="bullet"/>
      <w:lvlText w:val="o"/>
      <w:lvlJc w:val="left"/>
      <w:pPr>
        <w:tabs>
          <w:tab w:val="num" w:pos="3988"/>
        </w:tabs>
        <w:ind w:left="3988" w:hanging="360"/>
      </w:pPr>
      <w:rPr>
        <w:rFonts w:ascii="Courier New" w:hAnsi="Courier New" w:cs="Courier New" w:hint="default"/>
      </w:rPr>
    </w:lvl>
    <w:lvl w:ilvl="5" w:tplc="08090005" w:tentative="1">
      <w:start w:val="1"/>
      <w:numFmt w:val="bullet"/>
      <w:lvlText w:val=""/>
      <w:lvlJc w:val="left"/>
      <w:pPr>
        <w:tabs>
          <w:tab w:val="num" w:pos="4708"/>
        </w:tabs>
        <w:ind w:left="4708" w:hanging="360"/>
      </w:pPr>
      <w:rPr>
        <w:rFonts w:ascii="Wingdings" w:hAnsi="Wingdings" w:hint="default"/>
      </w:rPr>
    </w:lvl>
    <w:lvl w:ilvl="6" w:tplc="08090001" w:tentative="1">
      <w:start w:val="1"/>
      <w:numFmt w:val="bullet"/>
      <w:lvlText w:val=""/>
      <w:lvlJc w:val="left"/>
      <w:pPr>
        <w:tabs>
          <w:tab w:val="num" w:pos="5428"/>
        </w:tabs>
        <w:ind w:left="5428" w:hanging="360"/>
      </w:pPr>
      <w:rPr>
        <w:rFonts w:ascii="Symbol" w:hAnsi="Symbol" w:hint="default"/>
      </w:rPr>
    </w:lvl>
    <w:lvl w:ilvl="7" w:tplc="08090003" w:tentative="1">
      <w:start w:val="1"/>
      <w:numFmt w:val="bullet"/>
      <w:lvlText w:val="o"/>
      <w:lvlJc w:val="left"/>
      <w:pPr>
        <w:tabs>
          <w:tab w:val="num" w:pos="6148"/>
        </w:tabs>
        <w:ind w:left="6148" w:hanging="360"/>
      </w:pPr>
      <w:rPr>
        <w:rFonts w:ascii="Courier New" w:hAnsi="Courier New" w:cs="Courier New" w:hint="default"/>
      </w:rPr>
    </w:lvl>
    <w:lvl w:ilvl="8" w:tplc="08090005" w:tentative="1">
      <w:start w:val="1"/>
      <w:numFmt w:val="bullet"/>
      <w:lvlText w:val=""/>
      <w:lvlJc w:val="left"/>
      <w:pPr>
        <w:tabs>
          <w:tab w:val="num" w:pos="6868"/>
        </w:tabs>
        <w:ind w:left="6868" w:hanging="360"/>
      </w:pPr>
      <w:rPr>
        <w:rFonts w:ascii="Wingdings" w:hAnsi="Wingdings" w:hint="default"/>
      </w:rPr>
    </w:lvl>
  </w:abstractNum>
  <w:abstractNum w:abstractNumId="36">
    <w:nsid w:val="641C4A6F"/>
    <w:multiLevelType w:val="hybridMultilevel"/>
    <w:tmpl w:val="85FA2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82A66E1"/>
    <w:multiLevelType w:val="hybridMultilevel"/>
    <w:tmpl w:val="3DFEB83E"/>
    <w:lvl w:ilvl="0" w:tplc="FB7A22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9EA7430"/>
    <w:multiLevelType w:val="hybridMultilevel"/>
    <w:tmpl w:val="363C0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C8737FB"/>
    <w:multiLevelType w:val="hybridMultilevel"/>
    <w:tmpl w:val="0C8CB6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4522DE5"/>
    <w:multiLevelType w:val="singleLevel"/>
    <w:tmpl w:val="675EFEF6"/>
    <w:lvl w:ilvl="0">
      <w:start w:val="1"/>
      <w:numFmt w:val="bullet"/>
      <w:lvlText w:val=""/>
      <w:lvlJc w:val="left"/>
      <w:pPr>
        <w:tabs>
          <w:tab w:val="num" w:pos="454"/>
        </w:tabs>
        <w:ind w:left="454" w:hanging="397"/>
      </w:pPr>
      <w:rPr>
        <w:rFonts w:ascii="Symbol" w:hAnsi="Symbol" w:hint="default"/>
      </w:rPr>
    </w:lvl>
  </w:abstractNum>
  <w:abstractNum w:abstractNumId="41">
    <w:nsid w:val="75C4303D"/>
    <w:multiLevelType w:val="hybridMultilevel"/>
    <w:tmpl w:val="BD889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A0B491F"/>
    <w:multiLevelType w:val="singleLevel"/>
    <w:tmpl w:val="6666C10A"/>
    <w:lvl w:ilvl="0">
      <w:start w:val="1"/>
      <w:numFmt w:val="bullet"/>
      <w:lvlText w:val=""/>
      <w:lvlJc w:val="left"/>
      <w:pPr>
        <w:tabs>
          <w:tab w:val="num" w:pos="417"/>
        </w:tabs>
        <w:ind w:left="397" w:hanging="340"/>
      </w:pPr>
      <w:rPr>
        <w:rFonts w:ascii="Symbol" w:hAnsi="Symbol" w:hint="default"/>
      </w:rPr>
    </w:lvl>
  </w:abstractNum>
  <w:abstractNum w:abstractNumId="43">
    <w:nsid w:val="7A8F0F58"/>
    <w:multiLevelType w:val="singleLevel"/>
    <w:tmpl w:val="4E68734E"/>
    <w:lvl w:ilvl="0">
      <w:start w:val="1"/>
      <w:numFmt w:val="bullet"/>
      <w:lvlText w:val=""/>
      <w:lvlJc w:val="left"/>
      <w:pPr>
        <w:tabs>
          <w:tab w:val="num" w:pos="360"/>
        </w:tabs>
        <w:ind w:left="360" w:hanging="360"/>
      </w:pPr>
      <w:rPr>
        <w:rFonts w:ascii="Symbol" w:hAnsi="Symbol" w:hint="default"/>
      </w:rPr>
    </w:lvl>
  </w:abstractNum>
  <w:abstractNum w:abstractNumId="44">
    <w:nsid w:val="7FC32DEE"/>
    <w:multiLevelType w:val="hybridMultilevel"/>
    <w:tmpl w:val="43A6835C"/>
    <w:lvl w:ilvl="0" w:tplc="B1849D84">
      <w:start w:val="2"/>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5"/>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9"/>
  </w:num>
  <w:num w:numId="5">
    <w:abstractNumId w:val="27"/>
  </w:num>
  <w:num w:numId="6">
    <w:abstractNumId w:val="38"/>
  </w:num>
  <w:num w:numId="7">
    <w:abstractNumId w:val="16"/>
  </w:num>
  <w:num w:numId="8">
    <w:abstractNumId w:val="36"/>
  </w:num>
  <w:num w:numId="9">
    <w:abstractNumId w:val="13"/>
  </w:num>
  <w:num w:numId="10">
    <w:abstractNumId w:val="39"/>
  </w:num>
  <w:num w:numId="11">
    <w:abstractNumId w:val="2"/>
  </w:num>
  <w:num w:numId="12">
    <w:abstractNumId w:val="7"/>
  </w:num>
  <w:num w:numId="13">
    <w:abstractNumId w:val="9"/>
  </w:num>
  <w:num w:numId="14">
    <w:abstractNumId w:val="29"/>
  </w:num>
  <w:num w:numId="15">
    <w:abstractNumId w:val="20"/>
  </w:num>
  <w:num w:numId="16">
    <w:abstractNumId w:val="30"/>
  </w:num>
  <w:num w:numId="17">
    <w:abstractNumId w:val="26"/>
  </w:num>
  <w:num w:numId="18">
    <w:abstractNumId w:val="12"/>
  </w:num>
  <w:num w:numId="19">
    <w:abstractNumId w:val="44"/>
  </w:num>
  <w:num w:numId="20">
    <w:abstractNumId w:val="33"/>
  </w:num>
  <w:num w:numId="21">
    <w:abstractNumId w:val="23"/>
  </w:num>
  <w:num w:numId="22">
    <w:abstractNumId w:val="17"/>
  </w:num>
  <w:num w:numId="23">
    <w:abstractNumId w:val="11"/>
  </w:num>
  <w:num w:numId="24">
    <w:abstractNumId w:val="35"/>
  </w:num>
  <w:num w:numId="25">
    <w:abstractNumId w:val="10"/>
  </w:num>
  <w:num w:numId="26">
    <w:abstractNumId w:val="37"/>
  </w:num>
  <w:num w:numId="27">
    <w:abstractNumId w:val="32"/>
  </w:num>
  <w:num w:numId="28">
    <w:abstractNumId w:val="8"/>
  </w:num>
  <w:num w:numId="29">
    <w:abstractNumId w:val="14"/>
  </w:num>
  <w:num w:numId="30">
    <w:abstractNumId w:val="15"/>
  </w:num>
  <w:num w:numId="31">
    <w:abstractNumId w:val="24"/>
  </w:num>
  <w:num w:numId="32">
    <w:abstractNumId w:val="6"/>
  </w:num>
  <w:num w:numId="33">
    <w:abstractNumId w:val="3"/>
  </w:num>
  <w:num w:numId="34">
    <w:abstractNumId w:val="43"/>
  </w:num>
  <w:num w:numId="35">
    <w:abstractNumId w:val="31"/>
  </w:num>
  <w:num w:numId="36">
    <w:abstractNumId w:val="4"/>
  </w:num>
  <w:num w:numId="37">
    <w:abstractNumId w:val="40"/>
  </w:num>
  <w:num w:numId="38">
    <w:abstractNumId w:val="21"/>
  </w:num>
  <w:num w:numId="39">
    <w:abstractNumId w:val="34"/>
  </w:num>
  <w:num w:numId="40">
    <w:abstractNumId w:val="42"/>
  </w:num>
  <w:num w:numId="41">
    <w:abstractNumId w:val="22"/>
  </w:num>
  <w:num w:numId="42">
    <w:abstractNumId w:val="28"/>
  </w:num>
  <w:num w:numId="43">
    <w:abstractNumId w:val="41"/>
  </w:num>
  <w:num w:numId="44">
    <w:abstractNumId w:val="1"/>
  </w:num>
  <w:num w:numId="45">
    <w:abstractNumId w:val="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030AD"/>
    <w:rsid w:val="00006FC0"/>
    <w:rsid w:val="00017406"/>
    <w:rsid w:val="00022A5A"/>
    <w:rsid w:val="00027868"/>
    <w:rsid w:val="0003126F"/>
    <w:rsid w:val="00035ED2"/>
    <w:rsid w:val="00037657"/>
    <w:rsid w:val="00085665"/>
    <w:rsid w:val="000A5220"/>
    <w:rsid w:val="000A783C"/>
    <w:rsid w:val="000C26A6"/>
    <w:rsid w:val="000C796E"/>
    <w:rsid w:val="000D5130"/>
    <w:rsid w:val="000E7172"/>
    <w:rsid w:val="000F56FE"/>
    <w:rsid w:val="001013E2"/>
    <w:rsid w:val="00127DF5"/>
    <w:rsid w:val="00184963"/>
    <w:rsid w:val="00197EFC"/>
    <w:rsid w:val="001A517B"/>
    <w:rsid w:val="001B6FDD"/>
    <w:rsid w:val="001D54F5"/>
    <w:rsid w:val="001E278E"/>
    <w:rsid w:val="001F70A0"/>
    <w:rsid w:val="002032D6"/>
    <w:rsid w:val="002070EB"/>
    <w:rsid w:val="002072EE"/>
    <w:rsid w:val="0021240E"/>
    <w:rsid w:val="00230DFB"/>
    <w:rsid w:val="0023328F"/>
    <w:rsid w:val="00284D31"/>
    <w:rsid w:val="00290B67"/>
    <w:rsid w:val="002C16E8"/>
    <w:rsid w:val="002E2D4A"/>
    <w:rsid w:val="002E386E"/>
    <w:rsid w:val="003179C0"/>
    <w:rsid w:val="00330968"/>
    <w:rsid w:val="00391316"/>
    <w:rsid w:val="0039538E"/>
    <w:rsid w:val="003C0660"/>
    <w:rsid w:val="003C1A63"/>
    <w:rsid w:val="003F6AF0"/>
    <w:rsid w:val="003F6F41"/>
    <w:rsid w:val="00420A7B"/>
    <w:rsid w:val="00440955"/>
    <w:rsid w:val="00452BAF"/>
    <w:rsid w:val="00467B15"/>
    <w:rsid w:val="00472DFD"/>
    <w:rsid w:val="004775D7"/>
    <w:rsid w:val="004852B1"/>
    <w:rsid w:val="00491623"/>
    <w:rsid w:val="004A16CE"/>
    <w:rsid w:val="004B6701"/>
    <w:rsid w:val="004C4A01"/>
    <w:rsid w:val="004D5125"/>
    <w:rsid w:val="004E7416"/>
    <w:rsid w:val="00521499"/>
    <w:rsid w:val="00556AE7"/>
    <w:rsid w:val="0055744C"/>
    <w:rsid w:val="00592176"/>
    <w:rsid w:val="00597D88"/>
    <w:rsid w:val="005A5A95"/>
    <w:rsid w:val="005B4447"/>
    <w:rsid w:val="005B4A5C"/>
    <w:rsid w:val="005C1ACF"/>
    <w:rsid w:val="005E43C3"/>
    <w:rsid w:val="005F0083"/>
    <w:rsid w:val="005F2E67"/>
    <w:rsid w:val="0060781E"/>
    <w:rsid w:val="006172B4"/>
    <w:rsid w:val="00624127"/>
    <w:rsid w:val="00652029"/>
    <w:rsid w:val="00665AA2"/>
    <w:rsid w:val="00676F32"/>
    <w:rsid w:val="00683C3E"/>
    <w:rsid w:val="006A2A3E"/>
    <w:rsid w:val="006A5CFD"/>
    <w:rsid w:val="006B3108"/>
    <w:rsid w:val="006B7963"/>
    <w:rsid w:val="006F3EB0"/>
    <w:rsid w:val="0070584C"/>
    <w:rsid w:val="007151C1"/>
    <w:rsid w:val="00722043"/>
    <w:rsid w:val="00744FAD"/>
    <w:rsid w:val="00774C30"/>
    <w:rsid w:val="007801E0"/>
    <w:rsid w:val="0078234E"/>
    <w:rsid w:val="007A00C0"/>
    <w:rsid w:val="007C6E5B"/>
    <w:rsid w:val="007C7669"/>
    <w:rsid w:val="007D42C7"/>
    <w:rsid w:val="008023F4"/>
    <w:rsid w:val="0080483F"/>
    <w:rsid w:val="0081587C"/>
    <w:rsid w:val="00816BC3"/>
    <w:rsid w:val="00827AE3"/>
    <w:rsid w:val="00832666"/>
    <w:rsid w:val="0083463D"/>
    <w:rsid w:val="00845A90"/>
    <w:rsid w:val="00854447"/>
    <w:rsid w:val="008A09CD"/>
    <w:rsid w:val="008B5BE2"/>
    <w:rsid w:val="008D0EC2"/>
    <w:rsid w:val="009042EF"/>
    <w:rsid w:val="009078A7"/>
    <w:rsid w:val="00934047"/>
    <w:rsid w:val="009762A5"/>
    <w:rsid w:val="009B046A"/>
    <w:rsid w:val="009B2BBA"/>
    <w:rsid w:val="009C5CF4"/>
    <w:rsid w:val="009F2AD4"/>
    <w:rsid w:val="00A179CE"/>
    <w:rsid w:val="00A3633F"/>
    <w:rsid w:val="00A37B42"/>
    <w:rsid w:val="00A82DC4"/>
    <w:rsid w:val="00AA0B0D"/>
    <w:rsid w:val="00AD1B22"/>
    <w:rsid w:val="00AD5980"/>
    <w:rsid w:val="00AE4E0D"/>
    <w:rsid w:val="00AE6B73"/>
    <w:rsid w:val="00AF01AD"/>
    <w:rsid w:val="00AF0B08"/>
    <w:rsid w:val="00B06719"/>
    <w:rsid w:val="00B52E67"/>
    <w:rsid w:val="00B8429C"/>
    <w:rsid w:val="00BB61B2"/>
    <w:rsid w:val="00BC11D7"/>
    <w:rsid w:val="00BE3130"/>
    <w:rsid w:val="00BE7210"/>
    <w:rsid w:val="00BF6022"/>
    <w:rsid w:val="00BF6D55"/>
    <w:rsid w:val="00C1022F"/>
    <w:rsid w:val="00C1033A"/>
    <w:rsid w:val="00C30873"/>
    <w:rsid w:val="00C3334D"/>
    <w:rsid w:val="00C473B2"/>
    <w:rsid w:val="00C75947"/>
    <w:rsid w:val="00C861E2"/>
    <w:rsid w:val="00CA2142"/>
    <w:rsid w:val="00CF455A"/>
    <w:rsid w:val="00D019DB"/>
    <w:rsid w:val="00D06B3C"/>
    <w:rsid w:val="00D2041C"/>
    <w:rsid w:val="00D2418D"/>
    <w:rsid w:val="00D505CF"/>
    <w:rsid w:val="00D62D40"/>
    <w:rsid w:val="00D719C6"/>
    <w:rsid w:val="00D93BE3"/>
    <w:rsid w:val="00DC1A0B"/>
    <w:rsid w:val="00DD7388"/>
    <w:rsid w:val="00DE4858"/>
    <w:rsid w:val="00DE518F"/>
    <w:rsid w:val="00E02283"/>
    <w:rsid w:val="00E02497"/>
    <w:rsid w:val="00E1376D"/>
    <w:rsid w:val="00E17DA7"/>
    <w:rsid w:val="00E30F05"/>
    <w:rsid w:val="00E421C7"/>
    <w:rsid w:val="00E7212D"/>
    <w:rsid w:val="00E728B0"/>
    <w:rsid w:val="00E83DEE"/>
    <w:rsid w:val="00E9356D"/>
    <w:rsid w:val="00ED0972"/>
    <w:rsid w:val="00ED2EF0"/>
    <w:rsid w:val="00F22E2D"/>
    <w:rsid w:val="00F60809"/>
    <w:rsid w:val="00F62149"/>
    <w:rsid w:val="00F802C2"/>
    <w:rsid w:val="00F95342"/>
    <w:rsid w:val="00FB70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EBF34DE-C08A-48F2-A512-DEF55A54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868"/>
    <w:rPr>
      <w:rFonts w:ascii="Arial" w:hAnsi="Arial"/>
      <w:sz w:val="22"/>
      <w:lang w:val="en-GB" w:eastAsia="en-GB"/>
    </w:rPr>
  </w:style>
  <w:style w:type="paragraph" w:styleId="Heading1">
    <w:name w:val="heading 1"/>
    <w:basedOn w:val="Normal"/>
    <w:next w:val="Normal"/>
    <w:qFormat/>
    <w:rsid w:val="00027868"/>
    <w:pPr>
      <w:keepNext/>
      <w:spacing w:before="240" w:after="60"/>
      <w:jc w:val="both"/>
      <w:outlineLvl w:val="0"/>
    </w:pPr>
    <w:rPr>
      <w:b/>
      <w:kern w:val="28"/>
      <w:sz w:val="28"/>
      <w:lang w:val="en-NZ"/>
    </w:rPr>
  </w:style>
  <w:style w:type="paragraph" w:styleId="Heading3">
    <w:name w:val="heading 3"/>
    <w:basedOn w:val="Normal"/>
    <w:next w:val="Normal"/>
    <w:qFormat/>
    <w:rsid w:val="00E83DE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868"/>
    <w:pPr>
      <w:jc w:val="center"/>
    </w:pPr>
    <w:rPr>
      <w:b/>
      <w:sz w:val="32"/>
      <w:lang w:val="en-NZ"/>
    </w:rPr>
  </w:style>
  <w:style w:type="paragraph" w:customStyle="1" w:styleId="MoHHeading2">
    <w:name w:val="MoH Heading2"/>
    <w:basedOn w:val="Normal"/>
    <w:rsid w:val="00027868"/>
    <w:rPr>
      <w:rFonts w:ascii="Arial Mäori" w:hAnsi="Arial Mäori"/>
      <w:b/>
    </w:rPr>
  </w:style>
  <w:style w:type="paragraph" w:styleId="Footer">
    <w:name w:val="footer"/>
    <w:basedOn w:val="Normal"/>
    <w:rsid w:val="00027868"/>
    <w:pPr>
      <w:tabs>
        <w:tab w:val="center" w:pos="4153"/>
        <w:tab w:val="right" w:pos="8306"/>
      </w:tabs>
      <w:jc w:val="both"/>
    </w:pPr>
    <w:rPr>
      <w:rFonts w:ascii="Times New Roman" w:hAnsi="Times New Roman"/>
      <w:lang w:val="en-NZ"/>
    </w:rPr>
  </w:style>
  <w:style w:type="character" w:styleId="PageNumber">
    <w:name w:val="page number"/>
    <w:basedOn w:val="DefaultParagraphFont"/>
    <w:rsid w:val="00027868"/>
  </w:style>
  <w:style w:type="paragraph" w:customStyle="1" w:styleId="Char1CharChar">
    <w:name w:val="Char1 Char Char"/>
    <w:basedOn w:val="Normal"/>
    <w:rsid w:val="00027868"/>
    <w:pPr>
      <w:spacing w:after="160" w:line="240" w:lineRule="exact"/>
    </w:pPr>
    <w:rPr>
      <w:sz w:val="20"/>
      <w:lang w:val="en-US" w:eastAsia="en-US"/>
    </w:rPr>
  </w:style>
  <w:style w:type="table" w:styleId="TableGrid">
    <w:name w:val="Table Grid"/>
    <w:basedOn w:val="TableNormal"/>
    <w:rsid w:val="00027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83DEE"/>
    <w:pPr>
      <w:tabs>
        <w:tab w:val="center" w:pos="4153"/>
        <w:tab w:val="right" w:pos="8306"/>
      </w:tabs>
    </w:pPr>
  </w:style>
  <w:style w:type="paragraph" w:customStyle="1" w:styleId="CharCharCharCharChar">
    <w:name w:val="Char Char Char Char Char"/>
    <w:basedOn w:val="Normal"/>
    <w:next w:val="Normal"/>
    <w:semiHidden/>
    <w:rsid w:val="00E83DEE"/>
    <w:pPr>
      <w:spacing w:after="160" w:line="240" w:lineRule="exact"/>
    </w:pPr>
    <w:rPr>
      <w:rFonts w:cs="Verdana"/>
      <w:sz w:val="24"/>
      <w:szCs w:val="24"/>
      <w:lang w:val="en-NZ" w:eastAsia="en-US"/>
    </w:rPr>
  </w:style>
  <w:style w:type="paragraph" w:customStyle="1" w:styleId="1">
    <w:name w:val="1."/>
    <w:basedOn w:val="Normal"/>
    <w:rsid w:val="00E83DEE"/>
    <w:pPr>
      <w:numPr>
        <w:numId w:val="9"/>
      </w:numPr>
      <w:tabs>
        <w:tab w:val="clear" w:pos="432"/>
        <w:tab w:val="left" w:pos="567"/>
      </w:tabs>
      <w:ind w:left="567" w:hanging="567"/>
    </w:pPr>
    <w:rPr>
      <w:rFonts w:ascii="Arial Mäori" w:hAnsi="Arial Mäori"/>
      <w:b/>
      <w:bCs/>
      <w:sz w:val="20"/>
      <w:lang w:eastAsia="en-US"/>
    </w:rPr>
  </w:style>
  <w:style w:type="paragraph" w:customStyle="1" w:styleId="11">
    <w:name w:val="1.1"/>
    <w:basedOn w:val="Normal"/>
    <w:rsid w:val="00E83DEE"/>
    <w:pPr>
      <w:numPr>
        <w:ilvl w:val="1"/>
        <w:numId w:val="9"/>
      </w:numPr>
      <w:spacing w:before="120" w:after="60"/>
    </w:pPr>
    <w:rPr>
      <w:rFonts w:ascii="Arial Mäori" w:hAnsi="Arial Mäori"/>
      <w:b/>
      <w:bCs/>
      <w:i/>
      <w:iCs/>
      <w:sz w:val="20"/>
      <w:lang w:eastAsia="en-US"/>
    </w:rPr>
  </w:style>
  <w:style w:type="paragraph" w:customStyle="1" w:styleId="111">
    <w:name w:val="1.1.1"/>
    <w:basedOn w:val="Normal"/>
    <w:rsid w:val="00E83DEE"/>
    <w:pPr>
      <w:numPr>
        <w:ilvl w:val="2"/>
        <w:numId w:val="9"/>
      </w:numPr>
      <w:tabs>
        <w:tab w:val="left" w:pos="567"/>
      </w:tabs>
      <w:spacing w:before="60" w:after="120"/>
    </w:pPr>
    <w:rPr>
      <w:rFonts w:ascii="Arial Mäori" w:hAnsi="Arial Mäori"/>
      <w:sz w:val="20"/>
      <w:u w:val="single"/>
      <w:lang w:eastAsia="en-US"/>
    </w:rPr>
  </w:style>
  <w:style w:type="paragraph" w:customStyle="1" w:styleId="Style">
    <w:name w:val="Style"/>
    <w:basedOn w:val="Normal"/>
    <w:next w:val="Normal"/>
    <w:semiHidden/>
    <w:rsid w:val="00B8429C"/>
    <w:pPr>
      <w:spacing w:after="160" w:line="240" w:lineRule="exact"/>
    </w:pPr>
    <w:rPr>
      <w:rFonts w:cs="Verdana"/>
      <w:sz w:val="24"/>
      <w:szCs w:val="24"/>
      <w:lang w:val="en-NZ" w:eastAsia="en-US"/>
    </w:rPr>
  </w:style>
  <w:style w:type="paragraph" w:styleId="BodyText">
    <w:name w:val="Body Text"/>
    <w:basedOn w:val="Normal"/>
    <w:rsid w:val="00816BC3"/>
    <w:pPr>
      <w:spacing w:after="120"/>
    </w:pPr>
    <w:rPr>
      <w:sz w:val="24"/>
    </w:rPr>
  </w:style>
  <w:style w:type="paragraph" w:styleId="BodyText3">
    <w:name w:val="Body Text 3"/>
    <w:basedOn w:val="Normal"/>
    <w:rsid w:val="00816BC3"/>
    <w:pPr>
      <w:spacing w:after="120"/>
    </w:pPr>
    <w:rPr>
      <w:sz w:val="16"/>
      <w:szCs w:val="16"/>
    </w:rPr>
  </w:style>
  <w:style w:type="paragraph" w:styleId="BodyTextIndent3">
    <w:name w:val="Body Text Indent 3"/>
    <w:basedOn w:val="Normal"/>
    <w:rsid w:val="004C4A01"/>
    <w:pPr>
      <w:spacing w:after="120"/>
      <w:ind w:left="283"/>
    </w:pPr>
    <w:rPr>
      <w:rFonts w:ascii="Times New Roman" w:hAnsi="Times New Roman"/>
      <w:sz w:val="16"/>
      <w:szCs w:val="16"/>
    </w:rPr>
  </w:style>
  <w:style w:type="paragraph" w:styleId="BalloonText">
    <w:name w:val="Balloon Text"/>
    <w:basedOn w:val="Normal"/>
    <w:semiHidden/>
    <w:rsid w:val="00BC11D7"/>
    <w:rPr>
      <w:rFonts w:ascii="Tahoma" w:hAnsi="Tahoma" w:cs="Tahoma"/>
      <w:sz w:val="16"/>
      <w:szCs w:val="16"/>
    </w:rPr>
  </w:style>
  <w:style w:type="character" w:styleId="CommentReference">
    <w:name w:val="annotation reference"/>
    <w:semiHidden/>
    <w:rsid w:val="001013E2"/>
    <w:rPr>
      <w:sz w:val="16"/>
      <w:szCs w:val="16"/>
    </w:rPr>
  </w:style>
  <w:style w:type="paragraph" w:styleId="CommentText">
    <w:name w:val="annotation text"/>
    <w:basedOn w:val="Normal"/>
    <w:semiHidden/>
    <w:rsid w:val="001013E2"/>
    <w:rPr>
      <w:sz w:val="20"/>
    </w:rPr>
  </w:style>
  <w:style w:type="paragraph" w:styleId="CommentSubject">
    <w:name w:val="annotation subject"/>
    <w:basedOn w:val="CommentText"/>
    <w:next w:val="CommentText"/>
    <w:semiHidden/>
    <w:rsid w:val="001013E2"/>
    <w:rPr>
      <w:b/>
      <w:bCs/>
    </w:rPr>
  </w:style>
  <w:style w:type="character" w:styleId="Hyperlink">
    <w:name w:val="Hyperlink"/>
    <w:basedOn w:val="DefaultParagraphFont"/>
    <w:uiPriority w:val="99"/>
    <w:unhideWhenUsed/>
    <w:rsid w:val="00230DFB"/>
    <w:rPr>
      <w:color w:val="0000FF" w:themeColor="hyperlink"/>
      <w:u w:val="single"/>
    </w:rPr>
  </w:style>
  <w:style w:type="paragraph" w:styleId="FootnoteText">
    <w:name w:val="footnote text"/>
    <w:basedOn w:val="Normal"/>
    <w:link w:val="FootnoteTextChar"/>
    <w:uiPriority w:val="99"/>
    <w:rsid w:val="00FB7038"/>
    <w:rPr>
      <w:sz w:val="20"/>
    </w:rPr>
  </w:style>
  <w:style w:type="character" w:customStyle="1" w:styleId="FootnoteTextChar">
    <w:name w:val="Footnote Text Char"/>
    <w:basedOn w:val="DefaultParagraphFont"/>
    <w:link w:val="FootnoteText"/>
    <w:uiPriority w:val="99"/>
    <w:rsid w:val="00FB7038"/>
    <w:rPr>
      <w:rFonts w:ascii="Arial" w:hAnsi="Arial"/>
      <w:lang w:val="en-GB" w:eastAsia="en-GB"/>
    </w:rPr>
  </w:style>
  <w:style w:type="character" w:styleId="FootnoteReference">
    <w:name w:val="footnote reference"/>
    <w:uiPriority w:val="99"/>
    <w:rsid w:val="00FB70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19453">
      <w:bodyDiv w:val="1"/>
      <w:marLeft w:val="0"/>
      <w:marRight w:val="0"/>
      <w:marTop w:val="0"/>
      <w:marBottom w:val="0"/>
      <w:divBdr>
        <w:top w:val="none" w:sz="0" w:space="0" w:color="auto"/>
        <w:left w:val="none" w:sz="0" w:space="0" w:color="auto"/>
        <w:bottom w:val="none" w:sz="0" w:space="0" w:color="auto"/>
        <w:right w:val="none" w:sz="0" w:space="0" w:color="auto"/>
      </w:divBdr>
    </w:div>
    <w:div w:id="480118131">
      <w:bodyDiv w:val="1"/>
      <w:marLeft w:val="0"/>
      <w:marRight w:val="0"/>
      <w:marTop w:val="0"/>
      <w:marBottom w:val="0"/>
      <w:divBdr>
        <w:top w:val="none" w:sz="0" w:space="0" w:color="auto"/>
        <w:left w:val="none" w:sz="0" w:space="0" w:color="auto"/>
        <w:bottom w:val="none" w:sz="0" w:space="0" w:color="auto"/>
        <w:right w:val="none" w:sz="0" w:space="0" w:color="auto"/>
      </w:divBdr>
    </w:div>
    <w:div w:id="519858049">
      <w:bodyDiv w:val="1"/>
      <w:marLeft w:val="0"/>
      <w:marRight w:val="0"/>
      <w:marTop w:val="0"/>
      <w:marBottom w:val="0"/>
      <w:divBdr>
        <w:top w:val="none" w:sz="0" w:space="0" w:color="auto"/>
        <w:left w:val="none" w:sz="0" w:space="0" w:color="auto"/>
        <w:bottom w:val="none" w:sz="0" w:space="0" w:color="auto"/>
        <w:right w:val="none" w:sz="0" w:space="0" w:color="auto"/>
      </w:divBdr>
    </w:div>
    <w:div w:id="711808621">
      <w:bodyDiv w:val="1"/>
      <w:marLeft w:val="0"/>
      <w:marRight w:val="0"/>
      <w:marTop w:val="0"/>
      <w:marBottom w:val="0"/>
      <w:divBdr>
        <w:top w:val="none" w:sz="0" w:space="0" w:color="auto"/>
        <w:left w:val="none" w:sz="0" w:space="0" w:color="auto"/>
        <w:bottom w:val="none" w:sz="0" w:space="0" w:color="auto"/>
        <w:right w:val="none" w:sz="0" w:space="0" w:color="auto"/>
      </w:divBdr>
    </w:div>
    <w:div w:id="815684077">
      <w:bodyDiv w:val="1"/>
      <w:marLeft w:val="0"/>
      <w:marRight w:val="0"/>
      <w:marTop w:val="0"/>
      <w:marBottom w:val="0"/>
      <w:divBdr>
        <w:top w:val="none" w:sz="0" w:space="0" w:color="auto"/>
        <w:left w:val="none" w:sz="0" w:space="0" w:color="auto"/>
        <w:bottom w:val="none" w:sz="0" w:space="0" w:color="auto"/>
        <w:right w:val="none" w:sz="0" w:space="0" w:color="auto"/>
      </w:divBdr>
    </w:div>
    <w:div w:id="1053772879">
      <w:bodyDiv w:val="1"/>
      <w:marLeft w:val="0"/>
      <w:marRight w:val="0"/>
      <w:marTop w:val="0"/>
      <w:marBottom w:val="0"/>
      <w:divBdr>
        <w:top w:val="none" w:sz="0" w:space="0" w:color="auto"/>
        <w:left w:val="none" w:sz="0" w:space="0" w:color="auto"/>
        <w:bottom w:val="none" w:sz="0" w:space="0" w:color="auto"/>
        <w:right w:val="none" w:sz="0" w:space="0" w:color="auto"/>
      </w:divBdr>
    </w:div>
    <w:div w:id="1294946937">
      <w:bodyDiv w:val="1"/>
      <w:marLeft w:val="0"/>
      <w:marRight w:val="0"/>
      <w:marTop w:val="0"/>
      <w:marBottom w:val="0"/>
      <w:divBdr>
        <w:top w:val="none" w:sz="0" w:space="0" w:color="auto"/>
        <w:left w:val="none" w:sz="0" w:space="0" w:color="auto"/>
        <w:bottom w:val="none" w:sz="0" w:space="0" w:color="auto"/>
        <w:right w:val="none" w:sz="0" w:space="0" w:color="auto"/>
      </w:divBdr>
    </w:div>
    <w:div w:id="1749770382">
      <w:bodyDiv w:val="1"/>
      <w:marLeft w:val="0"/>
      <w:marRight w:val="0"/>
      <w:marTop w:val="0"/>
      <w:marBottom w:val="0"/>
      <w:divBdr>
        <w:top w:val="none" w:sz="0" w:space="0" w:color="auto"/>
        <w:left w:val="none" w:sz="0" w:space="0" w:color="auto"/>
        <w:bottom w:val="none" w:sz="0" w:space="0" w:color="auto"/>
        <w:right w:val="none" w:sz="0" w:space="0" w:color="auto"/>
      </w:divBdr>
    </w:div>
    <w:div w:id="1848591070">
      <w:bodyDiv w:val="1"/>
      <w:marLeft w:val="0"/>
      <w:marRight w:val="0"/>
      <w:marTop w:val="0"/>
      <w:marBottom w:val="0"/>
      <w:divBdr>
        <w:top w:val="none" w:sz="0" w:space="0" w:color="auto"/>
        <w:left w:val="none" w:sz="0" w:space="0" w:color="auto"/>
        <w:bottom w:val="none" w:sz="0" w:space="0" w:color="auto"/>
        <w:right w:val="none" w:sz="0" w:space="0" w:color="auto"/>
      </w:divBdr>
    </w:div>
    <w:div w:id="204613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01370-9F7E-4762-832A-CF389602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1C8B1549</Template>
  <TotalTime>1</TotalTime>
  <Pages>5</Pages>
  <Words>1330</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Vickie Turnbull</cp:lastModifiedBy>
  <cp:revision>2</cp:revision>
  <cp:lastPrinted>2009-07-19T22:54:00Z</cp:lastPrinted>
  <dcterms:created xsi:type="dcterms:W3CDTF">2017-08-02T03:14:00Z</dcterms:created>
  <dcterms:modified xsi:type="dcterms:W3CDTF">2017-08-02T03:14:00Z</dcterms:modified>
</cp:coreProperties>
</file>