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1893"/>
        <w:gridCol w:w="3306"/>
      </w:tblGrid>
      <w:tr w:rsidR="00027868" w:rsidRPr="00DF3430">
        <w:trPr>
          <w:cantSplit/>
        </w:trPr>
        <w:tc>
          <w:tcPr>
            <w:tcW w:w="4428" w:type="dxa"/>
            <w:vAlign w:val="center"/>
          </w:tcPr>
          <w:p w:rsidR="00027868" w:rsidRPr="00DF3430" w:rsidRDefault="002B50A8" w:rsidP="00027868">
            <w:pPr>
              <w:rPr>
                <w:rFonts w:cs="Arial"/>
                <w:bCs/>
                <w:sz w:val="34"/>
                <w:szCs w:val="34"/>
                <w:lang w:val="en-NZ"/>
              </w:rPr>
            </w:pPr>
            <w:bookmarkStart w:id="0" w:name="_GoBack"/>
            <w:bookmarkEnd w:id="0"/>
            <w:r w:rsidRPr="00DF3430">
              <w:rPr>
                <w:rFonts w:cs="Arial"/>
                <w:noProof/>
                <w:sz w:val="23"/>
                <w:szCs w:val="23"/>
                <w:lang w:val="en-NZ" w:eastAsia="en-NZ"/>
              </w:rPr>
              <w:drawing>
                <wp:inline distT="0" distB="0" distL="0" distR="0" wp14:anchorId="4BA866D3" wp14:editId="167D860B">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0E2F74" w:rsidRDefault="00BA0327" w:rsidP="00027868">
            <w:pPr>
              <w:jc w:val="right"/>
              <w:rPr>
                <w:rFonts w:cs="Arial"/>
                <w:b/>
                <w:bCs/>
                <w:sz w:val="32"/>
                <w:szCs w:val="32"/>
                <w:lang w:val="en-NZ"/>
              </w:rPr>
            </w:pPr>
            <w:r w:rsidRPr="000E2F74">
              <w:rPr>
                <w:rFonts w:cs="Arial"/>
                <w:b/>
                <w:sz w:val="32"/>
                <w:szCs w:val="32"/>
                <w:lang w:val="en-NZ"/>
              </w:rPr>
              <w:t xml:space="preserve">All </w:t>
            </w:r>
            <w:r w:rsidR="00C4797E" w:rsidRPr="000E2F74">
              <w:rPr>
                <w:rFonts w:cs="Arial"/>
                <w:b/>
                <w:sz w:val="32"/>
                <w:szCs w:val="32"/>
                <w:lang w:val="en-NZ"/>
              </w:rPr>
              <w:t>District Health Boards</w:t>
            </w:r>
          </w:p>
        </w:tc>
      </w:tr>
      <w:tr w:rsidR="00027868" w:rsidRPr="00DF3430" w:rsidTr="002713CE">
        <w:tc>
          <w:tcPr>
            <w:tcW w:w="9627" w:type="dxa"/>
            <w:gridSpan w:val="3"/>
            <w:tcBorders>
              <w:bottom w:val="single" w:sz="4" w:space="0" w:color="auto"/>
            </w:tcBorders>
          </w:tcPr>
          <w:p w:rsidR="00027868" w:rsidRPr="00DF3430" w:rsidRDefault="00C4797E" w:rsidP="000E2F74">
            <w:pPr>
              <w:spacing w:before="2040" w:after="120"/>
              <w:jc w:val="center"/>
              <w:rPr>
                <w:rFonts w:cs="Arial"/>
                <w:b/>
                <w:bCs/>
                <w:sz w:val="36"/>
                <w:szCs w:val="36"/>
                <w:lang w:val="en-NZ"/>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DF3430">
              <w:rPr>
                <w:rFonts w:cs="Arial"/>
                <w:b/>
                <w:bCs/>
                <w:sz w:val="36"/>
                <w:szCs w:val="36"/>
                <w:lang w:val="en-NZ"/>
              </w:rPr>
              <w:t xml:space="preserve">ADDICTION SERVICES - </w:t>
            </w:r>
            <w:r w:rsidR="009B046A" w:rsidRPr="00DF3430">
              <w:rPr>
                <w:rFonts w:cs="Arial"/>
                <w:b/>
                <w:bCs/>
                <w:sz w:val="36"/>
                <w:szCs w:val="36"/>
                <w:lang w:val="en-NZ"/>
              </w:rPr>
              <w:t>MANAGED WITHDRAWAL</w:t>
            </w:r>
            <w:r w:rsidR="00A36ED6" w:rsidRPr="00DF3430">
              <w:rPr>
                <w:rFonts w:cs="Arial"/>
                <w:b/>
                <w:bCs/>
                <w:sz w:val="36"/>
                <w:szCs w:val="36"/>
                <w:lang w:val="en-NZ"/>
              </w:rPr>
              <w:t xml:space="preserve"> </w:t>
            </w:r>
            <w:r w:rsidR="009B046A" w:rsidRPr="00DF3430">
              <w:rPr>
                <w:rFonts w:cs="Arial"/>
                <w:b/>
                <w:bCs/>
                <w:sz w:val="36"/>
                <w:szCs w:val="36"/>
                <w:lang w:val="en-NZ"/>
              </w:rPr>
              <w:t>- INPATIENT</w:t>
            </w:r>
            <w:r w:rsidR="00DF1391" w:rsidRPr="00DF3430">
              <w:rPr>
                <w:rFonts w:cs="Arial"/>
                <w:b/>
                <w:bCs/>
                <w:sz w:val="36"/>
                <w:szCs w:val="36"/>
                <w:lang w:val="en-NZ"/>
              </w:rPr>
              <w:t xml:space="preserve"> SERVICE</w:t>
            </w:r>
          </w:p>
          <w:p w:rsidR="00C4797E" w:rsidRPr="00DF3430" w:rsidRDefault="00C4797E" w:rsidP="000E2F74">
            <w:pPr>
              <w:spacing w:after="120"/>
              <w:jc w:val="center"/>
              <w:rPr>
                <w:rFonts w:cs="Arial"/>
                <w:b/>
                <w:sz w:val="36"/>
                <w:szCs w:val="36"/>
              </w:rPr>
            </w:pPr>
            <w:r w:rsidRPr="00DF3430">
              <w:rPr>
                <w:rFonts w:cs="Arial"/>
                <w:b/>
                <w:bCs/>
                <w:sz w:val="36"/>
                <w:szCs w:val="36"/>
                <w:lang w:val="en-NZ"/>
              </w:rPr>
              <w:t>MENTAL HEALTH AND ADDICTION SERVICES</w:t>
            </w:r>
          </w:p>
          <w:bookmarkEnd w:id="1"/>
          <w:bookmarkEnd w:id="2"/>
          <w:bookmarkEnd w:id="3"/>
          <w:bookmarkEnd w:id="4"/>
          <w:bookmarkEnd w:id="5"/>
          <w:bookmarkEnd w:id="6"/>
          <w:bookmarkEnd w:id="7"/>
          <w:bookmarkEnd w:id="8"/>
          <w:bookmarkEnd w:id="9"/>
          <w:p w:rsidR="00027868" w:rsidRPr="00DF3430" w:rsidRDefault="00027868" w:rsidP="00AE504E">
            <w:pPr>
              <w:spacing w:after="120"/>
              <w:jc w:val="center"/>
              <w:rPr>
                <w:rFonts w:cs="Arial"/>
                <w:b/>
                <w:sz w:val="36"/>
                <w:szCs w:val="36"/>
              </w:rPr>
            </w:pPr>
            <w:r w:rsidRPr="00DF3430">
              <w:rPr>
                <w:rFonts w:cs="Arial"/>
                <w:b/>
                <w:sz w:val="36"/>
                <w:szCs w:val="36"/>
              </w:rPr>
              <w:t xml:space="preserve">TIER </w:t>
            </w:r>
            <w:r w:rsidR="00665AA2" w:rsidRPr="00DF3430">
              <w:rPr>
                <w:rFonts w:cs="Arial"/>
                <w:b/>
                <w:sz w:val="36"/>
                <w:szCs w:val="36"/>
              </w:rPr>
              <w:t>THREE</w:t>
            </w:r>
          </w:p>
          <w:p w:rsidR="00027868" w:rsidRPr="00DF3430" w:rsidRDefault="00027868" w:rsidP="000E2F74">
            <w:pPr>
              <w:spacing w:after="720"/>
              <w:jc w:val="center"/>
              <w:rPr>
                <w:rFonts w:cs="Arial"/>
                <w:b/>
                <w:sz w:val="36"/>
                <w:szCs w:val="36"/>
              </w:rPr>
            </w:pPr>
            <w:bookmarkStart w:id="10" w:name="_Toc206406492"/>
            <w:bookmarkStart w:id="11" w:name="_Toc215319103"/>
            <w:r w:rsidRPr="00DF3430">
              <w:rPr>
                <w:rFonts w:cs="Arial"/>
                <w:b/>
                <w:sz w:val="36"/>
                <w:szCs w:val="36"/>
              </w:rPr>
              <w:t>SERVICE SPECIFICATION</w:t>
            </w:r>
            <w:bookmarkEnd w:id="10"/>
            <w:bookmarkEnd w:id="11"/>
          </w:p>
          <w:p w:rsidR="00AB2784" w:rsidRPr="005F2CE8" w:rsidRDefault="00AB2784" w:rsidP="00027868">
            <w:pPr>
              <w:spacing w:before="120" w:after="120"/>
              <w:jc w:val="center"/>
              <w:rPr>
                <w:rFonts w:cs="Arial"/>
              </w:rPr>
            </w:pPr>
          </w:p>
        </w:tc>
      </w:tr>
      <w:tr w:rsidR="0065629B" w:rsidRPr="00DF3430" w:rsidTr="000E2F74">
        <w:trPr>
          <w:trHeight w:val="1612"/>
        </w:trPr>
        <w:tc>
          <w:tcPr>
            <w:tcW w:w="6321" w:type="dxa"/>
            <w:gridSpan w:val="2"/>
          </w:tcPr>
          <w:p w:rsidR="0065629B" w:rsidRPr="00DF3430" w:rsidRDefault="0065629B" w:rsidP="0065629B">
            <w:pPr>
              <w:spacing w:before="120"/>
              <w:ind w:left="360"/>
              <w:rPr>
                <w:rFonts w:cs="Arial"/>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192CCA">
              <w:rPr>
                <w:b/>
                <w:sz w:val="32"/>
                <w:szCs w:val="32"/>
              </w:rPr>
              <w:t xml:space="preserve">STATUS: </w:t>
            </w:r>
            <w:r w:rsidRPr="00192CCA">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3306" w:type="dxa"/>
          </w:tcPr>
          <w:p w:rsidR="0065629B" w:rsidRPr="004366C6" w:rsidRDefault="0065629B" w:rsidP="000E2F74">
            <w:pPr>
              <w:rPr>
                <w:b/>
                <w:sz w:val="24"/>
                <w:szCs w:val="24"/>
              </w:rPr>
            </w:pPr>
            <w:bookmarkStart w:id="20" w:name="_Toc206389499"/>
            <w:bookmarkStart w:id="21" w:name="_Toc215319108"/>
            <w:r w:rsidRPr="004366C6">
              <w:rPr>
                <w:b/>
                <w:sz w:val="32"/>
                <w:szCs w:val="32"/>
              </w:rPr>
              <w:t>NON-MANDATORY</w:t>
            </w:r>
            <w:bookmarkEnd w:id="20"/>
            <w:bookmarkEnd w:id="21"/>
          </w:p>
        </w:tc>
      </w:tr>
      <w:tr w:rsidR="00027868" w:rsidRPr="00DF3430" w:rsidTr="005F2CE8">
        <w:trPr>
          <w:trHeight w:val="297"/>
        </w:trPr>
        <w:tc>
          <w:tcPr>
            <w:tcW w:w="6321" w:type="dxa"/>
            <w:gridSpan w:val="2"/>
            <w:tcBorders>
              <w:top w:val="single" w:sz="4" w:space="0" w:color="auto"/>
              <w:left w:val="single" w:sz="4" w:space="0" w:color="auto"/>
              <w:bottom w:val="single" w:sz="4" w:space="0" w:color="auto"/>
              <w:right w:val="single" w:sz="4" w:space="0" w:color="auto"/>
            </w:tcBorders>
            <w:shd w:val="clear" w:color="auto" w:fill="CCCCCC"/>
          </w:tcPr>
          <w:p w:rsidR="00027868" w:rsidRPr="000C4F55" w:rsidRDefault="00027868" w:rsidP="0002786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0C4F55">
              <w:rPr>
                <w:rFonts w:cs="Arial"/>
                <w:b/>
                <w:sz w:val="32"/>
                <w:szCs w:val="32"/>
              </w:rPr>
              <w:t>Review History</w:t>
            </w:r>
            <w:bookmarkEnd w:id="22"/>
            <w:bookmarkEnd w:id="23"/>
            <w:bookmarkEnd w:id="24"/>
            <w:bookmarkEnd w:id="25"/>
            <w:bookmarkEnd w:id="26"/>
            <w:bookmarkEnd w:id="27"/>
            <w:bookmarkEnd w:id="28"/>
            <w:bookmarkEnd w:id="29"/>
          </w:p>
        </w:tc>
        <w:tc>
          <w:tcPr>
            <w:tcW w:w="3306" w:type="dxa"/>
            <w:tcBorders>
              <w:top w:val="single" w:sz="4" w:space="0" w:color="auto"/>
              <w:left w:val="single" w:sz="4" w:space="0" w:color="auto"/>
              <w:bottom w:val="single" w:sz="4" w:space="0" w:color="auto"/>
              <w:right w:val="single" w:sz="4" w:space="0" w:color="auto"/>
            </w:tcBorders>
            <w:shd w:val="clear" w:color="auto" w:fill="CCCCCC"/>
          </w:tcPr>
          <w:p w:rsidR="00027868" w:rsidRPr="00DB0811" w:rsidRDefault="00027868" w:rsidP="0002786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DB0811">
              <w:rPr>
                <w:rFonts w:cs="Arial"/>
                <w:b/>
                <w:sz w:val="32"/>
                <w:szCs w:val="32"/>
              </w:rPr>
              <w:t>Date</w:t>
            </w:r>
            <w:bookmarkEnd w:id="30"/>
            <w:bookmarkEnd w:id="31"/>
            <w:bookmarkEnd w:id="32"/>
            <w:bookmarkEnd w:id="33"/>
            <w:bookmarkEnd w:id="34"/>
            <w:bookmarkEnd w:id="35"/>
            <w:bookmarkEnd w:id="36"/>
            <w:bookmarkEnd w:id="37"/>
            <w:bookmarkEnd w:id="38"/>
          </w:p>
        </w:tc>
      </w:tr>
      <w:tr w:rsidR="00027868" w:rsidRPr="00DF3430">
        <w:tc>
          <w:tcPr>
            <w:tcW w:w="6321" w:type="dxa"/>
            <w:gridSpan w:val="2"/>
            <w:tcBorders>
              <w:top w:val="single" w:sz="4" w:space="0" w:color="auto"/>
              <w:left w:val="single" w:sz="4" w:space="0" w:color="auto"/>
              <w:bottom w:val="single" w:sz="6" w:space="0" w:color="auto"/>
              <w:right w:val="single" w:sz="6" w:space="0" w:color="auto"/>
            </w:tcBorders>
            <w:vAlign w:val="center"/>
          </w:tcPr>
          <w:p w:rsidR="00027868" w:rsidRPr="00110B15" w:rsidRDefault="00E37C31" w:rsidP="00E37C31">
            <w:pPr>
              <w:spacing w:before="120" w:after="120"/>
              <w:rPr>
                <w:rFonts w:cs="Arial"/>
                <w:sz w:val="28"/>
                <w:szCs w:val="28"/>
              </w:rPr>
            </w:pPr>
            <w:bookmarkStart w:id="39" w:name="_Toc215319113"/>
            <w:r w:rsidRPr="00110B15">
              <w:rPr>
                <w:rFonts w:cs="Arial"/>
                <w:sz w:val="28"/>
                <w:szCs w:val="28"/>
              </w:rPr>
              <w:t>First p</w:t>
            </w:r>
            <w:r w:rsidR="00027868" w:rsidRPr="00110B15">
              <w:rPr>
                <w:rFonts w:cs="Arial"/>
                <w:sz w:val="28"/>
                <w:szCs w:val="28"/>
              </w:rPr>
              <w:t>ublished on NSFL</w:t>
            </w:r>
            <w:bookmarkEnd w:id="39"/>
          </w:p>
        </w:tc>
        <w:tc>
          <w:tcPr>
            <w:tcW w:w="3306" w:type="dxa"/>
            <w:tcBorders>
              <w:top w:val="single" w:sz="4" w:space="0" w:color="auto"/>
              <w:left w:val="single" w:sz="6" w:space="0" w:color="auto"/>
              <w:bottom w:val="single" w:sz="6" w:space="0" w:color="auto"/>
              <w:right w:val="single" w:sz="4" w:space="0" w:color="auto"/>
            </w:tcBorders>
            <w:vAlign w:val="center"/>
          </w:tcPr>
          <w:p w:rsidR="00027868" w:rsidRPr="005F2CE8" w:rsidRDefault="008E46FD" w:rsidP="00027868">
            <w:pPr>
              <w:spacing w:before="120" w:after="120"/>
              <w:rPr>
                <w:rFonts w:cs="Arial"/>
                <w:sz w:val="32"/>
                <w:szCs w:val="32"/>
              </w:rPr>
            </w:pPr>
            <w:r w:rsidRPr="005F2CE8">
              <w:rPr>
                <w:rFonts w:cs="Arial"/>
                <w:sz w:val="32"/>
                <w:szCs w:val="32"/>
              </w:rPr>
              <w:t>January 2010</w:t>
            </w:r>
          </w:p>
        </w:tc>
      </w:tr>
      <w:tr w:rsidR="00341580" w:rsidRPr="00DF3430">
        <w:tc>
          <w:tcPr>
            <w:tcW w:w="6321" w:type="dxa"/>
            <w:gridSpan w:val="2"/>
            <w:tcBorders>
              <w:top w:val="single" w:sz="6" w:space="0" w:color="auto"/>
              <w:left w:val="single" w:sz="4" w:space="0" w:color="auto"/>
              <w:bottom w:val="single" w:sz="6" w:space="0" w:color="auto"/>
              <w:right w:val="single" w:sz="6" w:space="0" w:color="auto"/>
            </w:tcBorders>
            <w:vAlign w:val="center"/>
          </w:tcPr>
          <w:p w:rsidR="00341580" w:rsidRPr="000E2F74" w:rsidRDefault="00341580" w:rsidP="003666A1">
            <w:pPr>
              <w:spacing w:before="120" w:after="120"/>
              <w:rPr>
                <w:rFonts w:cs="Arial"/>
                <w:sz w:val="24"/>
                <w:szCs w:val="24"/>
              </w:rPr>
            </w:pPr>
            <w:r w:rsidRPr="000E2F74">
              <w:rPr>
                <w:rFonts w:cs="Arial"/>
                <w:b/>
                <w:sz w:val="24"/>
                <w:szCs w:val="24"/>
              </w:rPr>
              <w:t xml:space="preserve">Amended: </w:t>
            </w:r>
            <w:r w:rsidRPr="000E2F74">
              <w:rPr>
                <w:rFonts w:cs="Arial"/>
                <w:sz w:val="24"/>
                <w:szCs w:val="24"/>
              </w:rPr>
              <w:t>clarified reporting requirements</w:t>
            </w:r>
          </w:p>
        </w:tc>
        <w:tc>
          <w:tcPr>
            <w:tcW w:w="3306" w:type="dxa"/>
            <w:tcBorders>
              <w:top w:val="single" w:sz="6" w:space="0" w:color="auto"/>
              <w:left w:val="single" w:sz="6" w:space="0" w:color="auto"/>
              <w:bottom w:val="single" w:sz="6" w:space="0" w:color="auto"/>
              <w:right w:val="single" w:sz="4" w:space="0" w:color="auto"/>
            </w:tcBorders>
            <w:vAlign w:val="center"/>
          </w:tcPr>
          <w:p w:rsidR="00341580" w:rsidRPr="005F2CE8" w:rsidRDefault="00341580" w:rsidP="00027868">
            <w:pPr>
              <w:spacing w:before="120" w:after="120"/>
              <w:rPr>
                <w:rFonts w:cs="Arial"/>
                <w:sz w:val="32"/>
                <w:szCs w:val="32"/>
              </w:rPr>
            </w:pPr>
            <w:r w:rsidRPr="005F2CE8">
              <w:rPr>
                <w:rFonts w:cs="Arial"/>
                <w:sz w:val="28"/>
                <w:szCs w:val="28"/>
              </w:rPr>
              <w:t>February 2013</w:t>
            </w:r>
          </w:p>
        </w:tc>
      </w:tr>
      <w:tr w:rsidR="00AE504E" w:rsidRPr="00C73B3D" w:rsidTr="00AE504E">
        <w:tc>
          <w:tcPr>
            <w:tcW w:w="6321" w:type="dxa"/>
            <w:gridSpan w:val="2"/>
            <w:tcBorders>
              <w:top w:val="single" w:sz="6" w:space="0" w:color="auto"/>
              <w:left w:val="single" w:sz="4" w:space="0" w:color="auto"/>
              <w:bottom w:val="single" w:sz="6" w:space="0" w:color="auto"/>
              <w:right w:val="single" w:sz="6" w:space="0" w:color="auto"/>
            </w:tcBorders>
            <w:vAlign w:val="center"/>
          </w:tcPr>
          <w:p w:rsidR="00AE504E" w:rsidRPr="000E2F74" w:rsidRDefault="00AE504E" w:rsidP="00110B15">
            <w:pPr>
              <w:spacing w:before="120" w:after="120"/>
              <w:rPr>
                <w:rFonts w:cs="Arial"/>
                <w:b/>
                <w:sz w:val="24"/>
                <w:szCs w:val="24"/>
              </w:rPr>
            </w:pPr>
            <w:r w:rsidRPr="000E2F74">
              <w:rPr>
                <w:rFonts w:cs="Arial"/>
                <w:b/>
                <w:sz w:val="24"/>
                <w:szCs w:val="24"/>
              </w:rPr>
              <w:t>Amend</w:t>
            </w:r>
            <w:r w:rsidR="00110B15">
              <w:rPr>
                <w:rFonts w:cs="Arial"/>
                <w:b/>
                <w:sz w:val="24"/>
                <w:szCs w:val="24"/>
              </w:rPr>
              <w:t>ed</w:t>
            </w:r>
            <w:r w:rsidRPr="000E2F74">
              <w:rPr>
                <w:rFonts w:cs="Arial"/>
                <w:b/>
                <w:sz w:val="24"/>
                <w:szCs w:val="24"/>
              </w:rPr>
              <w:t xml:space="preserve">: </w:t>
            </w:r>
            <w:r w:rsidRPr="000E2F74">
              <w:rPr>
                <w:rFonts w:cs="Arial"/>
                <w:sz w:val="24"/>
                <w:szCs w:val="24"/>
              </w:rPr>
              <w:t>removed standard provider monitoring reporting tables. Minor editing.</w:t>
            </w:r>
          </w:p>
        </w:tc>
        <w:tc>
          <w:tcPr>
            <w:tcW w:w="3306" w:type="dxa"/>
            <w:tcBorders>
              <w:top w:val="single" w:sz="6" w:space="0" w:color="auto"/>
              <w:left w:val="single" w:sz="6" w:space="0" w:color="auto"/>
              <w:bottom w:val="single" w:sz="6" w:space="0" w:color="auto"/>
              <w:right w:val="single" w:sz="4" w:space="0" w:color="auto"/>
            </w:tcBorders>
            <w:vAlign w:val="center"/>
          </w:tcPr>
          <w:p w:rsidR="00AE504E" w:rsidRPr="00556AE7" w:rsidRDefault="0065629B" w:rsidP="000C6C15">
            <w:pPr>
              <w:spacing w:before="120" w:after="120"/>
              <w:rPr>
                <w:rFonts w:cs="Arial"/>
                <w:sz w:val="28"/>
                <w:szCs w:val="28"/>
              </w:rPr>
            </w:pPr>
            <w:r>
              <w:rPr>
                <w:rFonts w:cs="Arial"/>
                <w:sz w:val="28"/>
                <w:szCs w:val="28"/>
              </w:rPr>
              <w:t>April 2017</w:t>
            </w:r>
          </w:p>
        </w:tc>
      </w:tr>
      <w:tr w:rsidR="00341580" w:rsidRPr="00DF3430">
        <w:tc>
          <w:tcPr>
            <w:tcW w:w="6321" w:type="dxa"/>
            <w:gridSpan w:val="2"/>
            <w:tcBorders>
              <w:top w:val="single" w:sz="6" w:space="0" w:color="auto"/>
              <w:left w:val="single" w:sz="4" w:space="0" w:color="auto"/>
              <w:bottom w:val="single" w:sz="6" w:space="0" w:color="auto"/>
              <w:right w:val="single" w:sz="6" w:space="0" w:color="auto"/>
            </w:tcBorders>
            <w:vAlign w:val="center"/>
          </w:tcPr>
          <w:p w:rsidR="00341580" w:rsidRPr="00DB0811" w:rsidRDefault="00341580" w:rsidP="00027868">
            <w:pPr>
              <w:spacing w:before="120" w:after="120"/>
              <w:rPr>
                <w:rFonts w:cs="Arial"/>
                <w:sz w:val="32"/>
                <w:szCs w:val="32"/>
              </w:rPr>
            </w:pPr>
            <w:bookmarkStart w:id="40" w:name="_Toc215319116"/>
            <w:r w:rsidRPr="000C4F55">
              <w:rPr>
                <w:rFonts w:cs="Arial"/>
                <w:sz w:val="32"/>
                <w:szCs w:val="32"/>
              </w:rPr>
              <w:t>Consideration for next Service Specification Review</w:t>
            </w:r>
            <w:bookmarkEnd w:id="40"/>
          </w:p>
        </w:tc>
        <w:tc>
          <w:tcPr>
            <w:tcW w:w="3306" w:type="dxa"/>
            <w:tcBorders>
              <w:top w:val="single" w:sz="6" w:space="0" w:color="auto"/>
              <w:left w:val="single" w:sz="6" w:space="0" w:color="auto"/>
              <w:bottom w:val="single" w:sz="6" w:space="0" w:color="auto"/>
              <w:right w:val="single" w:sz="4" w:space="0" w:color="auto"/>
            </w:tcBorders>
            <w:vAlign w:val="center"/>
          </w:tcPr>
          <w:p w:rsidR="00341580" w:rsidRPr="005F2CE8" w:rsidRDefault="00341580" w:rsidP="00341580">
            <w:pPr>
              <w:spacing w:before="120" w:after="120"/>
              <w:rPr>
                <w:rFonts w:cs="Arial"/>
                <w:sz w:val="32"/>
                <w:szCs w:val="32"/>
              </w:rPr>
            </w:pPr>
            <w:bookmarkStart w:id="41" w:name="_Toc215319117"/>
            <w:r w:rsidRPr="005F2CE8">
              <w:rPr>
                <w:rFonts w:cs="Arial"/>
                <w:sz w:val="32"/>
                <w:szCs w:val="32"/>
              </w:rPr>
              <w:t>Within five years</w:t>
            </w:r>
            <w:bookmarkEnd w:id="41"/>
          </w:p>
        </w:tc>
      </w:tr>
    </w:tbl>
    <w:p w:rsidR="00DB0811" w:rsidRDefault="00C57691" w:rsidP="005F2CE8">
      <w:pPr>
        <w:spacing w:before="120"/>
        <w:rPr>
          <w:rFonts w:cs="Arial"/>
          <w:color w:val="000000"/>
          <w:sz w:val="24"/>
          <w:szCs w:val="24"/>
          <w:lang w:val="en-NZ" w:eastAsia="en-NZ"/>
        </w:rPr>
      </w:pPr>
      <w:bookmarkStart w:id="42" w:name="_Toc215319119"/>
      <w:r w:rsidRPr="00DF3430">
        <w:rPr>
          <w:rFonts w:cs="Arial"/>
          <w:b/>
          <w:bCs/>
          <w:color w:val="000000"/>
          <w:sz w:val="24"/>
          <w:szCs w:val="24"/>
          <w:lang w:val="en-NZ" w:eastAsia="en-NZ"/>
        </w:rPr>
        <w:t>Note:</w:t>
      </w:r>
      <w:r w:rsidRPr="00DF3430">
        <w:rPr>
          <w:rFonts w:cs="Arial"/>
          <w:color w:val="000000"/>
          <w:sz w:val="24"/>
          <w:szCs w:val="24"/>
          <w:lang w:val="en-NZ" w:eastAsia="en-NZ"/>
        </w:rPr>
        <w:t xml:space="preserve"> Contact the Service Specification Programme Manager, </w:t>
      </w:r>
      <w:r w:rsidR="00AE504E">
        <w:rPr>
          <w:rFonts w:cs="Arial"/>
          <w:color w:val="000000"/>
          <w:sz w:val="24"/>
          <w:szCs w:val="24"/>
          <w:lang w:val="en-NZ" w:eastAsia="en-NZ"/>
        </w:rPr>
        <w:t>Service Commissioning</w:t>
      </w:r>
      <w:r w:rsidRPr="00DF3430">
        <w:rPr>
          <w:rFonts w:cs="Arial"/>
          <w:color w:val="000000"/>
          <w:sz w:val="24"/>
          <w:szCs w:val="24"/>
          <w:lang w:val="en-NZ" w:eastAsia="en-NZ"/>
        </w:rPr>
        <w:t xml:space="preserve">, Ministry of Health to discuss proposed amendments to the service specifications and guidance in developing new or updating and revising existing service specifications. </w:t>
      </w:r>
    </w:p>
    <w:p w:rsidR="00027868" w:rsidRPr="00DB0811" w:rsidRDefault="00C57691" w:rsidP="005F2CE8">
      <w:pPr>
        <w:spacing w:before="120"/>
        <w:rPr>
          <w:rFonts w:cs="Arial"/>
          <w:sz w:val="20"/>
        </w:rPr>
      </w:pPr>
      <w:r w:rsidRPr="00DF3430">
        <w:rPr>
          <w:rFonts w:cs="Arial"/>
          <w:color w:val="000000"/>
          <w:sz w:val="24"/>
          <w:szCs w:val="24"/>
          <w:lang w:val="en-NZ" w:eastAsia="en-NZ"/>
        </w:rPr>
        <w:t xml:space="preserve">Nationwide Service Framework Library web site </w:t>
      </w:r>
      <w:hyperlink r:id="rId9" w:history="1">
        <w:r w:rsidRPr="00DF3430">
          <w:rPr>
            <w:rFonts w:cs="Arial"/>
            <w:color w:val="0000FF"/>
            <w:sz w:val="24"/>
            <w:szCs w:val="24"/>
            <w:u w:val="single"/>
            <w:lang w:val="en-NZ" w:eastAsia="en-NZ"/>
          </w:rPr>
          <w:t>http://www.nsfl.health.govt.nz</w:t>
        </w:r>
      </w:hyperlink>
      <w:bookmarkEnd w:id="42"/>
    </w:p>
    <w:p w:rsidR="00722043" w:rsidRPr="005F2CE8" w:rsidRDefault="00027868" w:rsidP="00570A49">
      <w:pPr>
        <w:pBdr>
          <w:top w:val="single" w:sz="4" w:space="1" w:color="auto"/>
          <w:left w:val="single" w:sz="4" w:space="1" w:color="auto"/>
          <w:bottom w:val="single" w:sz="4" w:space="1" w:color="auto"/>
          <w:right w:val="single" w:sz="4"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 w:val="24"/>
          <w:lang w:val="en-NZ"/>
        </w:rPr>
      </w:pPr>
      <w:r w:rsidRPr="005F2CE8">
        <w:rPr>
          <w:rFonts w:cs="Arial"/>
          <w:sz w:val="20"/>
        </w:rPr>
        <w:br w:type="page"/>
      </w:r>
      <w:bookmarkStart w:id="43" w:name="_Toc215319122"/>
      <w:r w:rsidR="00C4797E" w:rsidRPr="005F2CE8">
        <w:rPr>
          <w:rFonts w:cs="Arial"/>
          <w:b/>
          <w:sz w:val="24"/>
          <w:lang w:val="en-NZ"/>
        </w:rPr>
        <w:lastRenderedPageBreak/>
        <w:t>ADDICTION SERVICES -</w:t>
      </w:r>
      <w:r w:rsidR="00C4797E" w:rsidRPr="005F2CE8">
        <w:rPr>
          <w:rFonts w:cs="Arial"/>
          <w:sz w:val="20"/>
        </w:rPr>
        <w:t xml:space="preserve"> </w:t>
      </w:r>
      <w:r w:rsidR="003179C0" w:rsidRPr="005F2CE8">
        <w:rPr>
          <w:rFonts w:cs="Arial"/>
          <w:b/>
          <w:sz w:val="24"/>
          <w:lang w:val="en-NZ"/>
        </w:rPr>
        <w:t>MANAGED WITHDRAWAL</w:t>
      </w:r>
      <w:r w:rsidR="00A36ED6" w:rsidRPr="005F2CE8">
        <w:rPr>
          <w:rFonts w:cs="Arial"/>
          <w:b/>
          <w:sz w:val="24"/>
          <w:lang w:val="en-NZ"/>
        </w:rPr>
        <w:t xml:space="preserve"> </w:t>
      </w:r>
      <w:r w:rsidR="003179C0" w:rsidRPr="005F2CE8">
        <w:rPr>
          <w:rFonts w:cs="Arial"/>
          <w:b/>
          <w:sz w:val="24"/>
          <w:lang w:val="en-NZ"/>
        </w:rPr>
        <w:t>- INPATIENT</w:t>
      </w:r>
      <w:r w:rsidR="00DF1391" w:rsidRPr="005F2CE8">
        <w:rPr>
          <w:rFonts w:cs="Arial"/>
          <w:b/>
          <w:sz w:val="24"/>
          <w:lang w:val="en-NZ"/>
        </w:rPr>
        <w:t xml:space="preserve"> SERVICE</w:t>
      </w:r>
    </w:p>
    <w:p w:rsidR="00C4797E" w:rsidRPr="005F2CE8" w:rsidRDefault="00C4797E" w:rsidP="00570A49">
      <w:pPr>
        <w:pBdr>
          <w:top w:val="single" w:sz="4" w:space="1" w:color="auto"/>
          <w:left w:val="single" w:sz="4" w:space="1" w:color="auto"/>
          <w:bottom w:val="single" w:sz="4" w:space="1" w:color="auto"/>
          <w:right w:val="single" w:sz="4"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 w:val="24"/>
          <w:lang w:val="en-NZ"/>
        </w:rPr>
      </w:pPr>
      <w:r w:rsidRPr="005F2CE8">
        <w:rPr>
          <w:rFonts w:cs="Arial"/>
          <w:b/>
          <w:sz w:val="24"/>
          <w:lang w:val="en-NZ"/>
        </w:rPr>
        <w:t>MENTAL HEALTH AND ADDICTION SERVICES</w:t>
      </w:r>
    </w:p>
    <w:p w:rsidR="00027868" w:rsidRPr="005F2CE8" w:rsidRDefault="001353D7" w:rsidP="00570A49">
      <w:pPr>
        <w:pBdr>
          <w:top w:val="single" w:sz="4" w:space="1" w:color="auto"/>
          <w:left w:val="single" w:sz="4" w:space="1" w:color="auto"/>
          <w:bottom w:val="single" w:sz="4" w:space="1" w:color="auto"/>
          <w:right w:val="single" w:sz="4" w:space="1" w:color="auto"/>
        </w:pBdr>
        <w:jc w:val="center"/>
        <w:rPr>
          <w:rFonts w:cs="Arial"/>
        </w:rPr>
      </w:pPr>
      <w:r w:rsidRPr="00DF3430">
        <w:rPr>
          <w:rFonts w:cs="Arial"/>
          <w:b/>
          <w:sz w:val="24"/>
          <w:szCs w:val="24"/>
        </w:rPr>
        <w:t>TIER THREE</w:t>
      </w:r>
      <w:r w:rsidR="009E4ADD">
        <w:rPr>
          <w:rFonts w:cs="Arial"/>
          <w:b/>
          <w:sz w:val="24"/>
          <w:szCs w:val="24"/>
        </w:rPr>
        <w:t xml:space="preserve"> </w:t>
      </w:r>
      <w:r w:rsidR="00027868" w:rsidRPr="000C4F55">
        <w:rPr>
          <w:rFonts w:cs="Arial"/>
          <w:b/>
          <w:sz w:val="24"/>
          <w:lang w:val="en-NZ"/>
        </w:rPr>
        <w:t>SERVICE SPECIFICATION</w:t>
      </w:r>
    </w:p>
    <w:bookmarkEnd w:id="43"/>
    <w:p w:rsidR="005B4A5C" w:rsidRPr="00DF3430" w:rsidRDefault="003179C0" w:rsidP="00570A49">
      <w:pPr>
        <w:pBdr>
          <w:top w:val="single" w:sz="4" w:space="1" w:color="auto"/>
          <w:left w:val="single" w:sz="4" w:space="1" w:color="auto"/>
          <w:bottom w:val="single" w:sz="4" w:space="1" w:color="auto"/>
          <w:right w:val="single" w:sz="4" w:space="1" w:color="auto"/>
        </w:pBdr>
        <w:jc w:val="center"/>
        <w:rPr>
          <w:rFonts w:cs="Arial"/>
          <w:b/>
          <w:sz w:val="24"/>
          <w:szCs w:val="24"/>
        </w:rPr>
      </w:pPr>
      <w:r w:rsidRPr="00DF3430">
        <w:rPr>
          <w:rFonts w:cs="Arial"/>
          <w:b/>
          <w:sz w:val="24"/>
          <w:szCs w:val="24"/>
        </w:rPr>
        <w:t>MHD77</w:t>
      </w:r>
    </w:p>
    <w:p w:rsidR="00570A49" w:rsidRPr="00DF3430" w:rsidRDefault="00027868" w:rsidP="00570A49">
      <w:pPr>
        <w:spacing w:before="120"/>
        <w:rPr>
          <w:rFonts w:cs="Arial"/>
          <w:sz w:val="24"/>
          <w:szCs w:val="24"/>
        </w:rPr>
      </w:pPr>
      <w:bookmarkStart w:id="44" w:name="_Toc215319123"/>
      <w:r w:rsidRPr="00DF3430">
        <w:rPr>
          <w:rFonts w:cs="Arial"/>
          <w:sz w:val="24"/>
          <w:szCs w:val="24"/>
        </w:rPr>
        <w:t>Th</w:t>
      </w:r>
      <w:r w:rsidR="00310F73" w:rsidRPr="00DF3430">
        <w:rPr>
          <w:rFonts w:cs="Arial"/>
          <w:sz w:val="24"/>
          <w:szCs w:val="24"/>
        </w:rPr>
        <w:t>e</w:t>
      </w:r>
      <w:r w:rsidRPr="00DF3430">
        <w:rPr>
          <w:rFonts w:cs="Arial"/>
          <w:sz w:val="24"/>
          <w:szCs w:val="24"/>
        </w:rPr>
        <w:t xml:space="preserve"> tier </w:t>
      </w:r>
      <w:r w:rsidR="00934047" w:rsidRPr="00DF3430">
        <w:rPr>
          <w:rFonts w:cs="Arial"/>
          <w:sz w:val="24"/>
          <w:szCs w:val="24"/>
        </w:rPr>
        <w:t>three</w:t>
      </w:r>
      <w:r w:rsidRPr="00DF3430">
        <w:rPr>
          <w:rFonts w:cs="Arial"/>
          <w:sz w:val="24"/>
          <w:szCs w:val="24"/>
        </w:rPr>
        <w:t xml:space="preserve"> service specification for </w:t>
      </w:r>
      <w:r w:rsidR="003179C0" w:rsidRPr="00DF3430">
        <w:rPr>
          <w:rFonts w:cs="Arial"/>
          <w:sz w:val="24"/>
          <w:szCs w:val="24"/>
        </w:rPr>
        <w:t>Managed Withdrawal</w:t>
      </w:r>
      <w:r w:rsidR="00A36ED6" w:rsidRPr="00DF3430">
        <w:rPr>
          <w:rFonts w:cs="Arial"/>
          <w:sz w:val="24"/>
          <w:szCs w:val="24"/>
        </w:rPr>
        <w:t xml:space="preserve"> </w:t>
      </w:r>
      <w:r w:rsidR="003179C0" w:rsidRPr="00DF3430">
        <w:rPr>
          <w:rFonts w:cs="Arial"/>
          <w:sz w:val="24"/>
          <w:szCs w:val="24"/>
        </w:rPr>
        <w:t xml:space="preserve">- Inpatient </w:t>
      </w:r>
      <w:r w:rsidR="00E02283" w:rsidRPr="00DF3430">
        <w:rPr>
          <w:rFonts w:cs="Arial"/>
          <w:sz w:val="24"/>
          <w:szCs w:val="24"/>
        </w:rPr>
        <w:t xml:space="preserve">Service </w:t>
      </w:r>
      <w:r w:rsidR="001353D7" w:rsidRPr="00DF3430">
        <w:rPr>
          <w:rFonts w:cs="Arial"/>
          <w:sz w:val="24"/>
          <w:szCs w:val="24"/>
        </w:rPr>
        <w:t xml:space="preserve">(the Service) </w:t>
      </w:r>
      <w:r w:rsidR="00DA7C54" w:rsidRPr="00DF3430">
        <w:rPr>
          <w:rFonts w:cs="Arial"/>
          <w:sz w:val="24"/>
          <w:szCs w:val="24"/>
        </w:rPr>
        <w:t xml:space="preserve">must be used in conjunction with the tier one Mental Health and Addiction Services </w:t>
      </w:r>
      <w:r w:rsidR="005B4A5C" w:rsidRPr="00DF3430">
        <w:rPr>
          <w:rFonts w:cs="Arial"/>
          <w:sz w:val="24"/>
          <w:szCs w:val="24"/>
        </w:rPr>
        <w:t xml:space="preserve">and </w:t>
      </w:r>
      <w:bookmarkEnd w:id="44"/>
      <w:r w:rsidRPr="00DF3430">
        <w:rPr>
          <w:rFonts w:cs="Arial"/>
          <w:sz w:val="24"/>
          <w:szCs w:val="24"/>
        </w:rPr>
        <w:t xml:space="preserve">tier </w:t>
      </w:r>
      <w:r w:rsidR="00934047" w:rsidRPr="00DF3430">
        <w:rPr>
          <w:rFonts w:cs="Arial"/>
          <w:sz w:val="24"/>
          <w:szCs w:val="24"/>
        </w:rPr>
        <w:t>two</w:t>
      </w:r>
      <w:r w:rsidRPr="00DF3430">
        <w:rPr>
          <w:rFonts w:cs="Arial"/>
          <w:sz w:val="24"/>
          <w:szCs w:val="24"/>
        </w:rPr>
        <w:t xml:space="preserve"> </w:t>
      </w:r>
      <w:r w:rsidR="00D2041C" w:rsidRPr="00DF3430">
        <w:rPr>
          <w:rFonts w:cs="Arial"/>
          <w:sz w:val="24"/>
          <w:szCs w:val="24"/>
        </w:rPr>
        <w:t>Addiction</w:t>
      </w:r>
      <w:r w:rsidRPr="00DF3430">
        <w:rPr>
          <w:rFonts w:cs="Arial"/>
          <w:sz w:val="24"/>
          <w:szCs w:val="24"/>
        </w:rPr>
        <w:t xml:space="preserve"> </w:t>
      </w:r>
      <w:r w:rsidR="00C4797E" w:rsidRPr="00DF3430">
        <w:rPr>
          <w:rFonts w:cs="Arial"/>
          <w:sz w:val="24"/>
          <w:szCs w:val="24"/>
        </w:rPr>
        <w:t xml:space="preserve">Services </w:t>
      </w:r>
      <w:r w:rsidRPr="00DF3430">
        <w:rPr>
          <w:rFonts w:cs="Arial"/>
          <w:sz w:val="24"/>
          <w:szCs w:val="24"/>
        </w:rPr>
        <w:t>service specification</w:t>
      </w:r>
      <w:r w:rsidR="0065629B">
        <w:rPr>
          <w:rFonts w:cs="Arial"/>
          <w:sz w:val="24"/>
          <w:szCs w:val="24"/>
        </w:rPr>
        <w:t>s</w:t>
      </w:r>
      <w:r w:rsidR="00E1758F" w:rsidRPr="00DF3430">
        <w:rPr>
          <w:rFonts w:cs="Arial"/>
          <w:sz w:val="24"/>
          <w:szCs w:val="24"/>
        </w:rPr>
        <w:t xml:space="preserve">. </w:t>
      </w:r>
      <w:r w:rsidR="006E7E96" w:rsidRPr="00DF3430">
        <w:rPr>
          <w:rFonts w:cs="Arial"/>
          <w:sz w:val="24"/>
          <w:szCs w:val="24"/>
        </w:rPr>
        <w:t xml:space="preserve"> </w:t>
      </w:r>
      <w:r w:rsidR="0065629B">
        <w:rPr>
          <w:rFonts w:cs="Arial"/>
          <w:sz w:val="24"/>
          <w:szCs w:val="24"/>
        </w:rPr>
        <w:t>Also c</w:t>
      </w:r>
      <w:r w:rsidR="006E7E96" w:rsidRPr="00DF3430">
        <w:rPr>
          <w:rFonts w:cs="Arial"/>
          <w:sz w:val="24"/>
          <w:szCs w:val="24"/>
        </w:rPr>
        <w:t>onsider</w:t>
      </w:r>
      <w:r w:rsidR="00570A49" w:rsidRPr="00DF3430">
        <w:rPr>
          <w:rFonts w:cs="Arial"/>
          <w:sz w:val="24"/>
          <w:szCs w:val="24"/>
        </w:rPr>
        <w:t xml:space="preserve"> the </w:t>
      </w:r>
      <w:r w:rsidR="006E7E96" w:rsidRPr="00DF3430">
        <w:rPr>
          <w:rFonts w:cs="Arial"/>
          <w:sz w:val="24"/>
          <w:szCs w:val="24"/>
        </w:rPr>
        <w:t xml:space="preserve">relevant links to the </w:t>
      </w:r>
      <w:r w:rsidR="00570A49" w:rsidRPr="00DF3430">
        <w:rPr>
          <w:rFonts w:cs="Arial"/>
          <w:sz w:val="24"/>
          <w:szCs w:val="24"/>
        </w:rPr>
        <w:t>tier one</w:t>
      </w:r>
      <w:r w:rsidR="00570A49" w:rsidRPr="00DF3430">
        <w:rPr>
          <w:rFonts w:cs="Arial"/>
          <w:sz w:val="24"/>
          <w:szCs w:val="24"/>
          <w:lang w:val="en-US"/>
        </w:rPr>
        <w:t xml:space="preserve"> Medical and Surgical Services service specification</w:t>
      </w:r>
      <w:r w:rsidR="00E1758F" w:rsidRPr="00DF3430">
        <w:rPr>
          <w:rFonts w:cs="Arial"/>
          <w:sz w:val="24"/>
          <w:szCs w:val="24"/>
          <w:lang w:val="en-US"/>
        </w:rPr>
        <w:t xml:space="preserve"> and the Medical Detoxification service</w:t>
      </w:r>
      <w:r w:rsidR="00DA7C54" w:rsidRPr="00DF3430">
        <w:rPr>
          <w:rFonts w:cs="Arial"/>
          <w:sz w:val="24"/>
          <w:szCs w:val="24"/>
        </w:rPr>
        <w:t>.</w:t>
      </w:r>
    </w:p>
    <w:p w:rsidR="00027868" w:rsidRPr="00DF3430" w:rsidRDefault="0008725F" w:rsidP="0008725F">
      <w:pPr>
        <w:tabs>
          <w:tab w:val="left" w:pos="567"/>
        </w:tabs>
        <w:spacing w:before="120"/>
        <w:rPr>
          <w:rFonts w:cs="Arial"/>
          <w:b/>
          <w:sz w:val="24"/>
          <w:szCs w:val="24"/>
        </w:rPr>
      </w:pPr>
      <w:bookmarkStart w:id="45" w:name="_Toc215319135"/>
      <w:r w:rsidRPr="00DF3430">
        <w:rPr>
          <w:rFonts w:cs="Arial"/>
          <w:b/>
          <w:sz w:val="24"/>
          <w:szCs w:val="24"/>
        </w:rPr>
        <w:t>1.</w:t>
      </w:r>
      <w:r w:rsidRPr="00DF3430">
        <w:rPr>
          <w:rFonts w:cs="Arial"/>
          <w:b/>
          <w:sz w:val="24"/>
          <w:szCs w:val="24"/>
        </w:rPr>
        <w:tab/>
      </w:r>
      <w:r w:rsidR="00027868" w:rsidRPr="00DF3430">
        <w:rPr>
          <w:rFonts w:cs="Arial"/>
          <w:b/>
          <w:sz w:val="24"/>
          <w:szCs w:val="24"/>
        </w:rPr>
        <w:t>Service Definition</w:t>
      </w:r>
      <w:bookmarkEnd w:id="45"/>
    </w:p>
    <w:p w:rsidR="003179C0" w:rsidRPr="00DF3430" w:rsidRDefault="00F9135B" w:rsidP="00AB2784">
      <w:pPr>
        <w:spacing w:before="120"/>
        <w:rPr>
          <w:rFonts w:cs="Arial"/>
          <w:sz w:val="24"/>
          <w:szCs w:val="24"/>
        </w:rPr>
      </w:pPr>
      <w:r w:rsidRPr="00DF3430">
        <w:rPr>
          <w:rFonts w:cs="Arial"/>
          <w:sz w:val="24"/>
          <w:szCs w:val="24"/>
        </w:rPr>
        <w:t>M</w:t>
      </w:r>
      <w:r w:rsidR="003179C0" w:rsidRPr="00DF3430">
        <w:rPr>
          <w:rFonts w:cs="Arial"/>
          <w:sz w:val="24"/>
          <w:szCs w:val="24"/>
        </w:rPr>
        <w:t>edical</w:t>
      </w:r>
      <w:r w:rsidR="00E1758F" w:rsidRPr="00DF3430">
        <w:rPr>
          <w:rFonts w:cs="Arial"/>
          <w:sz w:val="24"/>
          <w:szCs w:val="24"/>
        </w:rPr>
        <w:t>ly managed</w:t>
      </w:r>
      <w:r w:rsidR="003179C0" w:rsidRPr="00DF3430">
        <w:rPr>
          <w:rFonts w:cs="Arial"/>
          <w:sz w:val="24"/>
          <w:szCs w:val="24"/>
        </w:rPr>
        <w:t xml:space="preserve"> </w:t>
      </w:r>
      <w:r w:rsidR="00E1758F" w:rsidRPr="00DF3430">
        <w:rPr>
          <w:rFonts w:cs="Arial"/>
          <w:sz w:val="24"/>
          <w:szCs w:val="24"/>
        </w:rPr>
        <w:t xml:space="preserve">withdrawal </w:t>
      </w:r>
      <w:r w:rsidR="003179C0" w:rsidRPr="00DF3430">
        <w:rPr>
          <w:rFonts w:cs="Arial"/>
          <w:sz w:val="24"/>
          <w:szCs w:val="24"/>
        </w:rPr>
        <w:t xml:space="preserve">delivered in a dedicated </w:t>
      </w:r>
      <w:r w:rsidR="00E1758F" w:rsidRPr="00DF3430">
        <w:rPr>
          <w:rFonts w:cs="Arial"/>
          <w:sz w:val="24"/>
          <w:szCs w:val="24"/>
        </w:rPr>
        <w:t xml:space="preserve">unit </w:t>
      </w:r>
      <w:r w:rsidR="003179C0" w:rsidRPr="00DF3430">
        <w:rPr>
          <w:rFonts w:cs="Arial"/>
          <w:sz w:val="24"/>
          <w:szCs w:val="24"/>
        </w:rPr>
        <w:t xml:space="preserve">or </w:t>
      </w:r>
      <w:r w:rsidR="00E1758F" w:rsidRPr="00DF3430">
        <w:rPr>
          <w:rFonts w:cs="Arial"/>
          <w:sz w:val="24"/>
          <w:szCs w:val="24"/>
        </w:rPr>
        <w:t xml:space="preserve">mental health unit </w:t>
      </w:r>
      <w:r w:rsidR="00193F46" w:rsidRPr="00DF3430">
        <w:rPr>
          <w:rFonts w:cs="Arial"/>
          <w:sz w:val="24"/>
          <w:szCs w:val="24"/>
        </w:rPr>
        <w:t xml:space="preserve">or medical unit with mental health services support </w:t>
      </w:r>
      <w:r w:rsidR="003179C0" w:rsidRPr="00DF3430">
        <w:rPr>
          <w:rFonts w:cs="Arial"/>
          <w:sz w:val="24"/>
          <w:szCs w:val="24"/>
        </w:rPr>
        <w:t xml:space="preserve">for those people with, or at high risk of developing, medical complications during the withdrawal process.  Where mental health complications occur, </w:t>
      </w:r>
      <w:r w:rsidR="0027581F" w:rsidRPr="00DF3430">
        <w:rPr>
          <w:rFonts w:cs="Arial"/>
          <w:sz w:val="24"/>
          <w:szCs w:val="24"/>
        </w:rPr>
        <w:t>the Service provider</w:t>
      </w:r>
      <w:r w:rsidR="003179C0" w:rsidRPr="00DF3430">
        <w:rPr>
          <w:rFonts w:cs="Arial"/>
          <w:sz w:val="24"/>
          <w:szCs w:val="24"/>
        </w:rPr>
        <w:t xml:space="preserve"> shall ensure that </w:t>
      </w:r>
      <w:r w:rsidR="00DF3430">
        <w:rPr>
          <w:rFonts w:cs="Arial"/>
          <w:sz w:val="24"/>
          <w:szCs w:val="24"/>
        </w:rPr>
        <w:t>Service Users</w:t>
      </w:r>
      <w:r w:rsidR="003179C0" w:rsidRPr="00DF3430">
        <w:rPr>
          <w:rFonts w:cs="Arial"/>
          <w:sz w:val="24"/>
          <w:szCs w:val="24"/>
        </w:rPr>
        <w:t xml:space="preserve"> receive appropriate integra</w:t>
      </w:r>
      <w:r w:rsidR="00DF1391" w:rsidRPr="00DF3430">
        <w:rPr>
          <w:rFonts w:cs="Arial"/>
          <w:sz w:val="24"/>
          <w:szCs w:val="24"/>
        </w:rPr>
        <w:t>t</w:t>
      </w:r>
      <w:r w:rsidR="003179C0" w:rsidRPr="00DF3430">
        <w:rPr>
          <w:rFonts w:cs="Arial"/>
          <w:sz w:val="24"/>
          <w:szCs w:val="24"/>
        </w:rPr>
        <w:t xml:space="preserve">ed care and support for their mental illness.  In these circumstances the location of care will be determined by the primary needs of the Service </w:t>
      </w:r>
      <w:r w:rsidR="000E2F74">
        <w:rPr>
          <w:rFonts w:cs="Arial"/>
          <w:sz w:val="24"/>
          <w:szCs w:val="24"/>
        </w:rPr>
        <w:t>U</w:t>
      </w:r>
      <w:r w:rsidR="003179C0" w:rsidRPr="00DF3430">
        <w:rPr>
          <w:rFonts w:cs="Arial"/>
          <w:sz w:val="24"/>
          <w:szCs w:val="24"/>
        </w:rPr>
        <w:t xml:space="preserve">ser.  </w:t>
      </w:r>
    </w:p>
    <w:p w:rsidR="003179C0" w:rsidRPr="00DF3430" w:rsidRDefault="003179C0" w:rsidP="00AB2784">
      <w:pPr>
        <w:tabs>
          <w:tab w:val="left" w:pos="-1099"/>
          <w:tab w:val="left" w:pos="-720"/>
          <w:tab w:val="left" w:pos="0"/>
          <w:tab w:val="left" w:pos="567"/>
          <w:tab w:val="left" w:pos="720"/>
          <w:tab w:val="left" w:pos="1080"/>
          <w:tab w:val="left" w:pos="1134"/>
          <w:tab w:val="left" w:pos="1440"/>
          <w:tab w:val="left" w:pos="1800"/>
        </w:tabs>
        <w:spacing w:before="120"/>
        <w:rPr>
          <w:rFonts w:cs="Arial"/>
          <w:sz w:val="24"/>
          <w:szCs w:val="24"/>
        </w:rPr>
      </w:pPr>
      <w:r w:rsidRPr="00DF3430">
        <w:rPr>
          <w:rFonts w:cs="Arial"/>
          <w:sz w:val="24"/>
          <w:szCs w:val="24"/>
        </w:rPr>
        <w:t xml:space="preserve">Upon discharge, attention will be paid to ensure the </w:t>
      </w:r>
      <w:r w:rsidR="00570A49" w:rsidRPr="00DF3430">
        <w:rPr>
          <w:rFonts w:cs="Arial"/>
          <w:sz w:val="24"/>
          <w:szCs w:val="24"/>
        </w:rPr>
        <w:t>S</w:t>
      </w:r>
      <w:r w:rsidR="000E2F74">
        <w:rPr>
          <w:rFonts w:cs="Arial"/>
          <w:sz w:val="24"/>
          <w:szCs w:val="24"/>
        </w:rPr>
        <w:t>ervice U</w:t>
      </w:r>
      <w:r w:rsidRPr="00DF3430">
        <w:rPr>
          <w:rFonts w:cs="Arial"/>
          <w:sz w:val="24"/>
          <w:szCs w:val="24"/>
        </w:rPr>
        <w:t>ser is linked into services to help support and maintain their recovery.</w:t>
      </w:r>
    </w:p>
    <w:p w:rsidR="003179C0" w:rsidRPr="00DF3430" w:rsidRDefault="003179C0" w:rsidP="00AB2784">
      <w:pPr>
        <w:tabs>
          <w:tab w:val="left" w:pos="-1099"/>
          <w:tab w:val="left" w:pos="-720"/>
          <w:tab w:val="left" w:pos="0"/>
          <w:tab w:val="left" w:pos="567"/>
          <w:tab w:val="left" w:pos="720"/>
          <w:tab w:val="left" w:pos="1080"/>
          <w:tab w:val="left" w:pos="1134"/>
          <w:tab w:val="left" w:pos="1440"/>
          <w:tab w:val="left" w:pos="1800"/>
        </w:tabs>
        <w:spacing w:before="120"/>
        <w:rPr>
          <w:rFonts w:cs="Arial"/>
          <w:sz w:val="24"/>
          <w:szCs w:val="24"/>
        </w:rPr>
      </w:pPr>
      <w:r w:rsidRPr="00DF3430">
        <w:rPr>
          <w:rFonts w:cs="Arial"/>
          <w:sz w:val="24"/>
          <w:szCs w:val="24"/>
        </w:rPr>
        <w:t>A discharge summary will be provided to the referrer in a timely manner to mitigate against known and or potential risks</w:t>
      </w:r>
    </w:p>
    <w:p w:rsidR="00027868" w:rsidRPr="00DF3430" w:rsidRDefault="0008725F" w:rsidP="0008725F">
      <w:pPr>
        <w:tabs>
          <w:tab w:val="left" w:pos="567"/>
        </w:tabs>
        <w:spacing w:before="240" w:after="120"/>
        <w:rPr>
          <w:rFonts w:cs="Arial"/>
          <w:b/>
          <w:sz w:val="24"/>
          <w:szCs w:val="24"/>
        </w:rPr>
      </w:pPr>
      <w:bookmarkStart w:id="46" w:name="_Toc215319136"/>
      <w:r w:rsidRPr="00DF3430">
        <w:rPr>
          <w:rFonts w:cs="Arial"/>
          <w:b/>
          <w:sz w:val="24"/>
          <w:szCs w:val="24"/>
        </w:rPr>
        <w:t>2.</w:t>
      </w:r>
      <w:r w:rsidRPr="00DF3430">
        <w:rPr>
          <w:rFonts w:cs="Arial"/>
          <w:b/>
          <w:sz w:val="24"/>
          <w:szCs w:val="24"/>
        </w:rPr>
        <w:tab/>
      </w:r>
      <w:r w:rsidR="00027868" w:rsidRPr="00DF3430">
        <w:rPr>
          <w:rFonts w:cs="Arial"/>
          <w:b/>
          <w:sz w:val="24"/>
          <w:szCs w:val="24"/>
        </w:rPr>
        <w:t>Service Objectives</w:t>
      </w:r>
      <w:bookmarkEnd w:id="46"/>
    </w:p>
    <w:p w:rsidR="003179C0" w:rsidRPr="00DF3430" w:rsidRDefault="003179C0" w:rsidP="006E7E96">
      <w:pPr>
        <w:rPr>
          <w:rFonts w:cs="Arial"/>
          <w:sz w:val="24"/>
          <w:szCs w:val="24"/>
        </w:rPr>
      </w:pPr>
      <w:r w:rsidRPr="00DF3430">
        <w:rPr>
          <w:rFonts w:cs="Arial"/>
          <w:sz w:val="24"/>
          <w:szCs w:val="24"/>
        </w:rPr>
        <w:t xml:space="preserve">To provide a controlled and safe withdrawal from alcohol and other drugs, </w:t>
      </w:r>
      <w:r w:rsidR="00E1758F" w:rsidRPr="00DF3430">
        <w:rPr>
          <w:rFonts w:cs="Arial"/>
          <w:sz w:val="24"/>
          <w:szCs w:val="24"/>
        </w:rPr>
        <w:t xml:space="preserve">in an environment that includes </w:t>
      </w:r>
      <w:r w:rsidRPr="00DF3430">
        <w:rPr>
          <w:rFonts w:cs="Arial"/>
          <w:sz w:val="24"/>
          <w:szCs w:val="24"/>
        </w:rPr>
        <w:t>high levels of nursing and medical support to manage clinical risks</w:t>
      </w:r>
      <w:r w:rsidR="001353D7" w:rsidRPr="00DF3430">
        <w:rPr>
          <w:rFonts w:cs="Arial"/>
          <w:sz w:val="24"/>
          <w:szCs w:val="24"/>
        </w:rPr>
        <w:t>.</w:t>
      </w:r>
    </w:p>
    <w:p w:rsidR="00027868" w:rsidRPr="00DF3430" w:rsidRDefault="00027868" w:rsidP="0008725F">
      <w:pPr>
        <w:numPr>
          <w:ilvl w:val="1"/>
          <w:numId w:val="41"/>
        </w:numPr>
        <w:tabs>
          <w:tab w:val="clear" w:pos="720"/>
          <w:tab w:val="num" w:pos="540"/>
        </w:tabs>
        <w:spacing w:before="120" w:after="60"/>
        <w:ind w:left="539" w:hanging="539"/>
        <w:rPr>
          <w:rFonts w:cs="Arial"/>
          <w:b/>
          <w:sz w:val="24"/>
          <w:szCs w:val="24"/>
        </w:rPr>
      </w:pPr>
      <w:bookmarkStart w:id="47" w:name="_Toc215319138"/>
      <w:r w:rsidRPr="00DF3430">
        <w:rPr>
          <w:rFonts w:cs="Arial"/>
          <w:b/>
          <w:sz w:val="24"/>
          <w:szCs w:val="24"/>
        </w:rPr>
        <w:t>M</w:t>
      </w:r>
      <w:r w:rsidRPr="000C4F55">
        <w:rPr>
          <w:rFonts w:cs="Arial"/>
          <w:b/>
          <w:bCs/>
          <w:sz w:val="24"/>
          <w:szCs w:val="24"/>
        </w:rPr>
        <w:t>ā</w:t>
      </w:r>
      <w:r w:rsidRPr="00DF3430">
        <w:rPr>
          <w:rFonts w:cs="Arial"/>
          <w:b/>
          <w:sz w:val="24"/>
          <w:szCs w:val="24"/>
        </w:rPr>
        <w:t>ori Health</w:t>
      </w:r>
      <w:bookmarkEnd w:id="47"/>
    </w:p>
    <w:p w:rsidR="001353D7" w:rsidRPr="00DF3430" w:rsidRDefault="001353D7" w:rsidP="001353D7">
      <w:pPr>
        <w:spacing w:before="120"/>
        <w:rPr>
          <w:rFonts w:cs="Arial"/>
          <w:sz w:val="24"/>
          <w:szCs w:val="24"/>
          <w:lang w:val="en-AU"/>
        </w:rPr>
      </w:pPr>
      <w:r w:rsidRPr="00DF3430">
        <w:rPr>
          <w:rFonts w:cs="Arial"/>
          <w:sz w:val="24"/>
          <w:szCs w:val="24"/>
        </w:rPr>
        <w:t>Refer to tier one Mental Health and Addiction Services</w:t>
      </w:r>
      <w:r w:rsidR="0027581F" w:rsidRPr="00DF3430">
        <w:rPr>
          <w:rFonts w:cs="Arial"/>
          <w:sz w:val="24"/>
          <w:szCs w:val="24"/>
        </w:rPr>
        <w:t xml:space="preserve"> service specification</w:t>
      </w:r>
      <w:r w:rsidRPr="00DF3430">
        <w:rPr>
          <w:rFonts w:cs="Arial"/>
          <w:sz w:val="24"/>
          <w:szCs w:val="24"/>
        </w:rPr>
        <w:t>.</w:t>
      </w:r>
    </w:p>
    <w:p w:rsidR="00027868" w:rsidRPr="00DF3430" w:rsidRDefault="00027868" w:rsidP="00027868">
      <w:pPr>
        <w:tabs>
          <w:tab w:val="left" w:pos="570"/>
        </w:tabs>
        <w:spacing w:before="240" w:after="120"/>
        <w:rPr>
          <w:rFonts w:cs="Arial"/>
          <w:b/>
          <w:sz w:val="24"/>
          <w:szCs w:val="24"/>
        </w:rPr>
      </w:pPr>
      <w:bookmarkStart w:id="48" w:name="_Toc215319140"/>
      <w:r w:rsidRPr="00DF3430">
        <w:rPr>
          <w:rFonts w:cs="Arial"/>
          <w:b/>
          <w:sz w:val="24"/>
          <w:szCs w:val="24"/>
        </w:rPr>
        <w:t>3.</w:t>
      </w:r>
      <w:r w:rsidRPr="00DF3430">
        <w:rPr>
          <w:rFonts w:cs="Arial"/>
          <w:b/>
          <w:sz w:val="24"/>
          <w:szCs w:val="24"/>
        </w:rPr>
        <w:tab/>
      </w:r>
      <w:bookmarkEnd w:id="48"/>
      <w:r w:rsidR="00DF3430">
        <w:rPr>
          <w:rFonts w:cs="Arial"/>
          <w:b/>
          <w:sz w:val="24"/>
          <w:szCs w:val="24"/>
        </w:rPr>
        <w:t>Service Users</w:t>
      </w:r>
    </w:p>
    <w:p w:rsidR="00027868" w:rsidRPr="00DF3430" w:rsidRDefault="001353D7" w:rsidP="00027868">
      <w:pPr>
        <w:spacing w:before="120"/>
        <w:rPr>
          <w:rFonts w:cs="Arial"/>
          <w:sz w:val="24"/>
          <w:szCs w:val="24"/>
        </w:rPr>
      </w:pPr>
      <w:r w:rsidRPr="00DF3430">
        <w:rPr>
          <w:rFonts w:cs="Arial"/>
          <w:sz w:val="24"/>
          <w:szCs w:val="24"/>
        </w:rPr>
        <w:t>Refer to tier one Mental Health and Addiction Services</w:t>
      </w:r>
      <w:r w:rsidR="0027581F" w:rsidRPr="00DF3430">
        <w:rPr>
          <w:rFonts w:cs="Arial"/>
          <w:sz w:val="24"/>
          <w:szCs w:val="24"/>
        </w:rPr>
        <w:t xml:space="preserve"> service specification.</w:t>
      </w:r>
    </w:p>
    <w:p w:rsidR="00027868" w:rsidRPr="00DF3430" w:rsidRDefault="00027868" w:rsidP="00027868">
      <w:pPr>
        <w:tabs>
          <w:tab w:val="left" w:pos="570"/>
        </w:tabs>
        <w:spacing w:before="240" w:after="120"/>
        <w:rPr>
          <w:rFonts w:cs="Arial"/>
          <w:b/>
          <w:sz w:val="24"/>
          <w:szCs w:val="24"/>
        </w:rPr>
      </w:pPr>
      <w:bookmarkStart w:id="49" w:name="_Toc215319141"/>
      <w:r w:rsidRPr="00DF3430">
        <w:rPr>
          <w:rFonts w:cs="Arial"/>
          <w:b/>
          <w:sz w:val="24"/>
          <w:szCs w:val="24"/>
        </w:rPr>
        <w:t>4.</w:t>
      </w:r>
      <w:r w:rsidRPr="00DF3430">
        <w:rPr>
          <w:rFonts w:cs="Arial"/>
          <w:b/>
          <w:sz w:val="24"/>
          <w:szCs w:val="24"/>
        </w:rPr>
        <w:tab/>
        <w:t>Access</w:t>
      </w:r>
      <w:bookmarkEnd w:id="49"/>
    </w:p>
    <w:p w:rsidR="00027868" w:rsidRPr="00DF3430" w:rsidRDefault="00027868" w:rsidP="00027868">
      <w:pPr>
        <w:tabs>
          <w:tab w:val="left" w:pos="570"/>
        </w:tabs>
        <w:spacing w:after="60"/>
        <w:rPr>
          <w:rFonts w:cs="Arial"/>
          <w:b/>
          <w:sz w:val="24"/>
          <w:szCs w:val="24"/>
        </w:rPr>
      </w:pPr>
      <w:bookmarkStart w:id="50" w:name="_Toc215319142"/>
      <w:r w:rsidRPr="00DF3430">
        <w:rPr>
          <w:rFonts w:cs="Arial"/>
          <w:b/>
          <w:sz w:val="24"/>
          <w:szCs w:val="24"/>
        </w:rPr>
        <w:t>4.1</w:t>
      </w:r>
      <w:r w:rsidRPr="00DF3430">
        <w:rPr>
          <w:rFonts w:cs="Arial"/>
          <w:b/>
          <w:sz w:val="24"/>
          <w:szCs w:val="24"/>
        </w:rPr>
        <w:tab/>
        <w:t>Entry Criteria</w:t>
      </w:r>
      <w:bookmarkEnd w:id="50"/>
      <w:r w:rsidRPr="00DF3430">
        <w:rPr>
          <w:rFonts w:cs="Arial"/>
          <w:b/>
          <w:sz w:val="24"/>
          <w:szCs w:val="24"/>
        </w:rPr>
        <w:t xml:space="preserve"> </w:t>
      </w:r>
    </w:p>
    <w:p w:rsidR="003179C0" w:rsidRPr="00DF3430" w:rsidRDefault="003179C0" w:rsidP="00816BC3">
      <w:pPr>
        <w:rPr>
          <w:rFonts w:cs="Arial"/>
          <w:sz w:val="24"/>
          <w:szCs w:val="24"/>
        </w:rPr>
      </w:pPr>
      <w:r w:rsidRPr="00DF3430">
        <w:rPr>
          <w:rFonts w:cs="Arial"/>
          <w:sz w:val="24"/>
          <w:szCs w:val="24"/>
        </w:rPr>
        <w:t>Referral from other alcohol and other drug services, emergency</w:t>
      </w:r>
      <w:r w:rsidR="00DF1391" w:rsidRPr="00DF3430">
        <w:rPr>
          <w:rFonts w:cs="Arial"/>
          <w:sz w:val="24"/>
          <w:szCs w:val="24"/>
        </w:rPr>
        <w:t xml:space="preserve"> services</w:t>
      </w:r>
      <w:r w:rsidRPr="00DF3430">
        <w:rPr>
          <w:rFonts w:cs="Arial"/>
          <w:sz w:val="24"/>
          <w:szCs w:val="24"/>
        </w:rPr>
        <w:t xml:space="preserve">, and general practitioners </w:t>
      </w:r>
      <w:r w:rsidR="00570A49" w:rsidRPr="00DF3430">
        <w:rPr>
          <w:rFonts w:cs="Arial"/>
          <w:sz w:val="24"/>
          <w:szCs w:val="24"/>
        </w:rPr>
        <w:t xml:space="preserve">is </w:t>
      </w:r>
      <w:r w:rsidRPr="00DF3430">
        <w:rPr>
          <w:rFonts w:cs="Arial"/>
          <w:sz w:val="24"/>
          <w:szCs w:val="24"/>
        </w:rPr>
        <w:t>in consultation with alcohol and other drug community assessment and treatment services</w:t>
      </w:r>
      <w:r w:rsidR="00AB2784" w:rsidRPr="00DF3430">
        <w:rPr>
          <w:rFonts w:cs="Arial"/>
          <w:sz w:val="24"/>
          <w:szCs w:val="24"/>
        </w:rPr>
        <w:t>.</w:t>
      </w:r>
    </w:p>
    <w:p w:rsidR="00027868" w:rsidRPr="00DF3430" w:rsidRDefault="00027868" w:rsidP="001353D7">
      <w:pPr>
        <w:tabs>
          <w:tab w:val="left" w:pos="-3889"/>
          <w:tab w:val="left" w:pos="-3510"/>
          <w:tab w:val="left" w:pos="-2790"/>
          <w:tab w:val="left" w:pos="-2070"/>
          <w:tab w:val="left" w:pos="-1710"/>
          <w:tab w:val="left" w:pos="-1350"/>
          <w:tab w:val="left" w:pos="-990"/>
          <w:tab w:val="left" w:pos="-630"/>
          <w:tab w:val="left" w:pos="54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240" w:after="120"/>
        <w:ind w:left="540" w:hanging="540"/>
        <w:rPr>
          <w:rFonts w:cs="Arial"/>
          <w:b/>
          <w:sz w:val="24"/>
          <w:szCs w:val="24"/>
        </w:rPr>
      </w:pPr>
      <w:bookmarkStart w:id="51" w:name="_Toc215319145"/>
      <w:r w:rsidRPr="00DF3430">
        <w:rPr>
          <w:rFonts w:cs="Arial"/>
          <w:b/>
          <w:sz w:val="24"/>
          <w:szCs w:val="24"/>
        </w:rPr>
        <w:t>5.</w:t>
      </w:r>
      <w:r w:rsidRPr="00DF3430">
        <w:rPr>
          <w:rFonts w:cs="Arial"/>
          <w:b/>
          <w:sz w:val="24"/>
          <w:szCs w:val="24"/>
        </w:rPr>
        <w:tab/>
        <w:t>Service Components</w:t>
      </w:r>
      <w:bookmarkEnd w:id="51"/>
    </w:p>
    <w:p w:rsidR="00027868" w:rsidRPr="00DF3430" w:rsidRDefault="00027868" w:rsidP="00027868">
      <w:pPr>
        <w:tabs>
          <w:tab w:val="left" w:pos="570"/>
        </w:tabs>
        <w:spacing w:before="120" w:after="60"/>
        <w:rPr>
          <w:rFonts w:cs="Arial"/>
          <w:b/>
          <w:sz w:val="24"/>
          <w:szCs w:val="24"/>
        </w:rPr>
      </w:pPr>
      <w:bookmarkStart w:id="52" w:name="_Toc215319146"/>
      <w:r w:rsidRPr="00DF3430">
        <w:rPr>
          <w:rFonts w:cs="Arial"/>
          <w:b/>
          <w:sz w:val="24"/>
          <w:szCs w:val="24"/>
        </w:rPr>
        <w:t>5.1</w:t>
      </w:r>
      <w:r w:rsidRPr="00DF3430">
        <w:rPr>
          <w:rFonts w:cs="Arial"/>
          <w:b/>
          <w:sz w:val="24"/>
          <w:szCs w:val="24"/>
        </w:rPr>
        <w:tab/>
        <w:t>Processes</w:t>
      </w:r>
      <w:bookmarkEnd w:id="52"/>
    </w:p>
    <w:p w:rsidR="005B4A5C" w:rsidRPr="00DF3430" w:rsidRDefault="005B4A5C" w:rsidP="005B4A5C">
      <w:pPr>
        <w:spacing w:after="60"/>
        <w:rPr>
          <w:rFonts w:cs="Arial"/>
          <w:sz w:val="24"/>
          <w:szCs w:val="24"/>
        </w:rPr>
      </w:pPr>
      <w:r w:rsidRPr="00DF3430">
        <w:rPr>
          <w:rFonts w:cs="Arial"/>
          <w:sz w:val="24"/>
          <w:szCs w:val="24"/>
        </w:rPr>
        <w:t xml:space="preserve">The processes include but are not limited to the following: engagement; assessment, information provision, </w:t>
      </w:r>
      <w:r w:rsidR="0083463D" w:rsidRPr="00DF3430">
        <w:rPr>
          <w:rFonts w:cs="Arial"/>
          <w:sz w:val="24"/>
          <w:szCs w:val="24"/>
        </w:rPr>
        <w:t xml:space="preserve">treatment, </w:t>
      </w:r>
      <w:r w:rsidR="003179C0" w:rsidRPr="00DF3430">
        <w:rPr>
          <w:rFonts w:cs="Arial"/>
          <w:sz w:val="24"/>
          <w:szCs w:val="24"/>
        </w:rPr>
        <w:t xml:space="preserve">medication management; </w:t>
      </w:r>
      <w:r w:rsidRPr="00DF3430">
        <w:rPr>
          <w:rFonts w:cs="Arial"/>
          <w:sz w:val="24"/>
          <w:szCs w:val="24"/>
        </w:rPr>
        <w:t xml:space="preserve">consultation, liaison, advocacy, support, review process </w:t>
      </w:r>
      <w:r w:rsidR="00310F73" w:rsidRPr="00DF3430">
        <w:rPr>
          <w:rFonts w:cs="Arial"/>
          <w:sz w:val="24"/>
          <w:szCs w:val="24"/>
        </w:rPr>
        <w:t xml:space="preserve">and </w:t>
      </w:r>
      <w:r w:rsidRPr="00DF3430">
        <w:rPr>
          <w:rFonts w:cs="Arial"/>
          <w:sz w:val="24"/>
          <w:szCs w:val="24"/>
        </w:rPr>
        <w:t>discharge</w:t>
      </w:r>
      <w:r w:rsidR="00AB2784" w:rsidRPr="00DF3430">
        <w:rPr>
          <w:rFonts w:cs="Arial"/>
          <w:sz w:val="24"/>
          <w:szCs w:val="24"/>
        </w:rPr>
        <w:t>.</w:t>
      </w:r>
    </w:p>
    <w:p w:rsidR="00027868" w:rsidRPr="00DF3430" w:rsidRDefault="00027868" w:rsidP="00027868">
      <w:pPr>
        <w:tabs>
          <w:tab w:val="left" w:pos="570"/>
        </w:tabs>
        <w:spacing w:before="120" w:after="60"/>
        <w:rPr>
          <w:rFonts w:cs="Arial"/>
          <w:b/>
          <w:sz w:val="24"/>
          <w:szCs w:val="24"/>
        </w:rPr>
      </w:pPr>
      <w:bookmarkStart w:id="53" w:name="_Toc215319147"/>
      <w:r w:rsidRPr="00DF3430">
        <w:rPr>
          <w:rFonts w:cs="Arial"/>
          <w:b/>
          <w:sz w:val="24"/>
          <w:szCs w:val="24"/>
        </w:rPr>
        <w:t>5.2</w:t>
      </w:r>
      <w:r w:rsidRPr="00DF3430">
        <w:rPr>
          <w:rFonts w:cs="Arial"/>
          <w:b/>
          <w:sz w:val="24"/>
          <w:szCs w:val="24"/>
        </w:rPr>
        <w:tab/>
        <w:t>Settings</w:t>
      </w:r>
      <w:bookmarkEnd w:id="53"/>
    </w:p>
    <w:p w:rsidR="00F9135B" w:rsidRPr="00DF3430" w:rsidRDefault="00027868" w:rsidP="0027581F">
      <w:pPr>
        <w:spacing w:before="120"/>
        <w:rPr>
          <w:rFonts w:cs="Arial"/>
          <w:sz w:val="24"/>
          <w:szCs w:val="24"/>
        </w:rPr>
      </w:pPr>
      <w:r w:rsidRPr="00DF3430">
        <w:rPr>
          <w:rFonts w:cs="Arial"/>
          <w:sz w:val="24"/>
          <w:szCs w:val="24"/>
        </w:rPr>
        <w:t xml:space="preserve">The Service </w:t>
      </w:r>
      <w:r w:rsidR="00E1758F" w:rsidRPr="00DF3430">
        <w:rPr>
          <w:rFonts w:cs="Arial"/>
          <w:sz w:val="24"/>
          <w:szCs w:val="24"/>
        </w:rPr>
        <w:t>is</w:t>
      </w:r>
      <w:r w:rsidRPr="00DF3430">
        <w:rPr>
          <w:rFonts w:cs="Arial"/>
          <w:sz w:val="24"/>
          <w:szCs w:val="24"/>
        </w:rPr>
        <w:t xml:space="preserve"> provided in</w:t>
      </w:r>
      <w:r w:rsidR="00F9135B" w:rsidRPr="00DF3430">
        <w:rPr>
          <w:rFonts w:cs="Arial"/>
          <w:sz w:val="24"/>
          <w:szCs w:val="24"/>
        </w:rPr>
        <w:t xml:space="preserve"> either a:</w:t>
      </w:r>
    </w:p>
    <w:p w:rsidR="00F9135B" w:rsidRPr="00DF3430" w:rsidRDefault="00E1758F" w:rsidP="00F9135B">
      <w:pPr>
        <w:numPr>
          <w:ilvl w:val="0"/>
          <w:numId w:val="43"/>
        </w:numPr>
        <w:tabs>
          <w:tab w:val="clear" w:pos="720"/>
          <w:tab w:val="left" w:pos="567"/>
        </w:tabs>
        <w:spacing w:before="120"/>
        <w:ind w:left="540" w:hanging="540"/>
        <w:rPr>
          <w:rFonts w:cs="Arial"/>
          <w:b/>
          <w:sz w:val="24"/>
          <w:szCs w:val="24"/>
        </w:rPr>
      </w:pPr>
      <w:r w:rsidRPr="00DF3430">
        <w:rPr>
          <w:rFonts w:cs="Arial"/>
          <w:sz w:val="24"/>
          <w:szCs w:val="24"/>
        </w:rPr>
        <w:t>specialised community facility or unit</w:t>
      </w:r>
    </w:p>
    <w:p w:rsidR="00F9135B" w:rsidRPr="00DF3430" w:rsidRDefault="00E1758F" w:rsidP="00F9135B">
      <w:pPr>
        <w:numPr>
          <w:ilvl w:val="0"/>
          <w:numId w:val="43"/>
        </w:numPr>
        <w:tabs>
          <w:tab w:val="clear" w:pos="720"/>
          <w:tab w:val="left" w:pos="567"/>
        </w:tabs>
        <w:spacing w:before="120"/>
        <w:ind w:left="540" w:hanging="540"/>
        <w:rPr>
          <w:rFonts w:cs="Arial"/>
          <w:b/>
          <w:sz w:val="24"/>
          <w:szCs w:val="24"/>
        </w:rPr>
      </w:pPr>
      <w:r w:rsidRPr="00DF3430">
        <w:rPr>
          <w:rFonts w:cs="Arial"/>
          <w:sz w:val="24"/>
          <w:szCs w:val="24"/>
        </w:rPr>
        <w:t>a mental health unit</w:t>
      </w:r>
      <w:r w:rsidR="00F9135B" w:rsidRPr="00DF3430">
        <w:rPr>
          <w:rFonts w:cs="Arial"/>
          <w:sz w:val="24"/>
          <w:szCs w:val="24"/>
        </w:rPr>
        <w:t xml:space="preserve"> or</w:t>
      </w:r>
    </w:p>
    <w:p w:rsidR="0027581F" w:rsidRPr="00DF3430" w:rsidRDefault="00F9135B" w:rsidP="00F9135B">
      <w:pPr>
        <w:numPr>
          <w:ilvl w:val="0"/>
          <w:numId w:val="43"/>
        </w:numPr>
        <w:tabs>
          <w:tab w:val="clear" w:pos="720"/>
          <w:tab w:val="left" w:pos="567"/>
        </w:tabs>
        <w:spacing w:before="120"/>
        <w:ind w:left="540" w:hanging="540"/>
        <w:rPr>
          <w:rFonts w:cs="Arial"/>
          <w:b/>
          <w:sz w:val="24"/>
          <w:szCs w:val="24"/>
        </w:rPr>
      </w:pPr>
      <w:r w:rsidRPr="00DF3430">
        <w:rPr>
          <w:rFonts w:cs="Arial"/>
          <w:sz w:val="24"/>
          <w:szCs w:val="24"/>
        </w:rPr>
        <w:t>a medical unit supported by a mental health service.</w:t>
      </w:r>
      <w:bookmarkStart w:id="54" w:name="_Toc215319151"/>
    </w:p>
    <w:p w:rsidR="00027868" w:rsidRPr="00DF3430" w:rsidRDefault="00027868" w:rsidP="000E2F74">
      <w:pPr>
        <w:tabs>
          <w:tab w:val="left" w:pos="567"/>
        </w:tabs>
        <w:rPr>
          <w:rFonts w:cs="Arial"/>
          <w:b/>
          <w:sz w:val="24"/>
          <w:szCs w:val="24"/>
        </w:rPr>
      </w:pPr>
      <w:r w:rsidRPr="00DF3430">
        <w:rPr>
          <w:rFonts w:cs="Arial"/>
          <w:b/>
          <w:sz w:val="24"/>
          <w:szCs w:val="24"/>
        </w:rPr>
        <w:lastRenderedPageBreak/>
        <w:t>5.3</w:t>
      </w:r>
      <w:r w:rsidRPr="00DF3430">
        <w:rPr>
          <w:rFonts w:cs="Arial"/>
          <w:b/>
          <w:sz w:val="24"/>
          <w:szCs w:val="24"/>
        </w:rPr>
        <w:tab/>
        <w:t xml:space="preserve">Key Inputs </w:t>
      </w:r>
      <w:bookmarkStart w:id="55" w:name="_Toc215319152"/>
      <w:bookmarkEnd w:id="54"/>
    </w:p>
    <w:p w:rsidR="003179C0" w:rsidRPr="00DF3430" w:rsidRDefault="003179C0" w:rsidP="00A36ED6">
      <w:pPr>
        <w:autoSpaceDE w:val="0"/>
        <w:autoSpaceDN w:val="0"/>
        <w:adjustRightInd w:val="0"/>
        <w:spacing w:before="120"/>
        <w:rPr>
          <w:rFonts w:cs="Arial"/>
          <w:sz w:val="24"/>
          <w:szCs w:val="24"/>
        </w:rPr>
      </w:pPr>
      <w:r w:rsidRPr="00DF3430">
        <w:rPr>
          <w:rFonts w:cs="Arial"/>
          <w:sz w:val="24"/>
          <w:szCs w:val="24"/>
        </w:rPr>
        <w:t>Medical staff will provide oversight of this service.</w:t>
      </w:r>
      <w:r w:rsidR="00570A49" w:rsidRPr="00DF3430">
        <w:rPr>
          <w:rFonts w:cs="Arial"/>
          <w:sz w:val="24"/>
          <w:szCs w:val="24"/>
        </w:rPr>
        <w:t xml:space="preserve"> </w:t>
      </w:r>
      <w:r w:rsidR="002A77E6" w:rsidRPr="00DF3430">
        <w:rPr>
          <w:rFonts w:cs="Arial"/>
          <w:sz w:val="24"/>
          <w:szCs w:val="24"/>
        </w:rPr>
        <w:t xml:space="preserve"> </w:t>
      </w:r>
      <w:r w:rsidRPr="00DF3430">
        <w:rPr>
          <w:rFonts w:cs="Arial"/>
          <w:sz w:val="24"/>
          <w:szCs w:val="24"/>
        </w:rPr>
        <w:t>The</w:t>
      </w:r>
      <w:r w:rsidR="00AB2784" w:rsidRPr="00DF3430">
        <w:rPr>
          <w:rFonts w:cs="Arial"/>
          <w:sz w:val="24"/>
          <w:szCs w:val="24"/>
        </w:rPr>
        <w:t xml:space="preserve"> S</w:t>
      </w:r>
      <w:r w:rsidRPr="00DF3430">
        <w:rPr>
          <w:rFonts w:cs="Arial"/>
          <w:sz w:val="24"/>
          <w:szCs w:val="24"/>
        </w:rPr>
        <w:t>ervice will be delivered by</w:t>
      </w:r>
      <w:r w:rsidRPr="00DF3430">
        <w:rPr>
          <w:rFonts w:cs="Arial"/>
          <w:sz w:val="24"/>
          <w:szCs w:val="24"/>
          <w:u w:val="single"/>
        </w:rPr>
        <w:t xml:space="preserve"> </w:t>
      </w:r>
      <w:r w:rsidRPr="00DF3430">
        <w:rPr>
          <w:rFonts w:cs="Arial"/>
          <w:sz w:val="24"/>
          <w:szCs w:val="24"/>
        </w:rPr>
        <w:t xml:space="preserve">people with </w:t>
      </w:r>
      <w:r w:rsidRPr="00DF3430">
        <w:rPr>
          <w:rFonts w:cs="Arial"/>
          <w:bCs/>
          <w:sz w:val="24"/>
          <w:szCs w:val="24"/>
        </w:rPr>
        <w:t xml:space="preserve">skills and experience in alcohol and other drug detoxification, and who belong in one of the following categories: </w:t>
      </w:r>
    </w:p>
    <w:p w:rsidR="003179C0" w:rsidRPr="00DF3430" w:rsidRDefault="003179C0" w:rsidP="00AB2784">
      <w:pPr>
        <w:pStyle w:val="Header"/>
        <w:numPr>
          <w:ilvl w:val="0"/>
          <w:numId w:val="26"/>
        </w:numPr>
        <w:tabs>
          <w:tab w:val="clear" w:pos="360"/>
          <w:tab w:val="clear" w:pos="4153"/>
          <w:tab w:val="clear" w:pos="8306"/>
          <w:tab w:val="num" w:pos="540"/>
        </w:tabs>
        <w:spacing w:before="120"/>
        <w:ind w:left="539" w:hanging="539"/>
        <w:rPr>
          <w:rFonts w:cs="Arial"/>
          <w:sz w:val="24"/>
          <w:szCs w:val="24"/>
        </w:rPr>
      </w:pPr>
      <w:r w:rsidRPr="00DF3430">
        <w:rPr>
          <w:rFonts w:cs="Arial"/>
          <w:sz w:val="24"/>
          <w:szCs w:val="24"/>
        </w:rPr>
        <w:t>health professionals regulated by the Health Practitioners Competence Assurance Act 2003</w:t>
      </w:r>
    </w:p>
    <w:p w:rsidR="003179C0" w:rsidRPr="00DF3430" w:rsidRDefault="003179C0" w:rsidP="00AB2784">
      <w:pPr>
        <w:pStyle w:val="Header"/>
        <w:numPr>
          <w:ilvl w:val="0"/>
          <w:numId w:val="26"/>
        </w:numPr>
        <w:tabs>
          <w:tab w:val="clear" w:pos="360"/>
          <w:tab w:val="clear" w:pos="4153"/>
          <w:tab w:val="clear" w:pos="8306"/>
          <w:tab w:val="num" w:pos="540"/>
        </w:tabs>
        <w:spacing w:before="120"/>
        <w:ind w:left="539" w:hanging="539"/>
        <w:rPr>
          <w:rFonts w:cs="Arial"/>
          <w:sz w:val="24"/>
          <w:szCs w:val="24"/>
        </w:rPr>
      </w:pPr>
      <w:r w:rsidRPr="00DF3430">
        <w:rPr>
          <w:rFonts w:cs="Arial"/>
          <w:sz w:val="24"/>
          <w:szCs w:val="24"/>
        </w:rPr>
        <w:t xml:space="preserve">people regulated by </w:t>
      </w:r>
      <w:r w:rsidR="006E7E96" w:rsidRPr="00DF3430">
        <w:rPr>
          <w:rFonts w:cs="Arial"/>
          <w:sz w:val="24"/>
          <w:szCs w:val="24"/>
        </w:rPr>
        <w:t>the Drug and Alcohol Practitioners Association Aotearoa New Zealand</w:t>
      </w:r>
      <w:r w:rsidR="006E7E96" w:rsidRPr="000C4F55">
        <w:rPr>
          <w:rFonts w:cs="Arial"/>
        </w:rPr>
        <w:t xml:space="preserve"> (</w:t>
      </w:r>
      <w:r w:rsidR="006E7E96" w:rsidRPr="00DF3430">
        <w:rPr>
          <w:rFonts w:cs="Arial"/>
          <w:sz w:val="24"/>
          <w:szCs w:val="24"/>
        </w:rPr>
        <w:t xml:space="preserve">DAPAANZ) </w:t>
      </w:r>
      <w:r w:rsidRPr="00DF3430">
        <w:rPr>
          <w:rFonts w:cs="Arial"/>
          <w:sz w:val="24"/>
          <w:szCs w:val="24"/>
        </w:rPr>
        <w:t>or another health or social service professional body</w:t>
      </w:r>
      <w:r w:rsidR="001353D7" w:rsidRPr="00DF3430">
        <w:rPr>
          <w:rFonts w:cs="Arial"/>
          <w:sz w:val="24"/>
          <w:szCs w:val="24"/>
        </w:rPr>
        <w:t>.</w:t>
      </w:r>
    </w:p>
    <w:p w:rsidR="00DD7388" w:rsidRPr="00DF3430" w:rsidRDefault="00DD7388" w:rsidP="001353D7">
      <w:pPr>
        <w:tabs>
          <w:tab w:val="left" w:pos="570"/>
        </w:tabs>
        <w:spacing w:before="120" w:after="60"/>
        <w:rPr>
          <w:rFonts w:cs="Arial"/>
          <w:b/>
          <w:sz w:val="24"/>
          <w:szCs w:val="24"/>
        </w:rPr>
      </w:pPr>
      <w:r w:rsidRPr="00DF3430">
        <w:rPr>
          <w:rFonts w:cs="Arial"/>
          <w:b/>
          <w:sz w:val="24"/>
          <w:szCs w:val="24"/>
        </w:rPr>
        <w:t>5.4.</w:t>
      </w:r>
      <w:r w:rsidRPr="00DF3430">
        <w:rPr>
          <w:rFonts w:cs="Arial"/>
          <w:b/>
          <w:sz w:val="24"/>
          <w:szCs w:val="24"/>
        </w:rPr>
        <w:tab/>
        <w:t xml:space="preserve">Pacific Health </w:t>
      </w:r>
    </w:p>
    <w:p w:rsidR="00DD7388" w:rsidRPr="00DF3430" w:rsidRDefault="00DF1391" w:rsidP="00DD7388">
      <w:pPr>
        <w:spacing w:after="120"/>
        <w:rPr>
          <w:rFonts w:cs="Arial"/>
          <w:sz w:val="24"/>
          <w:szCs w:val="24"/>
        </w:rPr>
      </w:pPr>
      <w:r w:rsidRPr="00DF3430">
        <w:rPr>
          <w:rFonts w:cs="Arial"/>
          <w:sz w:val="24"/>
          <w:szCs w:val="24"/>
        </w:rPr>
        <w:t>Refer to tier one Mental Health and Addiction Services service specification</w:t>
      </w:r>
      <w:r w:rsidR="00A36ED6" w:rsidRPr="00DF3430">
        <w:rPr>
          <w:rFonts w:cs="Arial"/>
          <w:sz w:val="24"/>
          <w:szCs w:val="24"/>
        </w:rPr>
        <w:t>.</w:t>
      </w:r>
    </w:p>
    <w:p w:rsidR="00027868" w:rsidRPr="00DF3430" w:rsidRDefault="00027868" w:rsidP="00027868">
      <w:pPr>
        <w:tabs>
          <w:tab w:val="left" w:pos="570"/>
        </w:tabs>
        <w:spacing w:before="240" w:after="120"/>
        <w:rPr>
          <w:rFonts w:cs="Arial"/>
          <w:b/>
          <w:sz w:val="24"/>
          <w:szCs w:val="24"/>
        </w:rPr>
      </w:pPr>
      <w:bookmarkStart w:id="56" w:name="_Toc215319155"/>
      <w:bookmarkEnd w:id="55"/>
      <w:r w:rsidRPr="00DF3430">
        <w:rPr>
          <w:rFonts w:cs="Arial"/>
          <w:b/>
          <w:sz w:val="24"/>
          <w:szCs w:val="24"/>
        </w:rPr>
        <w:t>6.</w:t>
      </w:r>
      <w:r w:rsidRPr="00DF3430">
        <w:rPr>
          <w:rFonts w:cs="Arial"/>
          <w:b/>
          <w:sz w:val="24"/>
          <w:szCs w:val="24"/>
        </w:rPr>
        <w:tab/>
        <w:t>Service Linkages</w:t>
      </w:r>
      <w:bookmarkEnd w:id="56"/>
    </w:p>
    <w:p w:rsidR="005B4A5C" w:rsidRPr="00DF3430" w:rsidRDefault="005B4A5C" w:rsidP="005B4A5C">
      <w:pPr>
        <w:spacing w:before="120" w:after="120"/>
        <w:rPr>
          <w:rFonts w:cs="Arial"/>
          <w:sz w:val="24"/>
          <w:szCs w:val="24"/>
        </w:rPr>
      </w:pPr>
      <w:bookmarkStart w:id="57" w:name="_Toc215319158"/>
      <w:bookmarkStart w:id="58" w:name="_Toc215319164"/>
      <w:r w:rsidRPr="00DF3430">
        <w:rPr>
          <w:rFonts w:cs="Arial"/>
          <w:sz w:val="24"/>
          <w:szCs w:val="24"/>
        </w:rPr>
        <w:t xml:space="preserve">Linkages </w:t>
      </w:r>
      <w:bookmarkEnd w:id="57"/>
      <w:r w:rsidRPr="00DF3430">
        <w:rPr>
          <w:rFonts w:cs="Arial"/>
          <w:sz w:val="24"/>
          <w:szCs w:val="24"/>
        </w:rPr>
        <w:t xml:space="preserve">are as described in Mental Health and Addiction Services tier one and </w:t>
      </w:r>
      <w:r w:rsidR="00DB0811" w:rsidRPr="00DF3430">
        <w:rPr>
          <w:rFonts w:cs="Arial"/>
          <w:sz w:val="24"/>
          <w:szCs w:val="24"/>
        </w:rPr>
        <w:t xml:space="preserve">tier two </w:t>
      </w:r>
      <w:r w:rsidR="003C1A63" w:rsidRPr="00DF3430">
        <w:rPr>
          <w:rFonts w:cs="Arial"/>
          <w:sz w:val="24"/>
          <w:szCs w:val="24"/>
        </w:rPr>
        <w:t>Addiction</w:t>
      </w:r>
      <w:r w:rsidRPr="00DF3430">
        <w:rPr>
          <w:rFonts w:cs="Arial"/>
          <w:sz w:val="24"/>
          <w:szCs w:val="24"/>
        </w:rPr>
        <w:t xml:space="preserve"> </w:t>
      </w:r>
      <w:r w:rsidR="00DB0811">
        <w:rPr>
          <w:rFonts w:cs="Arial"/>
          <w:sz w:val="24"/>
          <w:szCs w:val="24"/>
        </w:rPr>
        <w:t xml:space="preserve">Services </w:t>
      </w:r>
      <w:r w:rsidRPr="00DF3430">
        <w:rPr>
          <w:rFonts w:cs="Arial"/>
          <w:sz w:val="24"/>
          <w:szCs w:val="24"/>
        </w:rPr>
        <w:t>service specifications</w:t>
      </w:r>
      <w:r w:rsidR="00AB2784" w:rsidRPr="00DF3430">
        <w:rPr>
          <w:rFonts w:cs="Arial"/>
          <w:sz w:val="24"/>
          <w:szCs w:val="24"/>
        </w:rPr>
        <w:t>.</w:t>
      </w:r>
      <w:r w:rsidRPr="00DF3430">
        <w:rPr>
          <w:rFonts w:cs="Arial"/>
          <w:sz w:val="24"/>
          <w:szCs w:val="24"/>
        </w:rPr>
        <w:t xml:space="preserve"> </w:t>
      </w:r>
    </w:p>
    <w:p w:rsidR="00027868" w:rsidRPr="00DF3430" w:rsidRDefault="00027868" w:rsidP="00AE504E">
      <w:pPr>
        <w:tabs>
          <w:tab w:val="left" w:pos="570"/>
        </w:tabs>
        <w:spacing w:before="240" w:after="120"/>
        <w:rPr>
          <w:rFonts w:cs="Arial"/>
          <w:b/>
          <w:sz w:val="24"/>
          <w:szCs w:val="24"/>
        </w:rPr>
      </w:pPr>
      <w:r w:rsidRPr="00DF3430">
        <w:rPr>
          <w:rFonts w:cs="Arial"/>
          <w:b/>
          <w:sz w:val="24"/>
          <w:szCs w:val="24"/>
        </w:rPr>
        <w:t>7.</w:t>
      </w:r>
      <w:r w:rsidRPr="00DF3430">
        <w:rPr>
          <w:rFonts w:cs="Arial"/>
          <w:b/>
          <w:sz w:val="24"/>
          <w:szCs w:val="24"/>
        </w:rPr>
        <w:tab/>
      </w:r>
      <w:bookmarkStart w:id="59" w:name="_Toc215319172"/>
      <w:bookmarkEnd w:id="58"/>
      <w:r w:rsidRPr="00DF3430">
        <w:rPr>
          <w:rFonts w:cs="Arial"/>
          <w:b/>
          <w:sz w:val="24"/>
          <w:szCs w:val="24"/>
        </w:rPr>
        <w:t>Purchase Units and Reporting Requirements</w:t>
      </w:r>
      <w:bookmarkEnd w:id="59"/>
    </w:p>
    <w:p w:rsidR="005B4A5C" w:rsidRPr="00DF3430" w:rsidRDefault="00AE504E" w:rsidP="008E715B">
      <w:pPr>
        <w:tabs>
          <w:tab w:val="left" w:pos="567"/>
          <w:tab w:val="left" w:pos="709"/>
          <w:tab w:val="left" w:pos="1701"/>
          <w:tab w:val="left" w:pos="2693"/>
        </w:tabs>
        <w:spacing w:after="120"/>
        <w:rPr>
          <w:rFonts w:cs="Arial"/>
          <w:sz w:val="24"/>
          <w:szCs w:val="24"/>
        </w:rPr>
      </w:pPr>
      <w:bookmarkStart w:id="60" w:name="_Toc215319173"/>
      <w:r>
        <w:rPr>
          <w:rFonts w:cs="Arial"/>
          <w:b/>
          <w:sz w:val="24"/>
          <w:szCs w:val="24"/>
        </w:rPr>
        <w:t>7</w:t>
      </w:r>
      <w:r w:rsidR="0041074F" w:rsidRPr="005F2CE8">
        <w:rPr>
          <w:rFonts w:cs="Arial"/>
          <w:b/>
          <w:sz w:val="24"/>
          <w:szCs w:val="24"/>
        </w:rPr>
        <w:t>.1</w:t>
      </w:r>
      <w:r w:rsidR="0041074F" w:rsidRPr="005F2CE8">
        <w:rPr>
          <w:rFonts w:cs="Arial"/>
          <w:b/>
          <w:sz w:val="24"/>
          <w:szCs w:val="24"/>
        </w:rPr>
        <w:tab/>
      </w:r>
      <w:r w:rsidR="00027868" w:rsidRPr="00DF3430">
        <w:rPr>
          <w:rFonts w:cs="Arial"/>
          <w:sz w:val="24"/>
          <w:szCs w:val="24"/>
        </w:rPr>
        <w:t>Purchase Unit</w:t>
      </w:r>
      <w:r>
        <w:rPr>
          <w:rFonts w:cs="Arial"/>
          <w:sz w:val="24"/>
          <w:szCs w:val="24"/>
        </w:rPr>
        <w:t xml:space="preserve"> (PU) codes</w:t>
      </w:r>
      <w:r w:rsidR="00027868" w:rsidRPr="00DF3430">
        <w:rPr>
          <w:rFonts w:cs="Arial"/>
          <w:sz w:val="24"/>
          <w:szCs w:val="24"/>
        </w:rPr>
        <w:t xml:space="preserve"> are defined in the DHB and Ministry’s Nationwide Service Framework Purchase Unit Data Dictionary.  </w:t>
      </w:r>
      <w:r w:rsidR="00310F73" w:rsidRPr="00DF3430">
        <w:rPr>
          <w:rFonts w:cs="Arial"/>
          <w:sz w:val="24"/>
          <w:szCs w:val="24"/>
        </w:rPr>
        <w:t xml:space="preserve">The following </w:t>
      </w:r>
      <w:r w:rsidR="009E4ADD">
        <w:rPr>
          <w:rFonts w:cs="Arial"/>
          <w:sz w:val="24"/>
          <w:szCs w:val="24"/>
        </w:rPr>
        <w:t>code</w:t>
      </w:r>
      <w:r w:rsidR="00310F73" w:rsidRPr="00DF3430">
        <w:rPr>
          <w:rFonts w:cs="Arial"/>
          <w:sz w:val="24"/>
          <w:szCs w:val="24"/>
        </w:rPr>
        <w:t xml:space="preserve"> appl</w:t>
      </w:r>
      <w:r w:rsidR="00E1758F" w:rsidRPr="00DF3430">
        <w:rPr>
          <w:rFonts w:cs="Arial"/>
          <w:sz w:val="24"/>
          <w:szCs w:val="24"/>
        </w:rPr>
        <w:t>ies</w:t>
      </w:r>
      <w:r w:rsidR="00310F73" w:rsidRPr="00DF3430">
        <w:rPr>
          <w:rFonts w:cs="Arial"/>
          <w:sz w:val="24"/>
          <w:szCs w:val="24"/>
        </w:rPr>
        <w:t xml:space="preserve"> to this Service.</w:t>
      </w:r>
      <w:bookmarkEnd w:id="60"/>
    </w:p>
    <w:tbl>
      <w:tblPr>
        <w:tblW w:w="49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9"/>
        <w:gridCol w:w="1455"/>
        <w:gridCol w:w="5531"/>
        <w:gridCol w:w="1522"/>
      </w:tblGrid>
      <w:tr w:rsidR="000026CF" w:rsidRPr="00DF3430" w:rsidTr="000E2F74">
        <w:trPr>
          <w:cantSplit/>
          <w:trHeight w:val="447"/>
          <w:tblHeader/>
        </w:trPr>
        <w:tc>
          <w:tcPr>
            <w:tcW w:w="662" w:type="pct"/>
            <w:shd w:val="clear" w:color="auto" w:fill="D9D9D9"/>
          </w:tcPr>
          <w:p w:rsidR="000026CF" w:rsidRPr="00DF3430" w:rsidRDefault="000026CF" w:rsidP="005B4A5C">
            <w:pPr>
              <w:spacing w:before="120"/>
              <w:rPr>
                <w:rFonts w:cs="Arial"/>
                <w:b/>
                <w:sz w:val="20"/>
              </w:rPr>
            </w:pPr>
            <w:bookmarkStart w:id="61" w:name="_Toc215319174"/>
            <w:r w:rsidRPr="00DF3430">
              <w:rPr>
                <w:rFonts w:cs="Arial"/>
                <w:b/>
                <w:sz w:val="20"/>
              </w:rPr>
              <w:t>PU Code</w:t>
            </w:r>
            <w:bookmarkEnd w:id="61"/>
          </w:p>
        </w:tc>
        <w:tc>
          <w:tcPr>
            <w:tcW w:w="742" w:type="pct"/>
            <w:shd w:val="clear" w:color="auto" w:fill="D9D9D9"/>
          </w:tcPr>
          <w:p w:rsidR="000026CF" w:rsidRPr="00DF3430" w:rsidRDefault="000026CF" w:rsidP="005B4A5C">
            <w:pPr>
              <w:spacing w:before="120"/>
              <w:rPr>
                <w:rFonts w:cs="Arial"/>
                <w:b/>
                <w:sz w:val="20"/>
              </w:rPr>
            </w:pPr>
            <w:bookmarkStart w:id="62" w:name="_Toc215319175"/>
            <w:r w:rsidRPr="00DF3430">
              <w:rPr>
                <w:rFonts w:cs="Arial"/>
                <w:b/>
                <w:sz w:val="20"/>
              </w:rPr>
              <w:t>PU Description</w:t>
            </w:r>
            <w:bookmarkEnd w:id="62"/>
          </w:p>
        </w:tc>
        <w:tc>
          <w:tcPr>
            <w:tcW w:w="2820" w:type="pct"/>
            <w:shd w:val="clear" w:color="auto" w:fill="D9D9D9"/>
          </w:tcPr>
          <w:p w:rsidR="000026CF" w:rsidRPr="00DF3430" w:rsidRDefault="000026CF" w:rsidP="005B4A5C">
            <w:pPr>
              <w:spacing w:before="120"/>
              <w:rPr>
                <w:rFonts w:cs="Arial"/>
                <w:b/>
                <w:sz w:val="20"/>
              </w:rPr>
            </w:pPr>
            <w:r w:rsidRPr="00DF3430">
              <w:rPr>
                <w:rFonts w:cs="Arial"/>
                <w:b/>
                <w:sz w:val="20"/>
              </w:rPr>
              <w:t>PU Definition</w:t>
            </w:r>
          </w:p>
        </w:tc>
        <w:tc>
          <w:tcPr>
            <w:tcW w:w="777" w:type="pct"/>
            <w:shd w:val="clear" w:color="auto" w:fill="D9D9D9"/>
          </w:tcPr>
          <w:p w:rsidR="000026CF" w:rsidRPr="00DF3430" w:rsidRDefault="0065629B" w:rsidP="005B4A5C">
            <w:pPr>
              <w:spacing w:before="120"/>
              <w:rPr>
                <w:rFonts w:cs="Arial"/>
                <w:b/>
                <w:sz w:val="20"/>
              </w:rPr>
            </w:pPr>
            <w:bookmarkStart w:id="63" w:name="_Toc215319176"/>
            <w:r>
              <w:rPr>
                <w:rFonts w:cs="Arial"/>
                <w:b/>
                <w:sz w:val="20"/>
              </w:rPr>
              <w:t xml:space="preserve">Unit of </w:t>
            </w:r>
            <w:r w:rsidR="000026CF" w:rsidRPr="00DF3430">
              <w:rPr>
                <w:rFonts w:cs="Arial"/>
                <w:b/>
                <w:sz w:val="20"/>
              </w:rPr>
              <w:t>Measure</w:t>
            </w:r>
            <w:bookmarkEnd w:id="63"/>
          </w:p>
        </w:tc>
      </w:tr>
      <w:tr w:rsidR="000026CF" w:rsidRPr="00DF3430" w:rsidTr="000E2F74">
        <w:trPr>
          <w:cantSplit/>
          <w:trHeight w:val="1517"/>
        </w:trPr>
        <w:tc>
          <w:tcPr>
            <w:tcW w:w="662" w:type="pct"/>
            <w:tcBorders>
              <w:top w:val="single" w:sz="4" w:space="0" w:color="auto"/>
              <w:left w:val="single" w:sz="4" w:space="0" w:color="auto"/>
              <w:bottom w:val="single" w:sz="4" w:space="0" w:color="auto"/>
              <w:right w:val="single" w:sz="4" w:space="0" w:color="auto"/>
            </w:tcBorders>
          </w:tcPr>
          <w:p w:rsidR="000026CF" w:rsidRPr="00DF3430" w:rsidRDefault="000026CF" w:rsidP="000E2F74">
            <w:pPr>
              <w:rPr>
                <w:rFonts w:cs="Arial"/>
                <w:sz w:val="20"/>
              </w:rPr>
            </w:pPr>
            <w:r w:rsidRPr="00DF3430">
              <w:rPr>
                <w:rFonts w:cs="Arial"/>
                <w:sz w:val="20"/>
              </w:rPr>
              <w:t>MHD77</w:t>
            </w:r>
          </w:p>
        </w:tc>
        <w:tc>
          <w:tcPr>
            <w:tcW w:w="742" w:type="pct"/>
            <w:tcBorders>
              <w:top w:val="single" w:sz="4" w:space="0" w:color="auto"/>
              <w:left w:val="single" w:sz="4" w:space="0" w:color="auto"/>
              <w:bottom w:val="single" w:sz="4" w:space="0" w:color="auto"/>
              <w:right w:val="single" w:sz="4" w:space="0" w:color="auto"/>
            </w:tcBorders>
          </w:tcPr>
          <w:p w:rsidR="000026CF" w:rsidRPr="00DF3430" w:rsidRDefault="000026CF" w:rsidP="000E2F74">
            <w:pPr>
              <w:rPr>
                <w:rFonts w:cs="Arial"/>
                <w:sz w:val="20"/>
              </w:rPr>
            </w:pPr>
            <w:r w:rsidRPr="00DF3430">
              <w:rPr>
                <w:rFonts w:cs="Arial"/>
                <w:sz w:val="20"/>
              </w:rPr>
              <w:t xml:space="preserve">Managed withdrawal – inpatient service </w:t>
            </w:r>
          </w:p>
        </w:tc>
        <w:tc>
          <w:tcPr>
            <w:tcW w:w="2820" w:type="pct"/>
            <w:tcBorders>
              <w:top w:val="single" w:sz="4" w:space="0" w:color="auto"/>
              <w:left w:val="single" w:sz="4" w:space="0" w:color="auto"/>
              <w:bottom w:val="single" w:sz="4" w:space="0" w:color="auto"/>
              <w:right w:val="single" w:sz="4" w:space="0" w:color="auto"/>
            </w:tcBorders>
          </w:tcPr>
          <w:p w:rsidR="000026CF" w:rsidRPr="00DF3430" w:rsidRDefault="000026CF" w:rsidP="000E2F74">
            <w:pPr>
              <w:rPr>
                <w:rFonts w:cs="Arial"/>
                <w:sz w:val="20"/>
              </w:rPr>
            </w:pPr>
            <w:r w:rsidRPr="00DF3430">
              <w:rPr>
                <w:rFonts w:cs="Arial"/>
                <w:sz w:val="20"/>
              </w:rPr>
              <w:t>Hospital or community-based medically managed withdrawal delivered in either a specialised community facility, or a mental health unit, or a medical unit supported by a mental health service dedicated to those people with, or at high risk of developing, medical complications during the withdrawal process.</w:t>
            </w:r>
          </w:p>
        </w:tc>
        <w:tc>
          <w:tcPr>
            <w:tcW w:w="777" w:type="pct"/>
            <w:tcBorders>
              <w:top w:val="single" w:sz="4" w:space="0" w:color="auto"/>
              <w:left w:val="single" w:sz="4" w:space="0" w:color="auto"/>
              <w:bottom w:val="single" w:sz="4" w:space="0" w:color="auto"/>
              <w:right w:val="single" w:sz="4" w:space="0" w:color="auto"/>
            </w:tcBorders>
          </w:tcPr>
          <w:p w:rsidR="000026CF" w:rsidRPr="00DF3430" w:rsidRDefault="000026CF" w:rsidP="000E2F74">
            <w:pPr>
              <w:rPr>
                <w:rFonts w:cs="Arial"/>
                <w:sz w:val="20"/>
              </w:rPr>
            </w:pPr>
            <w:r w:rsidRPr="00DF3430">
              <w:rPr>
                <w:rFonts w:cs="Arial"/>
                <w:sz w:val="20"/>
              </w:rPr>
              <w:t>Available Bed Day</w:t>
            </w:r>
          </w:p>
        </w:tc>
      </w:tr>
    </w:tbl>
    <w:p w:rsidR="000026CF" w:rsidRDefault="000026CF" w:rsidP="00D66123">
      <w:pPr>
        <w:spacing w:before="120"/>
        <w:jc w:val="both"/>
        <w:rPr>
          <w:rFonts w:cs="Arial"/>
          <w:b/>
          <w:szCs w:val="22"/>
        </w:rPr>
      </w:pPr>
    </w:p>
    <w:tbl>
      <w:tblPr>
        <w:tblStyle w:val="TableGrid"/>
        <w:tblW w:w="9810" w:type="dxa"/>
        <w:tblInd w:w="-34" w:type="dxa"/>
        <w:tblLook w:val="04A0" w:firstRow="1" w:lastRow="0" w:firstColumn="1" w:lastColumn="0" w:noHBand="0" w:noVBand="1"/>
      </w:tblPr>
      <w:tblGrid>
        <w:gridCol w:w="1702"/>
        <w:gridCol w:w="8108"/>
      </w:tblGrid>
      <w:tr w:rsidR="000026CF" w:rsidRPr="00733B37" w:rsidTr="00110B15">
        <w:tc>
          <w:tcPr>
            <w:tcW w:w="1702" w:type="dxa"/>
            <w:shd w:val="clear" w:color="auto" w:fill="D9D9D9" w:themeFill="background1" w:themeFillShade="D9"/>
          </w:tcPr>
          <w:p w:rsidR="000026CF" w:rsidRPr="000E2F74" w:rsidRDefault="000026CF" w:rsidP="000C6C15">
            <w:pPr>
              <w:spacing w:before="120"/>
              <w:rPr>
                <w:rFonts w:cs="Arial"/>
                <w:b/>
                <w:sz w:val="20"/>
              </w:rPr>
            </w:pPr>
            <w:r w:rsidRPr="000E2F74">
              <w:rPr>
                <w:rFonts w:cs="Arial"/>
                <w:b/>
                <w:sz w:val="20"/>
              </w:rPr>
              <w:t xml:space="preserve"> Unit of Measure</w:t>
            </w:r>
          </w:p>
        </w:tc>
        <w:tc>
          <w:tcPr>
            <w:tcW w:w="8108" w:type="dxa"/>
            <w:shd w:val="clear" w:color="auto" w:fill="D9D9D9" w:themeFill="background1" w:themeFillShade="D9"/>
          </w:tcPr>
          <w:p w:rsidR="000026CF" w:rsidRPr="000E2F74" w:rsidRDefault="000026CF" w:rsidP="000C6C15">
            <w:pPr>
              <w:spacing w:before="120"/>
              <w:rPr>
                <w:rFonts w:cs="Arial"/>
                <w:b/>
                <w:sz w:val="20"/>
              </w:rPr>
            </w:pPr>
            <w:r w:rsidRPr="000E2F74">
              <w:rPr>
                <w:rFonts w:cs="Arial"/>
                <w:b/>
                <w:sz w:val="20"/>
              </w:rPr>
              <w:t>Unit of Measure Definition</w:t>
            </w:r>
          </w:p>
        </w:tc>
      </w:tr>
      <w:tr w:rsidR="000026CF" w:rsidRPr="00733B37" w:rsidTr="00110B15">
        <w:tc>
          <w:tcPr>
            <w:tcW w:w="1702" w:type="dxa"/>
          </w:tcPr>
          <w:p w:rsidR="000026CF" w:rsidRPr="00733B37" w:rsidRDefault="000026CF" w:rsidP="000E2F74">
            <w:pPr>
              <w:jc w:val="both"/>
              <w:rPr>
                <w:rFonts w:cs="Arial"/>
                <w:sz w:val="20"/>
              </w:rPr>
            </w:pPr>
            <w:r>
              <w:rPr>
                <w:rFonts w:cs="Arial"/>
                <w:sz w:val="20"/>
              </w:rPr>
              <w:t>Available Day Bed</w:t>
            </w:r>
          </w:p>
        </w:tc>
        <w:tc>
          <w:tcPr>
            <w:tcW w:w="8108" w:type="dxa"/>
          </w:tcPr>
          <w:p w:rsidR="000026CF" w:rsidRPr="00733B37" w:rsidRDefault="000026CF" w:rsidP="000E2F74">
            <w:pPr>
              <w:jc w:val="both"/>
              <w:rPr>
                <w:rFonts w:cs="Arial"/>
                <w:sz w:val="20"/>
              </w:rPr>
            </w:pPr>
            <w:r w:rsidRPr="0070584C">
              <w:rPr>
                <w:rFonts w:cs="Arial"/>
                <w:sz w:val="20"/>
                <w:lang w:val="en-US" w:eastAsia="en-US"/>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bl>
    <w:p w:rsidR="00D66123" w:rsidRPr="00DF3430" w:rsidRDefault="009E4ADD" w:rsidP="00D66123">
      <w:pPr>
        <w:spacing w:before="120"/>
        <w:jc w:val="both"/>
        <w:rPr>
          <w:rFonts w:cs="Arial"/>
          <w:b/>
          <w:sz w:val="24"/>
          <w:szCs w:val="24"/>
        </w:rPr>
      </w:pPr>
      <w:r>
        <w:rPr>
          <w:rFonts w:cs="Arial"/>
          <w:b/>
          <w:sz w:val="24"/>
          <w:szCs w:val="24"/>
        </w:rPr>
        <w:t>7.2</w:t>
      </w:r>
      <w:r w:rsidR="00D66123" w:rsidRPr="00DF3430">
        <w:rPr>
          <w:rFonts w:cs="Arial"/>
          <w:b/>
          <w:sz w:val="24"/>
          <w:szCs w:val="24"/>
        </w:rPr>
        <w:tab/>
        <w:t>Reporting</w:t>
      </w:r>
    </w:p>
    <w:p w:rsidR="0065629B" w:rsidRPr="00291C5E" w:rsidRDefault="0065629B" w:rsidP="0065629B">
      <w:pPr>
        <w:spacing w:before="120"/>
        <w:rPr>
          <w:rFonts w:cs="Arial"/>
          <w:sz w:val="24"/>
          <w:szCs w:val="24"/>
        </w:rPr>
      </w:pPr>
      <w:r w:rsidRPr="00291C5E">
        <w:rPr>
          <w:rFonts w:cs="Arial"/>
          <w:sz w:val="24"/>
          <w:szCs w:val="24"/>
        </w:rPr>
        <w:t>The Provider must comply with the requirements of national data collections: PRIMHD.</w:t>
      </w:r>
    </w:p>
    <w:p w:rsidR="0065629B" w:rsidRPr="00291C5E" w:rsidRDefault="0065629B" w:rsidP="0065629B">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65629B" w:rsidRPr="00291C5E" w:rsidRDefault="0065629B" w:rsidP="0065629B">
      <w:pPr>
        <w:spacing w:before="120"/>
        <w:rPr>
          <w:rFonts w:cs="Arial"/>
          <w:sz w:val="24"/>
          <w:szCs w:val="24"/>
        </w:rPr>
      </w:pPr>
      <w:r w:rsidRPr="00291C5E">
        <w:rPr>
          <w:rFonts w:cs="Arial"/>
          <w:sz w:val="24"/>
          <w:szCs w:val="24"/>
        </w:rPr>
        <w:t>The information required by the Funder will be sent to:</w:t>
      </w:r>
    </w:p>
    <w:p w:rsidR="0065629B" w:rsidRPr="00291C5E" w:rsidRDefault="0065629B" w:rsidP="0065629B">
      <w:pPr>
        <w:spacing w:before="120"/>
        <w:ind w:left="720"/>
        <w:rPr>
          <w:sz w:val="24"/>
        </w:rPr>
      </w:pPr>
      <w:r w:rsidRPr="00291C5E">
        <w:rPr>
          <w:sz w:val="24"/>
        </w:rPr>
        <w:t>Performance Reporting</w:t>
      </w:r>
    </w:p>
    <w:p w:rsidR="0065629B" w:rsidRPr="00291C5E" w:rsidRDefault="0065629B" w:rsidP="0065629B">
      <w:pPr>
        <w:spacing w:before="120"/>
        <w:ind w:left="720"/>
        <w:rPr>
          <w:sz w:val="24"/>
        </w:rPr>
      </w:pPr>
      <w:r w:rsidRPr="00291C5E">
        <w:rPr>
          <w:sz w:val="24"/>
        </w:rPr>
        <w:t>Sector Operations</w:t>
      </w:r>
    </w:p>
    <w:p w:rsidR="0065629B" w:rsidRPr="00291C5E" w:rsidRDefault="0065629B" w:rsidP="0065629B">
      <w:pPr>
        <w:spacing w:before="120"/>
        <w:ind w:left="720"/>
        <w:rPr>
          <w:sz w:val="24"/>
        </w:rPr>
      </w:pPr>
      <w:r w:rsidRPr="00291C5E">
        <w:rPr>
          <w:sz w:val="24"/>
        </w:rPr>
        <w:t>Ministry of Health</w:t>
      </w:r>
    </w:p>
    <w:p w:rsidR="0065629B" w:rsidRPr="00291C5E" w:rsidRDefault="0065629B" w:rsidP="0065629B">
      <w:pPr>
        <w:spacing w:before="120"/>
        <w:ind w:left="720"/>
        <w:rPr>
          <w:sz w:val="24"/>
        </w:rPr>
      </w:pPr>
      <w:r w:rsidRPr="00291C5E">
        <w:rPr>
          <w:sz w:val="24"/>
        </w:rPr>
        <w:t>Private Bag 1942</w:t>
      </w:r>
    </w:p>
    <w:p w:rsidR="0065629B" w:rsidRPr="00291C5E" w:rsidRDefault="0065629B" w:rsidP="0065629B">
      <w:pPr>
        <w:spacing w:before="120"/>
        <w:ind w:left="720"/>
        <w:rPr>
          <w:sz w:val="24"/>
        </w:rPr>
      </w:pPr>
      <w:r w:rsidRPr="00291C5E">
        <w:rPr>
          <w:sz w:val="24"/>
        </w:rPr>
        <w:t>Dunedin 9054</w:t>
      </w:r>
    </w:p>
    <w:p w:rsidR="0065629B" w:rsidRPr="00291C5E" w:rsidRDefault="0065629B" w:rsidP="0065629B">
      <w:pPr>
        <w:spacing w:before="120"/>
        <w:rPr>
          <w:rFonts w:cs="Arial"/>
          <w:sz w:val="24"/>
          <w:szCs w:val="24"/>
        </w:rPr>
      </w:pPr>
      <w:r w:rsidRPr="00291C5E">
        <w:rPr>
          <w:rFonts w:cs="Arial"/>
          <w:sz w:val="24"/>
          <w:szCs w:val="24"/>
        </w:rPr>
        <w:t xml:space="preserve">Email </w:t>
      </w:r>
      <w:hyperlink r:id="rId10" w:history="1">
        <w:r w:rsidRPr="00291C5E">
          <w:rPr>
            <w:rFonts w:cs="Arial"/>
            <w:color w:val="0000FF"/>
            <w:sz w:val="24"/>
            <w:szCs w:val="24"/>
            <w:u w:val="single"/>
          </w:rPr>
          <w:t>performance_reporting@moh.govt.nz</w:t>
        </w:r>
      </w:hyperlink>
    </w:p>
    <w:p w:rsidR="0065629B" w:rsidRPr="00291C5E" w:rsidRDefault="0065629B" w:rsidP="0065629B">
      <w:pPr>
        <w:spacing w:before="120"/>
        <w:rPr>
          <w:rFonts w:cs="Arial"/>
          <w:sz w:val="24"/>
          <w:szCs w:val="24"/>
          <w:lang w:val="en-NZ" w:eastAsia="en-US"/>
        </w:rPr>
      </w:pPr>
      <w:r w:rsidRPr="00291C5E">
        <w:rPr>
          <w:rFonts w:cs="Arial"/>
          <w:color w:val="000000"/>
          <w:sz w:val="24"/>
          <w:szCs w:val="24"/>
          <w:lang w:val="en-NZ" w:eastAsia="en-NZ"/>
        </w:rPr>
        <w:lastRenderedPageBreak/>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p w:rsidR="00692FC3" w:rsidRPr="000C4F55" w:rsidRDefault="00692FC3" w:rsidP="000E2F74">
      <w:pPr>
        <w:spacing w:after="120"/>
        <w:ind w:left="720"/>
        <w:rPr>
          <w:rFonts w:cs="Arial"/>
        </w:rPr>
      </w:pPr>
    </w:p>
    <w:sectPr w:rsidR="00692FC3" w:rsidRPr="000C4F55" w:rsidSect="00310C66">
      <w:headerReference w:type="even" r:id="rId11"/>
      <w:footerReference w:type="even" r:id="rId12"/>
      <w:footerReference w:type="default" r:id="rId13"/>
      <w:pgSz w:w="11906" w:h="16838" w:code="9"/>
      <w:pgMar w:top="1021" w:right="1021" w:bottom="1021" w:left="102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D9" w:rsidRDefault="00A805D9">
      <w:r>
        <w:separator/>
      </w:r>
    </w:p>
  </w:endnote>
  <w:endnote w:type="continuationSeparator" w:id="0">
    <w:p w:rsidR="00A805D9" w:rsidRDefault="00A8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66" w:rsidRDefault="00310C66"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C66" w:rsidRDefault="00310C66"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66" w:rsidRDefault="00310C66"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355">
      <w:rPr>
        <w:rStyle w:val="PageNumber"/>
        <w:noProof/>
      </w:rPr>
      <w:t>2</w:t>
    </w:r>
    <w:r>
      <w:rPr>
        <w:rStyle w:val="PageNumber"/>
      </w:rPr>
      <w:fldChar w:fldCharType="end"/>
    </w:r>
  </w:p>
  <w:p w:rsidR="00310C66" w:rsidRPr="00A82DC4" w:rsidRDefault="004D73C9" w:rsidP="005C14DB">
    <w:pPr>
      <w:pStyle w:val="Footer"/>
      <w:pBdr>
        <w:top w:val="single" w:sz="4" w:space="1" w:color="auto"/>
      </w:pBdr>
      <w:tabs>
        <w:tab w:val="center" w:pos="4536"/>
      </w:tabs>
      <w:ind w:right="360"/>
      <w:jc w:val="left"/>
      <w:rPr>
        <w:rFonts w:ascii="Arial" w:hAnsi="Arial" w:cs="Arial"/>
        <w:sz w:val="20"/>
      </w:rPr>
    </w:pPr>
    <w:r>
      <w:rPr>
        <w:rFonts w:ascii="Arial" w:hAnsi="Arial" w:cs="Arial"/>
        <w:sz w:val="20"/>
      </w:rPr>
      <w:t>Mental H</w:t>
    </w:r>
    <w:r w:rsidR="00C4797E">
      <w:rPr>
        <w:rFonts w:ascii="Arial" w:hAnsi="Arial" w:cs="Arial"/>
        <w:sz w:val="20"/>
      </w:rPr>
      <w:t xml:space="preserve">ealth and Addiction Services, Addiction Services- </w:t>
    </w:r>
    <w:r w:rsidR="00310C66">
      <w:rPr>
        <w:rFonts w:ascii="Arial" w:hAnsi="Arial" w:cs="Arial"/>
        <w:sz w:val="20"/>
      </w:rPr>
      <w:t>Managed Withdrawal Medical Inpatient Service, t</w:t>
    </w:r>
    <w:r w:rsidR="00310C66" w:rsidRPr="00A82DC4">
      <w:rPr>
        <w:rFonts w:ascii="Arial" w:hAnsi="Arial" w:cs="Arial"/>
        <w:sz w:val="20"/>
      </w:rPr>
      <w:t xml:space="preserve">ier </w:t>
    </w:r>
    <w:r w:rsidR="00310C66">
      <w:rPr>
        <w:rFonts w:ascii="Arial" w:hAnsi="Arial" w:cs="Arial"/>
        <w:sz w:val="20"/>
      </w:rPr>
      <w:t xml:space="preserve">three </w:t>
    </w:r>
    <w:r>
      <w:rPr>
        <w:rFonts w:ascii="Arial" w:hAnsi="Arial" w:cs="Arial"/>
        <w:sz w:val="20"/>
      </w:rPr>
      <w:t>service s</w:t>
    </w:r>
    <w:r w:rsidRPr="00A82DC4">
      <w:rPr>
        <w:rFonts w:ascii="Arial" w:hAnsi="Arial" w:cs="Arial"/>
        <w:sz w:val="20"/>
      </w:rPr>
      <w:t xml:space="preserve">pecification </w:t>
    </w:r>
    <w:r w:rsidR="0078235A">
      <w:rPr>
        <w:rFonts w:ascii="Arial" w:hAnsi="Arial" w:cs="Arial"/>
        <w:sz w:val="20"/>
      </w:rPr>
      <w:t>April 2017</w:t>
    </w:r>
  </w:p>
  <w:p w:rsidR="00310C66" w:rsidRDefault="00310C66" w:rsidP="00027868">
    <w:pPr>
      <w:pStyle w:val="Footer"/>
      <w:tabs>
        <w:tab w:val="center" w:pos="4536"/>
      </w:tabs>
      <w:jc w:val="left"/>
      <w:rPr>
        <w:rStyle w:val="PageNumber"/>
        <w:rFonts w:ascii="Arial" w:hAnsi="Arial"/>
        <w:sz w:val="20"/>
      </w:rPr>
    </w:pPr>
    <w:r w:rsidRPr="00A82DC4">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D9" w:rsidRDefault="00A805D9">
      <w:r>
        <w:separator/>
      </w:r>
    </w:p>
  </w:footnote>
  <w:footnote w:type="continuationSeparator" w:id="0">
    <w:p w:rsidR="00A805D9" w:rsidRDefault="00A805D9">
      <w:r>
        <w:continuationSeparator/>
      </w:r>
    </w:p>
  </w:footnote>
  <w:footnote w:id="1">
    <w:p w:rsidR="0065629B" w:rsidRPr="006F249C" w:rsidRDefault="0065629B" w:rsidP="0065629B">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66" w:rsidRDefault="009F23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58752;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4C531F3"/>
    <w:multiLevelType w:val="multilevel"/>
    <w:tmpl w:val="E80EF4F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DD58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D854B0"/>
    <w:multiLevelType w:val="singleLevel"/>
    <w:tmpl w:val="CF00BBEE"/>
    <w:lvl w:ilvl="0">
      <w:start w:val="1"/>
      <w:numFmt w:val="bullet"/>
      <w:lvlText w:val=""/>
      <w:lvlJc w:val="left"/>
      <w:pPr>
        <w:tabs>
          <w:tab w:val="num" w:pos="360"/>
        </w:tabs>
        <w:ind w:left="340" w:hanging="340"/>
      </w:pPr>
      <w:rPr>
        <w:rFonts w:ascii="Symbol" w:hAnsi="Symbol" w:hint="default"/>
      </w:rPr>
    </w:lvl>
  </w:abstractNum>
  <w:abstractNum w:abstractNumId="5">
    <w:nsid w:val="0A38473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6">
    <w:nsid w:val="0A440E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C816B71"/>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9">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7E72451"/>
    <w:multiLevelType w:val="hybridMultilevel"/>
    <w:tmpl w:val="E0A4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46031B"/>
    <w:multiLevelType w:val="hybridMultilevel"/>
    <w:tmpl w:val="FD0C6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18470A6"/>
    <w:multiLevelType w:val="multilevel"/>
    <w:tmpl w:val="E03CF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4754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B13295B"/>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6">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CB740F"/>
    <w:multiLevelType w:val="hybridMultilevel"/>
    <w:tmpl w:val="66EE43A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E67E47"/>
    <w:multiLevelType w:val="hybridMultilevel"/>
    <w:tmpl w:val="9CECA272"/>
    <w:lvl w:ilvl="0" w:tplc="C452F67C">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C17BC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2">
    <w:nsid w:val="3DD54F35"/>
    <w:multiLevelType w:val="hybridMultilevel"/>
    <w:tmpl w:val="C242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E4B7D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435C6355"/>
    <w:multiLevelType w:val="hybridMultilevel"/>
    <w:tmpl w:val="F79A65BE"/>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87A452F"/>
    <w:multiLevelType w:val="hybridMultilevel"/>
    <w:tmpl w:val="E16E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E7F1BA3"/>
    <w:multiLevelType w:val="singleLevel"/>
    <w:tmpl w:val="BA70F070"/>
    <w:lvl w:ilvl="0">
      <w:start w:val="1"/>
      <w:numFmt w:val="bullet"/>
      <w:lvlText w:val=""/>
      <w:lvlJc w:val="left"/>
      <w:pPr>
        <w:tabs>
          <w:tab w:val="num" w:pos="360"/>
        </w:tabs>
        <w:ind w:left="340" w:hanging="340"/>
      </w:pPr>
      <w:rPr>
        <w:rFonts w:ascii="Symbol" w:hAnsi="Symbol" w:hint="default"/>
      </w:rPr>
    </w:lvl>
  </w:abstractNum>
  <w:abstractNum w:abstractNumId="31">
    <w:nsid w:val="506613A0"/>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32">
    <w:nsid w:val="51F143E3"/>
    <w:multiLevelType w:val="hybridMultilevel"/>
    <w:tmpl w:val="E7D2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5101BE3"/>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34">
    <w:nsid w:val="6126349B"/>
    <w:multiLevelType w:val="hybridMultilevel"/>
    <w:tmpl w:val="C04E28D4"/>
    <w:lvl w:ilvl="0" w:tplc="08090001">
      <w:start w:val="1"/>
      <w:numFmt w:val="bullet"/>
      <w:lvlText w:val=""/>
      <w:lvlJc w:val="left"/>
      <w:pPr>
        <w:tabs>
          <w:tab w:val="num" w:pos="1108"/>
        </w:tabs>
        <w:ind w:left="1108" w:hanging="360"/>
      </w:pPr>
      <w:rPr>
        <w:rFonts w:ascii="Symbol" w:hAnsi="Symbol" w:hint="default"/>
      </w:rPr>
    </w:lvl>
    <w:lvl w:ilvl="1" w:tplc="08090003" w:tentative="1">
      <w:start w:val="1"/>
      <w:numFmt w:val="bullet"/>
      <w:lvlText w:val="o"/>
      <w:lvlJc w:val="left"/>
      <w:pPr>
        <w:tabs>
          <w:tab w:val="num" w:pos="1828"/>
        </w:tabs>
        <w:ind w:left="1828" w:hanging="360"/>
      </w:pPr>
      <w:rPr>
        <w:rFonts w:ascii="Courier New" w:hAnsi="Courier New" w:cs="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cs="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cs="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35">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022E37"/>
    <w:multiLevelType w:val="hybridMultilevel"/>
    <w:tmpl w:val="2A4C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2A66E1"/>
    <w:multiLevelType w:val="hybridMultilevel"/>
    <w:tmpl w:val="3DFEB83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4522DE5"/>
    <w:multiLevelType w:val="singleLevel"/>
    <w:tmpl w:val="675EFEF6"/>
    <w:lvl w:ilvl="0">
      <w:start w:val="1"/>
      <w:numFmt w:val="bullet"/>
      <w:lvlText w:val=""/>
      <w:lvlJc w:val="left"/>
      <w:pPr>
        <w:tabs>
          <w:tab w:val="num" w:pos="454"/>
        </w:tabs>
        <w:ind w:left="454" w:hanging="397"/>
      </w:pPr>
      <w:rPr>
        <w:rFonts w:ascii="Symbol" w:hAnsi="Symbol" w:hint="default"/>
      </w:rPr>
    </w:lvl>
  </w:abstractNum>
  <w:abstractNum w:abstractNumId="41">
    <w:nsid w:val="7A0B491F"/>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42">
    <w:nsid w:val="7A8F0F58"/>
    <w:multiLevelType w:val="singleLevel"/>
    <w:tmpl w:val="4E68734E"/>
    <w:lvl w:ilvl="0">
      <w:start w:val="1"/>
      <w:numFmt w:val="bullet"/>
      <w:lvlText w:val=""/>
      <w:lvlJc w:val="left"/>
      <w:pPr>
        <w:tabs>
          <w:tab w:val="num" w:pos="360"/>
        </w:tabs>
        <w:ind w:left="360" w:hanging="360"/>
      </w:pPr>
      <w:rPr>
        <w:rFonts w:ascii="Symbol" w:hAnsi="Symbol" w:hint="default"/>
      </w:rPr>
    </w:lvl>
  </w:abstractNum>
  <w:abstractNum w:abstractNumId="43">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4"/>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26"/>
  </w:num>
  <w:num w:numId="6">
    <w:abstractNumId w:val="38"/>
  </w:num>
  <w:num w:numId="7">
    <w:abstractNumId w:val="16"/>
  </w:num>
  <w:num w:numId="8">
    <w:abstractNumId w:val="35"/>
  </w:num>
  <w:num w:numId="9">
    <w:abstractNumId w:val="13"/>
  </w:num>
  <w:num w:numId="10">
    <w:abstractNumId w:val="39"/>
  </w:num>
  <w:num w:numId="11">
    <w:abstractNumId w:val="2"/>
  </w:num>
  <w:num w:numId="12">
    <w:abstractNumId w:val="7"/>
  </w:num>
  <w:num w:numId="13">
    <w:abstractNumId w:val="9"/>
  </w:num>
  <w:num w:numId="14">
    <w:abstractNumId w:val="28"/>
  </w:num>
  <w:num w:numId="15">
    <w:abstractNumId w:val="20"/>
  </w:num>
  <w:num w:numId="16">
    <w:abstractNumId w:val="29"/>
  </w:num>
  <w:num w:numId="17">
    <w:abstractNumId w:val="25"/>
  </w:num>
  <w:num w:numId="18">
    <w:abstractNumId w:val="12"/>
  </w:num>
  <w:num w:numId="19">
    <w:abstractNumId w:val="43"/>
  </w:num>
  <w:num w:numId="20">
    <w:abstractNumId w:val="32"/>
  </w:num>
  <w:num w:numId="21">
    <w:abstractNumId w:val="22"/>
  </w:num>
  <w:num w:numId="22">
    <w:abstractNumId w:val="17"/>
  </w:num>
  <w:num w:numId="23">
    <w:abstractNumId w:val="11"/>
  </w:num>
  <w:num w:numId="24">
    <w:abstractNumId w:val="34"/>
  </w:num>
  <w:num w:numId="25">
    <w:abstractNumId w:val="10"/>
  </w:num>
  <w:num w:numId="26">
    <w:abstractNumId w:val="37"/>
  </w:num>
  <w:num w:numId="27">
    <w:abstractNumId w:val="31"/>
  </w:num>
  <w:num w:numId="28">
    <w:abstractNumId w:val="8"/>
  </w:num>
  <w:num w:numId="29">
    <w:abstractNumId w:val="14"/>
  </w:num>
  <w:num w:numId="30">
    <w:abstractNumId w:val="15"/>
  </w:num>
  <w:num w:numId="31">
    <w:abstractNumId w:val="23"/>
  </w:num>
  <w:num w:numId="32">
    <w:abstractNumId w:val="6"/>
  </w:num>
  <w:num w:numId="33">
    <w:abstractNumId w:val="3"/>
  </w:num>
  <w:num w:numId="34">
    <w:abstractNumId w:val="42"/>
  </w:num>
  <w:num w:numId="35">
    <w:abstractNumId w:val="30"/>
  </w:num>
  <w:num w:numId="36">
    <w:abstractNumId w:val="4"/>
  </w:num>
  <w:num w:numId="37">
    <w:abstractNumId w:val="40"/>
  </w:num>
  <w:num w:numId="38">
    <w:abstractNumId w:val="21"/>
  </w:num>
  <w:num w:numId="39">
    <w:abstractNumId w:val="33"/>
  </w:num>
  <w:num w:numId="40">
    <w:abstractNumId w:val="41"/>
  </w:num>
  <w:num w:numId="41">
    <w:abstractNumId w:val="1"/>
  </w:num>
  <w:num w:numId="42">
    <w:abstractNumId w:val="36"/>
  </w:num>
  <w:num w:numId="43">
    <w:abstractNumId w:val="27"/>
  </w:num>
  <w:num w:numId="44">
    <w:abstractNumId w:val="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26CF"/>
    <w:rsid w:val="00017406"/>
    <w:rsid w:val="00025E87"/>
    <w:rsid w:val="00027868"/>
    <w:rsid w:val="00035ED2"/>
    <w:rsid w:val="0003638F"/>
    <w:rsid w:val="00037657"/>
    <w:rsid w:val="000376C3"/>
    <w:rsid w:val="00040AF3"/>
    <w:rsid w:val="00085665"/>
    <w:rsid w:val="0008725F"/>
    <w:rsid w:val="000A783C"/>
    <w:rsid w:val="000C26A6"/>
    <w:rsid w:val="000C31C3"/>
    <w:rsid w:val="000C4F55"/>
    <w:rsid w:val="000E2F74"/>
    <w:rsid w:val="000E4896"/>
    <w:rsid w:val="000E7172"/>
    <w:rsid w:val="00110B15"/>
    <w:rsid w:val="0011766E"/>
    <w:rsid w:val="00127DF5"/>
    <w:rsid w:val="001353D7"/>
    <w:rsid w:val="001361FC"/>
    <w:rsid w:val="00164B42"/>
    <w:rsid w:val="00184963"/>
    <w:rsid w:val="00193F46"/>
    <w:rsid w:val="001B40B1"/>
    <w:rsid w:val="001C6119"/>
    <w:rsid w:val="002344A8"/>
    <w:rsid w:val="00247D57"/>
    <w:rsid w:val="002713CE"/>
    <w:rsid w:val="0027581F"/>
    <w:rsid w:val="00295B15"/>
    <w:rsid w:val="002A77E6"/>
    <w:rsid w:val="002B50A8"/>
    <w:rsid w:val="00310C66"/>
    <w:rsid w:val="00310F73"/>
    <w:rsid w:val="00311BD7"/>
    <w:rsid w:val="003179C0"/>
    <w:rsid w:val="0032279C"/>
    <w:rsid w:val="00324D77"/>
    <w:rsid w:val="0033598D"/>
    <w:rsid w:val="00341580"/>
    <w:rsid w:val="003A2A27"/>
    <w:rsid w:val="003C0660"/>
    <w:rsid w:val="003C1A63"/>
    <w:rsid w:val="003F6F41"/>
    <w:rsid w:val="0041074F"/>
    <w:rsid w:val="004220D2"/>
    <w:rsid w:val="00433E7F"/>
    <w:rsid w:val="004366C6"/>
    <w:rsid w:val="004852B1"/>
    <w:rsid w:val="004A16CE"/>
    <w:rsid w:val="004C325E"/>
    <w:rsid w:val="004D73C9"/>
    <w:rsid w:val="004E7416"/>
    <w:rsid w:val="00521499"/>
    <w:rsid w:val="00533C1F"/>
    <w:rsid w:val="00541B25"/>
    <w:rsid w:val="00570A49"/>
    <w:rsid w:val="00590827"/>
    <w:rsid w:val="00594F9B"/>
    <w:rsid w:val="00597990"/>
    <w:rsid w:val="005B4A5C"/>
    <w:rsid w:val="005C14DB"/>
    <w:rsid w:val="005E28BC"/>
    <w:rsid w:val="005F0083"/>
    <w:rsid w:val="005F2CE8"/>
    <w:rsid w:val="0060781E"/>
    <w:rsid w:val="0065037E"/>
    <w:rsid w:val="0065629B"/>
    <w:rsid w:val="00665AA2"/>
    <w:rsid w:val="00692FC3"/>
    <w:rsid w:val="006A3C4D"/>
    <w:rsid w:val="006A5186"/>
    <w:rsid w:val="006A5CFD"/>
    <w:rsid w:val="006A787F"/>
    <w:rsid w:val="006E7E96"/>
    <w:rsid w:val="007151C1"/>
    <w:rsid w:val="00722043"/>
    <w:rsid w:val="007364E3"/>
    <w:rsid w:val="007801E0"/>
    <w:rsid w:val="0078235A"/>
    <w:rsid w:val="00784AC6"/>
    <w:rsid w:val="007A0A80"/>
    <w:rsid w:val="007C6E5B"/>
    <w:rsid w:val="008023F4"/>
    <w:rsid w:val="00816BC3"/>
    <w:rsid w:val="0083463D"/>
    <w:rsid w:val="0089029A"/>
    <w:rsid w:val="00893560"/>
    <w:rsid w:val="008D6EFF"/>
    <w:rsid w:val="008E46FD"/>
    <w:rsid w:val="008E715B"/>
    <w:rsid w:val="008F7F8A"/>
    <w:rsid w:val="00934047"/>
    <w:rsid w:val="009403F7"/>
    <w:rsid w:val="009863BF"/>
    <w:rsid w:val="009A5F0B"/>
    <w:rsid w:val="009B046A"/>
    <w:rsid w:val="009B2BBA"/>
    <w:rsid w:val="009C5CF4"/>
    <w:rsid w:val="009E4ADD"/>
    <w:rsid w:val="009F2355"/>
    <w:rsid w:val="009F2AD4"/>
    <w:rsid w:val="00A02306"/>
    <w:rsid w:val="00A16361"/>
    <w:rsid w:val="00A3633F"/>
    <w:rsid w:val="00A36ED6"/>
    <w:rsid w:val="00A805D9"/>
    <w:rsid w:val="00A82DC4"/>
    <w:rsid w:val="00AA0B0D"/>
    <w:rsid w:val="00AB2784"/>
    <w:rsid w:val="00AC1358"/>
    <w:rsid w:val="00AE23BD"/>
    <w:rsid w:val="00AE504E"/>
    <w:rsid w:val="00B06719"/>
    <w:rsid w:val="00B220F6"/>
    <w:rsid w:val="00B52E67"/>
    <w:rsid w:val="00B7703B"/>
    <w:rsid w:val="00B8429C"/>
    <w:rsid w:val="00B9624E"/>
    <w:rsid w:val="00BA0327"/>
    <w:rsid w:val="00BB39FF"/>
    <w:rsid w:val="00BD5A00"/>
    <w:rsid w:val="00BE330D"/>
    <w:rsid w:val="00BF6D55"/>
    <w:rsid w:val="00C1022F"/>
    <w:rsid w:val="00C1033A"/>
    <w:rsid w:val="00C217C5"/>
    <w:rsid w:val="00C4797E"/>
    <w:rsid w:val="00C57691"/>
    <w:rsid w:val="00C73DC6"/>
    <w:rsid w:val="00C75947"/>
    <w:rsid w:val="00D06B3C"/>
    <w:rsid w:val="00D2041C"/>
    <w:rsid w:val="00D2418D"/>
    <w:rsid w:val="00D44922"/>
    <w:rsid w:val="00D4756C"/>
    <w:rsid w:val="00D505CF"/>
    <w:rsid w:val="00D62D40"/>
    <w:rsid w:val="00D66123"/>
    <w:rsid w:val="00D719C6"/>
    <w:rsid w:val="00DA7C54"/>
    <w:rsid w:val="00DB0811"/>
    <w:rsid w:val="00DD7388"/>
    <w:rsid w:val="00DE4858"/>
    <w:rsid w:val="00DF1391"/>
    <w:rsid w:val="00DF3430"/>
    <w:rsid w:val="00E02283"/>
    <w:rsid w:val="00E1758F"/>
    <w:rsid w:val="00E17DA7"/>
    <w:rsid w:val="00E37C31"/>
    <w:rsid w:val="00E728B0"/>
    <w:rsid w:val="00E83DEE"/>
    <w:rsid w:val="00E90E91"/>
    <w:rsid w:val="00ED0972"/>
    <w:rsid w:val="00EF5F65"/>
    <w:rsid w:val="00EF74BC"/>
    <w:rsid w:val="00F04985"/>
    <w:rsid w:val="00F11A84"/>
    <w:rsid w:val="00F62149"/>
    <w:rsid w:val="00F87AE0"/>
    <w:rsid w:val="00F9135B"/>
    <w:rsid w:val="00F95342"/>
    <w:rsid w:val="00FB22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22D9D9D-7988-4B5B-9716-D1C6AF2B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customStyle="1" w:styleId="Style">
    <w:name w:val="Style"/>
    <w:basedOn w:val="Normal"/>
    <w:next w:val="Normal"/>
    <w:semiHidden/>
    <w:rsid w:val="00B8429C"/>
    <w:pPr>
      <w:spacing w:after="160" w:line="240" w:lineRule="exact"/>
    </w:pPr>
    <w:rPr>
      <w:rFonts w:cs="Verdana"/>
      <w:sz w:val="24"/>
      <w:szCs w:val="24"/>
      <w:lang w:val="en-NZ" w:eastAsia="en-US"/>
    </w:rPr>
  </w:style>
  <w:style w:type="paragraph" w:styleId="BodyText">
    <w:name w:val="Body Text"/>
    <w:basedOn w:val="Normal"/>
    <w:rsid w:val="00816BC3"/>
    <w:pPr>
      <w:spacing w:after="120"/>
    </w:pPr>
    <w:rPr>
      <w:sz w:val="24"/>
    </w:rPr>
  </w:style>
  <w:style w:type="paragraph" w:styleId="BodyText3">
    <w:name w:val="Body Text 3"/>
    <w:basedOn w:val="Normal"/>
    <w:rsid w:val="00816BC3"/>
    <w:pPr>
      <w:spacing w:after="120"/>
    </w:pPr>
    <w:rPr>
      <w:sz w:val="16"/>
      <w:szCs w:val="16"/>
    </w:rPr>
  </w:style>
  <w:style w:type="paragraph" w:styleId="BalloonText">
    <w:name w:val="Balloon Text"/>
    <w:basedOn w:val="Normal"/>
    <w:semiHidden/>
    <w:rsid w:val="001353D7"/>
    <w:rPr>
      <w:rFonts w:ascii="Tahoma" w:hAnsi="Tahoma" w:cs="Tahoma"/>
      <w:sz w:val="16"/>
      <w:szCs w:val="16"/>
    </w:rPr>
  </w:style>
  <w:style w:type="character" w:styleId="CommentReference">
    <w:name w:val="annotation reference"/>
    <w:semiHidden/>
    <w:rsid w:val="0027581F"/>
    <w:rPr>
      <w:sz w:val="16"/>
      <w:szCs w:val="16"/>
    </w:rPr>
  </w:style>
  <w:style w:type="paragraph" w:styleId="CommentText">
    <w:name w:val="annotation text"/>
    <w:basedOn w:val="Normal"/>
    <w:semiHidden/>
    <w:rsid w:val="0027581F"/>
    <w:rPr>
      <w:sz w:val="20"/>
    </w:rPr>
  </w:style>
  <w:style w:type="paragraph" w:styleId="CommentSubject">
    <w:name w:val="annotation subject"/>
    <w:basedOn w:val="CommentText"/>
    <w:next w:val="CommentText"/>
    <w:semiHidden/>
    <w:rsid w:val="0027581F"/>
    <w:rPr>
      <w:b/>
      <w:bCs/>
    </w:rPr>
  </w:style>
  <w:style w:type="paragraph" w:customStyle="1" w:styleId="CharChar">
    <w:name w:val="Char Char"/>
    <w:basedOn w:val="Normal"/>
    <w:rsid w:val="0003638F"/>
    <w:pPr>
      <w:spacing w:after="160" w:line="240" w:lineRule="exact"/>
    </w:pPr>
    <w:rPr>
      <w:sz w:val="20"/>
      <w:lang w:val="en-US" w:eastAsia="en-US"/>
    </w:rPr>
  </w:style>
  <w:style w:type="character" w:styleId="Hyperlink">
    <w:name w:val="Hyperlink"/>
    <w:basedOn w:val="DefaultParagraphFont"/>
    <w:uiPriority w:val="99"/>
    <w:unhideWhenUsed/>
    <w:rsid w:val="001C6119"/>
    <w:rPr>
      <w:color w:val="0000FF" w:themeColor="hyperlink"/>
      <w:u w:val="single"/>
    </w:rPr>
  </w:style>
  <w:style w:type="paragraph" w:styleId="FootnoteText">
    <w:name w:val="footnote text"/>
    <w:basedOn w:val="Normal"/>
    <w:link w:val="FootnoteTextChar"/>
    <w:uiPriority w:val="99"/>
    <w:rsid w:val="001C6119"/>
    <w:rPr>
      <w:sz w:val="20"/>
    </w:rPr>
  </w:style>
  <w:style w:type="character" w:customStyle="1" w:styleId="FootnoteTextChar">
    <w:name w:val="Footnote Text Char"/>
    <w:basedOn w:val="DefaultParagraphFont"/>
    <w:link w:val="FootnoteText"/>
    <w:uiPriority w:val="99"/>
    <w:rsid w:val="001C6119"/>
    <w:rPr>
      <w:rFonts w:ascii="Arial" w:hAnsi="Arial"/>
      <w:lang w:val="en-GB" w:eastAsia="en-GB"/>
    </w:rPr>
  </w:style>
  <w:style w:type="character" w:styleId="FootnoteReference">
    <w:name w:val="footnote reference"/>
    <w:uiPriority w:val="99"/>
    <w:rsid w:val="001C6119"/>
    <w:rPr>
      <w:vertAlign w:val="superscript"/>
    </w:rPr>
  </w:style>
  <w:style w:type="paragraph" w:styleId="Revision">
    <w:name w:val="Revision"/>
    <w:hidden/>
    <w:uiPriority w:val="99"/>
    <w:semiHidden/>
    <w:rsid w:val="009E4ADD"/>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69319">
      <w:bodyDiv w:val="1"/>
      <w:marLeft w:val="0"/>
      <w:marRight w:val="0"/>
      <w:marTop w:val="0"/>
      <w:marBottom w:val="0"/>
      <w:divBdr>
        <w:top w:val="none" w:sz="0" w:space="0" w:color="auto"/>
        <w:left w:val="none" w:sz="0" w:space="0" w:color="auto"/>
        <w:bottom w:val="none" w:sz="0" w:space="0" w:color="auto"/>
        <w:right w:val="none" w:sz="0" w:space="0" w:color="auto"/>
      </w:divBdr>
    </w:div>
    <w:div w:id="11953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D0F0-37DC-4EDE-9B4C-41979C38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1C8B1549</Template>
  <TotalTime>0</TotalTime>
  <Pages>4</Pages>
  <Words>799</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2009-07-19T22:54:00Z</cp:lastPrinted>
  <dcterms:created xsi:type="dcterms:W3CDTF">2017-08-02T03:27:00Z</dcterms:created>
  <dcterms:modified xsi:type="dcterms:W3CDTF">2017-08-02T03:27:00Z</dcterms:modified>
</cp:coreProperties>
</file>