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W w:w="9747" w:type="dxa"/>
        <w:tblLayout w:type="fixed"/>
        <w:tblLook w:val="0000" w:firstRow="0" w:lastRow="0" w:firstColumn="0" w:lastColumn="0" w:noHBand="0" w:noVBand="0"/>
      </w:tblPr>
      <w:tblGrid>
        <w:gridCol w:w="4428"/>
        <w:gridCol w:w="2626"/>
        <w:gridCol w:w="2693"/>
      </w:tblGrid>
      <w:tr w:rsidR="00027868" w:rsidRPr="000B512F" w:rsidTr="0061047E">
        <w:trPr>
          <w:cantSplit/>
        </w:trPr>
        <w:tc>
          <w:tcPr>
            <w:tcW w:w="4428" w:type="dxa"/>
            <w:vAlign w:val="center"/>
          </w:tcPr>
          <w:p w:rsidR="00027868" w:rsidRPr="00476824" w:rsidRDefault="00E747CF" w:rsidP="00027868">
            <w:pPr>
              <w:rPr>
                <w:rFonts w:cs="Arial"/>
                <w:bCs/>
                <w:sz w:val="34"/>
                <w:szCs w:val="34"/>
                <w:lang w:val="en-NZ"/>
              </w:rPr>
            </w:pPr>
            <w:r w:rsidRPr="00476824">
              <w:rPr>
                <w:rFonts w:cs="Arial"/>
                <w:noProof/>
                <w:sz w:val="23"/>
                <w:szCs w:val="23"/>
                <w:lang w:val="en-NZ" w:eastAsia="en-NZ"/>
              </w:rPr>
              <w:drawing>
                <wp:inline distT="0" distB="0" distL="0" distR="0" wp14:anchorId="09839E14" wp14:editId="19541838">
                  <wp:extent cx="2051050" cy="8229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1050" cy="822960"/>
                          </a:xfrm>
                          <a:prstGeom prst="rect">
                            <a:avLst/>
                          </a:prstGeom>
                          <a:noFill/>
                          <a:ln>
                            <a:noFill/>
                          </a:ln>
                        </pic:spPr>
                      </pic:pic>
                    </a:graphicData>
                  </a:graphic>
                </wp:inline>
              </w:drawing>
            </w:r>
          </w:p>
        </w:tc>
        <w:tc>
          <w:tcPr>
            <w:tcW w:w="5319" w:type="dxa"/>
            <w:gridSpan w:val="2"/>
            <w:vAlign w:val="center"/>
          </w:tcPr>
          <w:p w:rsidR="00027868" w:rsidRPr="000B512F" w:rsidRDefault="00EA600F" w:rsidP="00EA600F">
            <w:pPr>
              <w:jc w:val="right"/>
              <w:rPr>
                <w:rFonts w:cs="Arial"/>
                <w:b/>
                <w:bCs/>
                <w:sz w:val="32"/>
                <w:szCs w:val="32"/>
                <w:lang w:val="en-NZ"/>
              </w:rPr>
            </w:pPr>
            <w:r w:rsidRPr="000B512F">
              <w:rPr>
                <w:rFonts w:cs="Arial"/>
                <w:b/>
                <w:sz w:val="32"/>
                <w:szCs w:val="32"/>
                <w:lang w:val="en-NZ"/>
              </w:rPr>
              <w:t>All</w:t>
            </w:r>
            <w:r w:rsidR="005B4F6D" w:rsidRPr="000B512F">
              <w:rPr>
                <w:rFonts w:cs="Arial"/>
                <w:b/>
                <w:sz w:val="32"/>
                <w:szCs w:val="32"/>
                <w:lang w:val="en-NZ"/>
              </w:rPr>
              <w:t xml:space="preserve"> District</w:t>
            </w:r>
            <w:r w:rsidRPr="000B512F">
              <w:rPr>
                <w:rFonts w:cs="Arial"/>
                <w:b/>
                <w:sz w:val="32"/>
                <w:szCs w:val="32"/>
                <w:lang w:val="en-NZ"/>
              </w:rPr>
              <w:t xml:space="preserve"> </w:t>
            </w:r>
            <w:r w:rsidR="005B4F6D" w:rsidRPr="000B512F">
              <w:rPr>
                <w:rFonts w:cs="Arial"/>
                <w:b/>
                <w:sz w:val="32"/>
                <w:szCs w:val="32"/>
                <w:lang w:val="en-NZ"/>
              </w:rPr>
              <w:t>Health Boards</w:t>
            </w:r>
          </w:p>
        </w:tc>
      </w:tr>
      <w:tr w:rsidR="00027868" w:rsidRPr="00476824" w:rsidTr="0061047E">
        <w:trPr>
          <w:trHeight w:val="3943"/>
        </w:trPr>
        <w:tc>
          <w:tcPr>
            <w:tcW w:w="9747" w:type="dxa"/>
            <w:gridSpan w:val="3"/>
            <w:tcBorders>
              <w:bottom w:val="single" w:sz="4" w:space="0" w:color="auto"/>
            </w:tcBorders>
          </w:tcPr>
          <w:p w:rsidR="00A653F4" w:rsidRPr="00476824" w:rsidRDefault="000D18A4" w:rsidP="0061047E">
            <w:pPr>
              <w:spacing w:before="1560" w:after="120"/>
              <w:jc w:val="center"/>
              <w:rPr>
                <w:rFonts w:cs="Arial"/>
                <w:b/>
                <w:bCs/>
                <w:sz w:val="36"/>
                <w:szCs w:val="36"/>
                <w:lang w:val="en-NZ"/>
              </w:rPr>
            </w:pPr>
            <w:bookmarkStart w:id="0" w:name="_Toc206389497"/>
            <w:bookmarkStart w:id="1" w:name="_Toc206401873"/>
            <w:bookmarkStart w:id="2" w:name="_Toc206403842"/>
            <w:bookmarkStart w:id="3" w:name="_Toc206404570"/>
            <w:bookmarkStart w:id="4" w:name="_Toc206405300"/>
            <w:bookmarkStart w:id="5" w:name="_Toc206405336"/>
            <w:bookmarkStart w:id="6" w:name="_Toc206406063"/>
            <w:bookmarkStart w:id="7" w:name="_Toc206406491"/>
            <w:bookmarkStart w:id="8" w:name="_Toc215319102"/>
            <w:r w:rsidRPr="00476824">
              <w:rPr>
                <w:rFonts w:cs="Arial"/>
                <w:b/>
                <w:bCs/>
                <w:sz w:val="36"/>
                <w:szCs w:val="36"/>
                <w:lang w:val="en-NZ"/>
              </w:rPr>
              <w:t>MENTAL HEATH AND ADDICTION SERVICES -</w:t>
            </w:r>
          </w:p>
          <w:p w:rsidR="00027868" w:rsidRPr="00476824" w:rsidRDefault="00ED0972" w:rsidP="00027868">
            <w:pPr>
              <w:spacing w:before="120" w:after="120"/>
              <w:jc w:val="center"/>
              <w:rPr>
                <w:rFonts w:cs="Arial"/>
                <w:b/>
                <w:sz w:val="36"/>
                <w:szCs w:val="36"/>
              </w:rPr>
            </w:pPr>
            <w:bookmarkStart w:id="9" w:name="_GoBack"/>
            <w:bookmarkEnd w:id="9"/>
            <w:r w:rsidRPr="00476824">
              <w:rPr>
                <w:rFonts w:cs="Arial"/>
                <w:b/>
                <w:bCs/>
                <w:sz w:val="36"/>
                <w:szCs w:val="36"/>
                <w:lang w:val="en-NZ"/>
              </w:rPr>
              <w:t>ADDICTION</w:t>
            </w:r>
            <w:r w:rsidR="00FB711B" w:rsidRPr="00476824">
              <w:rPr>
                <w:rFonts w:cs="Arial"/>
                <w:b/>
                <w:bCs/>
                <w:sz w:val="36"/>
                <w:szCs w:val="36"/>
                <w:lang w:val="en-NZ"/>
              </w:rPr>
              <w:t xml:space="preserve"> SERVICES</w:t>
            </w:r>
          </w:p>
          <w:bookmarkEnd w:id="0"/>
          <w:bookmarkEnd w:id="1"/>
          <w:bookmarkEnd w:id="2"/>
          <w:bookmarkEnd w:id="3"/>
          <w:bookmarkEnd w:id="4"/>
          <w:bookmarkEnd w:id="5"/>
          <w:bookmarkEnd w:id="6"/>
          <w:bookmarkEnd w:id="7"/>
          <w:bookmarkEnd w:id="8"/>
          <w:p w:rsidR="00027868" w:rsidRPr="00476824" w:rsidRDefault="00027868" w:rsidP="00027868">
            <w:pPr>
              <w:spacing w:after="120"/>
              <w:jc w:val="center"/>
              <w:rPr>
                <w:rFonts w:cs="Arial"/>
                <w:b/>
                <w:sz w:val="36"/>
                <w:szCs w:val="36"/>
              </w:rPr>
            </w:pPr>
            <w:r w:rsidRPr="00476824">
              <w:rPr>
                <w:rFonts w:cs="Arial"/>
                <w:b/>
                <w:sz w:val="36"/>
                <w:szCs w:val="36"/>
              </w:rPr>
              <w:t>TIER TWO</w:t>
            </w:r>
          </w:p>
          <w:p w:rsidR="00027868" w:rsidRPr="00476824" w:rsidRDefault="00027868" w:rsidP="0061047E">
            <w:pPr>
              <w:spacing w:before="120" w:after="360"/>
              <w:jc w:val="center"/>
              <w:rPr>
                <w:rFonts w:cs="Arial"/>
                <w:b/>
                <w:sz w:val="36"/>
                <w:szCs w:val="36"/>
              </w:rPr>
            </w:pPr>
            <w:bookmarkStart w:id="10" w:name="_Toc206406492"/>
            <w:bookmarkStart w:id="11" w:name="_Toc215319103"/>
            <w:r w:rsidRPr="00476824">
              <w:rPr>
                <w:rFonts w:cs="Arial"/>
                <w:b/>
                <w:sz w:val="36"/>
                <w:szCs w:val="36"/>
              </w:rPr>
              <w:t>SERVICE SPECIFICATION</w:t>
            </w:r>
            <w:bookmarkEnd w:id="10"/>
            <w:bookmarkEnd w:id="11"/>
          </w:p>
          <w:p w:rsidR="00A653F4" w:rsidRPr="009B5893" w:rsidRDefault="00A653F4" w:rsidP="00027868">
            <w:pPr>
              <w:spacing w:before="120" w:after="120"/>
              <w:jc w:val="center"/>
              <w:rPr>
                <w:rFonts w:cs="Arial"/>
              </w:rPr>
            </w:pPr>
          </w:p>
        </w:tc>
      </w:tr>
      <w:tr w:rsidR="00027868" w:rsidRPr="00476824" w:rsidTr="0061047E">
        <w:trPr>
          <w:trHeight w:val="1609"/>
        </w:trPr>
        <w:tc>
          <w:tcPr>
            <w:tcW w:w="7054" w:type="dxa"/>
            <w:gridSpan w:val="2"/>
            <w:tcBorders>
              <w:top w:val="single" w:sz="4" w:space="0" w:color="auto"/>
              <w:left w:val="single" w:sz="4" w:space="0" w:color="auto"/>
              <w:bottom w:val="single" w:sz="4" w:space="0" w:color="auto"/>
              <w:right w:val="single" w:sz="4" w:space="0" w:color="auto"/>
            </w:tcBorders>
          </w:tcPr>
          <w:p w:rsidR="00027868" w:rsidRPr="009B5893" w:rsidRDefault="00027868" w:rsidP="00027868">
            <w:pPr>
              <w:pStyle w:val="Heading1"/>
              <w:spacing w:before="120" w:after="240"/>
              <w:ind w:left="360"/>
              <w:rPr>
                <w:rFonts w:cs="Arial"/>
                <w:caps/>
                <w:sz w:val="36"/>
                <w:szCs w:val="36"/>
              </w:rPr>
            </w:pPr>
            <w:bookmarkStart w:id="12" w:name="_Toc206389498"/>
            <w:bookmarkStart w:id="13" w:name="_Toc206401874"/>
            <w:bookmarkStart w:id="14" w:name="_Toc206403843"/>
            <w:bookmarkStart w:id="15" w:name="_Toc206404571"/>
            <w:bookmarkStart w:id="16" w:name="_Toc206405301"/>
            <w:bookmarkStart w:id="17" w:name="_Toc206405337"/>
            <w:bookmarkStart w:id="18" w:name="_Toc206406064"/>
            <w:bookmarkStart w:id="19" w:name="_Toc215319104"/>
            <w:r w:rsidRPr="009B5893">
              <w:rPr>
                <w:rFonts w:cs="Arial"/>
                <w:caps/>
                <w:sz w:val="36"/>
                <w:szCs w:val="36"/>
              </w:rPr>
              <w:t>STatus:</w:t>
            </w:r>
          </w:p>
          <w:p w:rsidR="00027868" w:rsidRPr="009B5893" w:rsidRDefault="00EA600F" w:rsidP="0061047E">
            <w:pPr>
              <w:spacing w:before="120" w:after="120"/>
              <w:ind w:left="360"/>
              <w:rPr>
                <w:rFonts w:cs="Arial"/>
                <w:sz w:val="36"/>
                <w:szCs w:val="36"/>
              </w:rPr>
            </w:pPr>
            <w:r w:rsidRPr="009B5893">
              <w:rPr>
                <w:rFonts w:cs="Arial"/>
                <w:sz w:val="32"/>
                <w:szCs w:val="32"/>
                <w:lang w:val="en-NZ" w:eastAsia="en-NZ"/>
              </w:rPr>
              <w:t>It is compulsory to use this nationwide service specification when purchasing this service.</w:t>
            </w:r>
            <w:bookmarkEnd w:id="12"/>
            <w:bookmarkEnd w:id="13"/>
            <w:bookmarkEnd w:id="14"/>
            <w:bookmarkEnd w:id="15"/>
            <w:bookmarkEnd w:id="16"/>
            <w:bookmarkEnd w:id="17"/>
            <w:bookmarkEnd w:id="18"/>
            <w:bookmarkEnd w:id="19"/>
          </w:p>
        </w:tc>
        <w:tc>
          <w:tcPr>
            <w:tcW w:w="2693" w:type="dxa"/>
            <w:tcBorders>
              <w:top w:val="single" w:sz="4" w:space="0" w:color="auto"/>
              <w:left w:val="single" w:sz="4" w:space="0" w:color="auto"/>
              <w:bottom w:val="single" w:sz="4" w:space="0" w:color="auto"/>
              <w:right w:val="single" w:sz="4" w:space="0" w:color="auto"/>
            </w:tcBorders>
          </w:tcPr>
          <w:p w:rsidR="00027868" w:rsidRPr="009B5893" w:rsidRDefault="00EA600F" w:rsidP="00027868">
            <w:pPr>
              <w:pStyle w:val="Heading1"/>
              <w:spacing w:before="120" w:after="240"/>
              <w:ind w:left="34"/>
              <w:jc w:val="left"/>
              <w:rPr>
                <w:rFonts w:cs="Arial"/>
                <w:caps/>
                <w:sz w:val="36"/>
                <w:szCs w:val="36"/>
              </w:rPr>
            </w:pPr>
            <w:bookmarkStart w:id="20" w:name="_Toc206389499"/>
            <w:bookmarkStart w:id="21" w:name="_Toc215319108"/>
            <w:r w:rsidRPr="009B5893">
              <w:rPr>
                <w:rFonts w:cs="Arial"/>
                <w:caps/>
                <w:sz w:val="36"/>
                <w:szCs w:val="36"/>
              </w:rPr>
              <w:t xml:space="preserve">MANDATORY </w:t>
            </w:r>
          </w:p>
          <w:bookmarkEnd w:id="20"/>
          <w:bookmarkEnd w:id="21"/>
          <w:p w:rsidR="00027868" w:rsidRPr="009B5893" w:rsidRDefault="00027868" w:rsidP="00027868">
            <w:pPr>
              <w:spacing w:before="120" w:after="120"/>
              <w:rPr>
                <w:rFonts w:cs="Arial"/>
                <w:sz w:val="36"/>
                <w:szCs w:val="36"/>
              </w:rPr>
            </w:pPr>
          </w:p>
        </w:tc>
      </w:tr>
      <w:tr w:rsidR="00027868" w:rsidRPr="00476824" w:rsidTr="0061047E">
        <w:trPr>
          <w:trHeight w:val="297"/>
        </w:trPr>
        <w:tc>
          <w:tcPr>
            <w:tcW w:w="7054" w:type="dxa"/>
            <w:gridSpan w:val="2"/>
            <w:tcBorders>
              <w:top w:val="single" w:sz="4" w:space="0" w:color="auto"/>
              <w:left w:val="single" w:sz="4" w:space="0" w:color="auto"/>
              <w:bottom w:val="single" w:sz="4" w:space="0" w:color="auto"/>
              <w:right w:val="single" w:sz="4" w:space="0" w:color="auto"/>
            </w:tcBorders>
            <w:shd w:val="clear" w:color="auto" w:fill="CCCCCC"/>
          </w:tcPr>
          <w:p w:rsidR="00027868" w:rsidRPr="00476824" w:rsidRDefault="00027868" w:rsidP="00027868">
            <w:pPr>
              <w:spacing w:before="120" w:after="120"/>
              <w:rPr>
                <w:rFonts w:cs="Arial"/>
                <w:b/>
                <w:sz w:val="32"/>
                <w:szCs w:val="32"/>
              </w:rPr>
            </w:pPr>
            <w:bookmarkStart w:id="22" w:name="_Toc206389500"/>
            <w:bookmarkStart w:id="23" w:name="_Toc206401875"/>
            <w:bookmarkStart w:id="24" w:name="_Toc206403844"/>
            <w:bookmarkStart w:id="25" w:name="_Toc206404572"/>
            <w:bookmarkStart w:id="26" w:name="_Toc206405302"/>
            <w:bookmarkStart w:id="27" w:name="_Toc206405338"/>
            <w:bookmarkStart w:id="28" w:name="_Toc206406065"/>
            <w:bookmarkStart w:id="29" w:name="_Toc215319110"/>
            <w:r w:rsidRPr="00476824">
              <w:rPr>
                <w:rFonts w:cs="Arial"/>
                <w:b/>
                <w:sz w:val="32"/>
                <w:szCs w:val="32"/>
              </w:rPr>
              <w:t>Review History</w:t>
            </w:r>
            <w:bookmarkEnd w:id="22"/>
            <w:bookmarkEnd w:id="23"/>
            <w:bookmarkEnd w:id="24"/>
            <w:bookmarkEnd w:id="25"/>
            <w:bookmarkEnd w:id="26"/>
            <w:bookmarkEnd w:id="27"/>
            <w:bookmarkEnd w:id="28"/>
            <w:bookmarkEnd w:id="29"/>
          </w:p>
        </w:tc>
        <w:tc>
          <w:tcPr>
            <w:tcW w:w="2693" w:type="dxa"/>
            <w:tcBorders>
              <w:top w:val="single" w:sz="4" w:space="0" w:color="auto"/>
              <w:left w:val="single" w:sz="4" w:space="0" w:color="auto"/>
              <w:bottom w:val="single" w:sz="4" w:space="0" w:color="auto"/>
              <w:right w:val="single" w:sz="4" w:space="0" w:color="auto"/>
            </w:tcBorders>
            <w:shd w:val="clear" w:color="auto" w:fill="CCCCCC"/>
          </w:tcPr>
          <w:p w:rsidR="00027868" w:rsidRPr="00476824" w:rsidRDefault="00027868" w:rsidP="00027868">
            <w:pPr>
              <w:spacing w:before="120" w:after="120"/>
              <w:rPr>
                <w:rFonts w:cs="Arial"/>
                <w:b/>
                <w:sz w:val="32"/>
                <w:szCs w:val="32"/>
              </w:rPr>
            </w:pPr>
            <w:bookmarkStart w:id="30" w:name="_Toc206389501"/>
            <w:bookmarkStart w:id="31" w:name="_Toc206401876"/>
            <w:bookmarkStart w:id="32" w:name="_Toc206403845"/>
            <w:bookmarkStart w:id="33" w:name="_Toc206404573"/>
            <w:bookmarkStart w:id="34" w:name="_Toc206405303"/>
            <w:bookmarkStart w:id="35" w:name="_Toc206405339"/>
            <w:bookmarkStart w:id="36" w:name="_Toc206406066"/>
            <w:bookmarkStart w:id="37" w:name="_Toc206406493"/>
            <w:bookmarkStart w:id="38" w:name="_Toc215319111"/>
            <w:r w:rsidRPr="00476824">
              <w:rPr>
                <w:rFonts w:cs="Arial"/>
                <w:b/>
                <w:sz w:val="32"/>
                <w:szCs w:val="32"/>
              </w:rPr>
              <w:t>Date</w:t>
            </w:r>
            <w:bookmarkEnd w:id="30"/>
            <w:bookmarkEnd w:id="31"/>
            <w:bookmarkEnd w:id="32"/>
            <w:bookmarkEnd w:id="33"/>
            <w:bookmarkEnd w:id="34"/>
            <w:bookmarkEnd w:id="35"/>
            <w:bookmarkEnd w:id="36"/>
            <w:bookmarkEnd w:id="37"/>
            <w:bookmarkEnd w:id="38"/>
          </w:p>
        </w:tc>
      </w:tr>
      <w:tr w:rsidR="00027868" w:rsidRPr="00476824" w:rsidTr="0061047E">
        <w:tc>
          <w:tcPr>
            <w:tcW w:w="7054" w:type="dxa"/>
            <w:gridSpan w:val="2"/>
            <w:tcBorders>
              <w:top w:val="single" w:sz="4" w:space="0" w:color="auto"/>
              <w:left w:val="single" w:sz="4" w:space="0" w:color="auto"/>
              <w:bottom w:val="single" w:sz="6" w:space="0" w:color="auto"/>
              <w:right w:val="single" w:sz="6" w:space="0" w:color="auto"/>
            </w:tcBorders>
            <w:vAlign w:val="center"/>
          </w:tcPr>
          <w:p w:rsidR="00027868" w:rsidRPr="00476824" w:rsidRDefault="00EA600F" w:rsidP="00027868">
            <w:pPr>
              <w:spacing w:before="120" w:after="120"/>
              <w:rPr>
                <w:rFonts w:cs="Arial"/>
                <w:sz w:val="32"/>
                <w:szCs w:val="32"/>
              </w:rPr>
            </w:pPr>
            <w:bookmarkStart w:id="39" w:name="_Toc215319113"/>
            <w:r w:rsidRPr="00476824">
              <w:rPr>
                <w:rFonts w:cs="Arial"/>
                <w:sz w:val="32"/>
                <w:szCs w:val="32"/>
              </w:rPr>
              <w:t xml:space="preserve">First </w:t>
            </w:r>
            <w:r w:rsidR="00027868" w:rsidRPr="00476824">
              <w:rPr>
                <w:rFonts w:cs="Arial"/>
                <w:sz w:val="32"/>
                <w:szCs w:val="32"/>
              </w:rPr>
              <w:t>Published on NSFL</w:t>
            </w:r>
            <w:bookmarkEnd w:id="39"/>
          </w:p>
        </w:tc>
        <w:tc>
          <w:tcPr>
            <w:tcW w:w="2693" w:type="dxa"/>
            <w:tcBorders>
              <w:top w:val="single" w:sz="4" w:space="0" w:color="auto"/>
              <w:left w:val="single" w:sz="6" w:space="0" w:color="auto"/>
              <w:bottom w:val="single" w:sz="6" w:space="0" w:color="auto"/>
              <w:right w:val="single" w:sz="4" w:space="0" w:color="auto"/>
            </w:tcBorders>
            <w:vAlign w:val="center"/>
          </w:tcPr>
          <w:p w:rsidR="00027868" w:rsidRPr="009461E4" w:rsidRDefault="007B4803" w:rsidP="00027868">
            <w:pPr>
              <w:spacing w:before="120" w:after="120"/>
              <w:rPr>
                <w:rFonts w:cs="Arial"/>
                <w:sz w:val="32"/>
                <w:szCs w:val="32"/>
              </w:rPr>
            </w:pPr>
            <w:r w:rsidRPr="009461E4">
              <w:rPr>
                <w:rFonts w:cs="Arial"/>
                <w:sz w:val="32"/>
                <w:szCs w:val="32"/>
              </w:rPr>
              <w:t>January 2010</w:t>
            </w:r>
          </w:p>
        </w:tc>
      </w:tr>
      <w:tr w:rsidR="00D409BC" w:rsidRPr="00476824" w:rsidTr="0061047E">
        <w:tc>
          <w:tcPr>
            <w:tcW w:w="7054" w:type="dxa"/>
            <w:gridSpan w:val="2"/>
            <w:tcBorders>
              <w:top w:val="single" w:sz="6" w:space="0" w:color="auto"/>
              <w:left w:val="single" w:sz="4" w:space="0" w:color="auto"/>
              <w:bottom w:val="single" w:sz="6" w:space="0" w:color="auto"/>
              <w:right w:val="single" w:sz="6" w:space="0" w:color="auto"/>
            </w:tcBorders>
            <w:vAlign w:val="center"/>
          </w:tcPr>
          <w:p w:rsidR="00D409BC" w:rsidRPr="000B512F" w:rsidRDefault="00D409BC" w:rsidP="000B512F">
            <w:pPr>
              <w:tabs>
                <w:tab w:val="left" w:pos="567"/>
                <w:tab w:val="left" w:pos="709"/>
                <w:tab w:val="left" w:pos="1701"/>
                <w:tab w:val="left" w:pos="2693"/>
              </w:tabs>
              <w:rPr>
                <w:rFonts w:cs="Arial"/>
                <w:sz w:val="24"/>
                <w:szCs w:val="24"/>
              </w:rPr>
            </w:pPr>
            <w:r w:rsidRPr="000B512F">
              <w:rPr>
                <w:rFonts w:cs="Arial"/>
                <w:sz w:val="24"/>
                <w:szCs w:val="24"/>
              </w:rPr>
              <w:t>Amend</w:t>
            </w:r>
            <w:r w:rsidR="000B512F" w:rsidRPr="000B512F">
              <w:rPr>
                <w:rFonts w:cs="Arial"/>
                <w:sz w:val="24"/>
                <w:szCs w:val="24"/>
              </w:rPr>
              <w:t>ed</w:t>
            </w:r>
            <w:r w:rsidRPr="000B512F">
              <w:rPr>
                <w:rFonts w:cs="Arial"/>
                <w:sz w:val="24"/>
                <w:szCs w:val="24"/>
              </w:rPr>
              <w:t>: removed MHDK74C</w:t>
            </w:r>
            <w:r w:rsidR="00C9655E" w:rsidRPr="000B512F">
              <w:rPr>
                <w:rFonts w:cs="Arial"/>
                <w:sz w:val="24"/>
                <w:szCs w:val="24"/>
              </w:rPr>
              <w:t>,</w:t>
            </w:r>
            <w:r w:rsidRPr="000B512F">
              <w:rPr>
                <w:rFonts w:cs="Arial"/>
                <w:sz w:val="24"/>
                <w:szCs w:val="24"/>
              </w:rPr>
              <w:t xml:space="preserve"> MHDK74D </w:t>
            </w:r>
            <w:r w:rsidR="00C9655E" w:rsidRPr="000B512F">
              <w:rPr>
                <w:rFonts w:cs="Arial"/>
                <w:sz w:val="24"/>
                <w:szCs w:val="24"/>
              </w:rPr>
              <w:t xml:space="preserve">MHDK72C </w:t>
            </w:r>
            <w:r w:rsidRPr="000B512F">
              <w:rPr>
                <w:rFonts w:cs="Arial"/>
                <w:sz w:val="24"/>
                <w:szCs w:val="24"/>
              </w:rPr>
              <w:t xml:space="preserve">from Section 10 tier three service specification </w:t>
            </w:r>
            <w:r w:rsidR="00473F67" w:rsidRPr="000B512F">
              <w:rPr>
                <w:rFonts w:cs="Arial"/>
                <w:sz w:val="24"/>
                <w:szCs w:val="24"/>
              </w:rPr>
              <w:t>table that</w:t>
            </w:r>
            <w:r w:rsidR="00C9655E" w:rsidRPr="000B512F">
              <w:rPr>
                <w:rFonts w:cs="Arial"/>
                <w:sz w:val="24"/>
                <w:szCs w:val="24"/>
              </w:rPr>
              <w:t xml:space="preserve"> </w:t>
            </w:r>
            <w:r w:rsidR="00A0717B" w:rsidRPr="000B512F">
              <w:rPr>
                <w:rFonts w:cs="Arial"/>
                <w:sz w:val="24"/>
                <w:szCs w:val="24"/>
              </w:rPr>
              <w:t>had been</w:t>
            </w:r>
            <w:r w:rsidR="00C9655E" w:rsidRPr="000B512F">
              <w:rPr>
                <w:rFonts w:cs="Arial"/>
                <w:sz w:val="24"/>
                <w:szCs w:val="24"/>
              </w:rPr>
              <w:t xml:space="preserve"> included in error</w:t>
            </w:r>
            <w:r w:rsidRPr="000B512F">
              <w:rPr>
                <w:rFonts w:cs="Arial"/>
                <w:sz w:val="24"/>
                <w:szCs w:val="24"/>
              </w:rPr>
              <w:t>.</w:t>
            </w:r>
          </w:p>
        </w:tc>
        <w:tc>
          <w:tcPr>
            <w:tcW w:w="2693" w:type="dxa"/>
            <w:tcBorders>
              <w:top w:val="single" w:sz="6" w:space="0" w:color="auto"/>
              <w:left w:val="single" w:sz="6" w:space="0" w:color="auto"/>
              <w:bottom w:val="single" w:sz="6" w:space="0" w:color="auto"/>
              <w:right w:val="single" w:sz="4" w:space="0" w:color="auto"/>
            </w:tcBorders>
            <w:vAlign w:val="center"/>
          </w:tcPr>
          <w:p w:rsidR="00D409BC" w:rsidRPr="009461E4" w:rsidRDefault="00D409BC" w:rsidP="00027868">
            <w:pPr>
              <w:spacing w:before="120" w:after="120"/>
              <w:rPr>
                <w:rFonts w:cs="Arial"/>
                <w:sz w:val="32"/>
                <w:szCs w:val="32"/>
              </w:rPr>
            </w:pPr>
            <w:r w:rsidRPr="009461E4">
              <w:rPr>
                <w:rFonts w:cs="Arial"/>
                <w:sz w:val="32"/>
                <w:szCs w:val="32"/>
              </w:rPr>
              <w:t>March 2012</w:t>
            </w:r>
          </w:p>
        </w:tc>
      </w:tr>
      <w:tr w:rsidR="000D18A4" w:rsidRPr="00476824" w:rsidTr="0061047E">
        <w:tc>
          <w:tcPr>
            <w:tcW w:w="7054" w:type="dxa"/>
            <w:gridSpan w:val="2"/>
            <w:tcBorders>
              <w:top w:val="single" w:sz="6" w:space="0" w:color="auto"/>
              <w:left w:val="single" w:sz="4" w:space="0" w:color="auto"/>
              <w:bottom w:val="single" w:sz="6" w:space="0" w:color="auto"/>
              <w:right w:val="single" w:sz="6" w:space="0" w:color="auto"/>
            </w:tcBorders>
            <w:vAlign w:val="center"/>
          </w:tcPr>
          <w:p w:rsidR="000D18A4" w:rsidRPr="000B512F" w:rsidRDefault="000D18A4" w:rsidP="000B512F">
            <w:pPr>
              <w:spacing w:before="120" w:after="120"/>
              <w:rPr>
                <w:rFonts w:cs="Arial"/>
                <w:sz w:val="24"/>
                <w:szCs w:val="24"/>
              </w:rPr>
            </w:pPr>
            <w:r w:rsidRPr="000B512F">
              <w:rPr>
                <w:rFonts w:cs="Arial"/>
                <w:sz w:val="24"/>
                <w:szCs w:val="24"/>
              </w:rPr>
              <w:t>Amend</w:t>
            </w:r>
            <w:r w:rsidR="000B512F" w:rsidRPr="000B512F">
              <w:rPr>
                <w:rFonts w:cs="Arial"/>
                <w:sz w:val="24"/>
                <w:szCs w:val="24"/>
              </w:rPr>
              <w:t>ed</w:t>
            </w:r>
            <w:r w:rsidRPr="000B512F">
              <w:rPr>
                <w:rFonts w:cs="Arial"/>
                <w:sz w:val="24"/>
                <w:szCs w:val="24"/>
              </w:rPr>
              <w:t xml:space="preserve">: </w:t>
            </w:r>
            <w:r w:rsidRPr="000B512F">
              <w:rPr>
                <w:rFonts w:cs="Arial"/>
                <w:sz w:val="24"/>
                <w:szCs w:val="24"/>
                <w:lang w:val="en-NZ"/>
              </w:rPr>
              <w:t>added linkage to</w:t>
            </w:r>
            <w:r w:rsidRPr="000B512F">
              <w:rPr>
                <w:rFonts w:cs="Arial"/>
                <w:sz w:val="24"/>
                <w:szCs w:val="24"/>
              </w:rPr>
              <w:t xml:space="preserve"> </w:t>
            </w:r>
            <w:r w:rsidRPr="000B512F">
              <w:rPr>
                <w:rFonts w:cs="Arial"/>
                <w:sz w:val="24"/>
                <w:szCs w:val="24"/>
                <w:lang w:val="en-NZ"/>
              </w:rPr>
              <w:t>Infant, Child, Adolescent and Youth Crisis Respite MHI42.</w:t>
            </w:r>
          </w:p>
        </w:tc>
        <w:tc>
          <w:tcPr>
            <w:tcW w:w="2693" w:type="dxa"/>
            <w:tcBorders>
              <w:top w:val="single" w:sz="6" w:space="0" w:color="auto"/>
              <w:left w:val="single" w:sz="6" w:space="0" w:color="auto"/>
              <w:bottom w:val="single" w:sz="6" w:space="0" w:color="auto"/>
              <w:right w:val="single" w:sz="4" w:space="0" w:color="auto"/>
            </w:tcBorders>
            <w:vAlign w:val="center"/>
          </w:tcPr>
          <w:p w:rsidR="000D18A4" w:rsidRPr="009461E4" w:rsidRDefault="000D18A4" w:rsidP="00027868">
            <w:pPr>
              <w:spacing w:before="120" w:after="120"/>
              <w:rPr>
                <w:rFonts w:cs="Arial"/>
                <w:sz w:val="32"/>
                <w:szCs w:val="32"/>
              </w:rPr>
            </w:pPr>
            <w:r w:rsidRPr="009461E4">
              <w:rPr>
                <w:rFonts w:cs="Arial"/>
                <w:sz w:val="32"/>
                <w:szCs w:val="32"/>
              </w:rPr>
              <w:t>May 2011</w:t>
            </w:r>
          </w:p>
        </w:tc>
      </w:tr>
      <w:tr w:rsidR="00EA600F" w:rsidRPr="00476824" w:rsidTr="0061047E">
        <w:tc>
          <w:tcPr>
            <w:tcW w:w="7054" w:type="dxa"/>
            <w:gridSpan w:val="2"/>
            <w:tcBorders>
              <w:top w:val="single" w:sz="6" w:space="0" w:color="auto"/>
              <w:left w:val="single" w:sz="4" w:space="0" w:color="auto"/>
              <w:bottom w:val="single" w:sz="6" w:space="0" w:color="auto"/>
              <w:right w:val="single" w:sz="6" w:space="0" w:color="auto"/>
            </w:tcBorders>
            <w:vAlign w:val="center"/>
          </w:tcPr>
          <w:p w:rsidR="00EA600F" w:rsidRPr="000B512F" w:rsidRDefault="00EA600F" w:rsidP="000D0811">
            <w:pPr>
              <w:spacing w:before="120" w:after="120"/>
              <w:rPr>
                <w:rFonts w:cs="Arial"/>
                <w:sz w:val="24"/>
                <w:szCs w:val="24"/>
              </w:rPr>
            </w:pPr>
            <w:r w:rsidRPr="000B512F">
              <w:rPr>
                <w:rFonts w:cs="Arial"/>
                <w:sz w:val="24"/>
                <w:szCs w:val="24"/>
              </w:rPr>
              <w:t>Amended:</w:t>
            </w:r>
            <w:r w:rsidRPr="000B512F">
              <w:rPr>
                <w:rFonts w:cs="Arial"/>
                <w:b/>
                <w:sz w:val="24"/>
                <w:szCs w:val="24"/>
              </w:rPr>
              <w:t xml:space="preserve"> </w:t>
            </w:r>
            <w:r w:rsidRPr="000B512F">
              <w:rPr>
                <w:rFonts w:cs="Arial"/>
                <w:sz w:val="24"/>
                <w:szCs w:val="24"/>
              </w:rPr>
              <w:t xml:space="preserve"> clarified reporting requirements</w:t>
            </w:r>
            <w:r w:rsidR="000D0811" w:rsidRPr="000B512F">
              <w:rPr>
                <w:rFonts w:cs="Arial"/>
                <w:sz w:val="24"/>
                <w:szCs w:val="24"/>
              </w:rPr>
              <w:t>, updated Purchase unit table to include MHD53</w:t>
            </w:r>
          </w:p>
        </w:tc>
        <w:tc>
          <w:tcPr>
            <w:tcW w:w="2693" w:type="dxa"/>
            <w:tcBorders>
              <w:top w:val="single" w:sz="6" w:space="0" w:color="auto"/>
              <w:left w:val="single" w:sz="6" w:space="0" w:color="auto"/>
              <w:bottom w:val="single" w:sz="6" w:space="0" w:color="auto"/>
              <w:right w:val="single" w:sz="4" w:space="0" w:color="auto"/>
            </w:tcBorders>
            <w:vAlign w:val="center"/>
          </w:tcPr>
          <w:p w:rsidR="00EA600F" w:rsidRPr="00476824" w:rsidRDefault="00EA600F" w:rsidP="00027868">
            <w:pPr>
              <w:spacing w:before="120" w:after="120"/>
              <w:rPr>
                <w:rFonts w:cs="Arial"/>
                <w:sz w:val="32"/>
                <w:szCs w:val="32"/>
              </w:rPr>
            </w:pPr>
            <w:r w:rsidRPr="00476824">
              <w:rPr>
                <w:rFonts w:cs="Arial"/>
                <w:sz w:val="32"/>
                <w:szCs w:val="32"/>
              </w:rPr>
              <w:t>February 2013</w:t>
            </w:r>
          </w:p>
        </w:tc>
      </w:tr>
      <w:tr w:rsidR="005B5CB0" w:rsidRPr="00476824" w:rsidTr="0061047E">
        <w:tc>
          <w:tcPr>
            <w:tcW w:w="7054" w:type="dxa"/>
            <w:gridSpan w:val="2"/>
            <w:tcBorders>
              <w:top w:val="single" w:sz="6" w:space="0" w:color="auto"/>
              <w:left w:val="single" w:sz="4" w:space="0" w:color="auto"/>
              <w:bottom w:val="single" w:sz="6" w:space="0" w:color="auto"/>
              <w:right w:val="single" w:sz="6" w:space="0" w:color="auto"/>
            </w:tcBorders>
            <w:vAlign w:val="center"/>
          </w:tcPr>
          <w:p w:rsidR="005B5CB0" w:rsidRPr="000B512F" w:rsidRDefault="005B5CB0" w:rsidP="007126CF">
            <w:pPr>
              <w:spacing w:before="120" w:after="120"/>
              <w:rPr>
                <w:rFonts w:cs="Arial"/>
                <w:sz w:val="24"/>
                <w:szCs w:val="24"/>
              </w:rPr>
            </w:pPr>
            <w:r w:rsidRPr="000B512F">
              <w:rPr>
                <w:rFonts w:cs="Arial"/>
                <w:sz w:val="24"/>
                <w:szCs w:val="24"/>
              </w:rPr>
              <w:t>Amended: added purchase units MH</w:t>
            </w:r>
            <w:r w:rsidR="007126CF" w:rsidRPr="000B512F">
              <w:rPr>
                <w:rFonts w:cs="Arial"/>
                <w:sz w:val="24"/>
                <w:szCs w:val="24"/>
              </w:rPr>
              <w:t>D/ MHDI</w:t>
            </w:r>
            <w:r w:rsidRPr="000B512F">
              <w:rPr>
                <w:rFonts w:cs="Arial"/>
                <w:sz w:val="24"/>
                <w:szCs w:val="24"/>
              </w:rPr>
              <w:t xml:space="preserve"> ‘S’ series </w:t>
            </w:r>
          </w:p>
        </w:tc>
        <w:tc>
          <w:tcPr>
            <w:tcW w:w="2693" w:type="dxa"/>
            <w:tcBorders>
              <w:top w:val="single" w:sz="6" w:space="0" w:color="auto"/>
              <w:left w:val="single" w:sz="6" w:space="0" w:color="auto"/>
              <w:bottom w:val="single" w:sz="6" w:space="0" w:color="auto"/>
              <w:right w:val="single" w:sz="4" w:space="0" w:color="auto"/>
            </w:tcBorders>
            <w:vAlign w:val="center"/>
          </w:tcPr>
          <w:p w:rsidR="005B5CB0" w:rsidRPr="009461E4" w:rsidRDefault="0061047E" w:rsidP="0061047E">
            <w:pPr>
              <w:spacing w:before="120" w:after="120"/>
              <w:rPr>
                <w:rFonts w:cs="Arial"/>
                <w:sz w:val="32"/>
                <w:szCs w:val="32"/>
              </w:rPr>
            </w:pPr>
            <w:r>
              <w:rPr>
                <w:rFonts w:cs="Arial"/>
                <w:sz w:val="32"/>
                <w:szCs w:val="32"/>
              </w:rPr>
              <w:t xml:space="preserve">April </w:t>
            </w:r>
            <w:r w:rsidR="005B5CB0">
              <w:rPr>
                <w:rFonts w:cs="Arial"/>
                <w:sz w:val="32"/>
                <w:szCs w:val="32"/>
              </w:rPr>
              <w:t>201</w:t>
            </w:r>
            <w:r>
              <w:rPr>
                <w:rFonts w:cs="Arial"/>
                <w:sz w:val="32"/>
                <w:szCs w:val="32"/>
              </w:rPr>
              <w:t>7</w:t>
            </w:r>
          </w:p>
        </w:tc>
      </w:tr>
      <w:tr w:rsidR="005B5CB0" w:rsidRPr="00476824" w:rsidTr="0061047E">
        <w:tc>
          <w:tcPr>
            <w:tcW w:w="7054" w:type="dxa"/>
            <w:gridSpan w:val="2"/>
            <w:tcBorders>
              <w:top w:val="single" w:sz="6" w:space="0" w:color="auto"/>
              <w:left w:val="single" w:sz="4" w:space="0" w:color="auto"/>
              <w:bottom w:val="single" w:sz="6" w:space="0" w:color="auto"/>
              <w:right w:val="single" w:sz="6" w:space="0" w:color="auto"/>
            </w:tcBorders>
            <w:vAlign w:val="center"/>
          </w:tcPr>
          <w:p w:rsidR="005B5CB0" w:rsidRPr="00476824" w:rsidRDefault="005B5CB0" w:rsidP="00027868">
            <w:pPr>
              <w:spacing w:before="120" w:after="120"/>
              <w:rPr>
                <w:rFonts w:cs="Arial"/>
                <w:sz w:val="32"/>
                <w:szCs w:val="32"/>
              </w:rPr>
            </w:pPr>
            <w:bookmarkStart w:id="40" w:name="_Toc215319116"/>
            <w:r w:rsidRPr="00476824">
              <w:rPr>
                <w:rFonts w:cs="Arial"/>
                <w:sz w:val="32"/>
                <w:szCs w:val="32"/>
              </w:rPr>
              <w:t>Consideration for next Service Specification Review</w:t>
            </w:r>
            <w:bookmarkEnd w:id="40"/>
          </w:p>
        </w:tc>
        <w:tc>
          <w:tcPr>
            <w:tcW w:w="2693" w:type="dxa"/>
            <w:tcBorders>
              <w:top w:val="single" w:sz="6" w:space="0" w:color="auto"/>
              <w:left w:val="single" w:sz="6" w:space="0" w:color="auto"/>
              <w:bottom w:val="single" w:sz="6" w:space="0" w:color="auto"/>
              <w:right w:val="single" w:sz="4" w:space="0" w:color="auto"/>
            </w:tcBorders>
            <w:vAlign w:val="center"/>
          </w:tcPr>
          <w:p w:rsidR="005B5CB0" w:rsidRPr="009461E4" w:rsidRDefault="005B5CB0" w:rsidP="00027868">
            <w:pPr>
              <w:spacing w:before="120" w:after="120"/>
              <w:rPr>
                <w:rFonts w:cs="Arial"/>
                <w:sz w:val="32"/>
                <w:szCs w:val="32"/>
              </w:rPr>
            </w:pPr>
            <w:bookmarkStart w:id="41" w:name="_Toc215319117"/>
            <w:r w:rsidRPr="009461E4">
              <w:rPr>
                <w:rFonts w:cs="Arial"/>
                <w:sz w:val="32"/>
                <w:szCs w:val="32"/>
              </w:rPr>
              <w:t>Within five years</w:t>
            </w:r>
            <w:bookmarkEnd w:id="41"/>
          </w:p>
        </w:tc>
      </w:tr>
    </w:tbl>
    <w:p w:rsidR="005D3EC4" w:rsidRDefault="00EA600F" w:rsidP="00EA600F">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bookmarkStart w:id="42" w:name="_Toc215319119"/>
      <w:r w:rsidRPr="00476824">
        <w:rPr>
          <w:rFonts w:cs="Arial"/>
          <w:b/>
          <w:sz w:val="24"/>
          <w:szCs w:val="24"/>
        </w:rPr>
        <w:t>Note:</w:t>
      </w:r>
      <w:r w:rsidRPr="00476824">
        <w:rPr>
          <w:rFonts w:cs="Arial"/>
          <w:sz w:val="24"/>
          <w:szCs w:val="24"/>
        </w:rPr>
        <w:t xml:space="preserve"> Contact the Service Specification Programme Manager,</w:t>
      </w:r>
      <w:r w:rsidR="00E745D4" w:rsidRPr="00E745D4">
        <w:rPr>
          <w:rFonts w:cs="Arial"/>
          <w:sz w:val="24"/>
          <w:szCs w:val="24"/>
        </w:rPr>
        <w:t xml:space="preserve"> </w:t>
      </w:r>
      <w:r w:rsidR="00E745D4">
        <w:rPr>
          <w:rFonts w:cs="Arial"/>
          <w:sz w:val="24"/>
          <w:szCs w:val="24"/>
        </w:rPr>
        <w:t>Service Commissioning</w:t>
      </w:r>
      <w:r w:rsidRPr="00476824">
        <w:rPr>
          <w:rFonts w:cs="Arial"/>
          <w:sz w:val="24"/>
          <w:szCs w:val="24"/>
        </w:rPr>
        <w:t xml:space="preserve">, Ministry of Health to discuss proposed amendments to the service specifications and guidance in developing new or updating and revising existing service specifications. </w:t>
      </w:r>
    </w:p>
    <w:p w:rsidR="00EA600F" w:rsidRPr="00476824" w:rsidRDefault="00EA600F" w:rsidP="00EA600F">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 w:val="24"/>
          <w:szCs w:val="24"/>
        </w:rPr>
      </w:pPr>
      <w:r w:rsidRPr="00476824">
        <w:rPr>
          <w:rFonts w:cs="Arial"/>
          <w:sz w:val="24"/>
          <w:szCs w:val="24"/>
        </w:rPr>
        <w:t xml:space="preserve">Nationwide Service Framework Library web site </w:t>
      </w:r>
      <w:hyperlink r:id="rId9" w:history="1">
        <w:r w:rsidRPr="00476824">
          <w:rPr>
            <w:rStyle w:val="Hyperlink"/>
            <w:rFonts w:cs="Arial"/>
            <w:sz w:val="24"/>
            <w:szCs w:val="24"/>
          </w:rPr>
          <w:t>http://www.nsfl.health.govt.nz</w:t>
        </w:r>
      </w:hyperlink>
    </w:p>
    <w:bookmarkEnd w:id="42"/>
    <w:p w:rsidR="000D18A4" w:rsidRPr="00476824" w:rsidRDefault="00027868" w:rsidP="00AA0B0D">
      <w:pPr>
        <w:pBdr>
          <w:top w:val="single" w:sz="4" w:space="1" w:color="auto"/>
          <w:left w:val="single" w:sz="4" w:space="4" w:color="auto"/>
          <w:bottom w:val="single" w:sz="4" w:space="1" w:color="auto"/>
          <w:right w:val="single" w:sz="4" w:space="4" w:color="auto"/>
        </w:pBdr>
        <w:jc w:val="center"/>
        <w:rPr>
          <w:rFonts w:cs="Arial"/>
          <w:b/>
          <w:sz w:val="24"/>
          <w:lang w:val="en-NZ"/>
        </w:rPr>
      </w:pPr>
      <w:r w:rsidRPr="00476824">
        <w:rPr>
          <w:rFonts w:cs="Arial"/>
          <w:sz w:val="20"/>
        </w:rPr>
        <w:br w:type="page"/>
      </w:r>
      <w:bookmarkStart w:id="43" w:name="_Toc215319122"/>
      <w:r w:rsidR="000D18A4" w:rsidRPr="00476824">
        <w:rPr>
          <w:rFonts w:cs="Arial"/>
          <w:b/>
          <w:sz w:val="24"/>
          <w:lang w:val="en-NZ"/>
        </w:rPr>
        <w:lastRenderedPageBreak/>
        <w:t>MENTAL HEALTH AND ADDICTION SERVICES</w:t>
      </w:r>
    </w:p>
    <w:p w:rsidR="000D18A4" w:rsidRPr="00476824" w:rsidRDefault="000D18A4" w:rsidP="00AA0B0D">
      <w:pPr>
        <w:pBdr>
          <w:top w:val="single" w:sz="4" w:space="1" w:color="auto"/>
          <w:left w:val="single" w:sz="4" w:space="4" w:color="auto"/>
          <w:bottom w:val="single" w:sz="4" w:space="1" w:color="auto"/>
          <w:right w:val="single" w:sz="4" w:space="4" w:color="auto"/>
        </w:pBdr>
        <w:jc w:val="center"/>
        <w:rPr>
          <w:rFonts w:cs="Arial"/>
          <w:b/>
          <w:sz w:val="24"/>
          <w:lang w:val="en-NZ"/>
        </w:rPr>
      </w:pPr>
      <w:r w:rsidRPr="00476824">
        <w:rPr>
          <w:rFonts w:cs="Arial"/>
          <w:b/>
          <w:sz w:val="24"/>
          <w:lang w:val="en-NZ"/>
        </w:rPr>
        <w:t>ADDICTION SERVICES -</w:t>
      </w:r>
    </w:p>
    <w:p w:rsidR="00027868" w:rsidRPr="00476824" w:rsidRDefault="00027868" w:rsidP="00AA0B0D">
      <w:pPr>
        <w:pBdr>
          <w:top w:val="single" w:sz="4" w:space="1" w:color="auto"/>
          <w:left w:val="single" w:sz="4" w:space="4" w:color="auto"/>
          <w:bottom w:val="single" w:sz="4" w:space="1" w:color="auto"/>
          <w:right w:val="single" w:sz="4" w:space="4" w:color="auto"/>
        </w:pBdr>
        <w:jc w:val="center"/>
        <w:rPr>
          <w:rFonts w:cs="Arial"/>
          <w:b/>
          <w:sz w:val="24"/>
          <w:szCs w:val="24"/>
        </w:rPr>
      </w:pPr>
      <w:r w:rsidRPr="00476824">
        <w:rPr>
          <w:rFonts w:cs="Arial"/>
          <w:b/>
          <w:sz w:val="24"/>
          <w:szCs w:val="24"/>
        </w:rPr>
        <w:t xml:space="preserve">TIER </w:t>
      </w:r>
      <w:bookmarkEnd w:id="43"/>
      <w:r w:rsidRPr="00476824">
        <w:rPr>
          <w:rFonts w:cs="Arial"/>
          <w:b/>
          <w:sz w:val="24"/>
          <w:szCs w:val="24"/>
        </w:rPr>
        <w:t>TWO</w:t>
      </w:r>
      <w:r w:rsidR="005D3EC4" w:rsidRPr="005D3EC4">
        <w:rPr>
          <w:rFonts w:cs="Arial"/>
          <w:b/>
          <w:sz w:val="24"/>
          <w:lang w:val="en-NZ"/>
        </w:rPr>
        <w:t xml:space="preserve"> </w:t>
      </w:r>
      <w:r w:rsidR="005D3EC4" w:rsidRPr="00476824">
        <w:rPr>
          <w:rFonts w:cs="Arial"/>
          <w:b/>
          <w:sz w:val="24"/>
          <w:lang w:val="en-NZ"/>
        </w:rPr>
        <w:t>SERVICE SPECIFICATION</w:t>
      </w:r>
    </w:p>
    <w:p w:rsidR="0061047E" w:rsidRPr="00476824" w:rsidRDefault="00674C9D" w:rsidP="0061047E">
      <w:pPr>
        <w:spacing w:before="120"/>
        <w:rPr>
          <w:rFonts w:cs="Arial"/>
          <w:sz w:val="24"/>
          <w:szCs w:val="24"/>
        </w:rPr>
      </w:pPr>
      <w:bookmarkStart w:id="44" w:name="_Toc215319123"/>
      <w:r w:rsidRPr="00476824">
        <w:rPr>
          <w:rFonts w:cs="Arial"/>
          <w:sz w:val="24"/>
          <w:szCs w:val="24"/>
        </w:rPr>
        <w:t>Th</w:t>
      </w:r>
      <w:r w:rsidR="00194B09" w:rsidRPr="00476824">
        <w:rPr>
          <w:rFonts w:cs="Arial"/>
          <w:sz w:val="24"/>
          <w:szCs w:val="24"/>
        </w:rPr>
        <w:t>e</w:t>
      </w:r>
      <w:r w:rsidRPr="00476824">
        <w:rPr>
          <w:rFonts w:cs="Arial"/>
          <w:sz w:val="24"/>
          <w:szCs w:val="24"/>
        </w:rPr>
        <w:t xml:space="preserve"> </w:t>
      </w:r>
      <w:r w:rsidR="00194B09" w:rsidRPr="00476824">
        <w:rPr>
          <w:rFonts w:cs="Arial"/>
          <w:sz w:val="24"/>
          <w:szCs w:val="24"/>
        </w:rPr>
        <w:t xml:space="preserve">tier two service specification </w:t>
      </w:r>
      <w:r w:rsidR="00FB711B" w:rsidRPr="00476824">
        <w:rPr>
          <w:rFonts w:cs="Arial"/>
          <w:sz w:val="24"/>
          <w:szCs w:val="24"/>
        </w:rPr>
        <w:t>(the Service)</w:t>
      </w:r>
      <w:r w:rsidRPr="00476824">
        <w:rPr>
          <w:rFonts w:cs="Arial"/>
          <w:sz w:val="24"/>
          <w:szCs w:val="24"/>
        </w:rPr>
        <w:t xml:space="preserve"> </w:t>
      </w:r>
      <w:r w:rsidR="0061047E">
        <w:rPr>
          <w:rFonts w:cs="Arial"/>
          <w:sz w:val="24"/>
          <w:szCs w:val="24"/>
        </w:rPr>
        <w:t xml:space="preserve">for Addiction Services </w:t>
      </w:r>
      <w:r w:rsidRPr="00476824">
        <w:rPr>
          <w:rFonts w:cs="Arial"/>
          <w:sz w:val="24"/>
          <w:szCs w:val="24"/>
        </w:rPr>
        <w:t>is</w:t>
      </w:r>
      <w:r w:rsidRPr="00476824">
        <w:rPr>
          <w:rFonts w:cs="Arial"/>
          <w:sz w:val="24"/>
          <w:szCs w:val="24"/>
          <w:lang w:val="en-NZ"/>
        </w:rPr>
        <w:t xml:space="preserve"> the overarching document for </w:t>
      </w:r>
      <w:r w:rsidR="00E745D4">
        <w:rPr>
          <w:rFonts w:cs="Arial"/>
          <w:sz w:val="24"/>
          <w:szCs w:val="24"/>
          <w:lang w:val="en-NZ"/>
        </w:rPr>
        <w:t xml:space="preserve">a range of </w:t>
      </w:r>
      <w:r w:rsidR="00194B09" w:rsidRPr="00476824">
        <w:rPr>
          <w:rFonts w:cs="Arial"/>
          <w:sz w:val="24"/>
          <w:szCs w:val="24"/>
          <w:lang w:val="en-NZ"/>
        </w:rPr>
        <w:t xml:space="preserve">tier three </w:t>
      </w:r>
      <w:r w:rsidR="00D966C7">
        <w:rPr>
          <w:rFonts w:cs="Arial"/>
          <w:sz w:val="24"/>
          <w:szCs w:val="24"/>
          <w:lang w:val="en-NZ"/>
        </w:rPr>
        <w:t>A</w:t>
      </w:r>
      <w:r w:rsidRPr="00476824">
        <w:rPr>
          <w:rFonts w:cs="Arial"/>
          <w:sz w:val="24"/>
          <w:szCs w:val="24"/>
          <w:lang w:val="en-NZ"/>
        </w:rPr>
        <w:t>ddiction service</w:t>
      </w:r>
      <w:r w:rsidR="00E745D4">
        <w:rPr>
          <w:rFonts w:cs="Arial"/>
          <w:sz w:val="24"/>
          <w:szCs w:val="24"/>
          <w:lang w:val="en-NZ"/>
        </w:rPr>
        <w:t xml:space="preserve"> specifications</w:t>
      </w:r>
      <w:r w:rsidR="008741C3" w:rsidRPr="00476824">
        <w:rPr>
          <w:rFonts w:cs="Arial"/>
          <w:sz w:val="24"/>
          <w:szCs w:val="24"/>
          <w:lang w:val="en-NZ"/>
        </w:rPr>
        <w:t xml:space="preserve">. </w:t>
      </w:r>
      <w:r w:rsidR="0061047E" w:rsidRPr="00476824">
        <w:rPr>
          <w:rFonts w:cs="Arial"/>
          <w:sz w:val="24"/>
          <w:szCs w:val="24"/>
        </w:rPr>
        <w:t>Its purpose is to define the services and their objectives in the delivery of a range of secondary and tertiary services for people experiencing addiction.</w:t>
      </w:r>
      <w:r w:rsidR="0061047E" w:rsidRPr="009461E4">
        <w:rPr>
          <w:rFonts w:cs="Arial"/>
          <w:bCs/>
          <w:sz w:val="24"/>
          <w:szCs w:val="24"/>
        </w:rPr>
        <w:t xml:space="preserve">  </w:t>
      </w:r>
    </w:p>
    <w:p w:rsidR="00D80F84" w:rsidRPr="00476824" w:rsidRDefault="0061047E" w:rsidP="0061047E">
      <w:pPr>
        <w:spacing w:before="120"/>
        <w:rPr>
          <w:rFonts w:cs="Arial"/>
          <w:sz w:val="24"/>
          <w:szCs w:val="24"/>
        </w:rPr>
      </w:pPr>
      <w:r w:rsidRPr="00D502C2">
        <w:rPr>
          <w:rFonts w:cs="Arial"/>
          <w:sz w:val="24"/>
          <w:szCs w:val="24"/>
          <w:lang w:val="en-NZ"/>
        </w:rPr>
        <w:t xml:space="preserve">This service specification </w:t>
      </w:r>
      <w:r>
        <w:rPr>
          <w:rFonts w:cs="Arial"/>
          <w:sz w:val="24"/>
          <w:szCs w:val="24"/>
          <w:lang w:val="en-NZ"/>
        </w:rPr>
        <w:t>must be</w:t>
      </w:r>
      <w:r w:rsidRPr="00D502C2">
        <w:rPr>
          <w:rFonts w:cs="Arial"/>
          <w:sz w:val="24"/>
          <w:szCs w:val="24"/>
          <w:lang w:val="en-NZ"/>
        </w:rPr>
        <w:t xml:space="preserve"> used in conjunction with the </w:t>
      </w:r>
      <w:r w:rsidRPr="00917601">
        <w:rPr>
          <w:rFonts w:cs="Arial"/>
          <w:sz w:val="24"/>
          <w:szCs w:val="24"/>
          <w:lang w:val="en-NZ"/>
        </w:rPr>
        <w:t>tier one Mental Health and Addiction Services specification</w:t>
      </w:r>
      <w:r w:rsidR="00900BB1">
        <w:rPr>
          <w:rFonts w:cs="Arial"/>
          <w:sz w:val="24"/>
          <w:szCs w:val="24"/>
          <w:lang w:val="en-NZ"/>
        </w:rPr>
        <w:t>,</w:t>
      </w:r>
      <w:r w:rsidR="00D80F84" w:rsidRPr="00476824">
        <w:rPr>
          <w:rFonts w:cs="Arial"/>
          <w:sz w:val="24"/>
          <w:szCs w:val="24"/>
        </w:rPr>
        <w:t xml:space="preserve">other </w:t>
      </w:r>
      <w:r>
        <w:rPr>
          <w:rFonts w:cs="Arial"/>
          <w:sz w:val="24"/>
          <w:szCs w:val="24"/>
        </w:rPr>
        <w:t xml:space="preserve">relevant </w:t>
      </w:r>
      <w:r w:rsidR="00D80F84" w:rsidRPr="00476824">
        <w:rPr>
          <w:rFonts w:cs="Arial"/>
          <w:sz w:val="24"/>
          <w:szCs w:val="24"/>
        </w:rPr>
        <w:t xml:space="preserve">tier two service specifications </w:t>
      </w:r>
      <w:r w:rsidR="00674C9D" w:rsidRPr="00476824">
        <w:rPr>
          <w:rFonts w:cs="Arial"/>
          <w:sz w:val="24"/>
          <w:szCs w:val="24"/>
        </w:rPr>
        <w:t xml:space="preserve">and </w:t>
      </w:r>
      <w:r w:rsidR="00D80F84" w:rsidRPr="00476824">
        <w:rPr>
          <w:rFonts w:cs="Arial"/>
          <w:sz w:val="24"/>
          <w:szCs w:val="24"/>
        </w:rPr>
        <w:t xml:space="preserve">one of </w:t>
      </w:r>
      <w:r w:rsidR="00674C9D" w:rsidRPr="00476824">
        <w:rPr>
          <w:rFonts w:cs="Arial"/>
          <w:sz w:val="24"/>
          <w:szCs w:val="24"/>
        </w:rPr>
        <w:t xml:space="preserve">a range of tier </w:t>
      </w:r>
      <w:r w:rsidR="004C10F0" w:rsidRPr="00476824">
        <w:rPr>
          <w:rFonts w:cs="Arial"/>
          <w:sz w:val="24"/>
          <w:szCs w:val="24"/>
        </w:rPr>
        <w:t xml:space="preserve">level </w:t>
      </w:r>
      <w:r w:rsidR="00674C9D" w:rsidRPr="00476824">
        <w:rPr>
          <w:rFonts w:cs="Arial"/>
          <w:sz w:val="24"/>
          <w:szCs w:val="24"/>
        </w:rPr>
        <w:t>three Addiction service specifications</w:t>
      </w:r>
      <w:r w:rsidR="006F581F">
        <w:rPr>
          <w:rFonts w:cs="Arial"/>
          <w:sz w:val="24"/>
          <w:szCs w:val="24"/>
        </w:rPr>
        <w:t xml:space="preserve"> listed in section 10 below</w:t>
      </w:r>
      <w:r w:rsidR="007126CF">
        <w:rPr>
          <w:rFonts w:cs="Arial"/>
          <w:sz w:val="24"/>
          <w:szCs w:val="24"/>
        </w:rPr>
        <w:t>.</w:t>
      </w:r>
      <w:r w:rsidR="004C5DFB" w:rsidRPr="004C5DFB">
        <w:rPr>
          <w:rFonts w:cs="Arial"/>
          <w:sz w:val="24"/>
          <w:szCs w:val="24"/>
        </w:rPr>
        <w:t xml:space="preserve"> </w:t>
      </w:r>
      <w:r w:rsidR="004C5DFB">
        <w:rPr>
          <w:rFonts w:cs="Arial"/>
          <w:sz w:val="24"/>
          <w:szCs w:val="24"/>
        </w:rPr>
        <w:t xml:space="preserve">Local DHB service specifications may also be included under this service specification as appropriate. </w:t>
      </w:r>
    </w:p>
    <w:p w:rsidR="00027868" w:rsidRPr="00476824" w:rsidRDefault="00027868" w:rsidP="00842077">
      <w:pPr>
        <w:tabs>
          <w:tab w:val="left" w:pos="570"/>
        </w:tabs>
        <w:spacing w:before="240" w:after="120"/>
        <w:rPr>
          <w:rFonts w:cs="Arial"/>
          <w:b/>
          <w:sz w:val="24"/>
          <w:szCs w:val="24"/>
        </w:rPr>
      </w:pPr>
      <w:bookmarkStart w:id="45" w:name="_Toc215319135"/>
      <w:bookmarkEnd w:id="44"/>
      <w:r w:rsidRPr="00476824">
        <w:rPr>
          <w:rFonts w:cs="Arial"/>
          <w:b/>
          <w:sz w:val="24"/>
          <w:szCs w:val="24"/>
        </w:rPr>
        <w:t>1.</w:t>
      </w:r>
      <w:r w:rsidRPr="00476824">
        <w:rPr>
          <w:rFonts w:cs="Arial"/>
          <w:b/>
          <w:sz w:val="24"/>
          <w:szCs w:val="24"/>
        </w:rPr>
        <w:tab/>
        <w:t>Service Definition</w:t>
      </w:r>
      <w:bookmarkEnd w:id="45"/>
    </w:p>
    <w:p w:rsidR="007E41D0" w:rsidRDefault="00DD5B08" w:rsidP="009F56A1">
      <w:pPr>
        <w:rPr>
          <w:rFonts w:cs="Arial"/>
          <w:sz w:val="24"/>
          <w:szCs w:val="24"/>
        </w:rPr>
      </w:pPr>
      <w:r w:rsidRPr="00476824">
        <w:rPr>
          <w:rFonts w:cs="Arial"/>
          <w:sz w:val="24"/>
          <w:szCs w:val="24"/>
        </w:rPr>
        <w:t xml:space="preserve">The continuum of </w:t>
      </w:r>
      <w:r w:rsidR="004C10F0" w:rsidRPr="00476824">
        <w:rPr>
          <w:rFonts w:cs="Arial"/>
          <w:sz w:val="24"/>
          <w:szCs w:val="24"/>
        </w:rPr>
        <w:t>A</w:t>
      </w:r>
      <w:r w:rsidRPr="00476824">
        <w:rPr>
          <w:rFonts w:cs="Arial"/>
          <w:sz w:val="24"/>
          <w:szCs w:val="24"/>
        </w:rPr>
        <w:t xml:space="preserve">ddiction services will offer a range of high quality treatment options of varying intensity and delivered in various settings.  Treatments will be available and accessible to those who need them.  Addiction can often be chronic and relapsing and people may choose to access a variety of different services to meet their needs.  </w:t>
      </w:r>
    </w:p>
    <w:p w:rsidR="00A42BB6" w:rsidRPr="00476824" w:rsidRDefault="00DD5B08" w:rsidP="0061047E">
      <w:pPr>
        <w:spacing w:before="120"/>
        <w:rPr>
          <w:rFonts w:cs="Arial"/>
          <w:sz w:val="24"/>
          <w:szCs w:val="24"/>
        </w:rPr>
      </w:pPr>
      <w:r w:rsidRPr="00476824">
        <w:rPr>
          <w:rFonts w:cs="Arial"/>
          <w:sz w:val="24"/>
          <w:szCs w:val="24"/>
        </w:rPr>
        <w:t xml:space="preserve">The aim of Addiction services is to support recovery and wellness and minimise the harm that addiction can cause.  Although the approaches to achieve recovery and wellness will vary between services, wherever possible treatment approaches should be evidence-based.  </w:t>
      </w:r>
    </w:p>
    <w:p w:rsidR="00027868" w:rsidRPr="00476824" w:rsidRDefault="00027868" w:rsidP="0061047E">
      <w:pPr>
        <w:numPr>
          <w:ilvl w:val="0"/>
          <w:numId w:val="2"/>
        </w:numPr>
        <w:tabs>
          <w:tab w:val="clear" w:pos="1080"/>
          <w:tab w:val="num" w:pos="570"/>
        </w:tabs>
        <w:spacing w:before="240" w:after="120"/>
        <w:ind w:left="0" w:firstLine="0"/>
        <w:rPr>
          <w:rFonts w:cs="Arial"/>
          <w:b/>
          <w:sz w:val="24"/>
          <w:szCs w:val="24"/>
        </w:rPr>
      </w:pPr>
      <w:bookmarkStart w:id="46" w:name="_Toc215319136"/>
      <w:r w:rsidRPr="00476824">
        <w:rPr>
          <w:rFonts w:cs="Arial"/>
          <w:b/>
          <w:sz w:val="24"/>
          <w:szCs w:val="24"/>
        </w:rPr>
        <w:t>Service Objectives</w:t>
      </w:r>
      <w:bookmarkEnd w:id="46"/>
    </w:p>
    <w:p w:rsidR="009A01C0" w:rsidRPr="009B5893" w:rsidRDefault="009A01C0" w:rsidP="00A42BB6">
      <w:pPr>
        <w:pStyle w:val="ListParagraph"/>
        <w:numPr>
          <w:ilvl w:val="1"/>
          <w:numId w:val="27"/>
        </w:numPr>
        <w:spacing w:before="120" w:after="120"/>
        <w:ind w:left="567" w:hanging="567"/>
        <w:rPr>
          <w:rFonts w:cs="Arial"/>
          <w:b/>
          <w:sz w:val="24"/>
          <w:szCs w:val="24"/>
        </w:rPr>
      </w:pPr>
      <w:r w:rsidRPr="009B5893">
        <w:rPr>
          <w:rFonts w:cs="Arial"/>
          <w:b/>
          <w:sz w:val="24"/>
          <w:szCs w:val="24"/>
        </w:rPr>
        <w:t>General</w:t>
      </w:r>
    </w:p>
    <w:p w:rsidR="00DD5B08" w:rsidRPr="00476824" w:rsidRDefault="00DD5B08" w:rsidP="00CB2D4B">
      <w:pPr>
        <w:rPr>
          <w:rFonts w:cs="Arial"/>
          <w:sz w:val="24"/>
          <w:szCs w:val="24"/>
        </w:rPr>
      </w:pPr>
      <w:r w:rsidRPr="00476824">
        <w:rPr>
          <w:rFonts w:cs="Arial"/>
          <w:sz w:val="24"/>
          <w:szCs w:val="24"/>
        </w:rPr>
        <w:t xml:space="preserve">The following objectives apply to all </w:t>
      </w:r>
      <w:r w:rsidR="004C10F0" w:rsidRPr="00476824">
        <w:rPr>
          <w:rFonts w:cs="Arial"/>
          <w:sz w:val="24"/>
          <w:szCs w:val="24"/>
        </w:rPr>
        <w:t>A</w:t>
      </w:r>
      <w:r w:rsidRPr="00476824">
        <w:rPr>
          <w:rFonts w:cs="Arial"/>
          <w:sz w:val="24"/>
          <w:szCs w:val="24"/>
        </w:rPr>
        <w:t xml:space="preserve">ddiction </w:t>
      </w:r>
      <w:r w:rsidR="00D80F84" w:rsidRPr="00476824">
        <w:rPr>
          <w:rFonts w:cs="Arial"/>
          <w:sz w:val="24"/>
          <w:szCs w:val="24"/>
        </w:rPr>
        <w:t>S</w:t>
      </w:r>
      <w:r w:rsidRPr="00476824">
        <w:rPr>
          <w:rFonts w:cs="Arial"/>
          <w:sz w:val="24"/>
          <w:szCs w:val="24"/>
        </w:rPr>
        <w:t>ervices</w:t>
      </w:r>
      <w:r w:rsidR="00C00639" w:rsidRPr="00476824">
        <w:rPr>
          <w:rFonts w:cs="Arial"/>
          <w:sz w:val="24"/>
          <w:szCs w:val="24"/>
        </w:rPr>
        <w:t>:</w:t>
      </w:r>
    </w:p>
    <w:p w:rsidR="00DD5B08" w:rsidRPr="00476824" w:rsidRDefault="00DD5B08" w:rsidP="00C77C11">
      <w:pPr>
        <w:spacing w:before="120" w:after="60"/>
        <w:rPr>
          <w:rFonts w:cs="Arial"/>
          <w:sz w:val="24"/>
          <w:szCs w:val="24"/>
        </w:rPr>
      </w:pPr>
      <w:r w:rsidRPr="00476824">
        <w:rPr>
          <w:rFonts w:cs="Arial"/>
          <w:sz w:val="24"/>
          <w:szCs w:val="24"/>
        </w:rPr>
        <w:t xml:space="preserve">Supporting </w:t>
      </w:r>
      <w:r w:rsidR="004C10F0" w:rsidRPr="00476824">
        <w:rPr>
          <w:rFonts w:cs="Arial"/>
          <w:sz w:val="24"/>
          <w:szCs w:val="24"/>
        </w:rPr>
        <w:t>r</w:t>
      </w:r>
      <w:r w:rsidRPr="00476824">
        <w:rPr>
          <w:rFonts w:cs="Arial"/>
          <w:sz w:val="24"/>
          <w:szCs w:val="24"/>
        </w:rPr>
        <w:t>ecovery</w:t>
      </w:r>
    </w:p>
    <w:p w:rsidR="00DD5B08" w:rsidRPr="00476824" w:rsidRDefault="00DD5B08" w:rsidP="008741C3">
      <w:pPr>
        <w:ind w:left="540"/>
        <w:rPr>
          <w:rFonts w:cs="Arial"/>
          <w:color w:val="000000"/>
          <w:sz w:val="24"/>
          <w:szCs w:val="24"/>
          <w:lang w:val="en-US"/>
        </w:rPr>
      </w:pPr>
      <w:r w:rsidRPr="00476824">
        <w:rPr>
          <w:rFonts w:cs="Arial"/>
          <w:color w:val="000000"/>
          <w:sz w:val="24"/>
          <w:szCs w:val="24"/>
          <w:lang w:val="en-US"/>
        </w:rPr>
        <w:t xml:space="preserve">Recovery is about building a satisfying and meaningful life as defined by the person themselves.  It is not simply about harm minimisation, but includes a movement towards health, wellbeing and participation in society.  Recovery will vary between individuals often taking time to achieve and effort to maintain.  The recovery process involves inclusion, or re-entry into society, improved self-identity and the idea of ‘giving back’ to society and others, such as family members, who may have been adversely affected by the individual’s addiction. </w:t>
      </w:r>
    </w:p>
    <w:p w:rsidR="00DD5B08" w:rsidRPr="00476824" w:rsidRDefault="00DD5B08" w:rsidP="00C77C11">
      <w:pPr>
        <w:spacing w:before="120" w:after="60"/>
        <w:rPr>
          <w:rFonts w:cs="Arial"/>
          <w:color w:val="000000"/>
          <w:sz w:val="24"/>
          <w:szCs w:val="24"/>
          <w:lang w:val="en-US"/>
        </w:rPr>
      </w:pPr>
      <w:r w:rsidRPr="00476824">
        <w:rPr>
          <w:rFonts w:cs="Arial"/>
          <w:color w:val="000000"/>
          <w:sz w:val="24"/>
          <w:szCs w:val="24"/>
          <w:lang w:val="en-US"/>
        </w:rPr>
        <w:t xml:space="preserve">Acknowledge </w:t>
      </w:r>
      <w:r w:rsidR="00FC304D" w:rsidRPr="00476824">
        <w:rPr>
          <w:rFonts w:cs="Arial"/>
          <w:color w:val="000000"/>
          <w:sz w:val="24"/>
          <w:szCs w:val="24"/>
          <w:lang w:val="en-US"/>
        </w:rPr>
        <w:t>a</w:t>
      </w:r>
      <w:r w:rsidRPr="00476824">
        <w:rPr>
          <w:rFonts w:cs="Arial"/>
          <w:color w:val="000000"/>
          <w:sz w:val="24"/>
          <w:szCs w:val="24"/>
          <w:lang w:val="en-US"/>
        </w:rPr>
        <w:t xml:space="preserve">nd </w:t>
      </w:r>
      <w:r w:rsidR="004C10F0" w:rsidRPr="00476824">
        <w:rPr>
          <w:rFonts w:cs="Arial"/>
          <w:color w:val="000000"/>
          <w:sz w:val="24"/>
          <w:szCs w:val="24"/>
          <w:lang w:val="en-US"/>
        </w:rPr>
        <w:t>a</w:t>
      </w:r>
      <w:r w:rsidRPr="00476824">
        <w:rPr>
          <w:rFonts w:cs="Arial"/>
          <w:color w:val="000000"/>
          <w:sz w:val="24"/>
          <w:szCs w:val="24"/>
          <w:lang w:val="en-US"/>
        </w:rPr>
        <w:t xml:space="preserve">ddress </w:t>
      </w:r>
      <w:r w:rsidR="004C10F0" w:rsidRPr="00476824">
        <w:rPr>
          <w:rFonts w:cs="Arial"/>
          <w:color w:val="000000"/>
          <w:sz w:val="24"/>
          <w:szCs w:val="24"/>
          <w:lang w:val="en-US"/>
        </w:rPr>
        <w:t>c</w:t>
      </w:r>
      <w:r w:rsidRPr="00476824">
        <w:rPr>
          <w:rFonts w:cs="Arial"/>
          <w:color w:val="000000"/>
          <w:sz w:val="24"/>
          <w:szCs w:val="24"/>
          <w:lang w:val="en-US"/>
        </w:rPr>
        <w:t xml:space="preserve">o-existing </w:t>
      </w:r>
      <w:r w:rsidR="004C10F0" w:rsidRPr="00476824">
        <w:rPr>
          <w:rFonts w:cs="Arial"/>
          <w:color w:val="000000"/>
          <w:sz w:val="24"/>
          <w:szCs w:val="24"/>
          <w:lang w:val="en-US"/>
        </w:rPr>
        <w:t>p</w:t>
      </w:r>
      <w:r w:rsidRPr="00476824">
        <w:rPr>
          <w:rFonts w:cs="Arial"/>
          <w:color w:val="000000"/>
          <w:sz w:val="24"/>
          <w:szCs w:val="24"/>
          <w:lang w:val="en-US"/>
        </w:rPr>
        <w:t>roblems</w:t>
      </w:r>
    </w:p>
    <w:p w:rsidR="00DD5B08" w:rsidRPr="00476824" w:rsidRDefault="00DD5B08" w:rsidP="008741C3">
      <w:pPr>
        <w:autoSpaceDE w:val="0"/>
        <w:autoSpaceDN w:val="0"/>
        <w:adjustRightInd w:val="0"/>
        <w:ind w:left="540"/>
        <w:rPr>
          <w:rFonts w:cs="Arial"/>
          <w:sz w:val="24"/>
          <w:szCs w:val="24"/>
        </w:rPr>
      </w:pPr>
      <w:r w:rsidRPr="00476824">
        <w:rPr>
          <w:rFonts w:cs="Arial"/>
          <w:color w:val="000000"/>
          <w:sz w:val="24"/>
          <w:szCs w:val="24"/>
        </w:rPr>
        <w:t xml:space="preserve">Along with addiction, many </w:t>
      </w:r>
      <w:r w:rsidR="009A01C0" w:rsidRPr="00476824">
        <w:rPr>
          <w:rFonts w:cs="Arial"/>
          <w:color w:val="000000"/>
          <w:sz w:val="24"/>
          <w:szCs w:val="24"/>
        </w:rPr>
        <w:t>Service User</w:t>
      </w:r>
      <w:r w:rsidRPr="00476824">
        <w:rPr>
          <w:rFonts w:cs="Arial"/>
          <w:color w:val="000000"/>
          <w:sz w:val="24"/>
          <w:szCs w:val="24"/>
        </w:rPr>
        <w:t>s may also experience mental health issues.  This is evidenced in New Zealand and international literature.  Addiction services are expected to respond to these multiple issues.  A response might include screening, assessment and then providing a range of responses which may include interventions, co-working or referral.  Services should also pay attention to people</w:t>
      </w:r>
      <w:r w:rsidR="004C10F0" w:rsidRPr="00476824">
        <w:rPr>
          <w:rFonts w:cs="Arial"/>
          <w:color w:val="000000"/>
          <w:sz w:val="24"/>
          <w:szCs w:val="24"/>
        </w:rPr>
        <w:t>’</w:t>
      </w:r>
      <w:r w:rsidRPr="00476824">
        <w:rPr>
          <w:rFonts w:cs="Arial"/>
          <w:color w:val="000000"/>
          <w:sz w:val="24"/>
          <w:szCs w:val="24"/>
        </w:rPr>
        <w:t>s general health needs and refer them to health services than can assist with these.</w:t>
      </w:r>
    </w:p>
    <w:p w:rsidR="000856FB" w:rsidRDefault="000856FB">
      <w:pPr>
        <w:rPr>
          <w:rFonts w:cs="Arial"/>
          <w:color w:val="000000"/>
          <w:sz w:val="24"/>
          <w:szCs w:val="24"/>
          <w:lang w:val="en-US"/>
        </w:rPr>
      </w:pPr>
      <w:r>
        <w:rPr>
          <w:rFonts w:cs="Arial"/>
          <w:color w:val="000000"/>
          <w:sz w:val="24"/>
          <w:szCs w:val="24"/>
          <w:lang w:val="en-US"/>
        </w:rPr>
        <w:br w:type="page"/>
      </w:r>
    </w:p>
    <w:p w:rsidR="00200CC2" w:rsidRPr="00476824" w:rsidRDefault="00200CC2" w:rsidP="00C77C11">
      <w:pPr>
        <w:spacing w:before="120" w:after="60"/>
        <w:rPr>
          <w:rFonts w:cs="Arial"/>
          <w:sz w:val="24"/>
          <w:szCs w:val="24"/>
          <w:lang w:val="en-AU"/>
        </w:rPr>
      </w:pPr>
      <w:r w:rsidRPr="00476824">
        <w:rPr>
          <w:rFonts w:cs="Arial"/>
          <w:color w:val="000000"/>
          <w:sz w:val="24"/>
          <w:szCs w:val="24"/>
          <w:lang w:val="en-US"/>
        </w:rPr>
        <w:lastRenderedPageBreak/>
        <w:t xml:space="preserve">Inclusiveness </w:t>
      </w:r>
      <w:r w:rsidR="00FC304D" w:rsidRPr="00476824">
        <w:rPr>
          <w:rFonts w:cs="Arial"/>
          <w:color w:val="000000"/>
          <w:sz w:val="24"/>
          <w:szCs w:val="24"/>
          <w:lang w:val="en-US"/>
        </w:rPr>
        <w:t>o</w:t>
      </w:r>
      <w:r w:rsidRPr="00476824">
        <w:rPr>
          <w:rFonts w:cs="Arial"/>
          <w:color w:val="000000"/>
          <w:sz w:val="24"/>
          <w:szCs w:val="24"/>
          <w:lang w:val="en-US"/>
        </w:rPr>
        <w:t xml:space="preserve">f </w:t>
      </w:r>
      <w:r w:rsidR="004C10F0" w:rsidRPr="00476824">
        <w:rPr>
          <w:rFonts w:cs="Arial"/>
          <w:color w:val="000000"/>
          <w:sz w:val="24"/>
          <w:szCs w:val="24"/>
          <w:lang w:val="en-US"/>
        </w:rPr>
        <w:t>f</w:t>
      </w:r>
      <w:r w:rsidRPr="00476824">
        <w:rPr>
          <w:rFonts w:cs="Arial"/>
          <w:color w:val="000000"/>
          <w:sz w:val="24"/>
          <w:szCs w:val="24"/>
          <w:lang w:val="en-US"/>
        </w:rPr>
        <w:t xml:space="preserve">amily </w:t>
      </w:r>
      <w:r w:rsidR="00FC304D" w:rsidRPr="00476824">
        <w:rPr>
          <w:rFonts w:cs="Arial"/>
          <w:color w:val="000000"/>
          <w:sz w:val="24"/>
          <w:szCs w:val="24"/>
          <w:lang w:val="en-US"/>
        </w:rPr>
        <w:t>a</w:t>
      </w:r>
      <w:r w:rsidRPr="00476824">
        <w:rPr>
          <w:rFonts w:cs="Arial"/>
          <w:color w:val="000000"/>
          <w:sz w:val="24"/>
          <w:szCs w:val="24"/>
          <w:lang w:val="en-US"/>
        </w:rPr>
        <w:t xml:space="preserve">nd </w:t>
      </w:r>
      <w:r w:rsidR="004C10F0" w:rsidRPr="00476824">
        <w:rPr>
          <w:rFonts w:cs="Arial"/>
          <w:color w:val="000000"/>
          <w:sz w:val="24"/>
          <w:szCs w:val="24"/>
          <w:lang w:val="en-US"/>
        </w:rPr>
        <w:t>w</w:t>
      </w:r>
      <w:r w:rsidRPr="00476824">
        <w:rPr>
          <w:rFonts w:cs="Arial"/>
          <w:color w:val="000000"/>
          <w:sz w:val="24"/>
          <w:szCs w:val="24"/>
          <w:lang w:val="en-US"/>
        </w:rPr>
        <w:t>hānau</w:t>
      </w:r>
      <w:r w:rsidRPr="00476824">
        <w:rPr>
          <w:rStyle w:val="FootnoteReference"/>
          <w:rFonts w:cs="Arial"/>
          <w:color w:val="000000"/>
          <w:sz w:val="24"/>
          <w:szCs w:val="24"/>
          <w:lang w:val="en-US"/>
        </w:rPr>
        <w:footnoteReference w:id="1"/>
      </w:r>
    </w:p>
    <w:p w:rsidR="00200CC2" w:rsidRPr="00476824" w:rsidRDefault="00200CC2" w:rsidP="008741C3">
      <w:pPr>
        <w:ind w:left="540"/>
        <w:rPr>
          <w:rFonts w:cs="Arial"/>
          <w:sz w:val="24"/>
          <w:szCs w:val="24"/>
          <w:lang w:val="en-AU"/>
        </w:rPr>
      </w:pPr>
      <w:r w:rsidRPr="00476824">
        <w:rPr>
          <w:rFonts w:cs="Arial"/>
          <w:color w:val="000000"/>
          <w:sz w:val="24"/>
          <w:szCs w:val="24"/>
          <w:lang w:val="en-US"/>
        </w:rPr>
        <w:t>Inclusiveness of family and whānau is vital to achieve and maintain successful treatment outcomes.  This involves engaging family and whānau in the therapeutic</w:t>
      </w:r>
      <w:r w:rsidR="004C10F0" w:rsidRPr="00476824">
        <w:rPr>
          <w:rFonts w:cs="Arial"/>
          <w:color w:val="000000"/>
          <w:sz w:val="24"/>
          <w:szCs w:val="24"/>
          <w:lang w:val="en-US"/>
        </w:rPr>
        <w:t xml:space="preserve"> and </w:t>
      </w:r>
      <w:r w:rsidRPr="00476824">
        <w:rPr>
          <w:rFonts w:cs="Arial"/>
          <w:color w:val="000000"/>
          <w:sz w:val="24"/>
          <w:szCs w:val="24"/>
          <w:lang w:val="en-US"/>
        </w:rPr>
        <w:t>treatment process; prevention measure</w:t>
      </w:r>
      <w:r w:rsidR="004C10F0" w:rsidRPr="00476824">
        <w:rPr>
          <w:rFonts w:cs="Arial"/>
          <w:color w:val="000000"/>
          <w:sz w:val="24"/>
          <w:szCs w:val="24"/>
          <w:lang w:val="en-US"/>
        </w:rPr>
        <w:t>s</w:t>
      </w:r>
      <w:r w:rsidRPr="00476824">
        <w:rPr>
          <w:rFonts w:cs="Arial"/>
          <w:color w:val="000000"/>
          <w:sz w:val="24"/>
          <w:szCs w:val="24"/>
          <w:lang w:val="en-US"/>
        </w:rPr>
        <w:t xml:space="preserve"> to ensure family and whānau members do not also follow the same path of addiction; and providing services to family and whānau members if it becomes apparent that they also have an addiction.  Family and whānau involvement in the treatment process will help enhance their knowledge and understanding of how best to respond to the needs of their family member.</w:t>
      </w:r>
    </w:p>
    <w:p w:rsidR="00200CC2" w:rsidRPr="00476824" w:rsidRDefault="00200CC2" w:rsidP="00C77C11">
      <w:pPr>
        <w:spacing w:before="120" w:after="60"/>
        <w:rPr>
          <w:rFonts w:cs="Arial"/>
          <w:sz w:val="24"/>
          <w:szCs w:val="24"/>
          <w:lang w:val="en-AU"/>
        </w:rPr>
      </w:pPr>
      <w:r w:rsidRPr="00476824">
        <w:rPr>
          <w:rFonts w:cs="Arial"/>
          <w:sz w:val="24"/>
          <w:szCs w:val="24"/>
          <w:lang w:val="en-AU"/>
        </w:rPr>
        <w:t xml:space="preserve">A </w:t>
      </w:r>
      <w:r w:rsidR="004C10F0" w:rsidRPr="00476824">
        <w:rPr>
          <w:rFonts w:cs="Arial"/>
          <w:sz w:val="24"/>
          <w:szCs w:val="24"/>
          <w:lang w:val="en-AU"/>
        </w:rPr>
        <w:t>c</w:t>
      </w:r>
      <w:r w:rsidRPr="00476824">
        <w:rPr>
          <w:rFonts w:cs="Arial"/>
          <w:sz w:val="24"/>
          <w:szCs w:val="24"/>
          <w:lang w:val="en-AU"/>
        </w:rPr>
        <w:t xml:space="preserve">ontinuum </w:t>
      </w:r>
      <w:r w:rsidR="00FC304D" w:rsidRPr="00476824">
        <w:rPr>
          <w:rFonts w:cs="Arial"/>
          <w:sz w:val="24"/>
          <w:szCs w:val="24"/>
          <w:lang w:val="en-AU"/>
        </w:rPr>
        <w:t>f</w:t>
      </w:r>
      <w:r w:rsidRPr="00476824">
        <w:rPr>
          <w:rFonts w:cs="Arial"/>
          <w:sz w:val="24"/>
          <w:szCs w:val="24"/>
          <w:lang w:val="en-AU"/>
        </w:rPr>
        <w:t xml:space="preserve">rom </w:t>
      </w:r>
      <w:r w:rsidR="004C10F0" w:rsidRPr="00476824">
        <w:rPr>
          <w:rFonts w:cs="Arial"/>
          <w:sz w:val="24"/>
          <w:szCs w:val="24"/>
          <w:lang w:val="en-AU"/>
        </w:rPr>
        <w:t>h</w:t>
      </w:r>
      <w:r w:rsidRPr="00476824">
        <w:rPr>
          <w:rFonts w:cs="Arial"/>
          <w:sz w:val="24"/>
          <w:szCs w:val="24"/>
          <w:lang w:val="en-AU"/>
        </w:rPr>
        <w:t xml:space="preserve">arm </w:t>
      </w:r>
      <w:r w:rsidR="004C10F0" w:rsidRPr="00476824">
        <w:rPr>
          <w:rFonts w:cs="Arial"/>
          <w:sz w:val="24"/>
          <w:szCs w:val="24"/>
          <w:lang w:val="en-AU"/>
        </w:rPr>
        <w:t>r</w:t>
      </w:r>
      <w:r w:rsidRPr="00476824">
        <w:rPr>
          <w:rFonts w:cs="Arial"/>
          <w:sz w:val="24"/>
          <w:szCs w:val="24"/>
          <w:lang w:val="en-AU"/>
        </w:rPr>
        <w:t>eduction</w:t>
      </w:r>
      <w:r w:rsidRPr="00476824">
        <w:rPr>
          <w:rStyle w:val="FootnoteReference"/>
          <w:rFonts w:cs="Arial"/>
          <w:sz w:val="24"/>
          <w:szCs w:val="24"/>
          <w:lang w:val="en-AU"/>
        </w:rPr>
        <w:footnoteReference w:id="2"/>
      </w:r>
      <w:r w:rsidRPr="00476824">
        <w:rPr>
          <w:rFonts w:cs="Arial"/>
          <w:sz w:val="24"/>
          <w:szCs w:val="24"/>
          <w:lang w:val="en-AU"/>
        </w:rPr>
        <w:t xml:space="preserve"> </w:t>
      </w:r>
      <w:r w:rsidR="00FC304D" w:rsidRPr="00476824">
        <w:rPr>
          <w:rFonts w:cs="Arial"/>
          <w:sz w:val="24"/>
          <w:szCs w:val="24"/>
          <w:lang w:val="en-AU"/>
        </w:rPr>
        <w:t>t</w:t>
      </w:r>
      <w:r w:rsidRPr="00476824">
        <w:rPr>
          <w:rFonts w:cs="Arial"/>
          <w:sz w:val="24"/>
          <w:szCs w:val="24"/>
          <w:lang w:val="en-AU"/>
        </w:rPr>
        <w:t xml:space="preserve">o </w:t>
      </w:r>
      <w:r w:rsidR="004C10F0" w:rsidRPr="00476824">
        <w:rPr>
          <w:rFonts w:cs="Arial"/>
          <w:sz w:val="24"/>
          <w:szCs w:val="24"/>
          <w:lang w:val="en-AU"/>
        </w:rPr>
        <w:t>a</w:t>
      </w:r>
      <w:r w:rsidRPr="00476824">
        <w:rPr>
          <w:rFonts w:cs="Arial"/>
          <w:sz w:val="24"/>
          <w:szCs w:val="24"/>
          <w:lang w:val="en-AU"/>
        </w:rPr>
        <w:t>bstinence</w:t>
      </w:r>
    </w:p>
    <w:p w:rsidR="00200CC2" w:rsidRPr="00476824" w:rsidRDefault="00200CC2" w:rsidP="00CB2D4B">
      <w:pPr>
        <w:ind w:left="720"/>
        <w:rPr>
          <w:rFonts w:cs="Arial"/>
          <w:sz w:val="24"/>
          <w:szCs w:val="24"/>
          <w:lang w:val="en-AU"/>
        </w:rPr>
      </w:pPr>
      <w:r w:rsidRPr="00476824">
        <w:rPr>
          <w:rFonts w:cs="Arial"/>
          <w:sz w:val="24"/>
          <w:szCs w:val="24"/>
          <w:lang w:val="en-AU"/>
        </w:rPr>
        <w:t xml:space="preserve">Harm reduction and abstinence approaches occur within a spectrum of treatment approaches for a spectrum of needs (NCAT, 2008).  Both abstinence and harm reduction are widely accepted approaches to addiction treatment with both approaches have their place within the continuum.  </w:t>
      </w:r>
      <w:r w:rsidRPr="00476824">
        <w:rPr>
          <w:rFonts w:cs="Arial"/>
          <w:sz w:val="24"/>
          <w:szCs w:val="24"/>
        </w:rPr>
        <w:t>Harm reduction includes policies, programmes, services and actions that work to reduce the health, social and economic harms to individuals, communities and society.</w:t>
      </w:r>
    </w:p>
    <w:p w:rsidR="00200CC2" w:rsidRPr="00476824" w:rsidRDefault="00200CC2" w:rsidP="00C77C11">
      <w:pPr>
        <w:spacing w:before="120" w:after="60"/>
        <w:ind w:left="743" w:hanging="743"/>
        <w:rPr>
          <w:rFonts w:cs="Arial"/>
          <w:sz w:val="24"/>
          <w:szCs w:val="24"/>
          <w:lang w:val="en-AU"/>
        </w:rPr>
      </w:pPr>
      <w:r w:rsidRPr="00476824">
        <w:rPr>
          <w:rFonts w:cs="Arial"/>
          <w:sz w:val="24"/>
          <w:szCs w:val="24"/>
          <w:lang w:val="en-AU"/>
        </w:rPr>
        <w:t xml:space="preserve">Integrated </w:t>
      </w:r>
      <w:r w:rsidR="004C10F0" w:rsidRPr="00476824">
        <w:rPr>
          <w:rFonts w:cs="Arial"/>
          <w:sz w:val="24"/>
          <w:szCs w:val="24"/>
          <w:lang w:val="en-AU"/>
        </w:rPr>
        <w:t>c</w:t>
      </w:r>
      <w:r w:rsidRPr="00476824">
        <w:rPr>
          <w:rFonts w:cs="Arial"/>
          <w:sz w:val="24"/>
          <w:szCs w:val="24"/>
          <w:lang w:val="en-AU"/>
        </w:rPr>
        <w:t>are</w:t>
      </w:r>
    </w:p>
    <w:p w:rsidR="00200CC2" w:rsidRPr="00476824" w:rsidRDefault="00200CC2" w:rsidP="00CB2D4B">
      <w:pPr>
        <w:ind w:left="720"/>
        <w:rPr>
          <w:rFonts w:cs="Arial"/>
          <w:sz w:val="24"/>
          <w:szCs w:val="24"/>
          <w:lang w:val="en-AU"/>
        </w:rPr>
      </w:pPr>
      <w:r w:rsidRPr="00476824">
        <w:rPr>
          <w:rFonts w:cs="Arial"/>
          <w:sz w:val="24"/>
          <w:szCs w:val="24"/>
          <w:lang w:val="en-AU"/>
        </w:rPr>
        <w:t xml:space="preserve">The continuum of addiction and mental health services will likely be delivered by different providers.  However these services should appear integrated to the </w:t>
      </w:r>
      <w:r w:rsidR="009A01C0" w:rsidRPr="00476824">
        <w:rPr>
          <w:rFonts w:cs="Arial"/>
          <w:sz w:val="24"/>
          <w:szCs w:val="24"/>
          <w:lang w:val="en-AU"/>
        </w:rPr>
        <w:t>Service User</w:t>
      </w:r>
      <w:r w:rsidRPr="00476824">
        <w:rPr>
          <w:rFonts w:cs="Arial"/>
          <w:sz w:val="24"/>
          <w:szCs w:val="24"/>
          <w:lang w:val="en-AU"/>
        </w:rPr>
        <w:t>.  A competent workforce will allow people to access the right treatment regardless of where they enter the system.</w:t>
      </w:r>
    </w:p>
    <w:p w:rsidR="00200CC2" w:rsidRPr="00476824" w:rsidRDefault="00200CC2" w:rsidP="00C77C11">
      <w:pPr>
        <w:spacing w:before="120" w:after="60"/>
        <w:rPr>
          <w:rFonts w:cs="Arial"/>
          <w:sz w:val="24"/>
          <w:szCs w:val="24"/>
          <w:lang w:val="en-AU"/>
        </w:rPr>
      </w:pPr>
      <w:r w:rsidRPr="00476824">
        <w:rPr>
          <w:rFonts w:cs="Arial"/>
          <w:sz w:val="24"/>
          <w:szCs w:val="24"/>
          <w:lang w:val="en-AU"/>
        </w:rPr>
        <w:t xml:space="preserve">Collaboration </w:t>
      </w:r>
    </w:p>
    <w:p w:rsidR="00200CC2" w:rsidRPr="00476824" w:rsidRDefault="00200CC2" w:rsidP="00CB2D4B">
      <w:pPr>
        <w:ind w:left="720"/>
        <w:rPr>
          <w:rFonts w:cs="Arial"/>
          <w:b/>
          <w:sz w:val="24"/>
          <w:szCs w:val="24"/>
          <w:lang w:val="en-AU"/>
        </w:rPr>
      </w:pPr>
      <w:r w:rsidRPr="00476824">
        <w:rPr>
          <w:rFonts w:cs="Arial"/>
          <w:sz w:val="24"/>
          <w:szCs w:val="24"/>
          <w:lang w:val="en-AU"/>
        </w:rPr>
        <w:t xml:space="preserve">Collaboration </w:t>
      </w:r>
      <w:r w:rsidRPr="00476824">
        <w:rPr>
          <w:rFonts w:cs="Arial"/>
          <w:sz w:val="24"/>
          <w:szCs w:val="24"/>
        </w:rPr>
        <w:t>between sectors and services</w:t>
      </w:r>
      <w:r w:rsidRPr="00476824">
        <w:rPr>
          <w:rFonts w:cs="Arial"/>
          <w:sz w:val="24"/>
          <w:szCs w:val="24"/>
          <w:lang w:val="en-AU"/>
        </w:rPr>
        <w:t xml:space="preserve"> is important for addiction services to be effective.  Collaboration includes developing capacity and capability to assess and treat co-</w:t>
      </w:r>
      <w:r w:rsidR="00D409BC" w:rsidRPr="00476824">
        <w:rPr>
          <w:rFonts w:cs="Arial"/>
          <w:sz w:val="24"/>
          <w:szCs w:val="24"/>
          <w:lang w:val="en-AU"/>
        </w:rPr>
        <w:t>existing</w:t>
      </w:r>
      <w:r w:rsidRPr="00476824">
        <w:rPr>
          <w:rFonts w:cs="Arial"/>
          <w:sz w:val="24"/>
          <w:szCs w:val="24"/>
          <w:lang w:val="en-AU"/>
        </w:rPr>
        <w:t xml:space="preserve"> addiction and mental health problems.  Collaboration involves working with other health, community and social services, as well as working across government and </w:t>
      </w:r>
      <w:r w:rsidR="009A01C0" w:rsidRPr="00476824">
        <w:rPr>
          <w:rFonts w:cs="Arial"/>
          <w:sz w:val="24"/>
          <w:szCs w:val="24"/>
          <w:lang w:val="en-AU"/>
        </w:rPr>
        <w:t>non-government</w:t>
      </w:r>
      <w:r w:rsidRPr="00476824">
        <w:rPr>
          <w:rFonts w:cs="Arial"/>
          <w:sz w:val="24"/>
          <w:szCs w:val="24"/>
          <w:lang w:val="en-AU"/>
        </w:rPr>
        <w:t xml:space="preserve"> agencies including Housing, Work and Income New Zealand, Child Youth and Family, Police, Courts and Corrections.</w:t>
      </w:r>
    </w:p>
    <w:p w:rsidR="00200CC2" w:rsidRPr="00476824" w:rsidRDefault="00200CC2" w:rsidP="00C77C11">
      <w:pPr>
        <w:spacing w:before="120" w:after="60"/>
        <w:rPr>
          <w:rFonts w:cs="Arial"/>
          <w:sz w:val="24"/>
          <w:szCs w:val="24"/>
          <w:lang w:val="en-AU"/>
        </w:rPr>
      </w:pPr>
      <w:r w:rsidRPr="00476824">
        <w:rPr>
          <w:rFonts w:cs="Arial"/>
          <w:sz w:val="24"/>
          <w:szCs w:val="24"/>
          <w:lang w:val="en-AU"/>
        </w:rPr>
        <w:t xml:space="preserve">Engagement </w:t>
      </w:r>
      <w:r w:rsidR="00FC304D" w:rsidRPr="00476824">
        <w:rPr>
          <w:rFonts w:cs="Arial"/>
          <w:sz w:val="24"/>
          <w:szCs w:val="24"/>
          <w:lang w:val="en-AU"/>
        </w:rPr>
        <w:t>a</w:t>
      </w:r>
      <w:r w:rsidRPr="00476824">
        <w:rPr>
          <w:rFonts w:cs="Arial"/>
          <w:sz w:val="24"/>
          <w:szCs w:val="24"/>
          <w:lang w:val="en-AU"/>
        </w:rPr>
        <w:t xml:space="preserve">nd </w:t>
      </w:r>
      <w:r w:rsidR="004C10F0" w:rsidRPr="00476824">
        <w:rPr>
          <w:rFonts w:cs="Arial"/>
          <w:sz w:val="24"/>
          <w:szCs w:val="24"/>
          <w:lang w:val="en-AU"/>
        </w:rPr>
        <w:t>a</w:t>
      </w:r>
      <w:r w:rsidRPr="00476824">
        <w:rPr>
          <w:rFonts w:cs="Arial"/>
          <w:sz w:val="24"/>
          <w:szCs w:val="24"/>
          <w:lang w:val="en-AU"/>
        </w:rPr>
        <w:t>ccess</w:t>
      </w:r>
    </w:p>
    <w:p w:rsidR="00200CC2" w:rsidRPr="00476824" w:rsidRDefault="00200CC2" w:rsidP="00CB2D4B">
      <w:pPr>
        <w:ind w:left="720"/>
        <w:rPr>
          <w:rFonts w:cs="Arial"/>
          <w:sz w:val="24"/>
          <w:szCs w:val="24"/>
          <w:lang w:val="en-AU"/>
        </w:rPr>
      </w:pPr>
      <w:r w:rsidRPr="00476824">
        <w:rPr>
          <w:rFonts w:cs="Arial"/>
          <w:sz w:val="24"/>
          <w:szCs w:val="24"/>
          <w:lang w:val="en-AU"/>
        </w:rPr>
        <w:t xml:space="preserve">The prevalence of alcohol and other drug abuse and dependence for males </w:t>
      </w:r>
      <w:r w:rsidR="00E50797" w:rsidRPr="00476824">
        <w:rPr>
          <w:rFonts w:cs="Arial"/>
          <w:sz w:val="24"/>
          <w:szCs w:val="24"/>
          <w:lang w:val="en-AU"/>
        </w:rPr>
        <w:t xml:space="preserve">is </w:t>
      </w:r>
      <w:r w:rsidRPr="00476824">
        <w:rPr>
          <w:rFonts w:cs="Arial"/>
          <w:sz w:val="24"/>
          <w:szCs w:val="24"/>
          <w:lang w:val="en-AU"/>
        </w:rPr>
        <w:t xml:space="preserve">around double those for females.  Māori and Pacific people experience a higher prevalence of addiction and greater problems related to substance use disorder and dependency.  The youthfulness of these populations along with relative socioeconomic disadvantage plays key part in this.  Services need to engage these populations to assist with reducing the harm caused by addiction.  This should include local </w:t>
      </w:r>
      <w:r w:rsidR="004C10F0" w:rsidRPr="00476824">
        <w:rPr>
          <w:rFonts w:cs="Arial"/>
          <w:sz w:val="24"/>
          <w:szCs w:val="24"/>
          <w:lang w:val="en-AU"/>
        </w:rPr>
        <w:t>i</w:t>
      </w:r>
      <w:r w:rsidRPr="00476824">
        <w:rPr>
          <w:rFonts w:cs="Arial"/>
          <w:sz w:val="24"/>
          <w:szCs w:val="24"/>
          <w:lang w:val="en-AU"/>
        </w:rPr>
        <w:t>wi as a major point of contact and development of relationships to support the reduction in harm caused by addiction within their communities.  The prevalence of alcohol and other drug use in gay, lesbian and transgender populations is more than double that of the general population.  Services need to engage with these populations to ensure accessibility.</w:t>
      </w:r>
    </w:p>
    <w:p w:rsidR="00200CC2" w:rsidRPr="00476824" w:rsidRDefault="00200CC2" w:rsidP="00C77C11">
      <w:pPr>
        <w:spacing w:before="120" w:after="60"/>
        <w:ind w:left="742" w:hanging="799"/>
        <w:rPr>
          <w:rFonts w:cs="Arial"/>
          <w:sz w:val="24"/>
          <w:szCs w:val="24"/>
          <w:lang w:val="en-AU"/>
        </w:rPr>
      </w:pPr>
      <w:r w:rsidRPr="00476824">
        <w:rPr>
          <w:rFonts w:cs="Arial"/>
          <w:sz w:val="24"/>
          <w:szCs w:val="24"/>
          <w:lang w:val="en-AU"/>
        </w:rPr>
        <w:t xml:space="preserve">Treatment </w:t>
      </w:r>
      <w:r w:rsidR="004C10F0" w:rsidRPr="00476824">
        <w:rPr>
          <w:rFonts w:cs="Arial"/>
          <w:sz w:val="24"/>
          <w:szCs w:val="24"/>
          <w:lang w:val="en-AU"/>
        </w:rPr>
        <w:t>o</w:t>
      </w:r>
      <w:r w:rsidRPr="00476824">
        <w:rPr>
          <w:rFonts w:cs="Arial"/>
          <w:sz w:val="24"/>
          <w:szCs w:val="24"/>
          <w:lang w:val="en-AU"/>
        </w:rPr>
        <w:t xml:space="preserve">ptions </w:t>
      </w:r>
      <w:r w:rsidR="00FC304D" w:rsidRPr="00476824">
        <w:rPr>
          <w:rFonts w:cs="Arial"/>
          <w:sz w:val="24"/>
          <w:szCs w:val="24"/>
          <w:lang w:val="en-AU"/>
        </w:rPr>
        <w:t>f</w:t>
      </w:r>
      <w:r w:rsidRPr="00476824">
        <w:rPr>
          <w:rFonts w:cs="Arial"/>
          <w:sz w:val="24"/>
          <w:szCs w:val="24"/>
          <w:lang w:val="en-AU"/>
        </w:rPr>
        <w:t xml:space="preserve">or </w:t>
      </w:r>
      <w:r w:rsidR="004C10F0" w:rsidRPr="00476824">
        <w:rPr>
          <w:rFonts w:cs="Arial"/>
          <w:sz w:val="24"/>
          <w:szCs w:val="24"/>
          <w:lang w:val="en-AU"/>
        </w:rPr>
        <w:t>y</w:t>
      </w:r>
      <w:r w:rsidRPr="00476824">
        <w:rPr>
          <w:rFonts w:cs="Arial"/>
          <w:sz w:val="24"/>
          <w:szCs w:val="24"/>
          <w:lang w:val="en-AU"/>
        </w:rPr>
        <w:t xml:space="preserve">oung </w:t>
      </w:r>
      <w:r w:rsidR="004C10F0" w:rsidRPr="00476824">
        <w:rPr>
          <w:rFonts w:cs="Arial"/>
          <w:sz w:val="24"/>
          <w:szCs w:val="24"/>
          <w:lang w:val="en-AU"/>
        </w:rPr>
        <w:t>p</w:t>
      </w:r>
      <w:r w:rsidRPr="00476824">
        <w:rPr>
          <w:rFonts w:cs="Arial"/>
          <w:sz w:val="24"/>
          <w:szCs w:val="24"/>
          <w:lang w:val="en-AU"/>
        </w:rPr>
        <w:t xml:space="preserve">eople </w:t>
      </w:r>
      <w:r w:rsidR="00FC304D" w:rsidRPr="00476824">
        <w:rPr>
          <w:rFonts w:cs="Arial"/>
          <w:sz w:val="24"/>
          <w:szCs w:val="24"/>
          <w:lang w:val="en-AU"/>
        </w:rPr>
        <w:t>a</w:t>
      </w:r>
      <w:r w:rsidRPr="00476824">
        <w:rPr>
          <w:rFonts w:cs="Arial"/>
          <w:sz w:val="24"/>
          <w:szCs w:val="24"/>
          <w:lang w:val="en-AU"/>
        </w:rPr>
        <w:t xml:space="preserve">nd </w:t>
      </w:r>
      <w:r w:rsidR="00FC304D" w:rsidRPr="00476824">
        <w:rPr>
          <w:rFonts w:cs="Arial"/>
          <w:sz w:val="24"/>
          <w:szCs w:val="24"/>
          <w:lang w:val="en-AU"/>
        </w:rPr>
        <w:t>t</w:t>
      </w:r>
      <w:r w:rsidRPr="00476824">
        <w:rPr>
          <w:rFonts w:cs="Arial"/>
          <w:sz w:val="24"/>
          <w:szCs w:val="24"/>
          <w:lang w:val="en-AU"/>
        </w:rPr>
        <w:t xml:space="preserve">heir </w:t>
      </w:r>
      <w:r w:rsidR="004C10F0" w:rsidRPr="00476824">
        <w:rPr>
          <w:rFonts w:cs="Arial"/>
          <w:sz w:val="24"/>
          <w:szCs w:val="24"/>
          <w:lang w:val="en-AU"/>
        </w:rPr>
        <w:t>f</w:t>
      </w:r>
      <w:r w:rsidRPr="00476824">
        <w:rPr>
          <w:rFonts w:cs="Arial"/>
          <w:sz w:val="24"/>
          <w:szCs w:val="24"/>
          <w:lang w:val="en-AU"/>
        </w:rPr>
        <w:t>amilies</w:t>
      </w:r>
    </w:p>
    <w:p w:rsidR="00200CC2" w:rsidRPr="00476824" w:rsidRDefault="00200CC2" w:rsidP="00CB2D4B">
      <w:pPr>
        <w:ind w:left="720"/>
        <w:rPr>
          <w:rFonts w:cs="Arial"/>
          <w:sz w:val="24"/>
          <w:szCs w:val="24"/>
          <w:lang w:val="en-AU"/>
        </w:rPr>
      </w:pPr>
      <w:r w:rsidRPr="00476824">
        <w:rPr>
          <w:rFonts w:cs="Arial"/>
          <w:sz w:val="24"/>
          <w:szCs w:val="24"/>
          <w:lang w:val="en-AU"/>
        </w:rPr>
        <w:t xml:space="preserve">Services will provide a range of point of access services for young people and will address their developmental needs and achievements.  </w:t>
      </w:r>
    </w:p>
    <w:p w:rsidR="000856FB" w:rsidRDefault="000856FB">
      <w:pPr>
        <w:rPr>
          <w:rFonts w:cs="Arial"/>
          <w:sz w:val="24"/>
          <w:szCs w:val="24"/>
          <w:lang w:val="en-AU"/>
        </w:rPr>
      </w:pPr>
      <w:r>
        <w:rPr>
          <w:rFonts w:cs="Arial"/>
          <w:sz w:val="24"/>
          <w:szCs w:val="24"/>
          <w:lang w:val="en-AU"/>
        </w:rPr>
        <w:br w:type="page"/>
      </w:r>
    </w:p>
    <w:p w:rsidR="00200CC2" w:rsidRPr="00476824" w:rsidRDefault="00200CC2" w:rsidP="00C77C11">
      <w:pPr>
        <w:spacing w:before="120" w:after="60"/>
        <w:rPr>
          <w:rFonts w:cs="Arial"/>
          <w:sz w:val="24"/>
          <w:szCs w:val="24"/>
          <w:lang w:val="en-AU"/>
        </w:rPr>
      </w:pPr>
      <w:r w:rsidRPr="00476824">
        <w:rPr>
          <w:rFonts w:cs="Arial"/>
          <w:sz w:val="24"/>
          <w:szCs w:val="24"/>
          <w:lang w:val="en-AU"/>
        </w:rPr>
        <w:lastRenderedPageBreak/>
        <w:t xml:space="preserve">Offering </w:t>
      </w:r>
      <w:r w:rsidR="004C10F0" w:rsidRPr="00476824">
        <w:rPr>
          <w:rFonts w:cs="Arial"/>
          <w:sz w:val="24"/>
          <w:szCs w:val="24"/>
          <w:lang w:val="en-AU"/>
        </w:rPr>
        <w:t>c</w:t>
      </w:r>
      <w:r w:rsidRPr="00476824">
        <w:rPr>
          <w:rFonts w:cs="Arial"/>
          <w:sz w:val="24"/>
          <w:szCs w:val="24"/>
          <w:lang w:val="en-AU"/>
        </w:rPr>
        <w:t xml:space="preserve">hoice </w:t>
      </w:r>
    </w:p>
    <w:p w:rsidR="00200CC2" w:rsidRPr="00476824" w:rsidRDefault="00200CC2" w:rsidP="00CB2D4B">
      <w:pPr>
        <w:ind w:left="720"/>
        <w:rPr>
          <w:rFonts w:cs="Arial"/>
          <w:sz w:val="24"/>
          <w:szCs w:val="24"/>
          <w:lang w:val="en-AU"/>
        </w:rPr>
      </w:pPr>
      <w:r w:rsidRPr="00476824">
        <w:rPr>
          <w:rFonts w:cs="Arial"/>
          <w:sz w:val="24"/>
          <w:szCs w:val="24"/>
          <w:lang w:val="en-AU"/>
        </w:rPr>
        <w:t xml:space="preserve">Within the boundaries of what is geographically and practically possible, offering choice may include a choice of service providers, treatment models, setting and times that services are delivered.  </w:t>
      </w:r>
    </w:p>
    <w:p w:rsidR="00200CC2" w:rsidRPr="00476824" w:rsidRDefault="00200CC2" w:rsidP="00C77C11">
      <w:pPr>
        <w:spacing w:before="120" w:after="60"/>
        <w:rPr>
          <w:rFonts w:cs="Arial"/>
          <w:sz w:val="24"/>
          <w:szCs w:val="24"/>
        </w:rPr>
      </w:pPr>
      <w:r w:rsidRPr="00476824">
        <w:rPr>
          <w:rFonts w:cs="Arial"/>
          <w:sz w:val="24"/>
          <w:szCs w:val="24"/>
        </w:rPr>
        <w:t xml:space="preserve">Treatment </w:t>
      </w:r>
      <w:r w:rsidR="004C10F0" w:rsidRPr="00476824">
        <w:rPr>
          <w:rFonts w:cs="Arial"/>
          <w:sz w:val="24"/>
          <w:szCs w:val="24"/>
        </w:rPr>
        <w:t>m</w:t>
      </w:r>
      <w:r w:rsidRPr="00476824">
        <w:rPr>
          <w:rFonts w:cs="Arial"/>
          <w:sz w:val="24"/>
          <w:szCs w:val="24"/>
        </w:rPr>
        <w:t xml:space="preserve">ust </w:t>
      </w:r>
      <w:r w:rsidR="004C10F0" w:rsidRPr="00476824">
        <w:rPr>
          <w:rFonts w:cs="Arial"/>
          <w:sz w:val="24"/>
          <w:szCs w:val="24"/>
        </w:rPr>
        <w:t>a</w:t>
      </w:r>
      <w:r w:rsidRPr="00476824">
        <w:rPr>
          <w:rFonts w:cs="Arial"/>
          <w:sz w:val="24"/>
          <w:szCs w:val="24"/>
        </w:rPr>
        <w:t xml:space="preserve">dequately </w:t>
      </w:r>
      <w:r w:rsidR="004C10F0" w:rsidRPr="00476824">
        <w:rPr>
          <w:rFonts w:cs="Arial"/>
          <w:sz w:val="24"/>
          <w:szCs w:val="24"/>
        </w:rPr>
        <w:t>a</w:t>
      </w:r>
      <w:r w:rsidRPr="00476824">
        <w:rPr>
          <w:rFonts w:cs="Arial"/>
          <w:sz w:val="24"/>
          <w:szCs w:val="24"/>
        </w:rPr>
        <w:t xml:space="preserve">ddress </w:t>
      </w:r>
      <w:r w:rsidR="004C10F0" w:rsidRPr="00476824">
        <w:rPr>
          <w:rFonts w:cs="Arial"/>
          <w:sz w:val="24"/>
          <w:szCs w:val="24"/>
        </w:rPr>
        <w:t>p</w:t>
      </w:r>
      <w:r w:rsidRPr="00476824">
        <w:rPr>
          <w:rFonts w:cs="Arial"/>
          <w:sz w:val="24"/>
          <w:szCs w:val="24"/>
        </w:rPr>
        <w:t xml:space="preserve">eople’s </w:t>
      </w:r>
      <w:r w:rsidR="004C10F0" w:rsidRPr="00476824">
        <w:rPr>
          <w:rFonts w:cs="Arial"/>
          <w:sz w:val="24"/>
          <w:szCs w:val="24"/>
        </w:rPr>
        <w:t>n</w:t>
      </w:r>
      <w:r w:rsidRPr="00476824">
        <w:rPr>
          <w:rFonts w:cs="Arial"/>
          <w:sz w:val="24"/>
          <w:szCs w:val="24"/>
        </w:rPr>
        <w:t xml:space="preserve">eeds, </w:t>
      </w:r>
      <w:r w:rsidR="00FC304D" w:rsidRPr="00476824">
        <w:rPr>
          <w:rFonts w:cs="Arial"/>
          <w:sz w:val="24"/>
          <w:szCs w:val="24"/>
        </w:rPr>
        <w:t>n</w:t>
      </w:r>
      <w:r w:rsidRPr="00476824">
        <w:rPr>
          <w:rFonts w:cs="Arial"/>
          <w:sz w:val="24"/>
          <w:szCs w:val="24"/>
        </w:rPr>
        <w:t xml:space="preserve">ot </w:t>
      </w:r>
      <w:r w:rsidR="00FC304D" w:rsidRPr="00476824">
        <w:rPr>
          <w:rFonts w:cs="Arial"/>
          <w:sz w:val="24"/>
          <w:szCs w:val="24"/>
        </w:rPr>
        <w:t>j</w:t>
      </w:r>
      <w:r w:rsidRPr="00476824">
        <w:rPr>
          <w:rFonts w:cs="Arial"/>
          <w:sz w:val="24"/>
          <w:szCs w:val="24"/>
        </w:rPr>
        <w:t xml:space="preserve">ust </w:t>
      </w:r>
      <w:r w:rsidR="00FC304D" w:rsidRPr="00476824">
        <w:rPr>
          <w:rFonts w:cs="Arial"/>
          <w:sz w:val="24"/>
          <w:szCs w:val="24"/>
        </w:rPr>
        <w:t>t</w:t>
      </w:r>
      <w:r w:rsidRPr="00476824">
        <w:rPr>
          <w:rFonts w:cs="Arial"/>
          <w:sz w:val="24"/>
          <w:szCs w:val="24"/>
        </w:rPr>
        <w:t xml:space="preserve">heir </w:t>
      </w:r>
      <w:r w:rsidR="004C10F0" w:rsidRPr="00476824">
        <w:rPr>
          <w:rFonts w:cs="Arial"/>
          <w:sz w:val="24"/>
          <w:szCs w:val="24"/>
        </w:rPr>
        <w:t>a</w:t>
      </w:r>
      <w:r w:rsidRPr="00476824">
        <w:rPr>
          <w:rFonts w:cs="Arial"/>
          <w:sz w:val="24"/>
          <w:szCs w:val="24"/>
        </w:rPr>
        <w:t>ddiction</w:t>
      </w:r>
    </w:p>
    <w:p w:rsidR="00200CC2" w:rsidRPr="00476824" w:rsidRDefault="00200CC2" w:rsidP="00CB2D4B">
      <w:pPr>
        <w:ind w:left="720"/>
        <w:rPr>
          <w:rFonts w:cs="Arial"/>
          <w:sz w:val="24"/>
          <w:szCs w:val="24"/>
        </w:rPr>
      </w:pPr>
      <w:r w:rsidRPr="00476824">
        <w:rPr>
          <w:rFonts w:cs="Arial"/>
          <w:sz w:val="24"/>
          <w:szCs w:val="24"/>
        </w:rPr>
        <w:t xml:space="preserve">Increasingly addiction treatment embodies a holistic focus combined with a strengths-based approach, incorporating the strengths of the person and their family and viewing the whole person in the context of what it means to be well for them (NCAT, 2008).  This includes </w:t>
      </w:r>
      <w:r w:rsidR="009A01C0" w:rsidRPr="00476824">
        <w:rPr>
          <w:rFonts w:cs="Arial"/>
          <w:sz w:val="24"/>
          <w:szCs w:val="24"/>
        </w:rPr>
        <w:t>Service User</w:t>
      </w:r>
      <w:r w:rsidRPr="00476824">
        <w:rPr>
          <w:rFonts w:cs="Arial"/>
          <w:sz w:val="24"/>
          <w:szCs w:val="24"/>
        </w:rPr>
        <w:t>s who have depend</w:t>
      </w:r>
      <w:r w:rsidR="004C10F0" w:rsidRPr="00476824">
        <w:rPr>
          <w:rFonts w:cs="Arial"/>
          <w:sz w:val="24"/>
          <w:szCs w:val="24"/>
        </w:rPr>
        <w:t>a</w:t>
      </w:r>
      <w:r w:rsidRPr="00476824">
        <w:rPr>
          <w:rFonts w:cs="Arial"/>
          <w:sz w:val="24"/>
          <w:szCs w:val="24"/>
        </w:rPr>
        <w:t>nts.</w:t>
      </w:r>
    </w:p>
    <w:p w:rsidR="00200CC2" w:rsidRPr="00476824" w:rsidRDefault="00200CC2" w:rsidP="00C77C11">
      <w:pPr>
        <w:spacing w:before="120" w:after="60"/>
        <w:rPr>
          <w:rFonts w:cs="Arial"/>
          <w:sz w:val="24"/>
          <w:szCs w:val="24"/>
          <w:lang w:val="en-AU"/>
        </w:rPr>
      </w:pPr>
      <w:r w:rsidRPr="00476824">
        <w:rPr>
          <w:rFonts w:cs="Arial"/>
          <w:sz w:val="24"/>
          <w:szCs w:val="24"/>
          <w:lang w:val="en-AU"/>
        </w:rPr>
        <w:t xml:space="preserve">Continuing </w:t>
      </w:r>
      <w:r w:rsidR="004C10F0" w:rsidRPr="00476824">
        <w:rPr>
          <w:rFonts w:cs="Arial"/>
          <w:sz w:val="24"/>
          <w:szCs w:val="24"/>
          <w:lang w:val="en-AU"/>
        </w:rPr>
        <w:t>c</w:t>
      </w:r>
      <w:r w:rsidRPr="00476824">
        <w:rPr>
          <w:rFonts w:cs="Arial"/>
          <w:sz w:val="24"/>
          <w:szCs w:val="24"/>
          <w:lang w:val="en-AU"/>
        </w:rPr>
        <w:t xml:space="preserve">are </w:t>
      </w:r>
      <w:r w:rsidR="004C10F0" w:rsidRPr="00476824">
        <w:rPr>
          <w:rFonts w:cs="Arial"/>
          <w:sz w:val="24"/>
          <w:szCs w:val="24"/>
          <w:lang w:val="en-AU"/>
        </w:rPr>
        <w:t>s</w:t>
      </w:r>
      <w:r w:rsidRPr="00476824">
        <w:rPr>
          <w:rFonts w:cs="Arial"/>
          <w:sz w:val="24"/>
          <w:szCs w:val="24"/>
          <w:lang w:val="en-AU"/>
        </w:rPr>
        <w:t xml:space="preserve">ervices </w:t>
      </w:r>
    </w:p>
    <w:p w:rsidR="00200CC2" w:rsidRPr="00476824" w:rsidRDefault="00200CC2" w:rsidP="00CB2D4B">
      <w:pPr>
        <w:ind w:left="720"/>
        <w:rPr>
          <w:rFonts w:cs="Arial"/>
          <w:sz w:val="24"/>
          <w:szCs w:val="24"/>
          <w:lang w:val="en-AU"/>
        </w:rPr>
      </w:pPr>
      <w:r w:rsidRPr="00476824">
        <w:rPr>
          <w:rFonts w:cs="Arial"/>
          <w:sz w:val="24"/>
          <w:szCs w:val="24"/>
          <w:lang w:val="en-AU"/>
        </w:rPr>
        <w:t xml:space="preserve">Continuing care involves providing ongoing treatment and support so the gains made in treatment are not lost.  The importance of continuing care is widely accepted in recognition that there is a high risk of relapse in the period immediately post treatment.  All treatment services need to pay attention to ongoing support.  Continuing care can include relapse prevention, support groups and individual support for those wishing to maintain the changes they have made in treatment.  Access to education or training, advisory services, peer support and social networks and employment support may be included.  </w:t>
      </w:r>
    </w:p>
    <w:p w:rsidR="00200CC2" w:rsidRPr="00476824" w:rsidRDefault="00200CC2" w:rsidP="00C77C11">
      <w:pPr>
        <w:spacing w:before="120" w:after="60"/>
        <w:rPr>
          <w:rFonts w:cs="Arial"/>
          <w:sz w:val="24"/>
          <w:szCs w:val="24"/>
          <w:lang w:val="en-AU"/>
        </w:rPr>
      </w:pPr>
      <w:r w:rsidRPr="00476824">
        <w:rPr>
          <w:rFonts w:cs="Arial"/>
          <w:sz w:val="24"/>
          <w:szCs w:val="24"/>
          <w:lang w:val="en-AU"/>
        </w:rPr>
        <w:t xml:space="preserve">Ability </w:t>
      </w:r>
      <w:r w:rsidR="00FC304D" w:rsidRPr="00476824">
        <w:rPr>
          <w:rFonts w:cs="Arial"/>
          <w:sz w:val="24"/>
          <w:szCs w:val="24"/>
          <w:lang w:val="en-AU"/>
        </w:rPr>
        <w:t>t</w:t>
      </w:r>
      <w:r w:rsidRPr="00476824">
        <w:rPr>
          <w:rFonts w:cs="Arial"/>
          <w:sz w:val="24"/>
          <w:szCs w:val="24"/>
          <w:lang w:val="en-AU"/>
        </w:rPr>
        <w:t xml:space="preserve">o </w:t>
      </w:r>
      <w:r w:rsidR="004C10F0" w:rsidRPr="00476824">
        <w:rPr>
          <w:rFonts w:cs="Arial"/>
          <w:sz w:val="24"/>
          <w:szCs w:val="24"/>
          <w:lang w:val="en-AU"/>
        </w:rPr>
        <w:t>r</w:t>
      </w:r>
      <w:r w:rsidRPr="00476824">
        <w:rPr>
          <w:rFonts w:cs="Arial"/>
          <w:sz w:val="24"/>
          <w:szCs w:val="24"/>
          <w:lang w:val="en-AU"/>
        </w:rPr>
        <w:t>e-</w:t>
      </w:r>
      <w:r w:rsidR="004C10F0" w:rsidRPr="00476824">
        <w:rPr>
          <w:rFonts w:cs="Arial"/>
          <w:sz w:val="24"/>
          <w:szCs w:val="24"/>
          <w:lang w:val="en-AU"/>
        </w:rPr>
        <w:t>e</w:t>
      </w:r>
      <w:r w:rsidRPr="00476824">
        <w:rPr>
          <w:rFonts w:cs="Arial"/>
          <w:sz w:val="24"/>
          <w:szCs w:val="24"/>
          <w:lang w:val="en-AU"/>
        </w:rPr>
        <w:t xml:space="preserve">ngage </w:t>
      </w:r>
      <w:r w:rsidR="00FC304D" w:rsidRPr="00476824">
        <w:rPr>
          <w:rFonts w:cs="Arial"/>
          <w:sz w:val="24"/>
          <w:szCs w:val="24"/>
          <w:lang w:val="en-AU"/>
        </w:rPr>
        <w:t>w</w:t>
      </w:r>
      <w:r w:rsidRPr="00476824">
        <w:rPr>
          <w:rFonts w:cs="Arial"/>
          <w:sz w:val="24"/>
          <w:szCs w:val="24"/>
          <w:lang w:val="en-AU"/>
        </w:rPr>
        <w:t xml:space="preserve">ith </w:t>
      </w:r>
      <w:r w:rsidR="004C10F0" w:rsidRPr="00476824">
        <w:rPr>
          <w:rFonts w:cs="Arial"/>
          <w:sz w:val="24"/>
          <w:szCs w:val="24"/>
          <w:lang w:val="en-AU"/>
        </w:rPr>
        <w:t>s</w:t>
      </w:r>
      <w:r w:rsidRPr="00476824">
        <w:rPr>
          <w:rFonts w:cs="Arial"/>
          <w:sz w:val="24"/>
          <w:szCs w:val="24"/>
          <w:lang w:val="en-AU"/>
        </w:rPr>
        <w:t>ervices</w:t>
      </w:r>
    </w:p>
    <w:p w:rsidR="00200CC2" w:rsidRPr="00476824" w:rsidRDefault="00200CC2" w:rsidP="00CB2D4B">
      <w:pPr>
        <w:ind w:left="684"/>
        <w:rPr>
          <w:rFonts w:cs="Arial"/>
          <w:sz w:val="24"/>
          <w:szCs w:val="24"/>
          <w:lang w:val="en-AU"/>
        </w:rPr>
      </w:pPr>
      <w:r w:rsidRPr="00476824">
        <w:rPr>
          <w:rFonts w:cs="Arial"/>
          <w:sz w:val="24"/>
          <w:szCs w:val="24"/>
          <w:lang w:val="en-AU"/>
        </w:rPr>
        <w:t>Addiction problems often involve relapse.</w:t>
      </w:r>
      <w:r w:rsidR="00FC304D" w:rsidRPr="00476824">
        <w:rPr>
          <w:rFonts w:cs="Arial"/>
          <w:sz w:val="24"/>
          <w:szCs w:val="24"/>
          <w:lang w:val="en-AU"/>
        </w:rPr>
        <w:t xml:space="preserve"> </w:t>
      </w:r>
      <w:r w:rsidRPr="00476824">
        <w:rPr>
          <w:rFonts w:cs="Arial"/>
          <w:sz w:val="24"/>
          <w:szCs w:val="24"/>
          <w:lang w:val="en-AU"/>
        </w:rPr>
        <w:t xml:space="preserve"> In these instances, it is important that </w:t>
      </w:r>
      <w:r w:rsidRPr="00476824">
        <w:rPr>
          <w:rFonts w:cs="Arial"/>
          <w:sz w:val="24"/>
          <w:szCs w:val="24"/>
        </w:rPr>
        <w:t xml:space="preserve">mechanisms are in place to allow people to re-enter service immediately if there is a problem with their success in recovery.  </w:t>
      </w:r>
      <w:r w:rsidR="009A01C0" w:rsidRPr="00476824">
        <w:rPr>
          <w:rFonts w:cs="Arial"/>
          <w:sz w:val="24"/>
          <w:szCs w:val="24"/>
          <w:lang w:val="en-AU"/>
        </w:rPr>
        <w:t>Service User</w:t>
      </w:r>
      <w:r w:rsidRPr="00476824">
        <w:rPr>
          <w:rFonts w:cs="Arial"/>
          <w:sz w:val="24"/>
          <w:szCs w:val="24"/>
          <w:lang w:val="en-AU"/>
        </w:rPr>
        <w:t xml:space="preserve">s and their family and whānau should be made aware of how to re-enter with services if necessary.  </w:t>
      </w:r>
      <w:r w:rsidRPr="00476824">
        <w:rPr>
          <w:rFonts w:cs="Arial"/>
          <w:sz w:val="24"/>
          <w:szCs w:val="24"/>
        </w:rPr>
        <w:t xml:space="preserve">Services may at times have waiting lists, and these should be managed in conjunction with other services and prioritised according to level of risk. </w:t>
      </w:r>
    </w:p>
    <w:p w:rsidR="00027868" w:rsidRPr="009B5893" w:rsidRDefault="00027868" w:rsidP="007E41D0">
      <w:pPr>
        <w:pStyle w:val="ListParagraph"/>
        <w:numPr>
          <w:ilvl w:val="1"/>
          <w:numId w:val="27"/>
        </w:numPr>
        <w:spacing w:before="120"/>
        <w:ind w:left="567" w:hanging="567"/>
        <w:rPr>
          <w:rFonts w:cs="Arial"/>
          <w:b/>
          <w:sz w:val="24"/>
          <w:szCs w:val="24"/>
        </w:rPr>
      </w:pPr>
      <w:bookmarkStart w:id="47" w:name="_Toc215319138"/>
      <w:r w:rsidRPr="009B5893">
        <w:rPr>
          <w:rFonts w:cs="Arial"/>
          <w:b/>
          <w:sz w:val="24"/>
          <w:szCs w:val="24"/>
        </w:rPr>
        <w:t>M</w:t>
      </w:r>
      <w:r w:rsidRPr="009B5893">
        <w:rPr>
          <w:rFonts w:cs="Arial"/>
          <w:b/>
          <w:bCs/>
        </w:rPr>
        <w:t>ā</w:t>
      </w:r>
      <w:r w:rsidRPr="009B5893">
        <w:rPr>
          <w:rFonts w:cs="Arial"/>
          <w:b/>
          <w:sz w:val="24"/>
          <w:szCs w:val="24"/>
        </w:rPr>
        <w:t>ori Health</w:t>
      </w:r>
      <w:bookmarkEnd w:id="47"/>
    </w:p>
    <w:p w:rsidR="009A01C0" w:rsidRPr="00476824" w:rsidRDefault="00CB2D4B" w:rsidP="00CB2D4B">
      <w:pPr>
        <w:spacing w:before="120"/>
        <w:rPr>
          <w:rFonts w:cs="Arial"/>
          <w:sz w:val="24"/>
          <w:szCs w:val="24"/>
        </w:rPr>
      </w:pPr>
      <w:r w:rsidRPr="00476824">
        <w:rPr>
          <w:rFonts w:cs="Arial"/>
          <w:sz w:val="24"/>
          <w:szCs w:val="24"/>
        </w:rPr>
        <w:t>Refer to tier one Mental Health and Addiction Services</w:t>
      </w:r>
      <w:r w:rsidR="0065320E" w:rsidRPr="00476824">
        <w:rPr>
          <w:rFonts w:cs="Arial"/>
          <w:sz w:val="24"/>
          <w:szCs w:val="24"/>
        </w:rPr>
        <w:t xml:space="preserve"> service specification</w:t>
      </w:r>
      <w:r w:rsidRPr="00476824">
        <w:rPr>
          <w:rFonts w:cs="Arial"/>
          <w:sz w:val="24"/>
          <w:szCs w:val="24"/>
        </w:rPr>
        <w:t>.</w:t>
      </w:r>
    </w:p>
    <w:p w:rsidR="00027868" w:rsidRPr="00476824" w:rsidRDefault="00027868" w:rsidP="0061047E">
      <w:pPr>
        <w:spacing w:before="240"/>
        <w:rPr>
          <w:rFonts w:cs="Arial"/>
          <w:b/>
          <w:sz w:val="24"/>
          <w:szCs w:val="24"/>
        </w:rPr>
      </w:pPr>
      <w:bookmarkStart w:id="48" w:name="_Toc215319140"/>
      <w:r w:rsidRPr="00476824">
        <w:rPr>
          <w:rFonts w:cs="Arial"/>
          <w:b/>
          <w:sz w:val="24"/>
          <w:szCs w:val="24"/>
        </w:rPr>
        <w:t>3.</w:t>
      </w:r>
      <w:r w:rsidRPr="00476824">
        <w:rPr>
          <w:rFonts w:cs="Arial"/>
          <w:b/>
          <w:sz w:val="24"/>
          <w:szCs w:val="24"/>
        </w:rPr>
        <w:tab/>
      </w:r>
      <w:r w:rsidR="009A01C0" w:rsidRPr="00476824">
        <w:rPr>
          <w:rFonts w:cs="Arial"/>
          <w:b/>
          <w:sz w:val="24"/>
          <w:szCs w:val="24"/>
        </w:rPr>
        <w:t>Service User</w:t>
      </w:r>
      <w:r w:rsidRPr="00476824">
        <w:rPr>
          <w:rFonts w:cs="Arial"/>
          <w:b/>
          <w:sz w:val="24"/>
          <w:szCs w:val="24"/>
        </w:rPr>
        <w:t>s</w:t>
      </w:r>
      <w:bookmarkEnd w:id="48"/>
    </w:p>
    <w:p w:rsidR="0065320E" w:rsidRPr="00476824" w:rsidRDefault="0065320E" w:rsidP="0065320E">
      <w:pPr>
        <w:spacing w:before="120"/>
        <w:rPr>
          <w:rFonts w:cs="Arial"/>
          <w:sz w:val="24"/>
          <w:szCs w:val="24"/>
          <w:lang w:val="en-AU"/>
        </w:rPr>
      </w:pPr>
      <w:r w:rsidRPr="00476824">
        <w:rPr>
          <w:rFonts w:cs="Arial"/>
          <w:sz w:val="24"/>
          <w:szCs w:val="24"/>
        </w:rPr>
        <w:t>Refer to tier one Mental Health and Addiction Services service specification.</w:t>
      </w:r>
    </w:p>
    <w:p w:rsidR="00027868" w:rsidRPr="00476824" w:rsidRDefault="00027868" w:rsidP="009B5893">
      <w:pPr>
        <w:tabs>
          <w:tab w:val="left" w:pos="540"/>
        </w:tabs>
        <w:spacing w:before="240"/>
        <w:rPr>
          <w:rFonts w:cs="Arial"/>
          <w:b/>
          <w:sz w:val="24"/>
          <w:szCs w:val="24"/>
        </w:rPr>
      </w:pPr>
      <w:bookmarkStart w:id="49" w:name="_Toc215319141"/>
      <w:r w:rsidRPr="00476824">
        <w:rPr>
          <w:rFonts w:cs="Arial"/>
          <w:b/>
          <w:sz w:val="24"/>
          <w:szCs w:val="24"/>
        </w:rPr>
        <w:t>4.</w:t>
      </w:r>
      <w:r w:rsidRPr="00476824">
        <w:rPr>
          <w:rFonts w:cs="Arial"/>
          <w:b/>
          <w:sz w:val="24"/>
          <w:szCs w:val="24"/>
        </w:rPr>
        <w:tab/>
        <w:t>Access</w:t>
      </w:r>
      <w:bookmarkEnd w:id="49"/>
    </w:p>
    <w:p w:rsidR="00027868" w:rsidRPr="00476824" w:rsidRDefault="00027868" w:rsidP="009B5893">
      <w:pPr>
        <w:spacing w:before="120"/>
        <w:rPr>
          <w:rFonts w:cs="Arial"/>
          <w:sz w:val="24"/>
          <w:szCs w:val="24"/>
        </w:rPr>
      </w:pPr>
      <w:r w:rsidRPr="00476824">
        <w:rPr>
          <w:rFonts w:cs="Arial"/>
          <w:sz w:val="24"/>
          <w:szCs w:val="24"/>
        </w:rPr>
        <w:t xml:space="preserve">Entry and exit criteria specific to the </w:t>
      </w:r>
      <w:r w:rsidR="004C10F0" w:rsidRPr="00476824">
        <w:rPr>
          <w:rFonts w:cs="Arial"/>
          <w:sz w:val="24"/>
          <w:szCs w:val="24"/>
        </w:rPr>
        <w:t>S</w:t>
      </w:r>
      <w:r w:rsidRPr="00476824">
        <w:rPr>
          <w:rFonts w:cs="Arial"/>
          <w:sz w:val="24"/>
          <w:szCs w:val="24"/>
        </w:rPr>
        <w:t xml:space="preserve">ervice are described in tier three service specifications. </w:t>
      </w:r>
    </w:p>
    <w:p w:rsidR="00027868" w:rsidRPr="00476824" w:rsidRDefault="00027868" w:rsidP="009B5893">
      <w:pPr>
        <w:tabs>
          <w:tab w:val="left" w:pos="570"/>
        </w:tabs>
        <w:spacing w:before="240"/>
        <w:rPr>
          <w:rFonts w:cs="Arial"/>
          <w:b/>
          <w:sz w:val="24"/>
          <w:szCs w:val="24"/>
        </w:rPr>
      </w:pPr>
      <w:bookmarkStart w:id="50" w:name="_Toc215319145"/>
      <w:r w:rsidRPr="00476824">
        <w:rPr>
          <w:rFonts w:cs="Arial"/>
          <w:b/>
          <w:sz w:val="24"/>
          <w:szCs w:val="24"/>
        </w:rPr>
        <w:t>5.</w:t>
      </w:r>
      <w:r w:rsidRPr="00476824">
        <w:rPr>
          <w:rFonts w:cs="Arial"/>
          <w:b/>
          <w:sz w:val="24"/>
          <w:szCs w:val="24"/>
        </w:rPr>
        <w:tab/>
        <w:t>Service Components</w:t>
      </w:r>
      <w:bookmarkEnd w:id="50"/>
    </w:p>
    <w:p w:rsidR="00027868" w:rsidRPr="00476824" w:rsidRDefault="00027868" w:rsidP="00CB2D4B">
      <w:pPr>
        <w:tabs>
          <w:tab w:val="left" w:pos="570"/>
        </w:tabs>
        <w:spacing w:before="120" w:after="60"/>
        <w:rPr>
          <w:rFonts w:cs="Arial"/>
          <w:b/>
          <w:sz w:val="24"/>
          <w:szCs w:val="24"/>
        </w:rPr>
      </w:pPr>
      <w:bookmarkStart w:id="51" w:name="_Toc215319146"/>
      <w:r w:rsidRPr="00476824">
        <w:rPr>
          <w:rFonts w:cs="Arial"/>
          <w:b/>
          <w:sz w:val="24"/>
          <w:szCs w:val="24"/>
        </w:rPr>
        <w:t>5.1</w:t>
      </w:r>
      <w:r w:rsidRPr="00476824">
        <w:rPr>
          <w:rFonts w:cs="Arial"/>
          <w:b/>
          <w:sz w:val="24"/>
          <w:szCs w:val="24"/>
        </w:rPr>
        <w:tab/>
        <w:t>Processes</w:t>
      </w:r>
      <w:bookmarkEnd w:id="51"/>
    </w:p>
    <w:p w:rsidR="006A6709" w:rsidRPr="00476824" w:rsidRDefault="00027868" w:rsidP="00CB2D4B">
      <w:pPr>
        <w:spacing w:after="60"/>
        <w:rPr>
          <w:rFonts w:cs="Arial"/>
          <w:sz w:val="24"/>
          <w:szCs w:val="24"/>
        </w:rPr>
      </w:pPr>
      <w:r w:rsidRPr="00476824">
        <w:rPr>
          <w:rFonts w:cs="Arial"/>
          <w:sz w:val="24"/>
          <w:szCs w:val="24"/>
        </w:rPr>
        <w:t>The processes include but are not limited to the following:</w:t>
      </w:r>
      <w:r w:rsidR="0090001C" w:rsidRPr="00476824">
        <w:rPr>
          <w:rFonts w:cs="Arial"/>
          <w:sz w:val="24"/>
          <w:szCs w:val="24"/>
        </w:rPr>
        <w:t xml:space="preserve"> </w:t>
      </w:r>
      <w:r w:rsidR="00C77C11" w:rsidRPr="00476824">
        <w:rPr>
          <w:rFonts w:cs="Arial"/>
          <w:sz w:val="24"/>
          <w:szCs w:val="24"/>
        </w:rPr>
        <w:t>h</w:t>
      </w:r>
      <w:r w:rsidR="006A6709" w:rsidRPr="00476824">
        <w:rPr>
          <w:rFonts w:cs="Arial"/>
          <w:sz w:val="24"/>
          <w:szCs w:val="24"/>
        </w:rPr>
        <w:t xml:space="preserve">ealth education; engagement; assessment; diagnosis; treatment; case management; consultation, </w:t>
      </w:r>
      <w:r w:rsidR="004C10F0" w:rsidRPr="00476824">
        <w:rPr>
          <w:rFonts w:cs="Arial"/>
          <w:sz w:val="24"/>
          <w:szCs w:val="24"/>
        </w:rPr>
        <w:t xml:space="preserve">advocacy, </w:t>
      </w:r>
      <w:r w:rsidR="006A6709" w:rsidRPr="00476824">
        <w:rPr>
          <w:rFonts w:cs="Arial"/>
          <w:sz w:val="24"/>
          <w:szCs w:val="24"/>
        </w:rPr>
        <w:t xml:space="preserve">liaison; support; review process </w:t>
      </w:r>
      <w:r w:rsidR="00FC304D" w:rsidRPr="00476824">
        <w:rPr>
          <w:rFonts w:cs="Arial"/>
          <w:sz w:val="24"/>
          <w:szCs w:val="24"/>
        </w:rPr>
        <w:t xml:space="preserve">and </w:t>
      </w:r>
      <w:r w:rsidR="006A6709" w:rsidRPr="00476824">
        <w:rPr>
          <w:rFonts w:cs="Arial"/>
          <w:sz w:val="24"/>
          <w:szCs w:val="24"/>
        </w:rPr>
        <w:t>discharge</w:t>
      </w:r>
      <w:r w:rsidR="00FC304D" w:rsidRPr="00476824">
        <w:rPr>
          <w:rFonts w:cs="Arial"/>
          <w:sz w:val="24"/>
          <w:szCs w:val="24"/>
        </w:rPr>
        <w:t>.</w:t>
      </w:r>
    </w:p>
    <w:p w:rsidR="00027868" w:rsidRPr="00476824" w:rsidRDefault="00027868" w:rsidP="00CB2D4B">
      <w:pPr>
        <w:tabs>
          <w:tab w:val="left" w:pos="570"/>
        </w:tabs>
        <w:spacing w:before="120" w:after="60"/>
        <w:rPr>
          <w:rFonts w:cs="Arial"/>
          <w:b/>
          <w:sz w:val="24"/>
          <w:szCs w:val="24"/>
        </w:rPr>
      </w:pPr>
      <w:bookmarkStart w:id="52" w:name="_Toc215319147"/>
      <w:r w:rsidRPr="00476824">
        <w:rPr>
          <w:rFonts w:cs="Arial"/>
          <w:b/>
          <w:sz w:val="24"/>
          <w:szCs w:val="24"/>
        </w:rPr>
        <w:t>5.2</w:t>
      </w:r>
      <w:r w:rsidRPr="00476824">
        <w:rPr>
          <w:rFonts w:cs="Arial"/>
          <w:b/>
          <w:sz w:val="24"/>
          <w:szCs w:val="24"/>
        </w:rPr>
        <w:tab/>
        <w:t>Settings</w:t>
      </w:r>
      <w:bookmarkEnd w:id="52"/>
    </w:p>
    <w:p w:rsidR="00027868" w:rsidRPr="00476824" w:rsidRDefault="00027868" w:rsidP="00CB2D4B">
      <w:pPr>
        <w:spacing w:before="120"/>
        <w:rPr>
          <w:rFonts w:cs="Arial"/>
          <w:sz w:val="24"/>
          <w:szCs w:val="24"/>
        </w:rPr>
      </w:pPr>
      <w:r w:rsidRPr="00476824">
        <w:rPr>
          <w:rFonts w:cs="Arial"/>
          <w:sz w:val="24"/>
          <w:szCs w:val="24"/>
        </w:rPr>
        <w:t xml:space="preserve">The Service </w:t>
      </w:r>
      <w:r w:rsidR="00D2418D" w:rsidRPr="00476824">
        <w:rPr>
          <w:rFonts w:cs="Arial"/>
          <w:sz w:val="24"/>
          <w:szCs w:val="24"/>
        </w:rPr>
        <w:t>may be</w:t>
      </w:r>
      <w:r w:rsidRPr="00476824">
        <w:rPr>
          <w:rFonts w:cs="Arial"/>
          <w:sz w:val="24"/>
          <w:szCs w:val="24"/>
        </w:rPr>
        <w:t xml:space="preserve"> provided in community</w:t>
      </w:r>
      <w:r w:rsidR="00DD7388" w:rsidRPr="00476824">
        <w:rPr>
          <w:rFonts w:cs="Arial"/>
          <w:sz w:val="24"/>
          <w:szCs w:val="24"/>
        </w:rPr>
        <w:t xml:space="preserve">, </w:t>
      </w:r>
      <w:r w:rsidR="009F2AD4" w:rsidRPr="00476824">
        <w:rPr>
          <w:rFonts w:cs="Arial"/>
          <w:sz w:val="24"/>
          <w:szCs w:val="24"/>
        </w:rPr>
        <w:t xml:space="preserve">home </w:t>
      </w:r>
      <w:r w:rsidRPr="00476824">
        <w:rPr>
          <w:rFonts w:cs="Arial"/>
          <w:sz w:val="24"/>
          <w:szCs w:val="24"/>
        </w:rPr>
        <w:t xml:space="preserve">and hospital based settings. </w:t>
      </w:r>
    </w:p>
    <w:p w:rsidR="00027868" w:rsidRPr="00476824" w:rsidRDefault="00027868" w:rsidP="00CB2D4B">
      <w:pPr>
        <w:tabs>
          <w:tab w:val="left" w:pos="570"/>
        </w:tabs>
        <w:spacing w:before="120" w:after="60"/>
        <w:rPr>
          <w:rFonts w:cs="Arial"/>
          <w:b/>
          <w:sz w:val="24"/>
          <w:szCs w:val="24"/>
        </w:rPr>
      </w:pPr>
      <w:bookmarkStart w:id="53" w:name="_Toc215319151"/>
      <w:r w:rsidRPr="00476824">
        <w:rPr>
          <w:rFonts w:cs="Arial"/>
          <w:b/>
          <w:sz w:val="24"/>
          <w:szCs w:val="24"/>
        </w:rPr>
        <w:t>5.3</w:t>
      </w:r>
      <w:r w:rsidRPr="00476824">
        <w:rPr>
          <w:rFonts w:cs="Arial"/>
          <w:b/>
          <w:sz w:val="24"/>
          <w:szCs w:val="24"/>
        </w:rPr>
        <w:tab/>
        <w:t xml:space="preserve">Key Inputs </w:t>
      </w:r>
      <w:bookmarkStart w:id="54" w:name="_Toc215319152"/>
      <w:bookmarkEnd w:id="53"/>
    </w:p>
    <w:p w:rsidR="006A6709" w:rsidRPr="00476824" w:rsidRDefault="006A6709" w:rsidP="00CB2D4B">
      <w:pPr>
        <w:tabs>
          <w:tab w:val="left" w:pos="570"/>
        </w:tabs>
        <w:spacing w:before="120" w:after="60"/>
        <w:rPr>
          <w:rFonts w:cs="Arial"/>
          <w:sz w:val="24"/>
          <w:szCs w:val="24"/>
        </w:rPr>
      </w:pPr>
      <w:r w:rsidRPr="00476824">
        <w:rPr>
          <w:rFonts w:cs="Arial"/>
          <w:sz w:val="24"/>
          <w:szCs w:val="24"/>
        </w:rPr>
        <w:t xml:space="preserve">The key input for Addiction </w:t>
      </w:r>
      <w:r w:rsidR="00D80F84" w:rsidRPr="00476824">
        <w:rPr>
          <w:rFonts w:cs="Arial"/>
          <w:sz w:val="24"/>
          <w:szCs w:val="24"/>
        </w:rPr>
        <w:t>S</w:t>
      </w:r>
      <w:r w:rsidRPr="00476824">
        <w:rPr>
          <w:rFonts w:cs="Arial"/>
          <w:sz w:val="24"/>
          <w:szCs w:val="24"/>
        </w:rPr>
        <w:t>ervices is the workforce</w:t>
      </w:r>
      <w:r w:rsidR="00C77C11" w:rsidRPr="00476824">
        <w:rPr>
          <w:rFonts w:cs="Arial"/>
          <w:sz w:val="24"/>
          <w:szCs w:val="24"/>
        </w:rPr>
        <w:t>.</w:t>
      </w:r>
      <w:r w:rsidRPr="00476824">
        <w:rPr>
          <w:rFonts w:cs="Arial"/>
          <w:sz w:val="24"/>
          <w:szCs w:val="24"/>
        </w:rPr>
        <w:t xml:space="preserve"> </w:t>
      </w:r>
    </w:p>
    <w:p w:rsidR="000856FB" w:rsidRDefault="000856FB">
      <w:pPr>
        <w:rPr>
          <w:rFonts w:cs="Arial"/>
          <w:b/>
          <w:sz w:val="24"/>
          <w:szCs w:val="24"/>
        </w:rPr>
      </w:pPr>
      <w:r>
        <w:rPr>
          <w:rFonts w:cs="Arial"/>
          <w:b/>
          <w:sz w:val="24"/>
          <w:szCs w:val="24"/>
        </w:rPr>
        <w:br w:type="page"/>
      </w:r>
    </w:p>
    <w:p w:rsidR="00DD7388" w:rsidRPr="00476824" w:rsidRDefault="00DD7388" w:rsidP="00CB2D4B">
      <w:pPr>
        <w:tabs>
          <w:tab w:val="left" w:pos="570"/>
        </w:tabs>
        <w:spacing w:before="120" w:after="60"/>
        <w:rPr>
          <w:rFonts w:cs="Arial"/>
          <w:b/>
          <w:sz w:val="24"/>
          <w:szCs w:val="24"/>
        </w:rPr>
      </w:pPr>
      <w:r w:rsidRPr="00476824">
        <w:rPr>
          <w:rFonts w:cs="Arial"/>
          <w:b/>
          <w:sz w:val="24"/>
          <w:szCs w:val="24"/>
        </w:rPr>
        <w:lastRenderedPageBreak/>
        <w:t>5.4.</w:t>
      </w:r>
      <w:r w:rsidRPr="00476824">
        <w:rPr>
          <w:rFonts w:cs="Arial"/>
          <w:b/>
          <w:sz w:val="24"/>
          <w:szCs w:val="24"/>
        </w:rPr>
        <w:tab/>
        <w:t xml:space="preserve">Pacific Health </w:t>
      </w:r>
    </w:p>
    <w:p w:rsidR="00DD7388" w:rsidRPr="00476824" w:rsidRDefault="004B6294" w:rsidP="00CB2D4B">
      <w:pPr>
        <w:spacing w:after="120"/>
        <w:rPr>
          <w:rFonts w:cs="Arial"/>
          <w:sz w:val="24"/>
          <w:szCs w:val="24"/>
        </w:rPr>
      </w:pPr>
      <w:r w:rsidRPr="00476824">
        <w:rPr>
          <w:rFonts w:cs="Arial"/>
          <w:sz w:val="24"/>
          <w:szCs w:val="24"/>
        </w:rPr>
        <w:t>Refer to tier one Mental Health and Addiction Services service specification</w:t>
      </w:r>
    </w:p>
    <w:p w:rsidR="00027868" w:rsidRPr="00476824" w:rsidRDefault="00027868" w:rsidP="00CB2D4B">
      <w:pPr>
        <w:tabs>
          <w:tab w:val="left" w:pos="570"/>
        </w:tabs>
        <w:spacing w:before="240" w:after="120"/>
        <w:rPr>
          <w:rFonts w:cs="Arial"/>
          <w:b/>
          <w:sz w:val="24"/>
          <w:szCs w:val="24"/>
        </w:rPr>
      </w:pPr>
      <w:bookmarkStart w:id="55" w:name="_Toc215319155"/>
      <w:bookmarkEnd w:id="54"/>
      <w:r w:rsidRPr="00476824">
        <w:rPr>
          <w:rFonts w:cs="Arial"/>
          <w:b/>
          <w:sz w:val="24"/>
          <w:szCs w:val="24"/>
        </w:rPr>
        <w:t>6.</w:t>
      </w:r>
      <w:r w:rsidRPr="00476824">
        <w:rPr>
          <w:rFonts w:cs="Arial"/>
          <w:b/>
          <w:sz w:val="24"/>
          <w:szCs w:val="24"/>
        </w:rPr>
        <w:tab/>
        <w:t>Service Linkages</w:t>
      </w:r>
      <w:bookmarkEnd w:id="55"/>
    </w:p>
    <w:p w:rsidR="00027868" w:rsidRPr="00476824" w:rsidRDefault="00027868" w:rsidP="00CB2D4B">
      <w:pPr>
        <w:spacing w:before="120" w:after="120"/>
        <w:rPr>
          <w:rFonts w:cs="Arial"/>
          <w:sz w:val="24"/>
          <w:szCs w:val="24"/>
        </w:rPr>
      </w:pPr>
      <w:bookmarkStart w:id="56" w:name="_Toc215319158"/>
      <w:r w:rsidRPr="00476824">
        <w:rPr>
          <w:rFonts w:cs="Arial"/>
          <w:sz w:val="24"/>
          <w:szCs w:val="24"/>
        </w:rPr>
        <w:t>Linkages include, but are not limited to the following:</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7"/>
        <w:gridCol w:w="1604"/>
        <w:gridCol w:w="4587"/>
      </w:tblGrid>
      <w:tr w:rsidR="00027868" w:rsidRPr="00476824">
        <w:trPr>
          <w:tblHeader/>
        </w:trPr>
        <w:tc>
          <w:tcPr>
            <w:tcW w:w="1785" w:type="pct"/>
            <w:tcBorders>
              <w:top w:val="single" w:sz="4" w:space="0" w:color="auto"/>
              <w:left w:val="single" w:sz="4" w:space="0" w:color="auto"/>
              <w:bottom w:val="single" w:sz="4" w:space="0" w:color="auto"/>
              <w:right w:val="single" w:sz="4" w:space="0" w:color="auto"/>
            </w:tcBorders>
            <w:shd w:val="clear" w:color="auto" w:fill="D9D9D9"/>
          </w:tcPr>
          <w:p w:rsidR="00027868" w:rsidRPr="00476824" w:rsidRDefault="00027868" w:rsidP="00027868">
            <w:pPr>
              <w:spacing w:before="120"/>
              <w:rPr>
                <w:rFonts w:cs="Arial"/>
                <w:b/>
                <w:sz w:val="24"/>
                <w:szCs w:val="24"/>
                <w:lang w:eastAsia="en-US"/>
              </w:rPr>
            </w:pPr>
            <w:bookmarkStart w:id="57" w:name="_Toc215319159"/>
            <w:r w:rsidRPr="00476824">
              <w:rPr>
                <w:rFonts w:cs="Arial"/>
                <w:b/>
                <w:sz w:val="24"/>
                <w:szCs w:val="24"/>
              </w:rPr>
              <w:t>Service Provider</w:t>
            </w:r>
            <w:bookmarkEnd w:id="57"/>
          </w:p>
        </w:tc>
        <w:tc>
          <w:tcPr>
            <w:tcW w:w="833" w:type="pct"/>
            <w:tcBorders>
              <w:top w:val="single" w:sz="4" w:space="0" w:color="auto"/>
              <w:left w:val="single" w:sz="4" w:space="0" w:color="auto"/>
              <w:bottom w:val="single" w:sz="4" w:space="0" w:color="auto"/>
              <w:right w:val="single" w:sz="4" w:space="0" w:color="auto"/>
            </w:tcBorders>
            <w:shd w:val="clear" w:color="auto" w:fill="D9D9D9"/>
          </w:tcPr>
          <w:p w:rsidR="00027868" w:rsidRPr="00476824" w:rsidRDefault="00027868" w:rsidP="00027868">
            <w:pPr>
              <w:spacing w:before="120"/>
              <w:rPr>
                <w:rFonts w:cs="Arial"/>
                <w:b/>
                <w:sz w:val="24"/>
                <w:szCs w:val="24"/>
                <w:lang w:eastAsia="en-US"/>
              </w:rPr>
            </w:pPr>
            <w:bookmarkStart w:id="58" w:name="_Toc215319160"/>
            <w:r w:rsidRPr="00476824">
              <w:rPr>
                <w:rFonts w:cs="Arial"/>
                <w:b/>
                <w:sz w:val="24"/>
                <w:szCs w:val="24"/>
              </w:rPr>
              <w:t>Nature of Linkage</w:t>
            </w:r>
            <w:bookmarkEnd w:id="58"/>
          </w:p>
        </w:tc>
        <w:tc>
          <w:tcPr>
            <w:tcW w:w="2382" w:type="pct"/>
            <w:tcBorders>
              <w:top w:val="single" w:sz="4" w:space="0" w:color="auto"/>
              <w:left w:val="single" w:sz="4" w:space="0" w:color="auto"/>
              <w:bottom w:val="single" w:sz="4" w:space="0" w:color="auto"/>
              <w:right w:val="single" w:sz="4" w:space="0" w:color="auto"/>
            </w:tcBorders>
            <w:shd w:val="clear" w:color="auto" w:fill="D9D9D9"/>
          </w:tcPr>
          <w:p w:rsidR="00027868" w:rsidRPr="00476824" w:rsidRDefault="00027868" w:rsidP="00027868">
            <w:pPr>
              <w:spacing w:before="120"/>
              <w:rPr>
                <w:rFonts w:cs="Arial"/>
                <w:b/>
                <w:sz w:val="24"/>
                <w:szCs w:val="24"/>
                <w:lang w:eastAsia="en-US"/>
              </w:rPr>
            </w:pPr>
            <w:bookmarkStart w:id="59" w:name="_Toc215319161"/>
            <w:r w:rsidRPr="00476824">
              <w:rPr>
                <w:rFonts w:cs="Arial"/>
                <w:b/>
                <w:sz w:val="24"/>
                <w:szCs w:val="24"/>
              </w:rPr>
              <w:t>Accountabilities</w:t>
            </w:r>
            <w:bookmarkEnd w:id="59"/>
          </w:p>
        </w:tc>
      </w:tr>
      <w:tr w:rsidR="006A6709" w:rsidRPr="00476824">
        <w:trPr>
          <w:trHeight w:val="1449"/>
        </w:trPr>
        <w:tc>
          <w:tcPr>
            <w:tcW w:w="1785" w:type="pct"/>
            <w:tcBorders>
              <w:top w:val="single" w:sz="4" w:space="0" w:color="auto"/>
              <w:left w:val="single" w:sz="4" w:space="0" w:color="auto"/>
              <w:bottom w:val="single" w:sz="4" w:space="0" w:color="auto"/>
              <w:right w:val="single" w:sz="4" w:space="0" w:color="auto"/>
            </w:tcBorders>
            <w:shd w:val="clear" w:color="auto" w:fill="auto"/>
          </w:tcPr>
          <w:p w:rsidR="006A6709" w:rsidRPr="00476824" w:rsidRDefault="006A6709" w:rsidP="00900BB1">
            <w:pPr>
              <w:spacing w:before="120"/>
              <w:rPr>
                <w:rFonts w:cs="Arial"/>
                <w:sz w:val="24"/>
                <w:szCs w:val="24"/>
                <w:lang w:val="en-US" w:bidi="en-US"/>
              </w:rPr>
            </w:pPr>
            <w:r w:rsidRPr="00476824">
              <w:rPr>
                <w:rFonts w:cs="Arial"/>
                <w:sz w:val="24"/>
                <w:szCs w:val="24"/>
              </w:rPr>
              <w:t xml:space="preserve">Addiction Providers </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6A6709" w:rsidRPr="00476824" w:rsidRDefault="006A6709" w:rsidP="00900BB1">
            <w:pPr>
              <w:spacing w:before="120"/>
              <w:rPr>
                <w:rFonts w:cs="Arial"/>
                <w:sz w:val="24"/>
                <w:szCs w:val="24"/>
                <w:lang w:val="en-US" w:bidi="en-US"/>
              </w:rPr>
            </w:pPr>
            <w:bookmarkStart w:id="60" w:name="_Toc215319029"/>
            <w:r w:rsidRPr="00476824">
              <w:rPr>
                <w:rFonts w:cs="Arial"/>
                <w:sz w:val="24"/>
                <w:szCs w:val="24"/>
              </w:rPr>
              <w:t>Facilitate Service access and participation</w:t>
            </w:r>
            <w:bookmarkEnd w:id="60"/>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6A6709" w:rsidRPr="00476824" w:rsidRDefault="006A6709" w:rsidP="00900BB1">
            <w:pPr>
              <w:spacing w:before="120"/>
              <w:rPr>
                <w:rFonts w:cs="Arial"/>
                <w:sz w:val="24"/>
                <w:szCs w:val="24"/>
                <w:lang w:val="en-US" w:bidi="en-US"/>
              </w:rPr>
            </w:pPr>
            <w:bookmarkStart w:id="61" w:name="_Toc215319030"/>
            <w:r w:rsidRPr="00476824">
              <w:rPr>
                <w:rFonts w:cs="Arial"/>
                <w:sz w:val="24"/>
                <w:szCs w:val="24"/>
              </w:rPr>
              <w:t xml:space="preserve">Liaise with local </w:t>
            </w:r>
            <w:r w:rsidR="00C00639" w:rsidRPr="00476824">
              <w:rPr>
                <w:rFonts w:cs="Arial"/>
                <w:sz w:val="24"/>
                <w:szCs w:val="24"/>
              </w:rPr>
              <w:t xml:space="preserve">addiction providers to facilitate </w:t>
            </w:r>
            <w:r w:rsidRPr="00476824">
              <w:rPr>
                <w:rFonts w:cs="Arial"/>
                <w:sz w:val="24"/>
                <w:szCs w:val="24"/>
              </w:rPr>
              <w:t>accessibility to services</w:t>
            </w:r>
            <w:r w:rsidR="00C00639" w:rsidRPr="00476824">
              <w:rPr>
                <w:rFonts w:cs="Arial"/>
                <w:sz w:val="24"/>
                <w:szCs w:val="24"/>
              </w:rPr>
              <w:t xml:space="preserve"> and ensure pathways to access are known</w:t>
            </w:r>
            <w:r w:rsidRPr="00476824">
              <w:rPr>
                <w:rFonts w:cs="Arial"/>
                <w:sz w:val="24"/>
                <w:szCs w:val="24"/>
              </w:rPr>
              <w:t>.</w:t>
            </w:r>
            <w:bookmarkEnd w:id="61"/>
          </w:p>
        </w:tc>
      </w:tr>
      <w:tr w:rsidR="006A6709" w:rsidRPr="00476824">
        <w:tc>
          <w:tcPr>
            <w:tcW w:w="1785" w:type="pct"/>
            <w:tcBorders>
              <w:top w:val="single" w:sz="4" w:space="0" w:color="auto"/>
              <w:left w:val="single" w:sz="4" w:space="0" w:color="auto"/>
              <w:bottom w:val="single" w:sz="4" w:space="0" w:color="auto"/>
              <w:right w:val="single" w:sz="4" w:space="0" w:color="auto"/>
            </w:tcBorders>
            <w:shd w:val="clear" w:color="auto" w:fill="auto"/>
          </w:tcPr>
          <w:p w:rsidR="006A6709" w:rsidRPr="00476824" w:rsidRDefault="006A6709" w:rsidP="00900BB1">
            <w:pPr>
              <w:spacing w:before="120"/>
              <w:rPr>
                <w:rFonts w:cs="Arial"/>
                <w:sz w:val="24"/>
                <w:szCs w:val="24"/>
              </w:rPr>
            </w:pPr>
            <w:bookmarkStart w:id="62" w:name="_Toc215319031"/>
            <w:r w:rsidRPr="00476824">
              <w:rPr>
                <w:rFonts w:cs="Arial"/>
                <w:sz w:val="24"/>
                <w:szCs w:val="24"/>
              </w:rPr>
              <w:t>Mental health service providers</w:t>
            </w:r>
          </w:p>
          <w:p w:rsidR="006A6709" w:rsidRPr="00476824" w:rsidRDefault="006A6709" w:rsidP="00900BB1">
            <w:pPr>
              <w:spacing w:before="120"/>
              <w:rPr>
                <w:rFonts w:cs="Arial"/>
                <w:sz w:val="24"/>
                <w:szCs w:val="24"/>
                <w:lang w:val="en-US" w:bidi="en-US"/>
              </w:rPr>
            </w:pPr>
            <w:r w:rsidRPr="00476824">
              <w:rPr>
                <w:rFonts w:cs="Arial"/>
                <w:sz w:val="24"/>
                <w:szCs w:val="24"/>
              </w:rPr>
              <w:t xml:space="preserve">Primary Care providers  </w:t>
            </w:r>
            <w:bookmarkEnd w:id="62"/>
          </w:p>
        </w:tc>
        <w:tc>
          <w:tcPr>
            <w:tcW w:w="833" w:type="pct"/>
            <w:tcBorders>
              <w:top w:val="single" w:sz="4" w:space="0" w:color="auto"/>
              <w:left w:val="single" w:sz="4" w:space="0" w:color="auto"/>
              <w:bottom w:val="single" w:sz="4" w:space="0" w:color="auto"/>
              <w:right w:val="single" w:sz="4" w:space="0" w:color="auto"/>
            </w:tcBorders>
            <w:shd w:val="clear" w:color="auto" w:fill="auto"/>
          </w:tcPr>
          <w:p w:rsidR="006A6709" w:rsidRPr="00476824" w:rsidRDefault="006A6709" w:rsidP="00900BB1">
            <w:pPr>
              <w:spacing w:before="120"/>
              <w:rPr>
                <w:rFonts w:cs="Arial"/>
                <w:sz w:val="24"/>
                <w:szCs w:val="24"/>
              </w:rPr>
            </w:pPr>
            <w:bookmarkStart w:id="63" w:name="_Toc215319032"/>
            <w:r w:rsidRPr="00476824">
              <w:rPr>
                <w:rFonts w:cs="Arial"/>
                <w:sz w:val="24"/>
                <w:szCs w:val="24"/>
              </w:rPr>
              <w:t>Referral</w:t>
            </w:r>
          </w:p>
          <w:p w:rsidR="006A6709" w:rsidRPr="00476824" w:rsidRDefault="006A6709" w:rsidP="00900BB1">
            <w:pPr>
              <w:spacing w:before="120"/>
              <w:rPr>
                <w:rFonts w:cs="Arial"/>
                <w:sz w:val="24"/>
                <w:szCs w:val="24"/>
                <w:lang w:val="en-US" w:bidi="en-US"/>
              </w:rPr>
            </w:pPr>
            <w:r w:rsidRPr="00476824">
              <w:rPr>
                <w:rFonts w:cs="Arial"/>
                <w:sz w:val="24"/>
                <w:szCs w:val="24"/>
              </w:rPr>
              <w:t>Liaison processes</w:t>
            </w:r>
            <w:bookmarkEnd w:id="63"/>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6A6709" w:rsidRPr="00476824" w:rsidRDefault="006A6709" w:rsidP="00900BB1">
            <w:pPr>
              <w:spacing w:before="120"/>
              <w:rPr>
                <w:rFonts w:cs="Arial"/>
                <w:sz w:val="24"/>
                <w:szCs w:val="24"/>
                <w:lang w:val="en-US" w:bidi="en-US"/>
              </w:rPr>
            </w:pPr>
            <w:bookmarkStart w:id="64" w:name="_Toc215319033"/>
            <w:r w:rsidRPr="00476824">
              <w:rPr>
                <w:rFonts w:cs="Arial"/>
                <w:sz w:val="24"/>
                <w:szCs w:val="24"/>
              </w:rPr>
              <w:t xml:space="preserve">Establish relationships and referral pathways and liaison processes to promote timely access to services </w:t>
            </w:r>
            <w:bookmarkEnd w:id="64"/>
            <w:r w:rsidR="00C00639" w:rsidRPr="00476824">
              <w:rPr>
                <w:rFonts w:cs="Arial"/>
                <w:sz w:val="24"/>
                <w:szCs w:val="24"/>
              </w:rPr>
              <w:t>for physical and mental health problems</w:t>
            </w:r>
          </w:p>
        </w:tc>
      </w:tr>
      <w:tr w:rsidR="009B7124" w:rsidRPr="00476824">
        <w:tc>
          <w:tcPr>
            <w:tcW w:w="1785" w:type="pct"/>
            <w:tcBorders>
              <w:top w:val="single" w:sz="4" w:space="0" w:color="auto"/>
              <w:left w:val="single" w:sz="4" w:space="0" w:color="auto"/>
              <w:bottom w:val="single" w:sz="4" w:space="0" w:color="auto"/>
              <w:right w:val="single" w:sz="4" w:space="0" w:color="auto"/>
            </w:tcBorders>
            <w:shd w:val="clear" w:color="auto" w:fill="auto"/>
          </w:tcPr>
          <w:p w:rsidR="009B7124" w:rsidRPr="00476824" w:rsidRDefault="009B7124" w:rsidP="00900BB1">
            <w:pPr>
              <w:spacing w:before="120"/>
              <w:rPr>
                <w:rFonts w:cs="Arial"/>
                <w:sz w:val="24"/>
                <w:szCs w:val="24"/>
              </w:rPr>
            </w:pPr>
            <w:r w:rsidRPr="00476824">
              <w:rPr>
                <w:rFonts w:cs="Arial"/>
                <w:sz w:val="24"/>
                <w:szCs w:val="24"/>
              </w:rPr>
              <w:t>Other health service providers such as medical services and emergency departments within a general hospital</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9B7124" w:rsidRPr="00476824" w:rsidRDefault="009B7124" w:rsidP="00900BB1">
            <w:pPr>
              <w:spacing w:before="120"/>
              <w:rPr>
                <w:rFonts w:cs="Arial"/>
                <w:sz w:val="24"/>
                <w:szCs w:val="24"/>
              </w:rPr>
            </w:pPr>
            <w:r w:rsidRPr="00476824">
              <w:rPr>
                <w:rFonts w:cs="Arial"/>
                <w:sz w:val="24"/>
                <w:szCs w:val="24"/>
              </w:rPr>
              <w:t>Liaison processes</w:t>
            </w:r>
          </w:p>
        </w:tc>
        <w:tc>
          <w:tcPr>
            <w:tcW w:w="2382" w:type="pct"/>
            <w:tcBorders>
              <w:top w:val="single" w:sz="4" w:space="0" w:color="auto"/>
              <w:left w:val="single" w:sz="4" w:space="0" w:color="auto"/>
              <w:bottom w:val="single" w:sz="4" w:space="0" w:color="auto"/>
              <w:right w:val="single" w:sz="4" w:space="0" w:color="auto"/>
            </w:tcBorders>
            <w:shd w:val="clear" w:color="auto" w:fill="auto"/>
          </w:tcPr>
          <w:p w:rsidR="009B7124" w:rsidRPr="00476824" w:rsidRDefault="009B7124" w:rsidP="00900BB1">
            <w:pPr>
              <w:spacing w:before="120"/>
              <w:rPr>
                <w:rFonts w:cs="Arial"/>
                <w:sz w:val="24"/>
                <w:szCs w:val="24"/>
              </w:rPr>
            </w:pPr>
            <w:r w:rsidRPr="00476824">
              <w:rPr>
                <w:rFonts w:cs="Arial"/>
                <w:sz w:val="24"/>
                <w:szCs w:val="24"/>
              </w:rPr>
              <w:t>Liaise and work with other providers to ensure needs of client</w:t>
            </w:r>
            <w:r w:rsidR="008929F2" w:rsidRPr="00476824">
              <w:rPr>
                <w:rFonts w:cs="Arial"/>
                <w:sz w:val="24"/>
                <w:szCs w:val="24"/>
              </w:rPr>
              <w:t>s</w:t>
            </w:r>
            <w:r w:rsidRPr="00476824">
              <w:rPr>
                <w:rFonts w:cs="Arial"/>
                <w:sz w:val="24"/>
                <w:szCs w:val="24"/>
              </w:rPr>
              <w:t xml:space="preserve"> are met</w:t>
            </w:r>
            <w:r w:rsidR="004C10F0" w:rsidRPr="00476824">
              <w:rPr>
                <w:rFonts w:cs="Arial"/>
                <w:sz w:val="24"/>
                <w:szCs w:val="24"/>
              </w:rPr>
              <w:t>,</w:t>
            </w:r>
            <w:r w:rsidRPr="00476824">
              <w:rPr>
                <w:rFonts w:cs="Arial"/>
                <w:sz w:val="24"/>
                <w:szCs w:val="24"/>
              </w:rPr>
              <w:t xml:space="preserve"> ie</w:t>
            </w:r>
            <w:r w:rsidR="000D18A4" w:rsidRPr="00476824">
              <w:rPr>
                <w:rFonts w:cs="Arial"/>
                <w:sz w:val="24"/>
                <w:szCs w:val="24"/>
              </w:rPr>
              <w:t>,</w:t>
            </w:r>
            <w:r w:rsidRPr="00476824">
              <w:rPr>
                <w:rFonts w:cs="Arial"/>
                <w:sz w:val="24"/>
                <w:szCs w:val="24"/>
              </w:rPr>
              <w:t xml:space="preserve"> managed withdrawal.</w:t>
            </w:r>
          </w:p>
        </w:tc>
      </w:tr>
    </w:tbl>
    <w:p w:rsidR="00027868" w:rsidRPr="00476824" w:rsidRDefault="00027868" w:rsidP="00027868">
      <w:pPr>
        <w:tabs>
          <w:tab w:val="left" w:pos="570"/>
        </w:tabs>
        <w:spacing w:before="240" w:after="120"/>
        <w:rPr>
          <w:rFonts w:cs="Arial"/>
          <w:b/>
          <w:sz w:val="24"/>
          <w:szCs w:val="24"/>
        </w:rPr>
      </w:pPr>
      <w:bookmarkStart w:id="65" w:name="_Toc215319164"/>
      <w:r w:rsidRPr="00476824">
        <w:rPr>
          <w:rFonts w:cs="Arial"/>
          <w:b/>
          <w:sz w:val="24"/>
          <w:szCs w:val="24"/>
        </w:rPr>
        <w:t>7.</w:t>
      </w:r>
      <w:r w:rsidRPr="00476824">
        <w:rPr>
          <w:rFonts w:cs="Arial"/>
          <w:b/>
          <w:sz w:val="24"/>
          <w:szCs w:val="24"/>
        </w:rPr>
        <w:tab/>
        <w:t>Exclusions</w:t>
      </w:r>
    </w:p>
    <w:p w:rsidR="00027868" w:rsidRPr="00476824" w:rsidRDefault="00027868" w:rsidP="009F56A1">
      <w:pPr>
        <w:tabs>
          <w:tab w:val="left" w:pos="570"/>
        </w:tabs>
        <w:spacing w:before="120" w:after="120"/>
        <w:rPr>
          <w:rFonts w:cs="Arial"/>
          <w:sz w:val="24"/>
          <w:szCs w:val="24"/>
        </w:rPr>
      </w:pPr>
      <w:r w:rsidRPr="00476824">
        <w:rPr>
          <w:rFonts w:cs="Arial"/>
          <w:sz w:val="24"/>
          <w:szCs w:val="24"/>
        </w:rPr>
        <w:t>Refer to tier one Mental Health and Addiction Services</w:t>
      </w:r>
      <w:r w:rsidR="0065320E" w:rsidRPr="00476824">
        <w:rPr>
          <w:rFonts w:cs="Arial"/>
          <w:sz w:val="24"/>
          <w:szCs w:val="24"/>
        </w:rPr>
        <w:t xml:space="preserve"> service specification</w:t>
      </w:r>
      <w:r w:rsidRPr="00476824">
        <w:rPr>
          <w:rFonts w:cs="Arial"/>
          <w:sz w:val="24"/>
          <w:szCs w:val="24"/>
        </w:rPr>
        <w:t>.</w:t>
      </w:r>
    </w:p>
    <w:p w:rsidR="00027868" w:rsidRPr="00476824" w:rsidRDefault="00027868" w:rsidP="0061047E">
      <w:pPr>
        <w:rPr>
          <w:rFonts w:cs="Arial"/>
          <w:b/>
          <w:sz w:val="24"/>
          <w:szCs w:val="24"/>
        </w:rPr>
      </w:pPr>
      <w:r w:rsidRPr="00476824">
        <w:rPr>
          <w:rFonts w:cs="Arial"/>
          <w:b/>
          <w:sz w:val="24"/>
          <w:szCs w:val="24"/>
        </w:rPr>
        <w:t>8.</w:t>
      </w:r>
      <w:r w:rsidRPr="00476824">
        <w:rPr>
          <w:rFonts w:cs="Arial"/>
          <w:b/>
          <w:sz w:val="24"/>
          <w:szCs w:val="24"/>
        </w:rPr>
        <w:tab/>
        <w:t>Quality Requirements</w:t>
      </w:r>
      <w:bookmarkEnd w:id="65"/>
    </w:p>
    <w:p w:rsidR="00333416" w:rsidRPr="00476824" w:rsidRDefault="00333416" w:rsidP="00333416">
      <w:pPr>
        <w:spacing w:before="120"/>
        <w:rPr>
          <w:rFonts w:cs="Arial"/>
          <w:sz w:val="24"/>
          <w:szCs w:val="24"/>
        </w:rPr>
      </w:pPr>
      <w:bookmarkStart w:id="66" w:name="_Toc215319165"/>
      <w:bookmarkStart w:id="67" w:name="_Toc215319172"/>
      <w:r w:rsidRPr="00476824">
        <w:rPr>
          <w:rFonts w:cs="Arial"/>
          <w:sz w:val="24"/>
          <w:szCs w:val="24"/>
        </w:rPr>
        <w:t>The Service must comply with the Provider Quality Standards described in the Operational Policy Framework</w:t>
      </w:r>
      <w:r w:rsidR="002C333D">
        <w:rPr>
          <w:rStyle w:val="FootnoteReference"/>
          <w:rFonts w:cs="Arial"/>
          <w:sz w:val="24"/>
          <w:szCs w:val="24"/>
        </w:rPr>
        <w:footnoteReference w:id="3"/>
      </w:r>
      <w:r w:rsidRPr="00476824">
        <w:rPr>
          <w:rFonts w:cs="Arial"/>
          <w:sz w:val="24"/>
          <w:szCs w:val="24"/>
        </w:rPr>
        <w:t xml:space="preserve"> or, as applicable, Crown Funding Agreement Variations, contracts or service level agreements.</w:t>
      </w:r>
      <w:bookmarkEnd w:id="66"/>
    </w:p>
    <w:p w:rsidR="00027868" w:rsidRPr="00476824" w:rsidRDefault="00027868" w:rsidP="00027868">
      <w:pPr>
        <w:tabs>
          <w:tab w:val="left" w:pos="570"/>
        </w:tabs>
        <w:spacing w:before="240" w:after="120"/>
        <w:rPr>
          <w:rFonts w:cs="Arial"/>
          <w:b/>
          <w:sz w:val="24"/>
          <w:szCs w:val="24"/>
        </w:rPr>
      </w:pPr>
      <w:r w:rsidRPr="00476824">
        <w:rPr>
          <w:rFonts w:cs="Arial"/>
          <w:b/>
          <w:sz w:val="24"/>
          <w:szCs w:val="24"/>
        </w:rPr>
        <w:t>9.</w:t>
      </w:r>
      <w:r w:rsidRPr="00476824">
        <w:rPr>
          <w:rFonts w:cs="Arial"/>
          <w:b/>
          <w:sz w:val="24"/>
          <w:szCs w:val="24"/>
        </w:rPr>
        <w:tab/>
        <w:t>Purchase Units and Reporting Requirements</w:t>
      </w:r>
      <w:bookmarkEnd w:id="67"/>
    </w:p>
    <w:p w:rsidR="00625A9E" w:rsidRDefault="00EA600F" w:rsidP="00027868">
      <w:pPr>
        <w:tabs>
          <w:tab w:val="left" w:pos="567"/>
          <w:tab w:val="left" w:pos="709"/>
          <w:tab w:val="left" w:pos="1701"/>
          <w:tab w:val="left" w:pos="2693"/>
        </w:tabs>
        <w:rPr>
          <w:rFonts w:cs="Arial"/>
          <w:sz w:val="24"/>
          <w:szCs w:val="24"/>
        </w:rPr>
      </w:pPr>
      <w:bookmarkStart w:id="68" w:name="_Toc215319173"/>
      <w:r w:rsidRPr="00476824">
        <w:rPr>
          <w:rFonts w:cs="Arial"/>
          <w:b/>
          <w:sz w:val="24"/>
          <w:szCs w:val="24"/>
        </w:rPr>
        <w:t>9.1</w:t>
      </w:r>
      <w:r w:rsidRPr="00476824">
        <w:rPr>
          <w:rFonts w:cs="Arial"/>
          <w:sz w:val="24"/>
          <w:szCs w:val="24"/>
        </w:rPr>
        <w:tab/>
      </w:r>
      <w:r w:rsidR="00027868" w:rsidRPr="00476824">
        <w:rPr>
          <w:rFonts w:cs="Arial"/>
          <w:sz w:val="24"/>
          <w:szCs w:val="24"/>
        </w:rPr>
        <w:t>Purchase Unit</w:t>
      </w:r>
      <w:r w:rsidR="005D3EC4">
        <w:rPr>
          <w:rFonts w:cs="Arial"/>
          <w:sz w:val="24"/>
          <w:szCs w:val="24"/>
        </w:rPr>
        <w:t xml:space="preserve"> Codes</w:t>
      </w:r>
      <w:r w:rsidR="00027868" w:rsidRPr="00476824">
        <w:rPr>
          <w:rFonts w:cs="Arial"/>
          <w:sz w:val="24"/>
          <w:szCs w:val="24"/>
        </w:rPr>
        <w:t xml:space="preserve"> are defined in the DHB and Ministry’s Nationwide Service Framework Purchase Unit Data Dictionary.  </w:t>
      </w:r>
    </w:p>
    <w:p w:rsidR="00027868" w:rsidRPr="00476824" w:rsidRDefault="00027868" w:rsidP="00625A9E">
      <w:pPr>
        <w:tabs>
          <w:tab w:val="left" w:pos="567"/>
          <w:tab w:val="left" w:pos="709"/>
          <w:tab w:val="left" w:pos="1701"/>
          <w:tab w:val="left" w:pos="2693"/>
        </w:tabs>
        <w:spacing w:before="120"/>
        <w:rPr>
          <w:rFonts w:cs="Arial"/>
          <w:sz w:val="24"/>
          <w:szCs w:val="24"/>
        </w:rPr>
      </w:pPr>
      <w:r w:rsidRPr="00476824">
        <w:rPr>
          <w:rFonts w:cs="Arial"/>
          <w:sz w:val="24"/>
          <w:szCs w:val="24"/>
        </w:rPr>
        <w:t>Specific reporting requirements apply at tier three service specifications.</w:t>
      </w:r>
      <w:bookmarkEnd w:id="68"/>
    </w:p>
    <w:p w:rsidR="00027868" w:rsidRPr="00476824" w:rsidRDefault="00027868" w:rsidP="009E0E05">
      <w:pPr>
        <w:tabs>
          <w:tab w:val="left" w:pos="567"/>
          <w:tab w:val="left" w:pos="709"/>
          <w:tab w:val="left" w:pos="1701"/>
          <w:tab w:val="left" w:pos="2693"/>
        </w:tabs>
        <w:spacing w:before="240"/>
        <w:rPr>
          <w:rFonts w:cs="Arial"/>
          <w:b/>
          <w:sz w:val="24"/>
          <w:szCs w:val="24"/>
        </w:rPr>
      </w:pPr>
      <w:r w:rsidRPr="00476824">
        <w:rPr>
          <w:rFonts w:cs="Arial"/>
          <w:b/>
          <w:sz w:val="24"/>
          <w:szCs w:val="24"/>
        </w:rPr>
        <w:t>10.</w:t>
      </w:r>
      <w:r w:rsidRPr="00476824">
        <w:rPr>
          <w:rFonts w:cs="Arial"/>
          <w:b/>
          <w:sz w:val="24"/>
          <w:szCs w:val="24"/>
        </w:rPr>
        <w:tab/>
        <w:t>Tier Three Service Specifications</w:t>
      </w:r>
    </w:p>
    <w:p w:rsidR="00027868" w:rsidRPr="00476824" w:rsidRDefault="00027868" w:rsidP="00D2418D">
      <w:pPr>
        <w:tabs>
          <w:tab w:val="left" w:pos="1701"/>
          <w:tab w:val="left" w:pos="2693"/>
        </w:tabs>
        <w:spacing w:before="120"/>
        <w:rPr>
          <w:rFonts w:cs="Arial"/>
        </w:rPr>
      </w:pPr>
      <w:r w:rsidRPr="00476824">
        <w:rPr>
          <w:rFonts w:cs="Arial"/>
          <w:sz w:val="24"/>
          <w:szCs w:val="24"/>
        </w:rPr>
        <w:t xml:space="preserve">The following service specifications </w:t>
      </w:r>
      <w:r w:rsidR="004C10F0" w:rsidRPr="00476824">
        <w:rPr>
          <w:rFonts w:cs="Arial"/>
          <w:sz w:val="24"/>
          <w:szCs w:val="24"/>
        </w:rPr>
        <w:t xml:space="preserve">and Purchase Units </w:t>
      </w:r>
      <w:r w:rsidR="006A6709" w:rsidRPr="00476824">
        <w:rPr>
          <w:rFonts w:cs="Arial"/>
          <w:sz w:val="24"/>
          <w:szCs w:val="24"/>
        </w:rPr>
        <w:t xml:space="preserve">are </w:t>
      </w:r>
      <w:r w:rsidRPr="00476824">
        <w:rPr>
          <w:rFonts w:cs="Arial"/>
          <w:sz w:val="24"/>
          <w:szCs w:val="24"/>
        </w:rPr>
        <w:t xml:space="preserve">for </w:t>
      </w:r>
      <w:r w:rsidR="000C26A6" w:rsidRPr="00476824">
        <w:rPr>
          <w:rFonts w:cs="Arial"/>
          <w:sz w:val="24"/>
          <w:szCs w:val="24"/>
        </w:rPr>
        <w:t>Addiction</w:t>
      </w:r>
      <w:r w:rsidR="00C1033A" w:rsidRPr="00476824">
        <w:rPr>
          <w:rFonts w:cs="Arial"/>
          <w:sz w:val="24"/>
          <w:szCs w:val="24"/>
        </w:rPr>
        <w:t xml:space="preserve"> </w:t>
      </w:r>
      <w:r w:rsidR="004C10F0" w:rsidRPr="00476824">
        <w:rPr>
          <w:rFonts w:cs="Arial"/>
          <w:sz w:val="24"/>
          <w:szCs w:val="24"/>
        </w:rPr>
        <w:t>S</w:t>
      </w:r>
      <w:r w:rsidR="000C26A6" w:rsidRPr="00476824">
        <w:rPr>
          <w:rFonts w:cs="Arial"/>
          <w:sz w:val="24"/>
          <w:szCs w:val="24"/>
        </w:rPr>
        <w:t>ervices</w:t>
      </w:r>
      <w:r w:rsidR="00B06719" w:rsidRPr="00476824">
        <w:rPr>
          <w:rFonts w:cs="Arial"/>
          <w:sz w:val="24"/>
          <w:szCs w:val="24"/>
        </w:rPr>
        <w:t xml:space="preserve">: </w:t>
      </w:r>
    </w:p>
    <w:p w:rsidR="00027868" w:rsidRPr="00476824" w:rsidRDefault="00027868" w:rsidP="00B06719">
      <w:pPr>
        <w:tabs>
          <w:tab w:val="left" w:pos="1701"/>
          <w:tab w:val="left" w:pos="2693"/>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3820"/>
      </w:tblGrid>
      <w:tr w:rsidR="00027868" w:rsidRPr="00476824" w:rsidTr="00900BB1">
        <w:trPr>
          <w:tblHeader/>
        </w:trPr>
        <w:tc>
          <w:tcPr>
            <w:tcW w:w="5665" w:type="dxa"/>
            <w:tcBorders>
              <w:bottom w:val="single" w:sz="4" w:space="0" w:color="auto"/>
            </w:tcBorders>
            <w:shd w:val="clear" w:color="auto" w:fill="D9D9D9"/>
          </w:tcPr>
          <w:p w:rsidR="00027868" w:rsidRPr="00476824" w:rsidRDefault="00027868" w:rsidP="000C2052">
            <w:pPr>
              <w:tabs>
                <w:tab w:val="left" w:pos="567"/>
                <w:tab w:val="left" w:pos="709"/>
                <w:tab w:val="left" w:pos="1701"/>
                <w:tab w:val="left" w:pos="2693"/>
              </w:tabs>
              <w:spacing w:before="60" w:after="60"/>
              <w:rPr>
                <w:rFonts w:cs="Arial"/>
                <w:b/>
              </w:rPr>
            </w:pPr>
            <w:r w:rsidRPr="00476824">
              <w:rPr>
                <w:rFonts w:cs="Arial"/>
                <w:b/>
              </w:rPr>
              <w:t>Title</w:t>
            </w:r>
          </w:p>
        </w:tc>
        <w:tc>
          <w:tcPr>
            <w:tcW w:w="3820" w:type="dxa"/>
            <w:tcBorders>
              <w:bottom w:val="single" w:sz="4" w:space="0" w:color="auto"/>
            </w:tcBorders>
            <w:shd w:val="clear" w:color="auto" w:fill="D9D9D9"/>
          </w:tcPr>
          <w:p w:rsidR="00027868" w:rsidRPr="00D966C7" w:rsidRDefault="00D966C7" w:rsidP="000C2052">
            <w:pPr>
              <w:tabs>
                <w:tab w:val="left" w:pos="567"/>
                <w:tab w:val="left" w:pos="709"/>
                <w:tab w:val="left" w:pos="1701"/>
                <w:tab w:val="left" w:pos="2693"/>
              </w:tabs>
              <w:spacing w:before="60" w:after="60"/>
              <w:rPr>
                <w:rFonts w:cs="Arial"/>
                <w:b/>
              </w:rPr>
            </w:pPr>
            <w:r w:rsidRPr="00D966C7">
              <w:rPr>
                <w:rFonts w:cs="Arial"/>
                <w:b/>
                <w:sz w:val="24"/>
                <w:szCs w:val="24"/>
              </w:rPr>
              <w:t>Purchase Unit Codes</w:t>
            </w:r>
          </w:p>
        </w:tc>
      </w:tr>
      <w:tr w:rsidR="000D0811" w:rsidRPr="00476824" w:rsidTr="00900BB1">
        <w:tc>
          <w:tcPr>
            <w:tcW w:w="5665" w:type="dxa"/>
            <w:shd w:val="clear" w:color="auto" w:fill="FFFFFF" w:themeFill="background1"/>
          </w:tcPr>
          <w:p w:rsidR="000D0811" w:rsidRPr="009B5893" w:rsidRDefault="000D0811" w:rsidP="009B5893">
            <w:pPr>
              <w:tabs>
                <w:tab w:val="left" w:pos="567"/>
                <w:tab w:val="left" w:pos="709"/>
                <w:tab w:val="left" w:pos="1701"/>
                <w:tab w:val="left" w:pos="2693"/>
              </w:tabs>
              <w:rPr>
                <w:rFonts w:cs="Arial"/>
                <w:sz w:val="24"/>
                <w:szCs w:val="24"/>
              </w:rPr>
            </w:pPr>
            <w:r w:rsidRPr="009E0E05">
              <w:rPr>
                <w:rFonts w:cs="Arial"/>
                <w:sz w:val="24"/>
                <w:szCs w:val="24"/>
              </w:rPr>
              <w:t>Community Support Service with Accommodation</w:t>
            </w:r>
          </w:p>
        </w:tc>
        <w:tc>
          <w:tcPr>
            <w:tcW w:w="3820" w:type="dxa"/>
            <w:shd w:val="clear" w:color="auto" w:fill="FFFFFF" w:themeFill="background1"/>
          </w:tcPr>
          <w:p w:rsidR="00DC7C50" w:rsidRPr="009B5893" w:rsidRDefault="000D0811" w:rsidP="00900BB1">
            <w:pPr>
              <w:tabs>
                <w:tab w:val="left" w:pos="567"/>
                <w:tab w:val="left" w:pos="709"/>
                <w:tab w:val="left" w:pos="1701"/>
                <w:tab w:val="left" w:pos="2693"/>
              </w:tabs>
              <w:rPr>
                <w:rFonts w:cs="Arial"/>
                <w:sz w:val="24"/>
                <w:szCs w:val="24"/>
              </w:rPr>
            </w:pPr>
            <w:r w:rsidRPr="009E0E05">
              <w:rPr>
                <w:rFonts w:cs="Arial"/>
                <w:sz w:val="24"/>
                <w:szCs w:val="24"/>
              </w:rPr>
              <w:t>MHD53</w:t>
            </w:r>
            <w:r w:rsidR="00900BB1">
              <w:rPr>
                <w:rFonts w:cs="Arial"/>
                <w:sz w:val="24"/>
                <w:szCs w:val="24"/>
              </w:rPr>
              <w:t xml:space="preserve">, </w:t>
            </w:r>
            <w:r w:rsidRPr="009E0E05">
              <w:rPr>
                <w:rFonts w:cs="Arial"/>
                <w:sz w:val="24"/>
                <w:szCs w:val="24"/>
              </w:rPr>
              <w:t>MHD53C</w:t>
            </w:r>
            <w:r w:rsidR="00900BB1">
              <w:rPr>
                <w:rFonts w:cs="Arial"/>
                <w:sz w:val="24"/>
                <w:szCs w:val="24"/>
              </w:rPr>
              <w:t xml:space="preserve">, </w:t>
            </w:r>
            <w:r w:rsidRPr="009E0E05">
              <w:rPr>
                <w:rFonts w:cs="Arial"/>
                <w:sz w:val="24"/>
                <w:szCs w:val="24"/>
              </w:rPr>
              <w:t>MHD53D</w:t>
            </w:r>
            <w:r w:rsidR="00900BB1">
              <w:rPr>
                <w:rFonts w:cs="Arial"/>
                <w:sz w:val="24"/>
                <w:szCs w:val="24"/>
              </w:rPr>
              <w:t xml:space="preserve">, </w:t>
            </w:r>
            <w:r w:rsidRPr="009E0E05">
              <w:rPr>
                <w:rFonts w:cs="Arial"/>
                <w:sz w:val="24"/>
                <w:szCs w:val="24"/>
              </w:rPr>
              <w:t>MHD53E</w:t>
            </w:r>
            <w:r w:rsidR="00900BB1">
              <w:rPr>
                <w:rFonts w:cs="Arial"/>
                <w:sz w:val="24"/>
                <w:szCs w:val="24"/>
              </w:rPr>
              <w:t xml:space="preserve">, </w:t>
            </w:r>
            <w:r w:rsidRPr="009E0E05">
              <w:rPr>
                <w:rFonts w:cs="Arial"/>
                <w:sz w:val="24"/>
                <w:szCs w:val="24"/>
              </w:rPr>
              <w:t>MHD53F</w:t>
            </w:r>
            <w:r w:rsidR="00900BB1">
              <w:rPr>
                <w:rFonts w:cs="Arial"/>
                <w:sz w:val="24"/>
                <w:szCs w:val="24"/>
              </w:rPr>
              <w:t>,</w:t>
            </w:r>
            <w:r w:rsidR="00DC7C50">
              <w:rPr>
                <w:rFonts w:cs="Arial"/>
                <w:sz w:val="24"/>
                <w:szCs w:val="24"/>
              </w:rPr>
              <w:t>MHD53S</w:t>
            </w:r>
          </w:p>
        </w:tc>
      </w:tr>
      <w:tr w:rsidR="0074551B" w:rsidRPr="00476824" w:rsidTr="00900BB1">
        <w:tc>
          <w:tcPr>
            <w:tcW w:w="5665" w:type="dxa"/>
            <w:shd w:val="clear" w:color="auto" w:fill="FFFFFF" w:themeFill="background1"/>
          </w:tcPr>
          <w:p w:rsidR="0074551B" w:rsidRPr="009E0E05" w:rsidRDefault="0074551B" w:rsidP="0074551B">
            <w:pPr>
              <w:tabs>
                <w:tab w:val="left" w:pos="567"/>
                <w:tab w:val="left" w:pos="709"/>
                <w:tab w:val="left" w:pos="1701"/>
                <w:tab w:val="left" w:pos="2693"/>
              </w:tabs>
              <w:rPr>
                <w:rFonts w:cs="Arial"/>
                <w:sz w:val="24"/>
                <w:szCs w:val="24"/>
              </w:rPr>
            </w:pPr>
            <w:r>
              <w:rPr>
                <w:rFonts w:cs="Arial"/>
                <w:sz w:val="24"/>
                <w:szCs w:val="24"/>
              </w:rPr>
              <w:t>Opioid Substitution Treatment</w:t>
            </w:r>
          </w:p>
        </w:tc>
        <w:tc>
          <w:tcPr>
            <w:tcW w:w="3820" w:type="dxa"/>
            <w:shd w:val="clear" w:color="auto" w:fill="FFFFFF" w:themeFill="background1"/>
          </w:tcPr>
          <w:p w:rsidR="00C17F42" w:rsidRDefault="0074551B" w:rsidP="009B5893">
            <w:pPr>
              <w:tabs>
                <w:tab w:val="left" w:pos="567"/>
                <w:tab w:val="left" w:pos="709"/>
                <w:tab w:val="left" w:pos="1701"/>
                <w:tab w:val="left" w:pos="2693"/>
              </w:tabs>
              <w:rPr>
                <w:rFonts w:cs="Arial"/>
                <w:sz w:val="24"/>
                <w:szCs w:val="24"/>
              </w:rPr>
            </w:pPr>
            <w:r>
              <w:rPr>
                <w:rFonts w:cs="Arial"/>
                <w:sz w:val="24"/>
                <w:szCs w:val="24"/>
              </w:rPr>
              <w:t>MHD69</w:t>
            </w:r>
            <w:r w:rsidR="00900BB1">
              <w:rPr>
                <w:rFonts w:cs="Arial"/>
                <w:sz w:val="24"/>
                <w:szCs w:val="24"/>
              </w:rPr>
              <w:t xml:space="preserve">, </w:t>
            </w:r>
            <w:r>
              <w:rPr>
                <w:rFonts w:cs="Arial"/>
                <w:sz w:val="24"/>
                <w:szCs w:val="24"/>
              </w:rPr>
              <w:t>MHD69A</w:t>
            </w:r>
            <w:r w:rsidR="00900BB1">
              <w:rPr>
                <w:rFonts w:cs="Arial"/>
                <w:sz w:val="24"/>
                <w:szCs w:val="24"/>
              </w:rPr>
              <w:t xml:space="preserve">, </w:t>
            </w:r>
            <w:r>
              <w:rPr>
                <w:rFonts w:cs="Arial"/>
                <w:sz w:val="24"/>
                <w:szCs w:val="24"/>
              </w:rPr>
              <w:t>MHD69B</w:t>
            </w:r>
            <w:r w:rsidR="00900BB1">
              <w:rPr>
                <w:rFonts w:cs="Arial"/>
                <w:sz w:val="24"/>
                <w:szCs w:val="24"/>
              </w:rPr>
              <w:t xml:space="preserve">, </w:t>
            </w:r>
            <w:r w:rsidRPr="0074551B">
              <w:rPr>
                <w:rFonts w:cs="Arial"/>
                <w:sz w:val="24"/>
                <w:szCs w:val="24"/>
              </w:rPr>
              <w:t>MHD69C</w:t>
            </w:r>
            <w:r w:rsidR="00900BB1">
              <w:rPr>
                <w:rFonts w:cs="Arial"/>
                <w:sz w:val="24"/>
                <w:szCs w:val="24"/>
              </w:rPr>
              <w:t xml:space="preserve">, </w:t>
            </w:r>
            <w:r w:rsidRPr="0074551B">
              <w:rPr>
                <w:rFonts w:cs="Arial"/>
                <w:sz w:val="24"/>
                <w:szCs w:val="24"/>
              </w:rPr>
              <w:t>MHD69D</w:t>
            </w:r>
            <w:r w:rsidR="00900BB1">
              <w:rPr>
                <w:rFonts w:cs="Arial"/>
                <w:sz w:val="24"/>
                <w:szCs w:val="24"/>
              </w:rPr>
              <w:t xml:space="preserve">, </w:t>
            </w:r>
            <w:r w:rsidR="00C17F42">
              <w:rPr>
                <w:rFonts w:cs="Arial"/>
                <w:sz w:val="24"/>
                <w:szCs w:val="24"/>
              </w:rPr>
              <w:t>MHD69S</w:t>
            </w:r>
          </w:p>
          <w:p w:rsidR="00C17F42" w:rsidRPr="009E0E05" w:rsidRDefault="0074551B" w:rsidP="00900BB1">
            <w:pPr>
              <w:tabs>
                <w:tab w:val="left" w:pos="567"/>
                <w:tab w:val="left" w:pos="709"/>
                <w:tab w:val="left" w:pos="1701"/>
                <w:tab w:val="left" w:pos="2693"/>
              </w:tabs>
              <w:rPr>
                <w:rFonts w:cs="Arial"/>
                <w:sz w:val="24"/>
                <w:szCs w:val="24"/>
              </w:rPr>
            </w:pPr>
            <w:r>
              <w:rPr>
                <w:rFonts w:cs="Arial"/>
                <w:sz w:val="24"/>
                <w:szCs w:val="24"/>
              </w:rPr>
              <w:t>MHD70</w:t>
            </w:r>
            <w:r w:rsidR="00900BB1">
              <w:rPr>
                <w:rFonts w:cs="Arial"/>
                <w:sz w:val="24"/>
                <w:szCs w:val="24"/>
              </w:rPr>
              <w:t xml:space="preserve">, </w:t>
            </w:r>
            <w:r w:rsidR="00D966C7">
              <w:rPr>
                <w:rFonts w:cs="Arial"/>
                <w:sz w:val="24"/>
                <w:szCs w:val="24"/>
              </w:rPr>
              <w:t>MHD70A</w:t>
            </w:r>
            <w:r w:rsidR="00900BB1">
              <w:rPr>
                <w:rFonts w:cs="Arial"/>
                <w:sz w:val="24"/>
                <w:szCs w:val="24"/>
              </w:rPr>
              <w:t>,</w:t>
            </w:r>
            <w:r>
              <w:rPr>
                <w:rFonts w:cs="Arial"/>
                <w:sz w:val="24"/>
                <w:szCs w:val="24"/>
              </w:rPr>
              <w:t>MHD70B</w:t>
            </w:r>
            <w:r w:rsidR="00900BB1">
              <w:rPr>
                <w:rFonts w:cs="Arial"/>
                <w:sz w:val="24"/>
                <w:szCs w:val="24"/>
              </w:rPr>
              <w:t xml:space="preserve">, </w:t>
            </w:r>
            <w:r>
              <w:rPr>
                <w:rFonts w:cs="Arial"/>
                <w:sz w:val="24"/>
                <w:szCs w:val="24"/>
              </w:rPr>
              <w:t>MHD70C</w:t>
            </w:r>
            <w:r w:rsidR="00900BB1">
              <w:rPr>
                <w:rFonts w:cs="Arial"/>
                <w:sz w:val="24"/>
                <w:szCs w:val="24"/>
              </w:rPr>
              <w:t xml:space="preserve">, </w:t>
            </w:r>
            <w:r w:rsidRPr="0074551B">
              <w:rPr>
                <w:rFonts w:cs="Arial"/>
                <w:sz w:val="24"/>
                <w:szCs w:val="24"/>
              </w:rPr>
              <w:t>MHD70D</w:t>
            </w:r>
            <w:r w:rsidR="00900BB1">
              <w:rPr>
                <w:rFonts w:cs="Arial"/>
                <w:sz w:val="24"/>
                <w:szCs w:val="24"/>
              </w:rPr>
              <w:t xml:space="preserve">, </w:t>
            </w:r>
            <w:r w:rsidR="00C17F42">
              <w:rPr>
                <w:rFonts w:cs="Arial"/>
                <w:sz w:val="24"/>
                <w:szCs w:val="24"/>
              </w:rPr>
              <w:t>MHD70S</w:t>
            </w:r>
          </w:p>
        </w:tc>
      </w:tr>
      <w:tr w:rsidR="000D0811" w:rsidRPr="00476824" w:rsidTr="00900BB1">
        <w:tc>
          <w:tcPr>
            <w:tcW w:w="5665" w:type="dxa"/>
            <w:shd w:val="clear" w:color="auto" w:fill="auto"/>
          </w:tcPr>
          <w:p w:rsidR="000D0811" w:rsidRPr="00476824" w:rsidRDefault="000D0811" w:rsidP="000C2052">
            <w:pPr>
              <w:tabs>
                <w:tab w:val="left" w:pos="567"/>
                <w:tab w:val="left" w:pos="709"/>
                <w:tab w:val="left" w:pos="1701"/>
                <w:tab w:val="left" w:pos="2693"/>
              </w:tabs>
              <w:rPr>
                <w:rFonts w:cs="Arial"/>
                <w:sz w:val="24"/>
                <w:szCs w:val="24"/>
              </w:rPr>
            </w:pPr>
            <w:r w:rsidRPr="00476824">
              <w:rPr>
                <w:rFonts w:cs="Arial"/>
                <w:sz w:val="24"/>
                <w:szCs w:val="24"/>
              </w:rPr>
              <w:t>Alcohol and other drug consultation and liaison service</w:t>
            </w:r>
          </w:p>
        </w:tc>
        <w:tc>
          <w:tcPr>
            <w:tcW w:w="3820" w:type="dxa"/>
            <w:shd w:val="clear" w:color="auto" w:fill="auto"/>
          </w:tcPr>
          <w:p w:rsidR="000D0811" w:rsidRDefault="000D0811" w:rsidP="000C2052">
            <w:pPr>
              <w:tabs>
                <w:tab w:val="left" w:pos="567"/>
                <w:tab w:val="left" w:pos="709"/>
                <w:tab w:val="left" w:pos="1701"/>
                <w:tab w:val="left" w:pos="2693"/>
              </w:tabs>
              <w:rPr>
                <w:rFonts w:cs="Arial"/>
                <w:szCs w:val="22"/>
              </w:rPr>
            </w:pPr>
            <w:r w:rsidRPr="00476824">
              <w:rPr>
                <w:rFonts w:cs="Arial"/>
                <w:szCs w:val="22"/>
              </w:rPr>
              <w:t>MHD71A</w:t>
            </w:r>
            <w:r w:rsidR="00900BB1">
              <w:rPr>
                <w:rFonts w:cs="Arial"/>
                <w:szCs w:val="22"/>
              </w:rPr>
              <w:t xml:space="preserve">, </w:t>
            </w:r>
            <w:r w:rsidRPr="00476824">
              <w:rPr>
                <w:rFonts w:cs="Arial"/>
                <w:szCs w:val="22"/>
              </w:rPr>
              <w:t>MHD71B</w:t>
            </w:r>
            <w:r w:rsidR="00900BB1">
              <w:rPr>
                <w:rFonts w:cs="Arial"/>
                <w:szCs w:val="22"/>
              </w:rPr>
              <w:t>,</w:t>
            </w:r>
            <w:r w:rsidRPr="009461E4">
              <w:rPr>
                <w:rFonts w:cs="Arial"/>
                <w:szCs w:val="22"/>
              </w:rPr>
              <w:t>MHD71C</w:t>
            </w:r>
            <w:r w:rsidR="00900BB1">
              <w:rPr>
                <w:rFonts w:cs="Arial"/>
                <w:szCs w:val="22"/>
              </w:rPr>
              <w:t xml:space="preserve">, </w:t>
            </w:r>
            <w:r w:rsidRPr="009461E4">
              <w:rPr>
                <w:rFonts w:cs="Arial"/>
                <w:szCs w:val="22"/>
              </w:rPr>
              <w:t>MHD71D</w:t>
            </w:r>
          </w:p>
          <w:p w:rsidR="00C17F42" w:rsidRPr="009461E4" w:rsidRDefault="00C17F42" w:rsidP="000C2052">
            <w:pPr>
              <w:tabs>
                <w:tab w:val="left" w:pos="567"/>
                <w:tab w:val="left" w:pos="709"/>
                <w:tab w:val="left" w:pos="1701"/>
                <w:tab w:val="left" w:pos="2693"/>
              </w:tabs>
              <w:rPr>
                <w:rFonts w:cs="Arial"/>
                <w:szCs w:val="22"/>
              </w:rPr>
            </w:pPr>
            <w:r>
              <w:rPr>
                <w:rFonts w:cs="Arial"/>
                <w:szCs w:val="22"/>
              </w:rPr>
              <w:lastRenderedPageBreak/>
              <w:t>MHD71S</w:t>
            </w:r>
          </w:p>
        </w:tc>
      </w:tr>
      <w:tr w:rsidR="000D0811" w:rsidRPr="00476824" w:rsidTr="00900BB1">
        <w:tc>
          <w:tcPr>
            <w:tcW w:w="5665" w:type="dxa"/>
            <w:shd w:val="clear" w:color="auto" w:fill="auto"/>
          </w:tcPr>
          <w:p w:rsidR="000D0811" w:rsidRPr="00476824" w:rsidRDefault="000D0811" w:rsidP="000C2052">
            <w:pPr>
              <w:tabs>
                <w:tab w:val="left" w:pos="567"/>
                <w:tab w:val="left" w:pos="709"/>
                <w:tab w:val="left" w:pos="1701"/>
                <w:tab w:val="left" w:pos="2693"/>
              </w:tabs>
              <w:rPr>
                <w:rFonts w:cs="Arial"/>
                <w:sz w:val="24"/>
                <w:szCs w:val="24"/>
              </w:rPr>
            </w:pPr>
            <w:r w:rsidRPr="00476824">
              <w:rPr>
                <w:rFonts w:cs="Arial"/>
                <w:sz w:val="24"/>
                <w:szCs w:val="24"/>
              </w:rPr>
              <w:lastRenderedPageBreak/>
              <w:t>Early intervention alcohol and other drug service</w:t>
            </w:r>
          </w:p>
          <w:p w:rsidR="000D0811" w:rsidRPr="00476824" w:rsidRDefault="000D0811" w:rsidP="000C2052">
            <w:pPr>
              <w:tabs>
                <w:tab w:val="left" w:pos="567"/>
                <w:tab w:val="left" w:pos="709"/>
                <w:tab w:val="left" w:pos="1701"/>
                <w:tab w:val="left" w:pos="2693"/>
              </w:tabs>
              <w:rPr>
                <w:rFonts w:cs="Arial"/>
                <w:sz w:val="24"/>
                <w:szCs w:val="24"/>
              </w:rPr>
            </w:pPr>
          </w:p>
        </w:tc>
        <w:tc>
          <w:tcPr>
            <w:tcW w:w="3820" w:type="dxa"/>
            <w:shd w:val="clear" w:color="auto" w:fill="auto"/>
          </w:tcPr>
          <w:p w:rsidR="00C17F42" w:rsidRPr="007E41D0" w:rsidRDefault="000D0811" w:rsidP="000C2052">
            <w:pPr>
              <w:tabs>
                <w:tab w:val="left" w:pos="567"/>
                <w:tab w:val="left" w:pos="709"/>
                <w:tab w:val="left" w:pos="1701"/>
                <w:tab w:val="left" w:pos="2693"/>
              </w:tabs>
              <w:rPr>
                <w:rFonts w:cs="Arial"/>
                <w:szCs w:val="22"/>
              </w:rPr>
            </w:pPr>
            <w:r w:rsidRPr="00476824">
              <w:rPr>
                <w:rFonts w:cs="Arial"/>
                <w:szCs w:val="22"/>
              </w:rPr>
              <w:t>MHD</w:t>
            </w:r>
            <w:r w:rsidRPr="009461E4">
              <w:rPr>
                <w:rFonts w:cs="Arial"/>
                <w:szCs w:val="22"/>
              </w:rPr>
              <w:t>72A</w:t>
            </w:r>
            <w:r w:rsidR="00900BB1">
              <w:rPr>
                <w:rFonts w:cs="Arial"/>
                <w:szCs w:val="22"/>
              </w:rPr>
              <w:t xml:space="preserve">, </w:t>
            </w:r>
            <w:r w:rsidRPr="009461E4">
              <w:rPr>
                <w:rFonts w:cs="Arial"/>
                <w:szCs w:val="22"/>
              </w:rPr>
              <w:t>MHD72B</w:t>
            </w:r>
            <w:r w:rsidR="00900BB1">
              <w:rPr>
                <w:rFonts w:cs="Arial"/>
                <w:szCs w:val="22"/>
              </w:rPr>
              <w:t xml:space="preserve">, </w:t>
            </w:r>
            <w:r w:rsidRPr="009461E4">
              <w:rPr>
                <w:rFonts w:cs="Arial"/>
                <w:szCs w:val="22"/>
              </w:rPr>
              <w:t>MHD72C</w:t>
            </w:r>
            <w:r w:rsidR="00900BB1">
              <w:rPr>
                <w:rFonts w:cs="Arial"/>
                <w:szCs w:val="22"/>
              </w:rPr>
              <w:t xml:space="preserve">, </w:t>
            </w:r>
            <w:r w:rsidRPr="009461E4">
              <w:rPr>
                <w:rFonts w:cs="Arial"/>
                <w:szCs w:val="22"/>
              </w:rPr>
              <w:t>MHD72D</w:t>
            </w:r>
            <w:r w:rsidR="00900BB1">
              <w:rPr>
                <w:rFonts w:cs="Arial"/>
                <w:szCs w:val="22"/>
              </w:rPr>
              <w:t xml:space="preserve">, </w:t>
            </w:r>
            <w:r w:rsidR="00C17F42">
              <w:rPr>
                <w:rFonts w:cs="Arial"/>
                <w:szCs w:val="22"/>
              </w:rPr>
              <w:t>MHD72S</w:t>
            </w:r>
          </w:p>
          <w:p w:rsidR="00C17F42" w:rsidRPr="009B5893" w:rsidRDefault="000D0811" w:rsidP="00900BB1">
            <w:pPr>
              <w:tabs>
                <w:tab w:val="left" w:pos="567"/>
                <w:tab w:val="left" w:pos="709"/>
                <w:tab w:val="left" w:pos="1701"/>
                <w:tab w:val="left" w:pos="2693"/>
              </w:tabs>
              <w:rPr>
                <w:rFonts w:cs="Arial"/>
                <w:szCs w:val="22"/>
              </w:rPr>
            </w:pPr>
            <w:r w:rsidRPr="007E41D0">
              <w:rPr>
                <w:rFonts w:cs="Arial"/>
                <w:szCs w:val="22"/>
              </w:rPr>
              <w:t>MHDI72A</w:t>
            </w:r>
            <w:r w:rsidR="00900BB1">
              <w:rPr>
                <w:rFonts w:cs="Arial"/>
                <w:szCs w:val="22"/>
              </w:rPr>
              <w:t xml:space="preserve">, </w:t>
            </w:r>
            <w:r w:rsidRPr="009B5893">
              <w:rPr>
                <w:rFonts w:cs="Arial"/>
                <w:szCs w:val="22"/>
              </w:rPr>
              <w:t>MHDI72B</w:t>
            </w:r>
            <w:r w:rsidR="00900BB1">
              <w:rPr>
                <w:rFonts w:cs="Arial"/>
                <w:szCs w:val="22"/>
              </w:rPr>
              <w:t xml:space="preserve">, </w:t>
            </w:r>
            <w:r w:rsidRPr="009B5893">
              <w:rPr>
                <w:rFonts w:cs="Arial"/>
                <w:szCs w:val="22"/>
              </w:rPr>
              <w:t>MHDI72C</w:t>
            </w:r>
            <w:r w:rsidR="00900BB1">
              <w:rPr>
                <w:rFonts w:cs="Arial"/>
                <w:szCs w:val="22"/>
              </w:rPr>
              <w:t xml:space="preserve">, </w:t>
            </w:r>
            <w:r w:rsidRPr="009B5893">
              <w:rPr>
                <w:rFonts w:cs="Arial"/>
                <w:szCs w:val="22"/>
              </w:rPr>
              <w:t>MHDI72D</w:t>
            </w:r>
            <w:r w:rsidR="00900BB1">
              <w:rPr>
                <w:rFonts w:cs="Arial"/>
                <w:szCs w:val="22"/>
              </w:rPr>
              <w:t xml:space="preserve">, </w:t>
            </w:r>
            <w:r w:rsidR="00C17F42">
              <w:rPr>
                <w:rFonts w:cs="Arial"/>
                <w:szCs w:val="22"/>
              </w:rPr>
              <w:t>MHD172S</w:t>
            </w:r>
          </w:p>
        </w:tc>
      </w:tr>
      <w:tr w:rsidR="000D0811" w:rsidRPr="00476824" w:rsidTr="00900BB1">
        <w:tc>
          <w:tcPr>
            <w:tcW w:w="5665" w:type="dxa"/>
            <w:shd w:val="clear" w:color="auto" w:fill="auto"/>
          </w:tcPr>
          <w:p w:rsidR="000D0811" w:rsidRPr="00476824" w:rsidRDefault="000D0811" w:rsidP="000C2052">
            <w:pPr>
              <w:tabs>
                <w:tab w:val="left" w:pos="567"/>
                <w:tab w:val="left" w:pos="709"/>
                <w:tab w:val="left" w:pos="1701"/>
                <w:tab w:val="left" w:pos="2693"/>
              </w:tabs>
              <w:rPr>
                <w:rFonts w:cs="Arial"/>
                <w:sz w:val="24"/>
                <w:szCs w:val="24"/>
              </w:rPr>
            </w:pPr>
            <w:r w:rsidRPr="00476824">
              <w:rPr>
                <w:rFonts w:cs="Arial"/>
                <w:sz w:val="24"/>
                <w:szCs w:val="24"/>
              </w:rPr>
              <w:t xml:space="preserve">Alcohol and other drug- community support </w:t>
            </w:r>
          </w:p>
        </w:tc>
        <w:tc>
          <w:tcPr>
            <w:tcW w:w="3820" w:type="dxa"/>
            <w:shd w:val="clear" w:color="auto" w:fill="auto"/>
          </w:tcPr>
          <w:p w:rsidR="00C17F42" w:rsidRPr="009461E4" w:rsidRDefault="000D0811" w:rsidP="00900BB1">
            <w:pPr>
              <w:tabs>
                <w:tab w:val="left" w:pos="567"/>
                <w:tab w:val="left" w:pos="709"/>
                <w:tab w:val="left" w:pos="1701"/>
                <w:tab w:val="left" w:pos="2693"/>
              </w:tabs>
              <w:rPr>
                <w:rFonts w:cs="Arial"/>
                <w:szCs w:val="22"/>
              </w:rPr>
            </w:pPr>
            <w:r w:rsidRPr="00476824">
              <w:rPr>
                <w:rFonts w:cs="Arial"/>
                <w:szCs w:val="22"/>
              </w:rPr>
              <w:t>MHD73C</w:t>
            </w:r>
            <w:r w:rsidR="00900BB1">
              <w:rPr>
                <w:rFonts w:cs="Arial"/>
                <w:szCs w:val="22"/>
              </w:rPr>
              <w:t xml:space="preserve">, </w:t>
            </w:r>
            <w:r w:rsidRPr="00476824">
              <w:rPr>
                <w:rFonts w:cs="Arial"/>
                <w:szCs w:val="22"/>
              </w:rPr>
              <w:t>MHD73D</w:t>
            </w:r>
            <w:r w:rsidR="00900BB1">
              <w:rPr>
                <w:rFonts w:cs="Arial"/>
                <w:szCs w:val="22"/>
              </w:rPr>
              <w:t xml:space="preserve">, </w:t>
            </w:r>
            <w:r w:rsidR="00C17F42">
              <w:rPr>
                <w:rFonts w:cs="Arial"/>
                <w:szCs w:val="22"/>
              </w:rPr>
              <w:t>MHD73S</w:t>
            </w:r>
          </w:p>
        </w:tc>
      </w:tr>
      <w:tr w:rsidR="000D0811" w:rsidRPr="00476824" w:rsidTr="00900BB1">
        <w:tc>
          <w:tcPr>
            <w:tcW w:w="5665" w:type="dxa"/>
            <w:shd w:val="clear" w:color="auto" w:fill="auto"/>
          </w:tcPr>
          <w:p w:rsidR="000D0811" w:rsidRPr="00476824" w:rsidRDefault="000D0811" w:rsidP="000C2052">
            <w:pPr>
              <w:tabs>
                <w:tab w:val="left" w:pos="567"/>
                <w:tab w:val="left" w:pos="709"/>
                <w:tab w:val="left" w:pos="1701"/>
                <w:tab w:val="left" w:pos="2693"/>
              </w:tabs>
              <w:rPr>
                <w:rFonts w:cs="Arial"/>
                <w:sz w:val="24"/>
                <w:szCs w:val="24"/>
              </w:rPr>
            </w:pPr>
            <w:r w:rsidRPr="00476824">
              <w:rPr>
                <w:rFonts w:cs="Arial"/>
                <w:sz w:val="24"/>
                <w:szCs w:val="24"/>
              </w:rPr>
              <w:t>Community based alcohol and other drug services</w:t>
            </w:r>
          </w:p>
        </w:tc>
        <w:tc>
          <w:tcPr>
            <w:tcW w:w="3820" w:type="dxa"/>
            <w:shd w:val="clear" w:color="auto" w:fill="auto"/>
          </w:tcPr>
          <w:p w:rsidR="00C17F42" w:rsidRPr="009461E4" w:rsidRDefault="000D0811" w:rsidP="00900BB1">
            <w:pPr>
              <w:tabs>
                <w:tab w:val="left" w:pos="567"/>
                <w:tab w:val="left" w:pos="709"/>
                <w:tab w:val="left" w:pos="1701"/>
                <w:tab w:val="left" w:pos="2693"/>
              </w:tabs>
              <w:rPr>
                <w:rFonts w:cs="Arial"/>
                <w:szCs w:val="22"/>
              </w:rPr>
            </w:pPr>
            <w:r w:rsidRPr="00476824">
              <w:rPr>
                <w:rFonts w:cs="Arial"/>
                <w:szCs w:val="22"/>
              </w:rPr>
              <w:t>MHD74A</w:t>
            </w:r>
            <w:r w:rsidR="00900BB1">
              <w:rPr>
                <w:rFonts w:cs="Arial"/>
                <w:szCs w:val="22"/>
              </w:rPr>
              <w:t xml:space="preserve">, </w:t>
            </w:r>
            <w:r w:rsidRPr="00476824">
              <w:rPr>
                <w:rFonts w:cs="Arial"/>
                <w:szCs w:val="22"/>
              </w:rPr>
              <w:t>MHD74B</w:t>
            </w:r>
            <w:r w:rsidR="00900BB1">
              <w:rPr>
                <w:rFonts w:cs="Arial"/>
                <w:szCs w:val="22"/>
              </w:rPr>
              <w:t xml:space="preserve">, </w:t>
            </w:r>
            <w:r w:rsidRPr="009461E4">
              <w:rPr>
                <w:rFonts w:cs="Arial"/>
                <w:szCs w:val="22"/>
              </w:rPr>
              <w:t>MHD74C</w:t>
            </w:r>
            <w:r w:rsidR="00900BB1">
              <w:rPr>
                <w:rFonts w:cs="Arial"/>
                <w:szCs w:val="22"/>
              </w:rPr>
              <w:t xml:space="preserve">, </w:t>
            </w:r>
            <w:r w:rsidRPr="009461E4">
              <w:rPr>
                <w:rFonts w:cs="Arial"/>
                <w:szCs w:val="22"/>
              </w:rPr>
              <w:t>MHD74D</w:t>
            </w:r>
            <w:r w:rsidR="00900BB1">
              <w:rPr>
                <w:rFonts w:cs="Arial"/>
                <w:szCs w:val="22"/>
              </w:rPr>
              <w:t xml:space="preserve">, </w:t>
            </w:r>
            <w:r w:rsidRPr="009461E4">
              <w:rPr>
                <w:rFonts w:cs="Arial"/>
                <w:szCs w:val="22"/>
              </w:rPr>
              <w:t>MHD74E</w:t>
            </w:r>
            <w:r w:rsidR="00900BB1">
              <w:rPr>
                <w:rFonts w:cs="Arial"/>
                <w:szCs w:val="22"/>
              </w:rPr>
              <w:t xml:space="preserve">, </w:t>
            </w:r>
            <w:r w:rsidR="00C17F42">
              <w:rPr>
                <w:rFonts w:cs="Arial"/>
                <w:szCs w:val="22"/>
              </w:rPr>
              <w:t>MHD74S</w:t>
            </w:r>
          </w:p>
        </w:tc>
      </w:tr>
      <w:tr w:rsidR="000D0811" w:rsidRPr="00476824" w:rsidTr="00900BB1">
        <w:tc>
          <w:tcPr>
            <w:tcW w:w="5665" w:type="dxa"/>
            <w:shd w:val="clear" w:color="auto" w:fill="auto"/>
          </w:tcPr>
          <w:p w:rsidR="000D0811" w:rsidRPr="00476824" w:rsidRDefault="000D0811" w:rsidP="000C2052">
            <w:pPr>
              <w:tabs>
                <w:tab w:val="left" w:pos="567"/>
                <w:tab w:val="left" w:pos="709"/>
                <w:tab w:val="left" w:pos="1701"/>
                <w:tab w:val="left" w:pos="2693"/>
              </w:tabs>
              <w:rPr>
                <w:rFonts w:cs="Arial"/>
                <w:sz w:val="24"/>
                <w:szCs w:val="24"/>
              </w:rPr>
            </w:pPr>
            <w:r w:rsidRPr="00476824">
              <w:rPr>
                <w:rFonts w:cs="Arial"/>
                <w:sz w:val="24"/>
                <w:szCs w:val="24"/>
              </w:rPr>
              <w:t>Alcohol and other drug day treatment programme</w:t>
            </w:r>
          </w:p>
        </w:tc>
        <w:tc>
          <w:tcPr>
            <w:tcW w:w="3820" w:type="dxa"/>
            <w:shd w:val="clear" w:color="auto" w:fill="auto"/>
          </w:tcPr>
          <w:p w:rsidR="00C17F42" w:rsidRPr="009461E4" w:rsidRDefault="000D0811" w:rsidP="00900BB1">
            <w:pPr>
              <w:tabs>
                <w:tab w:val="left" w:pos="567"/>
                <w:tab w:val="left" w:pos="709"/>
                <w:tab w:val="left" w:pos="1701"/>
                <w:tab w:val="left" w:pos="2693"/>
              </w:tabs>
              <w:rPr>
                <w:rFonts w:cs="Arial"/>
                <w:szCs w:val="22"/>
              </w:rPr>
            </w:pPr>
            <w:r w:rsidRPr="00476824">
              <w:rPr>
                <w:rFonts w:cs="Arial"/>
                <w:szCs w:val="22"/>
              </w:rPr>
              <w:t>MHD75A</w:t>
            </w:r>
            <w:r w:rsidR="00900BB1">
              <w:rPr>
                <w:rFonts w:cs="Arial"/>
                <w:szCs w:val="22"/>
              </w:rPr>
              <w:t xml:space="preserve">, </w:t>
            </w:r>
            <w:r w:rsidRPr="00476824">
              <w:rPr>
                <w:rFonts w:cs="Arial"/>
                <w:szCs w:val="22"/>
              </w:rPr>
              <w:t>MHD75B</w:t>
            </w:r>
            <w:r w:rsidR="00900BB1">
              <w:rPr>
                <w:rFonts w:cs="Arial"/>
                <w:szCs w:val="22"/>
              </w:rPr>
              <w:t xml:space="preserve">, </w:t>
            </w:r>
            <w:r w:rsidRPr="009461E4">
              <w:rPr>
                <w:rFonts w:cs="Arial"/>
                <w:szCs w:val="22"/>
              </w:rPr>
              <w:t>MHD75C</w:t>
            </w:r>
            <w:r w:rsidR="00900BB1">
              <w:rPr>
                <w:rFonts w:cs="Arial"/>
                <w:szCs w:val="22"/>
              </w:rPr>
              <w:t xml:space="preserve">, </w:t>
            </w:r>
            <w:r w:rsidRPr="009461E4">
              <w:rPr>
                <w:rFonts w:cs="Arial"/>
                <w:szCs w:val="22"/>
              </w:rPr>
              <w:t>MHD75D</w:t>
            </w:r>
            <w:r w:rsidR="00900BB1">
              <w:rPr>
                <w:rFonts w:cs="Arial"/>
                <w:szCs w:val="22"/>
              </w:rPr>
              <w:t xml:space="preserve">, </w:t>
            </w:r>
            <w:r w:rsidR="00C17F42">
              <w:rPr>
                <w:rFonts w:cs="Arial"/>
                <w:szCs w:val="22"/>
              </w:rPr>
              <w:t>MHD75S</w:t>
            </w:r>
          </w:p>
        </w:tc>
      </w:tr>
      <w:tr w:rsidR="000D0811" w:rsidRPr="00476824" w:rsidTr="00900BB1">
        <w:tc>
          <w:tcPr>
            <w:tcW w:w="5665" w:type="dxa"/>
            <w:shd w:val="clear" w:color="auto" w:fill="auto"/>
          </w:tcPr>
          <w:p w:rsidR="000D0811" w:rsidRPr="00476824" w:rsidRDefault="000D0811" w:rsidP="000C2052">
            <w:pPr>
              <w:tabs>
                <w:tab w:val="left" w:pos="567"/>
                <w:tab w:val="left" w:pos="709"/>
                <w:tab w:val="left" w:pos="1701"/>
                <w:tab w:val="left" w:pos="2693"/>
              </w:tabs>
              <w:rPr>
                <w:rFonts w:cs="Arial"/>
                <w:sz w:val="24"/>
                <w:szCs w:val="24"/>
              </w:rPr>
            </w:pPr>
            <w:r w:rsidRPr="00476824">
              <w:rPr>
                <w:rFonts w:cs="Arial"/>
                <w:sz w:val="24"/>
                <w:szCs w:val="24"/>
              </w:rPr>
              <w:t xml:space="preserve">Intensive alcohol and other drug service with accommodation </w:t>
            </w:r>
          </w:p>
        </w:tc>
        <w:tc>
          <w:tcPr>
            <w:tcW w:w="3820" w:type="dxa"/>
            <w:shd w:val="clear" w:color="auto" w:fill="auto"/>
          </w:tcPr>
          <w:p w:rsidR="00C17F42" w:rsidRPr="009461E4" w:rsidRDefault="000D0811" w:rsidP="00900BB1">
            <w:pPr>
              <w:tabs>
                <w:tab w:val="left" w:pos="567"/>
                <w:tab w:val="left" w:pos="709"/>
                <w:tab w:val="left" w:pos="1701"/>
                <w:tab w:val="left" w:pos="2693"/>
              </w:tabs>
              <w:rPr>
                <w:rFonts w:cs="Arial"/>
                <w:szCs w:val="22"/>
              </w:rPr>
            </w:pPr>
            <w:r w:rsidRPr="00476824">
              <w:rPr>
                <w:rFonts w:cs="Arial"/>
                <w:szCs w:val="22"/>
              </w:rPr>
              <w:t>MHD76</w:t>
            </w:r>
            <w:r w:rsidR="00900BB1">
              <w:rPr>
                <w:rFonts w:cs="Arial"/>
                <w:szCs w:val="22"/>
              </w:rPr>
              <w:t xml:space="preserve">, </w:t>
            </w:r>
            <w:r w:rsidRPr="00476824">
              <w:rPr>
                <w:rFonts w:cs="Arial"/>
                <w:szCs w:val="22"/>
              </w:rPr>
              <w:t>MHD76A</w:t>
            </w:r>
            <w:r w:rsidR="00900BB1">
              <w:rPr>
                <w:rFonts w:cs="Arial"/>
                <w:szCs w:val="22"/>
              </w:rPr>
              <w:t xml:space="preserve">, </w:t>
            </w:r>
            <w:r w:rsidRPr="009461E4">
              <w:rPr>
                <w:rFonts w:cs="Arial"/>
                <w:szCs w:val="22"/>
              </w:rPr>
              <w:t>MHD76B</w:t>
            </w:r>
            <w:r w:rsidR="00900BB1">
              <w:rPr>
                <w:rFonts w:cs="Arial"/>
                <w:szCs w:val="22"/>
              </w:rPr>
              <w:t xml:space="preserve">, </w:t>
            </w:r>
            <w:r w:rsidRPr="009461E4">
              <w:rPr>
                <w:rFonts w:cs="Arial"/>
                <w:szCs w:val="22"/>
              </w:rPr>
              <w:t>MHD76C</w:t>
            </w:r>
            <w:r w:rsidR="00900BB1">
              <w:rPr>
                <w:rFonts w:cs="Arial"/>
                <w:szCs w:val="22"/>
              </w:rPr>
              <w:t xml:space="preserve">, </w:t>
            </w:r>
            <w:r w:rsidRPr="009461E4">
              <w:rPr>
                <w:rFonts w:cs="Arial"/>
                <w:szCs w:val="22"/>
              </w:rPr>
              <w:t>MHD76D</w:t>
            </w:r>
            <w:r w:rsidR="00900BB1">
              <w:rPr>
                <w:rFonts w:cs="Arial"/>
                <w:szCs w:val="22"/>
              </w:rPr>
              <w:t>,</w:t>
            </w:r>
            <w:r w:rsidR="00C17F42">
              <w:rPr>
                <w:rFonts w:cs="Arial"/>
                <w:szCs w:val="22"/>
              </w:rPr>
              <w:t>MHD76S</w:t>
            </w:r>
          </w:p>
        </w:tc>
      </w:tr>
      <w:tr w:rsidR="000D0811" w:rsidRPr="00476824" w:rsidTr="00900BB1">
        <w:tc>
          <w:tcPr>
            <w:tcW w:w="5665" w:type="dxa"/>
            <w:shd w:val="clear" w:color="auto" w:fill="auto"/>
          </w:tcPr>
          <w:p w:rsidR="000D0811" w:rsidRPr="00476824" w:rsidRDefault="000D0811" w:rsidP="000C2052">
            <w:pPr>
              <w:tabs>
                <w:tab w:val="left" w:pos="567"/>
                <w:tab w:val="left" w:pos="709"/>
                <w:tab w:val="left" w:pos="1701"/>
                <w:tab w:val="left" w:pos="2693"/>
              </w:tabs>
              <w:rPr>
                <w:rFonts w:cs="Arial"/>
                <w:sz w:val="24"/>
                <w:szCs w:val="24"/>
              </w:rPr>
            </w:pPr>
            <w:r w:rsidRPr="00476824">
              <w:rPr>
                <w:rFonts w:cs="Arial"/>
                <w:sz w:val="24"/>
                <w:szCs w:val="24"/>
              </w:rPr>
              <w:t>Managed withdrawal- inpatient services</w:t>
            </w:r>
          </w:p>
        </w:tc>
        <w:tc>
          <w:tcPr>
            <w:tcW w:w="3820" w:type="dxa"/>
            <w:shd w:val="clear" w:color="auto" w:fill="auto"/>
          </w:tcPr>
          <w:p w:rsidR="000D0811" w:rsidRPr="00476824" w:rsidRDefault="000D0811" w:rsidP="000C2052">
            <w:pPr>
              <w:tabs>
                <w:tab w:val="left" w:pos="567"/>
                <w:tab w:val="left" w:pos="709"/>
                <w:tab w:val="left" w:pos="1701"/>
                <w:tab w:val="left" w:pos="2693"/>
              </w:tabs>
              <w:rPr>
                <w:rFonts w:cs="Arial"/>
                <w:szCs w:val="22"/>
              </w:rPr>
            </w:pPr>
            <w:r w:rsidRPr="00476824">
              <w:rPr>
                <w:rFonts w:cs="Arial"/>
                <w:szCs w:val="22"/>
              </w:rPr>
              <w:t>MHD77</w:t>
            </w:r>
          </w:p>
        </w:tc>
      </w:tr>
      <w:tr w:rsidR="000D0811" w:rsidRPr="00476824" w:rsidTr="00900BB1">
        <w:tc>
          <w:tcPr>
            <w:tcW w:w="5665" w:type="dxa"/>
            <w:shd w:val="clear" w:color="auto" w:fill="auto"/>
          </w:tcPr>
          <w:p w:rsidR="000D0811" w:rsidRPr="00476824" w:rsidRDefault="000D0811" w:rsidP="000C2052">
            <w:pPr>
              <w:tabs>
                <w:tab w:val="left" w:pos="567"/>
                <w:tab w:val="left" w:pos="709"/>
                <w:tab w:val="left" w:pos="1701"/>
                <w:tab w:val="left" w:pos="2693"/>
              </w:tabs>
              <w:rPr>
                <w:rFonts w:cs="Arial"/>
                <w:sz w:val="24"/>
                <w:szCs w:val="24"/>
              </w:rPr>
            </w:pPr>
            <w:r w:rsidRPr="00476824">
              <w:rPr>
                <w:rFonts w:cs="Arial"/>
                <w:sz w:val="24"/>
                <w:szCs w:val="24"/>
              </w:rPr>
              <w:t>Managed withdrawal- home/community</w:t>
            </w:r>
          </w:p>
        </w:tc>
        <w:tc>
          <w:tcPr>
            <w:tcW w:w="3820" w:type="dxa"/>
            <w:shd w:val="clear" w:color="auto" w:fill="auto"/>
          </w:tcPr>
          <w:p w:rsidR="00C17F42" w:rsidRPr="009461E4" w:rsidRDefault="000D0811" w:rsidP="00900BB1">
            <w:pPr>
              <w:tabs>
                <w:tab w:val="left" w:pos="567"/>
                <w:tab w:val="left" w:pos="709"/>
                <w:tab w:val="left" w:pos="1701"/>
                <w:tab w:val="left" w:pos="2693"/>
              </w:tabs>
              <w:rPr>
                <w:rFonts w:cs="Arial"/>
                <w:szCs w:val="22"/>
              </w:rPr>
            </w:pPr>
            <w:r w:rsidRPr="00476824">
              <w:rPr>
                <w:rFonts w:cs="Arial"/>
                <w:szCs w:val="22"/>
              </w:rPr>
              <w:t>MHD78</w:t>
            </w:r>
            <w:r w:rsidR="00900BB1">
              <w:rPr>
                <w:rFonts w:cs="Arial"/>
                <w:szCs w:val="22"/>
              </w:rPr>
              <w:t xml:space="preserve">, </w:t>
            </w:r>
            <w:r w:rsidRPr="00476824">
              <w:rPr>
                <w:rFonts w:cs="Arial"/>
                <w:szCs w:val="22"/>
              </w:rPr>
              <w:t>MHD78A</w:t>
            </w:r>
            <w:r w:rsidR="00900BB1">
              <w:rPr>
                <w:rFonts w:cs="Arial"/>
                <w:szCs w:val="22"/>
              </w:rPr>
              <w:t xml:space="preserve">, </w:t>
            </w:r>
            <w:r w:rsidRPr="009461E4">
              <w:rPr>
                <w:rFonts w:cs="Arial"/>
                <w:szCs w:val="22"/>
              </w:rPr>
              <w:t>MHD78B</w:t>
            </w:r>
            <w:r w:rsidR="00900BB1">
              <w:rPr>
                <w:rFonts w:cs="Arial"/>
                <w:szCs w:val="22"/>
              </w:rPr>
              <w:t xml:space="preserve">, </w:t>
            </w:r>
            <w:r w:rsidRPr="009461E4">
              <w:rPr>
                <w:rFonts w:cs="Arial"/>
                <w:szCs w:val="22"/>
              </w:rPr>
              <w:t>MHD78C</w:t>
            </w:r>
            <w:r w:rsidR="00900BB1">
              <w:rPr>
                <w:rFonts w:cs="Arial"/>
                <w:szCs w:val="22"/>
              </w:rPr>
              <w:t xml:space="preserve">, </w:t>
            </w:r>
            <w:r w:rsidRPr="009461E4">
              <w:rPr>
                <w:rFonts w:cs="Arial"/>
                <w:szCs w:val="22"/>
              </w:rPr>
              <w:t>MHD78D</w:t>
            </w:r>
            <w:r w:rsidR="00900BB1">
              <w:rPr>
                <w:rFonts w:cs="Arial"/>
                <w:szCs w:val="22"/>
              </w:rPr>
              <w:t xml:space="preserve">, </w:t>
            </w:r>
            <w:r w:rsidR="00C17F42">
              <w:rPr>
                <w:rFonts w:cs="Arial"/>
                <w:szCs w:val="22"/>
              </w:rPr>
              <w:t>MHD78S</w:t>
            </w:r>
          </w:p>
        </w:tc>
      </w:tr>
      <w:tr w:rsidR="000D0811" w:rsidRPr="00476824" w:rsidTr="00900BB1">
        <w:tc>
          <w:tcPr>
            <w:tcW w:w="5665" w:type="dxa"/>
            <w:shd w:val="clear" w:color="auto" w:fill="auto"/>
          </w:tcPr>
          <w:p w:rsidR="000D0811" w:rsidRPr="00476824" w:rsidRDefault="000D0811" w:rsidP="000C2052">
            <w:pPr>
              <w:tabs>
                <w:tab w:val="left" w:pos="567"/>
                <w:tab w:val="left" w:pos="709"/>
                <w:tab w:val="left" w:pos="1701"/>
                <w:tab w:val="left" w:pos="2693"/>
              </w:tabs>
              <w:rPr>
                <w:rFonts w:cs="Arial"/>
                <w:sz w:val="24"/>
                <w:szCs w:val="24"/>
              </w:rPr>
            </w:pPr>
            <w:r w:rsidRPr="00476824">
              <w:rPr>
                <w:rFonts w:cs="Arial"/>
                <w:sz w:val="24"/>
                <w:szCs w:val="24"/>
              </w:rPr>
              <w:t>Alcohol and other drug acute packages of care</w:t>
            </w:r>
          </w:p>
        </w:tc>
        <w:tc>
          <w:tcPr>
            <w:tcW w:w="3820" w:type="dxa"/>
            <w:shd w:val="clear" w:color="auto" w:fill="auto"/>
          </w:tcPr>
          <w:p w:rsidR="00C17F42" w:rsidRPr="009461E4" w:rsidRDefault="000D0811" w:rsidP="00900BB1">
            <w:pPr>
              <w:tabs>
                <w:tab w:val="left" w:pos="567"/>
                <w:tab w:val="left" w:pos="709"/>
                <w:tab w:val="left" w:pos="1701"/>
                <w:tab w:val="left" w:pos="2693"/>
              </w:tabs>
              <w:rPr>
                <w:rFonts w:cs="Arial"/>
                <w:szCs w:val="22"/>
              </w:rPr>
            </w:pPr>
            <w:r w:rsidRPr="00476824">
              <w:rPr>
                <w:rFonts w:cs="Arial"/>
                <w:szCs w:val="22"/>
              </w:rPr>
              <w:t>MHD79</w:t>
            </w:r>
            <w:r w:rsidR="00900BB1">
              <w:rPr>
                <w:rFonts w:cs="Arial"/>
                <w:szCs w:val="22"/>
              </w:rPr>
              <w:t xml:space="preserve">, </w:t>
            </w:r>
            <w:r w:rsidRPr="00476824">
              <w:rPr>
                <w:rFonts w:cs="Arial"/>
                <w:szCs w:val="22"/>
              </w:rPr>
              <w:t>MHD79C</w:t>
            </w:r>
            <w:r w:rsidR="00900BB1">
              <w:rPr>
                <w:rFonts w:cs="Arial"/>
                <w:szCs w:val="22"/>
              </w:rPr>
              <w:t xml:space="preserve">, </w:t>
            </w:r>
            <w:r w:rsidRPr="009461E4">
              <w:rPr>
                <w:rFonts w:cs="Arial"/>
                <w:szCs w:val="22"/>
              </w:rPr>
              <w:t>MHD79D</w:t>
            </w:r>
            <w:r w:rsidR="00900BB1">
              <w:rPr>
                <w:rFonts w:cs="Arial"/>
                <w:szCs w:val="22"/>
              </w:rPr>
              <w:t xml:space="preserve">, </w:t>
            </w:r>
            <w:r w:rsidRPr="009461E4">
              <w:rPr>
                <w:rFonts w:cs="Arial"/>
                <w:szCs w:val="22"/>
              </w:rPr>
              <w:t>MHD79E</w:t>
            </w:r>
            <w:r w:rsidR="00900BB1">
              <w:rPr>
                <w:rFonts w:cs="Arial"/>
                <w:szCs w:val="22"/>
              </w:rPr>
              <w:t xml:space="preserve">, </w:t>
            </w:r>
            <w:r w:rsidR="00C17F42">
              <w:rPr>
                <w:rFonts w:cs="Arial"/>
                <w:szCs w:val="22"/>
              </w:rPr>
              <w:t>MHD79S</w:t>
            </w:r>
          </w:p>
        </w:tc>
      </w:tr>
      <w:tr w:rsidR="000D0811" w:rsidRPr="00476824" w:rsidTr="00900BB1">
        <w:tc>
          <w:tcPr>
            <w:tcW w:w="5665" w:type="dxa"/>
            <w:shd w:val="clear" w:color="auto" w:fill="auto"/>
          </w:tcPr>
          <w:p w:rsidR="000D0811" w:rsidRPr="00476824" w:rsidRDefault="000D0811" w:rsidP="000C2052">
            <w:pPr>
              <w:spacing w:before="120" w:after="120"/>
              <w:rPr>
                <w:rFonts w:cs="Arial"/>
                <w:lang w:val="en-NZ"/>
              </w:rPr>
            </w:pPr>
            <w:r w:rsidRPr="00476824">
              <w:rPr>
                <w:rFonts w:cs="Arial"/>
                <w:lang w:val="en-NZ"/>
              </w:rPr>
              <w:t xml:space="preserve">Child, Adolescent And Youth Alcohol And Other Drug Community Services </w:t>
            </w:r>
          </w:p>
        </w:tc>
        <w:tc>
          <w:tcPr>
            <w:tcW w:w="3820" w:type="dxa"/>
            <w:shd w:val="clear" w:color="auto" w:fill="auto"/>
          </w:tcPr>
          <w:p w:rsidR="00C17F42" w:rsidRPr="00476824" w:rsidRDefault="000D0811" w:rsidP="00900BB1">
            <w:pPr>
              <w:spacing w:before="120"/>
              <w:rPr>
                <w:rFonts w:cs="Arial"/>
                <w:lang w:val="en-NZ"/>
              </w:rPr>
            </w:pPr>
            <w:r w:rsidRPr="00476824">
              <w:rPr>
                <w:rFonts w:cs="Arial"/>
                <w:lang w:val="en-NZ"/>
              </w:rPr>
              <w:t>MHDI48A</w:t>
            </w:r>
            <w:r w:rsidR="00900BB1">
              <w:rPr>
                <w:rFonts w:cs="Arial"/>
                <w:lang w:val="en-NZ"/>
              </w:rPr>
              <w:t xml:space="preserve">, </w:t>
            </w:r>
            <w:r w:rsidRPr="00476824">
              <w:rPr>
                <w:rFonts w:cs="Arial"/>
                <w:lang w:val="en-NZ"/>
              </w:rPr>
              <w:t>MHDI48B</w:t>
            </w:r>
            <w:r w:rsidR="00900BB1">
              <w:rPr>
                <w:rFonts w:cs="Arial"/>
                <w:lang w:val="en-NZ"/>
              </w:rPr>
              <w:t xml:space="preserve">, MHDI48C, </w:t>
            </w:r>
            <w:r w:rsidRPr="00476824">
              <w:rPr>
                <w:rFonts w:cs="Arial"/>
                <w:lang w:val="en-NZ"/>
              </w:rPr>
              <w:t>MHDI48D</w:t>
            </w:r>
            <w:r w:rsidR="00900BB1">
              <w:rPr>
                <w:rFonts w:cs="Arial"/>
                <w:lang w:val="en-NZ"/>
              </w:rPr>
              <w:t xml:space="preserve">, </w:t>
            </w:r>
            <w:r w:rsidRPr="00476824">
              <w:rPr>
                <w:rFonts w:cs="Arial"/>
                <w:lang w:val="en-NZ"/>
              </w:rPr>
              <w:t>MHDI48E</w:t>
            </w:r>
            <w:r w:rsidR="00900BB1">
              <w:rPr>
                <w:rFonts w:cs="Arial"/>
                <w:lang w:val="en-NZ"/>
              </w:rPr>
              <w:t xml:space="preserve">, </w:t>
            </w:r>
            <w:r w:rsidR="00C17F42">
              <w:rPr>
                <w:rFonts w:cs="Arial"/>
                <w:lang w:val="en-NZ"/>
              </w:rPr>
              <w:t>MHD148S</w:t>
            </w:r>
          </w:p>
        </w:tc>
      </w:tr>
      <w:tr w:rsidR="000D0811" w:rsidRPr="00476824" w:rsidTr="00900BB1">
        <w:tc>
          <w:tcPr>
            <w:tcW w:w="5665" w:type="dxa"/>
            <w:shd w:val="clear" w:color="auto" w:fill="auto"/>
          </w:tcPr>
          <w:p w:rsidR="000D0811" w:rsidRPr="00476824" w:rsidRDefault="000D0811" w:rsidP="000C2052">
            <w:pPr>
              <w:spacing w:before="120" w:after="120"/>
              <w:rPr>
                <w:rFonts w:cs="Arial"/>
                <w:lang w:val="en-NZ"/>
              </w:rPr>
            </w:pPr>
            <w:r w:rsidRPr="00476824">
              <w:rPr>
                <w:rFonts w:cs="Arial"/>
                <w:lang w:val="en-NZ"/>
              </w:rPr>
              <w:t xml:space="preserve">Child, Adolescent And Youth Community Alcohol And Drug Services With Accommodation Component </w:t>
            </w:r>
          </w:p>
        </w:tc>
        <w:tc>
          <w:tcPr>
            <w:tcW w:w="3820" w:type="dxa"/>
            <w:shd w:val="clear" w:color="auto" w:fill="auto"/>
          </w:tcPr>
          <w:p w:rsidR="00C17F42" w:rsidRPr="009461E4" w:rsidRDefault="000D0811" w:rsidP="00900BB1">
            <w:pPr>
              <w:rPr>
                <w:rFonts w:cs="Arial"/>
                <w:lang w:val="en-NZ"/>
              </w:rPr>
            </w:pPr>
            <w:r w:rsidRPr="00476824">
              <w:rPr>
                <w:rFonts w:cs="Arial"/>
                <w:lang w:val="en-NZ"/>
              </w:rPr>
              <w:t>MHDI49</w:t>
            </w:r>
            <w:r w:rsidR="00900BB1">
              <w:rPr>
                <w:rFonts w:cs="Arial"/>
                <w:lang w:val="en-NZ"/>
              </w:rPr>
              <w:t xml:space="preserve">, </w:t>
            </w:r>
            <w:r w:rsidRPr="009461E4">
              <w:rPr>
                <w:rFonts w:cs="Arial"/>
                <w:lang w:val="en-NZ"/>
              </w:rPr>
              <w:t>MHDI49C</w:t>
            </w:r>
            <w:r w:rsidR="00900BB1">
              <w:rPr>
                <w:rFonts w:cs="Arial"/>
                <w:lang w:val="en-NZ"/>
              </w:rPr>
              <w:t xml:space="preserve">,MHDI49D, </w:t>
            </w:r>
            <w:r w:rsidRPr="009461E4">
              <w:rPr>
                <w:rFonts w:cs="Arial"/>
                <w:lang w:val="en-NZ"/>
              </w:rPr>
              <w:t>MHDI49E</w:t>
            </w:r>
            <w:r w:rsidR="00900BB1">
              <w:rPr>
                <w:rFonts w:cs="Arial"/>
                <w:lang w:val="en-NZ"/>
              </w:rPr>
              <w:t xml:space="preserve">, </w:t>
            </w:r>
            <w:r w:rsidR="00C17F42">
              <w:rPr>
                <w:rFonts w:cs="Arial"/>
                <w:lang w:val="en-NZ"/>
              </w:rPr>
              <w:t>MHD149S</w:t>
            </w:r>
          </w:p>
        </w:tc>
      </w:tr>
      <w:tr w:rsidR="000D0811" w:rsidRPr="00476824" w:rsidTr="00900BB1">
        <w:tc>
          <w:tcPr>
            <w:tcW w:w="5665" w:type="dxa"/>
            <w:shd w:val="clear" w:color="auto" w:fill="auto"/>
          </w:tcPr>
          <w:p w:rsidR="000D0811" w:rsidRPr="00476824" w:rsidRDefault="000D0811" w:rsidP="000C2052">
            <w:pPr>
              <w:spacing w:before="120" w:after="120"/>
              <w:rPr>
                <w:rFonts w:cs="Arial"/>
                <w:lang w:val="en-NZ"/>
              </w:rPr>
            </w:pPr>
            <w:r w:rsidRPr="00476824">
              <w:rPr>
                <w:rFonts w:cs="Arial"/>
                <w:lang w:val="en-NZ"/>
              </w:rPr>
              <w:t xml:space="preserve">Community Based Child, Adolescent And Youth Co-Existing Problems Of Mental Health And Alcohol And/Or Drug Use </w:t>
            </w:r>
          </w:p>
        </w:tc>
        <w:tc>
          <w:tcPr>
            <w:tcW w:w="3820" w:type="dxa"/>
            <w:shd w:val="clear" w:color="auto" w:fill="auto"/>
          </w:tcPr>
          <w:p w:rsidR="00C17F42" w:rsidRPr="00476824" w:rsidRDefault="00900BB1" w:rsidP="00900BB1">
            <w:pPr>
              <w:rPr>
                <w:rFonts w:cs="Arial"/>
                <w:lang w:val="en-NZ"/>
              </w:rPr>
            </w:pPr>
            <w:r>
              <w:rPr>
                <w:rFonts w:cs="Arial"/>
                <w:lang w:val="en-NZ"/>
              </w:rPr>
              <w:t xml:space="preserve">MHDI50A, </w:t>
            </w:r>
            <w:r w:rsidR="000D0811" w:rsidRPr="00476824">
              <w:rPr>
                <w:rFonts w:cs="Arial"/>
                <w:lang w:val="en-NZ"/>
              </w:rPr>
              <w:t>MHDI50B</w:t>
            </w:r>
            <w:r>
              <w:rPr>
                <w:rFonts w:cs="Arial"/>
                <w:lang w:val="en-NZ"/>
              </w:rPr>
              <w:t xml:space="preserve">, MHDI50C, MHDI50D, </w:t>
            </w:r>
            <w:r w:rsidR="000D0811" w:rsidRPr="00476824">
              <w:rPr>
                <w:rFonts w:cs="Arial"/>
                <w:lang w:val="en-NZ"/>
              </w:rPr>
              <w:t>MHDI50E</w:t>
            </w:r>
            <w:r>
              <w:rPr>
                <w:rFonts w:cs="Arial"/>
                <w:lang w:val="en-NZ"/>
              </w:rPr>
              <w:t xml:space="preserve">, </w:t>
            </w:r>
            <w:r w:rsidR="00C17F42">
              <w:rPr>
                <w:rFonts w:cs="Arial"/>
                <w:lang w:val="en-NZ"/>
              </w:rPr>
              <w:t>MHD150S</w:t>
            </w:r>
          </w:p>
        </w:tc>
      </w:tr>
      <w:tr w:rsidR="000D0811" w:rsidRPr="00476824" w:rsidTr="00900BB1">
        <w:tc>
          <w:tcPr>
            <w:tcW w:w="5665" w:type="dxa"/>
            <w:shd w:val="clear" w:color="auto" w:fill="auto"/>
          </w:tcPr>
          <w:p w:rsidR="000D0811" w:rsidRPr="00476824" w:rsidRDefault="000D0811" w:rsidP="000C2052">
            <w:pPr>
              <w:spacing w:before="120" w:after="120"/>
              <w:rPr>
                <w:rFonts w:cs="Arial"/>
                <w:lang w:val="en-NZ"/>
              </w:rPr>
            </w:pPr>
            <w:r w:rsidRPr="00476824">
              <w:rPr>
                <w:rFonts w:cs="Arial"/>
                <w:lang w:val="en-NZ"/>
              </w:rPr>
              <w:t xml:space="preserve">Child, Adolescent And Youth Planned Respite </w:t>
            </w:r>
            <w:r w:rsidR="00A42BB6" w:rsidRPr="00476824">
              <w:rPr>
                <w:rFonts w:cs="Arial"/>
                <w:lang w:val="en-NZ"/>
              </w:rPr>
              <w:t>Mental Health And Alcohol And Other Drugs/ Co Existing Disorders</w:t>
            </w:r>
            <w:r w:rsidR="00A42BB6" w:rsidRPr="00476824" w:rsidDel="00A42BB6">
              <w:rPr>
                <w:rFonts w:cs="Arial"/>
                <w:lang w:val="en-NZ"/>
              </w:rPr>
              <w:t xml:space="preserve"> </w:t>
            </w:r>
          </w:p>
        </w:tc>
        <w:tc>
          <w:tcPr>
            <w:tcW w:w="3820" w:type="dxa"/>
            <w:shd w:val="clear" w:color="auto" w:fill="auto"/>
          </w:tcPr>
          <w:p w:rsidR="00C17F42" w:rsidRPr="00476824" w:rsidRDefault="00900BB1" w:rsidP="0090001C">
            <w:pPr>
              <w:rPr>
                <w:rFonts w:cs="Arial"/>
                <w:lang w:val="en-NZ"/>
              </w:rPr>
            </w:pPr>
            <w:r>
              <w:rPr>
                <w:rFonts w:cs="Arial"/>
                <w:lang w:val="en-NZ"/>
              </w:rPr>
              <w:t xml:space="preserve">MHDI52, </w:t>
            </w:r>
            <w:r w:rsidR="000D0811" w:rsidRPr="00476824">
              <w:rPr>
                <w:rFonts w:cs="Arial"/>
                <w:lang w:val="en-NZ"/>
              </w:rPr>
              <w:t>MHDI52C</w:t>
            </w:r>
            <w:r>
              <w:rPr>
                <w:rFonts w:cs="Arial"/>
                <w:lang w:val="en-NZ"/>
              </w:rPr>
              <w:t xml:space="preserve">, MHDI52D, </w:t>
            </w:r>
            <w:r w:rsidR="000D0811" w:rsidRPr="00476824">
              <w:rPr>
                <w:rFonts w:cs="Arial"/>
                <w:lang w:val="en-NZ"/>
              </w:rPr>
              <w:t>MHDI52E</w:t>
            </w:r>
            <w:r>
              <w:rPr>
                <w:rFonts w:cs="Arial"/>
                <w:lang w:val="en-NZ"/>
              </w:rPr>
              <w:t xml:space="preserve">, </w:t>
            </w:r>
            <w:r w:rsidR="00C17F42">
              <w:rPr>
                <w:rFonts w:cs="Arial"/>
                <w:lang w:val="en-NZ"/>
              </w:rPr>
              <w:t>MHD152S</w:t>
            </w:r>
          </w:p>
          <w:p w:rsidR="00A42BB6" w:rsidRDefault="00A42BB6" w:rsidP="00A42BB6">
            <w:pPr>
              <w:rPr>
                <w:rFonts w:cs="Arial"/>
                <w:lang w:val="en-NZ"/>
              </w:rPr>
            </w:pPr>
            <w:r w:rsidRPr="00476824">
              <w:rPr>
                <w:rFonts w:cs="Arial"/>
                <w:lang w:val="en-NZ"/>
              </w:rPr>
              <w:t>MHI52</w:t>
            </w:r>
            <w:r w:rsidR="00900BB1">
              <w:rPr>
                <w:rFonts w:cs="Arial"/>
                <w:lang w:val="en-NZ"/>
              </w:rPr>
              <w:t xml:space="preserve">, </w:t>
            </w:r>
            <w:r w:rsidRPr="00476824">
              <w:rPr>
                <w:rFonts w:cs="Arial"/>
                <w:lang w:val="en-NZ"/>
              </w:rPr>
              <w:t>MHI52C</w:t>
            </w:r>
            <w:r w:rsidR="00900BB1">
              <w:rPr>
                <w:rFonts w:cs="Arial"/>
                <w:lang w:val="en-NZ"/>
              </w:rPr>
              <w:t xml:space="preserve">, </w:t>
            </w:r>
            <w:r w:rsidRPr="00476824">
              <w:rPr>
                <w:rFonts w:cs="Arial"/>
                <w:lang w:val="en-NZ"/>
              </w:rPr>
              <w:t>MHI52D</w:t>
            </w:r>
            <w:r w:rsidR="00900BB1">
              <w:rPr>
                <w:rFonts w:cs="Arial"/>
                <w:lang w:val="en-NZ"/>
              </w:rPr>
              <w:t xml:space="preserve">, </w:t>
            </w:r>
            <w:r w:rsidRPr="00476824">
              <w:rPr>
                <w:rFonts w:cs="Arial"/>
                <w:lang w:val="en-NZ"/>
              </w:rPr>
              <w:t>MHI52E</w:t>
            </w:r>
          </w:p>
          <w:p w:rsidR="00E745D4" w:rsidRPr="00476824" w:rsidRDefault="00E745D4" w:rsidP="00A42BB6">
            <w:pPr>
              <w:rPr>
                <w:rFonts w:cs="Arial"/>
                <w:lang w:val="en-NZ"/>
              </w:rPr>
            </w:pPr>
            <w:r>
              <w:rPr>
                <w:rFonts w:cs="Arial"/>
                <w:lang w:val="en-NZ"/>
              </w:rPr>
              <w:t>MHI52S</w:t>
            </w:r>
          </w:p>
        </w:tc>
      </w:tr>
      <w:tr w:rsidR="000D0811" w:rsidRPr="00476824" w:rsidTr="00900BB1">
        <w:tc>
          <w:tcPr>
            <w:tcW w:w="5665" w:type="dxa"/>
            <w:shd w:val="clear" w:color="auto" w:fill="auto"/>
          </w:tcPr>
          <w:p w:rsidR="000D0811" w:rsidRPr="00476824" w:rsidRDefault="000D0811" w:rsidP="009B77BF">
            <w:pPr>
              <w:spacing w:before="120" w:after="120"/>
              <w:rPr>
                <w:rFonts w:cs="Arial"/>
                <w:lang w:val="en-NZ"/>
              </w:rPr>
            </w:pPr>
            <w:r w:rsidRPr="00476824">
              <w:rPr>
                <w:rFonts w:cs="Arial"/>
                <w:lang w:val="en-NZ"/>
              </w:rPr>
              <w:t>Infant, Child, Adolescent And Youth Crisis Respite</w:t>
            </w:r>
          </w:p>
        </w:tc>
        <w:tc>
          <w:tcPr>
            <w:tcW w:w="3820" w:type="dxa"/>
            <w:shd w:val="clear" w:color="auto" w:fill="auto"/>
          </w:tcPr>
          <w:p w:rsidR="000D0811" w:rsidRPr="009461E4" w:rsidRDefault="000D0811" w:rsidP="000D0811">
            <w:pPr>
              <w:rPr>
                <w:rFonts w:cs="Arial"/>
                <w:lang w:val="en-NZ"/>
              </w:rPr>
            </w:pPr>
            <w:r w:rsidRPr="00476824">
              <w:rPr>
                <w:rFonts w:cs="Arial"/>
                <w:lang w:val="en-NZ"/>
              </w:rPr>
              <w:t>MHI42</w:t>
            </w:r>
            <w:r w:rsidR="00900BB1">
              <w:rPr>
                <w:rFonts w:cs="Arial"/>
                <w:lang w:val="en-NZ"/>
              </w:rPr>
              <w:t xml:space="preserve">, </w:t>
            </w:r>
            <w:r w:rsidRPr="00476824">
              <w:rPr>
                <w:rFonts w:cs="Arial"/>
                <w:lang w:val="en-NZ"/>
              </w:rPr>
              <w:t>MHI42C</w:t>
            </w:r>
            <w:r w:rsidR="00900BB1">
              <w:rPr>
                <w:rFonts w:cs="Arial"/>
                <w:lang w:val="en-NZ"/>
              </w:rPr>
              <w:t xml:space="preserve">, </w:t>
            </w:r>
            <w:r w:rsidRPr="009461E4">
              <w:rPr>
                <w:rFonts w:cs="Arial"/>
                <w:lang w:val="en-NZ"/>
              </w:rPr>
              <w:t>MHI42D</w:t>
            </w:r>
            <w:r w:rsidR="00900BB1">
              <w:rPr>
                <w:rFonts w:cs="Arial"/>
                <w:lang w:val="en-NZ"/>
              </w:rPr>
              <w:t xml:space="preserve">, </w:t>
            </w:r>
            <w:r w:rsidRPr="009461E4">
              <w:rPr>
                <w:rFonts w:cs="Arial"/>
                <w:lang w:val="en-NZ"/>
              </w:rPr>
              <w:t>MHI42E</w:t>
            </w:r>
          </w:p>
          <w:p w:rsidR="00E745D4" w:rsidRPr="009461E4" w:rsidRDefault="000D0811" w:rsidP="00900BB1">
            <w:pPr>
              <w:rPr>
                <w:rFonts w:cs="Arial"/>
                <w:lang w:val="en-NZ"/>
              </w:rPr>
            </w:pPr>
            <w:r w:rsidRPr="009461E4">
              <w:rPr>
                <w:rFonts w:cs="Arial"/>
                <w:lang w:val="en-NZ"/>
              </w:rPr>
              <w:t>MHI42F</w:t>
            </w:r>
            <w:r w:rsidR="00900BB1">
              <w:rPr>
                <w:rFonts w:cs="Arial"/>
                <w:lang w:val="en-NZ"/>
              </w:rPr>
              <w:t xml:space="preserve">, </w:t>
            </w:r>
            <w:r w:rsidR="00E745D4">
              <w:rPr>
                <w:rFonts w:cs="Arial"/>
                <w:lang w:val="en-NZ"/>
              </w:rPr>
              <w:t>MHI42S</w:t>
            </w:r>
          </w:p>
        </w:tc>
      </w:tr>
    </w:tbl>
    <w:p w:rsidR="00027868" w:rsidRPr="00476824" w:rsidRDefault="00027868" w:rsidP="00027868">
      <w:pPr>
        <w:tabs>
          <w:tab w:val="left" w:pos="567"/>
          <w:tab w:val="left" w:pos="709"/>
          <w:tab w:val="left" w:pos="1701"/>
          <w:tab w:val="left" w:pos="2693"/>
        </w:tabs>
        <w:rPr>
          <w:rFonts w:cs="Arial"/>
        </w:rPr>
      </w:pPr>
    </w:p>
    <w:sectPr w:rsidR="00027868" w:rsidRPr="00476824" w:rsidSect="000D18A4">
      <w:footerReference w:type="even" r:id="rId10"/>
      <w:footerReference w:type="default" r:id="rId11"/>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DE0" w:rsidRDefault="003C0DE0">
      <w:r>
        <w:separator/>
      </w:r>
    </w:p>
  </w:endnote>
  <w:endnote w:type="continuationSeparator" w:id="0">
    <w:p w:rsidR="003C0DE0" w:rsidRDefault="003C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A4" w:rsidRDefault="000D18A4"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18A4" w:rsidRDefault="000D18A4" w:rsidP="000278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A4" w:rsidRDefault="000D18A4"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821">
      <w:rPr>
        <w:rStyle w:val="PageNumber"/>
        <w:noProof/>
      </w:rPr>
      <w:t>2</w:t>
    </w:r>
    <w:r>
      <w:rPr>
        <w:rStyle w:val="PageNumber"/>
      </w:rPr>
      <w:fldChar w:fldCharType="end"/>
    </w:r>
  </w:p>
  <w:p w:rsidR="000D18A4" w:rsidRPr="00A82DC4" w:rsidRDefault="000D18A4" w:rsidP="000D18A4">
    <w:pPr>
      <w:pStyle w:val="Footer"/>
      <w:pBdr>
        <w:top w:val="single" w:sz="4" w:space="1" w:color="auto"/>
      </w:pBdr>
      <w:tabs>
        <w:tab w:val="center" w:pos="4536"/>
      </w:tabs>
      <w:ind w:right="360"/>
      <w:jc w:val="left"/>
      <w:rPr>
        <w:rFonts w:ascii="Arial" w:hAnsi="Arial" w:cs="Arial"/>
        <w:sz w:val="20"/>
      </w:rPr>
    </w:pPr>
    <w:r>
      <w:rPr>
        <w:rFonts w:ascii="Arial" w:hAnsi="Arial" w:cs="Arial"/>
        <w:sz w:val="20"/>
      </w:rPr>
      <w:t xml:space="preserve">Mental Health and Addiction </w:t>
    </w:r>
    <w:r w:rsidR="00C9655E">
      <w:rPr>
        <w:rFonts w:ascii="Arial" w:hAnsi="Arial" w:cs="Arial"/>
        <w:sz w:val="20"/>
      </w:rPr>
      <w:t>S</w:t>
    </w:r>
    <w:r>
      <w:rPr>
        <w:rFonts w:ascii="Arial" w:hAnsi="Arial" w:cs="Arial"/>
        <w:sz w:val="20"/>
      </w:rPr>
      <w:t>ervices - Addiction</w:t>
    </w:r>
    <w:r w:rsidRPr="00A82DC4">
      <w:rPr>
        <w:rFonts w:ascii="Arial" w:hAnsi="Arial" w:cs="Arial"/>
        <w:sz w:val="20"/>
      </w:rPr>
      <w:t xml:space="preserve"> Services </w:t>
    </w:r>
    <w:r>
      <w:rPr>
        <w:rFonts w:ascii="Arial" w:hAnsi="Arial" w:cs="Arial"/>
        <w:sz w:val="20"/>
      </w:rPr>
      <w:t>t</w:t>
    </w:r>
    <w:r w:rsidRPr="00A82DC4">
      <w:rPr>
        <w:rFonts w:ascii="Arial" w:hAnsi="Arial" w:cs="Arial"/>
        <w:sz w:val="20"/>
      </w:rPr>
      <w:t xml:space="preserve">ier </w:t>
    </w:r>
    <w:r>
      <w:rPr>
        <w:rFonts w:ascii="Arial" w:hAnsi="Arial" w:cs="Arial"/>
        <w:sz w:val="20"/>
      </w:rPr>
      <w:t>t</w:t>
    </w:r>
    <w:r w:rsidRPr="00A82DC4">
      <w:rPr>
        <w:rFonts w:ascii="Arial" w:hAnsi="Arial" w:cs="Arial"/>
        <w:sz w:val="20"/>
      </w:rPr>
      <w:t xml:space="preserve">wo </w:t>
    </w:r>
    <w:r w:rsidR="00473F67">
      <w:rPr>
        <w:rFonts w:ascii="Arial" w:hAnsi="Arial" w:cs="Arial"/>
        <w:sz w:val="20"/>
      </w:rPr>
      <w:t>service s</w:t>
    </w:r>
    <w:r w:rsidR="00473F67" w:rsidRPr="00A82DC4">
      <w:rPr>
        <w:rFonts w:ascii="Arial" w:hAnsi="Arial" w:cs="Arial"/>
        <w:sz w:val="20"/>
      </w:rPr>
      <w:t>pecification</w:t>
    </w:r>
    <w:r w:rsidR="002C333D" w:rsidRPr="002C333D">
      <w:rPr>
        <w:rFonts w:ascii="Arial" w:hAnsi="Arial" w:cs="Arial"/>
        <w:sz w:val="20"/>
      </w:rPr>
      <w:t xml:space="preserve"> </w:t>
    </w:r>
    <w:r w:rsidR="003164BC">
      <w:rPr>
        <w:rFonts w:ascii="Arial" w:hAnsi="Arial" w:cs="Arial"/>
        <w:sz w:val="20"/>
      </w:rPr>
      <w:t>April 2017</w:t>
    </w:r>
  </w:p>
  <w:p w:rsidR="000D18A4" w:rsidRDefault="000D18A4" w:rsidP="00027868">
    <w:pPr>
      <w:pStyle w:val="Footer"/>
      <w:tabs>
        <w:tab w:val="center" w:pos="4536"/>
      </w:tabs>
      <w:jc w:val="left"/>
      <w:rPr>
        <w:rStyle w:val="PageNumber"/>
        <w:rFonts w:ascii="Arial" w:hAnsi="Arial"/>
        <w:sz w:val="20"/>
      </w:rPr>
    </w:pPr>
    <w:r w:rsidRPr="00A82DC4">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DE0" w:rsidRDefault="003C0DE0">
      <w:r>
        <w:separator/>
      </w:r>
    </w:p>
  </w:footnote>
  <w:footnote w:type="continuationSeparator" w:id="0">
    <w:p w:rsidR="003C0DE0" w:rsidRDefault="003C0DE0">
      <w:r>
        <w:continuationSeparator/>
      </w:r>
    </w:p>
  </w:footnote>
  <w:footnote w:id="1">
    <w:p w:rsidR="000D18A4" w:rsidRPr="004C10F0" w:rsidRDefault="000D18A4" w:rsidP="00200CC2">
      <w:pPr>
        <w:pStyle w:val="FootnoteText"/>
        <w:rPr>
          <w:rFonts w:ascii="Arial" w:hAnsi="Arial" w:cs="Arial"/>
        </w:rPr>
      </w:pPr>
      <w:r w:rsidRPr="004C10F0">
        <w:rPr>
          <w:rStyle w:val="FootnoteReference"/>
          <w:rFonts w:ascii="Arial" w:hAnsi="Arial" w:cs="Arial"/>
        </w:rPr>
        <w:footnoteRef/>
      </w:r>
      <w:r w:rsidRPr="004C10F0">
        <w:rPr>
          <w:rFonts w:ascii="Arial" w:hAnsi="Arial" w:cs="Arial"/>
        </w:rPr>
        <w:t xml:space="preserve"> The definition of family </w:t>
      </w:r>
      <w:r w:rsidRPr="004C10F0" w:rsidDel="004069EB">
        <w:rPr>
          <w:rFonts w:ascii="Arial" w:hAnsi="Arial" w:cs="Arial"/>
        </w:rPr>
        <w:t xml:space="preserve">is </w:t>
      </w:r>
      <w:r w:rsidRPr="004C10F0">
        <w:rPr>
          <w:rFonts w:ascii="Arial" w:hAnsi="Arial" w:cs="Arial"/>
        </w:rPr>
        <w:t xml:space="preserve">guided by the </w:t>
      </w:r>
      <w:r w:rsidR="009A01C0">
        <w:rPr>
          <w:rFonts w:ascii="Arial" w:hAnsi="Arial" w:cs="Arial"/>
        </w:rPr>
        <w:t>Service User</w:t>
      </w:r>
      <w:r w:rsidRPr="004C10F0">
        <w:rPr>
          <w:rFonts w:ascii="Arial" w:hAnsi="Arial" w:cs="Arial"/>
        </w:rPr>
        <w:t xml:space="preserve">. </w:t>
      </w:r>
      <w:r>
        <w:rPr>
          <w:rFonts w:ascii="Arial" w:hAnsi="Arial" w:cs="Arial"/>
        </w:rPr>
        <w:t xml:space="preserve"> </w:t>
      </w:r>
      <w:r w:rsidRPr="004C10F0">
        <w:rPr>
          <w:rFonts w:ascii="Arial" w:hAnsi="Arial" w:cs="Arial"/>
        </w:rPr>
        <w:t>This can include</w:t>
      </w:r>
      <w:r w:rsidRPr="004C10F0" w:rsidDel="004069EB">
        <w:rPr>
          <w:rFonts w:ascii="Arial" w:hAnsi="Arial" w:cs="Arial"/>
        </w:rPr>
        <w:t xml:space="preserve"> as </w:t>
      </w:r>
      <w:r w:rsidRPr="004C10F0">
        <w:rPr>
          <w:rFonts w:ascii="Arial" w:hAnsi="Arial" w:cs="Arial"/>
        </w:rPr>
        <w:t>relatives, whānau, partners, friends or others</w:t>
      </w:r>
      <w:r w:rsidRPr="004C10F0" w:rsidDel="004069EB">
        <w:rPr>
          <w:rFonts w:ascii="Arial" w:hAnsi="Arial" w:cs="Arial"/>
        </w:rPr>
        <w:t xml:space="preserve"> nominated </w:t>
      </w:r>
      <w:r w:rsidRPr="004C10F0">
        <w:rPr>
          <w:rFonts w:ascii="Arial" w:hAnsi="Arial" w:cs="Arial"/>
        </w:rPr>
        <w:t xml:space="preserve">by the </w:t>
      </w:r>
      <w:r w:rsidR="009A01C0">
        <w:rPr>
          <w:rFonts w:ascii="Arial" w:hAnsi="Arial" w:cs="Arial"/>
        </w:rPr>
        <w:t>Service User</w:t>
      </w:r>
      <w:r w:rsidRPr="004C10F0">
        <w:rPr>
          <w:rFonts w:ascii="Arial" w:hAnsi="Arial" w:cs="Arial"/>
        </w:rPr>
        <w:t>.  Whānau is a key component of Maōri identity and the healing process.  Whānau can be used to describe groups interconnected by kinship ties, often linked through a common purpose and values.</w:t>
      </w:r>
    </w:p>
  </w:footnote>
  <w:footnote w:id="2">
    <w:p w:rsidR="000D18A4" w:rsidRPr="00E249EC" w:rsidRDefault="000D18A4" w:rsidP="00200CC2">
      <w:pPr>
        <w:pStyle w:val="FootnoteText"/>
        <w:rPr>
          <w:rFonts w:ascii="Arial" w:hAnsi="Arial" w:cs="Arial"/>
        </w:rPr>
      </w:pPr>
      <w:r w:rsidRPr="004C10F0">
        <w:rPr>
          <w:rStyle w:val="FootnoteReference"/>
          <w:rFonts w:ascii="Arial" w:hAnsi="Arial" w:cs="Arial"/>
        </w:rPr>
        <w:footnoteRef/>
      </w:r>
      <w:r w:rsidRPr="004C10F0">
        <w:rPr>
          <w:rFonts w:ascii="Arial" w:hAnsi="Arial" w:cs="Arial"/>
        </w:rPr>
        <w:t xml:space="preserve"> Also referred to as harm minimisation</w:t>
      </w:r>
    </w:p>
  </w:footnote>
  <w:footnote w:id="3">
    <w:p w:rsidR="002C333D" w:rsidRDefault="002C333D">
      <w:pPr>
        <w:pStyle w:val="FootnoteText"/>
      </w:pPr>
      <w:r w:rsidRPr="0061047E">
        <w:rPr>
          <w:rStyle w:val="FootnoteReference"/>
          <w:rFonts w:ascii="Arial" w:hAnsi="Arial" w:cs="Arial"/>
        </w:rPr>
        <w:footnoteRef/>
      </w:r>
      <w:r w:rsidRPr="0061047E">
        <w:rPr>
          <w:rFonts w:ascii="Arial" w:hAnsi="Arial" w:cs="Arial"/>
        </w:rPr>
        <w:t xml:space="preserve"> http://nsfl.health.govt.nz/accountability/operational-policy-framework-0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
    <w:nsid w:val="06982AAD"/>
    <w:multiLevelType w:val="hybridMultilevel"/>
    <w:tmpl w:val="934666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9A6272"/>
    <w:multiLevelType w:val="hybridMultilevel"/>
    <w:tmpl w:val="0B749AE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8F04DB"/>
    <w:multiLevelType w:val="hybridMultilevel"/>
    <w:tmpl w:val="D0501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033D09"/>
    <w:multiLevelType w:val="multilevel"/>
    <w:tmpl w:val="A18275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18470A6"/>
    <w:multiLevelType w:val="multilevel"/>
    <w:tmpl w:val="E03CFB0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AD1120"/>
    <w:multiLevelType w:val="multilevel"/>
    <w:tmpl w:val="2242B43A"/>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6DB64E3"/>
    <w:multiLevelType w:val="hybridMultilevel"/>
    <w:tmpl w:val="5B7E4726"/>
    <w:lvl w:ilvl="0" w:tplc="988EF68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336CC5"/>
    <w:multiLevelType w:val="hybridMultilevel"/>
    <w:tmpl w:val="BC884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AB55F1C"/>
    <w:multiLevelType w:val="hybridMultilevel"/>
    <w:tmpl w:val="0BAAB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D54F35"/>
    <w:multiLevelType w:val="hybridMultilevel"/>
    <w:tmpl w:val="C2420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435C6355"/>
    <w:multiLevelType w:val="hybridMultilevel"/>
    <w:tmpl w:val="F79A65BE"/>
    <w:lvl w:ilvl="0" w:tplc="B7224522">
      <w:start w:val="1"/>
      <w:numFmt w:val="bullet"/>
      <w:lvlText w:val="-"/>
      <w:lvlJc w:val="left"/>
      <w:pPr>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57B430E"/>
    <w:multiLevelType w:val="hybridMultilevel"/>
    <w:tmpl w:val="B0A08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C8548B9"/>
    <w:multiLevelType w:val="hybridMultilevel"/>
    <w:tmpl w:val="04C4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CB04E59"/>
    <w:multiLevelType w:val="hybridMultilevel"/>
    <w:tmpl w:val="72605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CD37933"/>
    <w:multiLevelType w:val="hybridMultilevel"/>
    <w:tmpl w:val="BCE05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1F143E3"/>
    <w:multiLevelType w:val="hybridMultilevel"/>
    <w:tmpl w:val="E7D20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2C34C87"/>
    <w:multiLevelType w:val="multilevel"/>
    <w:tmpl w:val="FE824B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5446BE0"/>
    <w:multiLevelType w:val="multilevel"/>
    <w:tmpl w:val="5B7E4726"/>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B661728"/>
    <w:multiLevelType w:val="multilevel"/>
    <w:tmpl w:val="FACE5A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41C4A6F"/>
    <w:multiLevelType w:val="hybridMultilevel"/>
    <w:tmpl w:val="85FA2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EA7430"/>
    <w:multiLevelType w:val="hybridMultilevel"/>
    <w:tmpl w:val="363C0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C8737FB"/>
    <w:multiLevelType w:val="hybridMultilevel"/>
    <w:tmpl w:val="0C8CB6B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2"/>
  </w:num>
  <w:num w:numId="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4"/>
  </w:num>
  <w:num w:numId="6">
    <w:abstractNumId w:val="23"/>
  </w:num>
  <w:num w:numId="7">
    <w:abstractNumId w:val="8"/>
  </w:num>
  <w:num w:numId="8">
    <w:abstractNumId w:val="22"/>
  </w:num>
  <w:num w:numId="9">
    <w:abstractNumId w:val="6"/>
  </w:num>
  <w:num w:numId="10">
    <w:abstractNumId w:val="24"/>
  </w:num>
  <w:num w:numId="11">
    <w:abstractNumId w:val="1"/>
  </w:num>
  <w:num w:numId="12">
    <w:abstractNumId w:val="2"/>
  </w:num>
  <w:num w:numId="13">
    <w:abstractNumId w:val="3"/>
  </w:num>
  <w:num w:numId="14">
    <w:abstractNumId w:val="15"/>
  </w:num>
  <w:num w:numId="15">
    <w:abstractNumId w:val="10"/>
  </w:num>
  <w:num w:numId="16">
    <w:abstractNumId w:val="17"/>
  </w:num>
  <w:num w:numId="17">
    <w:abstractNumId w:val="13"/>
  </w:num>
  <w:num w:numId="18">
    <w:abstractNumId w:val="5"/>
  </w:num>
  <w:num w:numId="19">
    <w:abstractNumId w:val="25"/>
  </w:num>
  <w:num w:numId="20">
    <w:abstractNumId w:val="18"/>
  </w:num>
  <w:num w:numId="21">
    <w:abstractNumId w:val="11"/>
  </w:num>
  <w:num w:numId="22">
    <w:abstractNumId w:val="19"/>
  </w:num>
  <w:num w:numId="23">
    <w:abstractNumId w:val="21"/>
  </w:num>
  <w:num w:numId="24">
    <w:abstractNumId w:val="7"/>
  </w:num>
  <w:num w:numId="25">
    <w:abstractNumId w:val="20"/>
  </w:num>
  <w:num w:numId="26">
    <w:abstractNumId w:val="1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03E98"/>
    <w:rsid w:val="00023CA9"/>
    <w:rsid w:val="00027868"/>
    <w:rsid w:val="00031B32"/>
    <w:rsid w:val="00045327"/>
    <w:rsid w:val="000856FB"/>
    <w:rsid w:val="000B512F"/>
    <w:rsid w:val="000C2052"/>
    <w:rsid w:val="000C26A6"/>
    <w:rsid w:val="000D0811"/>
    <w:rsid w:val="000D18A4"/>
    <w:rsid w:val="000E7172"/>
    <w:rsid w:val="0012195B"/>
    <w:rsid w:val="00150073"/>
    <w:rsid w:val="001566A4"/>
    <w:rsid w:val="00171466"/>
    <w:rsid w:val="00175365"/>
    <w:rsid w:val="00184963"/>
    <w:rsid w:val="00194B09"/>
    <w:rsid w:val="001A592B"/>
    <w:rsid w:val="001F52B1"/>
    <w:rsid w:val="00200CC2"/>
    <w:rsid w:val="002419B3"/>
    <w:rsid w:val="00297A77"/>
    <w:rsid w:val="002C333D"/>
    <w:rsid w:val="003164BC"/>
    <w:rsid w:val="00333416"/>
    <w:rsid w:val="00382D05"/>
    <w:rsid w:val="00395CF0"/>
    <w:rsid w:val="003C0660"/>
    <w:rsid w:val="003C0DE0"/>
    <w:rsid w:val="003F0E3C"/>
    <w:rsid w:val="00404673"/>
    <w:rsid w:val="00411672"/>
    <w:rsid w:val="00431FE8"/>
    <w:rsid w:val="00452310"/>
    <w:rsid w:val="00473F67"/>
    <w:rsid w:val="00476824"/>
    <w:rsid w:val="004852B1"/>
    <w:rsid w:val="004B6294"/>
    <w:rsid w:val="004B679C"/>
    <w:rsid w:val="004C10F0"/>
    <w:rsid w:val="004C5DFB"/>
    <w:rsid w:val="004D785A"/>
    <w:rsid w:val="004F5F12"/>
    <w:rsid w:val="00511AF2"/>
    <w:rsid w:val="00541510"/>
    <w:rsid w:val="00552D5B"/>
    <w:rsid w:val="005810D1"/>
    <w:rsid w:val="005841E0"/>
    <w:rsid w:val="005B4F6D"/>
    <w:rsid w:val="005B5CB0"/>
    <w:rsid w:val="005D2352"/>
    <w:rsid w:val="005D3EC4"/>
    <w:rsid w:val="00603AEC"/>
    <w:rsid w:val="00604CE3"/>
    <w:rsid w:val="0060781E"/>
    <w:rsid w:val="0061047E"/>
    <w:rsid w:val="00625A9E"/>
    <w:rsid w:val="0065320E"/>
    <w:rsid w:val="00674C9D"/>
    <w:rsid w:val="006A5DC4"/>
    <w:rsid w:val="006A6709"/>
    <w:rsid w:val="006A7821"/>
    <w:rsid w:val="006B7A3A"/>
    <w:rsid w:val="006D75FF"/>
    <w:rsid w:val="006F581F"/>
    <w:rsid w:val="007126CF"/>
    <w:rsid w:val="00714CD5"/>
    <w:rsid w:val="0074551B"/>
    <w:rsid w:val="007801E0"/>
    <w:rsid w:val="007A561E"/>
    <w:rsid w:val="007B4803"/>
    <w:rsid w:val="007E41D0"/>
    <w:rsid w:val="007F351E"/>
    <w:rsid w:val="008023F4"/>
    <w:rsid w:val="00842077"/>
    <w:rsid w:val="0084286A"/>
    <w:rsid w:val="00866370"/>
    <w:rsid w:val="008741C3"/>
    <w:rsid w:val="00885F72"/>
    <w:rsid w:val="008929F2"/>
    <w:rsid w:val="008B12FA"/>
    <w:rsid w:val="0090001C"/>
    <w:rsid w:val="00900BB1"/>
    <w:rsid w:val="009461E4"/>
    <w:rsid w:val="009A01C0"/>
    <w:rsid w:val="009B5893"/>
    <w:rsid w:val="009B7124"/>
    <w:rsid w:val="009B77BF"/>
    <w:rsid w:val="009C5CF4"/>
    <w:rsid w:val="009E0E05"/>
    <w:rsid w:val="009E23B9"/>
    <w:rsid w:val="009F2A4D"/>
    <w:rsid w:val="009F2AD4"/>
    <w:rsid w:val="009F3A35"/>
    <w:rsid w:val="009F56A1"/>
    <w:rsid w:val="00A0717B"/>
    <w:rsid w:val="00A37485"/>
    <w:rsid w:val="00A42BB6"/>
    <w:rsid w:val="00A653F4"/>
    <w:rsid w:val="00A82DC4"/>
    <w:rsid w:val="00AA0B0D"/>
    <w:rsid w:val="00AA2FCF"/>
    <w:rsid w:val="00B06719"/>
    <w:rsid w:val="00B06A8D"/>
    <w:rsid w:val="00B160D9"/>
    <w:rsid w:val="00B52E67"/>
    <w:rsid w:val="00B80E7E"/>
    <w:rsid w:val="00B8429C"/>
    <w:rsid w:val="00BA2FBE"/>
    <w:rsid w:val="00BD75F6"/>
    <w:rsid w:val="00BF56A4"/>
    <w:rsid w:val="00BF682A"/>
    <w:rsid w:val="00C00639"/>
    <w:rsid w:val="00C1033A"/>
    <w:rsid w:val="00C17F42"/>
    <w:rsid w:val="00C37496"/>
    <w:rsid w:val="00C77C11"/>
    <w:rsid w:val="00C9655E"/>
    <w:rsid w:val="00CB2D4B"/>
    <w:rsid w:val="00D10CF1"/>
    <w:rsid w:val="00D14466"/>
    <w:rsid w:val="00D2418D"/>
    <w:rsid w:val="00D409BC"/>
    <w:rsid w:val="00D415B1"/>
    <w:rsid w:val="00D505CF"/>
    <w:rsid w:val="00D62690"/>
    <w:rsid w:val="00D62D40"/>
    <w:rsid w:val="00D719C6"/>
    <w:rsid w:val="00D75A4C"/>
    <w:rsid w:val="00D80F84"/>
    <w:rsid w:val="00D96589"/>
    <w:rsid w:val="00D966C7"/>
    <w:rsid w:val="00DC7C50"/>
    <w:rsid w:val="00DD5B08"/>
    <w:rsid w:val="00DD7388"/>
    <w:rsid w:val="00DE0172"/>
    <w:rsid w:val="00E50797"/>
    <w:rsid w:val="00E728B0"/>
    <w:rsid w:val="00E745D4"/>
    <w:rsid w:val="00E747CF"/>
    <w:rsid w:val="00E83DEE"/>
    <w:rsid w:val="00EA600F"/>
    <w:rsid w:val="00ED0972"/>
    <w:rsid w:val="00ED3230"/>
    <w:rsid w:val="00F62149"/>
    <w:rsid w:val="00FB711B"/>
    <w:rsid w:val="00FC30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4937CEB-E24C-42FB-A927-6E8EDE19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paragraph" w:styleId="Heading3">
    <w:name w:val="heading 3"/>
    <w:basedOn w:val="Normal"/>
    <w:next w:val="Normal"/>
    <w:qFormat/>
    <w:rsid w:val="00E83DE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a">
    <w:basedOn w:val="Normal"/>
    <w:rsid w:val="00027868"/>
    <w:pPr>
      <w:spacing w:after="160" w:line="240" w:lineRule="exact"/>
    </w:pPr>
    <w:rPr>
      <w:sz w:val="20"/>
      <w:lang w:val="en-US" w:eastAsia="en-US"/>
    </w:rPr>
  </w:style>
  <w:style w:type="table" w:styleId="TableGrid">
    <w:name w:val="Table Grid"/>
    <w:basedOn w:val="TableNormal"/>
    <w:rsid w:val="00027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83DEE"/>
    <w:pPr>
      <w:tabs>
        <w:tab w:val="center" w:pos="4153"/>
        <w:tab w:val="right" w:pos="8306"/>
      </w:tabs>
    </w:pPr>
  </w:style>
  <w:style w:type="paragraph" w:customStyle="1" w:styleId="CharCharCharCharChar">
    <w:name w:val="Char Char Char Char Char"/>
    <w:basedOn w:val="Normal"/>
    <w:next w:val="Normal"/>
    <w:semiHidden/>
    <w:rsid w:val="00E83DEE"/>
    <w:pPr>
      <w:spacing w:after="160" w:line="240" w:lineRule="exact"/>
    </w:pPr>
    <w:rPr>
      <w:rFonts w:cs="Verdana"/>
      <w:sz w:val="24"/>
      <w:szCs w:val="24"/>
      <w:lang w:val="en-NZ" w:eastAsia="en-US"/>
    </w:rPr>
  </w:style>
  <w:style w:type="paragraph" w:customStyle="1" w:styleId="1">
    <w:name w:val="1."/>
    <w:basedOn w:val="Normal"/>
    <w:rsid w:val="00E83DEE"/>
    <w:pPr>
      <w:numPr>
        <w:numId w:val="9"/>
      </w:numPr>
      <w:tabs>
        <w:tab w:val="clear" w:pos="432"/>
        <w:tab w:val="left" w:pos="567"/>
      </w:tabs>
      <w:ind w:left="567" w:hanging="567"/>
    </w:pPr>
    <w:rPr>
      <w:rFonts w:ascii="Arial Mäori" w:hAnsi="Arial Mäori"/>
      <w:b/>
      <w:bCs/>
      <w:sz w:val="20"/>
      <w:lang w:eastAsia="en-US"/>
    </w:rPr>
  </w:style>
  <w:style w:type="paragraph" w:customStyle="1" w:styleId="11">
    <w:name w:val="1.1"/>
    <w:basedOn w:val="Normal"/>
    <w:rsid w:val="00E83DEE"/>
    <w:pPr>
      <w:numPr>
        <w:ilvl w:val="1"/>
        <w:numId w:val="9"/>
      </w:numPr>
      <w:spacing w:before="120" w:after="60"/>
    </w:pPr>
    <w:rPr>
      <w:rFonts w:ascii="Arial Mäori" w:hAnsi="Arial Mäori"/>
      <w:b/>
      <w:bCs/>
      <w:i/>
      <w:iCs/>
      <w:sz w:val="20"/>
      <w:lang w:eastAsia="en-US"/>
    </w:rPr>
  </w:style>
  <w:style w:type="paragraph" w:customStyle="1" w:styleId="111">
    <w:name w:val="1.1.1"/>
    <w:basedOn w:val="Normal"/>
    <w:rsid w:val="00E83DEE"/>
    <w:pPr>
      <w:numPr>
        <w:ilvl w:val="2"/>
        <w:numId w:val="9"/>
      </w:numPr>
      <w:tabs>
        <w:tab w:val="left" w:pos="567"/>
      </w:tabs>
      <w:spacing w:before="60" w:after="120"/>
    </w:pPr>
    <w:rPr>
      <w:rFonts w:ascii="Arial Mäori" w:hAnsi="Arial Mäori"/>
      <w:sz w:val="20"/>
      <w:u w:val="single"/>
      <w:lang w:eastAsia="en-US"/>
    </w:rPr>
  </w:style>
  <w:style w:type="paragraph" w:customStyle="1" w:styleId="Style">
    <w:name w:val="Style"/>
    <w:basedOn w:val="Normal"/>
    <w:next w:val="Normal"/>
    <w:semiHidden/>
    <w:rsid w:val="00B8429C"/>
    <w:pPr>
      <w:spacing w:after="160" w:line="240" w:lineRule="exact"/>
    </w:pPr>
    <w:rPr>
      <w:rFonts w:cs="Verdana"/>
      <w:sz w:val="24"/>
      <w:szCs w:val="24"/>
      <w:lang w:val="en-NZ" w:eastAsia="en-US"/>
    </w:rPr>
  </w:style>
  <w:style w:type="character" w:styleId="FootnoteReference">
    <w:name w:val="footnote reference"/>
    <w:semiHidden/>
    <w:rsid w:val="00DD5B08"/>
    <w:rPr>
      <w:vertAlign w:val="superscript"/>
    </w:rPr>
  </w:style>
  <w:style w:type="character" w:styleId="CommentReference">
    <w:name w:val="annotation reference"/>
    <w:semiHidden/>
    <w:rsid w:val="00200CC2"/>
    <w:rPr>
      <w:sz w:val="16"/>
      <w:szCs w:val="16"/>
    </w:rPr>
  </w:style>
  <w:style w:type="paragraph" w:styleId="CommentText">
    <w:name w:val="annotation text"/>
    <w:basedOn w:val="Normal"/>
    <w:semiHidden/>
    <w:rsid w:val="00200CC2"/>
    <w:rPr>
      <w:rFonts w:ascii="Times New Roman" w:hAnsi="Times New Roman"/>
      <w:sz w:val="20"/>
      <w:lang w:val="en-NZ" w:eastAsia="en-US"/>
    </w:rPr>
  </w:style>
  <w:style w:type="paragraph" w:styleId="FootnoteText">
    <w:name w:val="footnote text"/>
    <w:basedOn w:val="Normal"/>
    <w:semiHidden/>
    <w:rsid w:val="00200CC2"/>
    <w:rPr>
      <w:rFonts w:ascii="Times New Roman" w:hAnsi="Times New Roman"/>
      <w:sz w:val="20"/>
      <w:lang w:val="en-NZ" w:eastAsia="en-US"/>
    </w:rPr>
  </w:style>
  <w:style w:type="paragraph" w:styleId="BalloonText">
    <w:name w:val="Balloon Text"/>
    <w:basedOn w:val="Normal"/>
    <w:semiHidden/>
    <w:rsid w:val="00200CC2"/>
    <w:rPr>
      <w:rFonts w:ascii="Tahoma" w:hAnsi="Tahoma" w:cs="Tahoma"/>
      <w:sz w:val="16"/>
      <w:szCs w:val="16"/>
    </w:rPr>
  </w:style>
  <w:style w:type="paragraph" w:styleId="CommentSubject">
    <w:name w:val="annotation subject"/>
    <w:basedOn w:val="CommentText"/>
    <w:next w:val="CommentText"/>
    <w:semiHidden/>
    <w:rsid w:val="00FB711B"/>
    <w:rPr>
      <w:rFonts w:ascii="Arial" w:hAnsi="Arial"/>
      <w:b/>
      <w:bCs/>
      <w:lang w:val="en-GB" w:eastAsia="en-GB"/>
    </w:rPr>
  </w:style>
  <w:style w:type="paragraph" w:customStyle="1" w:styleId="CharCharChar">
    <w:name w:val="Char Char Char"/>
    <w:basedOn w:val="Normal"/>
    <w:rsid w:val="005B4F6D"/>
    <w:pPr>
      <w:spacing w:after="160" w:line="240" w:lineRule="exact"/>
    </w:pPr>
    <w:rPr>
      <w:sz w:val="20"/>
      <w:lang w:val="en-US" w:eastAsia="en-US"/>
    </w:rPr>
  </w:style>
  <w:style w:type="character" w:styleId="Hyperlink">
    <w:name w:val="Hyperlink"/>
    <w:basedOn w:val="DefaultParagraphFont"/>
    <w:uiPriority w:val="99"/>
    <w:unhideWhenUsed/>
    <w:rsid w:val="00EA600F"/>
    <w:rPr>
      <w:color w:val="0000FF" w:themeColor="hyperlink"/>
      <w:u w:val="single"/>
    </w:rPr>
  </w:style>
  <w:style w:type="paragraph" w:styleId="ListParagraph">
    <w:name w:val="List Paragraph"/>
    <w:basedOn w:val="Normal"/>
    <w:uiPriority w:val="34"/>
    <w:qFormat/>
    <w:rsid w:val="009A01C0"/>
    <w:pPr>
      <w:ind w:left="720"/>
      <w:contextualSpacing/>
    </w:pPr>
  </w:style>
  <w:style w:type="character" w:styleId="Emphasis">
    <w:name w:val="Emphasis"/>
    <w:basedOn w:val="DefaultParagraphFont"/>
    <w:qFormat/>
    <w:rsid w:val="00BD75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92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fl.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5295E-D335-444A-8DF3-96C1D5B5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1C8B1549</Template>
  <TotalTime>0</TotalTime>
  <Pages>6</Pages>
  <Words>1762</Words>
  <Characters>10694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Vickie Turnbull</cp:lastModifiedBy>
  <cp:revision>2</cp:revision>
  <cp:lastPrinted>2009-07-29T01:10:00Z</cp:lastPrinted>
  <dcterms:created xsi:type="dcterms:W3CDTF">2017-08-01T23:53:00Z</dcterms:created>
  <dcterms:modified xsi:type="dcterms:W3CDTF">2017-08-01T23:53:00Z</dcterms:modified>
</cp:coreProperties>
</file>