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000" w:firstRow="0" w:lastRow="0" w:firstColumn="0" w:lastColumn="0" w:noHBand="0" w:noVBand="0"/>
      </w:tblPr>
      <w:tblGrid>
        <w:gridCol w:w="4120"/>
        <w:gridCol w:w="1506"/>
        <w:gridCol w:w="4263"/>
      </w:tblGrid>
      <w:tr w:rsidR="00235652" w:rsidRPr="0086487B" w:rsidTr="00AE4098">
        <w:trPr>
          <w:cantSplit/>
        </w:trPr>
        <w:tc>
          <w:tcPr>
            <w:tcW w:w="4120" w:type="dxa"/>
            <w:vAlign w:val="center"/>
          </w:tcPr>
          <w:p w:rsidR="00235652" w:rsidRPr="0086487B" w:rsidRDefault="00517943" w:rsidP="00235652">
            <w:pPr>
              <w:rPr>
                <w:rFonts w:cs="Arial"/>
                <w:bCs/>
                <w:sz w:val="34"/>
                <w:szCs w:val="34"/>
                <w:lang w:val="en-NZ"/>
              </w:rPr>
            </w:pPr>
            <w:bookmarkStart w:id="0" w:name="_GoBack"/>
            <w:bookmarkEnd w:id="0"/>
            <w:r w:rsidRPr="0086487B">
              <w:rPr>
                <w:rFonts w:cs="Arial"/>
                <w:noProof/>
                <w:sz w:val="23"/>
                <w:szCs w:val="23"/>
                <w:lang w:val="en-NZ" w:eastAsia="en-NZ"/>
              </w:rPr>
              <w:drawing>
                <wp:inline distT="0" distB="0" distL="0" distR="0" wp14:anchorId="5EF6E4DA" wp14:editId="40B65B9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69" w:type="dxa"/>
            <w:gridSpan w:val="2"/>
            <w:vAlign w:val="center"/>
          </w:tcPr>
          <w:p w:rsidR="00235652" w:rsidRPr="0086487B" w:rsidRDefault="00491056" w:rsidP="00235652">
            <w:pPr>
              <w:jc w:val="right"/>
              <w:rPr>
                <w:rFonts w:cs="Arial"/>
                <w:bCs/>
                <w:sz w:val="36"/>
                <w:szCs w:val="36"/>
                <w:lang w:val="en-NZ"/>
              </w:rPr>
            </w:pPr>
            <w:r w:rsidRPr="0086487B">
              <w:rPr>
                <w:rFonts w:cs="Arial"/>
                <w:b/>
                <w:sz w:val="36"/>
                <w:szCs w:val="36"/>
                <w:lang w:val="en-NZ"/>
              </w:rPr>
              <w:t>All District Health Boards</w:t>
            </w:r>
            <w:r w:rsidRPr="0086487B" w:rsidDel="00491056">
              <w:rPr>
                <w:rFonts w:cs="Arial"/>
                <w:bCs/>
                <w:sz w:val="36"/>
                <w:szCs w:val="36"/>
                <w:lang w:val="en-NZ"/>
              </w:rPr>
              <w:t xml:space="preserve"> </w:t>
            </w:r>
          </w:p>
        </w:tc>
      </w:tr>
      <w:tr w:rsidR="00235652" w:rsidRPr="0086487B" w:rsidTr="00110428">
        <w:trPr>
          <w:trHeight w:val="4935"/>
        </w:trPr>
        <w:tc>
          <w:tcPr>
            <w:tcW w:w="9889" w:type="dxa"/>
            <w:gridSpan w:val="3"/>
          </w:tcPr>
          <w:p w:rsidR="00235652" w:rsidRPr="0086487B" w:rsidRDefault="00731A2D" w:rsidP="00110428">
            <w:pPr>
              <w:spacing w:before="2760"/>
              <w:jc w:val="center"/>
              <w:rPr>
                <w:rFonts w:cs="Arial"/>
                <w:b/>
                <w:bCs/>
                <w:sz w:val="36"/>
                <w:szCs w:val="36"/>
                <w:lang w:val="en-NZ"/>
              </w:rPr>
            </w:pPr>
            <w:r w:rsidRPr="0086487B">
              <w:rPr>
                <w:rFonts w:cs="Arial"/>
                <w:b/>
                <w:bCs/>
                <w:sz w:val="36"/>
                <w:szCs w:val="36"/>
                <w:lang w:val="en-NZ"/>
              </w:rPr>
              <w:t xml:space="preserve">ADDICTION SERVICES- </w:t>
            </w:r>
            <w:r w:rsidR="00235652" w:rsidRPr="0086487B">
              <w:rPr>
                <w:rFonts w:cs="Arial"/>
                <w:b/>
                <w:bCs/>
                <w:sz w:val="36"/>
                <w:szCs w:val="36"/>
                <w:lang w:val="en-NZ"/>
              </w:rPr>
              <w:t>EARLY INTERVENTION,</w:t>
            </w:r>
          </w:p>
          <w:p w:rsidR="00235652" w:rsidRPr="0086487B" w:rsidRDefault="00235652" w:rsidP="00B01976">
            <w:pPr>
              <w:spacing w:before="120"/>
              <w:jc w:val="center"/>
              <w:rPr>
                <w:rFonts w:cs="Arial"/>
                <w:b/>
                <w:bCs/>
                <w:sz w:val="36"/>
                <w:szCs w:val="36"/>
                <w:lang w:val="en-NZ"/>
              </w:rPr>
            </w:pPr>
            <w:r w:rsidRPr="0086487B">
              <w:rPr>
                <w:rFonts w:cs="Arial"/>
                <w:b/>
                <w:bCs/>
                <w:sz w:val="36"/>
                <w:szCs w:val="36"/>
                <w:lang w:val="en-NZ"/>
              </w:rPr>
              <w:t xml:space="preserve">ALCOHOL </w:t>
            </w:r>
            <w:smartTag w:uri="urn:schemas-microsoft-com:office:smarttags" w:element="stockticker">
              <w:r w:rsidRPr="0086487B">
                <w:rPr>
                  <w:rFonts w:cs="Arial"/>
                  <w:b/>
                  <w:bCs/>
                  <w:sz w:val="36"/>
                  <w:szCs w:val="36"/>
                  <w:lang w:val="en-NZ"/>
                </w:rPr>
                <w:t>AND</w:t>
              </w:r>
            </w:smartTag>
            <w:r w:rsidRPr="0086487B">
              <w:rPr>
                <w:rFonts w:cs="Arial"/>
                <w:b/>
                <w:bCs/>
                <w:sz w:val="36"/>
                <w:szCs w:val="36"/>
                <w:lang w:val="en-NZ"/>
              </w:rPr>
              <w:t xml:space="preserve"> OTHER DRUG SERVICE </w:t>
            </w:r>
          </w:p>
          <w:p w:rsidR="00731A2D" w:rsidRPr="0086487B" w:rsidRDefault="00731A2D" w:rsidP="00B01976">
            <w:pPr>
              <w:spacing w:before="120"/>
              <w:jc w:val="center"/>
              <w:rPr>
                <w:rFonts w:cs="Arial"/>
                <w:b/>
                <w:sz w:val="36"/>
                <w:szCs w:val="36"/>
              </w:rPr>
            </w:pPr>
            <w:r w:rsidRPr="0086487B">
              <w:rPr>
                <w:rFonts w:cs="Arial"/>
                <w:b/>
                <w:bCs/>
                <w:sz w:val="36"/>
                <w:szCs w:val="36"/>
                <w:lang w:val="en-NZ"/>
              </w:rPr>
              <w:t>MENTAL HEALTH AND ADDICTION SERVICES</w:t>
            </w:r>
          </w:p>
          <w:p w:rsidR="00235652" w:rsidRPr="0086487B" w:rsidRDefault="00235652" w:rsidP="00B01976">
            <w:pPr>
              <w:spacing w:before="120"/>
              <w:jc w:val="center"/>
              <w:rPr>
                <w:rFonts w:cs="Arial"/>
                <w:b/>
                <w:sz w:val="36"/>
                <w:szCs w:val="36"/>
              </w:rPr>
            </w:pPr>
            <w:smartTag w:uri="urn:schemas-microsoft-com:office:smarttags" w:element="stockticker">
              <w:r w:rsidRPr="0086487B">
                <w:rPr>
                  <w:rFonts w:cs="Arial"/>
                  <w:b/>
                  <w:sz w:val="36"/>
                  <w:szCs w:val="36"/>
                </w:rPr>
                <w:t>TIER</w:t>
              </w:r>
            </w:smartTag>
            <w:r w:rsidRPr="0086487B">
              <w:rPr>
                <w:rFonts w:cs="Arial"/>
                <w:b/>
                <w:sz w:val="36"/>
                <w:szCs w:val="36"/>
              </w:rPr>
              <w:t xml:space="preserve"> THREE</w:t>
            </w:r>
          </w:p>
          <w:p w:rsidR="00235652" w:rsidRPr="0086487B" w:rsidRDefault="00235652" w:rsidP="00AE4098">
            <w:pPr>
              <w:spacing w:before="120" w:after="1080"/>
              <w:jc w:val="center"/>
              <w:rPr>
                <w:rFonts w:cs="Arial"/>
                <w:b/>
                <w:sz w:val="36"/>
                <w:szCs w:val="36"/>
              </w:rPr>
            </w:pPr>
            <w:r w:rsidRPr="0086487B">
              <w:rPr>
                <w:rFonts w:cs="Arial"/>
                <w:b/>
                <w:sz w:val="36"/>
                <w:szCs w:val="36"/>
              </w:rPr>
              <w:t>SERVICE SPECIFICATION</w:t>
            </w:r>
          </w:p>
          <w:p w:rsidR="00235652" w:rsidRPr="0086487B" w:rsidRDefault="00235652" w:rsidP="009C4FC8">
            <w:pPr>
              <w:jc w:val="center"/>
              <w:rPr>
                <w:rFonts w:cs="Arial"/>
              </w:rPr>
            </w:pPr>
          </w:p>
        </w:tc>
      </w:tr>
      <w:tr w:rsidR="00AE4098" w:rsidRPr="0086487B" w:rsidTr="008953F0">
        <w:trPr>
          <w:trHeight w:val="297"/>
        </w:trPr>
        <w:tc>
          <w:tcPr>
            <w:tcW w:w="5626" w:type="dxa"/>
            <w:gridSpan w:val="2"/>
          </w:tcPr>
          <w:p w:rsidR="00AE4098" w:rsidRPr="00AE4098" w:rsidRDefault="00AE4098" w:rsidP="008953F0">
            <w:pPr>
              <w:spacing w:before="240" w:after="240"/>
              <w:rPr>
                <w:rFonts w:cs="Arial"/>
                <w:b/>
                <w:sz w:val="32"/>
                <w:szCs w:val="32"/>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AE4098">
              <w:rPr>
                <w:b/>
                <w:sz w:val="32"/>
                <w:szCs w:val="32"/>
              </w:rPr>
              <w:t xml:space="preserve">STATUS: </w:t>
            </w:r>
            <w:r w:rsidRPr="00AE4098">
              <w:rPr>
                <w:b/>
                <w:sz w:val="24"/>
                <w:szCs w:val="24"/>
              </w:rPr>
              <w:t>These service specifications may be amended to meet local agreement needs.</w:t>
            </w:r>
            <w:bookmarkEnd w:id="1"/>
            <w:bookmarkEnd w:id="2"/>
            <w:bookmarkEnd w:id="3"/>
            <w:bookmarkEnd w:id="4"/>
            <w:bookmarkEnd w:id="5"/>
            <w:bookmarkEnd w:id="6"/>
            <w:bookmarkEnd w:id="7"/>
            <w:bookmarkEnd w:id="8"/>
          </w:p>
        </w:tc>
        <w:tc>
          <w:tcPr>
            <w:tcW w:w="4263" w:type="dxa"/>
          </w:tcPr>
          <w:p w:rsidR="00AE4098" w:rsidRPr="00AE4098" w:rsidRDefault="00AE4098" w:rsidP="008953F0">
            <w:pPr>
              <w:spacing w:before="240" w:after="240"/>
              <w:rPr>
                <w:rFonts w:cs="Arial"/>
                <w:b/>
                <w:sz w:val="32"/>
                <w:szCs w:val="32"/>
              </w:rPr>
            </w:pPr>
            <w:bookmarkStart w:id="9" w:name="_Toc206389499"/>
            <w:bookmarkStart w:id="10" w:name="_Toc215319108"/>
            <w:r w:rsidRPr="00AE4098">
              <w:rPr>
                <w:b/>
                <w:sz w:val="32"/>
                <w:szCs w:val="32"/>
              </w:rPr>
              <w:t>NON-MANDATORY</w:t>
            </w:r>
            <w:bookmarkEnd w:id="9"/>
            <w:bookmarkEnd w:id="10"/>
          </w:p>
        </w:tc>
      </w:tr>
      <w:tr w:rsidR="009C4FC8" w:rsidRPr="0086487B" w:rsidTr="00AE4098">
        <w:trPr>
          <w:trHeight w:val="297"/>
        </w:trPr>
        <w:tc>
          <w:tcPr>
            <w:tcW w:w="5626" w:type="dxa"/>
            <w:gridSpan w:val="2"/>
            <w:tcBorders>
              <w:top w:val="single" w:sz="4" w:space="0" w:color="auto"/>
              <w:left w:val="single" w:sz="4" w:space="0" w:color="auto"/>
              <w:bottom w:val="single" w:sz="4" w:space="0" w:color="auto"/>
              <w:right w:val="single" w:sz="4" w:space="0" w:color="auto"/>
            </w:tcBorders>
            <w:shd w:val="clear" w:color="auto" w:fill="CCCCCC"/>
          </w:tcPr>
          <w:p w:rsidR="009C4FC8" w:rsidRPr="0086487B" w:rsidRDefault="009C4FC8" w:rsidP="00235652">
            <w:pPr>
              <w:spacing w:before="120" w:after="120"/>
              <w:rPr>
                <w:rFonts w:cs="Arial"/>
                <w:b/>
                <w:sz w:val="32"/>
                <w:szCs w:val="32"/>
              </w:rPr>
            </w:pPr>
            <w:r w:rsidRPr="0086487B">
              <w:rPr>
                <w:rFonts w:cs="Arial"/>
                <w:b/>
                <w:sz w:val="32"/>
                <w:szCs w:val="32"/>
              </w:rPr>
              <w:t>Review History</w:t>
            </w:r>
          </w:p>
        </w:tc>
        <w:tc>
          <w:tcPr>
            <w:tcW w:w="4263" w:type="dxa"/>
            <w:tcBorders>
              <w:top w:val="single" w:sz="4" w:space="0" w:color="auto"/>
              <w:left w:val="single" w:sz="4" w:space="0" w:color="auto"/>
              <w:bottom w:val="single" w:sz="4" w:space="0" w:color="auto"/>
              <w:right w:val="single" w:sz="4" w:space="0" w:color="auto"/>
            </w:tcBorders>
            <w:shd w:val="clear" w:color="auto" w:fill="CCCCCC"/>
          </w:tcPr>
          <w:p w:rsidR="009C4FC8" w:rsidRPr="0086487B" w:rsidRDefault="009C4FC8" w:rsidP="00235652">
            <w:pPr>
              <w:spacing w:before="120" w:after="120"/>
              <w:rPr>
                <w:rFonts w:cs="Arial"/>
                <w:b/>
                <w:sz w:val="32"/>
                <w:szCs w:val="32"/>
              </w:rPr>
            </w:pPr>
            <w:r w:rsidRPr="0086487B">
              <w:rPr>
                <w:rFonts w:cs="Arial"/>
                <w:b/>
                <w:sz w:val="32"/>
                <w:szCs w:val="32"/>
              </w:rPr>
              <w:t>Date</w:t>
            </w:r>
          </w:p>
        </w:tc>
      </w:tr>
      <w:tr w:rsidR="009C4FC8" w:rsidRPr="0086487B" w:rsidTr="00AE4098">
        <w:tc>
          <w:tcPr>
            <w:tcW w:w="5626" w:type="dxa"/>
            <w:gridSpan w:val="2"/>
            <w:tcBorders>
              <w:top w:val="single" w:sz="4" w:space="0" w:color="auto"/>
              <w:left w:val="single" w:sz="4" w:space="0" w:color="auto"/>
              <w:bottom w:val="single" w:sz="6" w:space="0" w:color="auto"/>
              <w:right w:val="single" w:sz="6" w:space="0" w:color="auto"/>
            </w:tcBorders>
            <w:vAlign w:val="center"/>
          </w:tcPr>
          <w:p w:rsidR="009C4FC8" w:rsidRPr="0037152D" w:rsidRDefault="009C4FC8" w:rsidP="00235652">
            <w:pPr>
              <w:spacing w:before="120" w:after="120"/>
              <w:rPr>
                <w:rFonts w:cs="Arial"/>
                <w:sz w:val="28"/>
                <w:szCs w:val="28"/>
              </w:rPr>
            </w:pPr>
            <w:r w:rsidRPr="0037152D">
              <w:rPr>
                <w:rFonts w:cs="Arial"/>
                <w:sz w:val="28"/>
                <w:szCs w:val="28"/>
              </w:rPr>
              <w:t>First Published on NSFL</w:t>
            </w:r>
          </w:p>
        </w:tc>
        <w:tc>
          <w:tcPr>
            <w:tcW w:w="4263" w:type="dxa"/>
            <w:tcBorders>
              <w:top w:val="single" w:sz="4" w:space="0" w:color="auto"/>
              <w:left w:val="single" w:sz="6" w:space="0" w:color="auto"/>
              <w:bottom w:val="single" w:sz="6" w:space="0" w:color="auto"/>
              <w:right w:val="single" w:sz="4" w:space="0" w:color="auto"/>
            </w:tcBorders>
            <w:vAlign w:val="center"/>
          </w:tcPr>
          <w:p w:rsidR="009C4FC8" w:rsidRPr="00110428" w:rsidRDefault="009C4FC8" w:rsidP="00235652">
            <w:pPr>
              <w:spacing w:before="120" w:after="120"/>
              <w:rPr>
                <w:rFonts w:cs="Arial"/>
                <w:sz w:val="28"/>
                <w:szCs w:val="32"/>
              </w:rPr>
            </w:pPr>
            <w:r w:rsidRPr="00110428">
              <w:rPr>
                <w:rFonts w:cs="Arial"/>
                <w:sz w:val="28"/>
                <w:szCs w:val="32"/>
              </w:rPr>
              <w:t>January 2010</w:t>
            </w:r>
          </w:p>
        </w:tc>
      </w:tr>
      <w:tr w:rsidR="009C4FC8" w:rsidRPr="0086487B" w:rsidTr="00AE4098">
        <w:tc>
          <w:tcPr>
            <w:tcW w:w="5626" w:type="dxa"/>
            <w:gridSpan w:val="2"/>
            <w:tcBorders>
              <w:top w:val="single" w:sz="6" w:space="0" w:color="auto"/>
              <w:left w:val="single" w:sz="4" w:space="0" w:color="auto"/>
              <w:bottom w:val="single" w:sz="6" w:space="0" w:color="auto"/>
              <w:right w:val="single" w:sz="6" w:space="0" w:color="auto"/>
            </w:tcBorders>
            <w:vAlign w:val="center"/>
          </w:tcPr>
          <w:p w:rsidR="009C4FC8" w:rsidRPr="00B01976" w:rsidRDefault="009C4FC8" w:rsidP="00491056">
            <w:pPr>
              <w:spacing w:before="120" w:after="120"/>
              <w:rPr>
                <w:rFonts w:cs="Arial"/>
                <w:sz w:val="24"/>
                <w:szCs w:val="24"/>
              </w:rPr>
            </w:pPr>
            <w:r w:rsidRPr="00B01976">
              <w:rPr>
                <w:rFonts w:cs="Arial"/>
                <w:b/>
                <w:sz w:val="24"/>
                <w:szCs w:val="24"/>
              </w:rPr>
              <w:t>Amended:</w:t>
            </w:r>
            <w:r w:rsidRPr="00B01976">
              <w:rPr>
                <w:rFonts w:cs="Arial"/>
                <w:sz w:val="24"/>
                <w:szCs w:val="24"/>
              </w:rPr>
              <w:t xml:space="preserve">  clarified reporting requirements</w:t>
            </w:r>
            <w:r w:rsidRPr="00B01976">
              <w:rPr>
                <w:rFonts w:cs="Arial"/>
                <w:b/>
                <w:sz w:val="24"/>
                <w:szCs w:val="24"/>
              </w:rPr>
              <w:t xml:space="preserve"> </w:t>
            </w:r>
            <w:r w:rsidRPr="00B01976">
              <w:rPr>
                <w:rFonts w:cs="Arial"/>
                <w:sz w:val="24"/>
                <w:szCs w:val="24"/>
              </w:rPr>
              <w:t>removed purchase unit MHDK72C</w:t>
            </w:r>
          </w:p>
        </w:tc>
        <w:tc>
          <w:tcPr>
            <w:tcW w:w="4263" w:type="dxa"/>
            <w:tcBorders>
              <w:top w:val="single" w:sz="6" w:space="0" w:color="auto"/>
              <w:left w:val="single" w:sz="6" w:space="0" w:color="auto"/>
              <w:bottom w:val="single" w:sz="6" w:space="0" w:color="auto"/>
              <w:right w:val="single" w:sz="4" w:space="0" w:color="auto"/>
            </w:tcBorders>
            <w:vAlign w:val="center"/>
          </w:tcPr>
          <w:p w:rsidR="009C4FC8" w:rsidRPr="00110428" w:rsidRDefault="009C4FC8" w:rsidP="00235652">
            <w:pPr>
              <w:spacing w:before="120" w:after="120"/>
              <w:rPr>
                <w:rFonts w:cs="Arial"/>
                <w:sz w:val="28"/>
                <w:szCs w:val="32"/>
              </w:rPr>
            </w:pPr>
            <w:r w:rsidRPr="00110428">
              <w:rPr>
                <w:rFonts w:cs="Arial"/>
                <w:sz w:val="28"/>
                <w:szCs w:val="32"/>
              </w:rPr>
              <w:t>February 2013</w:t>
            </w:r>
          </w:p>
        </w:tc>
      </w:tr>
      <w:tr w:rsidR="009C4FC8" w:rsidRPr="00C73B3D" w:rsidTr="00AE4098">
        <w:tc>
          <w:tcPr>
            <w:tcW w:w="5626" w:type="dxa"/>
            <w:gridSpan w:val="2"/>
            <w:tcBorders>
              <w:top w:val="single" w:sz="6" w:space="0" w:color="auto"/>
              <w:left w:val="single" w:sz="4" w:space="0" w:color="auto"/>
              <w:bottom w:val="single" w:sz="6" w:space="0" w:color="auto"/>
              <w:right w:val="single" w:sz="6" w:space="0" w:color="auto"/>
            </w:tcBorders>
            <w:vAlign w:val="center"/>
          </w:tcPr>
          <w:p w:rsidR="009C4FC8" w:rsidRPr="00B01976" w:rsidRDefault="009C4FC8" w:rsidP="0037152D">
            <w:pPr>
              <w:spacing w:before="120" w:after="120"/>
              <w:rPr>
                <w:rFonts w:cs="Arial"/>
                <w:b/>
                <w:sz w:val="24"/>
                <w:szCs w:val="24"/>
              </w:rPr>
            </w:pPr>
            <w:r w:rsidRPr="00B01976">
              <w:rPr>
                <w:rFonts w:cs="Arial"/>
                <w:b/>
                <w:sz w:val="24"/>
                <w:szCs w:val="24"/>
              </w:rPr>
              <w:t>Amend</w:t>
            </w:r>
            <w:r w:rsidR="0037152D">
              <w:rPr>
                <w:rFonts w:cs="Arial"/>
                <w:b/>
                <w:sz w:val="24"/>
                <w:szCs w:val="24"/>
              </w:rPr>
              <w:t>ed</w:t>
            </w:r>
            <w:r w:rsidRPr="00B01976">
              <w:rPr>
                <w:rFonts w:cs="Arial"/>
                <w:b/>
                <w:sz w:val="24"/>
                <w:szCs w:val="24"/>
              </w:rPr>
              <w:t xml:space="preserve">: </w:t>
            </w:r>
            <w:r w:rsidRPr="00B01976">
              <w:rPr>
                <w:rFonts w:cs="Arial"/>
                <w:sz w:val="24"/>
                <w:szCs w:val="24"/>
              </w:rPr>
              <w:t>added MHD172S purchase unit code, removed standard provider monitoring reporting tables. Minor editing.</w:t>
            </w:r>
          </w:p>
        </w:tc>
        <w:tc>
          <w:tcPr>
            <w:tcW w:w="4263" w:type="dxa"/>
            <w:tcBorders>
              <w:top w:val="single" w:sz="6" w:space="0" w:color="auto"/>
              <w:left w:val="single" w:sz="6" w:space="0" w:color="auto"/>
              <w:bottom w:val="single" w:sz="6" w:space="0" w:color="auto"/>
              <w:right w:val="single" w:sz="4" w:space="0" w:color="auto"/>
            </w:tcBorders>
            <w:vAlign w:val="center"/>
          </w:tcPr>
          <w:p w:rsidR="009C4FC8" w:rsidRPr="00110428" w:rsidRDefault="00AE4098" w:rsidP="0074114C">
            <w:pPr>
              <w:spacing w:before="120" w:after="120"/>
              <w:rPr>
                <w:rFonts w:cs="Arial"/>
                <w:sz w:val="28"/>
                <w:szCs w:val="32"/>
              </w:rPr>
            </w:pPr>
            <w:r w:rsidRPr="00110428">
              <w:rPr>
                <w:rFonts w:cs="Arial"/>
                <w:sz w:val="28"/>
                <w:szCs w:val="32"/>
              </w:rPr>
              <w:t>April 2017</w:t>
            </w:r>
          </w:p>
        </w:tc>
      </w:tr>
      <w:tr w:rsidR="00110428" w:rsidRPr="00C73B3D" w:rsidTr="00AE4098">
        <w:tc>
          <w:tcPr>
            <w:tcW w:w="5626" w:type="dxa"/>
            <w:gridSpan w:val="2"/>
            <w:tcBorders>
              <w:top w:val="single" w:sz="6" w:space="0" w:color="auto"/>
              <w:left w:val="single" w:sz="4" w:space="0" w:color="auto"/>
              <w:bottom w:val="single" w:sz="6" w:space="0" w:color="auto"/>
              <w:right w:val="single" w:sz="6" w:space="0" w:color="auto"/>
            </w:tcBorders>
            <w:vAlign w:val="center"/>
          </w:tcPr>
          <w:p w:rsidR="00110428" w:rsidRPr="00B01976" w:rsidRDefault="00110428" w:rsidP="0037152D">
            <w:pPr>
              <w:spacing w:before="120" w:after="120"/>
              <w:rPr>
                <w:rFonts w:cs="Arial"/>
                <w:b/>
                <w:sz w:val="24"/>
                <w:szCs w:val="24"/>
              </w:rPr>
            </w:pPr>
            <w:r>
              <w:rPr>
                <w:rFonts w:cs="Arial"/>
                <w:b/>
                <w:sz w:val="24"/>
                <w:szCs w:val="24"/>
              </w:rPr>
              <w:t xml:space="preserve">Amended: </w:t>
            </w:r>
            <w:r w:rsidRPr="00110428">
              <w:rPr>
                <w:rFonts w:cs="Arial"/>
                <w:sz w:val="24"/>
                <w:szCs w:val="24"/>
              </w:rPr>
              <w:t>corrected MHD172 to MHDI72</w:t>
            </w:r>
          </w:p>
        </w:tc>
        <w:tc>
          <w:tcPr>
            <w:tcW w:w="4263" w:type="dxa"/>
            <w:tcBorders>
              <w:top w:val="single" w:sz="6" w:space="0" w:color="auto"/>
              <w:left w:val="single" w:sz="6" w:space="0" w:color="auto"/>
              <w:bottom w:val="single" w:sz="6" w:space="0" w:color="auto"/>
              <w:right w:val="single" w:sz="4" w:space="0" w:color="auto"/>
            </w:tcBorders>
            <w:vAlign w:val="center"/>
          </w:tcPr>
          <w:p w:rsidR="00110428" w:rsidRDefault="00110428" w:rsidP="0074114C">
            <w:pPr>
              <w:spacing w:before="120" w:after="120"/>
              <w:rPr>
                <w:rFonts w:cs="Arial"/>
                <w:sz w:val="32"/>
                <w:szCs w:val="32"/>
              </w:rPr>
            </w:pPr>
            <w:r w:rsidRPr="00110428">
              <w:rPr>
                <w:rFonts w:cs="Arial"/>
                <w:sz w:val="28"/>
                <w:szCs w:val="32"/>
              </w:rPr>
              <w:t>September</w:t>
            </w:r>
            <w:r>
              <w:rPr>
                <w:rFonts w:cs="Arial"/>
                <w:sz w:val="32"/>
                <w:szCs w:val="32"/>
              </w:rPr>
              <w:t xml:space="preserve"> </w:t>
            </w:r>
            <w:r w:rsidRPr="00110428">
              <w:rPr>
                <w:rFonts w:cs="Arial"/>
                <w:sz w:val="28"/>
                <w:szCs w:val="32"/>
              </w:rPr>
              <w:t>2019</w:t>
            </w:r>
          </w:p>
        </w:tc>
      </w:tr>
      <w:tr w:rsidR="009C4FC8" w:rsidRPr="0086487B" w:rsidTr="00AE4098">
        <w:tc>
          <w:tcPr>
            <w:tcW w:w="5626" w:type="dxa"/>
            <w:gridSpan w:val="2"/>
            <w:tcBorders>
              <w:top w:val="single" w:sz="6" w:space="0" w:color="auto"/>
              <w:left w:val="single" w:sz="4" w:space="0" w:color="auto"/>
              <w:bottom w:val="single" w:sz="6" w:space="0" w:color="auto"/>
              <w:right w:val="single" w:sz="6" w:space="0" w:color="auto"/>
            </w:tcBorders>
            <w:vAlign w:val="center"/>
          </w:tcPr>
          <w:p w:rsidR="009C4FC8" w:rsidRPr="00110428" w:rsidRDefault="009C4FC8" w:rsidP="00235652">
            <w:pPr>
              <w:spacing w:before="120" w:after="120"/>
              <w:rPr>
                <w:rFonts w:cs="Arial"/>
                <w:sz w:val="28"/>
                <w:szCs w:val="32"/>
              </w:rPr>
            </w:pPr>
            <w:r w:rsidRPr="00110428">
              <w:rPr>
                <w:rFonts w:cs="Arial"/>
                <w:sz w:val="28"/>
                <w:szCs w:val="32"/>
              </w:rPr>
              <w:t>Consideration for next Service Specification Review</w:t>
            </w:r>
          </w:p>
        </w:tc>
        <w:tc>
          <w:tcPr>
            <w:tcW w:w="4263" w:type="dxa"/>
            <w:tcBorders>
              <w:top w:val="single" w:sz="6" w:space="0" w:color="auto"/>
              <w:left w:val="single" w:sz="6" w:space="0" w:color="auto"/>
              <w:bottom w:val="single" w:sz="6" w:space="0" w:color="auto"/>
              <w:right w:val="single" w:sz="4" w:space="0" w:color="auto"/>
            </w:tcBorders>
            <w:vAlign w:val="center"/>
          </w:tcPr>
          <w:p w:rsidR="009C4FC8" w:rsidRPr="00110428" w:rsidRDefault="009C4FC8" w:rsidP="00491056">
            <w:pPr>
              <w:spacing w:before="120" w:after="120"/>
              <w:rPr>
                <w:rFonts w:cs="Arial"/>
                <w:sz w:val="28"/>
                <w:szCs w:val="32"/>
              </w:rPr>
            </w:pPr>
            <w:r w:rsidRPr="00110428">
              <w:rPr>
                <w:rFonts w:cs="Arial"/>
                <w:sz w:val="28"/>
                <w:szCs w:val="32"/>
              </w:rPr>
              <w:t>Within five years</w:t>
            </w:r>
          </w:p>
        </w:tc>
      </w:tr>
    </w:tbl>
    <w:p w:rsidR="00AA2F99" w:rsidRDefault="00491056" w:rsidP="00491056">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86487B">
        <w:rPr>
          <w:rFonts w:cs="Arial"/>
          <w:b/>
          <w:sz w:val="24"/>
          <w:szCs w:val="24"/>
        </w:rPr>
        <w:t>Note:</w:t>
      </w:r>
      <w:r w:rsidRPr="0086487B">
        <w:rPr>
          <w:rFonts w:cs="Arial"/>
          <w:sz w:val="24"/>
          <w:szCs w:val="24"/>
        </w:rPr>
        <w:t xml:space="preserve"> Contact the Service Specification Programme Manager, </w:t>
      </w:r>
      <w:r w:rsidR="009C4FC8">
        <w:rPr>
          <w:rFonts w:cs="Arial"/>
          <w:sz w:val="24"/>
          <w:szCs w:val="24"/>
        </w:rPr>
        <w:t>Service Commissioning</w:t>
      </w:r>
      <w:r w:rsidRPr="0086487B">
        <w:rPr>
          <w:rFonts w:cs="Arial"/>
          <w:sz w:val="24"/>
          <w:szCs w:val="24"/>
        </w:rPr>
        <w:t xml:space="preserve">, Ministry of Health to discuss proposed amendments to the service specifications and guidance in developing new or updating and revising existing service specifications. </w:t>
      </w:r>
    </w:p>
    <w:p w:rsidR="00934047" w:rsidRPr="0086487B" w:rsidRDefault="00491056" w:rsidP="008953F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b/>
          <w:sz w:val="2"/>
          <w:szCs w:val="2"/>
        </w:rPr>
      </w:pPr>
      <w:r w:rsidRPr="0086487B">
        <w:rPr>
          <w:rFonts w:cs="Arial"/>
          <w:sz w:val="24"/>
          <w:szCs w:val="24"/>
        </w:rPr>
        <w:t xml:space="preserve">Nationwide Service Framework Library web site </w:t>
      </w:r>
      <w:hyperlink r:id="rId8" w:history="1">
        <w:r w:rsidRPr="0086487B">
          <w:rPr>
            <w:rStyle w:val="Hyperlink"/>
            <w:rFonts w:cs="Arial"/>
            <w:sz w:val="24"/>
            <w:szCs w:val="24"/>
          </w:rPr>
          <w:t>http://www.nsfl.health.govt.nz</w:t>
        </w:r>
      </w:hyperlink>
      <w:r w:rsidR="00027868" w:rsidRPr="0086487B">
        <w:rPr>
          <w:rFonts w:cs="Arial"/>
          <w:sz w:val="20"/>
        </w:rPr>
        <w:br w:type="page"/>
      </w:r>
      <w:bookmarkStart w:id="11" w:name="_Toc215319122"/>
    </w:p>
    <w:p w:rsidR="00DF4240" w:rsidRPr="0086487B" w:rsidRDefault="00731A2D"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86487B">
        <w:rPr>
          <w:rFonts w:cs="Arial"/>
          <w:b/>
          <w:sz w:val="24"/>
          <w:lang w:val="en-NZ"/>
        </w:rPr>
        <w:lastRenderedPageBreak/>
        <w:t xml:space="preserve">ADDICTION SERVICES </w:t>
      </w:r>
      <w:r w:rsidR="00DF4240" w:rsidRPr="0086487B">
        <w:rPr>
          <w:rFonts w:cs="Arial"/>
          <w:b/>
          <w:sz w:val="24"/>
          <w:lang w:val="en-NZ"/>
        </w:rPr>
        <w:t>–</w:t>
      </w:r>
      <w:r w:rsidRPr="0086487B">
        <w:rPr>
          <w:rFonts w:cs="Arial"/>
          <w:b/>
          <w:sz w:val="24"/>
          <w:lang w:val="en-NZ"/>
        </w:rPr>
        <w:t xml:space="preserve"> </w:t>
      </w:r>
    </w:p>
    <w:p w:rsidR="00722043" w:rsidRPr="0086487B" w:rsidRDefault="003F6F41"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86487B">
        <w:rPr>
          <w:rFonts w:cs="Arial"/>
          <w:b/>
          <w:sz w:val="24"/>
          <w:lang w:val="en-NZ"/>
        </w:rPr>
        <w:t>EARLY INTERVENTION ALCOHOL AND OTHER DRUG SERVICE</w:t>
      </w:r>
    </w:p>
    <w:p w:rsidR="00731A2D" w:rsidRPr="0086487B" w:rsidRDefault="00731A2D"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86487B">
        <w:rPr>
          <w:rFonts w:cs="Arial"/>
          <w:b/>
          <w:sz w:val="24"/>
          <w:lang w:val="en-NZ"/>
        </w:rPr>
        <w:t>MENTAL HEALTH AND ADDICTION SERVICES</w:t>
      </w:r>
    </w:p>
    <w:p w:rsidR="00027868" w:rsidRPr="0086487B" w:rsidRDefault="00396EAA" w:rsidP="00AA0B0D">
      <w:pPr>
        <w:pBdr>
          <w:top w:val="single" w:sz="4" w:space="1" w:color="auto"/>
          <w:left w:val="single" w:sz="4" w:space="4" w:color="auto"/>
          <w:bottom w:val="single" w:sz="4" w:space="1" w:color="auto"/>
          <w:right w:val="single" w:sz="4" w:space="4" w:color="auto"/>
        </w:pBdr>
        <w:jc w:val="center"/>
        <w:rPr>
          <w:rFonts w:cs="Arial"/>
        </w:rPr>
      </w:pPr>
      <w:r w:rsidRPr="0086487B">
        <w:rPr>
          <w:rFonts w:cs="Arial"/>
          <w:b/>
          <w:sz w:val="24"/>
          <w:szCs w:val="24"/>
        </w:rPr>
        <w:t>TIER THREE</w:t>
      </w:r>
      <w:r w:rsidR="00B01976">
        <w:rPr>
          <w:rFonts w:cs="Arial"/>
          <w:b/>
          <w:sz w:val="24"/>
          <w:szCs w:val="24"/>
        </w:rPr>
        <w:t xml:space="preserve"> </w:t>
      </w:r>
      <w:r w:rsidR="00027868" w:rsidRPr="0086487B">
        <w:rPr>
          <w:rFonts w:cs="Arial"/>
          <w:b/>
          <w:sz w:val="24"/>
          <w:lang w:val="en-NZ"/>
        </w:rPr>
        <w:t>SERVICE SPECIFICATION</w:t>
      </w:r>
    </w:p>
    <w:bookmarkEnd w:id="11"/>
    <w:p w:rsidR="0037152D" w:rsidRDefault="005D1348" w:rsidP="0037152D">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86487B">
        <w:rPr>
          <w:rFonts w:cs="Arial"/>
          <w:b/>
          <w:sz w:val="24"/>
          <w:szCs w:val="24"/>
        </w:rPr>
        <w:t>MHD72A,</w:t>
      </w:r>
      <w:r w:rsidR="00886ABF" w:rsidRPr="0086487B">
        <w:rPr>
          <w:rFonts w:cs="Arial"/>
          <w:b/>
          <w:sz w:val="24"/>
          <w:szCs w:val="24"/>
        </w:rPr>
        <w:t xml:space="preserve"> </w:t>
      </w:r>
      <w:r w:rsidRPr="0086487B">
        <w:rPr>
          <w:rFonts w:cs="Arial"/>
          <w:b/>
          <w:sz w:val="24"/>
          <w:szCs w:val="24"/>
        </w:rPr>
        <w:t>MHD72B,</w:t>
      </w:r>
      <w:r w:rsidR="00886ABF" w:rsidRPr="0086487B">
        <w:rPr>
          <w:rFonts w:cs="Arial"/>
          <w:b/>
          <w:sz w:val="24"/>
          <w:szCs w:val="24"/>
        </w:rPr>
        <w:t xml:space="preserve"> </w:t>
      </w:r>
      <w:r w:rsidR="003F6F41" w:rsidRPr="0086487B">
        <w:rPr>
          <w:rFonts w:cs="Arial"/>
          <w:b/>
          <w:sz w:val="24"/>
          <w:szCs w:val="24"/>
        </w:rPr>
        <w:t>MHD72C, MHD72D</w:t>
      </w:r>
      <w:r w:rsidRPr="0086487B">
        <w:rPr>
          <w:rFonts w:cs="Arial"/>
          <w:b/>
          <w:sz w:val="24"/>
          <w:szCs w:val="24"/>
        </w:rPr>
        <w:t xml:space="preserve">, MHDI72A, MHDI72B, MHDI72C, </w:t>
      </w:r>
    </w:p>
    <w:p w:rsidR="005B4A5C" w:rsidRPr="0086487B" w:rsidRDefault="005D1348" w:rsidP="0037152D">
      <w:pPr>
        <w:pBdr>
          <w:top w:val="single" w:sz="4" w:space="1" w:color="auto"/>
          <w:left w:val="single" w:sz="4" w:space="4" w:color="auto"/>
          <w:bottom w:val="single" w:sz="4" w:space="1" w:color="auto"/>
          <w:right w:val="single" w:sz="4" w:space="4" w:color="auto"/>
        </w:pBdr>
        <w:jc w:val="center"/>
        <w:rPr>
          <w:rFonts w:cs="Arial"/>
          <w:b/>
          <w:sz w:val="24"/>
          <w:szCs w:val="24"/>
        </w:rPr>
      </w:pPr>
      <w:r w:rsidRPr="0086487B">
        <w:rPr>
          <w:rFonts w:cs="Arial"/>
          <w:b/>
          <w:sz w:val="24"/>
          <w:szCs w:val="24"/>
        </w:rPr>
        <w:t>MHDI72D</w:t>
      </w:r>
      <w:r w:rsidR="009C4FC8">
        <w:rPr>
          <w:rFonts w:cs="Arial"/>
          <w:b/>
          <w:sz w:val="24"/>
          <w:szCs w:val="24"/>
        </w:rPr>
        <w:t>,</w:t>
      </w:r>
      <w:r w:rsidR="00B01976">
        <w:rPr>
          <w:rFonts w:cs="Arial"/>
          <w:b/>
          <w:sz w:val="24"/>
          <w:szCs w:val="24"/>
        </w:rPr>
        <w:t xml:space="preserve"> </w:t>
      </w:r>
      <w:r w:rsidR="00110428">
        <w:rPr>
          <w:rFonts w:cs="Arial"/>
          <w:b/>
          <w:sz w:val="24"/>
          <w:szCs w:val="24"/>
        </w:rPr>
        <w:t>MHDI</w:t>
      </w:r>
      <w:r w:rsidR="009C4FC8">
        <w:rPr>
          <w:rFonts w:cs="Arial"/>
          <w:b/>
          <w:sz w:val="24"/>
          <w:szCs w:val="24"/>
        </w:rPr>
        <w:t>72S</w:t>
      </w:r>
    </w:p>
    <w:p w:rsidR="00C70BD1" w:rsidRPr="0086487B" w:rsidRDefault="00027868" w:rsidP="00B255F9">
      <w:pPr>
        <w:tabs>
          <w:tab w:val="left" w:pos="570"/>
        </w:tabs>
        <w:spacing w:before="240" w:after="120"/>
        <w:rPr>
          <w:rFonts w:cs="Arial"/>
          <w:sz w:val="24"/>
          <w:szCs w:val="24"/>
        </w:rPr>
      </w:pPr>
      <w:bookmarkStart w:id="12" w:name="_Toc215319123"/>
      <w:r w:rsidRPr="0086487B">
        <w:rPr>
          <w:rFonts w:cs="Arial"/>
          <w:sz w:val="24"/>
          <w:szCs w:val="24"/>
        </w:rPr>
        <w:t xml:space="preserve">This tier </w:t>
      </w:r>
      <w:r w:rsidR="00934047" w:rsidRPr="0086487B">
        <w:rPr>
          <w:rFonts w:cs="Arial"/>
          <w:sz w:val="24"/>
          <w:szCs w:val="24"/>
        </w:rPr>
        <w:t>three</w:t>
      </w:r>
      <w:r w:rsidRPr="0086487B">
        <w:rPr>
          <w:rFonts w:cs="Arial"/>
          <w:sz w:val="24"/>
          <w:szCs w:val="24"/>
        </w:rPr>
        <w:t xml:space="preserve"> service specification for </w:t>
      </w:r>
      <w:r w:rsidR="00F95342" w:rsidRPr="0086487B">
        <w:rPr>
          <w:rFonts w:cs="Arial"/>
          <w:sz w:val="24"/>
          <w:szCs w:val="24"/>
        </w:rPr>
        <w:t xml:space="preserve">Early Intervention Alcohol and Other Drug Service </w:t>
      </w:r>
      <w:r w:rsidR="00016DBA" w:rsidRPr="0086487B">
        <w:rPr>
          <w:rFonts w:cs="Arial"/>
          <w:sz w:val="24"/>
          <w:szCs w:val="24"/>
        </w:rPr>
        <w:t xml:space="preserve">(the Service) </w:t>
      </w:r>
      <w:r w:rsidR="00C70BD1" w:rsidRPr="0086487B">
        <w:rPr>
          <w:rFonts w:cs="Arial"/>
          <w:sz w:val="24"/>
          <w:szCs w:val="24"/>
        </w:rPr>
        <w:t xml:space="preserve">must be used in conjunction with the tier one Mental Health and Addiction Services and </w:t>
      </w:r>
      <w:r w:rsidR="005D1348" w:rsidRPr="0086487B">
        <w:rPr>
          <w:rFonts w:cs="Arial"/>
          <w:sz w:val="24"/>
          <w:szCs w:val="24"/>
          <w:lang w:val="en-NZ"/>
        </w:rPr>
        <w:t>the</w:t>
      </w:r>
      <w:r w:rsidRPr="0086487B">
        <w:rPr>
          <w:rFonts w:cs="Arial"/>
          <w:sz w:val="24"/>
          <w:szCs w:val="24"/>
        </w:rPr>
        <w:t xml:space="preserve"> </w:t>
      </w:r>
      <w:bookmarkEnd w:id="12"/>
      <w:r w:rsidRPr="0086487B">
        <w:rPr>
          <w:rFonts w:cs="Arial"/>
          <w:sz w:val="24"/>
          <w:szCs w:val="24"/>
        </w:rPr>
        <w:t xml:space="preserve">tier </w:t>
      </w:r>
      <w:r w:rsidR="00934047" w:rsidRPr="0086487B">
        <w:rPr>
          <w:rFonts w:cs="Arial"/>
          <w:sz w:val="24"/>
          <w:szCs w:val="24"/>
        </w:rPr>
        <w:t>two</w:t>
      </w:r>
      <w:r w:rsidRPr="0086487B">
        <w:rPr>
          <w:rFonts w:cs="Arial"/>
          <w:sz w:val="24"/>
          <w:szCs w:val="24"/>
        </w:rPr>
        <w:t xml:space="preserve"> </w:t>
      </w:r>
      <w:r w:rsidR="00D2041C" w:rsidRPr="0086487B">
        <w:rPr>
          <w:rFonts w:cs="Arial"/>
          <w:sz w:val="24"/>
          <w:szCs w:val="24"/>
        </w:rPr>
        <w:t>Addiction</w:t>
      </w:r>
      <w:r w:rsidRPr="0086487B">
        <w:rPr>
          <w:rFonts w:cs="Arial"/>
          <w:sz w:val="24"/>
          <w:szCs w:val="24"/>
        </w:rPr>
        <w:t xml:space="preserve"> </w:t>
      </w:r>
      <w:r w:rsidR="00731A2D" w:rsidRPr="0086487B">
        <w:rPr>
          <w:rFonts w:cs="Arial"/>
          <w:sz w:val="24"/>
          <w:szCs w:val="24"/>
        </w:rPr>
        <w:t xml:space="preserve">Services </w:t>
      </w:r>
      <w:r w:rsidRPr="0086487B">
        <w:rPr>
          <w:rFonts w:cs="Arial"/>
          <w:sz w:val="24"/>
          <w:szCs w:val="24"/>
        </w:rPr>
        <w:t>service specification</w:t>
      </w:r>
      <w:r w:rsidR="00AE4098">
        <w:rPr>
          <w:rFonts w:cs="Arial"/>
          <w:sz w:val="24"/>
          <w:szCs w:val="24"/>
        </w:rPr>
        <w:t>s</w:t>
      </w:r>
      <w:r w:rsidR="00C70BD1" w:rsidRPr="0086487B">
        <w:rPr>
          <w:rFonts w:cs="Arial"/>
          <w:sz w:val="24"/>
          <w:szCs w:val="24"/>
        </w:rPr>
        <w:t>.</w:t>
      </w:r>
    </w:p>
    <w:p w:rsidR="005D1348" w:rsidRPr="0086487B" w:rsidRDefault="005D1348" w:rsidP="004E0BAF">
      <w:pPr>
        <w:tabs>
          <w:tab w:val="left" w:pos="570"/>
        </w:tabs>
        <w:spacing w:before="120" w:after="120"/>
        <w:rPr>
          <w:rFonts w:cs="Arial"/>
          <w:sz w:val="24"/>
          <w:szCs w:val="24"/>
        </w:rPr>
      </w:pPr>
      <w:r w:rsidRPr="0086487B">
        <w:rPr>
          <w:rFonts w:cs="Arial"/>
          <w:sz w:val="24"/>
          <w:szCs w:val="24"/>
        </w:rPr>
        <w:t>For a service specific to children, adolescents and youth, the tier two Infant, Child, Adolescent and Youth service specification must also be used.</w:t>
      </w:r>
    </w:p>
    <w:p w:rsidR="00027868" w:rsidRPr="0086487B" w:rsidRDefault="00027868" w:rsidP="00C879D6">
      <w:pPr>
        <w:numPr>
          <w:ilvl w:val="0"/>
          <w:numId w:val="2"/>
        </w:numPr>
        <w:tabs>
          <w:tab w:val="clear" w:pos="1080"/>
          <w:tab w:val="num" w:pos="540"/>
          <w:tab w:val="left" w:pos="570"/>
        </w:tabs>
        <w:spacing w:before="240" w:after="120"/>
        <w:ind w:left="0" w:firstLine="0"/>
        <w:rPr>
          <w:rFonts w:cs="Arial"/>
          <w:b/>
          <w:sz w:val="24"/>
          <w:szCs w:val="24"/>
        </w:rPr>
      </w:pPr>
      <w:bookmarkStart w:id="13" w:name="_Toc215319135"/>
      <w:r w:rsidRPr="0086487B">
        <w:rPr>
          <w:rFonts w:cs="Arial"/>
          <w:b/>
          <w:sz w:val="24"/>
          <w:szCs w:val="24"/>
        </w:rPr>
        <w:t>Service Definition</w:t>
      </w:r>
      <w:bookmarkEnd w:id="13"/>
    </w:p>
    <w:p w:rsidR="00F95342" w:rsidRPr="0086487B" w:rsidRDefault="005D1348" w:rsidP="00F95342">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after="38"/>
        <w:rPr>
          <w:rFonts w:cs="Arial"/>
          <w:sz w:val="24"/>
          <w:szCs w:val="24"/>
        </w:rPr>
      </w:pPr>
      <w:r w:rsidRPr="0086487B">
        <w:rPr>
          <w:rFonts w:cs="Arial"/>
          <w:sz w:val="24"/>
          <w:szCs w:val="24"/>
        </w:rPr>
        <w:t xml:space="preserve">The </w:t>
      </w:r>
      <w:r w:rsidR="004E0BAF" w:rsidRPr="0086487B">
        <w:rPr>
          <w:rFonts w:cs="Arial"/>
          <w:sz w:val="24"/>
          <w:szCs w:val="24"/>
        </w:rPr>
        <w:t>S</w:t>
      </w:r>
      <w:r w:rsidRPr="0086487B">
        <w:rPr>
          <w:rFonts w:cs="Arial"/>
          <w:sz w:val="24"/>
          <w:szCs w:val="24"/>
        </w:rPr>
        <w:t xml:space="preserve">ervice provides specially </w:t>
      </w:r>
      <w:r w:rsidR="00F95342" w:rsidRPr="0086487B">
        <w:rPr>
          <w:rFonts w:cs="Arial"/>
          <w:sz w:val="24"/>
          <w:szCs w:val="24"/>
        </w:rPr>
        <w:t xml:space="preserve">designed programmes </w:t>
      </w:r>
      <w:r w:rsidRPr="0086487B">
        <w:rPr>
          <w:rFonts w:cs="Arial"/>
          <w:sz w:val="24"/>
          <w:szCs w:val="24"/>
        </w:rPr>
        <w:t xml:space="preserve">will aim at primary and secondary prevention of alcohol and other drug problems and harm reduction, </w:t>
      </w:r>
      <w:r w:rsidR="00F95342" w:rsidRPr="0086487B">
        <w:rPr>
          <w:rFonts w:cs="Arial"/>
          <w:sz w:val="24"/>
          <w:szCs w:val="24"/>
        </w:rPr>
        <w:t>targeting at risk individuals and groups</w:t>
      </w:r>
      <w:r w:rsidRPr="0086487B">
        <w:rPr>
          <w:rFonts w:cs="Arial"/>
          <w:sz w:val="24"/>
          <w:szCs w:val="24"/>
        </w:rPr>
        <w:t>.</w:t>
      </w:r>
      <w:r w:rsidR="00F95342" w:rsidRPr="0086487B">
        <w:rPr>
          <w:rFonts w:cs="Arial"/>
          <w:sz w:val="24"/>
          <w:szCs w:val="24"/>
        </w:rPr>
        <w:t xml:space="preserve"> </w:t>
      </w:r>
      <w:r w:rsidR="004E0BAF" w:rsidRPr="0086487B">
        <w:rPr>
          <w:rFonts w:cs="Arial"/>
          <w:sz w:val="24"/>
          <w:szCs w:val="24"/>
        </w:rPr>
        <w:t xml:space="preserve"> </w:t>
      </w:r>
      <w:r w:rsidR="00F95342" w:rsidRPr="0086487B">
        <w:rPr>
          <w:rFonts w:cs="Arial"/>
          <w:sz w:val="24"/>
          <w:szCs w:val="24"/>
        </w:rPr>
        <w:t>Services will work in co-operation with related statutory and community agencies and other areas of the health service.</w:t>
      </w:r>
    </w:p>
    <w:p w:rsidR="00F95342" w:rsidRPr="0086487B" w:rsidRDefault="00F95342" w:rsidP="00396EAA">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4"/>
          <w:szCs w:val="24"/>
        </w:rPr>
      </w:pPr>
      <w:r w:rsidRPr="0086487B">
        <w:rPr>
          <w:rFonts w:cs="Arial"/>
          <w:sz w:val="24"/>
          <w:szCs w:val="24"/>
        </w:rPr>
        <w:t xml:space="preserve">Components of the </w:t>
      </w:r>
      <w:r w:rsidR="00016DBA" w:rsidRPr="0086487B">
        <w:rPr>
          <w:rFonts w:cs="Arial"/>
          <w:sz w:val="24"/>
          <w:szCs w:val="24"/>
        </w:rPr>
        <w:t>S</w:t>
      </w:r>
      <w:r w:rsidRPr="0086487B">
        <w:rPr>
          <w:rFonts w:cs="Arial"/>
          <w:sz w:val="24"/>
          <w:szCs w:val="24"/>
        </w:rPr>
        <w:t>ervice will include:</w:t>
      </w:r>
    </w:p>
    <w:p w:rsidR="00F95342" w:rsidRPr="0086487B" w:rsidRDefault="00273AAB" w:rsidP="00724393">
      <w:pPr>
        <w:widowControl w:val="0"/>
        <w:numPr>
          <w:ilvl w:val="0"/>
          <w:numId w:val="27"/>
        </w:numPr>
        <w:tabs>
          <w:tab w:val="clear" w:pos="417"/>
          <w:tab w:val="num" w:pos="540"/>
        </w:tabs>
        <w:spacing w:before="120"/>
        <w:ind w:left="539" w:hanging="539"/>
        <w:rPr>
          <w:rFonts w:cs="Arial"/>
          <w:sz w:val="24"/>
          <w:szCs w:val="24"/>
        </w:rPr>
      </w:pPr>
      <w:r w:rsidRPr="0086487B">
        <w:rPr>
          <w:rFonts w:cs="Arial"/>
          <w:sz w:val="24"/>
          <w:szCs w:val="24"/>
        </w:rPr>
        <w:t>s</w:t>
      </w:r>
      <w:r w:rsidR="00F95342" w:rsidRPr="0086487B">
        <w:rPr>
          <w:rFonts w:cs="Arial"/>
          <w:sz w:val="24"/>
          <w:szCs w:val="24"/>
        </w:rPr>
        <w:t>creening</w:t>
      </w:r>
      <w:r w:rsidR="005D1348" w:rsidRPr="0086487B">
        <w:rPr>
          <w:rFonts w:cs="Arial"/>
          <w:sz w:val="24"/>
          <w:szCs w:val="24"/>
        </w:rPr>
        <w:t>, identification</w:t>
      </w:r>
      <w:r w:rsidR="00F95342" w:rsidRPr="0086487B">
        <w:rPr>
          <w:rFonts w:cs="Arial"/>
          <w:sz w:val="24"/>
          <w:szCs w:val="24"/>
        </w:rPr>
        <w:t xml:space="preserve"> and brief assessment</w:t>
      </w:r>
    </w:p>
    <w:p w:rsidR="00F95342" w:rsidRPr="0086487B" w:rsidRDefault="00F95342" w:rsidP="00724393">
      <w:pPr>
        <w:widowControl w:val="0"/>
        <w:numPr>
          <w:ilvl w:val="0"/>
          <w:numId w:val="27"/>
        </w:numPr>
        <w:tabs>
          <w:tab w:val="clear" w:pos="417"/>
          <w:tab w:val="num" w:pos="540"/>
        </w:tabs>
        <w:spacing w:before="120"/>
        <w:ind w:left="540" w:hanging="540"/>
        <w:rPr>
          <w:rFonts w:cs="Arial"/>
          <w:sz w:val="24"/>
          <w:szCs w:val="24"/>
        </w:rPr>
      </w:pPr>
      <w:r w:rsidRPr="0086487B">
        <w:rPr>
          <w:rFonts w:cs="Arial"/>
          <w:sz w:val="24"/>
          <w:szCs w:val="24"/>
        </w:rPr>
        <w:t>brief interventions</w:t>
      </w:r>
    </w:p>
    <w:p w:rsidR="00F95342" w:rsidRPr="0086487B" w:rsidRDefault="00F95342" w:rsidP="00724393">
      <w:pPr>
        <w:widowControl w:val="0"/>
        <w:numPr>
          <w:ilvl w:val="0"/>
          <w:numId w:val="27"/>
        </w:numPr>
        <w:tabs>
          <w:tab w:val="clear" w:pos="417"/>
          <w:tab w:val="num" w:pos="540"/>
        </w:tabs>
        <w:spacing w:before="120"/>
        <w:ind w:left="540" w:hanging="540"/>
        <w:rPr>
          <w:rFonts w:cs="Arial"/>
          <w:sz w:val="24"/>
          <w:szCs w:val="24"/>
        </w:rPr>
      </w:pPr>
      <w:r w:rsidRPr="0086487B">
        <w:rPr>
          <w:rFonts w:cs="Arial"/>
          <w:sz w:val="24"/>
          <w:szCs w:val="24"/>
        </w:rPr>
        <w:t>consultation and liaison with other health services</w:t>
      </w:r>
    </w:p>
    <w:p w:rsidR="00F95342" w:rsidRPr="0086487B" w:rsidRDefault="00F95342" w:rsidP="00724393">
      <w:pPr>
        <w:widowControl w:val="0"/>
        <w:numPr>
          <w:ilvl w:val="0"/>
          <w:numId w:val="27"/>
        </w:numPr>
        <w:tabs>
          <w:tab w:val="clear" w:pos="417"/>
          <w:tab w:val="num" w:pos="540"/>
        </w:tabs>
        <w:spacing w:before="120"/>
        <w:ind w:left="540" w:hanging="540"/>
        <w:rPr>
          <w:rFonts w:cs="Arial"/>
          <w:sz w:val="24"/>
          <w:szCs w:val="24"/>
        </w:rPr>
      </w:pPr>
      <w:r w:rsidRPr="0086487B">
        <w:rPr>
          <w:rFonts w:cs="Arial"/>
          <w:sz w:val="24"/>
          <w:szCs w:val="24"/>
        </w:rPr>
        <w:t>liaison with other services</w:t>
      </w:r>
      <w:r w:rsidR="00294EBF" w:rsidRPr="0086487B">
        <w:rPr>
          <w:rFonts w:cs="Arial"/>
          <w:sz w:val="24"/>
          <w:szCs w:val="24"/>
        </w:rPr>
        <w:t xml:space="preserve"> </w:t>
      </w:r>
      <w:r w:rsidRPr="0086487B">
        <w:rPr>
          <w:rFonts w:cs="Arial"/>
          <w:sz w:val="24"/>
          <w:szCs w:val="24"/>
        </w:rPr>
        <w:t>/</w:t>
      </w:r>
      <w:r w:rsidR="00294EBF" w:rsidRPr="0086487B">
        <w:rPr>
          <w:rFonts w:cs="Arial"/>
          <w:sz w:val="24"/>
          <w:szCs w:val="24"/>
        </w:rPr>
        <w:t xml:space="preserve"> </w:t>
      </w:r>
      <w:r w:rsidRPr="0086487B">
        <w:rPr>
          <w:rFonts w:cs="Arial"/>
          <w:sz w:val="24"/>
          <w:szCs w:val="24"/>
        </w:rPr>
        <w:t>agencies to facilitate positive outcomes, training and education (of the individual concerned plus relevant family</w:t>
      </w:r>
      <w:r w:rsidR="00886ABF" w:rsidRPr="0086487B">
        <w:rPr>
          <w:rFonts w:cs="Arial"/>
          <w:sz w:val="24"/>
          <w:szCs w:val="24"/>
        </w:rPr>
        <w:t>,</w:t>
      </w:r>
      <w:r w:rsidR="00B255F9" w:rsidRPr="0086487B">
        <w:rPr>
          <w:rFonts w:cs="Arial"/>
          <w:sz w:val="24"/>
          <w:szCs w:val="24"/>
        </w:rPr>
        <w:t xml:space="preserve"> </w:t>
      </w:r>
      <w:r w:rsidR="00886ABF" w:rsidRPr="0086487B">
        <w:rPr>
          <w:rFonts w:cs="Arial"/>
          <w:sz w:val="24"/>
          <w:szCs w:val="24"/>
        </w:rPr>
        <w:t xml:space="preserve">whānau </w:t>
      </w:r>
      <w:r w:rsidR="00B255F9" w:rsidRPr="0086487B">
        <w:rPr>
          <w:rFonts w:cs="Arial"/>
          <w:sz w:val="24"/>
          <w:szCs w:val="24"/>
        </w:rPr>
        <w:t xml:space="preserve">and or </w:t>
      </w:r>
      <w:r w:rsidR="005D1348" w:rsidRPr="0086487B">
        <w:rPr>
          <w:rFonts w:cs="Arial"/>
          <w:sz w:val="24"/>
          <w:szCs w:val="24"/>
        </w:rPr>
        <w:t>carers</w:t>
      </w:r>
      <w:r w:rsidRPr="0086487B">
        <w:rPr>
          <w:rFonts w:cs="Arial"/>
          <w:sz w:val="24"/>
          <w:szCs w:val="24"/>
        </w:rPr>
        <w:t>) regarding problems, treatment, and maintenance of health and well-being</w:t>
      </w:r>
    </w:p>
    <w:p w:rsidR="00F95342" w:rsidRPr="0086487B" w:rsidRDefault="00F95342" w:rsidP="00724393">
      <w:pPr>
        <w:widowControl w:val="0"/>
        <w:numPr>
          <w:ilvl w:val="0"/>
          <w:numId w:val="27"/>
        </w:numPr>
        <w:tabs>
          <w:tab w:val="clear" w:pos="417"/>
          <w:tab w:val="num" w:pos="540"/>
        </w:tabs>
        <w:spacing w:before="120"/>
        <w:ind w:left="540" w:hanging="540"/>
        <w:rPr>
          <w:rFonts w:cs="Arial"/>
          <w:sz w:val="24"/>
          <w:szCs w:val="24"/>
        </w:rPr>
      </w:pPr>
      <w:r w:rsidRPr="0086487B">
        <w:rPr>
          <w:rFonts w:cs="Arial"/>
          <w:sz w:val="24"/>
          <w:szCs w:val="24"/>
        </w:rPr>
        <w:t xml:space="preserve">family </w:t>
      </w:r>
      <w:r w:rsidR="00B255F9" w:rsidRPr="0086487B">
        <w:rPr>
          <w:rFonts w:cs="Arial"/>
          <w:sz w:val="24"/>
          <w:szCs w:val="24"/>
        </w:rPr>
        <w:t>and</w:t>
      </w:r>
      <w:r w:rsidRPr="0086487B">
        <w:rPr>
          <w:rFonts w:cs="Arial"/>
          <w:sz w:val="24"/>
          <w:szCs w:val="24"/>
        </w:rPr>
        <w:t xml:space="preserve"> whanau support</w:t>
      </w:r>
    </w:p>
    <w:p w:rsidR="00F95342" w:rsidRPr="0086487B" w:rsidRDefault="00F95342" w:rsidP="00724393">
      <w:pPr>
        <w:widowControl w:val="0"/>
        <w:numPr>
          <w:ilvl w:val="0"/>
          <w:numId w:val="27"/>
        </w:numPr>
        <w:tabs>
          <w:tab w:val="clear" w:pos="417"/>
          <w:tab w:val="num" w:pos="540"/>
        </w:tabs>
        <w:spacing w:before="120"/>
        <w:ind w:left="540" w:hanging="540"/>
        <w:rPr>
          <w:rFonts w:cs="Arial"/>
          <w:sz w:val="24"/>
          <w:szCs w:val="24"/>
        </w:rPr>
      </w:pPr>
      <w:r w:rsidRPr="0086487B">
        <w:rPr>
          <w:rFonts w:cs="Arial"/>
          <w:sz w:val="24"/>
          <w:szCs w:val="24"/>
        </w:rPr>
        <w:t>liaison and consultation services to other providers of health services (including mental health services)</w:t>
      </w:r>
      <w:r w:rsidR="004E0BAF" w:rsidRPr="0086487B">
        <w:rPr>
          <w:rFonts w:cs="Arial"/>
          <w:sz w:val="24"/>
          <w:szCs w:val="24"/>
        </w:rPr>
        <w:t xml:space="preserve"> </w:t>
      </w:r>
      <w:r w:rsidRPr="0086487B">
        <w:rPr>
          <w:rFonts w:cs="Arial"/>
          <w:sz w:val="24"/>
          <w:szCs w:val="24"/>
        </w:rPr>
        <w:t>and other agencies in contact with people with current or potential substance use problems.</w:t>
      </w:r>
    </w:p>
    <w:p w:rsidR="00F95342" w:rsidRPr="0086487B" w:rsidRDefault="00F95342" w:rsidP="0072439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86487B">
        <w:rPr>
          <w:rFonts w:cs="Arial"/>
          <w:sz w:val="24"/>
          <w:szCs w:val="24"/>
        </w:rPr>
        <w:t>Attention is given to (among other things):</w:t>
      </w:r>
    </w:p>
    <w:p w:rsidR="00F95342" w:rsidRPr="0086487B" w:rsidRDefault="00F95342" w:rsidP="00724393">
      <w:pPr>
        <w:widowControl w:val="0"/>
        <w:numPr>
          <w:ilvl w:val="0"/>
          <w:numId w:val="28"/>
        </w:numPr>
        <w:tabs>
          <w:tab w:val="clear" w:pos="417"/>
          <w:tab w:val="num" w:pos="540"/>
        </w:tabs>
        <w:spacing w:before="120"/>
        <w:ind w:left="539" w:hanging="539"/>
        <w:rPr>
          <w:rFonts w:cs="Arial"/>
          <w:sz w:val="24"/>
          <w:szCs w:val="24"/>
        </w:rPr>
      </w:pPr>
      <w:r w:rsidRPr="0086487B">
        <w:rPr>
          <w:rFonts w:cs="Arial"/>
          <w:sz w:val="24"/>
          <w:szCs w:val="24"/>
        </w:rPr>
        <w:t>harm reduction</w:t>
      </w:r>
    </w:p>
    <w:p w:rsidR="00F95342" w:rsidRPr="0086487B" w:rsidRDefault="00F95342" w:rsidP="00724393">
      <w:pPr>
        <w:widowControl w:val="0"/>
        <w:numPr>
          <w:ilvl w:val="0"/>
          <w:numId w:val="28"/>
        </w:numPr>
        <w:tabs>
          <w:tab w:val="clear" w:pos="417"/>
          <w:tab w:val="num" w:pos="540"/>
        </w:tabs>
        <w:spacing w:before="120"/>
        <w:ind w:left="539" w:hanging="539"/>
        <w:rPr>
          <w:rFonts w:cs="Arial"/>
          <w:sz w:val="24"/>
          <w:szCs w:val="24"/>
        </w:rPr>
      </w:pPr>
      <w:r w:rsidRPr="0086487B">
        <w:rPr>
          <w:rFonts w:cs="Arial"/>
          <w:sz w:val="24"/>
          <w:szCs w:val="24"/>
        </w:rPr>
        <w:t>accurate information giving</w:t>
      </w:r>
    </w:p>
    <w:p w:rsidR="005D1348" w:rsidRPr="0086487B" w:rsidRDefault="00F95342" w:rsidP="00724393">
      <w:pPr>
        <w:widowControl w:val="0"/>
        <w:numPr>
          <w:ilvl w:val="0"/>
          <w:numId w:val="28"/>
        </w:numPr>
        <w:tabs>
          <w:tab w:val="clear" w:pos="417"/>
          <w:tab w:val="num" w:pos="540"/>
        </w:tabs>
        <w:spacing w:before="120"/>
        <w:ind w:left="539" w:hanging="539"/>
        <w:rPr>
          <w:rFonts w:cs="Arial"/>
          <w:sz w:val="24"/>
          <w:szCs w:val="24"/>
        </w:rPr>
      </w:pPr>
      <w:r w:rsidRPr="0086487B">
        <w:rPr>
          <w:rFonts w:cs="Arial"/>
          <w:sz w:val="24"/>
          <w:szCs w:val="24"/>
        </w:rPr>
        <w:t>young people at risk of alcohol and other drug and co-existing related problems</w:t>
      </w:r>
      <w:r w:rsidR="00294EBF" w:rsidRPr="0086487B">
        <w:rPr>
          <w:rFonts w:cs="Arial"/>
          <w:sz w:val="24"/>
          <w:szCs w:val="24"/>
        </w:rPr>
        <w:t xml:space="preserve"> </w:t>
      </w:r>
      <w:r w:rsidRPr="0086487B">
        <w:rPr>
          <w:rFonts w:cs="Arial"/>
          <w:sz w:val="24"/>
          <w:szCs w:val="24"/>
        </w:rPr>
        <w:t>/</w:t>
      </w:r>
      <w:r w:rsidR="00294EBF" w:rsidRPr="0086487B">
        <w:rPr>
          <w:rFonts w:cs="Arial"/>
          <w:sz w:val="24"/>
          <w:szCs w:val="24"/>
        </w:rPr>
        <w:t xml:space="preserve"> </w:t>
      </w:r>
      <w:r w:rsidRPr="0086487B">
        <w:rPr>
          <w:rFonts w:cs="Arial"/>
          <w:sz w:val="24"/>
          <w:szCs w:val="24"/>
        </w:rPr>
        <w:t>dependence</w:t>
      </w:r>
    </w:p>
    <w:p w:rsidR="00F95342" w:rsidRPr="0086487B" w:rsidRDefault="005D1348" w:rsidP="00724393">
      <w:pPr>
        <w:widowControl w:val="0"/>
        <w:numPr>
          <w:ilvl w:val="0"/>
          <w:numId w:val="28"/>
        </w:numPr>
        <w:tabs>
          <w:tab w:val="clear" w:pos="417"/>
          <w:tab w:val="num" w:pos="540"/>
        </w:tabs>
        <w:spacing w:before="120"/>
        <w:ind w:left="539" w:hanging="539"/>
        <w:rPr>
          <w:rFonts w:cs="Arial"/>
          <w:sz w:val="24"/>
          <w:szCs w:val="24"/>
        </w:rPr>
      </w:pPr>
      <w:r w:rsidRPr="0086487B">
        <w:rPr>
          <w:rFonts w:cs="Arial"/>
          <w:sz w:val="24"/>
          <w:szCs w:val="24"/>
        </w:rPr>
        <w:t>co-existing addiction and mental health issues</w:t>
      </w:r>
    </w:p>
    <w:p w:rsidR="00027868" w:rsidRPr="0086487B" w:rsidRDefault="00027868" w:rsidP="00C879D6">
      <w:pPr>
        <w:numPr>
          <w:ilvl w:val="0"/>
          <w:numId w:val="2"/>
        </w:numPr>
        <w:tabs>
          <w:tab w:val="clear" w:pos="1080"/>
          <w:tab w:val="num" w:pos="570"/>
        </w:tabs>
        <w:spacing w:before="240" w:after="120"/>
        <w:ind w:left="0" w:firstLine="0"/>
        <w:rPr>
          <w:rFonts w:cs="Arial"/>
          <w:b/>
          <w:sz w:val="24"/>
          <w:szCs w:val="24"/>
        </w:rPr>
      </w:pPr>
      <w:bookmarkStart w:id="14" w:name="_Toc215319136"/>
      <w:r w:rsidRPr="0086487B">
        <w:rPr>
          <w:rFonts w:cs="Arial"/>
          <w:b/>
          <w:sz w:val="24"/>
          <w:szCs w:val="24"/>
        </w:rPr>
        <w:t>Service Objectives</w:t>
      </w:r>
      <w:bookmarkEnd w:id="14"/>
    </w:p>
    <w:p w:rsidR="00AA2F99" w:rsidRPr="00AA2F99" w:rsidRDefault="00AA2F99" w:rsidP="00F9534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b/>
          <w:sz w:val="24"/>
          <w:szCs w:val="24"/>
        </w:rPr>
      </w:pPr>
      <w:r w:rsidRPr="00AA2F99">
        <w:rPr>
          <w:rFonts w:cs="Arial"/>
          <w:b/>
          <w:sz w:val="24"/>
          <w:szCs w:val="24"/>
        </w:rPr>
        <w:t>2.1</w:t>
      </w:r>
      <w:r w:rsidRPr="00AA2F99">
        <w:rPr>
          <w:rFonts w:cs="Arial"/>
          <w:b/>
          <w:sz w:val="24"/>
          <w:szCs w:val="24"/>
        </w:rPr>
        <w:tab/>
        <w:t xml:space="preserve">General </w:t>
      </w:r>
    </w:p>
    <w:p w:rsidR="00B255F9" w:rsidRPr="0086487B" w:rsidRDefault="00F95342" w:rsidP="00AE409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cs="Arial"/>
          <w:sz w:val="24"/>
          <w:szCs w:val="24"/>
        </w:rPr>
      </w:pPr>
      <w:r w:rsidRPr="0086487B">
        <w:rPr>
          <w:rFonts w:cs="Arial"/>
          <w:sz w:val="24"/>
          <w:szCs w:val="24"/>
        </w:rPr>
        <w:t xml:space="preserve">To provide a </w:t>
      </w:r>
      <w:r w:rsidR="00724393" w:rsidRPr="0086487B">
        <w:rPr>
          <w:rFonts w:cs="Arial"/>
          <w:sz w:val="24"/>
          <w:szCs w:val="24"/>
        </w:rPr>
        <w:t>S</w:t>
      </w:r>
      <w:r w:rsidRPr="0086487B">
        <w:rPr>
          <w:rFonts w:cs="Arial"/>
          <w:sz w:val="24"/>
          <w:szCs w:val="24"/>
        </w:rPr>
        <w:t xml:space="preserve">ervice specifically for people </w:t>
      </w:r>
      <w:r w:rsidR="005D1348" w:rsidRPr="0086487B">
        <w:rPr>
          <w:rFonts w:cs="Arial"/>
          <w:sz w:val="24"/>
          <w:szCs w:val="24"/>
        </w:rPr>
        <w:t xml:space="preserve">who are </w:t>
      </w:r>
      <w:r w:rsidRPr="0086487B">
        <w:rPr>
          <w:rFonts w:cs="Arial"/>
          <w:sz w:val="24"/>
          <w:szCs w:val="24"/>
        </w:rPr>
        <w:t xml:space="preserve">early in the course of developing alcohol and other drug problems.  </w:t>
      </w:r>
    </w:p>
    <w:p w:rsidR="00C653E0" w:rsidRPr="0086487B" w:rsidRDefault="00F95342" w:rsidP="00B255F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cs="Arial"/>
          <w:sz w:val="18"/>
        </w:rPr>
      </w:pPr>
      <w:r w:rsidRPr="0086487B">
        <w:rPr>
          <w:rFonts w:cs="Arial"/>
          <w:sz w:val="24"/>
          <w:szCs w:val="24"/>
        </w:rPr>
        <w:t xml:space="preserve">The </w:t>
      </w:r>
      <w:r w:rsidR="00724393" w:rsidRPr="0086487B">
        <w:rPr>
          <w:rFonts w:cs="Arial"/>
          <w:sz w:val="24"/>
          <w:szCs w:val="24"/>
        </w:rPr>
        <w:t>S</w:t>
      </w:r>
      <w:r w:rsidRPr="0086487B">
        <w:rPr>
          <w:rFonts w:cs="Arial"/>
          <w:sz w:val="24"/>
          <w:szCs w:val="24"/>
        </w:rPr>
        <w:t xml:space="preserve">ervice </w:t>
      </w:r>
      <w:r w:rsidR="005D1348" w:rsidRPr="0086487B">
        <w:rPr>
          <w:rFonts w:cs="Arial"/>
          <w:sz w:val="24"/>
          <w:szCs w:val="24"/>
        </w:rPr>
        <w:t xml:space="preserve">by intervening </w:t>
      </w:r>
      <w:r w:rsidRPr="0086487B">
        <w:rPr>
          <w:rFonts w:cs="Arial"/>
          <w:sz w:val="24"/>
          <w:szCs w:val="24"/>
        </w:rPr>
        <w:t>aims to shorten the course and decrease the severity of the problems, thereby minimising the complications that may arise</w:t>
      </w:r>
      <w:r w:rsidRPr="0086487B">
        <w:rPr>
          <w:rFonts w:cs="Arial"/>
          <w:sz w:val="18"/>
        </w:rPr>
        <w:t xml:space="preserve">. </w:t>
      </w:r>
    </w:p>
    <w:p w:rsidR="00C653E0" w:rsidRPr="0086487B" w:rsidRDefault="00C653E0">
      <w:pPr>
        <w:rPr>
          <w:rFonts w:cs="Arial"/>
          <w:sz w:val="18"/>
        </w:rPr>
      </w:pPr>
      <w:r w:rsidRPr="0086487B">
        <w:rPr>
          <w:rFonts w:cs="Arial"/>
          <w:sz w:val="18"/>
        </w:rPr>
        <w:br w:type="page"/>
      </w:r>
    </w:p>
    <w:p w:rsidR="00027868" w:rsidRPr="0086487B" w:rsidRDefault="00027868" w:rsidP="00C879D6">
      <w:pPr>
        <w:tabs>
          <w:tab w:val="left" w:pos="540"/>
        </w:tabs>
        <w:spacing w:before="120"/>
        <w:rPr>
          <w:rFonts w:cs="Arial"/>
          <w:sz w:val="24"/>
          <w:szCs w:val="24"/>
          <w:lang w:val="en-AU"/>
        </w:rPr>
      </w:pPr>
      <w:bookmarkStart w:id="15" w:name="_Toc215319138"/>
      <w:r w:rsidRPr="0086487B">
        <w:rPr>
          <w:rFonts w:cs="Arial"/>
          <w:b/>
          <w:sz w:val="24"/>
          <w:szCs w:val="24"/>
        </w:rPr>
        <w:lastRenderedPageBreak/>
        <w:t>2.</w:t>
      </w:r>
      <w:r w:rsidR="00AA2F99">
        <w:rPr>
          <w:rFonts w:cs="Arial"/>
          <w:b/>
          <w:sz w:val="24"/>
          <w:szCs w:val="24"/>
        </w:rPr>
        <w:t>2</w:t>
      </w:r>
      <w:r w:rsidRPr="0086487B">
        <w:rPr>
          <w:rFonts w:cs="Arial"/>
          <w:b/>
          <w:sz w:val="24"/>
          <w:szCs w:val="24"/>
        </w:rPr>
        <w:tab/>
        <w:t>M</w:t>
      </w:r>
      <w:r w:rsidRPr="0086487B">
        <w:rPr>
          <w:rFonts w:cs="Arial"/>
          <w:b/>
          <w:bCs/>
        </w:rPr>
        <w:t>ā</w:t>
      </w:r>
      <w:r w:rsidRPr="0086487B">
        <w:rPr>
          <w:rFonts w:cs="Arial"/>
          <w:b/>
          <w:sz w:val="24"/>
          <w:szCs w:val="24"/>
        </w:rPr>
        <w:t>ori Health</w:t>
      </w:r>
      <w:bookmarkEnd w:id="15"/>
    </w:p>
    <w:p w:rsidR="00396EAA" w:rsidRPr="0086487B" w:rsidRDefault="00396EAA" w:rsidP="00396EAA">
      <w:pPr>
        <w:spacing w:before="120"/>
        <w:rPr>
          <w:rFonts w:cs="Arial"/>
          <w:sz w:val="24"/>
          <w:szCs w:val="24"/>
        </w:rPr>
      </w:pPr>
      <w:bookmarkStart w:id="16" w:name="_Toc215319139"/>
      <w:r w:rsidRPr="0086487B">
        <w:rPr>
          <w:rFonts w:cs="Arial"/>
          <w:sz w:val="24"/>
          <w:szCs w:val="24"/>
        </w:rPr>
        <w:t xml:space="preserve">Refer to the tier one Mental Health and Addiction </w:t>
      </w:r>
      <w:r w:rsidR="00564548" w:rsidRPr="0086487B">
        <w:rPr>
          <w:rFonts w:cs="Arial"/>
          <w:sz w:val="24"/>
          <w:szCs w:val="24"/>
        </w:rPr>
        <w:t xml:space="preserve">Services </w:t>
      </w:r>
      <w:r w:rsidRPr="0086487B">
        <w:rPr>
          <w:rFonts w:cs="Arial"/>
          <w:sz w:val="24"/>
          <w:szCs w:val="24"/>
        </w:rPr>
        <w:t xml:space="preserve">service specification. </w:t>
      </w:r>
    </w:p>
    <w:p w:rsidR="00027868" w:rsidRPr="0086487B" w:rsidRDefault="00027868" w:rsidP="00731A2D">
      <w:pPr>
        <w:tabs>
          <w:tab w:val="left" w:pos="540"/>
        </w:tabs>
        <w:spacing w:before="240"/>
        <w:rPr>
          <w:rFonts w:cs="Arial"/>
          <w:b/>
          <w:sz w:val="24"/>
          <w:szCs w:val="24"/>
        </w:rPr>
      </w:pPr>
      <w:bookmarkStart w:id="17" w:name="_Toc215319140"/>
      <w:bookmarkEnd w:id="16"/>
      <w:r w:rsidRPr="0086487B">
        <w:rPr>
          <w:rFonts w:cs="Arial"/>
          <w:b/>
          <w:sz w:val="24"/>
          <w:szCs w:val="24"/>
        </w:rPr>
        <w:t>3.</w:t>
      </w:r>
      <w:r w:rsidRPr="0086487B">
        <w:rPr>
          <w:rFonts w:cs="Arial"/>
          <w:b/>
          <w:sz w:val="24"/>
          <w:szCs w:val="24"/>
        </w:rPr>
        <w:tab/>
        <w:t>Service Users</w:t>
      </w:r>
      <w:bookmarkEnd w:id="17"/>
    </w:p>
    <w:p w:rsidR="00396EAA" w:rsidRPr="0086487B" w:rsidRDefault="005D1348" w:rsidP="00396EAA">
      <w:pPr>
        <w:spacing w:before="120"/>
        <w:rPr>
          <w:rFonts w:cs="Arial"/>
          <w:sz w:val="24"/>
          <w:szCs w:val="24"/>
        </w:rPr>
      </w:pPr>
      <w:r w:rsidRPr="0086487B">
        <w:rPr>
          <w:rFonts w:cs="Arial"/>
          <w:sz w:val="24"/>
          <w:szCs w:val="24"/>
        </w:rPr>
        <w:t xml:space="preserve">The </w:t>
      </w:r>
      <w:r w:rsidR="00CA5D7B" w:rsidRPr="0086487B">
        <w:rPr>
          <w:rFonts w:cs="Arial"/>
          <w:sz w:val="24"/>
          <w:szCs w:val="24"/>
        </w:rPr>
        <w:t>Service User</w:t>
      </w:r>
      <w:r w:rsidRPr="0086487B">
        <w:rPr>
          <w:rFonts w:cs="Arial"/>
          <w:sz w:val="24"/>
          <w:szCs w:val="24"/>
        </w:rPr>
        <w:t xml:space="preserve">s may be of all ages. </w:t>
      </w:r>
      <w:r w:rsidR="004E0BAF" w:rsidRPr="0086487B">
        <w:rPr>
          <w:rFonts w:cs="Arial"/>
          <w:sz w:val="24"/>
          <w:szCs w:val="24"/>
        </w:rPr>
        <w:t xml:space="preserve"> </w:t>
      </w:r>
      <w:r w:rsidRPr="0086487B">
        <w:rPr>
          <w:rFonts w:cs="Arial"/>
          <w:sz w:val="24"/>
          <w:szCs w:val="24"/>
        </w:rPr>
        <w:t xml:space="preserve">Where </w:t>
      </w:r>
      <w:r w:rsidR="004E0BAF" w:rsidRPr="0086487B">
        <w:rPr>
          <w:rFonts w:cs="Arial"/>
          <w:sz w:val="24"/>
          <w:szCs w:val="24"/>
        </w:rPr>
        <w:t>the S</w:t>
      </w:r>
      <w:r w:rsidRPr="0086487B">
        <w:rPr>
          <w:rFonts w:cs="Arial"/>
          <w:sz w:val="24"/>
          <w:szCs w:val="24"/>
        </w:rPr>
        <w:t xml:space="preserve">ervice is to be provided specifically for children, adolescents and youth, refer to </w:t>
      </w:r>
      <w:r w:rsidR="004E0BAF" w:rsidRPr="0086487B">
        <w:rPr>
          <w:rFonts w:cs="Arial"/>
          <w:sz w:val="24"/>
          <w:szCs w:val="24"/>
        </w:rPr>
        <w:t>the t</w:t>
      </w:r>
      <w:r w:rsidRPr="0086487B">
        <w:rPr>
          <w:rFonts w:cs="Arial"/>
          <w:sz w:val="24"/>
          <w:szCs w:val="24"/>
        </w:rPr>
        <w:t xml:space="preserve">ier </w:t>
      </w:r>
      <w:r w:rsidR="004E0BAF" w:rsidRPr="0086487B">
        <w:rPr>
          <w:rFonts w:cs="Arial"/>
          <w:sz w:val="24"/>
          <w:szCs w:val="24"/>
        </w:rPr>
        <w:t>two</w:t>
      </w:r>
      <w:r w:rsidRPr="0086487B">
        <w:rPr>
          <w:rFonts w:cs="Arial"/>
          <w:sz w:val="24"/>
          <w:szCs w:val="24"/>
        </w:rPr>
        <w:t xml:space="preserve"> Infant, Child, Adolescent and Youth service specification.</w:t>
      </w:r>
    </w:p>
    <w:p w:rsidR="00027868" w:rsidRPr="0086487B" w:rsidRDefault="00027868" w:rsidP="00C879D6">
      <w:pPr>
        <w:tabs>
          <w:tab w:val="left" w:pos="540"/>
        </w:tabs>
        <w:spacing w:before="240" w:after="120"/>
        <w:rPr>
          <w:rFonts w:cs="Arial"/>
          <w:b/>
          <w:sz w:val="24"/>
          <w:szCs w:val="24"/>
        </w:rPr>
      </w:pPr>
      <w:bookmarkStart w:id="18" w:name="_Toc215319141"/>
      <w:r w:rsidRPr="0086487B">
        <w:rPr>
          <w:rFonts w:cs="Arial"/>
          <w:b/>
          <w:sz w:val="24"/>
          <w:szCs w:val="24"/>
        </w:rPr>
        <w:t>4.</w:t>
      </w:r>
      <w:r w:rsidRPr="0086487B">
        <w:rPr>
          <w:rFonts w:cs="Arial"/>
          <w:b/>
          <w:sz w:val="24"/>
          <w:szCs w:val="24"/>
        </w:rPr>
        <w:tab/>
        <w:t>Access</w:t>
      </w:r>
      <w:bookmarkEnd w:id="18"/>
    </w:p>
    <w:p w:rsidR="00027868" w:rsidRPr="0086487B" w:rsidRDefault="00027868" w:rsidP="00C879D6">
      <w:pPr>
        <w:tabs>
          <w:tab w:val="left" w:pos="570"/>
        </w:tabs>
        <w:spacing w:after="60"/>
        <w:rPr>
          <w:rFonts w:cs="Arial"/>
          <w:b/>
          <w:sz w:val="24"/>
          <w:szCs w:val="24"/>
        </w:rPr>
      </w:pPr>
      <w:bookmarkStart w:id="19" w:name="_Toc215319142"/>
      <w:r w:rsidRPr="0086487B">
        <w:rPr>
          <w:rFonts w:cs="Arial"/>
          <w:b/>
          <w:sz w:val="24"/>
          <w:szCs w:val="24"/>
        </w:rPr>
        <w:t>4.1</w:t>
      </w:r>
      <w:r w:rsidRPr="0086487B">
        <w:rPr>
          <w:rFonts w:cs="Arial"/>
          <w:b/>
          <w:sz w:val="24"/>
          <w:szCs w:val="24"/>
        </w:rPr>
        <w:tab/>
        <w:t>Entry Criteria</w:t>
      </w:r>
      <w:bookmarkEnd w:id="19"/>
      <w:r w:rsidRPr="0086487B">
        <w:rPr>
          <w:rFonts w:cs="Arial"/>
          <w:b/>
          <w:sz w:val="24"/>
          <w:szCs w:val="24"/>
        </w:rPr>
        <w:t xml:space="preserve"> </w:t>
      </w:r>
    </w:p>
    <w:p w:rsidR="00521499" w:rsidRPr="0086487B" w:rsidRDefault="00F95342" w:rsidP="00F95342">
      <w:pPr>
        <w:rPr>
          <w:rFonts w:cs="Arial"/>
          <w:sz w:val="24"/>
          <w:szCs w:val="24"/>
        </w:rPr>
      </w:pPr>
      <w:r w:rsidRPr="0086487B">
        <w:rPr>
          <w:rFonts w:cs="Arial"/>
          <w:sz w:val="24"/>
          <w:szCs w:val="24"/>
        </w:rPr>
        <w:t xml:space="preserve">Referral is from any source including </w:t>
      </w:r>
      <w:r w:rsidR="00C653E0" w:rsidRPr="0086487B">
        <w:rPr>
          <w:rFonts w:cs="Arial"/>
          <w:sz w:val="24"/>
          <w:szCs w:val="24"/>
        </w:rPr>
        <w:t>self-referral</w:t>
      </w:r>
      <w:r w:rsidRPr="0086487B">
        <w:rPr>
          <w:rFonts w:cs="Arial"/>
          <w:sz w:val="24"/>
          <w:szCs w:val="24"/>
        </w:rPr>
        <w:t>.</w:t>
      </w:r>
    </w:p>
    <w:p w:rsidR="00027868" w:rsidRPr="0086487B" w:rsidRDefault="00027868" w:rsidP="00C879D6">
      <w:pPr>
        <w:tabs>
          <w:tab w:val="left" w:pos="570"/>
        </w:tabs>
        <w:spacing w:before="240" w:after="120"/>
        <w:rPr>
          <w:rFonts w:cs="Arial"/>
          <w:b/>
          <w:sz w:val="24"/>
          <w:szCs w:val="24"/>
        </w:rPr>
      </w:pPr>
      <w:bookmarkStart w:id="20" w:name="_Toc215319145"/>
      <w:r w:rsidRPr="0086487B">
        <w:rPr>
          <w:rFonts w:cs="Arial"/>
          <w:b/>
          <w:sz w:val="24"/>
          <w:szCs w:val="24"/>
        </w:rPr>
        <w:t>5.</w:t>
      </w:r>
      <w:r w:rsidRPr="0086487B">
        <w:rPr>
          <w:rFonts w:cs="Arial"/>
          <w:b/>
          <w:sz w:val="24"/>
          <w:szCs w:val="24"/>
        </w:rPr>
        <w:tab/>
        <w:t>Service Components</w:t>
      </w:r>
      <w:bookmarkEnd w:id="20"/>
    </w:p>
    <w:p w:rsidR="00027868" w:rsidRPr="0086487B" w:rsidRDefault="00027868" w:rsidP="00C879D6">
      <w:pPr>
        <w:tabs>
          <w:tab w:val="left" w:pos="570"/>
        </w:tabs>
        <w:spacing w:after="60"/>
        <w:rPr>
          <w:rFonts w:cs="Arial"/>
          <w:b/>
          <w:sz w:val="24"/>
          <w:szCs w:val="24"/>
        </w:rPr>
      </w:pPr>
      <w:bookmarkStart w:id="21" w:name="_Toc215319146"/>
      <w:r w:rsidRPr="0086487B">
        <w:rPr>
          <w:rFonts w:cs="Arial"/>
          <w:b/>
          <w:sz w:val="24"/>
          <w:szCs w:val="24"/>
        </w:rPr>
        <w:t>5.1</w:t>
      </w:r>
      <w:r w:rsidRPr="0086487B">
        <w:rPr>
          <w:rFonts w:cs="Arial"/>
          <w:b/>
          <w:sz w:val="24"/>
          <w:szCs w:val="24"/>
        </w:rPr>
        <w:tab/>
        <w:t>Processes</w:t>
      </w:r>
      <w:bookmarkEnd w:id="21"/>
    </w:p>
    <w:p w:rsidR="005B4A5C" w:rsidRPr="0086487B" w:rsidRDefault="005B4A5C" w:rsidP="005B4A5C">
      <w:pPr>
        <w:spacing w:after="60"/>
        <w:rPr>
          <w:rFonts w:cs="Arial"/>
          <w:sz w:val="24"/>
          <w:szCs w:val="24"/>
        </w:rPr>
      </w:pPr>
      <w:r w:rsidRPr="0086487B">
        <w:rPr>
          <w:rFonts w:cs="Arial"/>
          <w:sz w:val="24"/>
          <w:szCs w:val="24"/>
        </w:rPr>
        <w:t xml:space="preserve">The processes include but are not limited to the following: engagement; assessment, information provision, consultation, liaison, advocacy, support, review process </w:t>
      </w:r>
      <w:r w:rsidR="00B255F9" w:rsidRPr="0086487B">
        <w:rPr>
          <w:rFonts w:cs="Arial"/>
          <w:sz w:val="24"/>
          <w:szCs w:val="24"/>
        </w:rPr>
        <w:t xml:space="preserve">and </w:t>
      </w:r>
      <w:r w:rsidRPr="0086487B">
        <w:rPr>
          <w:rFonts w:cs="Arial"/>
          <w:sz w:val="24"/>
          <w:szCs w:val="24"/>
        </w:rPr>
        <w:t>discharge</w:t>
      </w:r>
    </w:p>
    <w:p w:rsidR="00027868" w:rsidRPr="0086487B" w:rsidRDefault="00027868" w:rsidP="00027868">
      <w:pPr>
        <w:tabs>
          <w:tab w:val="left" w:pos="570"/>
        </w:tabs>
        <w:spacing w:before="120" w:after="60"/>
        <w:rPr>
          <w:rFonts w:cs="Arial"/>
          <w:b/>
          <w:sz w:val="24"/>
          <w:szCs w:val="24"/>
        </w:rPr>
      </w:pPr>
      <w:bookmarkStart w:id="22" w:name="_Toc215319147"/>
      <w:r w:rsidRPr="0086487B">
        <w:rPr>
          <w:rFonts w:cs="Arial"/>
          <w:b/>
          <w:sz w:val="24"/>
          <w:szCs w:val="24"/>
        </w:rPr>
        <w:t>5.2</w:t>
      </w:r>
      <w:r w:rsidRPr="0086487B">
        <w:rPr>
          <w:rFonts w:cs="Arial"/>
          <w:b/>
          <w:sz w:val="24"/>
          <w:szCs w:val="24"/>
        </w:rPr>
        <w:tab/>
        <w:t>Settings</w:t>
      </w:r>
      <w:bookmarkEnd w:id="22"/>
    </w:p>
    <w:p w:rsidR="00027868" w:rsidRPr="0086487B" w:rsidRDefault="00027868" w:rsidP="00027868">
      <w:pPr>
        <w:spacing w:before="120"/>
        <w:rPr>
          <w:rFonts w:cs="Arial"/>
          <w:sz w:val="24"/>
          <w:szCs w:val="24"/>
        </w:rPr>
      </w:pPr>
      <w:r w:rsidRPr="0086487B">
        <w:rPr>
          <w:rFonts w:cs="Arial"/>
          <w:sz w:val="24"/>
          <w:szCs w:val="24"/>
        </w:rPr>
        <w:t xml:space="preserve">The Service </w:t>
      </w:r>
      <w:r w:rsidR="00D2418D" w:rsidRPr="0086487B">
        <w:rPr>
          <w:rFonts w:cs="Arial"/>
          <w:sz w:val="24"/>
          <w:szCs w:val="24"/>
        </w:rPr>
        <w:t>may be</w:t>
      </w:r>
      <w:r w:rsidRPr="0086487B">
        <w:rPr>
          <w:rFonts w:cs="Arial"/>
          <w:sz w:val="24"/>
          <w:szCs w:val="24"/>
        </w:rPr>
        <w:t xml:space="preserve"> provided in community</w:t>
      </w:r>
      <w:r w:rsidR="00DD7388" w:rsidRPr="0086487B">
        <w:rPr>
          <w:rFonts w:cs="Arial"/>
          <w:sz w:val="24"/>
          <w:szCs w:val="24"/>
        </w:rPr>
        <w:t xml:space="preserve">, </w:t>
      </w:r>
      <w:r w:rsidR="009F2AD4" w:rsidRPr="0086487B">
        <w:rPr>
          <w:rFonts w:cs="Arial"/>
          <w:sz w:val="24"/>
          <w:szCs w:val="24"/>
        </w:rPr>
        <w:t xml:space="preserve">home </w:t>
      </w:r>
      <w:r w:rsidRPr="0086487B">
        <w:rPr>
          <w:rFonts w:cs="Arial"/>
          <w:sz w:val="24"/>
          <w:szCs w:val="24"/>
        </w:rPr>
        <w:t xml:space="preserve">and hospital based settings. </w:t>
      </w:r>
    </w:p>
    <w:p w:rsidR="00027868" w:rsidRPr="0086487B" w:rsidRDefault="00027868" w:rsidP="00C879D6">
      <w:pPr>
        <w:tabs>
          <w:tab w:val="left" w:pos="570"/>
        </w:tabs>
        <w:spacing w:before="120" w:after="60"/>
        <w:rPr>
          <w:rFonts w:cs="Arial"/>
          <w:b/>
          <w:sz w:val="24"/>
          <w:szCs w:val="24"/>
        </w:rPr>
      </w:pPr>
      <w:bookmarkStart w:id="23" w:name="_Toc215319151"/>
      <w:r w:rsidRPr="0086487B">
        <w:rPr>
          <w:rFonts w:cs="Arial"/>
          <w:b/>
          <w:sz w:val="24"/>
          <w:szCs w:val="24"/>
        </w:rPr>
        <w:t>5.3</w:t>
      </w:r>
      <w:r w:rsidRPr="0086487B">
        <w:rPr>
          <w:rFonts w:cs="Arial"/>
          <w:b/>
          <w:sz w:val="24"/>
          <w:szCs w:val="24"/>
        </w:rPr>
        <w:tab/>
        <w:t xml:space="preserve">Key Inputs </w:t>
      </w:r>
      <w:bookmarkStart w:id="24" w:name="_Toc215319152"/>
      <w:bookmarkEnd w:id="23"/>
    </w:p>
    <w:p w:rsidR="00521499" w:rsidRPr="0086487B" w:rsidRDefault="00521499" w:rsidP="00521499">
      <w:pPr>
        <w:autoSpaceDE w:val="0"/>
        <w:autoSpaceDN w:val="0"/>
        <w:adjustRightInd w:val="0"/>
        <w:spacing w:line="240" w:lineRule="atLeast"/>
        <w:rPr>
          <w:rFonts w:cs="Arial"/>
          <w:sz w:val="24"/>
          <w:szCs w:val="24"/>
        </w:rPr>
      </w:pPr>
      <w:r w:rsidRPr="0086487B">
        <w:rPr>
          <w:rFonts w:cs="Arial"/>
          <w:sz w:val="24"/>
          <w:szCs w:val="24"/>
        </w:rPr>
        <w:t xml:space="preserve">A multi-disciplinary team of people with </w:t>
      </w:r>
      <w:r w:rsidRPr="0086487B">
        <w:rPr>
          <w:rFonts w:cs="Arial"/>
          <w:bCs/>
          <w:sz w:val="24"/>
          <w:szCs w:val="24"/>
        </w:rPr>
        <w:t xml:space="preserve">skills and experience in alcohol and other drug intervention, treatment and support, and who belong in one of the following categories: </w:t>
      </w:r>
    </w:p>
    <w:p w:rsidR="00521499" w:rsidRPr="0086487B" w:rsidRDefault="00521499" w:rsidP="00724393">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86487B">
        <w:rPr>
          <w:rFonts w:cs="Arial"/>
          <w:sz w:val="24"/>
          <w:szCs w:val="24"/>
        </w:rPr>
        <w:t>health professionals regulated by the Health Practitioners Competence Assurance Act 2003</w:t>
      </w:r>
    </w:p>
    <w:p w:rsidR="00521499" w:rsidRPr="0086487B" w:rsidRDefault="00521499" w:rsidP="00724393">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86487B">
        <w:rPr>
          <w:rFonts w:cs="Arial"/>
          <w:sz w:val="24"/>
          <w:szCs w:val="24"/>
        </w:rPr>
        <w:t xml:space="preserve">people regulated by </w:t>
      </w:r>
      <w:r w:rsidR="004E0BAF" w:rsidRPr="0086487B">
        <w:rPr>
          <w:rFonts w:cs="Arial"/>
          <w:sz w:val="24"/>
          <w:szCs w:val="24"/>
        </w:rPr>
        <w:t>the Drug and Alcohol Practitioners Association Aotearoa New Zealand</w:t>
      </w:r>
      <w:r w:rsidR="004E0BAF" w:rsidRPr="0086487B">
        <w:rPr>
          <w:rFonts w:cs="Arial"/>
        </w:rPr>
        <w:t xml:space="preserve"> (</w:t>
      </w:r>
      <w:r w:rsidR="004E0BAF" w:rsidRPr="0086487B">
        <w:rPr>
          <w:rFonts w:cs="Arial"/>
          <w:sz w:val="24"/>
          <w:szCs w:val="24"/>
        </w:rPr>
        <w:t xml:space="preserve">DAPAANZ) </w:t>
      </w:r>
      <w:r w:rsidRPr="0086487B">
        <w:rPr>
          <w:rFonts w:cs="Arial"/>
          <w:sz w:val="24"/>
          <w:szCs w:val="24"/>
        </w:rPr>
        <w:t>or another health or social service professional body</w:t>
      </w:r>
    </w:p>
    <w:p w:rsidR="00521499" w:rsidRPr="0086487B" w:rsidRDefault="00521499" w:rsidP="00724393">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86487B">
        <w:rPr>
          <w:rFonts w:cs="Arial"/>
          <w:sz w:val="24"/>
          <w:szCs w:val="24"/>
        </w:rPr>
        <w:t xml:space="preserve">people who interact with </w:t>
      </w:r>
      <w:r w:rsidR="00CA5D7B" w:rsidRPr="0086487B">
        <w:rPr>
          <w:rFonts w:cs="Arial"/>
          <w:sz w:val="24"/>
          <w:szCs w:val="24"/>
        </w:rPr>
        <w:t>Service User</w:t>
      </w:r>
      <w:r w:rsidRPr="0086487B">
        <w:rPr>
          <w:rFonts w:cs="Arial"/>
          <w:sz w:val="24"/>
          <w:szCs w:val="24"/>
        </w:rPr>
        <w:t xml:space="preserve">s and who are not subjected to regulatory requirements under legislation or by any other means. </w:t>
      </w:r>
    </w:p>
    <w:p w:rsidR="00DD7388" w:rsidRPr="0086487B" w:rsidRDefault="00DD7388" w:rsidP="00DD7388">
      <w:pPr>
        <w:tabs>
          <w:tab w:val="left" w:pos="570"/>
        </w:tabs>
        <w:spacing w:before="120" w:after="60"/>
        <w:rPr>
          <w:rFonts w:cs="Arial"/>
          <w:b/>
          <w:sz w:val="24"/>
          <w:szCs w:val="24"/>
        </w:rPr>
      </w:pPr>
      <w:r w:rsidRPr="0086487B">
        <w:rPr>
          <w:rFonts w:cs="Arial"/>
          <w:b/>
          <w:sz w:val="24"/>
          <w:szCs w:val="24"/>
        </w:rPr>
        <w:t>5.4.</w:t>
      </w:r>
      <w:r w:rsidRPr="0086487B">
        <w:rPr>
          <w:rFonts w:cs="Arial"/>
          <w:b/>
          <w:sz w:val="24"/>
          <w:szCs w:val="24"/>
        </w:rPr>
        <w:tab/>
        <w:t xml:space="preserve">Pacific Health </w:t>
      </w:r>
    </w:p>
    <w:p w:rsidR="00DD7388" w:rsidRPr="0086487B" w:rsidRDefault="003B7626" w:rsidP="00AE4098">
      <w:pPr>
        <w:spacing w:before="120" w:after="120"/>
        <w:rPr>
          <w:rFonts w:cs="Arial"/>
          <w:sz w:val="24"/>
          <w:szCs w:val="24"/>
        </w:rPr>
      </w:pPr>
      <w:r w:rsidRPr="0086487B">
        <w:rPr>
          <w:rFonts w:cs="Arial"/>
          <w:sz w:val="24"/>
          <w:szCs w:val="24"/>
        </w:rPr>
        <w:t>Refer to tier one Mental Health and Addiction service specification</w:t>
      </w:r>
      <w:r w:rsidR="00016DBA" w:rsidRPr="0086487B">
        <w:rPr>
          <w:rFonts w:cs="Arial"/>
          <w:sz w:val="24"/>
          <w:szCs w:val="24"/>
        </w:rPr>
        <w:t>.</w:t>
      </w:r>
    </w:p>
    <w:p w:rsidR="00027868" w:rsidRPr="0086487B" w:rsidRDefault="00027868" w:rsidP="00027868">
      <w:pPr>
        <w:tabs>
          <w:tab w:val="left" w:pos="570"/>
        </w:tabs>
        <w:spacing w:before="240" w:after="120"/>
        <w:rPr>
          <w:rFonts w:cs="Arial"/>
          <w:b/>
          <w:sz w:val="24"/>
          <w:szCs w:val="24"/>
        </w:rPr>
      </w:pPr>
      <w:bookmarkStart w:id="25" w:name="_Toc215319155"/>
      <w:bookmarkEnd w:id="24"/>
      <w:r w:rsidRPr="0086487B">
        <w:rPr>
          <w:rFonts w:cs="Arial"/>
          <w:b/>
          <w:sz w:val="24"/>
          <w:szCs w:val="24"/>
        </w:rPr>
        <w:t>6.</w:t>
      </w:r>
      <w:r w:rsidRPr="0086487B">
        <w:rPr>
          <w:rFonts w:cs="Arial"/>
          <w:b/>
          <w:sz w:val="24"/>
          <w:szCs w:val="24"/>
        </w:rPr>
        <w:tab/>
        <w:t>Service Linkages</w:t>
      </w:r>
      <w:bookmarkEnd w:id="25"/>
    </w:p>
    <w:p w:rsidR="005B4A5C" w:rsidRPr="0086487B" w:rsidRDefault="005B4A5C" w:rsidP="005B4A5C">
      <w:pPr>
        <w:spacing w:before="120" w:after="120"/>
        <w:rPr>
          <w:rFonts w:cs="Arial"/>
          <w:sz w:val="24"/>
          <w:szCs w:val="24"/>
        </w:rPr>
      </w:pPr>
      <w:bookmarkStart w:id="26" w:name="_Toc215319158"/>
      <w:bookmarkStart w:id="27" w:name="_Toc215319164"/>
      <w:r w:rsidRPr="0086487B">
        <w:rPr>
          <w:rFonts w:cs="Arial"/>
          <w:sz w:val="24"/>
          <w:szCs w:val="24"/>
        </w:rPr>
        <w:t xml:space="preserve">Linkages </w:t>
      </w:r>
      <w:bookmarkEnd w:id="26"/>
      <w:r w:rsidRPr="0086487B">
        <w:rPr>
          <w:rFonts w:cs="Arial"/>
          <w:sz w:val="24"/>
          <w:szCs w:val="24"/>
        </w:rPr>
        <w:t xml:space="preserve">are as described in Mental Health and Addiction Services tier one and </w:t>
      </w:r>
      <w:r w:rsidR="003C1A63" w:rsidRPr="0086487B">
        <w:rPr>
          <w:rFonts w:cs="Arial"/>
          <w:sz w:val="24"/>
          <w:szCs w:val="24"/>
        </w:rPr>
        <w:t>Addiction</w:t>
      </w:r>
      <w:r w:rsidRPr="0086487B">
        <w:rPr>
          <w:rFonts w:cs="Arial"/>
          <w:sz w:val="24"/>
          <w:szCs w:val="24"/>
        </w:rPr>
        <w:t xml:space="preserve"> tier two service specifications</w:t>
      </w:r>
      <w:r w:rsidR="00016DBA" w:rsidRPr="0086487B">
        <w:rPr>
          <w:rFonts w:cs="Arial"/>
          <w:sz w:val="24"/>
          <w:szCs w:val="24"/>
        </w:rPr>
        <w:t>.</w:t>
      </w:r>
      <w:r w:rsidRPr="0086487B">
        <w:rPr>
          <w:rFonts w:cs="Arial"/>
          <w:sz w:val="24"/>
          <w:szCs w:val="24"/>
        </w:rPr>
        <w:t xml:space="preserve"> </w:t>
      </w:r>
    </w:p>
    <w:p w:rsidR="00B01976" w:rsidRDefault="00B01976">
      <w:pPr>
        <w:rPr>
          <w:rFonts w:cs="Arial"/>
          <w:b/>
          <w:sz w:val="24"/>
          <w:szCs w:val="24"/>
        </w:rPr>
      </w:pPr>
      <w:r>
        <w:rPr>
          <w:rFonts w:cs="Arial"/>
          <w:b/>
          <w:sz w:val="24"/>
          <w:szCs w:val="24"/>
        </w:rPr>
        <w:br w:type="page"/>
      </w:r>
    </w:p>
    <w:p w:rsidR="00027868" w:rsidRPr="0086487B" w:rsidRDefault="00027868" w:rsidP="00E95136">
      <w:pPr>
        <w:tabs>
          <w:tab w:val="left" w:pos="570"/>
        </w:tabs>
        <w:spacing w:before="240" w:after="120"/>
        <w:rPr>
          <w:rFonts w:cs="Arial"/>
          <w:b/>
          <w:sz w:val="24"/>
          <w:szCs w:val="24"/>
        </w:rPr>
      </w:pPr>
      <w:r w:rsidRPr="0086487B">
        <w:rPr>
          <w:rFonts w:cs="Arial"/>
          <w:b/>
          <w:sz w:val="24"/>
          <w:szCs w:val="24"/>
        </w:rPr>
        <w:t>7.</w:t>
      </w:r>
      <w:r w:rsidRPr="0086487B">
        <w:rPr>
          <w:rFonts w:cs="Arial"/>
          <w:b/>
          <w:sz w:val="24"/>
          <w:szCs w:val="24"/>
        </w:rPr>
        <w:tab/>
      </w:r>
      <w:bookmarkStart w:id="28" w:name="_Toc215319172"/>
      <w:bookmarkEnd w:id="27"/>
      <w:r w:rsidRPr="0086487B">
        <w:rPr>
          <w:rFonts w:cs="Arial"/>
          <w:b/>
          <w:sz w:val="24"/>
          <w:szCs w:val="24"/>
        </w:rPr>
        <w:t>Purchase Units and Reporting Requirements</w:t>
      </w:r>
      <w:bookmarkEnd w:id="28"/>
    </w:p>
    <w:p w:rsidR="005B4A5C" w:rsidRPr="0086487B" w:rsidRDefault="00E95136" w:rsidP="00AA2F99">
      <w:pPr>
        <w:tabs>
          <w:tab w:val="left" w:pos="567"/>
          <w:tab w:val="left" w:pos="709"/>
          <w:tab w:val="left" w:pos="1701"/>
          <w:tab w:val="left" w:pos="2693"/>
        </w:tabs>
        <w:spacing w:after="120"/>
        <w:rPr>
          <w:rFonts w:cs="Arial"/>
          <w:sz w:val="24"/>
          <w:szCs w:val="24"/>
        </w:rPr>
      </w:pPr>
      <w:bookmarkStart w:id="29" w:name="_Toc215319173"/>
      <w:r>
        <w:rPr>
          <w:rFonts w:cs="Arial"/>
          <w:b/>
          <w:sz w:val="24"/>
          <w:szCs w:val="24"/>
        </w:rPr>
        <w:t>7</w:t>
      </w:r>
      <w:r w:rsidR="00EE3578" w:rsidRPr="0086487B">
        <w:rPr>
          <w:rFonts w:cs="Arial"/>
          <w:b/>
          <w:sz w:val="24"/>
          <w:szCs w:val="24"/>
        </w:rPr>
        <w:t>.1</w:t>
      </w:r>
      <w:r w:rsidR="00F97C42" w:rsidRPr="0086487B">
        <w:rPr>
          <w:rFonts w:cs="Arial"/>
          <w:b/>
          <w:sz w:val="24"/>
          <w:szCs w:val="24"/>
        </w:rPr>
        <w:tab/>
      </w:r>
      <w:r w:rsidR="00027868" w:rsidRPr="0086487B">
        <w:rPr>
          <w:rFonts w:cs="Arial"/>
          <w:sz w:val="24"/>
          <w:szCs w:val="24"/>
        </w:rPr>
        <w:t>Purchase Unit</w:t>
      </w:r>
      <w:r>
        <w:rPr>
          <w:rFonts w:cs="Arial"/>
          <w:sz w:val="24"/>
          <w:szCs w:val="24"/>
        </w:rPr>
        <w:t xml:space="preserve"> (PU) codes</w:t>
      </w:r>
      <w:r w:rsidR="00027868" w:rsidRPr="0086487B">
        <w:rPr>
          <w:rFonts w:cs="Arial"/>
          <w:sz w:val="24"/>
          <w:szCs w:val="24"/>
        </w:rPr>
        <w:t xml:space="preserve"> are defined in </w:t>
      </w:r>
      <w:r>
        <w:rPr>
          <w:rFonts w:cs="Arial"/>
          <w:sz w:val="24"/>
          <w:szCs w:val="24"/>
        </w:rPr>
        <w:t>the</w:t>
      </w:r>
      <w:r w:rsidR="00027868" w:rsidRPr="0086487B">
        <w:rPr>
          <w:rFonts w:cs="Arial"/>
          <w:sz w:val="24"/>
          <w:szCs w:val="24"/>
        </w:rPr>
        <w:t xml:space="preserve"> DHB and Ministry’s Nationwide Service Framework Purchase Unit Data Dictionary.  </w:t>
      </w:r>
      <w:bookmarkEnd w:id="29"/>
      <w:r w:rsidR="00B255F9" w:rsidRPr="0086487B">
        <w:rPr>
          <w:rFonts w:cs="Arial"/>
          <w:sz w:val="24"/>
          <w:szCs w:val="24"/>
        </w:rPr>
        <w:t>The following Purchase Units apply to this Service.</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3"/>
        <w:gridCol w:w="1836"/>
        <w:gridCol w:w="5975"/>
        <w:gridCol w:w="1203"/>
      </w:tblGrid>
      <w:tr w:rsidR="00E95136" w:rsidRPr="0086487B" w:rsidTr="00EA207D">
        <w:trPr>
          <w:cantSplit/>
          <w:trHeight w:val="447"/>
          <w:tblHeader/>
        </w:trPr>
        <w:tc>
          <w:tcPr>
            <w:tcW w:w="640" w:type="pct"/>
            <w:shd w:val="clear" w:color="auto" w:fill="D9D9D9"/>
          </w:tcPr>
          <w:p w:rsidR="00E95136" w:rsidRPr="0086487B" w:rsidRDefault="00E95136" w:rsidP="005B4A5C">
            <w:pPr>
              <w:spacing w:before="120"/>
              <w:rPr>
                <w:rFonts w:cs="Arial"/>
                <w:b/>
                <w:sz w:val="20"/>
              </w:rPr>
            </w:pPr>
            <w:bookmarkStart w:id="30" w:name="_Toc215319174"/>
            <w:r w:rsidRPr="0086487B">
              <w:rPr>
                <w:rFonts w:cs="Arial"/>
                <w:b/>
                <w:sz w:val="20"/>
              </w:rPr>
              <w:t>PU Code</w:t>
            </w:r>
            <w:bookmarkEnd w:id="30"/>
          </w:p>
        </w:tc>
        <w:tc>
          <w:tcPr>
            <w:tcW w:w="888" w:type="pct"/>
            <w:shd w:val="clear" w:color="auto" w:fill="D9D9D9"/>
          </w:tcPr>
          <w:p w:rsidR="00E95136" w:rsidRPr="0086487B" w:rsidRDefault="00E95136" w:rsidP="005B4A5C">
            <w:pPr>
              <w:spacing w:before="120"/>
              <w:rPr>
                <w:rFonts w:cs="Arial"/>
                <w:b/>
                <w:sz w:val="20"/>
              </w:rPr>
            </w:pPr>
            <w:bookmarkStart w:id="31" w:name="_Toc215319175"/>
            <w:r w:rsidRPr="0086487B">
              <w:rPr>
                <w:rFonts w:cs="Arial"/>
                <w:b/>
                <w:sz w:val="20"/>
              </w:rPr>
              <w:t>PU Description</w:t>
            </w:r>
            <w:bookmarkEnd w:id="31"/>
          </w:p>
        </w:tc>
        <w:tc>
          <w:tcPr>
            <w:tcW w:w="2890" w:type="pct"/>
            <w:shd w:val="clear" w:color="auto" w:fill="D9D9D9"/>
          </w:tcPr>
          <w:p w:rsidR="00E95136" w:rsidRPr="0086487B" w:rsidRDefault="00E95136" w:rsidP="005B4A5C">
            <w:pPr>
              <w:spacing w:before="120"/>
              <w:rPr>
                <w:rFonts w:cs="Arial"/>
                <w:b/>
                <w:sz w:val="20"/>
              </w:rPr>
            </w:pPr>
            <w:r w:rsidRPr="0086487B">
              <w:rPr>
                <w:rFonts w:cs="Arial"/>
                <w:b/>
                <w:sz w:val="20"/>
              </w:rPr>
              <w:t>PU Definition</w:t>
            </w:r>
          </w:p>
        </w:tc>
        <w:tc>
          <w:tcPr>
            <w:tcW w:w="582" w:type="pct"/>
            <w:shd w:val="clear" w:color="auto" w:fill="D9D9D9"/>
          </w:tcPr>
          <w:p w:rsidR="00E95136" w:rsidRPr="0086487B" w:rsidRDefault="00B01976" w:rsidP="005B4A5C">
            <w:pPr>
              <w:spacing w:before="120"/>
              <w:rPr>
                <w:rFonts w:cs="Arial"/>
                <w:b/>
                <w:sz w:val="20"/>
              </w:rPr>
            </w:pPr>
            <w:bookmarkStart w:id="32" w:name="_Toc215319176"/>
            <w:r>
              <w:rPr>
                <w:rFonts w:cs="Arial"/>
                <w:b/>
                <w:sz w:val="20"/>
              </w:rPr>
              <w:t xml:space="preserve">Unit of </w:t>
            </w:r>
            <w:r w:rsidR="00E95136" w:rsidRPr="0086487B">
              <w:rPr>
                <w:rFonts w:cs="Arial"/>
                <w:b/>
                <w:sz w:val="20"/>
              </w:rPr>
              <w:t>Measure</w:t>
            </w:r>
            <w:bookmarkEnd w:id="32"/>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MHD72A</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 xml:space="preserve">Early intervention and other drug service adults – Senior medical staff </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adults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The service is provided by senior medical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FTE</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MHD72B</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Early intervention and other drug service adults – Junior medical staff</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adults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The service is provided by junior medical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FTE</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MHD72C</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Early intervention &amp; other drug service adults  Nursing &amp; allied health staff</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adults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Service is provided by nursing and allied health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smartTag w:uri="urn:schemas-microsoft-com:office:smarttags" w:element="stockticker">
              <w:r w:rsidRPr="0086487B">
                <w:rPr>
                  <w:rFonts w:cs="Arial"/>
                  <w:sz w:val="20"/>
                </w:rPr>
                <w:t>FTE</w:t>
              </w:r>
            </w:smartTag>
            <w:r w:rsidRPr="0086487B">
              <w:rPr>
                <w:rFonts w:cs="Arial"/>
                <w:sz w:val="20"/>
              </w:rPr>
              <w:t xml:space="preserve"> </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MHD72D</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Early intervention and other drug service adults – Non-clinical staff</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adults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Service is provided by non-clinical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smartTag w:uri="urn:schemas-microsoft-com:office:smarttags" w:element="stockticker">
              <w:r w:rsidRPr="0086487B">
                <w:rPr>
                  <w:rFonts w:cs="Arial"/>
                  <w:sz w:val="20"/>
                </w:rPr>
                <w:t>FTE</w:t>
              </w:r>
            </w:smartTag>
            <w:r w:rsidRPr="0086487B">
              <w:rPr>
                <w:rFonts w:cs="Arial"/>
                <w:sz w:val="20"/>
              </w:rPr>
              <w:t xml:space="preserve"> </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MHDI72A</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Early intervention &amp; other drug service child adolescent youth – Snr med staff</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children adolescents and youth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Service is provided by senior medical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smartTag w:uri="urn:schemas-microsoft-com:office:smarttags" w:element="stockticker">
              <w:r w:rsidRPr="0086487B">
                <w:rPr>
                  <w:rFonts w:cs="Arial"/>
                  <w:sz w:val="20"/>
                </w:rPr>
                <w:t>FTE</w:t>
              </w:r>
            </w:smartTag>
            <w:r w:rsidRPr="0086487B">
              <w:rPr>
                <w:rFonts w:cs="Arial"/>
                <w:sz w:val="20"/>
              </w:rPr>
              <w:t xml:space="preserve"> </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MHDI72B</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Early intervention and other drug service child adolescent youth – Jnr med staff</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children adolescents and youth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The service is provided by junior medical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smartTag w:uri="urn:schemas-microsoft-com:office:smarttags" w:element="stockticker">
              <w:r w:rsidRPr="0086487B">
                <w:rPr>
                  <w:rFonts w:cs="Arial"/>
                  <w:sz w:val="20"/>
                </w:rPr>
                <w:t>FTE</w:t>
              </w:r>
            </w:smartTag>
            <w:r w:rsidRPr="0086487B">
              <w:rPr>
                <w:rFonts w:cs="Arial"/>
                <w:sz w:val="20"/>
              </w:rPr>
              <w:t xml:space="preserve"> </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 xml:space="preserve">MHDI72C </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r w:rsidRPr="0086487B">
              <w:rPr>
                <w:rFonts w:cs="Arial"/>
                <w:sz w:val="20"/>
              </w:rPr>
              <w:t>Early intervention &amp; other drug service child adolescent youth – Nurses &amp; allied health</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children adolescents and youth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The service is provided by nursing and allied health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8953F0">
            <w:pPr>
              <w:rPr>
                <w:rFonts w:cs="Arial"/>
                <w:sz w:val="20"/>
              </w:rPr>
            </w:pPr>
            <w:smartTag w:uri="urn:schemas-microsoft-com:office:smarttags" w:element="stockticker">
              <w:r w:rsidRPr="0086487B">
                <w:rPr>
                  <w:rFonts w:cs="Arial"/>
                  <w:sz w:val="20"/>
                </w:rPr>
                <w:t>FTE</w:t>
              </w:r>
            </w:smartTag>
            <w:r w:rsidRPr="0086487B">
              <w:rPr>
                <w:rFonts w:cs="Arial"/>
                <w:sz w:val="20"/>
              </w:rPr>
              <w:t xml:space="preserve"> </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rPr>
                <w:rFonts w:cs="Arial"/>
                <w:sz w:val="20"/>
              </w:rPr>
            </w:pPr>
            <w:r w:rsidRPr="0086487B">
              <w:rPr>
                <w:rFonts w:cs="Arial"/>
                <w:sz w:val="20"/>
              </w:rPr>
              <w:t>MHDI72D</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rPr>
                <w:rFonts w:cs="Arial"/>
                <w:sz w:val="20"/>
              </w:rPr>
            </w:pPr>
            <w:r w:rsidRPr="0086487B">
              <w:rPr>
                <w:rFonts w:cs="Arial"/>
                <w:sz w:val="20"/>
              </w:rPr>
              <w:t>Early intervention &amp; other drug service child adolescent youth – non-clinical staff</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children adolescents and youth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 The service is provided by non-clinical staff.</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rPr>
                <w:rFonts w:cs="Arial"/>
                <w:sz w:val="20"/>
              </w:rPr>
            </w:pPr>
            <w:smartTag w:uri="urn:schemas-microsoft-com:office:smarttags" w:element="stockticker">
              <w:r w:rsidRPr="0086487B">
                <w:rPr>
                  <w:rFonts w:cs="Arial"/>
                  <w:sz w:val="20"/>
                </w:rPr>
                <w:t>FTE</w:t>
              </w:r>
            </w:smartTag>
            <w:r w:rsidRPr="0086487B">
              <w:rPr>
                <w:rFonts w:cs="Arial"/>
                <w:sz w:val="20"/>
              </w:rPr>
              <w:t xml:space="preserve"> </w:t>
            </w:r>
          </w:p>
        </w:tc>
      </w:tr>
      <w:tr w:rsidR="00E95136" w:rsidRPr="0086487B" w:rsidTr="00EA207D">
        <w:trPr>
          <w:cantSplit/>
        </w:trPr>
        <w:tc>
          <w:tcPr>
            <w:tcW w:w="640" w:type="pct"/>
            <w:tcBorders>
              <w:top w:val="single" w:sz="4" w:space="0" w:color="auto"/>
              <w:left w:val="single" w:sz="4" w:space="0" w:color="auto"/>
              <w:bottom w:val="single" w:sz="4" w:space="0" w:color="auto"/>
              <w:right w:val="single" w:sz="4" w:space="0" w:color="auto"/>
            </w:tcBorders>
          </w:tcPr>
          <w:p w:rsidR="00E95136" w:rsidRPr="0086487B" w:rsidRDefault="00110428" w:rsidP="00AE4098">
            <w:pPr>
              <w:rPr>
                <w:rFonts w:cs="Arial"/>
                <w:sz w:val="20"/>
              </w:rPr>
            </w:pPr>
            <w:r>
              <w:rPr>
                <w:rFonts w:cs="Arial"/>
                <w:sz w:val="20"/>
              </w:rPr>
              <w:t>MHDI</w:t>
            </w:r>
            <w:r w:rsidR="00E95136">
              <w:rPr>
                <w:rFonts w:cs="Arial"/>
                <w:sz w:val="20"/>
              </w:rPr>
              <w:t>72S</w:t>
            </w:r>
          </w:p>
        </w:tc>
        <w:tc>
          <w:tcPr>
            <w:tcW w:w="888"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rPr>
                <w:rFonts w:cs="Arial"/>
                <w:sz w:val="20"/>
              </w:rPr>
            </w:pPr>
            <w:r w:rsidRPr="0086487B">
              <w:rPr>
                <w:rFonts w:cs="Arial"/>
                <w:sz w:val="20"/>
              </w:rPr>
              <w:t>Early intervention &amp; other drug service child adolescent youth</w:t>
            </w:r>
          </w:p>
        </w:tc>
        <w:tc>
          <w:tcPr>
            <w:tcW w:w="2890"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134"/>
                <w:tab w:val="left" w:pos="1260"/>
                <w:tab w:val="left" w:pos="1980"/>
                <w:tab w:val="left" w:pos="2700"/>
                <w:tab w:val="left" w:pos="3420"/>
                <w:tab w:val="left" w:pos="4140"/>
                <w:tab w:val="left" w:pos="4860"/>
                <w:tab w:val="left" w:pos="5580"/>
                <w:tab w:val="left" w:pos="6300"/>
                <w:tab w:val="left" w:pos="7020"/>
                <w:tab w:val="left" w:pos="7740"/>
                <w:tab w:val="left" w:pos="8460"/>
              </w:tabs>
              <w:rPr>
                <w:rFonts w:cs="Arial"/>
                <w:sz w:val="20"/>
              </w:rPr>
            </w:pPr>
            <w:r w:rsidRPr="0086487B">
              <w:rPr>
                <w:rFonts w:cs="Arial"/>
                <w:sz w:val="20"/>
              </w:rPr>
              <w:t>Service specifically for children adolescents and youth early in the course of developing alcohol and other drug problems. This includes identification, assessment and interventions for co-existing addiction and mental health issues.  The Service aims to shorten the course and decrease the severity of the problems, thereby minimising the complications that may arise.</w:t>
            </w:r>
          </w:p>
        </w:tc>
        <w:tc>
          <w:tcPr>
            <w:tcW w:w="582" w:type="pct"/>
            <w:tcBorders>
              <w:top w:val="single" w:sz="4" w:space="0" w:color="auto"/>
              <w:left w:val="single" w:sz="4" w:space="0" w:color="auto"/>
              <w:bottom w:val="single" w:sz="4" w:space="0" w:color="auto"/>
              <w:right w:val="single" w:sz="4" w:space="0" w:color="auto"/>
            </w:tcBorders>
          </w:tcPr>
          <w:p w:rsidR="00E95136" w:rsidRPr="0086487B" w:rsidRDefault="00E95136" w:rsidP="00AE4098">
            <w:pPr>
              <w:rPr>
                <w:rFonts w:cs="Arial"/>
                <w:sz w:val="20"/>
              </w:rPr>
            </w:pPr>
            <w:r>
              <w:rPr>
                <w:rFonts w:cs="Arial"/>
                <w:sz w:val="20"/>
              </w:rPr>
              <w:t>Service</w:t>
            </w:r>
          </w:p>
        </w:tc>
      </w:tr>
    </w:tbl>
    <w:p w:rsidR="00F97C42" w:rsidRDefault="00F97C42" w:rsidP="001F7E70">
      <w:pPr>
        <w:spacing w:before="120" w:after="120"/>
        <w:jc w:val="both"/>
        <w:rPr>
          <w:rFonts w:cs="Arial"/>
          <w:b/>
          <w:sz w:val="24"/>
          <w:szCs w:val="24"/>
        </w:rPr>
      </w:pPr>
      <w:bookmarkStart w:id="33" w:name="_Toc215319179"/>
    </w:p>
    <w:tbl>
      <w:tblPr>
        <w:tblStyle w:val="TableGrid"/>
        <w:tblW w:w="9527" w:type="dxa"/>
        <w:tblInd w:w="-34" w:type="dxa"/>
        <w:tblLook w:val="04A0" w:firstRow="1" w:lastRow="0" w:firstColumn="1" w:lastColumn="0" w:noHBand="0" w:noVBand="1"/>
      </w:tblPr>
      <w:tblGrid>
        <w:gridCol w:w="2156"/>
        <w:gridCol w:w="7371"/>
      </w:tblGrid>
      <w:tr w:rsidR="00E95136" w:rsidRPr="00733B37" w:rsidTr="0037152D">
        <w:tc>
          <w:tcPr>
            <w:tcW w:w="2156" w:type="dxa"/>
            <w:shd w:val="clear" w:color="auto" w:fill="D9D9D9" w:themeFill="background1" w:themeFillShade="D9"/>
          </w:tcPr>
          <w:p w:rsidR="00E95136" w:rsidRPr="00AE4098" w:rsidRDefault="00E95136" w:rsidP="0074114C">
            <w:pPr>
              <w:spacing w:before="120"/>
              <w:rPr>
                <w:rFonts w:cs="Arial"/>
                <w:b/>
                <w:sz w:val="20"/>
              </w:rPr>
            </w:pPr>
            <w:r w:rsidRPr="00AE4098">
              <w:rPr>
                <w:rFonts w:cs="Arial"/>
                <w:b/>
                <w:sz w:val="20"/>
              </w:rPr>
              <w:t>Unit of Measure</w:t>
            </w:r>
          </w:p>
        </w:tc>
        <w:tc>
          <w:tcPr>
            <w:tcW w:w="7371" w:type="dxa"/>
            <w:shd w:val="clear" w:color="auto" w:fill="D9D9D9" w:themeFill="background1" w:themeFillShade="D9"/>
          </w:tcPr>
          <w:p w:rsidR="00E95136" w:rsidRPr="00AE4098" w:rsidRDefault="00E95136" w:rsidP="0074114C">
            <w:pPr>
              <w:spacing w:before="120"/>
              <w:rPr>
                <w:rFonts w:cs="Arial"/>
                <w:b/>
                <w:sz w:val="20"/>
              </w:rPr>
            </w:pPr>
            <w:r w:rsidRPr="00AE4098">
              <w:rPr>
                <w:rFonts w:cs="Arial"/>
                <w:b/>
                <w:sz w:val="20"/>
              </w:rPr>
              <w:t>Unit of Measure Definition</w:t>
            </w:r>
          </w:p>
        </w:tc>
      </w:tr>
      <w:tr w:rsidR="00E95136" w:rsidRPr="00733B37" w:rsidTr="0037152D">
        <w:tc>
          <w:tcPr>
            <w:tcW w:w="2156" w:type="dxa"/>
          </w:tcPr>
          <w:p w:rsidR="00E95136" w:rsidRPr="00733B37" w:rsidRDefault="00E95136" w:rsidP="0074114C">
            <w:pPr>
              <w:spacing w:before="120"/>
              <w:jc w:val="both"/>
              <w:rPr>
                <w:rFonts w:cs="Arial"/>
                <w:sz w:val="20"/>
              </w:rPr>
            </w:pPr>
            <w:r w:rsidRPr="00733B37">
              <w:rPr>
                <w:rFonts w:cs="Arial"/>
                <w:sz w:val="20"/>
              </w:rPr>
              <w:t>FTE</w:t>
            </w:r>
          </w:p>
        </w:tc>
        <w:tc>
          <w:tcPr>
            <w:tcW w:w="7371" w:type="dxa"/>
          </w:tcPr>
          <w:p w:rsidR="00E95136" w:rsidRPr="00733B37" w:rsidRDefault="00E95136" w:rsidP="0074114C">
            <w:pPr>
              <w:spacing w:before="120"/>
              <w:jc w:val="both"/>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E95136" w:rsidRPr="00733B37" w:rsidTr="0037152D">
        <w:tc>
          <w:tcPr>
            <w:tcW w:w="2156" w:type="dxa"/>
          </w:tcPr>
          <w:p w:rsidR="00E95136" w:rsidRPr="00733B37" w:rsidRDefault="00E95136" w:rsidP="0074114C">
            <w:pPr>
              <w:spacing w:before="120"/>
              <w:jc w:val="both"/>
              <w:rPr>
                <w:rFonts w:cs="Arial"/>
                <w:sz w:val="20"/>
              </w:rPr>
            </w:pPr>
            <w:r w:rsidRPr="00733B37">
              <w:rPr>
                <w:rFonts w:cs="Arial"/>
                <w:sz w:val="20"/>
              </w:rPr>
              <w:t>Service</w:t>
            </w:r>
          </w:p>
        </w:tc>
        <w:tc>
          <w:tcPr>
            <w:tcW w:w="7371" w:type="dxa"/>
          </w:tcPr>
          <w:p w:rsidR="00E95136" w:rsidRPr="00733B37" w:rsidRDefault="00E95136" w:rsidP="0074114C">
            <w:pPr>
              <w:spacing w:before="120"/>
              <w:jc w:val="both"/>
              <w:rPr>
                <w:rFonts w:cs="Arial"/>
                <w:sz w:val="20"/>
              </w:rPr>
            </w:pPr>
            <w:r w:rsidRPr="00733B37">
              <w:rPr>
                <w:rFonts w:cs="Arial"/>
                <w:sz w:val="20"/>
              </w:rPr>
              <w:t>Service purchased in a block arrangement uniquely agreed between the parties to the agreement</w:t>
            </w:r>
          </w:p>
        </w:tc>
      </w:tr>
    </w:tbl>
    <w:p w:rsidR="00EE3578" w:rsidRPr="0086487B" w:rsidRDefault="00B01976" w:rsidP="00B01976">
      <w:pPr>
        <w:spacing w:before="120" w:after="120"/>
        <w:jc w:val="both"/>
        <w:rPr>
          <w:rFonts w:cs="Arial"/>
          <w:b/>
          <w:sz w:val="24"/>
          <w:szCs w:val="24"/>
        </w:rPr>
      </w:pPr>
      <w:r>
        <w:rPr>
          <w:rFonts w:cs="Arial"/>
          <w:b/>
          <w:sz w:val="24"/>
          <w:szCs w:val="24"/>
        </w:rPr>
        <w:t>7.2</w:t>
      </w:r>
      <w:r w:rsidR="00EE3578" w:rsidRPr="0086487B">
        <w:rPr>
          <w:rFonts w:cs="Arial"/>
          <w:b/>
          <w:sz w:val="24"/>
          <w:szCs w:val="24"/>
        </w:rPr>
        <w:tab/>
        <w:t>Reporting</w:t>
      </w:r>
    </w:p>
    <w:bookmarkEnd w:id="33"/>
    <w:p w:rsidR="00AE4098" w:rsidRPr="00291C5E" w:rsidRDefault="00AE4098" w:rsidP="00AE4098">
      <w:pPr>
        <w:spacing w:before="120"/>
        <w:rPr>
          <w:rFonts w:cs="Arial"/>
          <w:sz w:val="24"/>
          <w:szCs w:val="24"/>
        </w:rPr>
      </w:pPr>
      <w:r w:rsidRPr="00291C5E">
        <w:rPr>
          <w:rFonts w:cs="Arial"/>
          <w:sz w:val="24"/>
          <w:szCs w:val="24"/>
        </w:rPr>
        <w:t>The Provider must comply with the requirements of national data collections: PRIMHD.</w:t>
      </w:r>
    </w:p>
    <w:p w:rsidR="00AE4098" w:rsidRPr="00291C5E" w:rsidRDefault="00AE4098" w:rsidP="00AE4098">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AE4098" w:rsidRPr="00291C5E" w:rsidRDefault="00AE4098" w:rsidP="00AE4098">
      <w:pPr>
        <w:spacing w:before="120"/>
        <w:rPr>
          <w:rFonts w:cs="Arial"/>
          <w:sz w:val="24"/>
          <w:szCs w:val="24"/>
        </w:rPr>
      </w:pPr>
      <w:r w:rsidRPr="00291C5E">
        <w:rPr>
          <w:rFonts w:cs="Arial"/>
          <w:sz w:val="24"/>
          <w:szCs w:val="24"/>
        </w:rPr>
        <w:t>The information required by the Funder will be sent to:</w:t>
      </w:r>
    </w:p>
    <w:p w:rsidR="00AE4098" w:rsidRPr="00291C5E" w:rsidRDefault="00AE4098" w:rsidP="00AE4098">
      <w:pPr>
        <w:spacing w:before="120"/>
        <w:ind w:left="720"/>
        <w:rPr>
          <w:sz w:val="24"/>
        </w:rPr>
      </w:pPr>
      <w:r w:rsidRPr="00291C5E">
        <w:rPr>
          <w:sz w:val="24"/>
        </w:rPr>
        <w:t>Performance Reporting</w:t>
      </w:r>
    </w:p>
    <w:p w:rsidR="00AE4098" w:rsidRPr="00291C5E" w:rsidRDefault="00AE4098" w:rsidP="00AE4098">
      <w:pPr>
        <w:spacing w:before="120"/>
        <w:ind w:left="720"/>
        <w:rPr>
          <w:sz w:val="24"/>
        </w:rPr>
      </w:pPr>
      <w:r w:rsidRPr="00291C5E">
        <w:rPr>
          <w:sz w:val="24"/>
        </w:rPr>
        <w:t>Sector Operations</w:t>
      </w:r>
    </w:p>
    <w:p w:rsidR="00AE4098" w:rsidRPr="00291C5E" w:rsidRDefault="00AE4098" w:rsidP="00AE4098">
      <w:pPr>
        <w:spacing w:before="120"/>
        <w:ind w:left="720"/>
        <w:rPr>
          <w:sz w:val="24"/>
        </w:rPr>
      </w:pPr>
      <w:r w:rsidRPr="00291C5E">
        <w:rPr>
          <w:sz w:val="24"/>
        </w:rPr>
        <w:t>Ministry of Health</w:t>
      </w:r>
    </w:p>
    <w:p w:rsidR="00AE4098" w:rsidRPr="00291C5E" w:rsidRDefault="00AE4098" w:rsidP="00AE4098">
      <w:pPr>
        <w:spacing w:before="120"/>
        <w:ind w:left="720"/>
        <w:rPr>
          <w:sz w:val="24"/>
        </w:rPr>
      </w:pPr>
      <w:r w:rsidRPr="00291C5E">
        <w:rPr>
          <w:sz w:val="24"/>
        </w:rPr>
        <w:t>Private Bag 1942</w:t>
      </w:r>
    </w:p>
    <w:p w:rsidR="00AE4098" w:rsidRPr="00291C5E" w:rsidRDefault="00AE4098" w:rsidP="00AE4098">
      <w:pPr>
        <w:spacing w:before="120"/>
        <w:ind w:left="720"/>
        <w:rPr>
          <w:sz w:val="24"/>
        </w:rPr>
      </w:pPr>
      <w:r w:rsidRPr="00291C5E">
        <w:rPr>
          <w:sz w:val="24"/>
        </w:rPr>
        <w:t>Dunedin 9054</w:t>
      </w:r>
    </w:p>
    <w:p w:rsidR="00AE4098" w:rsidRPr="00291C5E" w:rsidRDefault="00AE4098" w:rsidP="00AE4098">
      <w:pPr>
        <w:spacing w:before="120"/>
        <w:rPr>
          <w:rFonts w:cs="Arial"/>
          <w:sz w:val="24"/>
          <w:szCs w:val="24"/>
        </w:rPr>
      </w:pPr>
      <w:r w:rsidRPr="00291C5E">
        <w:rPr>
          <w:rFonts w:cs="Arial"/>
          <w:sz w:val="24"/>
          <w:szCs w:val="24"/>
        </w:rPr>
        <w:t xml:space="preserve">Email </w:t>
      </w:r>
      <w:hyperlink r:id="rId9" w:history="1">
        <w:r w:rsidRPr="00291C5E">
          <w:rPr>
            <w:rFonts w:cs="Arial"/>
            <w:color w:val="0000FF"/>
            <w:sz w:val="24"/>
            <w:szCs w:val="24"/>
            <w:u w:val="single"/>
          </w:rPr>
          <w:t>performance_reporting@moh.govt.nz</w:t>
        </w:r>
      </w:hyperlink>
    </w:p>
    <w:p w:rsidR="00980A34" w:rsidRDefault="00AE4098" w:rsidP="0037152D">
      <w:pPr>
        <w:spacing w:before="120"/>
        <w:rPr>
          <w:rFonts w:ascii="Times New Roman" w:hAnsi="Times New Roman"/>
          <w:sz w:val="24"/>
          <w:szCs w:val="24"/>
          <w:lang w:val="en-AU" w:eastAsia="en-US"/>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980A34" w:rsidSect="00110428">
      <w:headerReference w:type="even" r:id="rId10"/>
      <w:footerReference w:type="even" r:id="rId11"/>
      <w:footerReference w:type="default" r:id="rId12"/>
      <w:pgSz w:w="11906" w:h="16838" w:code="9"/>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A8" w:rsidRDefault="00C624A8">
      <w:r>
        <w:separator/>
      </w:r>
    </w:p>
  </w:endnote>
  <w:endnote w:type="continuationSeparator" w:id="0">
    <w:p w:rsidR="00C624A8" w:rsidRDefault="00C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C1" w:rsidRDefault="007151C1"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1C1" w:rsidRDefault="007151C1"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C1" w:rsidRDefault="007151C1"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428">
      <w:rPr>
        <w:rStyle w:val="PageNumber"/>
        <w:noProof/>
      </w:rPr>
      <w:t>2</w:t>
    </w:r>
    <w:r>
      <w:rPr>
        <w:rStyle w:val="PageNumber"/>
      </w:rPr>
      <w:fldChar w:fldCharType="end"/>
    </w:r>
  </w:p>
  <w:p w:rsidR="007151C1" w:rsidRPr="00A82DC4" w:rsidRDefault="00731A2D" w:rsidP="00731A2D">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Mental Health and Addiction </w:t>
    </w:r>
    <w:r w:rsidR="00EA7F0E">
      <w:rPr>
        <w:rFonts w:ascii="Arial" w:hAnsi="Arial" w:cs="Arial"/>
        <w:sz w:val="20"/>
      </w:rPr>
      <w:t>S</w:t>
    </w:r>
    <w:r>
      <w:rPr>
        <w:rFonts w:ascii="Arial" w:hAnsi="Arial" w:cs="Arial"/>
        <w:sz w:val="20"/>
      </w:rPr>
      <w:t xml:space="preserve">ervices, Addiction Services- </w:t>
    </w:r>
    <w:r w:rsidR="003F6F41">
      <w:rPr>
        <w:rFonts w:ascii="Arial" w:hAnsi="Arial" w:cs="Arial"/>
        <w:sz w:val="20"/>
      </w:rPr>
      <w:t xml:space="preserve">Early Intervention </w:t>
    </w:r>
    <w:r w:rsidR="00016DBA">
      <w:rPr>
        <w:rFonts w:ascii="Arial" w:hAnsi="Arial" w:cs="Arial"/>
        <w:sz w:val="20"/>
      </w:rPr>
      <w:t>A</w:t>
    </w:r>
    <w:r w:rsidR="003F6F41">
      <w:rPr>
        <w:rFonts w:ascii="Arial" w:hAnsi="Arial" w:cs="Arial"/>
        <w:sz w:val="20"/>
      </w:rPr>
      <w:t xml:space="preserve">lcohol and </w:t>
    </w:r>
    <w:r w:rsidR="004E0BAF">
      <w:rPr>
        <w:rFonts w:ascii="Arial" w:hAnsi="Arial" w:cs="Arial"/>
        <w:sz w:val="20"/>
      </w:rPr>
      <w:t>O</w:t>
    </w:r>
    <w:r w:rsidR="003F6F41">
      <w:rPr>
        <w:rFonts w:ascii="Arial" w:hAnsi="Arial" w:cs="Arial"/>
        <w:sz w:val="20"/>
      </w:rPr>
      <w:t xml:space="preserve">ther </w:t>
    </w:r>
    <w:r w:rsidR="00016DBA">
      <w:rPr>
        <w:rFonts w:ascii="Arial" w:hAnsi="Arial" w:cs="Arial"/>
        <w:sz w:val="20"/>
      </w:rPr>
      <w:t>D</w:t>
    </w:r>
    <w:r w:rsidR="003F6F41">
      <w:rPr>
        <w:rFonts w:ascii="Arial" w:hAnsi="Arial" w:cs="Arial"/>
        <w:sz w:val="20"/>
      </w:rPr>
      <w:t>rug</w:t>
    </w:r>
    <w:r w:rsidR="007151C1">
      <w:rPr>
        <w:rFonts w:ascii="Arial" w:hAnsi="Arial" w:cs="Arial"/>
        <w:sz w:val="20"/>
      </w:rPr>
      <w:t xml:space="preserve"> </w:t>
    </w:r>
    <w:r w:rsidR="00016DBA">
      <w:rPr>
        <w:rFonts w:ascii="Arial" w:hAnsi="Arial" w:cs="Arial"/>
        <w:sz w:val="20"/>
      </w:rPr>
      <w:t>S</w:t>
    </w:r>
    <w:r w:rsidR="007151C1">
      <w:rPr>
        <w:rFonts w:ascii="Arial" w:hAnsi="Arial" w:cs="Arial"/>
        <w:sz w:val="20"/>
      </w:rPr>
      <w:t>ervice</w:t>
    </w:r>
    <w:r w:rsidR="00B255F9">
      <w:rPr>
        <w:rFonts w:ascii="Arial" w:hAnsi="Arial" w:cs="Arial"/>
        <w:sz w:val="20"/>
      </w:rPr>
      <w:t>,</w:t>
    </w:r>
    <w:r w:rsidR="007151C1">
      <w:rPr>
        <w:rFonts w:ascii="Arial" w:hAnsi="Arial" w:cs="Arial"/>
        <w:sz w:val="20"/>
      </w:rPr>
      <w:t xml:space="preserve"> </w:t>
    </w:r>
    <w:r w:rsidR="00724393">
      <w:rPr>
        <w:rFonts w:ascii="Arial" w:hAnsi="Arial" w:cs="Arial"/>
        <w:sz w:val="20"/>
      </w:rPr>
      <w:t>t</w:t>
    </w:r>
    <w:r w:rsidR="007151C1" w:rsidRPr="00A82DC4">
      <w:rPr>
        <w:rFonts w:ascii="Arial" w:hAnsi="Arial" w:cs="Arial"/>
        <w:sz w:val="20"/>
      </w:rPr>
      <w:t xml:space="preserve">ier </w:t>
    </w:r>
    <w:r w:rsidR="00724393">
      <w:rPr>
        <w:rFonts w:ascii="Arial" w:hAnsi="Arial" w:cs="Arial"/>
        <w:sz w:val="20"/>
      </w:rPr>
      <w:t>t</w:t>
    </w:r>
    <w:r w:rsidR="007151C1">
      <w:rPr>
        <w:rFonts w:ascii="Arial" w:hAnsi="Arial" w:cs="Arial"/>
        <w:sz w:val="20"/>
      </w:rPr>
      <w:t>hree</w:t>
    </w:r>
    <w:r w:rsidR="00294EBF" w:rsidRPr="00294EBF">
      <w:rPr>
        <w:rFonts w:ascii="Arial" w:hAnsi="Arial" w:cs="Arial"/>
        <w:sz w:val="20"/>
      </w:rPr>
      <w:t xml:space="preserve"> </w:t>
    </w:r>
    <w:r w:rsidR="00294EBF">
      <w:rPr>
        <w:rFonts w:ascii="Arial" w:hAnsi="Arial" w:cs="Arial"/>
        <w:sz w:val="20"/>
      </w:rPr>
      <w:t>service s</w:t>
    </w:r>
    <w:r w:rsidR="00294EBF" w:rsidRPr="00A82DC4">
      <w:rPr>
        <w:rFonts w:ascii="Arial" w:hAnsi="Arial" w:cs="Arial"/>
        <w:sz w:val="20"/>
      </w:rPr>
      <w:t>pecification</w:t>
    </w:r>
    <w:r w:rsidR="00185AA1">
      <w:rPr>
        <w:rFonts w:ascii="Arial" w:hAnsi="Arial" w:cs="Arial"/>
        <w:sz w:val="20"/>
      </w:rPr>
      <w:t xml:space="preserve"> April 2017</w:t>
    </w:r>
    <w:r w:rsidR="009C4FC8">
      <w:rPr>
        <w:rFonts w:ascii="Arial" w:hAnsi="Arial" w:cs="Arial"/>
        <w:sz w:val="20"/>
      </w:rPr>
      <w:t>.</w:t>
    </w:r>
  </w:p>
  <w:p w:rsidR="007151C1" w:rsidRDefault="007151C1"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r w:rsidR="00724393">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A8" w:rsidRDefault="00C624A8">
      <w:r>
        <w:separator/>
      </w:r>
    </w:p>
  </w:footnote>
  <w:footnote w:type="continuationSeparator" w:id="0">
    <w:p w:rsidR="00C624A8" w:rsidRDefault="00C624A8">
      <w:r>
        <w:continuationSeparator/>
      </w:r>
    </w:p>
  </w:footnote>
  <w:footnote w:id="1">
    <w:p w:rsidR="00AE4098" w:rsidRPr="006F249C" w:rsidRDefault="00AE4098" w:rsidP="00AE4098">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C1" w:rsidRDefault="001104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15:restartNumberingAfterBreak="0">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16B71"/>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4" w15:restartNumberingAfterBreak="0">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72451"/>
    <w:multiLevelType w:val="hybridMultilevel"/>
    <w:tmpl w:val="E0A4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D7414"/>
    <w:multiLevelType w:val="singleLevel"/>
    <w:tmpl w:val="6562CA54"/>
    <w:lvl w:ilvl="0">
      <w:start w:val="1"/>
      <w:numFmt w:val="bullet"/>
      <w:lvlText w:val="·"/>
      <w:legacy w:legacy="1" w:legacySpace="0" w:legacyIndent="567"/>
      <w:lvlJc w:val="left"/>
      <w:pPr>
        <w:ind w:left="567" w:hanging="567"/>
      </w:pPr>
      <w:rPr>
        <w:rFonts w:ascii="Symbol" w:hAnsi="Symbol" w:hint="default"/>
      </w:rPr>
    </w:lvl>
  </w:abstractNum>
  <w:abstractNum w:abstractNumId="11" w15:restartNumberingAfterBreak="0">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613A0"/>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21" w15:restartNumberingAfterBreak="0">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6349B"/>
    <w:multiLevelType w:val="hybridMultilevel"/>
    <w:tmpl w:val="C04E28D4"/>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23" w15:restartNumberingAfterBreak="0">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9A3447"/>
    <w:multiLevelType w:val="singleLevel"/>
    <w:tmpl w:val="A036AB80"/>
    <w:lvl w:ilvl="0">
      <w:start w:val="1"/>
      <w:numFmt w:val="bullet"/>
      <w:lvlText w:val="·"/>
      <w:legacy w:legacy="1" w:legacySpace="0" w:legacyIndent="567"/>
      <w:lvlJc w:val="left"/>
      <w:pPr>
        <w:ind w:left="567" w:hanging="567"/>
      </w:pPr>
      <w:rPr>
        <w:rFonts w:ascii="Symbol" w:hAnsi="Symbol" w:hint="default"/>
      </w:rPr>
    </w:lvl>
  </w:abstractNum>
  <w:abstractNum w:abstractNumId="28" w15:restartNumberingAfterBreak="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7"/>
  </w:num>
  <w:num w:numId="6">
    <w:abstractNumId w:val="25"/>
  </w:num>
  <w:num w:numId="7">
    <w:abstractNumId w:val="9"/>
  </w:num>
  <w:num w:numId="8">
    <w:abstractNumId w:val="23"/>
  </w:num>
  <w:num w:numId="9">
    <w:abstractNumId w:val="8"/>
  </w:num>
  <w:num w:numId="10">
    <w:abstractNumId w:val="26"/>
  </w:num>
  <w:num w:numId="11">
    <w:abstractNumId w:val="1"/>
  </w:num>
  <w:num w:numId="12">
    <w:abstractNumId w:val="2"/>
  </w:num>
  <w:num w:numId="13">
    <w:abstractNumId w:val="4"/>
  </w:num>
  <w:num w:numId="14">
    <w:abstractNumId w:val="18"/>
  </w:num>
  <w:num w:numId="15">
    <w:abstractNumId w:val="13"/>
  </w:num>
  <w:num w:numId="16">
    <w:abstractNumId w:val="19"/>
  </w:num>
  <w:num w:numId="17">
    <w:abstractNumId w:val="16"/>
  </w:num>
  <w:num w:numId="18">
    <w:abstractNumId w:val="7"/>
  </w:num>
  <w:num w:numId="19">
    <w:abstractNumId w:val="28"/>
  </w:num>
  <w:num w:numId="20">
    <w:abstractNumId w:val="21"/>
  </w:num>
  <w:num w:numId="21">
    <w:abstractNumId w:val="14"/>
  </w:num>
  <w:num w:numId="22">
    <w:abstractNumId w:val="11"/>
  </w:num>
  <w:num w:numId="23">
    <w:abstractNumId w:val="6"/>
  </w:num>
  <w:num w:numId="24">
    <w:abstractNumId w:val="22"/>
  </w:num>
  <w:num w:numId="25">
    <w:abstractNumId w:val="5"/>
  </w:num>
  <w:num w:numId="26">
    <w:abstractNumId w:val="24"/>
  </w:num>
  <w:num w:numId="27">
    <w:abstractNumId w:val="20"/>
  </w:num>
  <w:num w:numId="28">
    <w:abstractNumId w:val="3"/>
  </w:num>
  <w:num w:numId="29">
    <w:abstractNumId w:val="10"/>
  </w:num>
  <w:num w:numId="30">
    <w:abstractNumId w:val="27"/>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6DBA"/>
    <w:rsid w:val="00017406"/>
    <w:rsid w:val="00027868"/>
    <w:rsid w:val="00035ED2"/>
    <w:rsid w:val="00037657"/>
    <w:rsid w:val="000A783C"/>
    <w:rsid w:val="000C26A6"/>
    <w:rsid w:val="000C7E8B"/>
    <w:rsid w:val="000D31F9"/>
    <w:rsid w:val="000E7172"/>
    <w:rsid w:val="00110428"/>
    <w:rsid w:val="00184963"/>
    <w:rsid w:val="00185AA1"/>
    <w:rsid w:val="001F7E70"/>
    <w:rsid w:val="00231976"/>
    <w:rsid w:val="00235652"/>
    <w:rsid w:val="00273AAB"/>
    <w:rsid w:val="00294EBF"/>
    <w:rsid w:val="002B124C"/>
    <w:rsid w:val="002B73EB"/>
    <w:rsid w:val="003004A4"/>
    <w:rsid w:val="0037152D"/>
    <w:rsid w:val="00396EAA"/>
    <w:rsid w:val="003B7626"/>
    <w:rsid w:val="003C0660"/>
    <w:rsid w:val="003C1A63"/>
    <w:rsid w:val="003D02B9"/>
    <w:rsid w:val="003F6F41"/>
    <w:rsid w:val="00463F9F"/>
    <w:rsid w:val="00470BA6"/>
    <w:rsid w:val="004852B1"/>
    <w:rsid w:val="00491056"/>
    <w:rsid w:val="004A16CE"/>
    <w:rsid w:val="004C6BEB"/>
    <w:rsid w:val="004E0022"/>
    <w:rsid w:val="004E0BAF"/>
    <w:rsid w:val="00517943"/>
    <w:rsid w:val="00521499"/>
    <w:rsid w:val="00564548"/>
    <w:rsid w:val="00583B37"/>
    <w:rsid w:val="005A589A"/>
    <w:rsid w:val="005B337C"/>
    <w:rsid w:val="005B4A5C"/>
    <w:rsid w:val="005D1348"/>
    <w:rsid w:val="005F0083"/>
    <w:rsid w:val="00600AE9"/>
    <w:rsid w:val="0060781E"/>
    <w:rsid w:val="00664849"/>
    <w:rsid w:val="00665AA2"/>
    <w:rsid w:val="0068434F"/>
    <w:rsid w:val="006C2A73"/>
    <w:rsid w:val="006C6E5B"/>
    <w:rsid w:val="006F6575"/>
    <w:rsid w:val="007151C1"/>
    <w:rsid w:val="00722043"/>
    <w:rsid w:val="00724393"/>
    <w:rsid w:val="00731A2D"/>
    <w:rsid w:val="007801E0"/>
    <w:rsid w:val="007A2E99"/>
    <w:rsid w:val="007B25BC"/>
    <w:rsid w:val="007C40C5"/>
    <w:rsid w:val="008023F4"/>
    <w:rsid w:val="008116FC"/>
    <w:rsid w:val="00852AE1"/>
    <w:rsid w:val="0086487B"/>
    <w:rsid w:val="00873AB1"/>
    <w:rsid w:val="00886ABF"/>
    <w:rsid w:val="008953F0"/>
    <w:rsid w:val="008B5120"/>
    <w:rsid w:val="00917FC8"/>
    <w:rsid w:val="00932AC0"/>
    <w:rsid w:val="00934047"/>
    <w:rsid w:val="00980A34"/>
    <w:rsid w:val="009A3E94"/>
    <w:rsid w:val="009C4FC8"/>
    <w:rsid w:val="009C5CF4"/>
    <w:rsid w:val="009F2AD4"/>
    <w:rsid w:val="00A3633F"/>
    <w:rsid w:val="00A82DC4"/>
    <w:rsid w:val="00A97670"/>
    <w:rsid w:val="00AA0B0D"/>
    <w:rsid w:val="00AA2F99"/>
    <w:rsid w:val="00AE4098"/>
    <w:rsid w:val="00B01976"/>
    <w:rsid w:val="00B06719"/>
    <w:rsid w:val="00B12F4B"/>
    <w:rsid w:val="00B255F9"/>
    <w:rsid w:val="00B40891"/>
    <w:rsid w:val="00B52E67"/>
    <w:rsid w:val="00B7012C"/>
    <w:rsid w:val="00B8429C"/>
    <w:rsid w:val="00C1022F"/>
    <w:rsid w:val="00C1033A"/>
    <w:rsid w:val="00C4660B"/>
    <w:rsid w:val="00C510E4"/>
    <w:rsid w:val="00C604C3"/>
    <w:rsid w:val="00C624A8"/>
    <w:rsid w:val="00C653E0"/>
    <w:rsid w:val="00C65A32"/>
    <w:rsid w:val="00C70BD1"/>
    <w:rsid w:val="00C75947"/>
    <w:rsid w:val="00C879D6"/>
    <w:rsid w:val="00C918EB"/>
    <w:rsid w:val="00CA5D7B"/>
    <w:rsid w:val="00D06B3C"/>
    <w:rsid w:val="00D2041C"/>
    <w:rsid w:val="00D2418D"/>
    <w:rsid w:val="00D40D89"/>
    <w:rsid w:val="00D505CF"/>
    <w:rsid w:val="00D62D40"/>
    <w:rsid w:val="00D719C6"/>
    <w:rsid w:val="00D8724C"/>
    <w:rsid w:val="00DA7297"/>
    <w:rsid w:val="00DD7388"/>
    <w:rsid w:val="00DD77CB"/>
    <w:rsid w:val="00DF4240"/>
    <w:rsid w:val="00E029FB"/>
    <w:rsid w:val="00E17DA7"/>
    <w:rsid w:val="00E44AAC"/>
    <w:rsid w:val="00E728B0"/>
    <w:rsid w:val="00E83DEE"/>
    <w:rsid w:val="00E95136"/>
    <w:rsid w:val="00EA207D"/>
    <w:rsid w:val="00EA7F0E"/>
    <w:rsid w:val="00EC2604"/>
    <w:rsid w:val="00ED0972"/>
    <w:rsid w:val="00EE3578"/>
    <w:rsid w:val="00F62149"/>
    <w:rsid w:val="00F92389"/>
    <w:rsid w:val="00F95342"/>
    <w:rsid w:val="00F97C42"/>
    <w:rsid w:val="00FA2DA0"/>
    <w:rsid w:val="00FC213C"/>
    <w:rsid w:val="00FC7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5:docId w15:val="{FFB04B83-FD3E-466C-AA11-B6404CD2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alloonText">
    <w:name w:val="Balloon Text"/>
    <w:basedOn w:val="Normal"/>
    <w:semiHidden/>
    <w:rsid w:val="00396EAA"/>
    <w:rPr>
      <w:rFonts w:ascii="Tahoma" w:hAnsi="Tahoma" w:cs="Tahoma"/>
      <w:sz w:val="16"/>
      <w:szCs w:val="16"/>
    </w:rPr>
  </w:style>
  <w:style w:type="character" w:styleId="CommentReference">
    <w:name w:val="annotation reference"/>
    <w:semiHidden/>
    <w:rsid w:val="00C879D6"/>
    <w:rPr>
      <w:sz w:val="16"/>
      <w:szCs w:val="16"/>
    </w:rPr>
  </w:style>
  <w:style w:type="paragraph" w:styleId="CommentText">
    <w:name w:val="annotation text"/>
    <w:basedOn w:val="Normal"/>
    <w:semiHidden/>
    <w:rsid w:val="00C879D6"/>
    <w:rPr>
      <w:sz w:val="20"/>
    </w:rPr>
  </w:style>
  <w:style w:type="paragraph" w:styleId="CommentSubject">
    <w:name w:val="annotation subject"/>
    <w:basedOn w:val="CommentText"/>
    <w:next w:val="CommentText"/>
    <w:semiHidden/>
    <w:rsid w:val="00C879D6"/>
    <w:rPr>
      <w:b/>
      <w:bCs/>
    </w:rPr>
  </w:style>
  <w:style w:type="character" w:styleId="Hyperlink">
    <w:name w:val="Hyperlink"/>
    <w:basedOn w:val="DefaultParagraphFont"/>
    <w:uiPriority w:val="99"/>
    <w:unhideWhenUsed/>
    <w:rsid w:val="00491056"/>
    <w:rPr>
      <w:color w:val="0000FF" w:themeColor="hyperlink"/>
      <w:u w:val="single"/>
    </w:rPr>
  </w:style>
  <w:style w:type="paragraph" w:styleId="Revision">
    <w:name w:val="Revision"/>
    <w:hidden/>
    <w:uiPriority w:val="99"/>
    <w:semiHidden/>
    <w:rsid w:val="00C510E4"/>
    <w:rPr>
      <w:rFonts w:ascii="Arial" w:hAnsi="Arial"/>
      <w:sz w:val="22"/>
      <w:lang w:val="en-GB" w:eastAsia="en-GB"/>
    </w:rPr>
  </w:style>
  <w:style w:type="paragraph" w:customStyle="1" w:styleId="Char1CharChar0">
    <w:name w:val="Char1 Char Char"/>
    <w:basedOn w:val="Normal"/>
    <w:rsid w:val="00980A34"/>
    <w:pPr>
      <w:spacing w:after="160" w:line="240" w:lineRule="exact"/>
    </w:pPr>
    <w:rPr>
      <w:sz w:val="20"/>
      <w:lang w:val="en-US" w:eastAsia="en-US"/>
    </w:rPr>
  </w:style>
  <w:style w:type="paragraph" w:styleId="FootnoteText">
    <w:name w:val="footnote text"/>
    <w:basedOn w:val="Normal"/>
    <w:link w:val="FootnoteTextChar"/>
    <w:uiPriority w:val="99"/>
    <w:semiHidden/>
    <w:rsid w:val="0068434F"/>
    <w:rPr>
      <w:sz w:val="20"/>
    </w:rPr>
  </w:style>
  <w:style w:type="character" w:customStyle="1" w:styleId="FootnoteTextChar">
    <w:name w:val="Footnote Text Char"/>
    <w:basedOn w:val="DefaultParagraphFont"/>
    <w:link w:val="FootnoteText"/>
    <w:uiPriority w:val="99"/>
    <w:semiHidden/>
    <w:rsid w:val="0068434F"/>
    <w:rPr>
      <w:rFonts w:ascii="Arial" w:hAnsi="Arial"/>
      <w:lang w:val="en-GB" w:eastAsia="en-GB"/>
    </w:rPr>
  </w:style>
  <w:style w:type="character" w:styleId="FootnoteReference">
    <w:name w:val="footnote reference"/>
    <w:uiPriority w:val="99"/>
    <w:semiHidden/>
    <w:rsid w:val="00684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6864">
      <w:bodyDiv w:val="1"/>
      <w:marLeft w:val="0"/>
      <w:marRight w:val="0"/>
      <w:marTop w:val="0"/>
      <w:marBottom w:val="0"/>
      <w:divBdr>
        <w:top w:val="none" w:sz="0" w:space="0" w:color="auto"/>
        <w:left w:val="none" w:sz="0" w:space="0" w:color="auto"/>
        <w:bottom w:val="none" w:sz="0" w:space="0" w:color="auto"/>
        <w:right w:val="none" w:sz="0" w:space="0" w:color="auto"/>
      </w:divBdr>
    </w:div>
    <w:div w:id="882837379">
      <w:bodyDiv w:val="1"/>
      <w:marLeft w:val="0"/>
      <w:marRight w:val="0"/>
      <w:marTop w:val="0"/>
      <w:marBottom w:val="0"/>
      <w:divBdr>
        <w:top w:val="none" w:sz="0" w:space="0" w:color="auto"/>
        <w:left w:val="none" w:sz="0" w:space="0" w:color="auto"/>
        <w:bottom w:val="none" w:sz="0" w:space="0" w:color="auto"/>
        <w:right w:val="none" w:sz="0" w:space="0" w:color="auto"/>
      </w:divBdr>
    </w:div>
    <w:div w:id="1157456407">
      <w:bodyDiv w:val="1"/>
      <w:marLeft w:val="0"/>
      <w:marRight w:val="0"/>
      <w:marTop w:val="0"/>
      <w:marBottom w:val="0"/>
      <w:divBdr>
        <w:top w:val="none" w:sz="0" w:space="0" w:color="auto"/>
        <w:left w:val="none" w:sz="0" w:space="0" w:color="auto"/>
        <w:bottom w:val="none" w:sz="0" w:space="0" w:color="auto"/>
        <w:right w:val="none" w:sz="0" w:space="0" w:color="auto"/>
      </w:divBdr>
    </w:div>
    <w:div w:id="2069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82CAB3B0</Template>
  <TotalTime>1</TotalTime>
  <Pages>5</Pages>
  <Words>1473</Words>
  <Characters>9023</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Anika de Mul</cp:lastModifiedBy>
  <cp:revision>2</cp:revision>
  <cp:lastPrinted>2009-07-19T22:54:00Z</cp:lastPrinted>
  <dcterms:created xsi:type="dcterms:W3CDTF">2019-09-04T23:01:00Z</dcterms:created>
  <dcterms:modified xsi:type="dcterms:W3CDTF">2019-09-04T23:01:00Z</dcterms:modified>
</cp:coreProperties>
</file>