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FF" w:rsidRPr="00124E8C" w:rsidRDefault="000532FF" w:rsidP="006C4DF0">
      <w:pPr>
        <w:rPr>
          <w:rFonts w:ascii="Arial" w:hAnsi="Arial" w:cs="Arial"/>
          <w:szCs w:val="24"/>
        </w:rPr>
      </w:pPr>
    </w:p>
    <w:tbl>
      <w:tblPr>
        <w:tblStyle w:val="TableGrid"/>
        <w:tblW w:w="9787"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
        <w:gridCol w:w="4493"/>
        <w:gridCol w:w="2838"/>
        <w:gridCol w:w="2446"/>
      </w:tblGrid>
      <w:tr w:rsidR="000532FF" w:rsidRPr="006C4DF0" w:rsidTr="00F86541">
        <w:tc>
          <w:tcPr>
            <w:tcW w:w="4503" w:type="dxa"/>
            <w:gridSpan w:val="2"/>
          </w:tcPr>
          <w:p w:rsidR="000532FF" w:rsidRPr="006C4DF0" w:rsidRDefault="00A16094" w:rsidP="006C4DF0">
            <w:pPr>
              <w:jc w:val="left"/>
              <w:rPr>
                <w:rFonts w:ascii="Arial" w:hAnsi="Arial" w:cs="Arial"/>
                <w:szCs w:val="24"/>
              </w:rPr>
            </w:pPr>
            <w:r w:rsidRPr="00124E8C">
              <w:rPr>
                <w:rFonts w:ascii="Arial" w:hAnsi="Arial" w:cs="Arial"/>
                <w:noProof/>
                <w:szCs w:val="24"/>
                <w:lang w:val="en-NZ" w:eastAsia="en-NZ"/>
              </w:rPr>
              <w:drawing>
                <wp:inline distT="0" distB="0" distL="0" distR="0">
                  <wp:extent cx="204787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inline>
              </w:drawing>
            </w:r>
          </w:p>
        </w:tc>
        <w:tc>
          <w:tcPr>
            <w:tcW w:w="5284" w:type="dxa"/>
            <w:gridSpan w:val="2"/>
          </w:tcPr>
          <w:p w:rsidR="000532FF" w:rsidRPr="0098046E" w:rsidRDefault="0098046E" w:rsidP="0098046E">
            <w:pPr>
              <w:jc w:val="left"/>
              <w:rPr>
                <w:rFonts w:ascii="Arial" w:hAnsi="Arial" w:cs="Arial"/>
                <w:b/>
                <w:sz w:val="32"/>
                <w:szCs w:val="32"/>
              </w:rPr>
            </w:pPr>
            <w:r w:rsidRPr="0098046E">
              <w:rPr>
                <w:rFonts w:ascii="Arial" w:hAnsi="Arial" w:cs="Arial"/>
                <w:b/>
                <w:bCs/>
                <w:sz w:val="32"/>
                <w:szCs w:val="32"/>
              </w:rPr>
              <w:t>All</w:t>
            </w:r>
            <w:r w:rsidR="000532FF" w:rsidRPr="0098046E">
              <w:rPr>
                <w:rFonts w:ascii="Arial" w:hAnsi="Arial" w:cs="Arial"/>
                <w:b/>
                <w:bCs/>
                <w:sz w:val="32"/>
                <w:szCs w:val="32"/>
              </w:rPr>
              <w:t xml:space="preserve"> District Health Boards</w:t>
            </w:r>
          </w:p>
        </w:tc>
      </w:tr>
      <w:tr w:rsidR="000532FF"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9777" w:type="dxa"/>
            <w:gridSpan w:val="3"/>
            <w:tcBorders>
              <w:top w:val="nil"/>
              <w:left w:val="nil"/>
              <w:bottom w:val="single" w:sz="4" w:space="0" w:color="auto"/>
              <w:right w:val="nil"/>
            </w:tcBorders>
          </w:tcPr>
          <w:p w:rsidR="0098046E" w:rsidRDefault="000532FF" w:rsidP="00D51557">
            <w:pPr>
              <w:pStyle w:val="Heading1"/>
              <w:numPr>
                <w:ilvl w:val="0"/>
                <w:numId w:val="0"/>
              </w:numPr>
              <w:spacing w:before="1440" w:after="120" w:line="360" w:lineRule="auto"/>
              <w:jc w:val="center"/>
              <w:outlineLvl w:val="0"/>
              <w:rPr>
                <w:rFonts w:cs="Arial"/>
                <w:caps/>
                <w:sz w:val="40"/>
                <w:szCs w:val="40"/>
              </w:rPr>
            </w:pPr>
            <w:r w:rsidRPr="00D51557">
              <w:rPr>
                <w:rFonts w:cs="Arial"/>
                <w:caps/>
                <w:sz w:val="40"/>
                <w:szCs w:val="40"/>
              </w:rPr>
              <w:t>community</w:t>
            </w:r>
            <w:r w:rsidR="00A94AE3" w:rsidRPr="00D51557">
              <w:rPr>
                <w:rFonts w:cs="Arial"/>
                <w:caps/>
                <w:sz w:val="40"/>
                <w:szCs w:val="40"/>
              </w:rPr>
              <w:t xml:space="preserve"> referred tests </w:t>
            </w:r>
          </w:p>
          <w:p w:rsidR="000532FF" w:rsidRPr="00D51557" w:rsidRDefault="00A94AE3" w:rsidP="0098046E">
            <w:pPr>
              <w:pStyle w:val="Heading1"/>
              <w:numPr>
                <w:ilvl w:val="0"/>
                <w:numId w:val="0"/>
              </w:numPr>
              <w:spacing w:before="120" w:after="120" w:line="360" w:lineRule="auto"/>
              <w:jc w:val="center"/>
              <w:outlineLvl w:val="0"/>
              <w:rPr>
                <w:rFonts w:cs="Arial"/>
                <w:sz w:val="40"/>
                <w:szCs w:val="40"/>
              </w:rPr>
            </w:pPr>
            <w:r w:rsidRPr="00D51557">
              <w:rPr>
                <w:rFonts w:cs="Arial"/>
                <w:caps/>
                <w:sz w:val="40"/>
                <w:szCs w:val="40"/>
              </w:rPr>
              <w:t>(hospital</w:t>
            </w:r>
            <w:r w:rsidR="0098046E">
              <w:rPr>
                <w:rFonts w:cs="Arial"/>
                <w:caps/>
                <w:sz w:val="40"/>
                <w:szCs w:val="40"/>
              </w:rPr>
              <w:t xml:space="preserve"> SERVICES</w:t>
            </w:r>
            <w:r w:rsidRPr="00D51557">
              <w:rPr>
                <w:rFonts w:cs="Arial"/>
                <w:caps/>
                <w:sz w:val="40"/>
                <w:szCs w:val="40"/>
              </w:rPr>
              <w:t>)</w:t>
            </w:r>
          </w:p>
          <w:p w:rsidR="000532FF" w:rsidRPr="00D51557" w:rsidRDefault="000532FF" w:rsidP="00D51557">
            <w:pPr>
              <w:pStyle w:val="Heading1"/>
              <w:numPr>
                <w:ilvl w:val="0"/>
                <w:numId w:val="0"/>
              </w:numPr>
              <w:spacing w:before="120" w:after="1320"/>
              <w:jc w:val="center"/>
              <w:outlineLvl w:val="0"/>
              <w:rPr>
                <w:rFonts w:cs="Arial"/>
                <w:caps/>
                <w:sz w:val="40"/>
                <w:szCs w:val="40"/>
              </w:rPr>
            </w:pPr>
            <w:r w:rsidRPr="00D51557">
              <w:rPr>
                <w:rFonts w:cs="Arial"/>
                <w:caps/>
                <w:sz w:val="40"/>
                <w:szCs w:val="40"/>
              </w:rPr>
              <w:t>SERVICE Specification</w:t>
            </w:r>
          </w:p>
          <w:p w:rsidR="000532FF" w:rsidRPr="006C4DF0" w:rsidRDefault="000532FF" w:rsidP="006C4DF0">
            <w:pPr>
              <w:jc w:val="left"/>
              <w:rPr>
                <w:rFonts w:ascii="Arial" w:hAnsi="Arial" w:cs="Arial"/>
                <w:szCs w:val="24"/>
              </w:rPr>
            </w:pPr>
          </w:p>
        </w:tc>
      </w:tr>
      <w:tr w:rsidR="000532FF"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7331" w:type="dxa"/>
            <w:gridSpan w:val="2"/>
            <w:tcBorders>
              <w:top w:val="single" w:sz="4" w:space="0" w:color="auto"/>
              <w:bottom w:val="single" w:sz="4" w:space="0" w:color="auto"/>
            </w:tcBorders>
          </w:tcPr>
          <w:p w:rsidR="000532FF" w:rsidRPr="00D51557" w:rsidRDefault="000532FF" w:rsidP="006C4DF0">
            <w:pPr>
              <w:pStyle w:val="Heading1"/>
              <w:numPr>
                <w:ilvl w:val="0"/>
                <w:numId w:val="0"/>
              </w:numPr>
              <w:spacing w:before="120" w:after="240"/>
              <w:ind w:left="567" w:hanging="567"/>
              <w:jc w:val="left"/>
              <w:outlineLvl w:val="0"/>
              <w:rPr>
                <w:rFonts w:cs="Arial"/>
                <w:caps/>
                <w:szCs w:val="28"/>
              </w:rPr>
            </w:pPr>
            <w:r w:rsidRPr="00D51557">
              <w:rPr>
                <w:rFonts w:cs="Arial"/>
                <w:caps/>
                <w:szCs w:val="28"/>
              </w:rPr>
              <w:t>Status:</w:t>
            </w:r>
          </w:p>
          <w:p w:rsidR="000532FF" w:rsidRPr="00D51557" w:rsidRDefault="00124E8C" w:rsidP="006C4DF0">
            <w:pPr>
              <w:jc w:val="left"/>
              <w:rPr>
                <w:rFonts w:ascii="Arial" w:hAnsi="Arial" w:cs="Arial"/>
                <w:sz w:val="28"/>
                <w:szCs w:val="28"/>
              </w:rPr>
            </w:pPr>
            <w:r w:rsidRPr="00D51557">
              <w:rPr>
                <w:rFonts w:ascii="Arial" w:hAnsi="Arial" w:cs="Arial"/>
                <w:sz w:val="28"/>
                <w:szCs w:val="28"/>
                <w:lang w:eastAsia="en-NZ"/>
              </w:rPr>
              <w:t>This nationwide service specification describes the national minima of services to be funded or provided by a DHB.</w:t>
            </w:r>
          </w:p>
        </w:tc>
        <w:tc>
          <w:tcPr>
            <w:tcW w:w="2446" w:type="dxa"/>
            <w:tcBorders>
              <w:top w:val="single" w:sz="4" w:space="0" w:color="auto"/>
              <w:bottom w:val="single" w:sz="4" w:space="0" w:color="auto"/>
            </w:tcBorders>
          </w:tcPr>
          <w:p w:rsidR="000532FF" w:rsidRPr="00D51557" w:rsidRDefault="000532FF" w:rsidP="006C4DF0">
            <w:pPr>
              <w:pStyle w:val="Heading1"/>
              <w:numPr>
                <w:ilvl w:val="0"/>
                <w:numId w:val="0"/>
              </w:numPr>
              <w:spacing w:before="120" w:after="240"/>
              <w:ind w:left="360"/>
              <w:jc w:val="left"/>
              <w:outlineLvl w:val="0"/>
              <w:rPr>
                <w:rFonts w:cs="Arial"/>
                <w:szCs w:val="28"/>
              </w:rPr>
            </w:pPr>
          </w:p>
        </w:tc>
      </w:tr>
      <w:tr w:rsidR="000532FF"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7331" w:type="dxa"/>
            <w:gridSpan w:val="2"/>
            <w:shd w:val="clear" w:color="auto" w:fill="C0C0C0"/>
          </w:tcPr>
          <w:p w:rsidR="000532FF" w:rsidRPr="00D51557" w:rsidRDefault="000532FF" w:rsidP="006C4DF0">
            <w:pPr>
              <w:pStyle w:val="Heading1"/>
              <w:numPr>
                <w:ilvl w:val="0"/>
                <w:numId w:val="0"/>
              </w:numPr>
              <w:spacing w:after="240"/>
              <w:jc w:val="left"/>
              <w:outlineLvl w:val="0"/>
              <w:rPr>
                <w:rFonts w:cs="Arial"/>
                <w:caps/>
                <w:szCs w:val="28"/>
              </w:rPr>
            </w:pPr>
            <w:r w:rsidRPr="00D51557">
              <w:rPr>
                <w:rFonts w:cs="Arial"/>
                <w:szCs w:val="28"/>
              </w:rPr>
              <w:t>Review History</w:t>
            </w:r>
          </w:p>
        </w:tc>
        <w:tc>
          <w:tcPr>
            <w:tcW w:w="2446" w:type="dxa"/>
            <w:shd w:val="clear" w:color="auto" w:fill="C0C0C0"/>
          </w:tcPr>
          <w:p w:rsidR="000532FF" w:rsidRPr="00D51557" w:rsidRDefault="000532FF" w:rsidP="006C4DF0">
            <w:pPr>
              <w:pStyle w:val="Heading1"/>
              <w:numPr>
                <w:ilvl w:val="0"/>
                <w:numId w:val="0"/>
              </w:numPr>
              <w:spacing w:after="240"/>
              <w:jc w:val="left"/>
              <w:outlineLvl w:val="0"/>
              <w:rPr>
                <w:rFonts w:cs="Arial"/>
                <w:caps/>
                <w:szCs w:val="28"/>
              </w:rPr>
            </w:pPr>
            <w:r w:rsidRPr="00D51557">
              <w:rPr>
                <w:rFonts w:cs="Arial"/>
                <w:szCs w:val="28"/>
              </w:rPr>
              <w:t>Date</w:t>
            </w:r>
          </w:p>
        </w:tc>
      </w:tr>
      <w:tr w:rsidR="0009603A"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7331" w:type="dxa"/>
            <w:gridSpan w:val="2"/>
            <w:vAlign w:val="center"/>
          </w:tcPr>
          <w:p w:rsidR="0009603A" w:rsidRPr="00D51557" w:rsidRDefault="00D51557" w:rsidP="00D51557">
            <w:pPr>
              <w:pStyle w:val="BodyText"/>
              <w:spacing w:before="120"/>
              <w:jc w:val="left"/>
              <w:rPr>
                <w:rFonts w:ascii="Arial" w:hAnsi="Arial" w:cs="Arial"/>
                <w:sz w:val="28"/>
                <w:szCs w:val="28"/>
              </w:rPr>
            </w:pPr>
            <w:r w:rsidRPr="00D51557">
              <w:rPr>
                <w:rFonts w:ascii="Arial" w:hAnsi="Arial" w:cs="Arial"/>
                <w:sz w:val="28"/>
                <w:szCs w:val="28"/>
              </w:rPr>
              <w:t>First p</w:t>
            </w:r>
            <w:r w:rsidR="0009603A" w:rsidRPr="00D51557">
              <w:rPr>
                <w:rFonts w:ascii="Arial" w:hAnsi="Arial" w:cs="Arial"/>
                <w:sz w:val="28"/>
                <w:szCs w:val="28"/>
              </w:rPr>
              <w:t>ublished on NSFL</w:t>
            </w:r>
          </w:p>
        </w:tc>
        <w:tc>
          <w:tcPr>
            <w:tcW w:w="2446" w:type="dxa"/>
            <w:vAlign w:val="center"/>
          </w:tcPr>
          <w:p w:rsidR="0009603A" w:rsidRPr="00D51557" w:rsidRDefault="0009603A" w:rsidP="006C4DF0">
            <w:pPr>
              <w:spacing w:before="120" w:after="120"/>
              <w:jc w:val="left"/>
              <w:rPr>
                <w:rFonts w:ascii="Arial" w:hAnsi="Arial" w:cs="Arial"/>
                <w:b/>
                <w:sz w:val="28"/>
                <w:szCs w:val="28"/>
              </w:rPr>
            </w:pPr>
            <w:r w:rsidRPr="00D51557">
              <w:rPr>
                <w:rFonts w:ascii="Arial" w:hAnsi="Arial" w:cs="Arial"/>
                <w:b/>
                <w:sz w:val="28"/>
                <w:szCs w:val="28"/>
              </w:rPr>
              <w:t>June 2001</w:t>
            </w:r>
          </w:p>
        </w:tc>
      </w:tr>
      <w:tr w:rsidR="0009603A"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7331" w:type="dxa"/>
            <w:gridSpan w:val="2"/>
            <w:vAlign w:val="center"/>
          </w:tcPr>
          <w:p w:rsidR="0009603A" w:rsidRPr="00D51557" w:rsidRDefault="00BC6CE2" w:rsidP="00BC6CE2">
            <w:pPr>
              <w:pStyle w:val="BodyText"/>
              <w:jc w:val="left"/>
              <w:rPr>
                <w:rFonts w:ascii="Arial" w:hAnsi="Arial" w:cs="Arial"/>
                <w:sz w:val="28"/>
                <w:szCs w:val="28"/>
              </w:rPr>
            </w:pPr>
            <w:r w:rsidRPr="00D51557">
              <w:rPr>
                <w:rFonts w:ascii="Arial" w:hAnsi="Arial" w:cs="Arial"/>
                <w:sz w:val="28"/>
                <w:szCs w:val="28"/>
              </w:rPr>
              <w:t>Amendment</w:t>
            </w:r>
            <w:r>
              <w:rPr>
                <w:rFonts w:ascii="Arial" w:hAnsi="Arial" w:cs="Arial"/>
                <w:sz w:val="28"/>
                <w:szCs w:val="28"/>
              </w:rPr>
              <w:t xml:space="preserve">s: </w:t>
            </w:r>
            <w:r w:rsidR="0009603A" w:rsidRPr="00BC6CE2">
              <w:rPr>
                <w:rFonts w:ascii="Arial" w:hAnsi="Arial" w:cs="Arial"/>
                <w:szCs w:val="24"/>
              </w:rPr>
              <w:t xml:space="preserve">PU </w:t>
            </w:r>
            <w:r w:rsidRPr="00BC6CE2">
              <w:rPr>
                <w:rFonts w:ascii="Arial" w:hAnsi="Arial" w:cs="Arial"/>
                <w:szCs w:val="24"/>
              </w:rPr>
              <w:t>c</w:t>
            </w:r>
            <w:r w:rsidR="0009603A" w:rsidRPr="00BC6CE2">
              <w:rPr>
                <w:rFonts w:ascii="Arial" w:hAnsi="Arial" w:cs="Arial"/>
                <w:szCs w:val="24"/>
              </w:rPr>
              <w:t>odes corrected to match PUDD</w:t>
            </w:r>
          </w:p>
        </w:tc>
        <w:tc>
          <w:tcPr>
            <w:tcW w:w="2446" w:type="dxa"/>
            <w:vAlign w:val="center"/>
          </w:tcPr>
          <w:p w:rsidR="0009603A" w:rsidRPr="00D51557" w:rsidRDefault="0009603A" w:rsidP="006C4DF0">
            <w:pPr>
              <w:spacing w:before="120" w:after="120"/>
              <w:jc w:val="left"/>
              <w:rPr>
                <w:rFonts w:ascii="Arial" w:hAnsi="Arial" w:cs="Arial"/>
                <w:b/>
                <w:sz w:val="28"/>
                <w:szCs w:val="28"/>
              </w:rPr>
            </w:pPr>
            <w:r w:rsidRPr="00D51557">
              <w:rPr>
                <w:rFonts w:ascii="Arial" w:hAnsi="Arial" w:cs="Arial"/>
                <w:b/>
                <w:sz w:val="28"/>
                <w:szCs w:val="28"/>
              </w:rPr>
              <w:t>5 May 2014</w:t>
            </w:r>
          </w:p>
        </w:tc>
      </w:tr>
      <w:tr w:rsidR="00D51557"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7331" w:type="dxa"/>
            <w:gridSpan w:val="2"/>
            <w:vAlign w:val="center"/>
          </w:tcPr>
          <w:p w:rsidR="00D51557" w:rsidRPr="00D51557" w:rsidRDefault="00D51557" w:rsidP="00622900">
            <w:pPr>
              <w:pStyle w:val="BodyText"/>
              <w:spacing w:before="120"/>
              <w:jc w:val="left"/>
              <w:rPr>
                <w:rFonts w:ascii="Arial" w:hAnsi="Arial" w:cs="Arial"/>
                <w:sz w:val="28"/>
                <w:szCs w:val="28"/>
              </w:rPr>
            </w:pPr>
            <w:r w:rsidRPr="00D51557">
              <w:rPr>
                <w:rFonts w:ascii="Arial" w:hAnsi="Arial" w:cs="Arial"/>
                <w:sz w:val="28"/>
                <w:szCs w:val="28"/>
              </w:rPr>
              <w:t xml:space="preserve">Amendments: </w:t>
            </w:r>
            <w:r w:rsidRPr="00F86541">
              <w:rPr>
                <w:rFonts w:ascii="Arial" w:hAnsi="Arial" w:cs="Arial"/>
                <w:sz w:val="22"/>
                <w:szCs w:val="22"/>
              </w:rPr>
              <w:t>corrected references</w:t>
            </w:r>
            <w:r w:rsidR="00622900">
              <w:rPr>
                <w:rFonts w:ascii="Arial" w:hAnsi="Arial" w:cs="Arial"/>
                <w:sz w:val="22"/>
                <w:szCs w:val="22"/>
              </w:rPr>
              <w:t xml:space="preserve"> to</w:t>
            </w:r>
            <w:r w:rsidRPr="00F86541">
              <w:rPr>
                <w:rFonts w:ascii="Arial" w:hAnsi="Arial" w:cs="Arial"/>
                <w:sz w:val="22"/>
                <w:szCs w:val="22"/>
              </w:rPr>
              <w:t xml:space="preserve"> </w:t>
            </w:r>
            <w:r w:rsidR="00BC6CE2" w:rsidRPr="00F86541">
              <w:rPr>
                <w:rFonts w:ascii="Arial" w:hAnsi="Arial" w:cs="Arial"/>
                <w:sz w:val="22"/>
                <w:szCs w:val="22"/>
              </w:rPr>
              <w:t xml:space="preserve">ACC </w:t>
            </w:r>
            <w:r w:rsidRPr="00F86541">
              <w:rPr>
                <w:rFonts w:ascii="Arial" w:hAnsi="Arial" w:cs="Arial"/>
                <w:sz w:val="22"/>
                <w:szCs w:val="22"/>
              </w:rPr>
              <w:t>legislation</w:t>
            </w:r>
            <w:r w:rsidR="00622900">
              <w:rPr>
                <w:rFonts w:ascii="Arial" w:hAnsi="Arial" w:cs="Arial"/>
                <w:sz w:val="22"/>
                <w:szCs w:val="22"/>
              </w:rPr>
              <w:t>,</w:t>
            </w:r>
            <w:r w:rsidR="00F86541" w:rsidRPr="00F86541">
              <w:rPr>
                <w:rFonts w:ascii="Arial" w:hAnsi="Arial" w:cs="Arial"/>
                <w:sz w:val="22"/>
                <w:szCs w:val="22"/>
              </w:rPr>
              <w:t xml:space="preserve"> policy documents</w:t>
            </w:r>
            <w:r w:rsidR="00F86541" w:rsidRPr="00F86541">
              <w:rPr>
                <w:rFonts w:ascii="Arial" w:hAnsi="Arial" w:cs="Arial"/>
                <w:sz w:val="22"/>
                <w:szCs w:val="22"/>
              </w:rPr>
              <w:t xml:space="preserve"> and </w:t>
            </w:r>
            <w:r w:rsidR="00885B74" w:rsidRPr="00F86541">
              <w:rPr>
                <w:rFonts w:ascii="Arial" w:hAnsi="Arial" w:cs="Arial"/>
                <w:sz w:val="22"/>
                <w:szCs w:val="22"/>
              </w:rPr>
              <w:t>Ethnicity Data Protocols for the Health and Disability Sector – 2004</w:t>
            </w:r>
            <w:r w:rsidR="00622900" w:rsidRPr="00F86541">
              <w:rPr>
                <w:rFonts w:ascii="Arial" w:hAnsi="Arial" w:cs="Arial"/>
                <w:sz w:val="22"/>
                <w:szCs w:val="22"/>
              </w:rPr>
              <w:t xml:space="preserve"> </w:t>
            </w:r>
            <w:r w:rsidR="00622900">
              <w:rPr>
                <w:rFonts w:ascii="Arial" w:hAnsi="Arial" w:cs="Arial"/>
                <w:sz w:val="22"/>
                <w:szCs w:val="22"/>
              </w:rPr>
              <w:t xml:space="preserve">and </w:t>
            </w:r>
            <w:r w:rsidR="00622900" w:rsidRPr="00F86541">
              <w:rPr>
                <w:rFonts w:ascii="Arial" w:hAnsi="Arial" w:cs="Arial"/>
                <w:sz w:val="22"/>
                <w:szCs w:val="22"/>
              </w:rPr>
              <w:t>other service PU codes</w:t>
            </w:r>
            <w:r w:rsidR="00622900">
              <w:rPr>
                <w:rFonts w:ascii="Arial" w:hAnsi="Arial" w:cs="Arial"/>
                <w:sz w:val="22"/>
                <w:szCs w:val="22"/>
              </w:rPr>
              <w:t>.</w:t>
            </w:r>
          </w:p>
        </w:tc>
        <w:tc>
          <w:tcPr>
            <w:tcW w:w="2446" w:type="dxa"/>
            <w:vAlign w:val="center"/>
          </w:tcPr>
          <w:p w:rsidR="00D51557" w:rsidRPr="00D51557" w:rsidRDefault="00D51557" w:rsidP="006C4DF0">
            <w:pPr>
              <w:spacing w:before="120" w:after="120"/>
              <w:rPr>
                <w:rFonts w:ascii="Arial" w:hAnsi="Arial" w:cs="Arial"/>
                <w:b/>
                <w:sz w:val="28"/>
                <w:szCs w:val="28"/>
              </w:rPr>
            </w:pPr>
            <w:r w:rsidRPr="00D51557">
              <w:rPr>
                <w:rFonts w:ascii="Arial" w:hAnsi="Arial" w:cs="Arial"/>
                <w:b/>
                <w:sz w:val="28"/>
                <w:szCs w:val="28"/>
              </w:rPr>
              <w:t>November 2016</w:t>
            </w:r>
          </w:p>
        </w:tc>
      </w:tr>
      <w:tr w:rsidR="0009603A" w:rsidRPr="006C4DF0" w:rsidTr="00F86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Pr>
        <w:tc>
          <w:tcPr>
            <w:tcW w:w="7331" w:type="dxa"/>
            <w:gridSpan w:val="2"/>
            <w:vAlign w:val="center"/>
          </w:tcPr>
          <w:p w:rsidR="0009603A" w:rsidRPr="00D51557" w:rsidRDefault="0009603A" w:rsidP="006C4DF0">
            <w:pPr>
              <w:pStyle w:val="BodyText"/>
              <w:spacing w:before="120"/>
              <w:jc w:val="left"/>
              <w:rPr>
                <w:rFonts w:ascii="Arial" w:hAnsi="Arial" w:cs="Arial"/>
                <w:sz w:val="28"/>
                <w:szCs w:val="28"/>
              </w:rPr>
            </w:pPr>
            <w:r w:rsidRPr="00D51557">
              <w:rPr>
                <w:rFonts w:ascii="Arial" w:hAnsi="Arial" w:cs="Arial"/>
                <w:sz w:val="28"/>
                <w:szCs w:val="28"/>
              </w:rPr>
              <w:t>Consideration for next Service Specification Review</w:t>
            </w:r>
          </w:p>
        </w:tc>
        <w:tc>
          <w:tcPr>
            <w:tcW w:w="2446" w:type="dxa"/>
            <w:vAlign w:val="center"/>
          </w:tcPr>
          <w:p w:rsidR="0009603A" w:rsidRPr="00D51557" w:rsidRDefault="0009603A" w:rsidP="006C4DF0">
            <w:pPr>
              <w:spacing w:before="120" w:after="120"/>
              <w:jc w:val="left"/>
              <w:rPr>
                <w:rFonts w:ascii="Arial" w:hAnsi="Arial" w:cs="Arial"/>
                <w:b/>
                <w:sz w:val="28"/>
                <w:szCs w:val="28"/>
              </w:rPr>
            </w:pPr>
            <w:r w:rsidRPr="00D51557">
              <w:rPr>
                <w:rFonts w:ascii="Arial" w:hAnsi="Arial" w:cs="Arial"/>
                <w:b/>
                <w:sz w:val="28"/>
                <w:szCs w:val="28"/>
              </w:rPr>
              <w:t>within five years</w:t>
            </w:r>
          </w:p>
        </w:tc>
      </w:tr>
    </w:tbl>
    <w:p w:rsidR="00124E8C" w:rsidRPr="006C4DF0" w:rsidRDefault="000532FF" w:rsidP="006C4DF0">
      <w:pPr>
        <w:spacing w:before="240"/>
        <w:rPr>
          <w:rFonts w:ascii="Arial" w:hAnsi="Arial" w:cs="Arial"/>
          <w:szCs w:val="24"/>
          <w:lang w:val="en-US" w:eastAsia="en-NZ"/>
        </w:rPr>
      </w:pPr>
      <w:r w:rsidRPr="006C4DF0">
        <w:rPr>
          <w:rFonts w:ascii="Arial" w:hAnsi="Arial" w:cs="Arial"/>
          <w:b/>
          <w:szCs w:val="24"/>
          <w:lang w:val="en-US" w:eastAsia="en-NZ"/>
        </w:rPr>
        <w:t>Note:</w:t>
      </w:r>
      <w:r w:rsidRPr="006C4DF0">
        <w:rPr>
          <w:rFonts w:ascii="Arial" w:hAnsi="Arial" w:cs="Arial"/>
          <w:szCs w:val="24"/>
          <w:lang w:val="en-US" w:eastAsia="en-NZ"/>
        </w:rPr>
        <w:t xml:space="preserve"> Contact the Service Specification Programme Manager, </w:t>
      </w:r>
      <w:r w:rsidR="00124E8C" w:rsidRPr="006C4DF0">
        <w:rPr>
          <w:rFonts w:ascii="Arial" w:hAnsi="Arial" w:cs="Arial"/>
          <w:szCs w:val="24"/>
          <w:lang w:val="en-US" w:eastAsia="en-NZ"/>
        </w:rPr>
        <w:t>Service Comissioning</w:t>
      </w:r>
      <w:r w:rsidR="0098046E">
        <w:rPr>
          <w:rFonts w:ascii="Arial" w:hAnsi="Arial" w:cs="Arial"/>
          <w:szCs w:val="24"/>
          <w:lang w:val="en-US" w:eastAsia="en-NZ"/>
        </w:rPr>
        <w:t>,</w:t>
      </w:r>
      <w:r w:rsidRPr="006C4DF0">
        <w:rPr>
          <w:rFonts w:ascii="Arial" w:hAnsi="Arial" w:cs="Arial"/>
          <w:szCs w:val="24"/>
          <w:lang w:val="en-US" w:eastAsia="en-NZ"/>
        </w:rPr>
        <w:t xml:space="preserve"> Ministry of Health to discuss the process and guidance available in developing new or updating and revising existing service specifications.  </w:t>
      </w:r>
    </w:p>
    <w:p w:rsidR="000532FF" w:rsidRPr="006C4DF0" w:rsidRDefault="000532FF" w:rsidP="006C4DF0">
      <w:pPr>
        <w:spacing w:before="240"/>
        <w:rPr>
          <w:rFonts w:ascii="Arial" w:hAnsi="Arial" w:cs="Arial"/>
          <w:szCs w:val="24"/>
        </w:rPr>
      </w:pPr>
      <w:r w:rsidRPr="006C4DF0">
        <w:rPr>
          <w:rFonts w:ascii="Arial" w:hAnsi="Arial" w:cs="Arial"/>
          <w:szCs w:val="24"/>
          <w:lang w:val="en-US" w:eastAsia="en-NZ"/>
        </w:rPr>
        <w:t xml:space="preserve">Web site address Nationwide Service Framework Library: </w:t>
      </w:r>
      <w:hyperlink r:id="rId9" w:history="1">
        <w:r w:rsidRPr="006C4DF0">
          <w:rPr>
            <w:rStyle w:val="Hyperlink"/>
            <w:rFonts w:ascii="Arial" w:hAnsi="Arial" w:cs="Arial"/>
            <w:szCs w:val="24"/>
            <w:lang w:val="en-US" w:eastAsia="en-NZ"/>
          </w:rPr>
          <w:t>http://www.nsfl.health.govt.nz/</w:t>
        </w:r>
      </w:hyperlink>
    </w:p>
    <w:p w:rsidR="000532FF" w:rsidRPr="006C4DF0" w:rsidRDefault="000532FF" w:rsidP="0098046E">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6C4DF0">
        <w:rPr>
          <w:rFonts w:ascii="Arial" w:hAnsi="Arial" w:cs="Arial"/>
          <w:szCs w:val="24"/>
        </w:rPr>
        <w:br w:type="page"/>
      </w:r>
      <w:r w:rsidRPr="00124E8C">
        <w:rPr>
          <w:rFonts w:ascii="Arial" w:hAnsi="Arial" w:cs="Arial"/>
          <w:b/>
          <w:szCs w:val="24"/>
        </w:rPr>
        <w:lastRenderedPageBreak/>
        <w:t xml:space="preserve">COMMUNITY </w:t>
      </w:r>
      <w:r w:rsidR="00057241" w:rsidRPr="00124E8C">
        <w:rPr>
          <w:rFonts w:ascii="Arial" w:hAnsi="Arial" w:cs="Arial"/>
          <w:b/>
          <w:szCs w:val="24"/>
        </w:rPr>
        <w:t>REFERRED TEST</w:t>
      </w:r>
      <w:r w:rsidR="00914D02" w:rsidRPr="006C4DF0">
        <w:rPr>
          <w:rFonts w:ascii="Arial" w:hAnsi="Arial" w:cs="Arial"/>
          <w:b/>
          <w:szCs w:val="24"/>
        </w:rPr>
        <w:t>S (Hospitals) S</w:t>
      </w:r>
      <w:r w:rsidR="00057241" w:rsidRPr="006C4DF0">
        <w:rPr>
          <w:rFonts w:ascii="Arial" w:hAnsi="Arial" w:cs="Arial"/>
          <w:b/>
          <w:szCs w:val="24"/>
        </w:rPr>
        <w:t>ERVICES -</w:t>
      </w:r>
    </w:p>
    <w:p w:rsidR="000532FF" w:rsidRPr="006C4DF0" w:rsidRDefault="000532FF" w:rsidP="0098046E">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6C4DF0">
        <w:rPr>
          <w:rFonts w:ascii="Arial" w:hAnsi="Arial" w:cs="Arial"/>
          <w:b/>
          <w:szCs w:val="24"/>
        </w:rPr>
        <w:t>SERVICE SPECIFICATION</w:t>
      </w:r>
    </w:p>
    <w:p w:rsidR="00CE3C73" w:rsidRPr="00124E8C" w:rsidRDefault="00CE3C73" w:rsidP="0098046E">
      <w:pPr>
        <w:pBdr>
          <w:top w:val="single" w:sz="4" w:space="1" w:color="auto"/>
          <w:left w:val="single" w:sz="4" w:space="4" w:color="auto"/>
          <w:bottom w:val="single" w:sz="4" w:space="1" w:color="auto"/>
          <w:right w:val="single" w:sz="4" w:space="4" w:color="auto"/>
        </w:pBdr>
        <w:jc w:val="center"/>
        <w:rPr>
          <w:rFonts w:ascii="Arial" w:hAnsi="Arial" w:cs="Arial"/>
          <w:b/>
          <w:szCs w:val="24"/>
        </w:rPr>
      </w:pPr>
      <w:r w:rsidRPr="006C4DF0">
        <w:rPr>
          <w:rFonts w:ascii="Arial" w:hAnsi="Arial" w:cs="Arial"/>
          <w:b/>
          <w:szCs w:val="24"/>
        </w:rPr>
        <w:t>CS04</w:t>
      </w:r>
      <w:r w:rsidR="00A723BF" w:rsidRPr="006C4DF0">
        <w:rPr>
          <w:rFonts w:ascii="Arial" w:hAnsi="Arial" w:cs="Arial"/>
          <w:b/>
          <w:szCs w:val="24"/>
        </w:rPr>
        <w:t>0</w:t>
      </w:r>
      <w:r w:rsidRPr="006C4DF0">
        <w:rPr>
          <w:rFonts w:ascii="Arial" w:hAnsi="Arial" w:cs="Arial"/>
          <w:b/>
          <w:szCs w:val="24"/>
        </w:rPr>
        <w:t>01, CS04</w:t>
      </w:r>
      <w:r w:rsidR="00A723BF" w:rsidRPr="006C4DF0">
        <w:rPr>
          <w:rFonts w:ascii="Arial" w:hAnsi="Arial" w:cs="Arial"/>
          <w:b/>
          <w:szCs w:val="24"/>
        </w:rPr>
        <w:t>0</w:t>
      </w:r>
      <w:r w:rsidRPr="006C4DF0">
        <w:rPr>
          <w:rFonts w:ascii="Arial" w:hAnsi="Arial" w:cs="Arial"/>
          <w:b/>
          <w:szCs w:val="24"/>
        </w:rPr>
        <w:t>02, CS04</w:t>
      </w:r>
      <w:r w:rsidR="00A723BF" w:rsidRPr="006C4DF0">
        <w:rPr>
          <w:rFonts w:ascii="Arial" w:hAnsi="Arial" w:cs="Arial"/>
          <w:b/>
          <w:szCs w:val="24"/>
        </w:rPr>
        <w:t>0</w:t>
      </w:r>
      <w:r w:rsidRPr="006C4DF0">
        <w:rPr>
          <w:rFonts w:ascii="Arial" w:hAnsi="Arial" w:cs="Arial"/>
          <w:b/>
          <w:szCs w:val="24"/>
        </w:rPr>
        <w:t>03, CS04</w:t>
      </w:r>
      <w:r w:rsidR="00A723BF" w:rsidRPr="006C4DF0">
        <w:rPr>
          <w:rFonts w:ascii="Arial" w:hAnsi="Arial" w:cs="Arial"/>
          <w:b/>
          <w:szCs w:val="24"/>
        </w:rPr>
        <w:t>0</w:t>
      </w:r>
      <w:r w:rsidRPr="006C4DF0">
        <w:rPr>
          <w:rFonts w:ascii="Arial" w:hAnsi="Arial" w:cs="Arial"/>
          <w:b/>
          <w:szCs w:val="24"/>
        </w:rPr>
        <w:t>04, CS04</w:t>
      </w:r>
      <w:r w:rsidR="00A723BF" w:rsidRPr="006C4DF0">
        <w:rPr>
          <w:rFonts w:ascii="Arial" w:hAnsi="Arial" w:cs="Arial"/>
          <w:b/>
          <w:szCs w:val="24"/>
        </w:rPr>
        <w:t>0</w:t>
      </w:r>
      <w:r w:rsidRPr="006C4DF0">
        <w:rPr>
          <w:rFonts w:ascii="Arial" w:hAnsi="Arial" w:cs="Arial"/>
          <w:b/>
          <w:szCs w:val="24"/>
        </w:rPr>
        <w:t>05, CS04</w:t>
      </w:r>
      <w:r w:rsidR="00A723BF" w:rsidRPr="006C4DF0">
        <w:rPr>
          <w:rFonts w:ascii="Arial" w:hAnsi="Arial" w:cs="Arial"/>
          <w:b/>
          <w:szCs w:val="24"/>
        </w:rPr>
        <w:t>0</w:t>
      </w:r>
      <w:r w:rsidRPr="006C4DF0">
        <w:rPr>
          <w:rFonts w:ascii="Arial" w:hAnsi="Arial" w:cs="Arial"/>
          <w:b/>
          <w:szCs w:val="24"/>
        </w:rPr>
        <w:t>07, CS04</w:t>
      </w:r>
      <w:r w:rsidR="00A723BF" w:rsidRPr="006C4DF0">
        <w:rPr>
          <w:rFonts w:ascii="Arial" w:hAnsi="Arial" w:cs="Arial"/>
          <w:b/>
          <w:szCs w:val="24"/>
        </w:rPr>
        <w:t>0</w:t>
      </w:r>
      <w:r w:rsidRPr="006C4DF0">
        <w:rPr>
          <w:rFonts w:ascii="Arial" w:hAnsi="Arial" w:cs="Arial"/>
          <w:b/>
          <w:szCs w:val="24"/>
        </w:rPr>
        <w:t>08</w:t>
      </w:r>
    </w:p>
    <w:p w:rsidR="000532FF" w:rsidRPr="006C4DF0" w:rsidRDefault="000532FF" w:rsidP="006C4DF0">
      <w:pPr>
        <w:pStyle w:val="Heading1"/>
        <w:jc w:val="left"/>
        <w:rPr>
          <w:rFonts w:cs="Arial"/>
          <w:sz w:val="24"/>
          <w:szCs w:val="24"/>
        </w:rPr>
      </w:pPr>
      <w:r w:rsidRPr="006C4DF0">
        <w:rPr>
          <w:rFonts w:cs="Arial"/>
          <w:sz w:val="24"/>
          <w:szCs w:val="24"/>
        </w:rPr>
        <w:tab/>
      </w:r>
      <w:r w:rsidR="00124E8C" w:rsidRPr="006C4DF0">
        <w:rPr>
          <w:rFonts w:cs="Arial"/>
          <w:sz w:val="24"/>
          <w:szCs w:val="24"/>
        </w:rPr>
        <w:t xml:space="preserve">SERVICE </w:t>
      </w:r>
      <w:r w:rsidRPr="006C4DF0">
        <w:rPr>
          <w:rFonts w:cs="Arial"/>
          <w:sz w:val="24"/>
          <w:szCs w:val="24"/>
        </w:rPr>
        <w:t>DEFINITION</w:t>
      </w:r>
    </w:p>
    <w:p w:rsidR="006C4DF0" w:rsidRDefault="000532FF" w:rsidP="006C4DF0">
      <w:pPr>
        <w:pStyle w:val="BodyTextIndent2"/>
        <w:ind w:left="0"/>
        <w:jc w:val="left"/>
        <w:rPr>
          <w:rFonts w:ascii="Arial" w:hAnsi="Arial" w:cs="Arial"/>
          <w:sz w:val="24"/>
          <w:szCs w:val="24"/>
        </w:rPr>
      </w:pPr>
      <w:r w:rsidRPr="006C4DF0">
        <w:rPr>
          <w:rFonts w:ascii="Arial" w:hAnsi="Arial" w:cs="Arial"/>
          <w:sz w:val="24"/>
          <w:szCs w:val="24"/>
        </w:rPr>
        <w:t xml:space="preserve">The community referred testing services provide a range of clinical testing and measurement services to assist community-based providers with the diagnosis and management of a range of conditions.  These include testing and measurement of cardiovascular, respiratory, neurological, gastrointestinal, ophthalmology, urological, </w:t>
      </w:r>
      <w:proofErr w:type="spellStart"/>
      <w:r w:rsidRPr="006C4DF0">
        <w:rPr>
          <w:rFonts w:ascii="Arial" w:hAnsi="Arial" w:cs="Arial"/>
          <w:sz w:val="24"/>
          <w:szCs w:val="24"/>
        </w:rPr>
        <w:t>endocrinological</w:t>
      </w:r>
      <w:proofErr w:type="spellEnd"/>
      <w:r w:rsidRPr="006C4DF0">
        <w:rPr>
          <w:rFonts w:ascii="Arial" w:hAnsi="Arial" w:cs="Arial"/>
          <w:sz w:val="24"/>
          <w:szCs w:val="24"/>
        </w:rPr>
        <w:t xml:space="preserve">, </w:t>
      </w:r>
      <w:r w:rsidR="006C4DF0">
        <w:rPr>
          <w:rFonts w:ascii="Arial" w:hAnsi="Arial" w:cs="Arial"/>
          <w:sz w:val="24"/>
          <w:szCs w:val="24"/>
        </w:rPr>
        <w:t>o</w:t>
      </w:r>
      <w:r w:rsidR="00124E8C" w:rsidRPr="00124E8C">
        <w:rPr>
          <w:rFonts w:ascii="Arial" w:hAnsi="Arial" w:cs="Arial"/>
          <w:sz w:val="24"/>
          <w:szCs w:val="24"/>
        </w:rPr>
        <w:t>to</w:t>
      </w:r>
      <w:r w:rsidR="006C4DF0">
        <w:rPr>
          <w:rFonts w:ascii="Arial" w:hAnsi="Arial" w:cs="Arial"/>
          <w:sz w:val="24"/>
          <w:szCs w:val="24"/>
        </w:rPr>
        <w:t>rhin</w:t>
      </w:r>
      <w:r w:rsidR="00124E8C" w:rsidRPr="00124E8C">
        <w:rPr>
          <w:rFonts w:ascii="Arial" w:hAnsi="Arial" w:cs="Arial"/>
          <w:sz w:val="24"/>
          <w:szCs w:val="24"/>
        </w:rPr>
        <w:t>o</w:t>
      </w:r>
      <w:r w:rsidR="006C4DF0">
        <w:rPr>
          <w:rFonts w:ascii="Arial" w:hAnsi="Arial" w:cs="Arial"/>
          <w:sz w:val="24"/>
          <w:szCs w:val="24"/>
        </w:rPr>
        <w:t>l</w:t>
      </w:r>
      <w:r w:rsidR="00124E8C" w:rsidRPr="00124E8C">
        <w:rPr>
          <w:rFonts w:ascii="Arial" w:hAnsi="Arial" w:cs="Arial"/>
          <w:sz w:val="24"/>
          <w:szCs w:val="24"/>
        </w:rPr>
        <w:t>a</w:t>
      </w:r>
      <w:r w:rsidR="006C4DF0">
        <w:rPr>
          <w:rFonts w:ascii="Arial" w:hAnsi="Arial" w:cs="Arial"/>
          <w:sz w:val="24"/>
          <w:szCs w:val="24"/>
        </w:rPr>
        <w:t>r</w:t>
      </w:r>
      <w:r w:rsidR="00124E8C" w:rsidRPr="00124E8C">
        <w:rPr>
          <w:rFonts w:ascii="Arial" w:hAnsi="Arial" w:cs="Arial"/>
          <w:sz w:val="24"/>
          <w:szCs w:val="24"/>
        </w:rPr>
        <w:t xml:space="preserve">yngology </w:t>
      </w:r>
      <w:r w:rsidR="006C4DF0">
        <w:rPr>
          <w:rFonts w:ascii="Arial" w:hAnsi="Arial" w:cs="Arial"/>
          <w:sz w:val="24"/>
          <w:szCs w:val="24"/>
        </w:rPr>
        <w:t>(</w:t>
      </w:r>
      <w:r w:rsidR="00124E8C" w:rsidRPr="00124E8C">
        <w:rPr>
          <w:rFonts w:ascii="Arial" w:hAnsi="Arial" w:cs="Arial"/>
          <w:sz w:val="24"/>
          <w:szCs w:val="24"/>
        </w:rPr>
        <w:t>O</w:t>
      </w:r>
      <w:r w:rsidRPr="006C4DF0">
        <w:rPr>
          <w:rFonts w:ascii="Arial" w:hAnsi="Arial" w:cs="Arial"/>
          <w:sz w:val="24"/>
          <w:szCs w:val="24"/>
        </w:rPr>
        <w:t>RL</w:t>
      </w:r>
      <w:r w:rsidR="006C4DF0">
        <w:rPr>
          <w:rFonts w:ascii="Arial" w:hAnsi="Arial" w:cs="Arial"/>
          <w:sz w:val="24"/>
          <w:szCs w:val="24"/>
        </w:rPr>
        <w:t>)</w:t>
      </w:r>
      <w:r w:rsidRPr="006C4DF0">
        <w:rPr>
          <w:rFonts w:ascii="Arial" w:hAnsi="Arial" w:cs="Arial"/>
          <w:sz w:val="24"/>
          <w:szCs w:val="24"/>
        </w:rPr>
        <w:t xml:space="preserve"> and other systems.  </w:t>
      </w:r>
    </w:p>
    <w:p w:rsidR="000532FF" w:rsidRPr="006C4DF0" w:rsidRDefault="000532FF" w:rsidP="006C4DF0">
      <w:pPr>
        <w:pStyle w:val="BodyTextIndent2"/>
        <w:spacing w:before="120"/>
        <w:ind w:left="0"/>
        <w:jc w:val="left"/>
        <w:rPr>
          <w:rFonts w:ascii="Arial" w:hAnsi="Arial" w:cs="Arial"/>
          <w:sz w:val="24"/>
          <w:szCs w:val="24"/>
        </w:rPr>
      </w:pPr>
      <w:r w:rsidRPr="006C4DF0">
        <w:rPr>
          <w:rFonts w:ascii="Arial" w:hAnsi="Arial" w:cs="Arial"/>
          <w:sz w:val="24"/>
          <w:szCs w:val="24"/>
        </w:rPr>
        <w:t xml:space="preserve">This service </w:t>
      </w:r>
      <w:r w:rsidR="006C4DF0">
        <w:rPr>
          <w:rFonts w:ascii="Arial" w:hAnsi="Arial" w:cs="Arial"/>
          <w:sz w:val="24"/>
          <w:szCs w:val="24"/>
        </w:rPr>
        <w:t>excludes</w:t>
      </w:r>
      <w:r w:rsidRPr="006C4DF0">
        <w:rPr>
          <w:rFonts w:ascii="Arial" w:hAnsi="Arial" w:cs="Arial"/>
          <w:sz w:val="24"/>
          <w:szCs w:val="24"/>
        </w:rPr>
        <w:t xml:space="preserve"> provision of services to people who are under treatment by a DHB (either as an inpatient or outpatient) for services associated with that treatment.</w:t>
      </w:r>
    </w:p>
    <w:p w:rsidR="000532FF" w:rsidRPr="006C4DF0" w:rsidRDefault="000532FF" w:rsidP="006C4DF0">
      <w:pPr>
        <w:spacing w:before="120"/>
        <w:rPr>
          <w:rFonts w:ascii="Arial" w:hAnsi="Arial" w:cs="Arial"/>
          <w:szCs w:val="24"/>
          <w:lang w:val="en-AU"/>
        </w:rPr>
      </w:pPr>
      <w:r w:rsidRPr="006C4DF0">
        <w:rPr>
          <w:rFonts w:ascii="Arial" w:hAnsi="Arial" w:cs="Arial"/>
          <w:szCs w:val="24"/>
          <w:lang w:val="en-AU"/>
        </w:rPr>
        <w:t>The range of diagnostic modalities may include:</w:t>
      </w:r>
    </w:p>
    <w:p w:rsidR="000532FF" w:rsidRPr="006C4DF0" w:rsidRDefault="000532FF" w:rsidP="006C4DF0">
      <w:pPr>
        <w:numPr>
          <w:ilvl w:val="0"/>
          <w:numId w:val="2"/>
        </w:numPr>
        <w:spacing w:before="120"/>
        <w:ind w:left="567" w:hanging="567"/>
        <w:rPr>
          <w:rFonts w:ascii="Arial" w:hAnsi="Arial" w:cs="Arial"/>
          <w:szCs w:val="24"/>
          <w:lang w:val="en-AU"/>
        </w:rPr>
      </w:pPr>
      <w:r w:rsidRPr="006C4DF0">
        <w:rPr>
          <w:rFonts w:ascii="Arial" w:hAnsi="Arial" w:cs="Arial"/>
          <w:szCs w:val="24"/>
          <w:lang w:val="en-AU"/>
        </w:rPr>
        <w:t>cardiovascular- ECG/ echocardiography/</w:t>
      </w:r>
      <w:proofErr w:type="spellStart"/>
      <w:r w:rsidRPr="006C4DF0">
        <w:rPr>
          <w:rFonts w:ascii="Arial" w:hAnsi="Arial" w:cs="Arial"/>
          <w:szCs w:val="24"/>
          <w:lang w:val="en-AU"/>
        </w:rPr>
        <w:t>Holter</w:t>
      </w:r>
      <w:proofErr w:type="spellEnd"/>
      <w:r w:rsidRPr="006C4DF0">
        <w:rPr>
          <w:rFonts w:ascii="Arial" w:hAnsi="Arial" w:cs="Arial"/>
          <w:szCs w:val="24"/>
          <w:lang w:val="en-AU"/>
        </w:rPr>
        <w:t xml:space="preserve"> monitor and pacemaker checks, stress tests </w:t>
      </w:r>
    </w:p>
    <w:p w:rsidR="000532FF" w:rsidRPr="006C4DF0" w:rsidRDefault="000532FF" w:rsidP="006C4DF0">
      <w:pPr>
        <w:numPr>
          <w:ilvl w:val="0"/>
          <w:numId w:val="2"/>
        </w:numPr>
        <w:ind w:left="567" w:hanging="567"/>
        <w:rPr>
          <w:rFonts w:ascii="Arial" w:hAnsi="Arial" w:cs="Arial"/>
          <w:szCs w:val="24"/>
          <w:lang w:val="en-AU"/>
        </w:rPr>
      </w:pPr>
      <w:r w:rsidRPr="006C4DF0">
        <w:rPr>
          <w:rFonts w:ascii="Arial" w:hAnsi="Arial" w:cs="Arial"/>
          <w:szCs w:val="24"/>
          <w:lang w:val="en-AU"/>
        </w:rPr>
        <w:t xml:space="preserve">respiratory- </w:t>
      </w:r>
      <w:proofErr w:type="spellStart"/>
      <w:r w:rsidRPr="006C4DF0">
        <w:rPr>
          <w:rFonts w:ascii="Arial" w:hAnsi="Arial" w:cs="Arial"/>
          <w:szCs w:val="24"/>
          <w:lang w:val="en-AU"/>
        </w:rPr>
        <w:t>spirometry</w:t>
      </w:r>
      <w:proofErr w:type="spellEnd"/>
      <w:r w:rsidRPr="006C4DF0">
        <w:rPr>
          <w:rFonts w:ascii="Arial" w:hAnsi="Arial" w:cs="Arial"/>
          <w:szCs w:val="24"/>
          <w:lang w:val="en-AU"/>
        </w:rPr>
        <w:t>/ lung function tests, oximetry</w:t>
      </w:r>
    </w:p>
    <w:p w:rsidR="000532FF" w:rsidRPr="006C4DF0" w:rsidRDefault="000532FF" w:rsidP="006C4DF0">
      <w:pPr>
        <w:numPr>
          <w:ilvl w:val="0"/>
          <w:numId w:val="2"/>
        </w:numPr>
        <w:ind w:left="567" w:hanging="567"/>
        <w:rPr>
          <w:rFonts w:ascii="Arial" w:hAnsi="Arial" w:cs="Arial"/>
          <w:szCs w:val="24"/>
          <w:lang w:val="en-AU"/>
        </w:rPr>
      </w:pPr>
      <w:r w:rsidRPr="006C4DF0">
        <w:rPr>
          <w:rFonts w:ascii="Arial" w:hAnsi="Arial" w:cs="Arial"/>
          <w:szCs w:val="24"/>
          <w:lang w:val="en-AU"/>
        </w:rPr>
        <w:t>neurological- EEG, EMG</w:t>
      </w:r>
    </w:p>
    <w:p w:rsidR="000532FF" w:rsidRPr="006C4DF0" w:rsidRDefault="000532FF" w:rsidP="006C4DF0">
      <w:pPr>
        <w:numPr>
          <w:ilvl w:val="0"/>
          <w:numId w:val="2"/>
        </w:numPr>
        <w:ind w:left="567" w:hanging="567"/>
        <w:rPr>
          <w:rFonts w:ascii="Arial" w:hAnsi="Arial" w:cs="Arial"/>
          <w:szCs w:val="24"/>
          <w:lang w:val="en-AU"/>
        </w:rPr>
      </w:pPr>
      <w:r w:rsidRPr="006C4DF0">
        <w:rPr>
          <w:rFonts w:ascii="Arial" w:hAnsi="Arial" w:cs="Arial"/>
          <w:szCs w:val="24"/>
          <w:lang w:val="en-AU"/>
        </w:rPr>
        <w:t xml:space="preserve">audiology- </w:t>
      </w:r>
      <w:smartTag w:uri="urn:schemas-microsoft-com:office:smarttags" w:element="stockticker">
        <w:r w:rsidRPr="006C4DF0">
          <w:rPr>
            <w:rFonts w:ascii="Arial" w:hAnsi="Arial" w:cs="Arial"/>
            <w:szCs w:val="24"/>
            <w:lang w:val="en-AU"/>
          </w:rPr>
          <w:t>ABR</w:t>
        </w:r>
      </w:smartTag>
      <w:r w:rsidRPr="006C4DF0">
        <w:rPr>
          <w:rFonts w:ascii="Arial" w:hAnsi="Arial" w:cs="Arial"/>
          <w:szCs w:val="24"/>
          <w:lang w:val="en-AU"/>
        </w:rPr>
        <w:t>, COR, audiograms</w:t>
      </w:r>
    </w:p>
    <w:p w:rsidR="000532FF" w:rsidRPr="006C4DF0" w:rsidRDefault="000532FF" w:rsidP="006C4DF0">
      <w:pPr>
        <w:numPr>
          <w:ilvl w:val="0"/>
          <w:numId w:val="2"/>
        </w:numPr>
        <w:ind w:left="567" w:hanging="567"/>
        <w:rPr>
          <w:rFonts w:ascii="Arial" w:hAnsi="Arial" w:cs="Arial"/>
          <w:szCs w:val="24"/>
          <w:lang w:val="en-AU"/>
        </w:rPr>
      </w:pPr>
      <w:proofErr w:type="spellStart"/>
      <w:r w:rsidRPr="006C4DF0">
        <w:rPr>
          <w:rFonts w:ascii="Arial" w:hAnsi="Arial" w:cs="Arial"/>
          <w:szCs w:val="24"/>
          <w:lang w:val="en-AU"/>
        </w:rPr>
        <w:t>endocrinological</w:t>
      </w:r>
      <w:proofErr w:type="spellEnd"/>
      <w:r w:rsidRPr="006C4DF0">
        <w:rPr>
          <w:rFonts w:ascii="Arial" w:hAnsi="Arial" w:cs="Arial"/>
          <w:szCs w:val="24"/>
          <w:lang w:val="en-AU"/>
        </w:rPr>
        <w:t xml:space="preserve"> testing - bone densitometry, thyroid tests </w:t>
      </w:r>
    </w:p>
    <w:p w:rsidR="000532FF" w:rsidRPr="006C4DF0" w:rsidRDefault="000532FF" w:rsidP="006C4DF0">
      <w:pPr>
        <w:numPr>
          <w:ilvl w:val="0"/>
          <w:numId w:val="2"/>
        </w:numPr>
        <w:ind w:left="567" w:hanging="567"/>
        <w:rPr>
          <w:rFonts w:ascii="Arial" w:hAnsi="Arial" w:cs="Arial"/>
          <w:szCs w:val="24"/>
          <w:lang w:val="en-AU"/>
        </w:rPr>
      </w:pPr>
      <w:r w:rsidRPr="006C4DF0">
        <w:rPr>
          <w:rFonts w:ascii="Arial" w:hAnsi="Arial" w:cs="Arial"/>
          <w:szCs w:val="24"/>
          <w:lang w:val="en-AU"/>
        </w:rPr>
        <w:t xml:space="preserve">urological services – </w:t>
      </w:r>
      <w:proofErr w:type="spellStart"/>
      <w:r w:rsidRPr="006C4DF0">
        <w:rPr>
          <w:rFonts w:ascii="Arial" w:hAnsi="Arial" w:cs="Arial"/>
          <w:szCs w:val="24"/>
          <w:lang w:val="en-AU"/>
        </w:rPr>
        <w:t>urodynamics</w:t>
      </w:r>
      <w:proofErr w:type="spellEnd"/>
      <w:r w:rsidRPr="006C4DF0">
        <w:rPr>
          <w:rFonts w:ascii="Arial" w:hAnsi="Arial" w:cs="Arial"/>
          <w:szCs w:val="24"/>
          <w:lang w:val="en-AU"/>
        </w:rPr>
        <w:t xml:space="preserve"> </w:t>
      </w:r>
    </w:p>
    <w:p w:rsidR="000532FF" w:rsidRPr="006C4DF0" w:rsidRDefault="000532FF" w:rsidP="006C4DF0">
      <w:pPr>
        <w:numPr>
          <w:ilvl w:val="0"/>
          <w:numId w:val="2"/>
        </w:numPr>
        <w:ind w:left="567" w:hanging="567"/>
        <w:rPr>
          <w:rFonts w:ascii="Arial" w:hAnsi="Arial" w:cs="Arial"/>
          <w:szCs w:val="24"/>
          <w:lang w:val="en-AU"/>
        </w:rPr>
      </w:pPr>
      <w:r w:rsidRPr="006C4DF0">
        <w:rPr>
          <w:rFonts w:ascii="Arial" w:hAnsi="Arial" w:cs="Arial"/>
          <w:szCs w:val="24"/>
          <w:lang w:val="en-AU"/>
        </w:rPr>
        <w:t xml:space="preserve">gastroenterology </w:t>
      </w:r>
    </w:p>
    <w:p w:rsidR="000532FF" w:rsidRPr="006C4DF0" w:rsidRDefault="000532FF" w:rsidP="006C4DF0">
      <w:pPr>
        <w:spacing w:before="120"/>
        <w:rPr>
          <w:rFonts w:ascii="Arial" w:hAnsi="Arial" w:cs="Arial"/>
          <w:szCs w:val="24"/>
          <w:lang w:val="en-AU"/>
        </w:rPr>
      </w:pPr>
      <w:r w:rsidRPr="006C4DF0">
        <w:rPr>
          <w:rFonts w:ascii="Arial" w:hAnsi="Arial" w:cs="Arial"/>
          <w:szCs w:val="24"/>
          <w:lang w:val="en-AU"/>
        </w:rPr>
        <w:t>This is not an unrestricted service.  The range and levels of service will be as defined below.</w:t>
      </w:r>
    </w:p>
    <w:p w:rsidR="000532FF" w:rsidRPr="006C4DF0" w:rsidRDefault="000532FF" w:rsidP="006C4DF0">
      <w:pPr>
        <w:pStyle w:val="Heading1"/>
        <w:spacing w:before="120" w:after="0"/>
        <w:ind w:left="851" w:hanging="851"/>
        <w:jc w:val="left"/>
        <w:rPr>
          <w:rFonts w:cs="Arial"/>
          <w:sz w:val="24"/>
          <w:szCs w:val="24"/>
        </w:rPr>
      </w:pPr>
      <w:r w:rsidRPr="006C4DF0">
        <w:rPr>
          <w:rFonts w:cs="Arial"/>
          <w:sz w:val="24"/>
          <w:szCs w:val="24"/>
        </w:rPr>
        <w:t>SERVICE OBJECTIVES</w:t>
      </w:r>
    </w:p>
    <w:p w:rsidR="000532FF" w:rsidRPr="006C4DF0" w:rsidRDefault="000532FF" w:rsidP="006C4DF0">
      <w:pPr>
        <w:pStyle w:val="Heading2"/>
        <w:tabs>
          <w:tab w:val="clear" w:pos="567"/>
          <w:tab w:val="num" w:pos="1134"/>
        </w:tabs>
        <w:spacing w:before="120" w:after="0"/>
        <w:ind w:left="851" w:hanging="851"/>
        <w:jc w:val="left"/>
        <w:rPr>
          <w:rFonts w:cs="Arial"/>
          <w:i w:val="0"/>
          <w:szCs w:val="24"/>
        </w:rPr>
      </w:pPr>
      <w:r w:rsidRPr="006C4DF0">
        <w:rPr>
          <w:rFonts w:cs="Arial"/>
          <w:i w:val="0"/>
          <w:szCs w:val="24"/>
        </w:rPr>
        <w:t>General</w:t>
      </w:r>
    </w:p>
    <w:p w:rsidR="000532FF" w:rsidRPr="006C4DF0" w:rsidRDefault="006C4DF0" w:rsidP="006C4DF0">
      <w:pPr>
        <w:spacing w:before="120"/>
        <w:rPr>
          <w:rFonts w:ascii="Arial" w:hAnsi="Arial" w:cs="Arial"/>
          <w:szCs w:val="24"/>
        </w:rPr>
      </w:pPr>
      <w:r>
        <w:rPr>
          <w:rFonts w:ascii="Arial" w:hAnsi="Arial" w:cs="Arial"/>
          <w:szCs w:val="24"/>
        </w:rPr>
        <w:t>The</w:t>
      </w:r>
      <w:r w:rsidR="000532FF" w:rsidRPr="006C4DF0">
        <w:rPr>
          <w:rFonts w:ascii="Arial" w:hAnsi="Arial" w:cs="Arial"/>
          <w:szCs w:val="24"/>
        </w:rPr>
        <w:t xml:space="preserve"> community referred clinical testing and measurement services as part of an integrated</w:t>
      </w:r>
      <w:r>
        <w:rPr>
          <w:rFonts w:ascii="Arial" w:hAnsi="Arial" w:cs="Arial"/>
          <w:szCs w:val="24"/>
        </w:rPr>
        <w:t xml:space="preserve"> community based health service</w:t>
      </w:r>
      <w:r w:rsidR="000532FF" w:rsidRPr="006C4DF0">
        <w:rPr>
          <w:rFonts w:ascii="Arial" w:hAnsi="Arial" w:cs="Arial"/>
          <w:szCs w:val="24"/>
        </w:rPr>
        <w:t>:</w:t>
      </w:r>
    </w:p>
    <w:p w:rsidR="000532FF" w:rsidRPr="006C4DF0" w:rsidRDefault="000532FF" w:rsidP="006C4DF0">
      <w:pPr>
        <w:numPr>
          <w:ilvl w:val="0"/>
          <w:numId w:val="3"/>
        </w:numPr>
        <w:spacing w:before="120"/>
        <w:ind w:left="567" w:hanging="567"/>
        <w:rPr>
          <w:rFonts w:ascii="Arial" w:hAnsi="Arial" w:cs="Arial"/>
          <w:szCs w:val="24"/>
        </w:rPr>
      </w:pPr>
      <w:r w:rsidRPr="006C4DF0">
        <w:rPr>
          <w:rFonts w:ascii="Arial" w:hAnsi="Arial" w:cs="Arial"/>
          <w:szCs w:val="24"/>
        </w:rPr>
        <w:t>provides patients with the best quality and most cost-effective services based on established professional and quality management standards and codes of practice</w:t>
      </w:r>
    </w:p>
    <w:p w:rsidR="000532FF" w:rsidRPr="006C4DF0" w:rsidRDefault="000532FF" w:rsidP="006C4DF0">
      <w:pPr>
        <w:numPr>
          <w:ilvl w:val="0"/>
          <w:numId w:val="3"/>
        </w:numPr>
        <w:ind w:left="567" w:hanging="567"/>
        <w:rPr>
          <w:rFonts w:ascii="Arial" w:hAnsi="Arial" w:cs="Arial"/>
          <w:szCs w:val="24"/>
        </w:rPr>
      </w:pPr>
      <w:r w:rsidRPr="006C4DF0">
        <w:rPr>
          <w:rFonts w:ascii="Arial" w:hAnsi="Arial" w:cs="Arial"/>
          <w:szCs w:val="24"/>
        </w:rPr>
        <w:t>provides timely reporting of results to referrers</w:t>
      </w:r>
    </w:p>
    <w:p w:rsidR="000532FF" w:rsidRPr="006C4DF0" w:rsidRDefault="000532FF" w:rsidP="006C4DF0">
      <w:pPr>
        <w:numPr>
          <w:ilvl w:val="0"/>
          <w:numId w:val="3"/>
        </w:numPr>
        <w:ind w:left="567" w:hanging="567"/>
        <w:rPr>
          <w:rFonts w:ascii="Arial" w:hAnsi="Arial" w:cs="Arial"/>
          <w:szCs w:val="24"/>
        </w:rPr>
      </w:pPr>
      <w:r w:rsidRPr="006C4DF0">
        <w:rPr>
          <w:rFonts w:ascii="Arial" w:hAnsi="Arial" w:cs="Arial"/>
          <w:szCs w:val="24"/>
        </w:rPr>
        <w:t>provides specialist advice as required to ensure optimal patient management</w:t>
      </w:r>
    </w:p>
    <w:p w:rsidR="000532FF" w:rsidRPr="006C4DF0" w:rsidRDefault="000532FF" w:rsidP="006C4DF0">
      <w:pPr>
        <w:numPr>
          <w:ilvl w:val="0"/>
          <w:numId w:val="3"/>
        </w:numPr>
        <w:ind w:left="567" w:hanging="567"/>
        <w:rPr>
          <w:rFonts w:ascii="Arial" w:hAnsi="Arial" w:cs="Arial"/>
          <w:szCs w:val="24"/>
        </w:rPr>
      </w:pPr>
      <w:r w:rsidRPr="006C4DF0">
        <w:rPr>
          <w:rFonts w:ascii="Arial" w:hAnsi="Arial" w:cs="Arial"/>
          <w:szCs w:val="24"/>
        </w:rPr>
        <w:t>ensures patient and staff safety at all times</w:t>
      </w:r>
    </w:p>
    <w:p w:rsidR="000532FF" w:rsidRPr="006C4DF0" w:rsidRDefault="000532FF" w:rsidP="006C4DF0">
      <w:pPr>
        <w:numPr>
          <w:ilvl w:val="0"/>
          <w:numId w:val="3"/>
        </w:numPr>
        <w:ind w:left="567" w:hanging="567"/>
        <w:rPr>
          <w:rFonts w:ascii="Arial" w:hAnsi="Arial" w:cs="Arial"/>
          <w:szCs w:val="24"/>
        </w:rPr>
      </w:pPr>
      <w:proofErr w:type="gramStart"/>
      <w:r w:rsidRPr="006C4DF0">
        <w:rPr>
          <w:rFonts w:ascii="Arial" w:hAnsi="Arial" w:cs="Arial"/>
          <w:szCs w:val="24"/>
        </w:rPr>
        <w:t>improves</w:t>
      </w:r>
      <w:proofErr w:type="gramEnd"/>
      <w:r w:rsidRPr="006C4DF0">
        <w:rPr>
          <w:rFonts w:ascii="Arial" w:hAnsi="Arial" w:cs="Arial"/>
          <w:szCs w:val="24"/>
        </w:rPr>
        <w:t xml:space="preserve"> the health of Maori which includes targeting services to best meet Maori need.</w:t>
      </w:r>
    </w:p>
    <w:p w:rsidR="000532FF" w:rsidRPr="006C4DF0" w:rsidRDefault="000532FF" w:rsidP="006C4DF0">
      <w:pPr>
        <w:pStyle w:val="Heading2"/>
        <w:tabs>
          <w:tab w:val="clear" w:pos="567"/>
          <w:tab w:val="num" w:pos="1134"/>
        </w:tabs>
        <w:spacing w:before="120" w:after="0"/>
        <w:ind w:firstLine="0"/>
        <w:jc w:val="left"/>
        <w:rPr>
          <w:rFonts w:cs="Arial"/>
          <w:i w:val="0"/>
          <w:szCs w:val="24"/>
        </w:rPr>
      </w:pPr>
      <w:r w:rsidRPr="006C4DF0">
        <w:rPr>
          <w:rFonts w:cs="Arial"/>
          <w:i w:val="0"/>
          <w:szCs w:val="24"/>
        </w:rPr>
        <w:t>Maori Health</w:t>
      </w:r>
      <w:r w:rsidR="006C4DF0">
        <w:rPr>
          <w:rFonts w:cs="Arial"/>
          <w:i w:val="0"/>
          <w:szCs w:val="24"/>
        </w:rPr>
        <w:t xml:space="preserve"> Objectives </w:t>
      </w:r>
    </w:p>
    <w:p w:rsidR="000532FF" w:rsidRPr="006C4DF0" w:rsidRDefault="006C4DF0" w:rsidP="006C4DF0">
      <w:pPr>
        <w:spacing w:before="120"/>
        <w:rPr>
          <w:rFonts w:ascii="Arial" w:hAnsi="Arial" w:cs="Arial"/>
          <w:szCs w:val="24"/>
        </w:rPr>
      </w:pPr>
      <w:bookmarkStart w:id="0" w:name="INTERN_LINK1"/>
      <w:r>
        <w:rPr>
          <w:rFonts w:ascii="Arial" w:hAnsi="Arial" w:cs="Arial"/>
          <w:szCs w:val="24"/>
        </w:rPr>
        <w:t xml:space="preserve">He Korowai </w:t>
      </w:r>
      <w:proofErr w:type="spellStart"/>
      <w:r>
        <w:rPr>
          <w:rFonts w:ascii="Arial" w:hAnsi="Arial" w:cs="Arial"/>
          <w:szCs w:val="24"/>
        </w:rPr>
        <w:t>Oranga</w:t>
      </w:r>
      <w:proofErr w:type="spellEnd"/>
      <w:r>
        <w:rPr>
          <w:rFonts w:ascii="Arial" w:hAnsi="Arial" w:cs="Arial"/>
          <w:szCs w:val="24"/>
        </w:rPr>
        <w:t xml:space="preserve"> the Maori Health Strategy</w:t>
      </w:r>
      <w:r w:rsidR="007326CD">
        <w:rPr>
          <w:rFonts w:ascii="Arial" w:hAnsi="Arial" w:cs="Arial"/>
          <w:szCs w:val="24"/>
        </w:rPr>
        <w:t>,</w:t>
      </w:r>
      <w:r w:rsidR="000532FF" w:rsidRPr="006C4DF0">
        <w:rPr>
          <w:rFonts w:ascii="Arial" w:hAnsi="Arial" w:cs="Arial"/>
          <w:szCs w:val="24"/>
        </w:rPr>
        <w:t xml:space="preserve"> and the requirement to develop an organisation-wide Maori Health Policy and Plan are outlined in the General Terms and Conditions and Provider Quality Specifications.  In addition the provider will develop and implement an annual plan that outlines how it will contribute to Maori </w:t>
      </w:r>
      <w:r w:rsidR="008A7C1B">
        <w:rPr>
          <w:rFonts w:ascii="Arial" w:hAnsi="Arial" w:cs="Arial"/>
          <w:szCs w:val="24"/>
        </w:rPr>
        <w:t>h</w:t>
      </w:r>
      <w:r w:rsidR="000532FF" w:rsidRPr="006C4DF0">
        <w:rPr>
          <w:rFonts w:ascii="Arial" w:hAnsi="Arial" w:cs="Arial"/>
          <w:szCs w:val="24"/>
        </w:rPr>
        <w:t xml:space="preserve">ealth </w:t>
      </w:r>
      <w:r w:rsidR="008A7C1B">
        <w:rPr>
          <w:rFonts w:ascii="Arial" w:hAnsi="Arial" w:cs="Arial"/>
          <w:szCs w:val="24"/>
        </w:rPr>
        <w:t>g</w:t>
      </w:r>
      <w:r w:rsidR="000532FF" w:rsidRPr="006C4DF0">
        <w:rPr>
          <w:rFonts w:ascii="Arial" w:hAnsi="Arial" w:cs="Arial"/>
          <w:szCs w:val="24"/>
        </w:rPr>
        <w:t xml:space="preserve">ain for the services contained in this service description. </w:t>
      </w:r>
    </w:p>
    <w:bookmarkEnd w:id="0"/>
    <w:p w:rsidR="000532FF" w:rsidRPr="006C4DF0" w:rsidRDefault="000532FF" w:rsidP="006C4DF0">
      <w:pPr>
        <w:spacing w:before="120" w:after="120"/>
        <w:rPr>
          <w:rFonts w:ascii="Arial" w:hAnsi="Arial" w:cs="Arial"/>
          <w:szCs w:val="24"/>
        </w:rPr>
      </w:pPr>
      <w:r w:rsidRPr="006C4DF0">
        <w:rPr>
          <w:rFonts w:ascii="Arial" w:hAnsi="Arial" w:cs="Arial"/>
          <w:szCs w:val="24"/>
        </w:rPr>
        <w:t>The plan should include the following objectives (as a minimum):</w:t>
      </w:r>
    </w:p>
    <w:p w:rsidR="000532FF" w:rsidRPr="006C4DF0" w:rsidRDefault="000532FF" w:rsidP="008A7C1B">
      <w:pPr>
        <w:numPr>
          <w:ilvl w:val="0"/>
          <w:numId w:val="5"/>
        </w:numPr>
        <w:tabs>
          <w:tab w:val="clear" w:pos="360"/>
        </w:tabs>
        <w:ind w:left="567" w:hanging="567"/>
        <w:rPr>
          <w:rFonts w:ascii="Arial" w:hAnsi="Arial" w:cs="Arial"/>
          <w:szCs w:val="24"/>
        </w:rPr>
      </w:pPr>
      <w:r w:rsidRPr="006C4DF0">
        <w:rPr>
          <w:rFonts w:ascii="Arial" w:hAnsi="Arial" w:cs="Arial"/>
          <w:szCs w:val="24"/>
        </w:rPr>
        <w:t xml:space="preserve">how the provider will ensure that Maori utilisation is targeted to meet need </w:t>
      </w:r>
    </w:p>
    <w:p w:rsidR="000532FF" w:rsidRPr="006C4DF0" w:rsidRDefault="000532FF" w:rsidP="008A7C1B">
      <w:pPr>
        <w:numPr>
          <w:ilvl w:val="0"/>
          <w:numId w:val="5"/>
        </w:numPr>
        <w:tabs>
          <w:tab w:val="clear" w:pos="360"/>
        </w:tabs>
        <w:ind w:left="567" w:hanging="567"/>
        <w:rPr>
          <w:rFonts w:ascii="Arial" w:hAnsi="Arial" w:cs="Arial"/>
          <w:szCs w:val="24"/>
        </w:rPr>
      </w:pPr>
      <w:r w:rsidRPr="006C4DF0">
        <w:rPr>
          <w:rFonts w:ascii="Arial" w:hAnsi="Arial" w:cs="Arial"/>
          <w:szCs w:val="24"/>
        </w:rPr>
        <w:t>how links with primary care – general practice, community providers, Maori providers will be established and</w:t>
      </w:r>
      <w:r w:rsidR="008A7C1B">
        <w:rPr>
          <w:rFonts w:ascii="Arial" w:hAnsi="Arial" w:cs="Arial"/>
          <w:szCs w:val="24"/>
        </w:rPr>
        <w:t xml:space="preserve"> enhanced for Maori health gain</w:t>
      </w:r>
    </w:p>
    <w:p w:rsidR="000532FF" w:rsidRPr="006C4DF0" w:rsidRDefault="000532FF" w:rsidP="008A7C1B">
      <w:pPr>
        <w:numPr>
          <w:ilvl w:val="0"/>
          <w:numId w:val="6"/>
        </w:numPr>
        <w:tabs>
          <w:tab w:val="clear" w:pos="360"/>
        </w:tabs>
        <w:ind w:left="567" w:hanging="567"/>
        <w:rPr>
          <w:rFonts w:ascii="Arial" w:hAnsi="Arial" w:cs="Arial"/>
          <w:szCs w:val="24"/>
        </w:rPr>
      </w:pPr>
      <w:r w:rsidRPr="006C4DF0">
        <w:rPr>
          <w:rFonts w:ascii="Arial" w:hAnsi="Arial" w:cs="Arial"/>
          <w:szCs w:val="24"/>
        </w:rPr>
        <w:t xml:space="preserve">how the links </w:t>
      </w:r>
      <w:r w:rsidR="00683DB2" w:rsidRPr="006C4DF0">
        <w:rPr>
          <w:rFonts w:ascii="Arial" w:hAnsi="Arial" w:cs="Arial"/>
          <w:szCs w:val="24"/>
        </w:rPr>
        <w:t xml:space="preserve">will be established </w:t>
      </w:r>
      <w:r w:rsidRPr="006C4DF0">
        <w:rPr>
          <w:rFonts w:ascii="Arial" w:hAnsi="Arial" w:cs="Arial"/>
          <w:szCs w:val="24"/>
        </w:rPr>
        <w:t>with the DHB</w:t>
      </w:r>
      <w:r w:rsidR="00683DB2">
        <w:rPr>
          <w:rFonts w:ascii="Arial" w:hAnsi="Arial" w:cs="Arial"/>
          <w:szCs w:val="24"/>
        </w:rPr>
        <w:t>’s</w:t>
      </w:r>
      <w:r w:rsidRPr="006C4DF0">
        <w:rPr>
          <w:rFonts w:ascii="Arial" w:hAnsi="Arial" w:cs="Arial"/>
          <w:szCs w:val="24"/>
        </w:rPr>
        <w:t xml:space="preserve"> Quality Plan and other contractual quality specifications, espe</w:t>
      </w:r>
      <w:r w:rsidR="00683DB2">
        <w:rPr>
          <w:rFonts w:ascii="Arial" w:hAnsi="Arial" w:cs="Arial"/>
          <w:szCs w:val="24"/>
        </w:rPr>
        <w:t>cially consultation with Maori</w:t>
      </w:r>
    </w:p>
    <w:p w:rsidR="000532FF" w:rsidRPr="006C4DF0" w:rsidRDefault="000532FF" w:rsidP="008A7C1B">
      <w:pPr>
        <w:numPr>
          <w:ilvl w:val="0"/>
          <w:numId w:val="6"/>
        </w:numPr>
        <w:tabs>
          <w:tab w:val="clear" w:pos="360"/>
        </w:tabs>
        <w:ind w:left="567" w:hanging="567"/>
        <w:rPr>
          <w:rFonts w:ascii="Arial" w:hAnsi="Arial" w:cs="Arial"/>
          <w:szCs w:val="24"/>
        </w:rPr>
      </w:pPr>
      <w:proofErr w:type="gramStart"/>
      <w:r w:rsidRPr="006C4DF0">
        <w:rPr>
          <w:rFonts w:ascii="Arial" w:hAnsi="Arial" w:cs="Arial"/>
          <w:szCs w:val="24"/>
        </w:rPr>
        <w:t>and</w:t>
      </w:r>
      <w:proofErr w:type="gramEnd"/>
      <w:r w:rsidRPr="006C4DF0">
        <w:rPr>
          <w:rFonts w:ascii="Arial" w:hAnsi="Arial" w:cs="Arial"/>
          <w:szCs w:val="24"/>
        </w:rPr>
        <w:t xml:space="preserve"> how these objectives will be monitored and measured for Maori health gain.</w:t>
      </w:r>
    </w:p>
    <w:p w:rsidR="006C4DF0" w:rsidRPr="008A7C1B" w:rsidRDefault="006C4DF0" w:rsidP="00683DB2">
      <w:pPr>
        <w:pStyle w:val="BodyText"/>
        <w:spacing w:before="120"/>
        <w:jc w:val="left"/>
        <w:rPr>
          <w:rFonts w:ascii="Arial" w:hAnsi="Arial" w:cs="Arial"/>
          <w:szCs w:val="24"/>
        </w:rPr>
      </w:pPr>
      <w:r w:rsidRPr="008A7C1B">
        <w:rPr>
          <w:rFonts w:ascii="Arial" w:hAnsi="Arial" w:cs="Arial"/>
          <w:szCs w:val="24"/>
        </w:rPr>
        <w:t>The Service will be delivered in a supportive manner that respects the dignity, rights, needs, abilities and cultural values of the client, and their family/</w:t>
      </w:r>
      <w:proofErr w:type="spellStart"/>
      <w:r w:rsidRPr="008A7C1B">
        <w:rPr>
          <w:rFonts w:ascii="Arial" w:hAnsi="Arial" w:cs="Arial"/>
          <w:szCs w:val="24"/>
        </w:rPr>
        <w:t>whanau</w:t>
      </w:r>
      <w:proofErr w:type="spellEnd"/>
      <w:r w:rsidRPr="008A7C1B">
        <w:rPr>
          <w:rFonts w:ascii="Arial" w:hAnsi="Arial" w:cs="Arial"/>
          <w:szCs w:val="24"/>
        </w:rPr>
        <w:t>.</w:t>
      </w:r>
    </w:p>
    <w:p w:rsidR="000532FF" w:rsidRPr="006C4DF0" w:rsidRDefault="000532FF" w:rsidP="006C4DF0">
      <w:pPr>
        <w:pStyle w:val="Heading1"/>
        <w:tabs>
          <w:tab w:val="clear" w:pos="567"/>
          <w:tab w:val="num" w:pos="851"/>
        </w:tabs>
        <w:spacing w:after="0"/>
        <w:ind w:left="851" w:hanging="851"/>
        <w:jc w:val="left"/>
        <w:rPr>
          <w:rFonts w:cs="Arial"/>
          <w:sz w:val="24"/>
          <w:szCs w:val="24"/>
        </w:rPr>
      </w:pPr>
      <w:r w:rsidRPr="006C4DF0">
        <w:rPr>
          <w:rFonts w:cs="Arial"/>
          <w:sz w:val="24"/>
          <w:szCs w:val="24"/>
        </w:rPr>
        <w:t>SERVICE USERS</w:t>
      </w:r>
    </w:p>
    <w:p w:rsidR="000532FF" w:rsidRPr="006C4DF0" w:rsidRDefault="000532FF" w:rsidP="006C4DF0">
      <w:pPr>
        <w:spacing w:before="120"/>
        <w:rPr>
          <w:rFonts w:ascii="Arial" w:hAnsi="Arial" w:cs="Arial"/>
          <w:szCs w:val="24"/>
        </w:rPr>
      </w:pPr>
      <w:r w:rsidRPr="006C4DF0">
        <w:rPr>
          <w:rFonts w:ascii="Arial" w:hAnsi="Arial" w:cs="Arial"/>
          <w:szCs w:val="24"/>
        </w:rPr>
        <w:t xml:space="preserve">The client group comprises eligible people who have been referred by </w:t>
      </w:r>
      <w:r w:rsidR="006C4DF0">
        <w:rPr>
          <w:rFonts w:ascii="Arial" w:hAnsi="Arial" w:cs="Arial"/>
          <w:szCs w:val="24"/>
        </w:rPr>
        <w:t>G</w:t>
      </w:r>
      <w:r w:rsidRPr="006C4DF0">
        <w:rPr>
          <w:rFonts w:ascii="Arial" w:hAnsi="Arial" w:cs="Arial"/>
          <w:szCs w:val="24"/>
        </w:rPr>
        <w:t xml:space="preserve">eneral </w:t>
      </w:r>
      <w:r w:rsidR="006C4DF0">
        <w:rPr>
          <w:rFonts w:ascii="Arial" w:hAnsi="Arial" w:cs="Arial"/>
          <w:szCs w:val="24"/>
        </w:rPr>
        <w:t>P</w:t>
      </w:r>
      <w:r w:rsidRPr="006C4DF0">
        <w:rPr>
          <w:rFonts w:ascii="Arial" w:hAnsi="Arial" w:cs="Arial"/>
          <w:szCs w:val="24"/>
        </w:rPr>
        <w:t>ractitioners or private medical specialists</w:t>
      </w:r>
      <w:r w:rsidR="00683DB2">
        <w:rPr>
          <w:rFonts w:ascii="Arial" w:hAnsi="Arial" w:cs="Arial"/>
          <w:szCs w:val="24"/>
        </w:rPr>
        <w:t>,</w:t>
      </w:r>
      <w:r w:rsidR="006C4DF0" w:rsidRPr="006C4DF0">
        <w:rPr>
          <w:rFonts w:ascii="Arial" w:hAnsi="Arial" w:cs="Arial"/>
          <w:sz w:val="22"/>
          <w:szCs w:val="22"/>
        </w:rPr>
        <w:t xml:space="preserve"> </w:t>
      </w:r>
      <w:r w:rsidR="006C4DF0" w:rsidRPr="006C4DF0">
        <w:rPr>
          <w:rFonts w:ascii="Arial" w:hAnsi="Arial" w:cs="Arial"/>
          <w:szCs w:val="24"/>
        </w:rPr>
        <w:t>or other health practitioners approved for the purpose by the Ministry of Health</w:t>
      </w:r>
      <w:r w:rsidR="006C4DF0">
        <w:rPr>
          <w:rFonts w:ascii="Arial" w:hAnsi="Arial" w:cs="Arial"/>
          <w:szCs w:val="24"/>
        </w:rPr>
        <w:t>.</w:t>
      </w:r>
    </w:p>
    <w:p w:rsidR="000532FF" w:rsidRPr="006C4DF0" w:rsidRDefault="000532FF" w:rsidP="008A7C1B">
      <w:pPr>
        <w:pStyle w:val="Heading1"/>
        <w:tabs>
          <w:tab w:val="clear" w:pos="567"/>
          <w:tab w:val="num" w:pos="851"/>
        </w:tabs>
        <w:spacing w:after="0"/>
        <w:ind w:left="851" w:hanging="851"/>
        <w:jc w:val="left"/>
        <w:rPr>
          <w:rFonts w:cs="Arial"/>
          <w:sz w:val="24"/>
          <w:szCs w:val="24"/>
        </w:rPr>
      </w:pPr>
      <w:r w:rsidRPr="006C4DF0">
        <w:rPr>
          <w:rFonts w:cs="Arial"/>
          <w:sz w:val="24"/>
          <w:szCs w:val="24"/>
        </w:rPr>
        <w:t>ACCESS</w:t>
      </w:r>
    </w:p>
    <w:p w:rsidR="000532FF" w:rsidRPr="006C4DF0" w:rsidRDefault="000532FF" w:rsidP="006C4DF0">
      <w:pPr>
        <w:pStyle w:val="Heading2"/>
        <w:tabs>
          <w:tab w:val="clear" w:pos="567"/>
          <w:tab w:val="num" w:pos="1134"/>
        </w:tabs>
        <w:spacing w:before="120" w:after="0"/>
        <w:ind w:left="851" w:hanging="851"/>
        <w:jc w:val="left"/>
        <w:rPr>
          <w:rFonts w:cs="Arial"/>
          <w:i w:val="0"/>
          <w:szCs w:val="24"/>
        </w:rPr>
      </w:pPr>
      <w:r w:rsidRPr="006C4DF0">
        <w:rPr>
          <w:rFonts w:cs="Arial"/>
          <w:i w:val="0"/>
          <w:szCs w:val="24"/>
        </w:rPr>
        <w:t>Entry and Exit Criteria</w:t>
      </w:r>
    </w:p>
    <w:p w:rsidR="000532FF" w:rsidRPr="006C4DF0" w:rsidRDefault="000532FF" w:rsidP="008A7C1B">
      <w:pPr>
        <w:pStyle w:val="BodyTextIndent"/>
        <w:spacing w:before="120"/>
        <w:jc w:val="left"/>
        <w:rPr>
          <w:rFonts w:ascii="Arial" w:hAnsi="Arial" w:cs="Arial"/>
          <w:szCs w:val="24"/>
        </w:rPr>
      </w:pPr>
      <w:r w:rsidRPr="006C4DF0">
        <w:rPr>
          <w:rFonts w:ascii="Arial" w:hAnsi="Arial" w:cs="Arial"/>
          <w:szCs w:val="24"/>
        </w:rPr>
        <w:t>Access criteria are defined in co-operation with referrers, and in line with priority access criteria, and these criteria and waiting times will be communicated clearly to referrers each 6 months</w:t>
      </w:r>
      <w:r w:rsidR="00BC6CE2">
        <w:rPr>
          <w:rFonts w:ascii="Arial" w:hAnsi="Arial" w:cs="Arial"/>
          <w:szCs w:val="24"/>
        </w:rPr>
        <w:t>.</w:t>
      </w:r>
    </w:p>
    <w:p w:rsidR="000532FF" w:rsidRPr="006C4DF0" w:rsidRDefault="000532FF" w:rsidP="008A7C1B">
      <w:pPr>
        <w:pStyle w:val="Heading2"/>
        <w:tabs>
          <w:tab w:val="clear" w:pos="567"/>
          <w:tab w:val="num" w:pos="1134"/>
        </w:tabs>
        <w:spacing w:before="120" w:after="0"/>
        <w:ind w:left="851" w:hanging="851"/>
        <w:jc w:val="left"/>
        <w:rPr>
          <w:rFonts w:cs="Arial"/>
          <w:i w:val="0"/>
          <w:szCs w:val="24"/>
        </w:rPr>
      </w:pPr>
      <w:r w:rsidRPr="006C4DF0">
        <w:rPr>
          <w:rFonts w:cs="Arial"/>
          <w:i w:val="0"/>
          <w:szCs w:val="24"/>
        </w:rPr>
        <w:t>Time</w:t>
      </w:r>
    </w:p>
    <w:p w:rsidR="000532FF" w:rsidRPr="006C4DF0" w:rsidRDefault="000532FF" w:rsidP="008A7C1B">
      <w:pPr>
        <w:spacing w:before="120"/>
        <w:rPr>
          <w:rFonts w:ascii="Arial" w:hAnsi="Arial" w:cs="Arial"/>
          <w:szCs w:val="24"/>
        </w:rPr>
      </w:pPr>
      <w:r w:rsidRPr="006C4DF0">
        <w:rPr>
          <w:rFonts w:ascii="Arial" w:hAnsi="Arial" w:cs="Arial"/>
          <w:szCs w:val="24"/>
        </w:rPr>
        <w:t>You will specify and publish the usual hours of operation, and arrangements for after hours and urgent services, prior to the commencement of this agreement.</w:t>
      </w:r>
    </w:p>
    <w:p w:rsidR="000532FF" w:rsidRPr="006C4DF0" w:rsidRDefault="000532FF" w:rsidP="0098046E">
      <w:pPr>
        <w:spacing w:before="120"/>
        <w:rPr>
          <w:rFonts w:ascii="Arial" w:hAnsi="Arial" w:cs="Arial"/>
          <w:szCs w:val="24"/>
        </w:rPr>
      </w:pPr>
      <w:r w:rsidRPr="006C4DF0">
        <w:rPr>
          <w:rFonts w:ascii="Arial" w:hAnsi="Arial" w:cs="Arial"/>
          <w:szCs w:val="24"/>
        </w:rPr>
        <w:t>Community referred clinical testing and measurement services shall be provided as soon as possible (within an 8 hour maximum response time) in urgent cases.</w:t>
      </w:r>
    </w:p>
    <w:p w:rsidR="000532FF" w:rsidRPr="006C4DF0" w:rsidRDefault="000532FF" w:rsidP="0098046E">
      <w:pPr>
        <w:pStyle w:val="Heading1"/>
        <w:tabs>
          <w:tab w:val="clear" w:pos="567"/>
          <w:tab w:val="num" w:pos="851"/>
        </w:tabs>
        <w:spacing w:after="0"/>
        <w:ind w:left="851" w:hanging="851"/>
        <w:jc w:val="left"/>
        <w:rPr>
          <w:rFonts w:cs="Arial"/>
          <w:sz w:val="24"/>
          <w:szCs w:val="24"/>
        </w:rPr>
      </w:pPr>
      <w:r w:rsidRPr="006C4DF0">
        <w:rPr>
          <w:rFonts w:cs="Arial"/>
          <w:sz w:val="24"/>
          <w:szCs w:val="24"/>
        </w:rPr>
        <w:t>SERVICE COMPONENTS</w:t>
      </w:r>
    </w:p>
    <w:p w:rsidR="000532FF" w:rsidRPr="007326CD" w:rsidRDefault="000532FF" w:rsidP="007326CD">
      <w:pPr>
        <w:pStyle w:val="Heading2"/>
        <w:tabs>
          <w:tab w:val="clear" w:pos="567"/>
          <w:tab w:val="num" w:pos="1134"/>
        </w:tabs>
        <w:spacing w:before="120" w:after="120"/>
        <w:ind w:left="851" w:hanging="851"/>
        <w:jc w:val="left"/>
        <w:rPr>
          <w:rFonts w:cs="Arial"/>
          <w:i w:val="0"/>
          <w:szCs w:val="24"/>
        </w:rPr>
      </w:pPr>
      <w:r w:rsidRPr="007326CD">
        <w:rPr>
          <w:rFonts w:cs="Arial"/>
          <w:i w:val="0"/>
          <w:szCs w:val="24"/>
        </w:rPr>
        <w:t>Processes</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6520"/>
      </w:tblGrid>
      <w:tr w:rsidR="000532FF" w:rsidRPr="006C4DF0" w:rsidTr="0098046E">
        <w:trPr>
          <w:tblHeader/>
          <w:jc w:val="center"/>
        </w:trPr>
        <w:tc>
          <w:tcPr>
            <w:tcW w:w="3096" w:type="dxa"/>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 xml:space="preserve">Service Component </w:t>
            </w:r>
          </w:p>
        </w:tc>
        <w:tc>
          <w:tcPr>
            <w:tcW w:w="6520" w:type="dxa"/>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Description</w:t>
            </w:r>
          </w:p>
        </w:tc>
      </w:tr>
      <w:tr w:rsidR="000532FF" w:rsidRPr="006C4DF0" w:rsidTr="0098046E">
        <w:trPr>
          <w:jc w:val="center"/>
        </w:trPr>
        <w:tc>
          <w:tcPr>
            <w:tcW w:w="3096" w:type="dxa"/>
          </w:tcPr>
          <w:p w:rsidR="000532FF" w:rsidRPr="006C4DF0" w:rsidRDefault="000532FF" w:rsidP="00D51557">
            <w:pPr>
              <w:rPr>
                <w:rFonts w:ascii="Arial" w:hAnsi="Arial" w:cs="Arial"/>
                <w:szCs w:val="24"/>
              </w:rPr>
            </w:pPr>
            <w:r w:rsidRPr="006C4DF0">
              <w:rPr>
                <w:rFonts w:ascii="Arial" w:hAnsi="Arial" w:cs="Arial"/>
                <w:szCs w:val="24"/>
              </w:rPr>
              <w:t>Provision of diagnostic examinations</w:t>
            </w:r>
          </w:p>
        </w:tc>
        <w:tc>
          <w:tcPr>
            <w:tcW w:w="6520" w:type="dxa"/>
          </w:tcPr>
          <w:p w:rsidR="000532FF" w:rsidRPr="006C4DF0" w:rsidRDefault="000532FF" w:rsidP="006C4DF0">
            <w:pPr>
              <w:rPr>
                <w:rFonts w:ascii="Arial" w:hAnsi="Arial" w:cs="Arial"/>
                <w:szCs w:val="24"/>
              </w:rPr>
            </w:pPr>
            <w:r w:rsidRPr="006C4DF0">
              <w:rPr>
                <w:rFonts w:ascii="Arial" w:hAnsi="Arial" w:cs="Arial"/>
                <w:szCs w:val="24"/>
              </w:rPr>
              <w:t>Preparation of patient, including provision/administration of any services, substances and supplies incidental to the procedure, and undertaking of the examination/procedure</w:t>
            </w:r>
          </w:p>
        </w:tc>
      </w:tr>
      <w:tr w:rsidR="000532FF" w:rsidRPr="006C4DF0" w:rsidTr="0098046E">
        <w:trPr>
          <w:jc w:val="center"/>
        </w:trPr>
        <w:tc>
          <w:tcPr>
            <w:tcW w:w="3096" w:type="dxa"/>
          </w:tcPr>
          <w:p w:rsidR="000532FF" w:rsidRPr="006C4DF0" w:rsidRDefault="000532FF" w:rsidP="006C4DF0">
            <w:pPr>
              <w:rPr>
                <w:rFonts w:ascii="Arial" w:hAnsi="Arial" w:cs="Arial"/>
                <w:szCs w:val="24"/>
              </w:rPr>
            </w:pPr>
            <w:r w:rsidRPr="006C4DF0">
              <w:rPr>
                <w:rFonts w:ascii="Arial" w:hAnsi="Arial" w:cs="Arial"/>
                <w:szCs w:val="24"/>
              </w:rPr>
              <w:t>Reporting of examinations and other procedures</w:t>
            </w:r>
          </w:p>
        </w:tc>
        <w:tc>
          <w:tcPr>
            <w:tcW w:w="6520" w:type="dxa"/>
          </w:tcPr>
          <w:p w:rsidR="000532FF" w:rsidRPr="006C4DF0" w:rsidRDefault="000532FF" w:rsidP="006C4DF0">
            <w:pPr>
              <w:rPr>
                <w:rFonts w:ascii="Arial" w:hAnsi="Arial" w:cs="Arial"/>
                <w:szCs w:val="24"/>
              </w:rPr>
            </w:pPr>
            <w:r w:rsidRPr="006C4DF0">
              <w:rPr>
                <w:rFonts w:ascii="Arial" w:hAnsi="Arial" w:cs="Arial"/>
                <w:szCs w:val="24"/>
              </w:rPr>
              <w:t xml:space="preserve">Provision of a written report to the referring practitioner within one week, unless it is required sooner, on the findings /outcomes and other advice as appropriate </w:t>
            </w:r>
          </w:p>
        </w:tc>
      </w:tr>
      <w:tr w:rsidR="000532FF" w:rsidRPr="006C4DF0" w:rsidTr="0098046E">
        <w:trPr>
          <w:jc w:val="center"/>
        </w:trPr>
        <w:tc>
          <w:tcPr>
            <w:tcW w:w="3096" w:type="dxa"/>
          </w:tcPr>
          <w:p w:rsidR="000532FF" w:rsidRPr="006C4DF0" w:rsidRDefault="000532FF" w:rsidP="006C4DF0">
            <w:pPr>
              <w:rPr>
                <w:rFonts w:ascii="Arial" w:hAnsi="Arial" w:cs="Arial"/>
                <w:szCs w:val="24"/>
              </w:rPr>
            </w:pPr>
            <w:r w:rsidRPr="006C4DF0">
              <w:rPr>
                <w:rFonts w:ascii="Arial" w:hAnsi="Arial" w:cs="Arial"/>
                <w:szCs w:val="24"/>
              </w:rPr>
              <w:t>Clinical advice and education</w:t>
            </w:r>
          </w:p>
        </w:tc>
        <w:tc>
          <w:tcPr>
            <w:tcW w:w="6520" w:type="dxa"/>
          </w:tcPr>
          <w:p w:rsidR="000532FF" w:rsidRPr="006C4DF0" w:rsidRDefault="000532FF" w:rsidP="006C4DF0">
            <w:pPr>
              <w:rPr>
                <w:rFonts w:ascii="Arial" w:hAnsi="Arial" w:cs="Arial"/>
                <w:szCs w:val="24"/>
              </w:rPr>
            </w:pPr>
            <w:r w:rsidRPr="006C4DF0">
              <w:rPr>
                <w:rFonts w:ascii="Arial" w:hAnsi="Arial" w:cs="Arial"/>
                <w:szCs w:val="24"/>
              </w:rPr>
              <w:t>Advice to referring practitioners, including advice on the appropriateness of examinations</w:t>
            </w:r>
          </w:p>
        </w:tc>
      </w:tr>
    </w:tbl>
    <w:p w:rsidR="000532FF" w:rsidRPr="006C4DF0" w:rsidRDefault="000532FF" w:rsidP="0098046E">
      <w:pPr>
        <w:pStyle w:val="Heading2"/>
        <w:tabs>
          <w:tab w:val="clear" w:pos="567"/>
          <w:tab w:val="num" w:pos="1134"/>
        </w:tabs>
        <w:spacing w:before="120" w:after="0"/>
        <w:ind w:left="851" w:hanging="851"/>
        <w:jc w:val="left"/>
        <w:rPr>
          <w:rFonts w:cs="Arial"/>
          <w:i w:val="0"/>
          <w:szCs w:val="24"/>
        </w:rPr>
      </w:pPr>
      <w:r w:rsidRPr="006C4DF0">
        <w:rPr>
          <w:rFonts w:cs="Arial"/>
          <w:i w:val="0"/>
          <w:szCs w:val="24"/>
        </w:rPr>
        <w:t>Settings</w:t>
      </w:r>
    </w:p>
    <w:p w:rsidR="000532FF" w:rsidRPr="006C4DF0" w:rsidRDefault="00683DB2" w:rsidP="0098046E">
      <w:pPr>
        <w:tabs>
          <w:tab w:val="left" w:pos="-1094"/>
          <w:tab w:val="left" w:pos="-720"/>
          <w:tab w:val="left" w:pos="720"/>
          <w:tab w:val="left" w:pos="1224"/>
          <w:tab w:val="left" w:pos="2160"/>
        </w:tabs>
        <w:spacing w:before="120"/>
        <w:rPr>
          <w:rFonts w:ascii="Arial" w:hAnsi="Arial" w:cs="Arial"/>
          <w:szCs w:val="24"/>
        </w:rPr>
      </w:pPr>
      <w:r>
        <w:rPr>
          <w:rFonts w:ascii="Arial" w:hAnsi="Arial" w:cs="Arial"/>
          <w:szCs w:val="24"/>
        </w:rPr>
        <w:t>C</w:t>
      </w:r>
      <w:r w:rsidR="000532FF" w:rsidRPr="006C4DF0">
        <w:rPr>
          <w:rFonts w:ascii="Arial" w:hAnsi="Arial" w:cs="Arial"/>
          <w:szCs w:val="24"/>
        </w:rPr>
        <w:t xml:space="preserve">ommunity referred clinical testing and measurement services </w:t>
      </w:r>
      <w:r>
        <w:rPr>
          <w:rFonts w:ascii="Arial" w:hAnsi="Arial" w:cs="Arial"/>
          <w:szCs w:val="24"/>
        </w:rPr>
        <w:t xml:space="preserve">will be </w:t>
      </w:r>
      <w:r w:rsidR="000532FF" w:rsidRPr="006C4DF0">
        <w:rPr>
          <w:rFonts w:ascii="Arial" w:hAnsi="Arial" w:cs="Arial"/>
          <w:szCs w:val="24"/>
        </w:rPr>
        <w:t>conveniently located for the majority of residents. You will advise us of locations where services are usually provided by you, and the usual service hours.  You will give us written notice if you propose to change these hours or locations.</w:t>
      </w:r>
    </w:p>
    <w:p w:rsidR="000532FF" w:rsidRPr="006C4DF0" w:rsidRDefault="000532FF" w:rsidP="0098046E">
      <w:pPr>
        <w:pStyle w:val="Heading2"/>
        <w:tabs>
          <w:tab w:val="clear" w:pos="567"/>
          <w:tab w:val="num" w:pos="1134"/>
        </w:tabs>
        <w:spacing w:before="120" w:after="0"/>
        <w:ind w:left="851" w:hanging="851"/>
        <w:jc w:val="left"/>
        <w:rPr>
          <w:rFonts w:cs="Arial"/>
          <w:i w:val="0"/>
          <w:szCs w:val="24"/>
        </w:rPr>
      </w:pPr>
      <w:r w:rsidRPr="006C4DF0">
        <w:rPr>
          <w:rFonts w:cs="Arial"/>
          <w:i w:val="0"/>
          <w:szCs w:val="24"/>
        </w:rPr>
        <w:t>Key Inputs</w:t>
      </w:r>
    </w:p>
    <w:p w:rsidR="0098046E" w:rsidRDefault="000532FF" w:rsidP="0098046E">
      <w:pPr>
        <w:spacing w:before="120"/>
        <w:rPr>
          <w:rFonts w:ascii="Arial" w:hAnsi="Arial" w:cs="Arial"/>
          <w:szCs w:val="24"/>
        </w:rPr>
      </w:pPr>
      <w:r w:rsidRPr="006C4DF0">
        <w:rPr>
          <w:rFonts w:ascii="Arial" w:hAnsi="Arial" w:cs="Arial"/>
          <w:szCs w:val="24"/>
        </w:rPr>
        <w:t xml:space="preserve">This service specification includes provision and administration of any services, substances and supplies incidental to the procedure including, where appropriate, cultural advice and support.  </w:t>
      </w:r>
    </w:p>
    <w:p w:rsidR="0098046E" w:rsidRDefault="000532FF" w:rsidP="0098046E">
      <w:pPr>
        <w:spacing w:before="120"/>
        <w:rPr>
          <w:rFonts w:ascii="Arial" w:hAnsi="Arial" w:cs="Arial"/>
          <w:szCs w:val="24"/>
        </w:rPr>
      </w:pPr>
      <w:r w:rsidRPr="006C4DF0">
        <w:rPr>
          <w:rFonts w:ascii="Arial" w:hAnsi="Arial" w:cs="Arial"/>
          <w:szCs w:val="24"/>
        </w:rPr>
        <w:t xml:space="preserve">Cultural advice and support may be provided by a Maori advocate, a Primary or Community Care Provider or </w:t>
      </w:r>
      <w:proofErr w:type="spellStart"/>
      <w:r w:rsidRPr="006C4DF0">
        <w:rPr>
          <w:rFonts w:ascii="Arial" w:hAnsi="Arial" w:cs="Arial"/>
          <w:szCs w:val="24"/>
        </w:rPr>
        <w:t>Kaumatua</w:t>
      </w:r>
      <w:proofErr w:type="spellEnd"/>
      <w:r w:rsidRPr="006C4DF0">
        <w:rPr>
          <w:rFonts w:ascii="Arial" w:hAnsi="Arial" w:cs="Arial"/>
          <w:szCs w:val="24"/>
        </w:rPr>
        <w:t>.</w:t>
      </w:r>
    </w:p>
    <w:p w:rsidR="000532FF" w:rsidRPr="006C4DF0" w:rsidRDefault="000532FF" w:rsidP="006C4DF0">
      <w:pPr>
        <w:pStyle w:val="Heading1"/>
        <w:tabs>
          <w:tab w:val="clear" w:pos="567"/>
          <w:tab w:val="num" w:pos="851"/>
        </w:tabs>
        <w:spacing w:before="0" w:after="0"/>
        <w:ind w:left="851" w:hanging="851"/>
        <w:jc w:val="left"/>
        <w:rPr>
          <w:rFonts w:cs="Arial"/>
          <w:sz w:val="24"/>
          <w:szCs w:val="24"/>
        </w:rPr>
      </w:pPr>
      <w:r w:rsidRPr="006C4DF0">
        <w:rPr>
          <w:rFonts w:cs="Arial"/>
          <w:sz w:val="24"/>
          <w:szCs w:val="24"/>
        </w:rPr>
        <w:t>SERVICE LINKAGES</w:t>
      </w:r>
    </w:p>
    <w:p w:rsidR="000532FF" w:rsidRPr="006C4DF0" w:rsidRDefault="000532FF" w:rsidP="00BC6CE2">
      <w:pPr>
        <w:numPr>
          <w:ilvl w:val="12"/>
          <w:numId w:val="0"/>
        </w:numPr>
        <w:spacing w:before="120" w:after="120"/>
        <w:rPr>
          <w:rFonts w:ascii="Arial" w:hAnsi="Arial" w:cs="Arial"/>
          <w:szCs w:val="24"/>
        </w:rPr>
      </w:pPr>
      <w:r w:rsidRPr="006C4DF0">
        <w:rPr>
          <w:rFonts w:ascii="Arial" w:hAnsi="Arial" w:cs="Arial"/>
          <w:szCs w:val="24"/>
        </w:rPr>
        <w:t>Services are required to demonstrate effective links with the following services:</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Primary medical and nursing services</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Maori primary and community services</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Pacific primary and community services</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 xml:space="preserve">private specialists </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secondary medical and surgical services</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accident and emergency services</w:t>
      </w:r>
    </w:p>
    <w:p w:rsidR="000532FF" w:rsidRPr="006C4DF0" w:rsidRDefault="000532FF" w:rsidP="00BC6CE2">
      <w:pPr>
        <w:numPr>
          <w:ilvl w:val="0"/>
          <w:numId w:val="3"/>
        </w:numPr>
        <w:ind w:left="567" w:hanging="567"/>
        <w:rPr>
          <w:rFonts w:ascii="Arial" w:hAnsi="Arial" w:cs="Arial"/>
          <w:szCs w:val="24"/>
        </w:rPr>
      </w:pPr>
      <w:r w:rsidRPr="006C4DF0">
        <w:rPr>
          <w:rFonts w:ascii="Arial" w:hAnsi="Arial" w:cs="Arial"/>
          <w:szCs w:val="24"/>
        </w:rPr>
        <w:t xml:space="preserve">consumer advocacy services, including Maori </w:t>
      </w:r>
      <w:r w:rsidR="00BC6CE2" w:rsidRPr="006C4DF0">
        <w:rPr>
          <w:rFonts w:ascii="Arial" w:hAnsi="Arial" w:cs="Arial"/>
          <w:szCs w:val="24"/>
        </w:rPr>
        <w:t>advocacy services</w:t>
      </w:r>
      <w:r w:rsidR="00BC6CE2">
        <w:rPr>
          <w:rFonts w:ascii="Arial" w:hAnsi="Arial" w:cs="Arial"/>
          <w:szCs w:val="24"/>
        </w:rPr>
        <w:t>,</w:t>
      </w:r>
      <w:r w:rsidR="00BC6CE2" w:rsidRPr="006C4DF0">
        <w:rPr>
          <w:rFonts w:ascii="Arial" w:hAnsi="Arial" w:cs="Arial"/>
          <w:szCs w:val="24"/>
        </w:rPr>
        <w:t xml:space="preserve"> </w:t>
      </w:r>
      <w:r w:rsidRPr="006C4DF0">
        <w:rPr>
          <w:rFonts w:ascii="Arial" w:hAnsi="Arial" w:cs="Arial"/>
          <w:szCs w:val="24"/>
        </w:rPr>
        <w:t>and Pacific advocacy services</w:t>
      </w:r>
    </w:p>
    <w:p w:rsidR="000532FF" w:rsidRPr="006C4DF0" w:rsidRDefault="000532FF" w:rsidP="00BC6CE2">
      <w:pPr>
        <w:numPr>
          <w:ilvl w:val="0"/>
          <w:numId w:val="3"/>
        </w:numPr>
        <w:ind w:left="567" w:hanging="567"/>
        <w:rPr>
          <w:rFonts w:ascii="Arial" w:hAnsi="Arial" w:cs="Arial"/>
          <w:szCs w:val="24"/>
        </w:rPr>
      </w:pPr>
      <w:proofErr w:type="gramStart"/>
      <w:r w:rsidRPr="006C4DF0">
        <w:rPr>
          <w:rFonts w:ascii="Arial" w:hAnsi="Arial" w:cs="Arial"/>
          <w:szCs w:val="24"/>
        </w:rPr>
        <w:t>other</w:t>
      </w:r>
      <w:proofErr w:type="gramEnd"/>
      <w:r w:rsidRPr="006C4DF0">
        <w:rPr>
          <w:rFonts w:ascii="Arial" w:hAnsi="Arial" w:cs="Arial"/>
          <w:szCs w:val="24"/>
        </w:rPr>
        <w:t xml:space="preserve"> appropriate organisations, including Maori </w:t>
      </w:r>
      <w:r w:rsidR="00BC6CE2" w:rsidRPr="006C4DF0">
        <w:rPr>
          <w:rFonts w:ascii="Arial" w:hAnsi="Arial" w:cs="Arial"/>
          <w:szCs w:val="24"/>
        </w:rPr>
        <w:t>advocacy services</w:t>
      </w:r>
      <w:r w:rsidR="00BC6CE2">
        <w:rPr>
          <w:rFonts w:ascii="Arial" w:hAnsi="Arial" w:cs="Arial"/>
          <w:szCs w:val="24"/>
        </w:rPr>
        <w:t>,</w:t>
      </w:r>
      <w:r w:rsidR="00BC6CE2" w:rsidRPr="006C4DF0">
        <w:rPr>
          <w:rFonts w:ascii="Arial" w:hAnsi="Arial" w:cs="Arial"/>
          <w:szCs w:val="24"/>
        </w:rPr>
        <w:t xml:space="preserve"> </w:t>
      </w:r>
      <w:r w:rsidRPr="006C4DF0">
        <w:rPr>
          <w:rFonts w:ascii="Arial" w:hAnsi="Arial" w:cs="Arial"/>
          <w:szCs w:val="24"/>
        </w:rPr>
        <w:t>and Pacific organisations</w:t>
      </w:r>
      <w:r w:rsidR="00BC6CE2">
        <w:rPr>
          <w:rFonts w:ascii="Arial" w:hAnsi="Arial" w:cs="Arial"/>
          <w:szCs w:val="24"/>
        </w:rPr>
        <w:t>.</w:t>
      </w:r>
    </w:p>
    <w:p w:rsidR="000532FF" w:rsidRPr="006C4DF0" w:rsidRDefault="000532FF" w:rsidP="0098046E">
      <w:pPr>
        <w:pStyle w:val="Heading1"/>
        <w:tabs>
          <w:tab w:val="clear" w:pos="567"/>
          <w:tab w:val="num" w:pos="851"/>
        </w:tabs>
        <w:spacing w:after="0"/>
        <w:ind w:left="851" w:hanging="851"/>
        <w:jc w:val="left"/>
        <w:rPr>
          <w:rFonts w:cs="Arial"/>
          <w:sz w:val="24"/>
          <w:szCs w:val="24"/>
        </w:rPr>
      </w:pPr>
      <w:r w:rsidRPr="006C4DF0">
        <w:rPr>
          <w:rFonts w:cs="Arial"/>
          <w:sz w:val="24"/>
          <w:szCs w:val="24"/>
        </w:rPr>
        <w:t>EXCLUSIONS</w:t>
      </w:r>
    </w:p>
    <w:p w:rsidR="000532FF" w:rsidRPr="006C4DF0" w:rsidRDefault="000532FF" w:rsidP="000E1ADB">
      <w:pPr>
        <w:spacing w:before="120"/>
        <w:rPr>
          <w:rFonts w:ascii="Arial" w:hAnsi="Arial" w:cs="Arial"/>
          <w:szCs w:val="24"/>
          <w:lang w:val="en-AU"/>
        </w:rPr>
      </w:pPr>
      <w:r w:rsidRPr="006C4DF0">
        <w:rPr>
          <w:rFonts w:ascii="Arial" w:hAnsi="Arial" w:cs="Arial"/>
          <w:szCs w:val="24"/>
          <w:lang w:val="en-AU"/>
        </w:rPr>
        <w:t>This specification does not cover:</w:t>
      </w:r>
    </w:p>
    <w:p w:rsidR="000532FF" w:rsidRPr="006C4DF0" w:rsidRDefault="000532FF" w:rsidP="000E1ADB">
      <w:pPr>
        <w:numPr>
          <w:ilvl w:val="0"/>
          <w:numId w:val="12"/>
        </w:numPr>
        <w:tabs>
          <w:tab w:val="clear" w:pos="1211"/>
          <w:tab w:val="num" w:pos="567"/>
        </w:tabs>
        <w:spacing w:before="120"/>
        <w:ind w:left="567" w:hanging="567"/>
        <w:rPr>
          <w:rFonts w:ascii="Arial" w:hAnsi="Arial" w:cs="Arial"/>
          <w:szCs w:val="24"/>
          <w:lang w:val="en-AU"/>
        </w:rPr>
      </w:pPr>
      <w:r w:rsidRPr="006C4DF0">
        <w:rPr>
          <w:rFonts w:ascii="Arial" w:hAnsi="Arial" w:cs="Arial"/>
          <w:szCs w:val="24"/>
          <w:lang w:val="en-AU"/>
        </w:rPr>
        <w:t>Services for people under treatment by DHB Services (as part of inpatient and outpatient services), for clinical measurement services associated with that treatment</w:t>
      </w:r>
    </w:p>
    <w:p w:rsidR="000532FF" w:rsidRPr="006C4DF0" w:rsidRDefault="000532FF" w:rsidP="000E1ADB">
      <w:pPr>
        <w:numPr>
          <w:ilvl w:val="0"/>
          <w:numId w:val="12"/>
        </w:numPr>
        <w:tabs>
          <w:tab w:val="clear" w:pos="1211"/>
          <w:tab w:val="num" w:pos="567"/>
        </w:tabs>
        <w:ind w:left="567" w:hanging="567"/>
        <w:rPr>
          <w:rFonts w:ascii="Arial" w:hAnsi="Arial" w:cs="Arial"/>
          <w:szCs w:val="24"/>
          <w:lang w:val="en-AU"/>
        </w:rPr>
      </w:pPr>
      <w:r w:rsidRPr="006C4DF0">
        <w:rPr>
          <w:rFonts w:ascii="Arial" w:hAnsi="Arial" w:cs="Arial"/>
          <w:szCs w:val="24"/>
          <w:lang w:val="en-AU"/>
        </w:rPr>
        <w:t>Tests or procedures that are purchased under CS01</w:t>
      </w:r>
      <w:r w:rsidR="00BC6CE2">
        <w:rPr>
          <w:rFonts w:ascii="Arial" w:hAnsi="Arial" w:cs="Arial"/>
          <w:szCs w:val="24"/>
          <w:lang w:val="en-AU"/>
        </w:rPr>
        <w:t>001</w:t>
      </w:r>
      <w:r w:rsidRPr="006C4DF0">
        <w:rPr>
          <w:rFonts w:ascii="Arial" w:hAnsi="Arial" w:cs="Arial"/>
          <w:szCs w:val="24"/>
          <w:lang w:val="en-AU"/>
        </w:rPr>
        <w:t xml:space="preserve"> (Community Radiology or CS02</w:t>
      </w:r>
      <w:r w:rsidR="00BC6CE2">
        <w:rPr>
          <w:rFonts w:ascii="Arial" w:hAnsi="Arial" w:cs="Arial"/>
          <w:szCs w:val="24"/>
          <w:lang w:val="en-AU"/>
        </w:rPr>
        <w:t>001</w:t>
      </w:r>
      <w:r w:rsidRPr="006C4DF0">
        <w:rPr>
          <w:rFonts w:ascii="Arial" w:hAnsi="Arial" w:cs="Arial"/>
          <w:szCs w:val="24"/>
          <w:lang w:val="en-AU"/>
        </w:rPr>
        <w:t xml:space="preserve"> (Community Laboratory (</w:t>
      </w:r>
      <w:r w:rsidR="000E1ADB">
        <w:rPr>
          <w:rFonts w:ascii="Arial" w:hAnsi="Arial" w:cs="Arial"/>
          <w:szCs w:val="24"/>
          <w:lang w:val="en-AU"/>
        </w:rPr>
        <w:t>Hospitals</w:t>
      </w:r>
      <w:r w:rsidRPr="006C4DF0">
        <w:rPr>
          <w:rFonts w:ascii="Arial" w:hAnsi="Arial" w:cs="Arial"/>
          <w:szCs w:val="24"/>
          <w:lang w:val="en-AU"/>
        </w:rPr>
        <w:t>).</w:t>
      </w:r>
    </w:p>
    <w:p w:rsidR="000532FF" w:rsidRPr="000E1ADB" w:rsidRDefault="000532FF" w:rsidP="000E1ADB">
      <w:pPr>
        <w:numPr>
          <w:ilvl w:val="0"/>
          <w:numId w:val="12"/>
        </w:numPr>
        <w:tabs>
          <w:tab w:val="clear" w:pos="1211"/>
          <w:tab w:val="left" w:pos="-1094"/>
          <w:tab w:val="left" w:pos="-720"/>
          <w:tab w:val="left" w:pos="0"/>
          <w:tab w:val="num" w:pos="567"/>
          <w:tab w:val="left" w:pos="720"/>
          <w:tab w:val="left" w:pos="2160"/>
        </w:tabs>
        <w:ind w:left="567" w:hanging="567"/>
        <w:rPr>
          <w:rFonts w:ascii="Arial" w:hAnsi="Arial" w:cs="Arial"/>
          <w:szCs w:val="24"/>
        </w:rPr>
      </w:pPr>
      <w:r w:rsidRPr="000E1ADB">
        <w:rPr>
          <w:rFonts w:ascii="Arial" w:hAnsi="Arial" w:cs="Arial"/>
          <w:szCs w:val="24"/>
        </w:rPr>
        <w:t xml:space="preserve">Services for people eligible for direct funding under the </w:t>
      </w:r>
      <w:r w:rsidR="000E1ADB" w:rsidRPr="000E1ADB">
        <w:rPr>
          <w:rFonts w:ascii="Arial" w:hAnsi="Arial" w:cs="Arial"/>
          <w:szCs w:val="24"/>
        </w:rPr>
        <w:t>under the Accident Compensation Act 2001.</w:t>
      </w:r>
    </w:p>
    <w:p w:rsidR="000532FF" w:rsidRPr="006C4DF0" w:rsidRDefault="000532FF" w:rsidP="0098046E">
      <w:pPr>
        <w:pStyle w:val="Heading1"/>
        <w:tabs>
          <w:tab w:val="clear" w:pos="567"/>
          <w:tab w:val="num" w:pos="851"/>
        </w:tabs>
        <w:spacing w:after="0"/>
        <w:ind w:left="851" w:hanging="851"/>
        <w:jc w:val="left"/>
        <w:rPr>
          <w:rFonts w:cs="Arial"/>
          <w:sz w:val="24"/>
          <w:szCs w:val="24"/>
        </w:rPr>
      </w:pPr>
      <w:r w:rsidRPr="006C4DF0">
        <w:rPr>
          <w:rFonts w:cs="Arial"/>
          <w:sz w:val="24"/>
          <w:szCs w:val="24"/>
        </w:rPr>
        <w:t>QUALITY REQUIREMENTS</w:t>
      </w:r>
    </w:p>
    <w:p w:rsidR="000532FF" w:rsidRPr="006C4DF0" w:rsidRDefault="000532FF" w:rsidP="000E1ADB">
      <w:pPr>
        <w:spacing w:before="120"/>
        <w:rPr>
          <w:rFonts w:ascii="Arial" w:hAnsi="Arial" w:cs="Arial"/>
          <w:szCs w:val="24"/>
        </w:rPr>
      </w:pPr>
      <w:r w:rsidRPr="006C4DF0">
        <w:rPr>
          <w:rFonts w:ascii="Arial" w:hAnsi="Arial" w:cs="Arial"/>
          <w:szCs w:val="24"/>
        </w:rPr>
        <w:t xml:space="preserve">The service is required to comply with the General Terms and Conditions and the Provider Quality Specifications. </w:t>
      </w:r>
      <w:r w:rsidR="00683DB2">
        <w:rPr>
          <w:rFonts w:ascii="Arial" w:hAnsi="Arial" w:cs="Arial"/>
          <w:szCs w:val="24"/>
        </w:rPr>
        <w:t xml:space="preserve"> </w:t>
      </w:r>
      <w:r w:rsidRPr="006C4DF0">
        <w:rPr>
          <w:rFonts w:ascii="Arial" w:hAnsi="Arial" w:cs="Arial"/>
          <w:szCs w:val="24"/>
        </w:rPr>
        <w:t>The following specific quality requirements also apply.</w:t>
      </w:r>
    </w:p>
    <w:p w:rsidR="000532FF" w:rsidRPr="006C4DF0" w:rsidRDefault="000532FF" w:rsidP="000E1ADB">
      <w:pPr>
        <w:spacing w:before="120"/>
        <w:rPr>
          <w:rFonts w:ascii="Arial" w:hAnsi="Arial" w:cs="Arial"/>
          <w:szCs w:val="24"/>
        </w:rPr>
      </w:pPr>
      <w:r w:rsidRPr="006C4DF0">
        <w:rPr>
          <w:rFonts w:ascii="Arial" w:hAnsi="Arial" w:cs="Arial"/>
          <w:szCs w:val="24"/>
        </w:rPr>
        <w:t xml:space="preserve">You will have documented protocols for the following: </w:t>
      </w:r>
    </w:p>
    <w:p w:rsidR="000532FF" w:rsidRPr="006C4DF0" w:rsidRDefault="000532FF" w:rsidP="000E1ADB">
      <w:pPr>
        <w:numPr>
          <w:ilvl w:val="0"/>
          <w:numId w:val="3"/>
        </w:numPr>
        <w:tabs>
          <w:tab w:val="left" w:pos="1134"/>
        </w:tabs>
        <w:spacing w:before="120"/>
        <w:ind w:left="567" w:hanging="567"/>
        <w:rPr>
          <w:rFonts w:ascii="Arial" w:hAnsi="Arial" w:cs="Arial"/>
          <w:szCs w:val="24"/>
        </w:rPr>
      </w:pPr>
      <w:r w:rsidRPr="006C4DF0">
        <w:rPr>
          <w:rFonts w:ascii="Arial" w:hAnsi="Arial" w:cs="Arial"/>
          <w:szCs w:val="24"/>
        </w:rPr>
        <w:t xml:space="preserve">patient management including confidentiality and informed consent, with particular attention to Maori; </w:t>
      </w:r>
    </w:p>
    <w:p w:rsidR="000532FF" w:rsidRPr="006C4DF0" w:rsidRDefault="000532FF" w:rsidP="0098046E">
      <w:pPr>
        <w:numPr>
          <w:ilvl w:val="0"/>
          <w:numId w:val="3"/>
        </w:numPr>
        <w:tabs>
          <w:tab w:val="left" w:pos="1134"/>
        </w:tabs>
        <w:ind w:left="567" w:hanging="567"/>
        <w:rPr>
          <w:rFonts w:ascii="Arial" w:hAnsi="Arial" w:cs="Arial"/>
          <w:szCs w:val="24"/>
        </w:rPr>
      </w:pPr>
      <w:r w:rsidRPr="006C4DF0">
        <w:rPr>
          <w:rFonts w:ascii="Arial" w:hAnsi="Arial" w:cs="Arial"/>
          <w:szCs w:val="24"/>
        </w:rPr>
        <w:t>equipment management;</w:t>
      </w:r>
    </w:p>
    <w:p w:rsidR="000532FF" w:rsidRPr="006C4DF0" w:rsidRDefault="000532FF" w:rsidP="0098046E">
      <w:pPr>
        <w:numPr>
          <w:ilvl w:val="0"/>
          <w:numId w:val="3"/>
        </w:numPr>
        <w:tabs>
          <w:tab w:val="left" w:pos="1134"/>
        </w:tabs>
        <w:ind w:left="567" w:hanging="567"/>
        <w:rPr>
          <w:rFonts w:ascii="Arial" w:hAnsi="Arial" w:cs="Arial"/>
          <w:szCs w:val="24"/>
        </w:rPr>
      </w:pPr>
      <w:r w:rsidRPr="006C4DF0">
        <w:rPr>
          <w:rFonts w:ascii="Arial" w:hAnsi="Arial" w:cs="Arial"/>
          <w:szCs w:val="24"/>
        </w:rPr>
        <w:t>clinical testing and measurement procedures;</w:t>
      </w:r>
    </w:p>
    <w:p w:rsidR="000532FF" w:rsidRPr="006C4DF0" w:rsidRDefault="000532FF" w:rsidP="0098046E">
      <w:pPr>
        <w:numPr>
          <w:ilvl w:val="0"/>
          <w:numId w:val="3"/>
        </w:numPr>
        <w:tabs>
          <w:tab w:val="left" w:pos="1134"/>
        </w:tabs>
        <w:ind w:left="567" w:hanging="567"/>
        <w:rPr>
          <w:rFonts w:ascii="Arial" w:hAnsi="Arial" w:cs="Arial"/>
          <w:szCs w:val="24"/>
        </w:rPr>
      </w:pPr>
      <w:r w:rsidRPr="006C4DF0">
        <w:rPr>
          <w:rFonts w:ascii="Arial" w:hAnsi="Arial" w:cs="Arial"/>
          <w:szCs w:val="24"/>
        </w:rPr>
        <w:t>follow-up and referral;</w:t>
      </w:r>
    </w:p>
    <w:p w:rsidR="000532FF" w:rsidRPr="006C4DF0" w:rsidRDefault="000532FF" w:rsidP="0098046E">
      <w:pPr>
        <w:numPr>
          <w:ilvl w:val="0"/>
          <w:numId w:val="3"/>
        </w:numPr>
        <w:tabs>
          <w:tab w:val="left" w:pos="1134"/>
        </w:tabs>
        <w:ind w:left="567" w:hanging="567"/>
        <w:rPr>
          <w:rFonts w:ascii="Arial" w:hAnsi="Arial" w:cs="Arial"/>
          <w:szCs w:val="24"/>
        </w:rPr>
      </w:pPr>
      <w:proofErr w:type="gramStart"/>
      <w:r w:rsidRPr="006C4DF0">
        <w:rPr>
          <w:rFonts w:ascii="Arial" w:hAnsi="Arial" w:cs="Arial"/>
          <w:szCs w:val="24"/>
        </w:rPr>
        <w:t>transfer</w:t>
      </w:r>
      <w:proofErr w:type="gramEnd"/>
      <w:r w:rsidRPr="006C4DF0">
        <w:rPr>
          <w:rFonts w:ascii="Arial" w:hAnsi="Arial" w:cs="Arial"/>
          <w:szCs w:val="24"/>
        </w:rPr>
        <w:t xml:space="preserve"> and retention of patient records. </w:t>
      </w:r>
    </w:p>
    <w:p w:rsidR="000532FF" w:rsidRPr="006C4DF0" w:rsidRDefault="000532FF" w:rsidP="0098046E">
      <w:pPr>
        <w:tabs>
          <w:tab w:val="left" w:pos="1134"/>
        </w:tabs>
        <w:spacing w:before="120"/>
        <w:rPr>
          <w:rFonts w:ascii="Arial" w:hAnsi="Arial" w:cs="Arial"/>
          <w:szCs w:val="24"/>
        </w:rPr>
      </w:pPr>
      <w:r w:rsidRPr="006C4DF0">
        <w:rPr>
          <w:rFonts w:ascii="Arial" w:hAnsi="Arial" w:cs="Arial"/>
          <w:szCs w:val="24"/>
        </w:rPr>
        <w:t>There shall be sufficient staff, with appropriate qualifications and training to conduct the service’s work.</w:t>
      </w:r>
    </w:p>
    <w:p w:rsidR="000532FF" w:rsidRPr="006C4DF0" w:rsidRDefault="000532FF" w:rsidP="0098046E">
      <w:pPr>
        <w:tabs>
          <w:tab w:val="left" w:pos="567"/>
        </w:tabs>
        <w:spacing w:before="120"/>
        <w:rPr>
          <w:rFonts w:ascii="Arial" w:hAnsi="Arial" w:cs="Arial"/>
          <w:szCs w:val="24"/>
        </w:rPr>
      </w:pPr>
      <w:r w:rsidRPr="006C4DF0">
        <w:rPr>
          <w:rFonts w:ascii="Arial" w:hAnsi="Arial" w:cs="Arial"/>
          <w:szCs w:val="24"/>
        </w:rPr>
        <w:t>You will ensure that a hard copy of the results is made available to the referring medical practitioner within a maximum of one week after performing a clinical test or measurement service.  Electronic reporting of results may be used also.</w:t>
      </w:r>
    </w:p>
    <w:p w:rsidR="000532FF" w:rsidRPr="006C4DF0" w:rsidRDefault="000532FF" w:rsidP="000E1ADB">
      <w:pPr>
        <w:pStyle w:val="Heading2"/>
        <w:tabs>
          <w:tab w:val="clear" w:pos="567"/>
          <w:tab w:val="num" w:pos="1134"/>
        </w:tabs>
        <w:spacing w:before="120" w:after="0"/>
        <w:ind w:left="851" w:hanging="851"/>
        <w:jc w:val="left"/>
        <w:rPr>
          <w:rFonts w:cs="Arial"/>
          <w:i w:val="0"/>
          <w:szCs w:val="24"/>
          <w:lang w:val="en-AU"/>
        </w:rPr>
      </w:pPr>
      <w:r w:rsidRPr="006C4DF0">
        <w:rPr>
          <w:rFonts w:cs="Arial"/>
          <w:i w:val="0"/>
          <w:szCs w:val="24"/>
          <w:lang w:val="en-AU"/>
        </w:rPr>
        <w:t>Access</w:t>
      </w:r>
    </w:p>
    <w:p w:rsidR="000532FF" w:rsidRPr="006C4DF0" w:rsidRDefault="000532FF" w:rsidP="0098046E">
      <w:pPr>
        <w:numPr>
          <w:ilvl w:val="0"/>
          <w:numId w:val="4"/>
        </w:numPr>
        <w:spacing w:before="120"/>
        <w:ind w:left="567" w:hanging="567"/>
        <w:rPr>
          <w:rFonts w:ascii="Arial" w:hAnsi="Arial" w:cs="Arial"/>
          <w:szCs w:val="24"/>
        </w:rPr>
      </w:pPr>
      <w:r w:rsidRPr="006C4DF0">
        <w:rPr>
          <w:rFonts w:ascii="Arial" w:hAnsi="Arial" w:cs="Arial"/>
          <w:szCs w:val="24"/>
        </w:rPr>
        <w:t>Waiting times are maintained at an agreed rate</w:t>
      </w:r>
    </w:p>
    <w:p w:rsidR="000532FF" w:rsidRPr="006C4DF0" w:rsidRDefault="000532FF" w:rsidP="0098046E">
      <w:pPr>
        <w:numPr>
          <w:ilvl w:val="0"/>
          <w:numId w:val="4"/>
        </w:numPr>
        <w:spacing w:before="120"/>
        <w:ind w:left="567" w:hanging="567"/>
        <w:rPr>
          <w:rFonts w:ascii="Arial" w:hAnsi="Arial" w:cs="Arial"/>
          <w:szCs w:val="24"/>
        </w:rPr>
      </w:pPr>
      <w:r w:rsidRPr="006C4DF0">
        <w:rPr>
          <w:rFonts w:ascii="Arial" w:hAnsi="Arial" w:cs="Arial"/>
          <w:szCs w:val="24"/>
        </w:rPr>
        <w:t>Access criteria are defined in co-operation with referrers, and in line with priority access criteria. Criteria and waiting times will be communicated clearly to referrers each 6 months</w:t>
      </w:r>
    </w:p>
    <w:p w:rsidR="000532FF" w:rsidRPr="006C4DF0" w:rsidRDefault="000532FF" w:rsidP="0098046E">
      <w:pPr>
        <w:numPr>
          <w:ilvl w:val="0"/>
          <w:numId w:val="4"/>
        </w:numPr>
        <w:spacing w:before="120"/>
        <w:ind w:left="567" w:hanging="567"/>
        <w:rPr>
          <w:rFonts w:ascii="Arial" w:hAnsi="Arial" w:cs="Arial"/>
          <w:szCs w:val="24"/>
        </w:rPr>
      </w:pPr>
      <w:r w:rsidRPr="006C4DF0">
        <w:rPr>
          <w:rFonts w:ascii="Arial" w:hAnsi="Arial" w:cs="Arial"/>
          <w:szCs w:val="24"/>
        </w:rPr>
        <w:t>A booking system for all referrals will be imp</w:t>
      </w:r>
      <w:r w:rsidR="0098046E">
        <w:rPr>
          <w:rFonts w:ascii="Arial" w:hAnsi="Arial" w:cs="Arial"/>
          <w:szCs w:val="24"/>
        </w:rPr>
        <w:t>lemented.</w:t>
      </w:r>
    </w:p>
    <w:p w:rsidR="000532FF" w:rsidRPr="006C4DF0" w:rsidRDefault="000532FF" w:rsidP="006C4DF0">
      <w:pPr>
        <w:rPr>
          <w:rFonts w:ascii="Arial" w:hAnsi="Arial" w:cs="Arial"/>
          <w:szCs w:val="24"/>
        </w:rPr>
      </w:pPr>
    </w:p>
    <w:p w:rsidR="000532FF" w:rsidRPr="006C4DF0" w:rsidRDefault="000532FF" w:rsidP="0098046E">
      <w:pPr>
        <w:pStyle w:val="Heading2"/>
        <w:tabs>
          <w:tab w:val="clear" w:pos="567"/>
          <w:tab w:val="num" w:pos="1134"/>
        </w:tabs>
        <w:spacing w:before="120" w:after="0"/>
        <w:ind w:left="851" w:hanging="851"/>
        <w:jc w:val="left"/>
        <w:rPr>
          <w:rFonts w:cs="Arial"/>
          <w:i w:val="0"/>
          <w:szCs w:val="24"/>
          <w:lang w:val="en-AU"/>
        </w:rPr>
      </w:pPr>
      <w:r w:rsidRPr="006C4DF0">
        <w:rPr>
          <w:rFonts w:cs="Arial"/>
          <w:i w:val="0"/>
          <w:szCs w:val="24"/>
          <w:lang w:val="en-AU"/>
        </w:rPr>
        <w:t>Acceptability</w:t>
      </w:r>
    </w:p>
    <w:p w:rsidR="000532FF" w:rsidRPr="006C4DF0" w:rsidRDefault="000532FF" w:rsidP="000E1ADB">
      <w:pPr>
        <w:numPr>
          <w:ilvl w:val="0"/>
          <w:numId w:val="7"/>
        </w:numPr>
        <w:tabs>
          <w:tab w:val="clear" w:pos="360"/>
        </w:tabs>
        <w:spacing w:before="120"/>
        <w:ind w:left="567" w:hanging="567"/>
        <w:rPr>
          <w:rFonts w:ascii="Arial" w:hAnsi="Arial" w:cs="Arial"/>
          <w:szCs w:val="24"/>
          <w:lang w:val="en-AU"/>
        </w:rPr>
      </w:pPr>
      <w:r w:rsidRPr="006C4DF0">
        <w:rPr>
          <w:rFonts w:ascii="Arial" w:hAnsi="Arial" w:cs="Arial"/>
          <w:szCs w:val="24"/>
          <w:lang w:val="en-AU"/>
        </w:rPr>
        <w:t>Acceptability to Maori should be included in the annual review conducted by the provider in conjunction with Maori</w:t>
      </w:r>
    </w:p>
    <w:p w:rsidR="000532FF" w:rsidRPr="006C4DF0" w:rsidRDefault="000532FF" w:rsidP="000E1ADB">
      <w:pPr>
        <w:numPr>
          <w:ilvl w:val="0"/>
          <w:numId w:val="7"/>
        </w:numPr>
        <w:tabs>
          <w:tab w:val="clear" w:pos="360"/>
        </w:tabs>
        <w:spacing w:before="120"/>
        <w:ind w:left="567" w:hanging="567"/>
        <w:rPr>
          <w:rFonts w:ascii="Arial" w:hAnsi="Arial" w:cs="Arial"/>
          <w:szCs w:val="24"/>
          <w:lang w:val="en-AU"/>
        </w:rPr>
      </w:pPr>
      <w:r w:rsidRPr="006C4DF0">
        <w:rPr>
          <w:rFonts w:ascii="Arial" w:hAnsi="Arial" w:cs="Arial"/>
          <w:szCs w:val="24"/>
          <w:lang w:val="en-AU"/>
        </w:rPr>
        <w:t>Support services to Maori required community referred tests should be proactively offered and available.</w:t>
      </w:r>
    </w:p>
    <w:p w:rsidR="000532FF" w:rsidRPr="006C4DF0" w:rsidRDefault="000532FF" w:rsidP="0098046E">
      <w:pPr>
        <w:pStyle w:val="Heading2"/>
        <w:tabs>
          <w:tab w:val="clear" w:pos="567"/>
          <w:tab w:val="num" w:pos="1134"/>
        </w:tabs>
        <w:spacing w:before="120" w:after="0"/>
        <w:ind w:left="851" w:hanging="851"/>
        <w:jc w:val="left"/>
        <w:rPr>
          <w:rFonts w:cs="Arial"/>
          <w:i w:val="0"/>
          <w:szCs w:val="24"/>
          <w:lang w:val="en-AU"/>
        </w:rPr>
      </w:pPr>
      <w:r w:rsidRPr="006C4DF0">
        <w:rPr>
          <w:rFonts w:cs="Arial"/>
          <w:i w:val="0"/>
          <w:szCs w:val="24"/>
          <w:lang w:val="en-AU"/>
        </w:rPr>
        <w:t>Safety and Efficiency</w:t>
      </w:r>
    </w:p>
    <w:p w:rsidR="000532FF" w:rsidRPr="006C4DF0" w:rsidRDefault="000532FF" w:rsidP="000E1ADB">
      <w:pPr>
        <w:numPr>
          <w:ilvl w:val="0"/>
          <w:numId w:val="2"/>
        </w:numPr>
        <w:spacing w:before="120"/>
        <w:ind w:left="568" w:hanging="568"/>
        <w:rPr>
          <w:rFonts w:ascii="Arial" w:hAnsi="Arial" w:cs="Arial"/>
          <w:szCs w:val="24"/>
          <w:lang w:val="en-AU"/>
        </w:rPr>
      </w:pPr>
      <w:r w:rsidRPr="006C4DF0">
        <w:rPr>
          <w:rFonts w:ascii="Arial" w:hAnsi="Arial" w:cs="Arial"/>
          <w:szCs w:val="24"/>
          <w:lang w:val="en-AU"/>
        </w:rPr>
        <w:t>All equipment meets accepted safety and quality standards.</w:t>
      </w:r>
    </w:p>
    <w:p w:rsidR="000532FF" w:rsidRPr="006C4DF0" w:rsidRDefault="000532FF" w:rsidP="000E1ADB">
      <w:pPr>
        <w:numPr>
          <w:ilvl w:val="0"/>
          <w:numId w:val="2"/>
        </w:numPr>
        <w:spacing w:before="120"/>
        <w:ind w:left="568" w:hanging="568"/>
        <w:rPr>
          <w:rFonts w:ascii="Arial" w:hAnsi="Arial" w:cs="Arial"/>
          <w:szCs w:val="24"/>
          <w:lang w:val="en-AU"/>
        </w:rPr>
      </w:pPr>
      <w:r w:rsidRPr="006C4DF0">
        <w:rPr>
          <w:rFonts w:ascii="Arial" w:hAnsi="Arial" w:cs="Arial"/>
          <w:szCs w:val="24"/>
          <w:lang w:val="en-AU"/>
        </w:rPr>
        <w:t xml:space="preserve">The service has the expertise and facilities to cope with possible complications of these examinations, including acute </w:t>
      </w:r>
      <w:proofErr w:type="spellStart"/>
      <w:r w:rsidRPr="006C4DF0">
        <w:rPr>
          <w:rFonts w:ascii="Arial" w:hAnsi="Arial" w:cs="Arial"/>
          <w:szCs w:val="24"/>
          <w:lang w:val="en-AU"/>
        </w:rPr>
        <w:t>anaphylactoid</w:t>
      </w:r>
      <w:proofErr w:type="spellEnd"/>
      <w:r w:rsidRPr="006C4DF0">
        <w:rPr>
          <w:rFonts w:ascii="Arial" w:hAnsi="Arial" w:cs="Arial"/>
          <w:szCs w:val="24"/>
          <w:lang w:val="en-AU"/>
        </w:rPr>
        <w:t xml:space="preserve"> episodes.</w:t>
      </w:r>
    </w:p>
    <w:p w:rsidR="000532FF" w:rsidRPr="006C4DF0" w:rsidRDefault="000532FF" w:rsidP="000E1ADB">
      <w:pPr>
        <w:numPr>
          <w:ilvl w:val="0"/>
          <w:numId w:val="3"/>
        </w:numPr>
        <w:spacing w:before="120"/>
        <w:ind w:left="568" w:hanging="568"/>
        <w:rPr>
          <w:rFonts w:ascii="Arial" w:hAnsi="Arial" w:cs="Arial"/>
          <w:szCs w:val="24"/>
        </w:rPr>
      </w:pPr>
      <w:r w:rsidRPr="006C4DF0">
        <w:rPr>
          <w:rFonts w:ascii="Arial" w:hAnsi="Arial" w:cs="Arial"/>
          <w:szCs w:val="24"/>
        </w:rPr>
        <w:t>The results from any clinical test or measurement shall be made available to the referring medical practitioner within one week of the procedure being done unless the practitioner requires the results sooner.</w:t>
      </w:r>
    </w:p>
    <w:p w:rsidR="000532FF" w:rsidRPr="006C4DF0" w:rsidRDefault="000532FF" w:rsidP="0098046E">
      <w:pPr>
        <w:pStyle w:val="Heading2"/>
        <w:tabs>
          <w:tab w:val="clear" w:pos="567"/>
          <w:tab w:val="num" w:pos="1134"/>
        </w:tabs>
        <w:spacing w:before="120" w:after="0"/>
        <w:ind w:left="851" w:hanging="851"/>
        <w:jc w:val="left"/>
        <w:rPr>
          <w:rFonts w:cs="Arial"/>
          <w:i w:val="0"/>
          <w:szCs w:val="24"/>
          <w:lang w:val="en-AU"/>
        </w:rPr>
      </w:pPr>
      <w:r w:rsidRPr="006C4DF0">
        <w:rPr>
          <w:rFonts w:cs="Arial"/>
          <w:i w:val="0"/>
          <w:szCs w:val="24"/>
          <w:lang w:val="en-AU"/>
        </w:rPr>
        <w:t>Effectiveness</w:t>
      </w:r>
    </w:p>
    <w:p w:rsidR="000532FF" w:rsidRPr="006C4DF0" w:rsidRDefault="000532FF" w:rsidP="000E1ADB">
      <w:pPr>
        <w:numPr>
          <w:ilvl w:val="0"/>
          <w:numId w:val="2"/>
        </w:numPr>
        <w:spacing w:before="120"/>
        <w:ind w:left="567" w:hanging="567"/>
        <w:rPr>
          <w:rFonts w:ascii="Arial" w:hAnsi="Arial" w:cs="Arial"/>
          <w:szCs w:val="24"/>
          <w:lang w:val="en-AU"/>
        </w:rPr>
      </w:pPr>
      <w:r w:rsidRPr="006C4DF0">
        <w:rPr>
          <w:rFonts w:ascii="Arial" w:hAnsi="Arial" w:cs="Arial"/>
          <w:szCs w:val="24"/>
          <w:lang w:val="en-AU"/>
        </w:rPr>
        <w:t xml:space="preserve">Participation in external quality review of systems. </w:t>
      </w:r>
    </w:p>
    <w:p w:rsidR="000532FF" w:rsidRPr="006C4DF0" w:rsidRDefault="000532FF" w:rsidP="000E1ADB">
      <w:pPr>
        <w:numPr>
          <w:ilvl w:val="0"/>
          <w:numId w:val="2"/>
        </w:numPr>
        <w:spacing w:before="120"/>
        <w:ind w:left="567" w:hanging="567"/>
        <w:rPr>
          <w:rFonts w:ascii="Arial" w:hAnsi="Arial" w:cs="Arial"/>
          <w:szCs w:val="24"/>
          <w:lang w:val="en-AU"/>
        </w:rPr>
      </w:pPr>
      <w:r w:rsidRPr="006C4DF0">
        <w:rPr>
          <w:rFonts w:ascii="Arial" w:hAnsi="Arial" w:cs="Arial"/>
          <w:szCs w:val="24"/>
          <w:lang w:val="en-AU"/>
        </w:rPr>
        <w:t>Participation in professional development programmes and peer review.</w:t>
      </w:r>
    </w:p>
    <w:p w:rsidR="000532FF" w:rsidRPr="006C4DF0" w:rsidRDefault="000532FF" w:rsidP="000E1ADB">
      <w:pPr>
        <w:numPr>
          <w:ilvl w:val="0"/>
          <w:numId w:val="2"/>
        </w:numPr>
        <w:spacing w:before="120"/>
        <w:ind w:left="567" w:hanging="567"/>
        <w:rPr>
          <w:rFonts w:ascii="Arial" w:hAnsi="Arial" w:cs="Arial"/>
          <w:szCs w:val="24"/>
          <w:lang w:val="en-AU"/>
        </w:rPr>
      </w:pPr>
      <w:r w:rsidRPr="006C4DF0">
        <w:rPr>
          <w:rFonts w:ascii="Arial" w:hAnsi="Arial" w:cs="Arial"/>
          <w:szCs w:val="24"/>
          <w:lang w:val="en-AU"/>
        </w:rPr>
        <w:t>Adherence to accepted standards of clinical practice.</w:t>
      </w:r>
    </w:p>
    <w:p w:rsidR="000532FF" w:rsidRPr="006C4DF0" w:rsidRDefault="000532FF" w:rsidP="000E1ADB">
      <w:pPr>
        <w:numPr>
          <w:ilvl w:val="0"/>
          <w:numId w:val="2"/>
        </w:numPr>
        <w:spacing w:before="120"/>
        <w:ind w:left="567" w:hanging="567"/>
        <w:rPr>
          <w:rFonts w:ascii="Arial" w:hAnsi="Arial" w:cs="Arial"/>
          <w:szCs w:val="24"/>
          <w:lang w:val="en-AU"/>
        </w:rPr>
      </w:pPr>
      <w:r w:rsidRPr="006C4DF0">
        <w:rPr>
          <w:rFonts w:ascii="Arial" w:hAnsi="Arial" w:cs="Arial"/>
          <w:szCs w:val="24"/>
          <w:lang w:val="en-AU"/>
        </w:rPr>
        <w:t>All results are read by an appropriately qualified person.</w:t>
      </w:r>
    </w:p>
    <w:p w:rsidR="000532FF" w:rsidRPr="006C4DF0" w:rsidRDefault="000532FF" w:rsidP="0098046E">
      <w:pPr>
        <w:pStyle w:val="Heading2"/>
        <w:tabs>
          <w:tab w:val="clear" w:pos="567"/>
          <w:tab w:val="num" w:pos="1134"/>
        </w:tabs>
        <w:spacing w:before="120" w:after="0"/>
        <w:ind w:left="851" w:hanging="851"/>
        <w:jc w:val="left"/>
        <w:rPr>
          <w:rFonts w:cs="Arial"/>
          <w:i w:val="0"/>
          <w:szCs w:val="24"/>
        </w:rPr>
      </w:pPr>
      <w:r w:rsidRPr="006C4DF0">
        <w:rPr>
          <w:rFonts w:cs="Arial"/>
          <w:i w:val="0"/>
          <w:szCs w:val="24"/>
        </w:rPr>
        <w:t>Facilities</w:t>
      </w:r>
    </w:p>
    <w:p w:rsidR="000532FF" w:rsidRPr="006C4DF0" w:rsidRDefault="000532FF" w:rsidP="000E1ADB">
      <w:pPr>
        <w:numPr>
          <w:ilvl w:val="0"/>
          <w:numId w:val="3"/>
        </w:numPr>
        <w:spacing w:before="120"/>
        <w:ind w:left="567" w:hanging="567"/>
        <w:rPr>
          <w:rFonts w:ascii="Arial" w:hAnsi="Arial" w:cs="Arial"/>
          <w:szCs w:val="24"/>
        </w:rPr>
      </w:pPr>
      <w:r w:rsidRPr="006C4DF0">
        <w:rPr>
          <w:rFonts w:ascii="Arial" w:hAnsi="Arial" w:cs="Arial"/>
          <w:szCs w:val="24"/>
        </w:rPr>
        <w:t>You shall provide services from safe, well-designed, equipped and maintained premises which meet the legal and operational requirements.</w:t>
      </w:r>
    </w:p>
    <w:p w:rsidR="000532FF" w:rsidRPr="006C4DF0" w:rsidRDefault="000532FF" w:rsidP="000E1ADB">
      <w:pPr>
        <w:numPr>
          <w:ilvl w:val="0"/>
          <w:numId w:val="3"/>
        </w:numPr>
        <w:spacing w:before="120"/>
        <w:ind w:left="567" w:hanging="567"/>
        <w:rPr>
          <w:rFonts w:ascii="Arial" w:hAnsi="Arial" w:cs="Arial"/>
          <w:szCs w:val="24"/>
        </w:rPr>
      </w:pPr>
      <w:r w:rsidRPr="006C4DF0">
        <w:rPr>
          <w:rFonts w:ascii="Arial" w:hAnsi="Arial" w:cs="Arial"/>
          <w:szCs w:val="24"/>
        </w:rPr>
        <w:t>Equipment used shall be licensed, safe and maintained to comply with safety and use standards.</w:t>
      </w:r>
    </w:p>
    <w:p w:rsidR="000532FF" w:rsidRPr="006C4DF0" w:rsidRDefault="000532FF" w:rsidP="000E1ADB">
      <w:pPr>
        <w:numPr>
          <w:ilvl w:val="0"/>
          <w:numId w:val="3"/>
        </w:numPr>
        <w:spacing w:before="120"/>
        <w:ind w:left="567" w:hanging="567"/>
        <w:rPr>
          <w:rFonts w:ascii="Arial" w:hAnsi="Arial" w:cs="Arial"/>
          <w:szCs w:val="24"/>
        </w:rPr>
      </w:pPr>
      <w:r w:rsidRPr="006C4DF0">
        <w:rPr>
          <w:rFonts w:ascii="Arial" w:hAnsi="Arial" w:cs="Arial"/>
          <w:szCs w:val="24"/>
        </w:rPr>
        <w:t xml:space="preserve">You will have in place a regular programme of equipment safety inspections.  This must ensure that equipment is ready for use when required.  Your equipment must be adequate to fulfil the requirements of this agreement. </w:t>
      </w:r>
    </w:p>
    <w:p w:rsidR="000532FF" w:rsidRPr="006C4DF0" w:rsidRDefault="000532FF" w:rsidP="0098046E">
      <w:pPr>
        <w:pStyle w:val="Heading1"/>
        <w:tabs>
          <w:tab w:val="clear" w:pos="567"/>
          <w:tab w:val="num" w:pos="851"/>
        </w:tabs>
        <w:spacing w:before="100" w:beforeAutospacing="1" w:after="0"/>
        <w:ind w:left="851" w:hanging="851"/>
        <w:jc w:val="left"/>
        <w:rPr>
          <w:rFonts w:cs="Arial"/>
          <w:sz w:val="24"/>
          <w:szCs w:val="24"/>
        </w:rPr>
      </w:pPr>
      <w:r w:rsidRPr="006C4DF0">
        <w:rPr>
          <w:rFonts w:cs="Arial"/>
          <w:sz w:val="24"/>
          <w:szCs w:val="24"/>
        </w:rPr>
        <w:t>PURCHASE UNITS &amp; REPORTING REQUIREMENTS</w:t>
      </w:r>
    </w:p>
    <w:p w:rsidR="0098046E" w:rsidRPr="0098046E" w:rsidRDefault="0098046E" w:rsidP="0098046E">
      <w:pPr>
        <w:numPr>
          <w:ilvl w:val="1"/>
          <w:numId w:val="14"/>
        </w:numPr>
        <w:tabs>
          <w:tab w:val="clear" w:pos="360"/>
        </w:tabs>
        <w:spacing w:before="120" w:after="120"/>
        <w:ind w:left="567" w:hanging="567"/>
        <w:jc w:val="both"/>
        <w:rPr>
          <w:rFonts w:ascii="Arial" w:hAnsi="Arial" w:cs="Arial"/>
          <w:sz w:val="22"/>
          <w:szCs w:val="22"/>
          <w:lang w:val="en-NZ"/>
        </w:rPr>
      </w:pPr>
      <w:r w:rsidRPr="0098046E">
        <w:rPr>
          <w:rFonts w:ascii="Arial" w:hAnsi="Arial" w:cs="Arial"/>
          <w:sz w:val="22"/>
          <w:szCs w:val="22"/>
          <w:lang w:val="en-NZ"/>
        </w:rPr>
        <w:t xml:space="preserve">Purchase Units are defined in the joint DHB and Ministry’s Nationwide Service Framework Purchase Unit Data Dictionary. The following Purchase Units apply to this Service. </w:t>
      </w:r>
    </w:p>
    <w:p w:rsidR="000532FF" w:rsidRPr="006C4DF0" w:rsidRDefault="000532FF" w:rsidP="0098046E">
      <w:pPr>
        <w:spacing w:before="120"/>
        <w:rPr>
          <w:rFonts w:ascii="Arial" w:hAnsi="Arial" w:cs="Arial"/>
          <w:szCs w:val="24"/>
        </w:rPr>
      </w:pPr>
      <w:r w:rsidRPr="006C4DF0">
        <w:rPr>
          <w:rFonts w:ascii="Arial" w:hAnsi="Arial" w:cs="Arial"/>
          <w:szCs w:val="24"/>
        </w:rPr>
        <w:t>The following table indicates the reporting units and the service specific performance indicators you will provide for all of the service categories in the Community referred clinical testing and measurement sub-output.</w:t>
      </w:r>
    </w:p>
    <w:p w:rsidR="000532FF" w:rsidRPr="006C4DF0" w:rsidRDefault="000532FF" w:rsidP="0098046E">
      <w:pPr>
        <w:rPr>
          <w:rFonts w:ascii="Arial" w:hAnsi="Arial"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1275"/>
        <w:gridCol w:w="1560"/>
        <w:gridCol w:w="2522"/>
      </w:tblGrid>
      <w:tr w:rsidR="000532FF" w:rsidRPr="006C4DF0" w:rsidTr="00885B74">
        <w:trPr>
          <w:cantSplit/>
          <w:tblHeader/>
        </w:trPr>
        <w:tc>
          <w:tcPr>
            <w:tcW w:w="1271" w:type="dxa"/>
            <w:vMerge w:val="restart"/>
            <w:shd w:val="clear" w:color="auto" w:fill="F2F2F2" w:themeFill="background1" w:themeFillShade="F2"/>
          </w:tcPr>
          <w:p w:rsidR="000532FF" w:rsidRPr="006C4DF0" w:rsidRDefault="000532FF" w:rsidP="006C4DF0">
            <w:pPr>
              <w:pStyle w:val="Heading7"/>
              <w:jc w:val="left"/>
              <w:rPr>
                <w:rFonts w:ascii="Arial" w:hAnsi="Arial" w:cs="Arial"/>
                <w:szCs w:val="24"/>
              </w:rPr>
            </w:pPr>
            <w:r w:rsidRPr="006C4DF0">
              <w:rPr>
                <w:rFonts w:ascii="Arial" w:hAnsi="Arial" w:cs="Arial"/>
                <w:szCs w:val="24"/>
              </w:rPr>
              <w:t>PU Code</w:t>
            </w:r>
          </w:p>
        </w:tc>
        <w:tc>
          <w:tcPr>
            <w:tcW w:w="2552" w:type="dxa"/>
            <w:vMerge w:val="restart"/>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PU Description</w:t>
            </w:r>
          </w:p>
        </w:tc>
        <w:tc>
          <w:tcPr>
            <w:tcW w:w="1275" w:type="dxa"/>
            <w:vMerge w:val="restart"/>
            <w:shd w:val="clear" w:color="auto" w:fill="F2F2F2" w:themeFill="background1" w:themeFillShade="F2"/>
          </w:tcPr>
          <w:p w:rsidR="000532FF" w:rsidRPr="006C4DF0" w:rsidRDefault="00885B74" w:rsidP="006C4DF0">
            <w:pPr>
              <w:rPr>
                <w:rFonts w:ascii="Arial" w:hAnsi="Arial" w:cs="Arial"/>
                <w:b/>
                <w:szCs w:val="24"/>
              </w:rPr>
            </w:pPr>
            <w:r>
              <w:rPr>
                <w:rFonts w:ascii="Arial" w:hAnsi="Arial" w:cs="Arial"/>
                <w:b/>
                <w:szCs w:val="24"/>
              </w:rPr>
              <w:t xml:space="preserve">Unit of </w:t>
            </w:r>
            <w:r w:rsidR="000532FF" w:rsidRPr="006C4DF0">
              <w:rPr>
                <w:rFonts w:ascii="Arial" w:hAnsi="Arial" w:cs="Arial"/>
                <w:b/>
                <w:szCs w:val="24"/>
              </w:rPr>
              <w:t>Measure</w:t>
            </w:r>
          </w:p>
        </w:tc>
        <w:tc>
          <w:tcPr>
            <w:tcW w:w="4082" w:type="dxa"/>
            <w:gridSpan w:val="2"/>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Reporting Requirement</w:t>
            </w:r>
          </w:p>
        </w:tc>
      </w:tr>
      <w:tr w:rsidR="000532FF" w:rsidRPr="006C4DF0" w:rsidTr="007326CD">
        <w:trPr>
          <w:cantSplit/>
          <w:tblHeader/>
        </w:trPr>
        <w:tc>
          <w:tcPr>
            <w:tcW w:w="1271" w:type="dxa"/>
            <w:vMerge/>
            <w:tcBorders>
              <w:bottom w:val="single" w:sz="4" w:space="0" w:color="auto"/>
            </w:tcBorders>
            <w:shd w:val="clear" w:color="auto" w:fill="F2F2F2" w:themeFill="background1" w:themeFillShade="F2"/>
          </w:tcPr>
          <w:p w:rsidR="000532FF" w:rsidRPr="006C4DF0" w:rsidRDefault="000532FF" w:rsidP="006C4DF0">
            <w:pPr>
              <w:rPr>
                <w:rFonts w:ascii="Arial" w:hAnsi="Arial" w:cs="Arial"/>
                <w:szCs w:val="24"/>
              </w:rPr>
            </w:pPr>
          </w:p>
        </w:tc>
        <w:tc>
          <w:tcPr>
            <w:tcW w:w="2552" w:type="dxa"/>
            <w:vMerge/>
            <w:tcBorders>
              <w:bottom w:val="single" w:sz="4" w:space="0" w:color="auto"/>
            </w:tcBorders>
            <w:shd w:val="clear" w:color="auto" w:fill="F2F2F2" w:themeFill="background1" w:themeFillShade="F2"/>
          </w:tcPr>
          <w:p w:rsidR="000532FF" w:rsidRPr="006C4DF0" w:rsidRDefault="000532FF" w:rsidP="006C4DF0">
            <w:pPr>
              <w:rPr>
                <w:rFonts w:ascii="Arial" w:hAnsi="Arial" w:cs="Arial"/>
                <w:szCs w:val="24"/>
              </w:rPr>
            </w:pPr>
          </w:p>
        </w:tc>
        <w:tc>
          <w:tcPr>
            <w:tcW w:w="1275" w:type="dxa"/>
            <w:vMerge/>
            <w:tcBorders>
              <w:bottom w:val="single" w:sz="4" w:space="0" w:color="auto"/>
            </w:tcBorders>
            <w:shd w:val="clear" w:color="auto" w:fill="F2F2F2" w:themeFill="background1" w:themeFillShade="F2"/>
          </w:tcPr>
          <w:p w:rsidR="000532FF" w:rsidRPr="006C4DF0" w:rsidRDefault="000532FF" w:rsidP="006C4DF0">
            <w:pPr>
              <w:rPr>
                <w:rFonts w:ascii="Arial" w:hAnsi="Arial" w:cs="Arial"/>
                <w:szCs w:val="24"/>
              </w:rPr>
            </w:pPr>
          </w:p>
        </w:tc>
        <w:tc>
          <w:tcPr>
            <w:tcW w:w="1560" w:type="dxa"/>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Frequency</w:t>
            </w:r>
          </w:p>
        </w:tc>
        <w:tc>
          <w:tcPr>
            <w:tcW w:w="2522" w:type="dxa"/>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Reporting Unit</w:t>
            </w:r>
          </w:p>
        </w:tc>
      </w:tr>
      <w:tr w:rsidR="000532FF" w:rsidRPr="006C4DF0" w:rsidTr="007326CD">
        <w:tc>
          <w:tcPr>
            <w:tcW w:w="1271"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CS04</w:t>
            </w:r>
            <w:r w:rsidR="00A723BF" w:rsidRPr="00591CA7">
              <w:rPr>
                <w:rFonts w:ascii="Arial" w:hAnsi="Arial" w:cs="Arial"/>
                <w:sz w:val="22"/>
                <w:szCs w:val="22"/>
              </w:rPr>
              <w:t>0</w:t>
            </w:r>
            <w:r w:rsidRPr="00591CA7">
              <w:rPr>
                <w:rFonts w:ascii="Arial" w:hAnsi="Arial" w:cs="Arial"/>
                <w:sz w:val="22"/>
                <w:szCs w:val="22"/>
              </w:rPr>
              <w:t>01</w:t>
            </w:r>
          </w:p>
        </w:tc>
        <w:tc>
          <w:tcPr>
            <w:tcW w:w="2552" w:type="dxa"/>
            <w:tcBorders>
              <w:bottom w:val="nil"/>
            </w:tcBorders>
          </w:tcPr>
          <w:p w:rsidR="000532FF" w:rsidRPr="00591CA7" w:rsidRDefault="000532FF" w:rsidP="00885B74">
            <w:pPr>
              <w:rPr>
                <w:rFonts w:ascii="Arial" w:hAnsi="Arial" w:cs="Arial"/>
                <w:sz w:val="22"/>
                <w:szCs w:val="22"/>
              </w:rPr>
            </w:pPr>
            <w:r w:rsidRPr="00591CA7">
              <w:rPr>
                <w:rFonts w:ascii="Arial" w:hAnsi="Arial" w:cs="Arial"/>
                <w:sz w:val="22"/>
                <w:szCs w:val="22"/>
              </w:rPr>
              <w:t xml:space="preserve">Community </w:t>
            </w:r>
            <w:r w:rsidR="00885B74">
              <w:rPr>
                <w:rFonts w:ascii="Arial" w:hAnsi="Arial" w:cs="Arial"/>
                <w:sz w:val="22"/>
                <w:szCs w:val="22"/>
              </w:rPr>
              <w:t>r</w:t>
            </w:r>
            <w:r w:rsidRPr="00591CA7">
              <w:rPr>
                <w:rFonts w:ascii="Arial" w:hAnsi="Arial" w:cs="Arial"/>
                <w:sz w:val="22"/>
                <w:szCs w:val="22"/>
              </w:rPr>
              <w:t xml:space="preserve">eferred </w:t>
            </w:r>
            <w:r w:rsidR="00885B74">
              <w:rPr>
                <w:rFonts w:ascii="Arial" w:hAnsi="Arial" w:cs="Arial"/>
                <w:sz w:val="22"/>
                <w:szCs w:val="22"/>
              </w:rPr>
              <w:t>t</w:t>
            </w:r>
            <w:r w:rsidRPr="00591CA7">
              <w:rPr>
                <w:rFonts w:ascii="Arial" w:hAnsi="Arial" w:cs="Arial"/>
                <w:sz w:val="22"/>
                <w:szCs w:val="22"/>
              </w:rPr>
              <w:t xml:space="preserve">ests – </w:t>
            </w:r>
            <w:r w:rsidR="00885B74">
              <w:rPr>
                <w:rFonts w:ascii="Arial" w:hAnsi="Arial" w:cs="Arial"/>
                <w:sz w:val="22"/>
                <w:szCs w:val="22"/>
              </w:rPr>
              <w:t>c</w:t>
            </w:r>
            <w:r w:rsidRPr="00591CA7">
              <w:rPr>
                <w:rFonts w:ascii="Arial" w:hAnsi="Arial" w:cs="Arial"/>
                <w:sz w:val="22"/>
                <w:szCs w:val="22"/>
              </w:rPr>
              <w:t>ardio</w:t>
            </w:r>
            <w:r w:rsidR="00885B74">
              <w:rPr>
                <w:rFonts w:ascii="Arial" w:hAnsi="Arial" w:cs="Arial"/>
                <w:sz w:val="22"/>
                <w:szCs w:val="22"/>
              </w:rPr>
              <w:t>logy</w:t>
            </w:r>
          </w:p>
        </w:tc>
        <w:tc>
          <w:tcPr>
            <w:tcW w:w="1275"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Test</w:t>
            </w: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7326CD">
        <w:tc>
          <w:tcPr>
            <w:tcW w:w="1271" w:type="dxa"/>
            <w:tcBorders>
              <w:top w:val="nil"/>
              <w:left w:val="single" w:sz="4" w:space="0" w:color="auto"/>
              <w:bottom w:val="single" w:sz="4" w:space="0" w:color="auto"/>
              <w:right w:val="single" w:sz="4" w:space="0" w:color="auto"/>
            </w:tcBorders>
          </w:tcPr>
          <w:p w:rsidR="000532FF" w:rsidRPr="00591CA7" w:rsidRDefault="000532FF" w:rsidP="006C4DF0">
            <w:pPr>
              <w:rPr>
                <w:rFonts w:ascii="Arial" w:hAnsi="Arial" w:cs="Arial"/>
                <w:sz w:val="22"/>
                <w:szCs w:val="22"/>
              </w:rPr>
            </w:pPr>
          </w:p>
        </w:tc>
        <w:tc>
          <w:tcPr>
            <w:tcW w:w="2552" w:type="dxa"/>
            <w:tcBorders>
              <w:top w:val="nil"/>
              <w:left w:val="single" w:sz="4" w:space="0" w:color="auto"/>
              <w:bottom w:val="single" w:sz="4" w:space="0" w:color="auto"/>
              <w:right w:val="single" w:sz="4" w:space="0" w:color="auto"/>
            </w:tcBorders>
          </w:tcPr>
          <w:p w:rsidR="000532FF" w:rsidRPr="00591CA7" w:rsidRDefault="000532FF" w:rsidP="006C4DF0">
            <w:pPr>
              <w:rPr>
                <w:rFonts w:ascii="Arial" w:hAnsi="Arial" w:cs="Arial"/>
                <w:sz w:val="22"/>
                <w:szCs w:val="22"/>
              </w:rPr>
            </w:pPr>
          </w:p>
        </w:tc>
        <w:tc>
          <w:tcPr>
            <w:tcW w:w="1275" w:type="dxa"/>
            <w:tcBorders>
              <w:top w:val="nil"/>
              <w:left w:val="single" w:sz="4" w:space="0" w:color="auto"/>
              <w:bottom w:val="single" w:sz="4" w:space="0" w:color="auto"/>
              <w:right w:val="single" w:sz="4" w:space="0" w:color="auto"/>
            </w:tcBorders>
          </w:tcPr>
          <w:p w:rsidR="000532FF" w:rsidRPr="00591CA7" w:rsidRDefault="000532FF" w:rsidP="006C4DF0">
            <w:pPr>
              <w:rPr>
                <w:rFonts w:ascii="Arial" w:hAnsi="Arial" w:cs="Arial"/>
                <w:sz w:val="22"/>
                <w:szCs w:val="22"/>
              </w:rPr>
            </w:pPr>
          </w:p>
        </w:tc>
        <w:tc>
          <w:tcPr>
            <w:tcW w:w="1560" w:type="dxa"/>
            <w:tcBorders>
              <w:left w:val="single" w:sz="4" w:space="0" w:color="auto"/>
            </w:tcBorders>
          </w:tcPr>
          <w:p w:rsidR="000532FF" w:rsidRPr="00591CA7" w:rsidRDefault="000532FF" w:rsidP="006C4DF0">
            <w:pPr>
              <w:rPr>
                <w:rFonts w:ascii="Arial" w:hAnsi="Arial" w:cs="Arial"/>
                <w:sz w:val="22"/>
                <w:szCs w:val="22"/>
              </w:rPr>
            </w:pPr>
            <w:r w:rsidRPr="00591CA7">
              <w:rPr>
                <w:rFonts w:ascii="Arial" w:hAnsi="Arial" w:cs="Arial"/>
                <w:sz w:val="22"/>
                <w:szCs w:val="22"/>
              </w:rPr>
              <w:t>Quarterly</w:t>
            </w:r>
          </w:p>
        </w:tc>
        <w:tc>
          <w:tcPr>
            <w:tcW w:w="2522" w:type="dxa"/>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7326CD">
        <w:tc>
          <w:tcPr>
            <w:tcW w:w="1271" w:type="dxa"/>
            <w:tcBorders>
              <w:top w:val="single" w:sz="4" w:space="0" w:color="auto"/>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CS04</w:t>
            </w:r>
            <w:r w:rsidR="00A723BF" w:rsidRPr="00591CA7">
              <w:rPr>
                <w:rFonts w:ascii="Arial" w:hAnsi="Arial" w:cs="Arial"/>
                <w:sz w:val="22"/>
                <w:szCs w:val="22"/>
              </w:rPr>
              <w:t>0</w:t>
            </w:r>
            <w:r w:rsidRPr="00591CA7">
              <w:rPr>
                <w:rFonts w:ascii="Arial" w:hAnsi="Arial" w:cs="Arial"/>
                <w:sz w:val="22"/>
                <w:szCs w:val="22"/>
              </w:rPr>
              <w:t>02</w:t>
            </w:r>
          </w:p>
        </w:tc>
        <w:tc>
          <w:tcPr>
            <w:tcW w:w="2552" w:type="dxa"/>
            <w:tcBorders>
              <w:top w:val="single" w:sz="4" w:space="0" w:color="auto"/>
              <w:bottom w:val="nil"/>
            </w:tcBorders>
          </w:tcPr>
          <w:p w:rsidR="000532FF" w:rsidRPr="00591CA7" w:rsidRDefault="000532FF" w:rsidP="00885B74">
            <w:pPr>
              <w:rPr>
                <w:rFonts w:ascii="Arial" w:hAnsi="Arial" w:cs="Arial"/>
                <w:sz w:val="22"/>
                <w:szCs w:val="22"/>
              </w:rPr>
            </w:pPr>
            <w:r w:rsidRPr="00591CA7">
              <w:rPr>
                <w:rFonts w:ascii="Arial" w:hAnsi="Arial" w:cs="Arial"/>
                <w:sz w:val="22"/>
                <w:szCs w:val="22"/>
              </w:rPr>
              <w:t xml:space="preserve">Community </w:t>
            </w:r>
            <w:r w:rsidR="00885B74">
              <w:rPr>
                <w:rFonts w:ascii="Arial" w:hAnsi="Arial" w:cs="Arial"/>
                <w:sz w:val="22"/>
                <w:szCs w:val="22"/>
              </w:rPr>
              <w:t>r</w:t>
            </w:r>
            <w:r w:rsidRPr="00591CA7">
              <w:rPr>
                <w:rFonts w:ascii="Arial" w:hAnsi="Arial" w:cs="Arial"/>
                <w:sz w:val="22"/>
                <w:szCs w:val="22"/>
              </w:rPr>
              <w:t xml:space="preserve">eferred </w:t>
            </w:r>
            <w:r w:rsidR="00885B74">
              <w:rPr>
                <w:rFonts w:ascii="Arial" w:hAnsi="Arial" w:cs="Arial"/>
                <w:sz w:val="22"/>
                <w:szCs w:val="22"/>
              </w:rPr>
              <w:t>t</w:t>
            </w:r>
            <w:r w:rsidRPr="00591CA7">
              <w:rPr>
                <w:rFonts w:ascii="Arial" w:hAnsi="Arial" w:cs="Arial"/>
                <w:sz w:val="22"/>
                <w:szCs w:val="22"/>
              </w:rPr>
              <w:t xml:space="preserve">ests – </w:t>
            </w:r>
            <w:r w:rsidR="00885B74">
              <w:rPr>
                <w:rFonts w:ascii="Arial" w:hAnsi="Arial" w:cs="Arial"/>
                <w:sz w:val="22"/>
                <w:szCs w:val="22"/>
              </w:rPr>
              <w:t>n</w:t>
            </w:r>
            <w:r w:rsidRPr="00591CA7">
              <w:rPr>
                <w:rFonts w:ascii="Arial" w:hAnsi="Arial" w:cs="Arial"/>
                <w:sz w:val="22"/>
                <w:szCs w:val="22"/>
              </w:rPr>
              <w:t>eurology</w:t>
            </w:r>
          </w:p>
        </w:tc>
        <w:tc>
          <w:tcPr>
            <w:tcW w:w="1275" w:type="dxa"/>
            <w:tcBorders>
              <w:top w:val="single" w:sz="4" w:space="0" w:color="auto"/>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Test</w:t>
            </w: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top w:val="nil"/>
              <w:bottom w:val="single" w:sz="4" w:space="0" w:color="auto"/>
            </w:tcBorders>
          </w:tcPr>
          <w:p w:rsidR="000532FF" w:rsidRPr="00591CA7" w:rsidRDefault="000532FF" w:rsidP="006C4DF0">
            <w:pPr>
              <w:rPr>
                <w:rFonts w:ascii="Arial" w:hAnsi="Arial" w:cs="Arial"/>
                <w:sz w:val="22"/>
                <w:szCs w:val="22"/>
              </w:rPr>
            </w:pPr>
          </w:p>
        </w:tc>
        <w:tc>
          <w:tcPr>
            <w:tcW w:w="2552" w:type="dxa"/>
            <w:tcBorders>
              <w:top w:val="nil"/>
              <w:bottom w:val="single" w:sz="4" w:space="0" w:color="auto"/>
            </w:tcBorders>
          </w:tcPr>
          <w:p w:rsidR="000532FF" w:rsidRPr="00591CA7" w:rsidRDefault="000532FF" w:rsidP="006C4DF0">
            <w:pPr>
              <w:rPr>
                <w:rFonts w:ascii="Arial" w:hAnsi="Arial" w:cs="Arial"/>
                <w:sz w:val="22"/>
                <w:szCs w:val="22"/>
              </w:rPr>
            </w:pPr>
          </w:p>
        </w:tc>
        <w:tc>
          <w:tcPr>
            <w:tcW w:w="1275" w:type="dxa"/>
            <w:tcBorders>
              <w:top w:val="nil"/>
              <w:bottom w:val="single" w:sz="4" w:space="0" w:color="auto"/>
            </w:tcBorders>
          </w:tcPr>
          <w:p w:rsidR="000532FF" w:rsidRPr="00591CA7" w:rsidRDefault="000532FF" w:rsidP="006C4DF0">
            <w:pPr>
              <w:rPr>
                <w:rFonts w:ascii="Arial" w:hAnsi="Arial" w:cs="Arial"/>
                <w:sz w:val="22"/>
                <w:szCs w:val="22"/>
              </w:rPr>
            </w:pPr>
          </w:p>
        </w:tc>
        <w:tc>
          <w:tcPr>
            <w:tcW w:w="1560" w:type="dxa"/>
            <w:tcBorders>
              <w:bottom w:val="single" w:sz="4" w:space="0" w:color="auto"/>
            </w:tcBorders>
          </w:tcPr>
          <w:p w:rsidR="000532FF" w:rsidRPr="00591CA7" w:rsidRDefault="000532FF" w:rsidP="006C4DF0">
            <w:pPr>
              <w:rPr>
                <w:rFonts w:ascii="Arial" w:hAnsi="Arial" w:cs="Arial"/>
                <w:sz w:val="22"/>
                <w:szCs w:val="22"/>
              </w:rPr>
            </w:pPr>
            <w:r w:rsidRPr="00591CA7">
              <w:rPr>
                <w:rFonts w:ascii="Arial" w:hAnsi="Arial" w:cs="Arial"/>
                <w:sz w:val="22"/>
                <w:szCs w:val="22"/>
              </w:rPr>
              <w:t>Quarterly</w:t>
            </w:r>
          </w:p>
        </w:tc>
        <w:tc>
          <w:tcPr>
            <w:tcW w:w="2522" w:type="dxa"/>
            <w:tcBorders>
              <w:bottom w:val="single" w:sz="4" w:space="0" w:color="auto"/>
            </w:tcBorders>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CS04</w:t>
            </w:r>
            <w:r w:rsidR="00A723BF" w:rsidRPr="00591CA7">
              <w:rPr>
                <w:rFonts w:ascii="Arial" w:hAnsi="Arial" w:cs="Arial"/>
                <w:sz w:val="22"/>
                <w:szCs w:val="22"/>
              </w:rPr>
              <w:t>0</w:t>
            </w:r>
            <w:r w:rsidRPr="00591CA7">
              <w:rPr>
                <w:rFonts w:ascii="Arial" w:hAnsi="Arial" w:cs="Arial"/>
                <w:sz w:val="22"/>
                <w:szCs w:val="22"/>
              </w:rPr>
              <w:t>03</w:t>
            </w:r>
          </w:p>
        </w:tc>
        <w:tc>
          <w:tcPr>
            <w:tcW w:w="2552" w:type="dxa"/>
            <w:tcBorders>
              <w:bottom w:val="nil"/>
            </w:tcBorders>
          </w:tcPr>
          <w:p w:rsidR="000532FF" w:rsidRPr="00591CA7" w:rsidRDefault="000532FF" w:rsidP="00885B74">
            <w:pPr>
              <w:rPr>
                <w:rFonts w:ascii="Arial" w:hAnsi="Arial" w:cs="Arial"/>
                <w:sz w:val="22"/>
                <w:szCs w:val="22"/>
              </w:rPr>
            </w:pPr>
            <w:r w:rsidRPr="00591CA7">
              <w:rPr>
                <w:rFonts w:ascii="Arial" w:hAnsi="Arial" w:cs="Arial"/>
                <w:sz w:val="22"/>
                <w:szCs w:val="22"/>
              </w:rPr>
              <w:t>Community</w:t>
            </w:r>
            <w:r w:rsidR="00885B74">
              <w:rPr>
                <w:rFonts w:ascii="Arial" w:hAnsi="Arial" w:cs="Arial"/>
                <w:sz w:val="22"/>
                <w:szCs w:val="22"/>
              </w:rPr>
              <w:t xml:space="preserve"> r</w:t>
            </w:r>
            <w:r w:rsidRPr="00591CA7">
              <w:rPr>
                <w:rFonts w:ascii="Arial" w:hAnsi="Arial" w:cs="Arial"/>
                <w:sz w:val="22"/>
                <w:szCs w:val="22"/>
              </w:rPr>
              <w:t xml:space="preserve">eferred </w:t>
            </w:r>
            <w:r w:rsidR="00885B74">
              <w:rPr>
                <w:rFonts w:ascii="Arial" w:hAnsi="Arial" w:cs="Arial"/>
                <w:sz w:val="22"/>
                <w:szCs w:val="22"/>
              </w:rPr>
              <w:t>t</w:t>
            </w:r>
            <w:r w:rsidRPr="00591CA7">
              <w:rPr>
                <w:rFonts w:ascii="Arial" w:hAnsi="Arial" w:cs="Arial"/>
                <w:sz w:val="22"/>
                <w:szCs w:val="22"/>
              </w:rPr>
              <w:t xml:space="preserve">ests – </w:t>
            </w:r>
            <w:r w:rsidR="00885B74">
              <w:rPr>
                <w:rFonts w:ascii="Arial" w:hAnsi="Arial" w:cs="Arial"/>
                <w:sz w:val="22"/>
                <w:szCs w:val="22"/>
              </w:rPr>
              <w:t>a</w:t>
            </w:r>
            <w:r w:rsidRPr="00591CA7">
              <w:rPr>
                <w:rFonts w:ascii="Arial" w:hAnsi="Arial" w:cs="Arial"/>
                <w:sz w:val="22"/>
                <w:szCs w:val="22"/>
              </w:rPr>
              <w:t>udiology</w:t>
            </w:r>
          </w:p>
        </w:tc>
        <w:tc>
          <w:tcPr>
            <w:tcW w:w="1275"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Test</w:t>
            </w: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top w:val="nil"/>
              <w:bottom w:val="single" w:sz="4" w:space="0" w:color="auto"/>
            </w:tcBorders>
          </w:tcPr>
          <w:p w:rsidR="000532FF" w:rsidRPr="00591CA7" w:rsidRDefault="000532FF" w:rsidP="006C4DF0">
            <w:pPr>
              <w:rPr>
                <w:rFonts w:ascii="Arial" w:hAnsi="Arial" w:cs="Arial"/>
                <w:sz w:val="22"/>
                <w:szCs w:val="22"/>
              </w:rPr>
            </w:pPr>
          </w:p>
        </w:tc>
        <w:tc>
          <w:tcPr>
            <w:tcW w:w="2552" w:type="dxa"/>
            <w:tcBorders>
              <w:top w:val="nil"/>
              <w:bottom w:val="single" w:sz="4" w:space="0" w:color="auto"/>
            </w:tcBorders>
          </w:tcPr>
          <w:p w:rsidR="000532FF" w:rsidRPr="00591CA7" w:rsidRDefault="000532FF" w:rsidP="006C4DF0">
            <w:pPr>
              <w:rPr>
                <w:rFonts w:ascii="Arial" w:hAnsi="Arial" w:cs="Arial"/>
                <w:sz w:val="22"/>
                <w:szCs w:val="22"/>
              </w:rPr>
            </w:pPr>
          </w:p>
        </w:tc>
        <w:tc>
          <w:tcPr>
            <w:tcW w:w="1275" w:type="dxa"/>
            <w:tcBorders>
              <w:top w:val="nil"/>
              <w:bottom w:val="single" w:sz="4" w:space="0" w:color="auto"/>
            </w:tcBorders>
          </w:tcPr>
          <w:p w:rsidR="000532FF" w:rsidRPr="00591CA7" w:rsidRDefault="000532FF" w:rsidP="006C4DF0">
            <w:pPr>
              <w:rPr>
                <w:rFonts w:ascii="Arial" w:hAnsi="Arial" w:cs="Arial"/>
                <w:sz w:val="22"/>
                <w:szCs w:val="22"/>
              </w:rPr>
            </w:pPr>
          </w:p>
        </w:tc>
        <w:tc>
          <w:tcPr>
            <w:tcW w:w="1560" w:type="dxa"/>
            <w:tcBorders>
              <w:bottom w:val="single" w:sz="4" w:space="0" w:color="auto"/>
            </w:tcBorders>
          </w:tcPr>
          <w:p w:rsidR="000532FF" w:rsidRPr="00591CA7" w:rsidRDefault="000532FF" w:rsidP="006C4DF0">
            <w:pPr>
              <w:rPr>
                <w:rFonts w:ascii="Arial" w:hAnsi="Arial" w:cs="Arial"/>
                <w:sz w:val="22"/>
                <w:szCs w:val="22"/>
              </w:rPr>
            </w:pPr>
            <w:r w:rsidRPr="00591CA7">
              <w:rPr>
                <w:rFonts w:ascii="Arial" w:hAnsi="Arial" w:cs="Arial"/>
                <w:sz w:val="22"/>
                <w:szCs w:val="22"/>
              </w:rPr>
              <w:t>Quarterly</w:t>
            </w:r>
          </w:p>
        </w:tc>
        <w:tc>
          <w:tcPr>
            <w:tcW w:w="2522" w:type="dxa"/>
            <w:tcBorders>
              <w:bottom w:val="single" w:sz="4" w:space="0" w:color="auto"/>
            </w:tcBorders>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CS04</w:t>
            </w:r>
            <w:r w:rsidR="00A723BF" w:rsidRPr="00591CA7">
              <w:rPr>
                <w:rFonts w:ascii="Arial" w:hAnsi="Arial" w:cs="Arial"/>
                <w:sz w:val="22"/>
                <w:szCs w:val="22"/>
              </w:rPr>
              <w:t>0</w:t>
            </w:r>
            <w:r w:rsidRPr="00591CA7">
              <w:rPr>
                <w:rFonts w:ascii="Arial" w:hAnsi="Arial" w:cs="Arial"/>
                <w:sz w:val="22"/>
                <w:szCs w:val="22"/>
              </w:rPr>
              <w:t>04</w:t>
            </w:r>
          </w:p>
        </w:tc>
        <w:tc>
          <w:tcPr>
            <w:tcW w:w="2552" w:type="dxa"/>
            <w:tcBorders>
              <w:bottom w:val="nil"/>
            </w:tcBorders>
          </w:tcPr>
          <w:p w:rsidR="000532FF" w:rsidRPr="00591CA7" w:rsidRDefault="000532FF" w:rsidP="00885B74">
            <w:pPr>
              <w:rPr>
                <w:rFonts w:ascii="Arial" w:hAnsi="Arial" w:cs="Arial"/>
                <w:sz w:val="22"/>
                <w:szCs w:val="22"/>
              </w:rPr>
            </w:pPr>
            <w:r w:rsidRPr="00591CA7">
              <w:rPr>
                <w:rFonts w:ascii="Arial" w:hAnsi="Arial" w:cs="Arial"/>
                <w:sz w:val="22"/>
                <w:szCs w:val="22"/>
              </w:rPr>
              <w:t xml:space="preserve">Community </w:t>
            </w:r>
            <w:r w:rsidR="00885B74">
              <w:rPr>
                <w:rFonts w:ascii="Arial" w:hAnsi="Arial" w:cs="Arial"/>
                <w:sz w:val="22"/>
                <w:szCs w:val="22"/>
              </w:rPr>
              <w:t>r</w:t>
            </w:r>
            <w:r w:rsidRPr="00591CA7">
              <w:rPr>
                <w:rFonts w:ascii="Arial" w:hAnsi="Arial" w:cs="Arial"/>
                <w:sz w:val="22"/>
                <w:szCs w:val="22"/>
              </w:rPr>
              <w:t xml:space="preserve">eferred </w:t>
            </w:r>
            <w:r w:rsidR="00885B74">
              <w:rPr>
                <w:rFonts w:ascii="Arial" w:hAnsi="Arial" w:cs="Arial"/>
                <w:sz w:val="22"/>
                <w:szCs w:val="22"/>
              </w:rPr>
              <w:t>t</w:t>
            </w:r>
            <w:r w:rsidRPr="00591CA7">
              <w:rPr>
                <w:rFonts w:ascii="Arial" w:hAnsi="Arial" w:cs="Arial"/>
                <w:sz w:val="22"/>
                <w:szCs w:val="22"/>
              </w:rPr>
              <w:t xml:space="preserve">ests – </w:t>
            </w:r>
            <w:r w:rsidR="00885B74">
              <w:rPr>
                <w:rFonts w:ascii="Arial" w:hAnsi="Arial" w:cs="Arial"/>
                <w:sz w:val="22"/>
                <w:szCs w:val="22"/>
              </w:rPr>
              <w:t>g</w:t>
            </w:r>
            <w:r w:rsidRPr="00591CA7">
              <w:rPr>
                <w:rFonts w:ascii="Arial" w:hAnsi="Arial" w:cs="Arial"/>
                <w:sz w:val="22"/>
                <w:szCs w:val="22"/>
              </w:rPr>
              <w:t>astroenterology</w:t>
            </w:r>
          </w:p>
        </w:tc>
        <w:tc>
          <w:tcPr>
            <w:tcW w:w="1275"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Test</w:t>
            </w: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top w:val="nil"/>
              <w:bottom w:val="nil"/>
            </w:tcBorders>
          </w:tcPr>
          <w:p w:rsidR="000532FF" w:rsidRPr="00591CA7" w:rsidRDefault="000532FF" w:rsidP="006C4DF0">
            <w:pPr>
              <w:rPr>
                <w:rFonts w:ascii="Arial" w:hAnsi="Arial" w:cs="Arial"/>
                <w:sz w:val="22"/>
                <w:szCs w:val="22"/>
              </w:rPr>
            </w:pPr>
          </w:p>
        </w:tc>
        <w:tc>
          <w:tcPr>
            <w:tcW w:w="2552" w:type="dxa"/>
            <w:tcBorders>
              <w:top w:val="nil"/>
              <w:bottom w:val="nil"/>
            </w:tcBorders>
          </w:tcPr>
          <w:p w:rsidR="000532FF" w:rsidRPr="00591CA7" w:rsidRDefault="000532FF" w:rsidP="006C4DF0">
            <w:pPr>
              <w:rPr>
                <w:rFonts w:ascii="Arial" w:hAnsi="Arial" w:cs="Arial"/>
                <w:sz w:val="22"/>
                <w:szCs w:val="22"/>
              </w:rPr>
            </w:pPr>
          </w:p>
        </w:tc>
        <w:tc>
          <w:tcPr>
            <w:tcW w:w="1275" w:type="dxa"/>
            <w:tcBorders>
              <w:top w:val="nil"/>
              <w:bottom w:val="nil"/>
            </w:tcBorders>
          </w:tcPr>
          <w:p w:rsidR="000532FF" w:rsidRPr="00591CA7" w:rsidRDefault="000532FF" w:rsidP="006C4DF0">
            <w:pPr>
              <w:rPr>
                <w:rFonts w:ascii="Arial" w:hAnsi="Arial" w:cs="Arial"/>
                <w:sz w:val="22"/>
                <w:szCs w:val="22"/>
              </w:rPr>
            </w:pP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Quarterly</w:t>
            </w:r>
          </w:p>
        </w:tc>
        <w:tc>
          <w:tcPr>
            <w:tcW w:w="2522" w:type="dxa"/>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CS04</w:t>
            </w:r>
            <w:r w:rsidR="00A723BF" w:rsidRPr="00591CA7">
              <w:rPr>
                <w:rFonts w:ascii="Arial" w:hAnsi="Arial" w:cs="Arial"/>
                <w:sz w:val="22"/>
                <w:szCs w:val="22"/>
              </w:rPr>
              <w:t>0</w:t>
            </w:r>
            <w:r w:rsidRPr="00591CA7">
              <w:rPr>
                <w:rFonts w:ascii="Arial" w:hAnsi="Arial" w:cs="Arial"/>
                <w:sz w:val="22"/>
                <w:szCs w:val="22"/>
              </w:rPr>
              <w:t>05</w:t>
            </w:r>
          </w:p>
        </w:tc>
        <w:tc>
          <w:tcPr>
            <w:tcW w:w="2552" w:type="dxa"/>
            <w:tcBorders>
              <w:bottom w:val="nil"/>
            </w:tcBorders>
          </w:tcPr>
          <w:p w:rsidR="000532FF" w:rsidRPr="00591CA7" w:rsidRDefault="000532FF" w:rsidP="00885B74">
            <w:pPr>
              <w:rPr>
                <w:rFonts w:ascii="Arial" w:hAnsi="Arial" w:cs="Arial"/>
                <w:sz w:val="22"/>
                <w:szCs w:val="22"/>
              </w:rPr>
            </w:pPr>
            <w:r w:rsidRPr="00591CA7">
              <w:rPr>
                <w:rFonts w:ascii="Arial" w:hAnsi="Arial" w:cs="Arial"/>
                <w:sz w:val="22"/>
                <w:szCs w:val="22"/>
              </w:rPr>
              <w:t xml:space="preserve">Community Referred Tests – </w:t>
            </w:r>
            <w:r w:rsidR="00885B74">
              <w:rPr>
                <w:rFonts w:ascii="Arial" w:hAnsi="Arial" w:cs="Arial"/>
                <w:sz w:val="22"/>
                <w:szCs w:val="22"/>
              </w:rPr>
              <w:t>e</w:t>
            </w:r>
            <w:r w:rsidRPr="00591CA7">
              <w:rPr>
                <w:rFonts w:ascii="Arial" w:hAnsi="Arial" w:cs="Arial"/>
                <w:sz w:val="22"/>
                <w:szCs w:val="22"/>
              </w:rPr>
              <w:t>ndocrinology</w:t>
            </w:r>
          </w:p>
        </w:tc>
        <w:tc>
          <w:tcPr>
            <w:tcW w:w="1275"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Test</w:t>
            </w: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top w:val="nil"/>
              <w:bottom w:val="nil"/>
            </w:tcBorders>
          </w:tcPr>
          <w:p w:rsidR="000532FF" w:rsidRPr="00591CA7" w:rsidRDefault="000532FF" w:rsidP="006C4DF0">
            <w:pPr>
              <w:rPr>
                <w:rFonts w:ascii="Arial" w:hAnsi="Arial" w:cs="Arial"/>
                <w:sz w:val="22"/>
                <w:szCs w:val="22"/>
              </w:rPr>
            </w:pPr>
          </w:p>
        </w:tc>
        <w:tc>
          <w:tcPr>
            <w:tcW w:w="2552" w:type="dxa"/>
            <w:tcBorders>
              <w:top w:val="nil"/>
              <w:bottom w:val="nil"/>
            </w:tcBorders>
          </w:tcPr>
          <w:p w:rsidR="000532FF" w:rsidRPr="00591CA7" w:rsidRDefault="000532FF" w:rsidP="006C4DF0">
            <w:pPr>
              <w:rPr>
                <w:rFonts w:ascii="Arial" w:hAnsi="Arial" w:cs="Arial"/>
                <w:sz w:val="22"/>
                <w:szCs w:val="22"/>
              </w:rPr>
            </w:pPr>
          </w:p>
        </w:tc>
        <w:tc>
          <w:tcPr>
            <w:tcW w:w="1275" w:type="dxa"/>
            <w:tcBorders>
              <w:top w:val="nil"/>
              <w:bottom w:val="nil"/>
            </w:tcBorders>
          </w:tcPr>
          <w:p w:rsidR="000532FF" w:rsidRPr="00591CA7" w:rsidRDefault="000532FF" w:rsidP="006C4DF0">
            <w:pPr>
              <w:rPr>
                <w:rFonts w:ascii="Arial" w:hAnsi="Arial" w:cs="Arial"/>
                <w:sz w:val="22"/>
                <w:szCs w:val="22"/>
              </w:rPr>
            </w:pP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Quarterly</w:t>
            </w:r>
          </w:p>
        </w:tc>
        <w:tc>
          <w:tcPr>
            <w:tcW w:w="2522" w:type="dxa"/>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CS04</w:t>
            </w:r>
            <w:r w:rsidR="00A723BF" w:rsidRPr="00591CA7">
              <w:rPr>
                <w:rFonts w:ascii="Arial" w:hAnsi="Arial" w:cs="Arial"/>
                <w:sz w:val="22"/>
                <w:szCs w:val="22"/>
              </w:rPr>
              <w:t>0</w:t>
            </w:r>
            <w:r w:rsidRPr="00591CA7">
              <w:rPr>
                <w:rFonts w:ascii="Arial" w:hAnsi="Arial" w:cs="Arial"/>
                <w:sz w:val="22"/>
                <w:szCs w:val="22"/>
              </w:rPr>
              <w:t>07</w:t>
            </w:r>
          </w:p>
        </w:tc>
        <w:tc>
          <w:tcPr>
            <w:tcW w:w="2552" w:type="dxa"/>
            <w:tcBorders>
              <w:bottom w:val="nil"/>
            </w:tcBorders>
          </w:tcPr>
          <w:p w:rsidR="000532FF" w:rsidRPr="00591CA7" w:rsidRDefault="000532FF" w:rsidP="00885B74">
            <w:pPr>
              <w:rPr>
                <w:rFonts w:ascii="Arial" w:hAnsi="Arial" w:cs="Arial"/>
                <w:sz w:val="22"/>
                <w:szCs w:val="22"/>
              </w:rPr>
            </w:pPr>
            <w:r w:rsidRPr="00591CA7">
              <w:rPr>
                <w:rFonts w:ascii="Arial" w:hAnsi="Arial" w:cs="Arial"/>
                <w:sz w:val="22"/>
                <w:szCs w:val="22"/>
              </w:rPr>
              <w:t xml:space="preserve">Community </w:t>
            </w:r>
            <w:r w:rsidR="00885B74">
              <w:rPr>
                <w:rFonts w:ascii="Arial" w:hAnsi="Arial" w:cs="Arial"/>
                <w:sz w:val="22"/>
                <w:szCs w:val="22"/>
              </w:rPr>
              <w:t>referred te</w:t>
            </w:r>
            <w:r w:rsidRPr="00591CA7">
              <w:rPr>
                <w:rFonts w:ascii="Arial" w:hAnsi="Arial" w:cs="Arial"/>
                <w:sz w:val="22"/>
                <w:szCs w:val="22"/>
              </w:rPr>
              <w:t xml:space="preserve">sts– </w:t>
            </w:r>
            <w:r w:rsidR="00885B74">
              <w:rPr>
                <w:rFonts w:ascii="Arial" w:hAnsi="Arial" w:cs="Arial"/>
                <w:sz w:val="22"/>
                <w:szCs w:val="22"/>
              </w:rPr>
              <w:t>u</w:t>
            </w:r>
            <w:r w:rsidRPr="00591CA7">
              <w:rPr>
                <w:rFonts w:ascii="Arial" w:hAnsi="Arial" w:cs="Arial"/>
                <w:sz w:val="22"/>
                <w:szCs w:val="22"/>
              </w:rPr>
              <w:t>rology</w:t>
            </w:r>
          </w:p>
        </w:tc>
        <w:tc>
          <w:tcPr>
            <w:tcW w:w="1275" w:type="dxa"/>
            <w:tcBorders>
              <w:bottom w:val="nil"/>
            </w:tcBorders>
          </w:tcPr>
          <w:p w:rsidR="000532FF" w:rsidRPr="00591CA7" w:rsidRDefault="000532FF" w:rsidP="006C4DF0">
            <w:pPr>
              <w:rPr>
                <w:rFonts w:ascii="Arial" w:hAnsi="Arial" w:cs="Arial"/>
                <w:sz w:val="22"/>
                <w:szCs w:val="22"/>
              </w:rPr>
            </w:pPr>
            <w:r w:rsidRPr="00591CA7">
              <w:rPr>
                <w:rFonts w:ascii="Arial" w:hAnsi="Arial" w:cs="Arial"/>
                <w:sz w:val="22"/>
                <w:szCs w:val="22"/>
              </w:rPr>
              <w:t>Test</w:t>
            </w:r>
          </w:p>
        </w:tc>
        <w:tc>
          <w:tcPr>
            <w:tcW w:w="1560" w:type="dxa"/>
          </w:tcPr>
          <w:p w:rsidR="000532FF" w:rsidRPr="00591CA7" w:rsidRDefault="000532FF" w:rsidP="006C4DF0">
            <w:pPr>
              <w:rPr>
                <w:rFonts w:ascii="Arial" w:hAnsi="Arial" w:cs="Arial"/>
                <w:sz w:val="22"/>
                <w:szCs w:val="22"/>
              </w:rPr>
            </w:pPr>
            <w:r w:rsidRPr="00591CA7">
              <w:rPr>
                <w:rFonts w:ascii="Arial" w:hAnsi="Arial" w:cs="Arial"/>
                <w:sz w:val="22"/>
                <w:szCs w:val="22"/>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top w:val="nil"/>
              <w:bottom w:val="single" w:sz="4" w:space="0" w:color="auto"/>
            </w:tcBorders>
          </w:tcPr>
          <w:p w:rsidR="000532FF" w:rsidRPr="00591CA7" w:rsidRDefault="000532FF" w:rsidP="006C4DF0">
            <w:pPr>
              <w:rPr>
                <w:rFonts w:ascii="Arial" w:hAnsi="Arial" w:cs="Arial"/>
                <w:sz w:val="22"/>
                <w:szCs w:val="22"/>
              </w:rPr>
            </w:pPr>
          </w:p>
        </w:tc>
        <w:tc>
          <w:tcPr>
            <w:tcW w:w="2552" w:type="dxa"/>
            <w:tcBorders>
              <w:top w:val="nil"/>
              <w:bottom w:val="single" w:sz="4" w:space="0" w:color="auto"/>
            </w:tcBorders>
          </w:tcPr>
          <w:p w:rsidR="000532FF" w:rsidRPr="00591CA7" w:rsidRDefault="000532FF" w:rsidP="006C4DF0">
            <w:pPr>
              <w:rPr>
                <w:rFonts w:ascii="Arial" w:hAnsi="Arial" w:cs="Arial"/>
                <w:sz w:val="22"/>
                <w:szCs w:val="22"/>
              </w:rPr>
            </w:pPr>
          </w:p>
        </w:tc>
        <w:tc>
          <w:tcPr>
            <w:tcW w:w="1275" w:type="dxa"/>
            <w:tcBorders>
              <w:top w:val="nil"/>
              <w:bottom w:val="single" w:sz="4" w:space="0" w:color="auto"/>
            </w:tcBorders>
          </w:tcPr>
          <w:p w:rsidR="000532FF" w:rsidRPr="00591CA7" w:rsidRDefault="000532FF" w:rsidP="006C4DF0">
            <w:pPr>
              <w:rPr>
                <w:rFonts w:ascii="Arial" w:hAnsi="Arial" w:cs="Arial"/>
                <w:sz w:val="22"/>
                <w:szCs w:val="22"/>
              </w:rPr>
            </w:pPr>
          </w:p>
        </w:tc>
        <w:tc>
          <w:tcPr>
            <w:tcW w:w="1560" w:type="dxa"/>
            <w:tcBorders>
              <w:bottom w:val="single" w:sz="4" w:space="0" w:color="auto"/>
            </w:tcBorders>
          </w:tcPr>
          <w:p w:rsidR="000532FF" w:rsidRPr="00591CA7" w:rsidRDefault="000532FF" w:rsidP="006C4DF0">
            <w:pPr>
              <w:rPr>
                <w:rFonts w:ascii="Arial" w:hAnsi="Arial" w:cs="Arial"/>
                <w:sz w:val="22"/>
                <w:szCs w:val="22"/>
              </w:rPr>
            </w:pPr>
            <w:r w:rsidRPr="00591CA7">
              <w:rPr>
                <w:rFonts w:ascii="Arial" w:hAnsi="Arial" w:cs="Arial"/>
                <w:sz w:val="22"/>
                <w:szCs w:val="22"/>
              </w:rPr>
              <w:t>Quarterly</w:t>
            </w:r>
          </w:p>
        </w:tc>
        <w:tc>
          <w:tcPr>
            <w:tcW w:w="2522" w:type="dxa"/>
            <w:tcBorders>
              <w:bottom w:val="single" w:sz="4" w:space="0" w:color="auto"/>
            </w:tcBorders>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rPr>
          <w:trHeight w:val="601"/>
        </w:trPr>
        <w:tc>
          <w:tcPr>
            <w:tcW w:w="1271" w:type="dxa"/>
            <w:tcBorders>
              <w:bottom w:val="nil"/>
            </w:tcBorders>
          </w:tcPr>
          <w:p w:rsidR="000532FF" w:rsidRPr="006C4DF0" w:rsidRDefault="000532FF" w:rsidP="006C4DF0">
            <w:pPr>
              <w:rPr>
                <w:rFonts w:ascii="Arial" w:hAnsi="Arial" w:cs="Arial"/>
                <w:szCs w:val="24"/>
              </w:rPr>
            </w:pPr>
            <w:r w:rsidRPr="006C4DF0">
              <w:rPr>
                <w:rFonts w:ascii="Arial" w:hAnsi="Arial" w:cs="Arial"/>
                <w:szCs w:val="24"/>
              </w:rPr>
              <w:t>CS040</w:t>
            </w:r>
            <w:r w:rsidR="00A723BF" w:rsidRPr="006C4DF0">
              <w:rPr>
                <w:rFonts w:ascii="Arial" w:hAnsi="Arial" w:cs="Arial"/>
                <w:szCs w:val="24"/>
              </w:rPr>
              <w:t>0</w:t>
            </w:r>
            <w:r w:rsidRPr="006C4DF0">
              <w:rPr>
                <w:rFonts w:ascii="Arial" w:hAnsi="Arial" w:cs="Arial"/>
                <w:szCs w:val="24"/>
              </w:rPr>
              <w:t>8</w:t>
            </w:r>
          </w:p>
        </w:tc>
        <w:tc>
          <w:tcPr>
            <w:tcW w:w="2552" w:type="dxa"/>
            <w:tcBorders>
              <w:bottom w:val="nil"/>
            </w:tcBorders>
          </w:tcPr>
          <w:p w:rsidR="000532FF" w:rsidRPr="006C4DF0" w:rsidRDefault="000532FF" w:rsidP="00885B74">
            <w:pPr>
              <w:rPr>
                <w:rFonts w:ascii="Arial" w:hAnsi="Arial" w:cs="Arial"/>
                <w:szCs w:val="24"/>
              </w:rPr>
            </w:pPr>
            <w:r w:rsidRPr="006C4DF0">
              <w:rPr>
                <w:rFonts w:ascii="Arial" w:hAnsi="Arial" w:cs="Arial"/>
                <w:szCs w:val="24"/>
              </w:rPr>
              <w:t xml:space="preserve">Community </w:t>
            </w:r>
            <w:r w:rsidR="00885B74">
              <w:rPr>
                <w:rFonts w:ascii="Arial" w:hAnsi="Arial" w:cs="Arial"/>
                <w:szCs w:val="24"/>
              </w:rPr>
              <w:t>r</w:t>
            </w:r>
            <w:r w:rsidRPr="006C4DF0">
              <w:rPr>
                <w:rFonts w:ascii="Arial" w:hAnsi="Arial" w:cs="Arial"/>
                <w:szCs w:val="24"/>
              </w:rPr>
              <w:t xml:space="preserve">eferred </w:t>
            </w:r>
            <w:r w:rsidR="00885B74">
              <w:rPr>
                <w:rFonts w:ascii="Arial" w:hAnsi="Arial" w:cs="Arial"/>
                <w:szCs w:val="24"/>
              </w:rPr>
              <w:t>t</w:t>
            </w:r>
            <w:r w:rsidRPr="006C4DF0">
              <w:rPr>
                <w:rFonts w:ascii="Arial" w:hAnsi="Arial" w:cs="Arial"/>
                <w:szCs w:val="24"/>
              </w:rPr>
              <w:t xml:space="preserve">ests– </w:t>
            </w:r>
            <w:r w:rsidR="00885B74">
              <w:rPr>
                <w:rFonts w:ascii="Arial" w:hAnsi="Arial" w:cs="Arial"/>
                <w:szCs w:val="24"/>
              </w:rPr>
              <w:t>r</w:t>
            </w:r>
            <w:r w:rsidRPr="006C4DF0">
              <w:rPr>
                <w:rFonts w:ascii="Arial" w:hAnsi="Arial" w:cs="Arial"/>
                <w:szCs w:val="24"/>
              </w:rPr>
              <w:t>espiratory</w:t>
            </w:r>
          </w:p>
        </w:tc>
        <w:tc>
          <w:tcPr>
            <w:tcW w:w="1275" w:type="dxa"/>
            <w:tcBorders>
              <w:bottom w:val="nil"/>
            </w:tcBorders>
          </w:tcPr>
          <w:p w:rsidR="000532FF" w:rsidRPr="006C4DF0" w:rsidRDefault="000532FF" w:rsidP="006C4DF0">
            <w:pPr>
              <w:rPr>
                <w:rFonts w:ascii="Arial" w:hAnsi="Arial" w:cs="Arial"/>
                <w:szCs w:val="24"/>
              </w:rPr>
            </w:pPr>
            <w:r w:rsidRPr="006C4DF0">
              <w:rPr>
                <w:rFonts w:ascii="Arial" w:hAnsi="Arial" w:cs="Arial"/>
                <w:szCs w:val="24"/>
              </w:rPr>
              <w:t>Test</w:t>
            </w:r>
          </w:p>
        </w:tc>
        <w:tc>
          <w:tcPr>
            <w:tcW w:w="1560" w:type="dxa"/>
          </w:tcPr>
          <w:p w:rsidR="000532FF" w:rsidRPr="006C4DF0" w:rsidRDefault="000532FF" w:rsidP="006C4DF0">
            <w:pPr>
              <w:rPr>
                <w:rFonts w:ascii="Arial" w:hAnsi="Arial" w:cs="Arial"/>
                <w:szCs w:val="24"/>
              </w:rPr>
            </w:pPr>
            <w:r w:rsidRPr="006C4DF0">
              <w:rPr>
                <w:rFonts w:ascii="Arial" w:hAnsi="Arial" w:cs="Arial"/>
                <w:szCs w:val="24"/>
              </w:rPr>
              <w:t>Monthly</w:t>
            </w:r>
          </w:p>
        </w:tc>
        <w:tc>
          <w:tcPr>
            <w:tcW w:w="2522" w:type="dxa"/>
          </w:tcPr>
          <w:p w:rsidR="000532FF" w:rsidRPr="00591CA7" w:rsidRDefault="000532FF" w:rsidP="006C4DF0">
            <w:pPr>
              <w:pStyle w:val="List"/>
              <w:ind w:left="0" w:firstLine="0"/>
              <w:jc w:val="left"/>
              <w:rPr>
                <w:rFonts w:ascii="Arial" w:hAnsi="Arial" w:cs="Arial"/>
                <w:sz w:val="22"/>
                <w:szCs w:val="22"/>
                <w:lang w:val="en-NZ"/>
              </w:rPr>
            </w:pPr>
            <w:r w:rsidRPr="00591CA7">
              <w:rPr>
                <w:rFonts w:ascii="Arial" w:hAnsi="Arial" w:cs="Arial"/>
                <w:sz w:val="22"/>
                <w:szCs w:val="22"/>
                <w:lang w:val="en-NZ"/>
              </w:rPr>
              <w:t>Number of Tests</w:t>
            </w:r>
          </w:p>
          <w:p w:rsidR="000532FF" w:rsidRPr="00591CA7" w:rsidRDefault="000532FF" w:rsidP="006C4DF0">
            <w:pPr>
              <w:pStyle w:val="List"/>
              <w:numPr>
                <w:ilvl w:val="0"/>
                <w:numId w:val="9"/>
              </w:numPr>
              <w:jc w:val="left"/>
              <w:rPr>
                <w:rFonts w:ascii="Arial" w:hAnsi="Arial" w:cs="Arial"/>
                <w:sz w:val="22"/>
                <w:szCs w:val="22"/>
                <w:lang w:val="en-NZ"/>
              </w:rPr>
            </w:pPr>
            <w:r w:rsidRPr="00591CA7">
              <w:rPr>
                <w:rFonts w:ascii="Arial" w:hAnsi="Arial" w:cs="Arial"/>
                <w:sz w:val="22"/>
                <w:szCs w:val="22"/>
                <w:lang w:val="en-NZ"/>
              </w:rPr>
              <w:t>Total</w:t>
            </w:r>
          </w:p>
        </w:tc>
      </w:tr>
      <w:tr w:rsidR="000532FF" w:rsidRPr="006C4DF0" w:rsidTr="00885B74">
        <w:tc>
          <w:tcPr>
            <w:tcW w:w="1271" w:type="dxa"/>
            <w:tcBorders>
              <w:top w:val="nil"/>
            </w:tcBorders>
          </w:tcPr>
          <w:p w:rsidR="000532FF" w:rsidRPr="006C4DF0" w:rsidRDefault="000532FF" w:rsidP="006C4DF0">
            <w:pPr>
              <w:rPr>
                <w:rFonts w:ascii="Arial" w:hAnsi="Arial" w:cs="Arial"/>
                <w:szCs w:val="24"/>
              </w:rPr>
            </w:pPr>
          </w:p>
        </w:tc>
        <w:tc>
          <w:tcPr>
            <w:tcW w:w="2552" w:type="dxa"/>
            <w:tcBorders>
              <w:top w:val="nil"/>
            </w:tcBorders>
          </w:tcPr>
          <w:p w:rsidR="000532FF" w:rsidRPr="006C4DF0" w:rsidRDefault="000532FF" w:rsidP="006C4DF0">
            <w:pPr>
              <w:rPr>
                <w:rFonts w:ascii="Arial" w:hAnsi="Arial" w:cs="Arial"/>
                <w:szCs w:val="24"/>
              </w:rPr>
            </w:pPr>
          </w:p>
        </w:tc>
        <w:tc>
          <w:tcPr>
            <w:tcW w:w="1275" w:type="dxa"/>
            <w:tcBorders>
              <w:top w:val="nil"/>
            </w:tcBorders>
          </w:tcPr>
          <w:p w:rsidR="000532FF" w:rsidRPr="006C4DF0" w:rsidRDefault="000532FF" w:rsidP="006C4DF0">
            <w:pPr>
              <w:rPr>
                <w:rFonts w:ascii="Arial" w:hAnsi="Arial" w:cs="Arial"/>
                <w:szCs w:val="24"/>
              </w:rPr>
            </w:pPr>
          </w:p>
        </w:tc>
        <w:tc>
          <w:tcPr>
            <w:tcW w:w="1560" w:type="dxa"/>
          </w:tcPr>
          <w:p w:rsidR="000532FF" w:rsidRPr="006C4DF0" w:rsidRDefault="000532FF" w:rsidP="006C4DF0">
            <w:pPr>
              <w:rPr>
                <w:rFonts w:ascii="Arial" w:hAnsi="Arial" w:cs="Arial"/>
                <w:szCs w:val="24"/>
              </w:rPr>
            </w:pPr>
            <w:r w:rsidRPr="006C4DF0">
              <w:rPr>
                <w:rFonts w:ascii="Arial" w:hAnsi="Arial" w:cs="Arial"/>
                <w:szCs w:val="24"/>
              </w:rPr>
              <w:t>Quarterly</w:t>
            </w:r>
          </w:p>
        </w:tc>
        <w:tc>
          <w:tcPr>
            <w:tcW w:w="2522" w:type="dxa"/>
          </w:tcPr>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Number of clients</w:t>
            </w:r>
          </w:p>
          <w:p w:rsidR="000532FF" w:rsidRPr="00591CA7" w:rsidRDefault="000532FF" w:rsidP="006C4DF0">
            <w:pPr>
              <w:pStyle w:val="List"/>
              <w:numPr>
                <w:ilvl w:val="0"/>
                <w:numId w:val="10"/>
              </w:numPr>
              <w:jc w:val="left"/>
              <w:rPr>
                <w:rFonts w:ascii="Arial" w:hAnsi="Arial" w:cs="Arial"/>
                <w:sz w:val="22"/>
                <w:szCs w:val="22"/>
                <w:lang w:val="en-NZ"/>
              </w:rPr>
            </w:pPr>
            <w:r w:rsidRPr="00591CA7">
              <w:rPr>
                <w:rFonts w:ascii="Arial" w:hAnsi="Arial" w:cs="Arial"/>
                <w:sz w:val="22"/>
                <w:szCs w:val="22"/>
                <w:lang w:val="en-NZ"/>
              </w:rPr>
              <w:t>By ethnicity (NZ Maori, Pacific Island, Other)</w:t>
            </w:r>
          </w:p>
          <w:p w:rsidR="000532FF" w:rsidRPr="00591CA7" w:rsidRDefault="000532FF" w:rsidP="006C4DF0">
            <w:pPr>
              <w:pStyle w:val="List"/>
              <w:jc w:val="left"/>
              <w:rPr>
                <w:rFonts w:ascii="Arial" w:hAnsi="Arial" w:cs="Arial"/>
                <w:sz w:val="22"/>
                <w:szCs w:val="22"/>
                <w:lang w:val="en-NZ"/>
              </w:rPr>
            </w:pPr>
            <w:r w:rsidRPr="00591CA7">
              <w:rPr>
                <w:rFonts w:ascii="Arial" w:hAnsi="Arial" w:cs="Arial"/>
                <w:sz w:val="22"/>
                <w:szCs w:val="22"/>
                <w:lang w:val="en-NZ"/>
              </w:rPr>
              <w:t>Average Waiting Time</w:t>
            </w:r>
          </w:p>
          <w:p w:rsidR="000532FF" w:rsidRPr="00591CA7" w:rsidRDefault="000532FF" w:rsidP="006C4DF0">
            <w:pPr>
              <w:pStyle w:val="List"/>
              <w:numPr>
                <w:ilvl w:val="0"/>
                <w:numId w:val="11"/>
              </w:numPr>
              <w:jc w:val="left"/>
              <w:rPr>
                <w:rFonts w:ascii="Arial" w:hAnsi="Arial" w:cs="Arial"/>
                <w:sz w:val="22"/>
                <w:szCs w:val="22"/>
                <w:lang w:val="en-NZ"/>
              </w:rPr>
            </w:pPr>
            <w:r w:rsidRPr="00591CA7">
              <w:rPr>
                <w:rFonts w:ascii="Arial" w:hAnsi="Arial" w:cs="Arial"/>
                <w:sz w:val="22"/>
                <w:szCs w:val="22"/>
                <w:lang w:val="en-NZ"/>
              </w:rPr>
              <w:t>Total</w:t>
            </w:r>
          </w:p>
        </w:tc>
      </w:tr>
    </w:tbl>
    <w:p w:rsidR="000532FF" w:rsidRPr="006C4DF0" w:rsidRDefault="000532FF" w:rsidP="00885B74">
      <w:pPr>
        <w:pStyle w:val="Heading2"/>
        <w:numPr>
          <w:ilvl w:val="0"/>
          <w:numId w:val="0"/>
        </w:numPr>
        <w:spacing w:before="0" w:after="120"/>
        <w:ind w:left="851" w:hanging="851"/>
        <w:jc w:val="left"/>
        <w:rPr>
          <w:rFonts w:cs="Arial"/>
          <w:i w:val="0"/>
          <w:szCs w:val="24"/>
        </w:rPr>
      </w:pPr>
      <w:r w:rsidRPr="006C4DF0">
        <w:rPr>
          <w:rFonts w:cs="Arial"/>
          <w:i w:val="0"/>
          <w:szCs w:val="24"/>
        </w:rPr>
        <w:t>9.2.</w:t>
      </w:r>
      <w:r w:rsidRPr="006C4DF0">
        <w:rPr>
          <w:rFonts w:cs="Arial"/>
          <w:i w:val="0"/>
          <w:szCs w:val="24"/>
        </w:rPr>
        <w:tab/>
        <w:t>Quality Measures</w:t>
      </w:r>
      <w:r w:rsidR="00885B74">
        <w:rPr>
          <w:rFonts w:cs="Arial"/>
          <w:i w:val="0"/>
          <w:szCs w:val="24"/>
        </w:rPr>
        <w:t xml:space="preserve"> Definition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5812"/>
      </w:tblGrid>
      <w:tr w:rsidR="000532FF" w:rsidRPr="006C4DF0" w:rsidTr="00591CA7">
        <w:tc>
          <w:tcPr>
            <w:tcW w:w="3397" w:type="dxa"/>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Quality Measure</w:t>
            </w:r>
          </w:p>
        </w:tc>
        <w:tc>
          <w:tcPr>
            <w:tcW w:w="5812" w:type="dxa"/>
            <w:shd w:val="clear" w:color="auto" w:fill="F2F2F2" w:themeFill="background1" w:themeFillShade="F2"/>
          </w:tcPr>
          <w:p w:rsidR="000532FF" w:rsidRPr="006C4DF0" w:rsidRDefault="000532FF" w:rsidP="006C4DF0">
            <w:pPr>
              <w:rPr>
                <w:rFonts w:ascii="Arial" w:hAnsi="Arial" w:cs="Arial"/>
                <w:b/>
                <w:szCs w:val="24"/>
              </w:rPr>
            </w:pPr>
            <w:r w:rsidRPr="006C4DF0">
              <w:rPr>
                <w:rFonts w:ascii="Arial" w:hAnsi="Arial" w:cs="Arial"/>
                <w:b/>
                <w:szCs w:val="24"/>
              </w:rPr>
              <w:t>Definition</w:t>
            </w:r>
          </w:p>
        </w:tc>
      </w:tr>
      <w:tr w:rsidR="000532FF" w:rsidRPr="006C4DF0" w:rsidTr="00591CA7">
        <w:tc>
          <w:tcPr>
            <w:tcW w:w="3397" w:type="dxa"/>
          </w:tcPr>
          <w:p w:rsidR="000532FF" w:rsidRPr="006C4DF0" w:rsidRDefault="000532FF" w:rsidP="008C5A63">
            <w:pPr>
              <w:spacing w:before="120" w:after="120"/>
              <w:rPr>
                <w:rFonts w:ascii="Arial" w:hAnsi="Arial" w:cs="Arial"/>
                <w:szCs w:val="24"/>
              </w:rPr>
            </w:pPr>
            <w:r w:rsidRPr="006C4DF0">
              <w:rPr>
                <w:rFonts w:ascii="Arial" w:hAnsi="Arial" w:cs="Arial"/>
                <w:szCs w:val="24"/>
              </w:rPr>
              <w:t>Waiting time for a procedure</w:t>
            </w:r>
          </w:p>
        </w:tc>
        <w:tc>
          <w:tcPr>
            <w:tcW w:w="5812" w:type="dxa"/>
          </w:tcPr>
          <w:p w:rsidR="000532FF" w:rsidRPr="006C4DF0" w:rsidRDefault="000532FF" w:rsidP="008C5A63">
            <w:pPr>
              <w:spacing w:before="120" w:after="120"/>
              <w:rPr>
                <w:rFonts w:ascii="Arial" w:hAnsi="Arial" w:cs="Arial"/>
                <w:szCs w:val="24"/>
              </w:rPr>
            </w:pPr>
            <w:r w:rsidRPr="006C4DF0">
              <w:rPr>
                <w:rFonts w:ascii="Arial" w:hAnsi="Arial" w:cs="Arial"/>
                <w:szCs w:val="24"/>
              </w:rPr>
              <w:t>The average of the length of time from the date of referral to the date of procedure for each procedure</w:t>
            </w:r>
          </w:p>
        </w:tc>
      </w:tr>
    </w:tbl>
    <w:p w:rsidR="000532FF" w:rsidRPr="006C4DF0" w:rsidRDefault="000532FF" w:rsidP="00885B74">
      <w:pPr>
        <w:pStyle w:val="Heading2"/>
        <w:numPr>
          <w:ilvl w:val="1"/>
          <w:numId w:val="13"/>
        </w:numPr>
        <w:tabs>
          <w:tab w:val="clear" w:pos="360"/>
        </w:tabs>
        <w:spacing w:before="120" w:after="0"/>
        <w:ind w:left="851" w:hanging="851"/>
        <w:jc w:val="left"/>
        <w:rPr>
          <w:rFonts w:cs="Arial"/>
          <w:i w:val="0"/>
          <w:szCs w:val="24"/>
        </w:rPr>
      </w:pPr>
      <w:r w:rsidRPr="006C4DF0">
        <w:rPr>
          <w:rFonts w:cs="Arial"/>
          <w:i w:val="0"/>
          <w:szCs w:val="24"/>
        </w:rPr>
        <w:t>Service Planning Information</w:t>
      </w:r>
    </w:p>
    <w:p w:rsidR="000532FF" w:rsidRPr="006C4DF0" w:rsidRDefault="000532FF" w:rsidP="00591CA7">
      <w:pPr>
        <w:tabs>
          <w:tab w:val="left" w:pos="1134"/>
        </w:tabs>
        <w:spacing w:before="120"/>
        <w:rPr>
          <w:rFonts w:ascii="Arial" w:hAnsi="Arial" w:cs="Arial"/>
          <w:szCs w:val="24"/>
        </w:rPr>
      </w:pPr>
      <w:r w:rsidRPr="006C4DF0">
        <w:rPr>
          <w:rFonts w:ascii="Arial" w:hAnsi="Arial" w:cs="Arial"/>
          <w:szCs w:val="24"/>
        </w:rPr>
        <w:t xml:space="preserve">You will collect the following information for all patients. This information will be made available to the Ministry of Health on request. </w:t>
      </w:r>
    </w:p>
    <w:p w:rsidR="000532FF" w:rsidRPr="006C4DF0" w:rsidRDefault="000532FF" w:rsidP="008C5A63">
      <w:pPr>
        <w:numPr>
          <w:ilvl w:val="0"/>
          <w:numId w:val="8"/>
        </w:numPr>
        <w:tabs>
          <w:tab w:val="clear" w:pos="360"/>
        </w:tabs>
        <w:spacing w:before="120"/>
        <w:ind w:left="567" w:hanging="567"/>
        <w:rPr>
          <w:rFonts w:ascii="Arial" w:hAnsi="Arial" w:cs="Arial"/>
          <w:szCs w:val="24"/>
        </w:rPr>
      </w:pPr>
      <w:r w:rsidRPr="006C4DF0">
        <w:rPr>
          <w:rFonts w:ascii="Arial" w:hAnsi="Arial" w:cs="Arial"/>
          <w:szCs w:val="24"/>
        </w:rPr>
        <w:t>Patient Name</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 xml:space="preserve">Patient </w:t>
      </w:r>
      <w:smartTag w:uri="urn:schemas-microsoft-com:office:smarttags" w:element="stockticker">
        <w:r w:rsidRPr="006C4DF0">
          <w:rPr>
            <w:rFonts w:ascii="Arial" w:hAnsi="Arial" w:cs="Arial"/>
            <w:szCs w:val="24"/>
          </w:rPr>
          <w:t>NHI</w:t>
        </w:r>
      </w:smartTag>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Patient Date of Birth</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Patient Gender</w:t>
      </w:r>
      <w:bookmarkStart w:id="1" w:name="_GoBack"/>
      <w:bookmarkEnd w:id="1"/>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Patient Ethnicity</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Referring Practitioner Name</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Referring Practitioner Registration Number</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Date of referral</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Date of test/procedure</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Type test/of procedure</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Site of Procedure (</w:t>
      </w:r>
      <w:proofErr w:type="spellStart"/>
      <w:r w:rsidRPr="006C4DF0">
        <w:rPr>
          <w:rFonts w:ascii="Arial" w:hAnsi="Arial" w:cs="Arial"/>
          <w:szCs w:val="24"/>
        </w:rPr>
        <w:t>ie</w:t>
      </w:r>
      <w:proofErr w:type="spellEnd"/>
      <w:r w:rsidRPr="006C4DF0">
        <w:rPr>
          <w:rFonts w:ascii="Arial" w:hAnsi="Arial" w:cs="Arial"/>
          <w:szCs w:val="24"/>
        </w:rPr>
        <w:t xml:space="preserve"> lower limb, chest </w:t>
      </w:r>
      <w:proofErr w:type="spellStart"/>
      <w:r w:rsidRPr="006C4DF0">
        <w:rPr>
          <w:rFonts w:ascii="Arial" w:hAnsi="Arial" w:cs="Arial"/>
          <w:szCs w:val="24"/>
        </w:rPr>
        <w:t>etc</w:t>
      </w:r>
      <w:proofErr w:type="spellEnd"/>
      <w:r w:rsidRPr="006C4DF0">
        <w:rPr>
          <w:rFonts w:ascii="Arial" w:hAnsi="Arial" w:cs="Arial"/>
          <w:szCs w:val="24"/>
        </w:rPr>
        <w:t>) as specified in the Schedule</w:t>
      </w:r>
    </w:p>
    <w:p w:rsidR="000532FF" w:rsidRPr="006C4DF0" w:rsidRDefault="000532FF" w:rsidP="008C5A63">
      <w:pPr>
        <w:numPr>
          <w:ilvl w:val="0"/>
          <w:numId w:val="8"/>
        </w:numPr>
        <w:tabs>
          <w:tab w:val="clear" w:pos="360"/>
        </w:tabs>
        <w:ind w:left="567" w:hanging="567"/>
        <w:rPr>
          <w:rFonts w:ascii="Arial" w:hAnsi="Arial" w:cs="Arial"/>
          <w:szCs w:val="24"/>
        </w:rPr>
      </w:pPr>
      <w:r w:rsidRPr="006C4DF0">
        <w:rPr>
          <w:rFonts w:ascii="Arial" w:hAnsi="Arial" w:cs="Arial"/>
          <w:szCs w:val="24"/>
        </w:rPr>
        <w:t>Date report provided to referrer</w:t>
      </w:r>
    </w:p>
    <w:p w:rsidR="000532FF" w:rsidRPr="006C4DF0" w:rsidRDefault="00591CA7" w:rsidP="00591CA7">
      <w:pPr>
        <w:tabs>
          <w:tab w:val="left" w:pos="1134"/>
        </w:tabs>
        <w:spacing w:before="120"/>
        <w:jc w:val="both"/>
        <w:rPr>
          <w:rFonts w:ascii="Arial" w:hAnsi="Arial" w:cs="Arial"/>
          <w:szCs w:val="24"/>
        </w:rPr>
      </w:pPr>
      <w:r w:rsidRPr="00591CA7">
        <w:rPr>
          <w:rFonts w:ascii="Arial" w:hAnsi="Arial" w:cs="Arial"/>
          <w:sz w:val="22"/>
          <w:szCs w:val="22"/>
        </w:rPr>
        <w:t xml:space="preserve">Ethnicity will be collected and reported according to the ‘Ethnicity Data Protocols for the Health and Disability Sector – 2004’ </w:t>
      </w:r>
      <w:r>
        <w:rPr>
          <w:rStyle w:val="FootnoteReference"/>
          <w:rFonts w:ascii="Arial" w:hAnsi="Arial" w:cs="Arial"/>
          <w:sz w:val="22"/>
          <w:szCs w:val="22"/>
        </w:rPr>
        <w:footnoteReference w:id="1"/>
      </w:r>
      <w:r w:rsidRPr="00591CA7">
        <w:rPr>
          <w:rFonts w:ascii="Arial" w:hAnsi="Arial" w:cs="Arial"/>
          <w:sz w:val="22"/>
          <w:szCs w:val="22"/>
        </w:rPr>
        <w:t xml:space="preserve"> at Level 2.</w:t>
      </w:r>
    </w:p>
    <w:sectPr w:rsidR="000532FF" w:rsidRPr="006C4DF0" w:rsidSect="00A16094">
      <w:footerReference w:type="defaul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B2" w:rsidRDefault="00683DB2">
      <w:r>
        <w:separator/>
      </w:r>
    </w:p>
  </w:endnote>
  <w:endnote w:type="continuationSeparator" w:id="0">
    <w:p w:rsidR="00683DB2" w:rsidRDefault="0068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B2" w:rsidRPr="00AD2767" w:rsidRDefault="00683DB2" w:rsidP="00402BF0">
    <w:pPr>
      <w:pStyle w:val="Footer"/>
      <w:pBdr>
        <w:top w:val="single" w:sz="4" w:space="1" w:color="auto"/>
      </w:pBdr>
      <w:rPr>
        <w:rFonts w:ascii="Arial" w:hAnsi="Arial" w:cs="Arial"/>
        <w:sz w:val="20"/>
        <w:lang w:val="en-NZ"/>
      </w:rPr>
    </w:pPr>
    <w:r w:rsidRPr="00AD2767">
      <w:rPr>
        <w:rFonts w:ascii="Arial" w:hAnsi="Arial" w:cs="Arial"/>
        <w:sz w:val="20"/>
        <w:lang w:val="en-NZ"/>
      </w:rPr>
      <w:t xml:space="preserve">Community </w:t>
    </w:r>
    <w:r>
      <w:rPr>
        <w:rFonts w:ascii="Arial" w:hAnsi="Arial" w:cs="Arial"/>
        <w:sz w:val="20"/>
        <w:lang w:val="en-NZ"/>
      </w:rPr>
      <w:t>R</w:t>
    </w:r>
    <w:r w:rsidRPr="00AD2767">
      <w:rPr>
        <w:rFonts w:ascii="Arial" w:hAnsi="Arial" w:cs="Arial"/>
        <w:sz w:val="20"/>
        <w:lang w:val="en-NZ"/>
      </w:rPr>
      <w:t xml:space="preserve">eferred Tests (Hospitals) Service Specification.  </w:t>
    </w:r>
    <w:r>
      <w:rPr>
        <w:rFonts w:ascii="Arial" w:hAnsi="Arial" w:cs="Arial"/>
        <w:sz w:val="20"/>
        <w:lang w:val="en-NZ"/>
      </w:rPr>
      <w:t>November 2016</w:t>
    </w:r>
    <w:r w:rsidRPr="00AD2767">
      <w:rPr>
        <w:rFonts w:ascii="Arial" w:hAnsi="Arial" w:cs="Arial"/>
        <w:sz w:val="20"/>
        <w:lang w:val="en-NZ"/>
      </w:rPr>
      <w:t>.</w:t>
    </w:r>
  </w:p>
  <w:p w:rsidR="00683DB2" w:rsidRPr="00AD2767" w:rsidRDefault="00683DB2">
    <w:pPr>
      <w:pStyle w:val="Footer"/>
      <w:rPr>
        <w:rFonts w:ascii="Arial" w:hAnsi="Arial" w:cs="Arial"/>
        <w:sz w:val="20"/>
        <w:lang w:val="en-NZ"/>
      </w:rPr>
    </w:pPr>
    <w:r w:rsidRPr="00AD2767">
      <w:rPr>
        <w:rFonts w:ascii="Arial" w:hAnsi="Arial" w:cs="Arial"/>
        <w:sz w:val="20"/>
        <w:lang w:val="en-NZ"/>
      </w:rPr>
      <w:t>Nationwide Service Framework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B2" w:rsidRDefault="00683DB2">
      <w:r>
        <w:separator/>
      </w:r>
    </w:p>
  </w:footnote>
  <w:footnote w:type="continuationSeparator" w:id="0">
    <w:p w:rsidR="00683DB2" w:rsidRDefault="00683DB2">
      <w:r>
        <w:continuationSeparator/>
      </w:r>
    </w:p>
  </w:footnote>
  <w:footnote w:id="1">
    <w:p w:rsidR="00683DB2" w:rsidRDefault="00683DB2" w:rsidP="00591CA7">
      <w:pPr>
        <w:pStyle w:val="FootnoteText"/>
      </w:pPr>
      <w:r>
        <w:rPr>
          <w:rStyle w:val="FootnoteReference"/>
        </w:rPr>
        <w:footnoteRef/>
      </w:r>
      <w:r w:rsidRPr="002D57C7">
        <w:rPr>
          <w:rFonts w:ascii="Arial" w:hAnsi="Arial" w:cs="Arial"/>
        </w:rPr>
        <w:t>http://www.health.govt.nz/publication/ethnicity-data-protocols-health-and-disability-sector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Heading1"/>
      <w:lvlText w:val="%1."/>
      <w:legacy w:legacy="1" w:legacySpace="120" w:legacyIndent="567"/>
      <w:lvlJc w:val="left"/>
      <w:pPr>
        <w:ind w:left="567" w:hanging="567"/>
      </w:pPr>
    </w:lvl>
    <w:lvl w:ilvl="1">
      <w:start w:val="1"/>
      <w:numFmt w:val="decimal"/>
      <w:pStyle w:val="Heading2"/>
      <w:lvlText w:val="%1.%2."/>
      <w:legacy w:legacy="1" w:legacySpace="120" w:legacyIndent="567"/>
      <w:lvlJc w:val="left"/>
      <w:pPr>
        <w:ind w:hanging="567"/>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CAC4386"/>
    <w:multiLevelType w:val="multilevel"/>
    <w:tmpl w:val="9B8CC8A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D2155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93E27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F7B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2651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8396B5B"/>
    <w:multiLevelType w:val="multilevel"/>
    <w:tmpl w:val="055E33D2"/>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AD57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10C48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9C332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718378E5"/>
    <w:multiLevelType w:val="singleLevel"/>
    <w:tmpl w:val="5178E05A"/>
    <w:lvl w:ilvl="0">
      <w:start w:val="1"/>
      <w:numFmt w:val="lowerLetter"/>
      <w:lvlText w:val="%1."/>
      <w:lvlJc w:val="left"/>
      <w:pPr>
        <w:tabs>
          <w:tab w:val="num" w:pos="1211"/>
        </w:tabs>
        <w:ind w:left="1211" w:hanging="360"/>
      </w:pPr>
      <w:rPr>
        <w:rFonts w:hint="default"/>
      </w:rPr>
    </w:lvl>
  </w:abstractNum>
  <w:num w:numId="1">
    <w:abstractNumId w:val="0"/>
  </w:num>
  <w:num w:numId="2">
    <w:abstractNumId w:val="1"/>
    <w:lvlOverride w:ilvl="0">
      <w:lvl w:ilvl="0">
        <w:start w:val="1"/>
        <w:numFmt w:val="bullet"/>
        <w:lvlText w:val=""/>
        <w:legacy w:legacy="1" w:legacySpace="0" w:legacyIndent="357"/>
        <w:lvlJc w:val="left"/>
        <w:pPr>
          <w:ind w:left="357" w:hanging="357"/>
        </w:pPr>
        <w:rPr>
          <w:rFonts w:ascii="Symbol" w:hAnsi="Symbol" w:hint="default"/>
          <w:sz w:val="22"/>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357"/>
        <w:lvlJc w:val="left"/>
        <w:pPr>
          <w:ind w:left="357" w:hanging="357"/>
        </w:pPr>
        <w:rPr>
          <w:rFonts w:ascii="Symbol" w:hAnsi="Symbol" w:hint="default"/>
          <w:sz w:val="20"/>
        </w:rPr>
      </w:lvl>
    </w:lvlOverride>
  </w:num>
  <w:num w:numId="5">
    <w:abstractNumId w:val="6"/>
  </w:num>
  <w:num w:numId="6">
    <w:abstractNumId w:val="4"/>
  </w:num>
  <w:num w:numId="7">
    <w:abstractNumId w:val="3"/>
  </w:num>
  <w:num w:numId="8">
    <w:abstractNumId w:val="5"/>
  </w:num>
  <w:num w:numId="9">
    <w:abstractNumId w:val="10"/>
  </w:num>
  <w:num w:numId="10">
    <w:abstractNumId w:val="9"/>
  </w:num>
  <w:num w:numId="11">
    <w:abstractNumId w:val="8"/>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2FF"/>
    <w:rsid w:val="000532FF"/>
    <w:rsid w:val="00057241"/>
    <w:rsid w:val="00071557"/>
    <w:rsid w:val="0009603A"/>
    <w:rsid w:val="000E1ADB"/>
    <w:rsid w:val="00124E8C"/>
    <w:rsid w:val="00183571"/>
    <w:rsid w:val="00270E31"/>
    <w:rsid w:val="00353B18"/>
    <w:rsid w:val="00402BF0"/>
    <w:rsid w:val="00490927"/>
    <w:rsid w:val="00591CA7"/>
    <w:rsid w:val="00622900"/>
    <w:rsid w:val="00683DB2"/>
    <w:rsid w:val="006C4DF0"/>
    <w:rsid w:val="006D54BA"/>
    <w:rsid w:val="006F6FD3"/>
    <w:rsid w:val="007326CD"/>
    <w:rsid w:val="008716AA"/>
    <w:rsid w:val="00885B74"/>
    <w:rsid w:val="008A7C1B"/>
    <w:rsid w:val="008C5A63"/>
    <w:rsid w:val="00914D02"/>
    <w:rsid w:val="0098046E"/>
    <w:rsid w:val="00A15A10"/>
    <w:rsid w:val="00A16094"/>
    <w:rsid w:val="00A723BF"/>
    <w:rsid w:val="00A94AE3"/>
    <w:rsid w:val="00AD2767"/>
    <w:rsid w:val="00BC6CE2"/>
    <w:rsid w:val="00CC3C96"/>
    <w:rsid w:val="00CE3C73"/>
    <w:rsid w:val="00D51557"/>
    <w:rsid w:val="00E3498A"/>
    <w:rsid w:val="00EC1990"/>
    <w:rsid w:val="00F86541"/>
    <w:rsid w:val="00FF29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80039B06-D9C5-4DD2-9040-53D1A211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2FF"/>
    <w:rPr>
      <w:sz w:val="24"/>
      <w:lang w:val="en-GB" w:eastAsia="en-US"/>
    </w:rPr>
  </w:style>
  <w:style w:type="paragraph" w:styleId="Heading1">
    <w:name w:val="heading 1"/>
    <w:basedOn w:val="Normal"/>
    <w:next w:val="Normal"/>
    <w:qFormat/>
    <w:rsid w:val="000532FF"/>
    <w:pPr>
      <w:keepNext/>
      <w:numPr>
        <w:numId w:val="1"/>
      </w:numPr>
      <w:tabs>
        <w:tab w:val="num" w:pos="567"/>
      </w:tabs>
      <w:spacing w:before="240" w:after="60"/>
      <w:jc w:val="both"/>
      <w:outlineLvl w:val="0"/>
    </w:pPr>
    <w:rPr>
      <w:rFonts w:ascii="Arial" w:hAnsi="Arial"/>
      <w:b/>
      <w:kern w:val="28"/>
      <w:sz w:val="28"/>
      <w:lang w:val="en-NZ"/>
    </w:rPr>
  </w:style>
  <w:style w:type="paragraph" w:styleId="Heading2">
    <w:name w:val="heading 2"/>
    <w:basedOn w:val="Normal"/>
    <w:next w:val="Normal"/>
    <w:qFormat/>
    <w:rsid w:val="000532FF"/>
    <w:pPr>
      <w:keepNext/>
      <w:numPr>
        <w:ilvl w:val="1"/>
        <w:numId w:val="1"/>
      </w:numPr>
      <w:tabs>
        <w:tab w:val="num" w:pos="567"/>
      </w:tabs>
      <w:spacing w:before="240" w:after="60"/>
      <w:jc w:val="both"/>
      <w:outlineLvl w:val="1"/>
    </w:pPr>
    <w:rPr>
      <w:rFonts w:ascii="Arial" w:hAnsi="Arial"/>
      <w:b/>
      <w:i/>
      <w:lang w:val="en-NZ"/>
    </w:rPr>
  </w:style>
  <w:style w:type="paragraph" w:styleId="Heading4">
    <w:name w:val="heading 4"/>
    <w:basedOn w:val="Normal"/>
    <w:next w:val="Normal"/>
    <w:qFormat/>
    <w:rsid w:val="000532FF"/>
    <w:pPr>
      <w:keepNext/>
      <w:outlineLvl w:val="3"/>
    </w:pPr>
    <w:rPr>
      <w:rFonts w:ascii="Arial" w:hAnsi="Arial"/>
      <w:b/>
      <w:sz w:val="32"/>
    </w:rPr>
  </w:style>
  <w:style w:type="paragraph" w:styleId="Heading7">
    <w:name w:val="heading 7"/>
    <w:basedOn w:val="Normal"/>
    <w:next w:val="Normal"/>
    <w:qFormat/>
    <w:rsid w:val="000532FF"/>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32FF"/>
    <w:pPr>
      <w:tabs>
        <w:tab w:val="center" w:pos="4153"/>
        <w:tab w:val="right" w:pos="8306"/>
      </w:tabs>
    </w:pPr>
  </w:style>
  <w:style w:type="paragraph" w:styleId="BodyTextIndent">
    <w:name w:val="Body Text Indent"/>
    <w:basedOn w:val="Normal"/>
    <w:rsid w:val="000532FF"/>
    <w:pPr>
      <w:jc w:val="both"/>
    </w:pPr>
  </w:style>
  <w:style w:type="paragraph" w:styleId="BodyText">
    <w:name w:val="Body Text"/>
    <w:basedOn w:val="Normal"/>
    <w:rsid w:val="000532FF"/>
    <w:pPr>
      <w:ind w:right="-511"/>
      <w:jc w:val="both"/>
    </w:pPr>
    <w:rPr>
      <w:lang w:val="en-NZ"/>
    </w:rPr>
  </w:style>
  <w:style w:type="paragraph" w:customStyle="1" w:styleId="BulletPoints">
    <w:name w:val="Bullet Points"/>
    <w:basedOn w:val="Normal"/>
    <w:rsid w:val="000532FF"/>
    <w:pPr>
      <w:ind w:left="720" w:hanging="720"/>
    </w:pPr>
    <w:rPr>
      <w:lang w:val="en-AU"/>
    </w:rPr>
  </w:style>
  <w:style w:type="paragraph" w:styleId="List">
    <w:name w:val="List"/>
    <w:basedOn w:val="Normal"/>
    <w:rsid w:val="000532FF"/>
    <w:pPr>
      <w:ind w:left="360" w:hanging="360"/>
      <w:jc w:val="both"/>
    </w:pPr>
  </w:style>
  <w:style w:type="paragraph" w:styleId="BodyTextIndent2">
    <w:name w:val="Body Text Indent 2"/>
    <w:basedOn w:val="Normal"/>
    <w:rsid w:val="000532FF"/>
    <w:pPr>
      <w:ind w:left="851"/>
      <w:jc w:val="both"/>
    </w:pPr>
    <w:rPr>
      <w:rFonts w:ascii="Arial Mäori" w:hAnsi="Arial Mäori"/>
      <w:sz w:val="20"/>
      <w:lang w:val="en-AU"/>
    </w:rPr>
  </w:style>
  <w:style w:type="table" w:styleId="TableGrid">
    <w:name w:val="Table Grid"/>
    <w:basedOn w:val="TableNormal"/>
    <w:rsid w:val="000532F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532FF"/>
    <w:rPr>
      <w:color w:val="0000FF"/>
      <w:u w:val="single"/>
    </w:rPr>
  </w:style>
  <w:style w:type="paragraph" w:styleId="BalloonText">
    <w:name w:val="Balloon Text"/>
    <w:basedOn w:val="Normal"/>
    <w:semiHidden/>
    <w:rsid w:val="000532FF"/>
    <w:rPr>
      <w:rFonts w:ascii="Tahoma" w:hAnsi="Tahoma" w:cs="Tahoma"/>
      <w:sz w:val="16"/>
      <w:szCs w:val="16"/>
    </w:rPr>
  </w:style>
  <w:style w:type="paragraph" w:styleId="Footer">
    <w:name w:val="footer"/>
    <w:basedOn w:val="Normal"/>
    <w:rsid w:val="00AD2767"/>
    <w:pPr>
      <w:tabs>
        <w:tab w:val="center" w:pos="4153"/>
        <w:tab w:val="right" w:pos="8306"/>
      </w:tabs>
    </w:pPr>
  </w:style>
  <w:style w:type="paragraph" w:styleId="FootnoteText">
    <w:name w:val="footnote text"/>
    <w:basedOn w:val="Normal"/>
    <w:link w:val="FootnoteTextChar"/>
    <w:rsid w:val="00591CA7"/>
    <w:rPr>
      <w:sz w:val="20"/>
      <w:lang w:val="en-NZ"/>
    </w:rPr>
  </w:style>
  <w:style w:type="character" w:customStyle="1" w:styleId="FootnoteTextChar">
    <w:name w:val="Footnote Text Char"/>
    <w:basedOn w:val="DefaultParagraphFont"/>
    <w:link w:val="FootnoteText"/>
    <w:rsid w:val="00591CA7"/>
    <w:rPr>
      <w:lang w:eastAsia="en-US"/>
    </w:rPr>
  </w:style>
  <w:style w:type="character" w:styleId="FootnoteReference">
    <w:name w:val="footnote reference"/>
    <w:basedOn w:val="DefaultParagraphFont"/>
    <w:rsid w:val="00591CA7"/>
    <w:rPr>
      <w:vertAlign w:val="superscript"/>
    </w:rPr>
  </w:style>
  <w:style w:type="paragraph" w:styleId="ListParagraph">
    <w:name w:val="List Paragraph"/>
    <w:basedOn w:val="Normal"/>
    <w:uiPriority w:val="34"/>
    <w:qFormat/>
    <w:rsid w:val="0059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fl.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73056-40A2-4E63-BEE3-93762167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D108F610</Template>
  <TotalTime>68</TotalTime>
  <Pages>7</Pages>
  <Words>1686</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11892</CharactersWithSpaces>
  <SharedDoc>false</SharedDoc>
  <HLinks>
    <vt:vector size="6" baseType="variant">
      <vt:variant>
        <vt:i4>2687081</vt:i4>
      </vt:variant>
      <vt:variant>
        <vt:i4>0</vt:i4>
      </vt:variant>
      <vt:variant>
        <vt:i4>0</vt:i4>
      </vt:variant>
      <vt:variant>
        <vt:i4>5</vt:i4>
      </vt:variant>
      <vt:variant>
        <vt:lpwstr>http://www.nsfl.health.govt.nz/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Jane Craven</cp:lastModifiedBy>
  <cp:revision>12</cp:revision>
  <dcterms:created xsi:type="dcterms:W3CDTF">2016-11-22T01:52:00Z</dcterms:created>
  <dcterms:modified xsi:type="dcterms:W3CDTF">2016-11-22T03:01:00Z</dcterms:modified>
</cp:coreProperties>
</file>