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Ind w:w="5" w:type="dxa"/>
        <w:tblLook w:val="0000" w:firstRow="0" w:lastRow="0" w:firstColumn="0" w:lastColumn="0" w:noHBand="0" w:noVBand="0"/>
      </w:tblPr>
      <w:tblGrid>
        <w:gridCol w:w="4506"/>
        <w:gridCol w:w="2435"/>
        <w:gridCol w:w="2835"/>
      </w:tblGrid>
      <w:tr w:rsidR="00474E80" w:rsidRPr="00986409" w14:paraId="0759484D" w14:textId="77777777" w:rsidTr="00474E80">
        <w:trPr>
          <w:cantSplit/>
        </w:trPr>
        <w:tc>
          <w:tcPr>
            <w:tcW w:w="4506" w:type="dxa"/>
            <w:vAlign w:val="center"/>
          </w:tcPr>
          <w:p w14:paraId="4F6D451E" w14:textId="77777777" w:rsidR="00474E80" w:rsidRPr="00986409" w:rsidRDefault="00474E80" w:rsidP="00474E80">
            <w:pPr>
              <w:rPr>
                <w:rFonts w:ascii="Arial" w:hAnsi="Arial" w:cs="Arial"/>
                <w:sz w:val="24"/>
                <w:szCs w:val="24"/>
              </w:rPr>
            </w:pPr>
            <w:r w:rsidRPr="00986409">
              <w:rPr>
                <w:rFonts w:ascii="Arial" w:hAnsi="Arial" w:cs="Arial"/>
                <w:noProof/>
                <w:sz w:val="24"/>
                <w:szCs w:val="24"/>
              </w:rPr>
              <w:drawing>
                <wp:inline distT="0" distB="0" distL="0" distR="0" wp14:anchorId="0FF28012" wp14:editId="6527F4C6">
                  <wp:extent cx="204787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70" w:type="dxa"/>
            <w:gridSpan w:val="2"/>
            <w:vAlign w:val="center"/>
          </w:tcPr>
          <w:p w14:paraId="2E016A57" w14:textId="428E05A5" w:rsidR="00474E80" w:rsidRPr="00986409" w:rsidRDefault="00F168AC" w:rsidP="001E7E19">
            <w:pPr>
              <w:jc w:val="right"/>
              <w:rPr>
                <w:rFonts w:ascii="Arial" w:hAnsi="Arial" w:cs="Arial"/>
                <w:b/>
                <w:sz w:val="32"/>
                <w:szCs w:val="32"/>
              </w:rPr>
            </w:pPr>
            <w:r>
              <w:rPr>
                <w:rFonts w:ascii="Arial" w:hAnsi="Arial" w:cs="Arial"/>
                <w:b/>
                <w:sz w:val="32"/>
                <w:szCs w:val="32"/>
              </w:rPr>
              <w:t>All District Health Boards</w:t>
            </w:r>
          </w:p>
        </w:tc>
      </w:tr>
      <w:tr w:rsidR="00474E80" w:rsidRPr="00986409" w14:paraId="0EF56923" w14:textId="77777777" w:rsidTr="00474E80">
        <w:tc>
          <w:tcPr>
            <w:tcW w:w="9776" w:type="dxa"/>
            <w:gridSpan w:val="3"/>
          </w:tcPr>
          <w:p w14:paraId="33B9CCCF" w14:textId="6652ACB6" w:rsidR="00474E80" w:rsidRDefault="00F20F8A" w:rsidP="00E6579F">
            <w:pPr>
              <w:tabs>
                <w:tab w:val="left" w:pos="0"/>
              </w:tabs>
              <w:spacing w:before="1440" w:after="0"/>
              <w:jc w:val="center"/>
              <w:rPr>
                <w:rFonts w:ascii="Arial" w:hAnsi="Arial" w:cs="Arial"/>
                <w:b/>
                <w:sz w:val="40"/>
                <w:szCs w:val="40"/>
              </w:rPr>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rsidRPr="00AF42AC">
              <w:rPr>
                <w:rFonts w:ascii="Arial" w:hAnsi="Arial" w:cs="Arial"/>
                <w:b/>
                <w:sz w:val="40"/>
                <w:szCs w:val="40"/>
              </w:rPr>
              <w:t>HOME AND COMMUNITY SUPPORT SERVICES</w:t>
            </w:r>
          </w:p>
          <w:p w14:paraId="0CB8B715" w14:textId="1E515527" w:rsidR="0083719A" w:rsidRDefault="0083719A" w:rsidP="00E6579F">
            <w:pPr>
              <w:tabs>
                <w:tab w:val="left" w:pos="0"/>
              </w:tabs>
              <w:spacing w:before="240" w:after="0"/>
              <w:jc w:val="center"/>
              <w:rPr>
                <w:rFonts w:ascii="Arial" w:hAnsi="Arial" w:cs="Arial"/>
                <w:b/>
                <w:sz w:val="40"/>
                <w:szCs w:val="40"/>
              </w:rPr>
            </w:pPr>
            <w:r w:rsidRPr="0083719A">
              <w:rPr>
                <w:rFonts w:ascii="Arial" w:hAnsi="Arial" w:cs="Arial"/>
                <w:b/>
                <w:sz w:val="40"/>
                <w:szCs w:val="40"/>
              </w:rPr>
              <w:t>COMMUNITY HEALTH, TRANSITIONAL AND SUPPORT SERVICES</w:t>
            </w:r>
          </w:p>
          <w:p w14:paraId="313C7809" w14:textId="211BB333" w:rsidR="00470B4F" w:rsidRPr="00AF42AC" w:rsidRDefault="00470B4F" w:rsidP="00E6579F">
            <w:pPr>
              <w:tabs>
                <w:tab w:val="left" w:pos="0"/>
              </w:tabs>
              <w:spacing w:before="240" w:after="0"/>
              <w:jc w:val="center"/>
              <w:rPr>
                <w:rFonts w:ascii="Arial" w:hAnsi="Arial" w:cs="Arial"/>
                <w:b/>
                <w:sz w:val="40"/>
                <w:szCs w:val="40"/>
              </w:rPr>
            </w:pPr>
            <w:r w:rsidRPr="00470B4F">
              <w:rPr>
                <w:rFonts w:ascii="Arial" w:hAnsi="Arial" w:cs="Arial"/>
                <w:b/>
                <w:sz w:val="40"/>
                <w:szCs w:val="40"/>
              </w:rPr>
              <w:t>(D</w:t>
            </w:r>
            <w:r>
              <w:rPr>
                <w:rFonts w:ascii="Arial" w:hAnsi="Arial" w:cs="Arial"/>
                <w:b/>
                <w:sz w:val="40"/>
                <w:szCs w:val="40"/>
              </w:rPr>
              <w:t>istrict Health Board Funded</w:t>
            </w:r>
            <w:r w:rsidRPr="00470B4F">
              <w:rPr>
                <w:rFonts w:ascii="Arial" w:hAnsi="Arial" w:cs="Arial"/>
                <w:b/>
                <w:sz w:val="40"/>
                <w:szCs w:val="40"/>
              </w:rPr>
              <w:t>)</w:t>
            </w:r>
          </w:p>
          <w:p w14:paraId="79F2FE2F" w14:textId="77777777" w:rsidR="005F1341" w:rsidRPr="00986409" w:rsidRDefault="00F20F8A" w:rsidP="00E6579F">
            <w:pPr>
              <w:spacing w:before="240" w:after="0"/>
              <w:jc w:val="center"/>
              <w:rPr>
                <w:rFonts w:ascii="Arial" w:hAnsi="Arial" w:cs="Arial"/>
                <w:b/>
                <w:sz w:val="24"/>
                <w:szCs w:val="24"/>
              </w:rPr>
            </w:pPr>
            <w:r w:rsidRPr="00AF42AC">
              <w:rPr>
                <w:rFonts w:ascii="Arial" w:hAnsi="Arial" w:cs="Arial"/>
                <w:b/>
                <w:sz w:val="40"/>
                <w:szCs w:val="40"/>
              </w:rPr>
              <w:t>TIER TWO SERVICE SPECIFICATION</w:t>
            </w:r>
          </w:p>
          <w:bookmarkEnd w:id="0"/>
          <w:bookmarkEnd w:id="1"/>
          <w:bookmarkEnd w:id="2"/>
          <w:bookmarkEnd w:id="3"/>
          <w:bookmarkEnd w:id="4"/>
          <w:bookmarkEnd w:id="5"/>
          <w:bookmarkEnd w:id="6"/>
          <w:bookmarkEnd w:id="7"/>
          <w:p w14:paraId="7A0E3ADF" w14:textId="77777777" w:rsidR="00474E80" w:rsidRPr="00986409" w:rsidRDefault="00474E80" w:rsidP="00AF42AC">
            <w:pPr>
              <w:jc w:val="center"/>
              <w:rPr>
                <w:rFonts w:ascii="Arial" w:hAnsi="Arial" w:cs="Arial"/>
                <w:sz w:val="24"/>
                <w:szCs w:val="24"/>
              </w:rPr>
            </w:pPr>
          </w:p>
        </w:tc>
      </w:tr>
      <w:tr w:rsidR="00474E80" w:rsidRPr="00986409" w14:paraId="6E61AC88" w14:textId="77777777" w:rsidTr="00CF0000">
        <w:trPr>
          <w:trHeight w:val="3108"/>
        </w:trPr>
        <w:tc>
          <w:tcPr>
            <w:tcW w:w="6941" w:type="dxa"/>
            <w:gridSpan w:val="2"/>
            <w:tcBorders>
              <w:bottom w:val="single" w:sz="4" w:space="0" w:color="auto"/>
            </w:tcBorders>
          </w:tcPr>
          <w:p w14:paraId="77CF1B62" w14:textId="65631C4E" w:rsidR="00474E80" w:rsidRPr="00986409" w:rsidRDefault="00474E80" w:rsidP="00242CAC">
            <w:pPr>
              <w:spacing w:before="600" w:after="120"/>
              <w:ind w:left="720"/>
              <w:rPr>
                <w:rFonts w:ascii="Arial" w:hAnsi="Arial" w:cs="Arial"/>
                <w:sz w:val="24"/>
                <w:szCs w:val="24"/>
              </w:rPr>
            </w:pPr>
            <w:r w:rsidRPr="00986409">
              <w:rPr>
                <w:rFonts w:ascii="Arial" w:hAnsi="Arial" w:cs="Arial"/>
                <w:b/>
                <w:sz w:val="28"/>
                <w:szCs w:val="28"/>
              </w:rPr>
              <w:t>STATUS:</w:t>
            </w:r>
          </w:p>
          <w:p w14:paraId="197142A8" w14:textId="56115D50" w:rsidR="005F1341" w:rsidRPr="005F1341" w:rsidRDefault="00474E80" w:rsidP="00D7486A">
            <w:pPr>
              <w:spacing w:after="240"/>
              <w:rPr>
                <w:rFonts w:ascii="Arial" w:hAnsi="Arial" w:cs="Arial"/>
                <w:sz w:val="24"/>
                <w:szCs w:val="24"/>
              </w:rPr>
            </w:pPr>
            <w:r w:rsidRPr="00986409">
              <w:rPr>
                <w:rFonts w:ascii="Arial" w:hAnsi="Arial" w:cs="Arial"/>
                <w:sz w:val="24"/>
                <w:szCs w:val="24"/>
              </w:rPr>
              <w:t xml:space="preserve">Approved </w:t>
            </w:r>
            <w:r w:rsidR="00470B4F">
              <w:rPr>
                <w:rFonts w:ascii="Arial" w:hAnsi="Arial" w:cs="Arial"/>
                <w:sz w:val="24"/>
                <w:szCs w:val="24"/>
              </w:rPr>
              <w:t xml:space="preserve">by DHB GMs Planning and Funding </w:t>
            </w:r>
            <w:r w:rsidR="00D7486A">
              <w:rPr>
                <w:rFonts w:ascii="Arial" w:hAnsi="Arial" w:cs="Arial"/>
                <w:sz w:val="24"/>
                <w:szCs w:val="24"/>
              </w:rPr>
              <w:t xml:space="preserve">(February 2020) </w:t>
            </w:r>
            <w:r w:rsidRPr="00986409">
              <w:rPr>
                <w:rFonts w:ascii="Arial" w:hAnsi="Arial" w:cs="Arial"/>
                <w:sz w:val="24"/>
                <w:szCs w:val="24"/>
              </w:rPr>
              <w:t xml:space="preserve">to be used for </w:t>
            </w:r>
            <w:r w:rsidR="007268CF" w:rsidRPr="00986409">
              <w:rPr>
                <w:rFonts w:ascii="Arial" w:hAnsi="Arial" w:cs="Arial"/>
                <w:sz w:val="24"/>
                <w:szCs w:val="24"/>
              </w:rPr>
              <w:t xml:space="preserve">the </w:t>
            </w:r>
            <w:r w:rsidR="001E7E19" w:rsidRPr="00986409">
              <w:rPr>
                <w:rFonts w:ascii="Arial" w:hAnsi="Arial" w:cs="Arial"/>
                <w:sz w:val="24"/>
                <w:szCs w:val="24"/>
              </w:rPr>
              <w:t xml:space="preserve">transitional </w:t>
            </w:r>
            <w:r w:rsidR="001E7E19" w:rsidRPr="005F1341">
              <w:rPr>
                <w:rFonts w:ascii="Arial" w:hAnsi="Arial" w:cs="Arial"/>
                <w:sz w:val="24"/>
                <w:szCs w:val="24"/>
              </w:rPr>
              <w:t>nationwide</w:t>
            </w:r>
            <w:r w:rsidRPr="005F1341">
              <w:rPr>
                <w:rFonts w:ascii="Arial" w:hAnsi="Arial" w:cs="Arial"/>
                <w:sz w:val="24"/>
                <w:szCs w:val="24"/>
              </w:rPr>
              <w:t xml:space="preserve"> description of services to be </w:t>
            </w:r>
            <w:r w:rsidRPr="00874DFB">
              <w:rPr>
                <w:rFonts w:ascii="Arial" w:hAnsi="Arial" w:cs="Arial"/>
                <w:sz w:val="24"/>
                <w:szCs w:val="24"/>
              </w:rPr>
              <w:t>provided.</w:t>
            </w:r>
            <w:r w:rsidR="008D5777">
              <w:t xml:space="preserve"> </w:t>
            </w:r>
            <w:r w:rsidR="008D5777">
              <w:rPr>
                <w:rFonts w:ascii="Arial" w:hAnsi="Arial" w:cs="Arial"/>
                <w:sz w:val="24"/>
                <w:szCs w:val="24"/>
              </w:rPr>
              <w:t>It will be</w:t>
            </w:r>
            <w:r w:rsidRPr="00986409">
              <w:rPr>
                <w:rFonts w:ascii="Arial" w:hAnsi="Arial" w:cs="Arial"/>
                <w:sz w:val="24"/>
                <w:szCs w:val="24"/>
              </w:rPr>
              <w:t xml:space="preserve"> compulsory to use this service specification when purchasing this service</w:t>
            </w:r>
            <w:r w:rsidR="007268CF" w:rsidRPr="00986409">
              <w:rPr>
                <w:rFonts w:ascii="Arial" w:hAnsi="Arial" w:cs="Arial"/>
                <w:sz w:val="24"/>
                <w:szCs w:val="24"/>
              </w:rPr>
              <w:t xml:space="preserve"> from 202</w:t>
            </w:r>
            <w:r w:rsidR="00AE0CCE" w:rsidRPr="00986409">
              <w:rPr>
                <w:rFonts w:ascii="Arial" w:hAnsi="Arial" w:cs="Arial"/>
                <w:sz w:val="24"/>
                <w:szCs w:val="24"/>
              </w:rPr>
              <w:t>2</w:t>
            </w:r>
            <w:r w:rsidR="008D5777">
              <w:rPr>
                <w:rFonts w:ascii="Arial" w:hAnsi="Arial" w:cs="Arial"/>
                <w:sz w:val="24"/>
                <w:szCs w:val="24"/>
              </w:rPr>
              <w:t xml:space="preserve"> when DHBs</w:t>
            </w:r>
            <w:r w:rsidR="008D5777" w:rsidRPr="008D5777">
              <w:rPr>
                <w:rFonts w:ascii="Arial" w:hAnsi="Arial" w:cs="Arial"/>
                <w:sz w:val="24"/>
                <w:szCs w:val="24"/>
              </w:rPr>
              <w:t xml:space="preserve"> have confirmed they are using the new Home and Community Support Services casemix model</w:t>
            </w:r>
            <w:r w:rsidR="008D5777">
              <w:rPr>
                <w:rFonts w:ascii="Arial" w:hAnsi="Arial" w:cs="Arial"/>
                <w:sz w:val="24"/>
                <w:szCs w:val="24"/>
              </w:rPr>
              <w:t>.</w:t>
            </w:r>
          </w:p>
        </w:tc>
        <w:tc>
          <w:tcPr>
            <w:tcW w:w="2835" w:type="dxa"/>
            <w:tcBorders>
              <w:bottom w:val="single" w:sz="4" w:space="0" w:color="auto"/>
            </w:tcBorders>
          </w:tcPr>
          <w:p w14:paraId="6DA858B3" w14:textId="395302D9" w:rsidR="008D5777" w:rsidRPr="008D5777" w:rsidRDefault="00474E80" w:rsidP="005F1341">
            <w:pPr>
              <w:spacing w:before="600" w:after="960"/>
              <w:rPr>
                <w:rFonts w:ascii="Arial" w:hAnsi="Arial" w:cs="Arial"/>
                <w:b/>
                <w:sz w:val="28"/>
                <w:szCs w:val="28"/>
              </w:rPr>
            </w:pPr>
            <w:r w:rsidRPr="005F1341">
              <w:rPr>
                <w:rFonts w:ascii="Arial" w:hAnsi="Arial" w:cs="Arial"/>
                <w:b/>
                <w:sz w:val="28"/>
                <w:szCs w:val="28"/>
              </w:rPr>
              <w:t>TRANSITIONAL</w:t>
            </w:r>
            <w:r w:rsidRPr="00874DFB">
              <w:rPr>
                <w:rFonts w:ascii="Arial" w:hAnsi="Arial" w:cs="Arial"/>
                <w:b/>
                <w:sz w:val="28"/>
                <w:szCs w:val="28"/>
              </w:rPr>
              <w:t xml:space="preserve"> </w:t>
            </w:r>
          </w:p>
          <w:p w14:paraId="2916E526" w14:textId="441B8832" w:rsidR="00474E80" w:rsidRPr="00986409" w:rsidRDefault="00474E80" w:rsidP="005F1341">
            <w:pPr>
              <w:spacing w:before="600" w:after="960"/>
              <w:rPr>
                <w:rFonts w:ascii="Arial" w:hAnsi="Arial" w:cs="Arial"/>
                <w:sz w:val="24"/>
                <w:szCs w:val="24"/>
              </w:rPr>
            </w:pPr>
          </w:p>
        </w:tc>
      </w:tr>
      <w:tr w:rsidR="00474E80" w:rsidRPr="00986409" w14:paraId="4C615719" w14:textId="77777777" w:rsidTr="00CF0000">
        <w:trPr>
          <w:trHeight w:val="297"/>
        </w:trPr>
        <w:tc>
          <w:tcPr>
            <w:tcW w:w="6941" w:type="dxa"/>
            <w:gridSpan w:val="2"/>
            <w:tcBorders>
              <w:top w:val="single" w:sz="4" w:space="0" w:color="auto"/>
              <w:left w:val="single" w:sz="4" w:space="0" w:color="auto"/>
              <w:bottom w:val="single" w:sz="4" w:space="0" w:color="auto"/>
              <w:right w:val="single" w:sz="4" w:space="0" w:color="auto"/>
            </w:tcBorders>
            <w:shd w:val="clear" w:color="auto" w:fill="CCCCCC"/>
          </w:tcPr>
          <w:p w14:paraId="3424D36B" w14:textId="77777777" w:rsidR="00474E80" w:rsidRPr="00986409" w:rsidRDefault="00474E80" w:rsidP="00474E80">
            <w:pPr>
              <w:rPr>
                <w:rFonts w:ascii="Arial" w:hAnsi="Arial" w:cs="Arial"/>
                <w:b/>
                <w:sz w:val="24"/>
                <w:szCs w:val="24"/>
              </w:rPr>
            </w:pPr>
            <w:r w:rsidRPr="00986409">
              <w:rPr>
                <w:rFonts w:ascii="Arial" w:hAnsi="Arial" w:cs="Arial"/>
                <w:b/>
                <w:sz w:val="24"/>
                <w:szCs w:val="24"/>
              </w:rPr>
              <w:t>Review History</w:t>
            </w:r>
          </w:p>
        </w:tc>
        <w:tc>
          <w:tcPr>
            <w:tcW w:w="2835" w:type="dxa"/>
            <w:tcBorders>
              <w:top w:val="single" w:sz="4" w:space="0" w:color="auto"/>
              <w:left w:val="single" w:sz="4" w:space="0" w:color="auto"/>
              <w:bottom w:val="single" w:sz="4" w:space="0" w:color="auto"/>
              <w:right w:val="single" w:sz="4" w:space="0" w:color="auto"/>
            </w:tcBorders>
            <w:shd w:val="clear" w:color="auto" w:fill="CCCCCC"/>
          </w:tcPr>
          <w:p w14:paraId="03CF8D03" w14:textId="77777777" w:rsidR="00474E80" w:rsidRPr="005F1341" w:rsidRDefault="00474E80" w:rsidP="00474E80">
            <w:pPr>
              <w:rPr>
                <w:rFonts w:ascii="Arial" w:hAnsi="Arial" w:cs="Arial"/>
                <w:b/>
                <w:sz w:val="24"/>
                <w:szCs w:val="24"/>
              </w:rPr>
            </w:pPr>
            <w:r w:rsidRPr="005F1341">
              <w:rPr>
                <w:rFonts w:ascii="Arial" w:hAnsi="Arial" w:cs="Arial"/>
                <w:b/>
                <w:sz w:val="24"/>
                <w:szCs w:val="24"/>
              </w:rPr>
              <w:t>Date</w:t>
            </w:r>
          </w:p>
        </w:tc>
      </w:tr>
      <w:tr w:rsidR="00474E80" w:rsidRPr="00986409" w14:paraId="0290FA86" w14:textId="77777777" w:rsidTr="00CF0000">
        <w:trPr>
          <w:trHeight w:val="572"/>
        </w:trPr>
        <w:tc>
          <w:tcPr>
            <w:tcW w:w="6941" w:type="dxa"/>
            <w:gridSpan w:val="2"/>
            <w:tcBorders>
              <w:top w:val="single" w:sz="4" w:space="0" w:color="auto"/>
              <w:left w:val="single" w:sz="4" w:space="0" w:color="auto"/>
              <w:bottom w:val="single" w:sz="6" w:space="0" w:color="auto"/>
              <w:right w:val="single" w:sz="6" w:space="0" w:color="auto"/>
            </w:tcBorders>
            <w:vAlign w:val="center"/>
          </w:tcPr>
          <w:p w14:paraId="4D573DF6" w14:textId="77777777" w:rsidR="00474E80" w:rsidRPr="00986409" w:rsidRDefault="00474E80" w:rsidP="00474E80">
            <w:pPr>
              <w:rPr>
                <w:rFonts w:ascii="Arial" w:hAnsi="Arial" w:cs="Arial"/>
                <w:sz w:val="24"/>
                <w:szCs w:val="24"/>
              </w:rPr>
            </w:pPr>
            <w:r w:rsidRPr="00986409">
              <w:rPr>
                <w:rFonts w:ascii="Arial" w:hAnsi="Arial" w:cs="Arial"/>
                <w:sz w:val="24"/>
                <w:szCs w:val="24"/>
              </w:rPr>
              <w:t>First Published on NSFL</w:t>
            </w:r>
          </w:p>
        </w:tc>
        <w:tc>
          <w:tcPr>
            <w:tcW w:w="2835" w:type="dxa"/>
            <w:tcBorders>
              <w:top w:val="single" w:sz="4" w:space="0" w:color="auto"/>
              <w:left w:val="single" w:sz="6" w:space="0" w:color="auto"/>
              <w:bottom w:val="single" w:sz="6" w:space="0" w:color="auto"/>
              <w:right w:val="single" w:sz="4" w:space="0" w:color="auto"/>
            </w:tcBorders>
            <w:vAlign w:val="center"/>
          </w:tcPr>
          <w:p w14:paraId="26F0E514" w14:textId="47A6B99D" w:rsidR="00474E80" w:rsidRPr="005F1341" w:rsidRDefault="00470B4F" w:rsidP="00474E80">
            <w:pPr>
              <w:rPr>
                <w:rFonts w:ascii="Arial" w:hAnsi="Arial" w:cs="Arial"/>
                <w:sz w:val="24"/>
                <w:szCs w:val="24"/>
              </w:rPr>
            </w:pPr>
            <w:r>
              <w:rPr>
                <w:rFonts w:ascii="Arial" w:hAnsi="Arial" w:cs="Arial"/>
                <w:sz w:val="24"/>
                <w:szCs w:val="24"/>
              </w:rPr>
              <w:t xml:space="preserve"> </w:t>
            </w:r>
            <w:r w:rsidR="00474E80" w:rsidRPr="005F1341">
              <w:rPr>
                <w:rFonts w:ascii="Arial" w:hAnsi="Arial" w:cs="Arial"/>
                <w:sz w:val="24"/>
                <w:szCs w:val="24"/>
              </w:rPr>
              <w:t>2020</w:t>
            </w:r>
          </w:p>
        </w:tc>
      </w:tr>
      <w:tr w:rsidR="00474E80" w:rsidRPr="00986409" w14:paraId="1D2772F5" w14:textId="77777777" w:rsidTr="00CF0000">
        <w:tc>
          <w:tcPr>
            <w:tcW w:w="6941" w:type="dxa"/>
            <w:gridSpan w:val="2"/>
            <w:tcBorders>
              <w:top w:val="single" w:sz="6" w:space="0" w:color="auto"/>
              <w:left w:val="single" w:sz="4" w:space="0" w:color="auto"/>
              <w:bottom w:val="single" w:sz="6" w:space="0" w:color="auto"/>
              <w:right w:val="single" w:sz="6" w:space="0" w:color="auto"/>
            </w:tcBorders>
            <w:vAlign w:val="center"/>
          </w:tcPr>
          <w:p w14:paraId="0EE79A62" w14:textId="77777777" w:rsidR="00474E80" w:rsidRPr="005F1341" w:rsidRDefault="00474E80" w:rsidP="00F168AC">
            <w:pPr>
              <w:spacing w:before="120" w:after="120"/>
              <w:rPr>
                <w:rFonts w:ascii="Arial" w:hAnsi="Arial" w:cs="Arial"/>
                <w:sz w:val="24"/>
                <w:szCs w:val="24"/>
              </w:rPr>
            </w:pPr>
            <w:r w:rsidRPr="00986409">
              <w:rPr>
                <w:rFonts w:ascii="Arial" w:hAnsi="Arial" w:cs="Arial"/>
                <w:sz w:val="24"/>
                <w:szCs w:val="24"/>
              </w:rPr>
              <w:t xml:space="preserve">Consideration for next Service Specification Review and the replacement of the Purchase unit codes </w:t>
            </w:r>
          </w:p>
        </w:tc>
        <w:tc>
          <w:tcPr>
            <w:tcW w:w="2835" w:type="dxa"/>
            <w:tcBorders>
              <w:top w:val="single" w:sz="6" w:space="0" w:color="auto"/>
              <w:left w:val="single" w:sz="6" w:space="0" w:color="auto"/>
              <w:bottom w:val="single" w:sz="6" w:space="0" w:color="auto"/>
              <w:right w:val="single" w:sz="4" w:space="0" w:color="auto"/>
            </w:tcBorders>
            <w:vAlign w:val="center"/>
          </w:tcPr>
          <w:p w14:paraId="661A61D1" w14:textId="77777777" w:rsidR="00474E80" w:rsidRPr="00874DFB" w:rsidRDefault="00474E80" w:rsidP="00474E80">
            <w:pPr>
              <w:rPr>
                <w:rFonts w:ascii="Arial" w:hAnsi="Arial" w:cs="Arial"/>
                <w:sz w:val="24"/>
                <w:szCs w:val="24"/>
              </w:rPr>
            </w:pPr>
            <w:r w:rsidRPr="00F168AC">
              <w:rPr>
                <w:rFonts w:ascii="Arial" w:hAnsi="Arial" w:cs="Arial"/>
                <w:sz w:val="24"/>
                <w:szCs w:val="24"/>
              </w:rPr>
              <w:t xml:space="preserve">Within </w:t>
            </w:r>
            <w:r w:rsidR="00AF42AC" w:rsidRPr="00F168AC">
              <w:rPr>
                <w:rFonts w:ascii="Arial" w:hAnsi="Arial" w:cs="Arial"/>
                <w:sz w:val="24"/>
                <w:szCs w:val="24"/>
              </w:rPr>
              <w:t xml:space="preserve">five </w:t>
            </w:r>
            <w:r w:rsidRPr="00F168AC">
              <w:rPr>
                <w:rFonts w:ascii="Arial" w:hAnsi="Arial" w:cs="Arial"/>
                <w:sz w:val="24"/>
                <w:szCs w:val="24"/>
              </w:rPr>
              <w:t>years</w:t>
            </w:r>
          </w:p>
        </w:tc>
      </w:tr>
    </w:tbl>
    <w:p w14:paraId="0D71E74A" w14:textId="77777777" w:rsidR="00986409" w:rsidRPr="00986409" w:rsidRDefault="00474E80" w:rsidP="00AF42AC">
      <w:pPr>
        <w:spacing w:before="120"/>
        <w:rPr>
          <w:rFonts w:ascii="Arial" w:hAnsi="Arial" w:cs="Arial"/>
          <w:sz w:val="24"/>
          <w:szCs w:val="24"/>
        </w:rPr>
      </w:pPr>
      <w:r w:rsidRPr="00986409">
        <w:rPr>
          <w:rFonts w:ascii="Arial" w:hAnsi="Arial" w:cs="Arial"/>
          <w:sz w:val="24"/>
          <w:szCs w:val="24"/>
        </w:rPr>
        <w:t xml:space="preserve">Note: </w:t>
      </w:r>
      <w:r w:rsidR="00986409" w:rsidRPr="00986409">
        <w:rPr>
          <w:rFonts w:ascii="Arial" w:hAnsi="Arial" w:cs="Arial"/>
          <w:sz w:val="24"/>
          <w:szCs w:val="24"/>
        </w:rPr>
        <w:t xml:space="preserve">Contact the Service Specification Programme Manager, Ministry of Health </w:t>
      </w:r>
      <w:hyperlink r:id="rId9" w:history="1">
        <w:r w:rsidR="00986409" w:rsidRPr="00B23FD0">
          <w:rPr>
            <w:rStyle w:val="Hyperlink"/>
            <w:rFonts w:ascii="Arial" w:hAnsi="Arial" w:cs="Arial"/>
            <w:sz w:val="24"/>
            <w:szCs w:val="24"/>
          </w:rPr>
          <w:t>nsfl@health.govt.nz</w:t>
        </w:r>
      </w:hyperlink>
      <w:r w:rsidR="00986409">
        <w:rPr>
          <w:rFonts w:ascii="Arial" w:hAnsi="Arial" w:cs="Arial"/>
          <w:sz w:val="24"/>
          <w:szCs w:val="24"/>
        </w:rPr>
        <w:t xml:space="preserve"> </w:t>
      </w:r>
      <w:r w:rsidR="00986409" w:rsidRPr="00986409">
        <w:rPr>
          <w:rFonts w:ascii="Arial" w:hAnsi="Arial" w:cs="Arial"/>
          <w:sz w:val="24"/>
          <w:szCs w:val="24"/>
        </w:rPr>
        <w:t xml:space="preserve">for queries about this service specification. </w:t>
      </w:r>
    </w:p>
    <w:p w14:paraId="65C2C3E5" w14:textId="77777777" w:rsidR="00986409" w:rsidRPr="00986409" w:rsidRDefault="00986409" w:rsidP="00986409">
      <w:pPr>
        <w:rPr>
          <w:rFonts w:ascii="Arial" w:hAnsi="Arial" w:cs="Arial"/>
          <w:sz w:val="24"/>
          <w:szCs w:val="24"/>
          <w:lang w:val="en-GB"/>
        </w:rPr>
      </w:pPr>
      <w:r w:rsidRPr="00986409">
        <w:rPr>
          <w:rFonts w:ascii="Arial" w:hAnsi="Arial" w:cs="Arial"/>
          <w:sz w:val="24"/>
          <w:szCs w:val="24"/>
        </w:rPr>
        <w:t xml:space="preserve">Nationwide Service Framework Library web site </w:t>
      </w:r>
      <w:hyperlink r:id="rId10" w:history="1">
        <w:r w:rsidRPr="00B23FD0">
          <w:rPr>
            <w:rStyle w:val="Hyperlink"/>
            <w:rFonts w:ascii="Arial" w:hAnsi="Arial" w:cs="Arial"/>
            <w:sz w:val="24"/>
            <w:szCs w:val="24"/>
          </w:rPr>
          <w:t>http://www.nsfl.health.govt.nz</w:t>
        </w:r>
      </w:hyperlink>
    </w:p>
    <w:p w14:paraId="289A1CE6" w14:textId="7E89589B" w:rsidR="00D7486A" w:rsidRDefault="00D7486A">
      <w:pPr>
        <w:rPr>
          <w:rFonts w:ascii="Arial" w:hAnsi="Arial" w:cs="Arial"/>
          <w:sz w:val="24"/>
          <w:szCs w:val="24"/>
          <w:lang w:val="en-GB"/>
        </w:rPr>
      </w:pPr>
      <w:r>
        <w:rPr>
          <w:rFonts w:ascii="Arial" w:hAnsi="Arial" w:cs="Arial"/>
          <w:sz w:val="24"/>
          <w:szCs w:val="24"/>
          <w:lang w:val="en-GB"/>
        </w:rPr>
        <w:br w:type="page"/>
      </w:r>
    </w:p>
    <w:sdt>
      <w:sdtPr>
        <w:rPr>
          <w:rFonts w:asciiTheme="minorHAnsi" w:eastAsiaTheme="minorEastAsia" w:hAnsiTheme="minorHAnsi" w:cstheme="minorBidi"/>
          <w:b w:val="0"/>
          <w:color w:val="0000FF"/>
          <w:sz w:val="22"/>
          <w:szCs w:val="22"/>
          <w:u w:val="single"/>
        </w:rPr>
        <w:id w:val="-538426747"/>
        <w:docPartObj>
          <w:docPartGallery w:val="Table of Contents"/>
          <w:docPartUnique/>
        </w:docPartObj>
      </w:sdtPr>
      <w:sdtEndPr>
        <w:rPr>
          <w:bCs/>
          <w:noProof/>
          <w:color w:val="auto"/>
          <w:u w:val="none"/>
        </w:rPr>
      </w:sdtEndPr>
      <w:sdtContent>
        <w:p w14:paraId="34A7423E" w14:textId="50C35085" w:rsidR="004E202F" w:rsidRDefault="004E202F" w:rsidP="00DC674C">
          <w:pPr>
            <w:pStyle w:val="TOCHeading"/>
          </w:pPr>
          <w:r>
            <w:t>Contents</w:t>
          </w:r>
        </w:p>
        <w:p w14:paraId="245C4C32" w14:textId="7DE41BD5" w:rsidR="00A61E89" w:rsidRPr="00242CAC" w:rsidRDefault="004E202F">
          <w:pPr>
            <w:pStyle w:val="TOC1"/>
            <w:rPr>
              <w:rFonts w:ascii="Arial" w:hAnsi="Arial" w:cs="Arial"/>
              <w:noProof/>
              <w:lang w:eastAsia="en-NZ"/>
            </w:rPr>
          </w:pPr>
          <w:r>
            <w:fldChar w:fldCharType="begin"/>
          </w:r>
          <w:r>
            <w:instrText xml:space="preserve"> TOC \o "1-3" \h \z \u </w:instrText>
          </w:r>
          <w:r>
            <w:fldChar w:fldCharType="separate"/>
          </w:r>
          <w:hyperlink w:anchor="_Toc43122829" w:history="1">
            <w:r w:rsidR="00A61E89" w:rsidRPr="00242CAC">
              <w:rPr>
                <w:rStyle w:val="Hyperlink"/>
                <w:rFonts w:ascii="Arial" w:hAnsi="Arial" w:cs="Arial"/>
                <w:noProof/>
              </w:rPr>
              <w:t>Background</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_Toc43122829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4</w:t>
            </w:r>
            <w:r w:rsidR="00A61E89" w:rsidRPr="00242CAC">
              <w:rPr>
                <w:rFonts w:ascii="Arial" w:hAnsi="Arial" w:cs="Arial"/>
                <w:noProof/>
                <w:webHidden/>
              </w:rPr>
              <w:fldChar w:fldCharType="end"/>
            </w:r>
          </w:hyperlink>
        </w:p>
        <w:p w14:paraId="03E3F19C" w14:textId="4EDDC863" w:rsidR="00A61E89" w:rsidRPr="00242CAC" w:rsidRDefault="003E2092">
          <w:pPr>
            <w:pStyle w:val="TOC1"/>
            <w:rPr>
              <w:rFonts w:ascii="Arial" w:hAnsi="Arial" w:cs="Arial"/>
              <w:noProof/>
              <w:lang w:eastAsia="en-NZ"/>
            </w:rPr>
          </w:pPr>
          <w:hyperlink w:anchor="_Toc43122830" w:history="1">
            <w:r w:rsidR="00A61E89" w:rsidRPr="00242CAC">
              <w:rPr>
                <w:rStyle w:val="Hyperlink"/>
                <w:rFonts w:ascii="Arial" w:hAnsi="Arial" w:cs="Arial"/>
                <w:noProof/>
              </w:rPr>
              <w:t>1</w:t>
            </w:r>
            <w:r w:rsidR="00A61E89" w:rsidRPr="00242CAC">
              <w:rPr>
                <w:rFonts w:ascii="Arial" w:hAnsi="Arial" w:cs="Arial"/>
                <w:noProof/>
                <w:lang w:eastAsia="en-NZ"/>
              </w:rPr>
              <w:tab/>
            </w:r>
            <w:r w:rsidR="00A61E89" w:rsidRPr="00242CAC">
              <w:rPr>
                <w:rStyle w:val="Hyperlink"/>
                <w:rFonts w:ascii="Arial" w:hAnsi="Arial" w:cs="Arial"/>
                <w:noProof/>
              </w:rPr>
              <w:t>Key Documents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_Toc43122830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4</w:t>
            </w:r>
            <w:r w:rsidR="00A61E89" w:rsidRPr="00242CAC">
              <w:rPr>
                <w:rFonts w:ascii="Arial" w:hAnsi="Arial" w:cs="Arial"/>
                <w:noProof/>
                <w:webHidden/>
              </w:rPr>
              <w:fldChar w:fldCharType="end"/>
            </w:r>
          </w:hyperlink>
        </w:p>
        <w:p w14:paraId="5AB8A02C" w14:textId="65614E92" w:rsidR="00A61E89" w:rsidRPr="00242CAC" w:rsidRDefault="003E2092">
          <w:pPr>
            <w:pStyle w:val="TOC1"/>
            <w:rPr>
              <w:rFonts w:ascii="Arial" w:hAnsi="Arial" w:cs="Arial"/>
              <w:noProof/>
              <w:lang w:eastAsia="en-NZ"/>
            </w:rPr>
          </w:pPr>
          <w:hyperlink w:anchor="_Toc43122831" w:history="1">
            <w:r w:rsidR="00A61E89" w:rsidRPr="00242CAC">
              <w:rPr>
                <w:rStyle w:val="Hyperlink"/>
                <w:rFonts w:ascii="Arial" w:hAnsi="Arial" w:cs="Arial"/>
                <w:noProof/>
              </w:rPr>
              <w:t>2</w:t>
            </w:r>
            <w:r w:rsidR="00A61E89" w:rsidRPr="00242CAC">
              <w:rPr>
                <w:rFonts w:ascii="Arial" w:hAnsi="Arial" w:cs="Arial"/>
                <w:noProof/>
                <w:lang w:eastAsia="en-NZ"/>
              </w:rPr>
              <w:tab/>
            </w:r>
            <w:r w:rsidR="00A61E89" w:rsidRPr="00242CAC">
              <w:rPr>
                <w:rStyle w:val="Hyperlink"/>
                <w:rFonts w:ascii="Arial" w:hAnsi="Arial" w:cs="Arial"/>
                <w:noProof/>
              </w:rPr>
              <w:t>Service Users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_Toc43122831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5</w:t>
            </w:r>
            <w:r w:rsidR="00A61E89" w:rsidRPr="00242CAC">
              <w:rPr>
                <w:rFonts w:ascii="Arial" w:hAnsi="Arial" w:cs="Arial"/>
                <w:noProof/>
                <w:webHidden/>
              </w:rPr>
              <w:fldChar w:fldCharType="end"/>
            </w:r>
          </w:hyperlink>
        </w:p>
        <w:p w14:paraId="77E5A228" w14:textId="4C7C45C7" w:rsidR="00A61E89" w:rsidRPr="00242CAC" w:rsidRDefault="003E2092">
          <w:pPr>
            <w:pStyle w:val="TOC1"/>
            <w:rPr>
              <w:rFonts w:ascii="Arial" w:hAnsi="Arial" w:cs="Arial"/>
              <w:noProof/>
              <w:lang w:eastAsia="en-NZ"/>
            </w:rPr>
          </w:pPr>
          <w:hyperlink w:anchor="_Toc43122832" w:history="1">
            <w:r w:rsidR="00A61E89" w:rsidRPr="00242CAC">
              <w:rPr>
                <w:rStyle w:val="Hyperlink"/>
                <w:rFonts w:ascii="Arial" w:hAnsi="Arial" w:cs="Arial"/>
                <w:noProof/>
              </w:rPr>
              <w:t>3</w:t>
            </w:r>
            <w:r w:rsidR="00A61E89" w:rsidRPr="00242CAC">
              <w:rPr>
                <w:rFonts w:ascii="Arial" w:hAnsi="Arial" w:cs="Arial"/>
                <w:noProof/>
                <w:lang w:eastAsia="en-NZ"/>
              </w:rPr>
              <w:tab/>
            </w:r>
            <w:r w:rsidR="00A61E89" w:rsidRPr="00242CAC">
              <w:rPr>
                <w:rStyle w:val="Hyperlink"/>
                <w:rFonts w:ascii="Arial" w:hAnsi="Arial" w:cs="Arial"/>
                <w:noProof/>
              </w:rPr>
              <w:t>Service Exclusions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_Toc43122832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5</w:t>
            </w:r>
            <w:r w:rsidR="00A61E89" w:rsidRPr="00242CAC">
              <w:rPr>
                <w:rFonts w:ascii="Arial" w:hAnsi="Arial" w:cs="Arial"/>
                <w:noProof/>
                <w:webHidden/>
              </w:rPr>
              <w:fldChar w:fldCharType="end"/>
            </w:r>
          </w:hyperlink>
        </w:p>
        <w:p w14:paraId="3F8AC122" w14:textId="36178F13" w:rsidR="00A61E89" w:rsidRPr="00242CAC" w:rsidRDefault="003E2092">
          <w:pPr>
            <w:pStyle w:val="TOC1"/>
            <w:rPr>
              <w:rFonts w:ascii="Arial" w:hAnsi="Arial" w:cs="Arial"/>
              <w:noProof/>
              <w:lang w:eastAsia="en-NZ"/>
            </w:rPr>
          </w:pPr>
          <w:hyperlink w:anchor="_Toc43122833" w:history="1">
            <w:r w:rsidR="00A61E89" w:rsidRPr="00242CAC">
              <w:rPr>
                <w:rStyle w:val="Hyperlink"/>
                <w:rFonts w:ascii="Arial" w:hAnsi="Arial" w:cs="Arial"/>
                <w:noProof/>
              </w:rPr>
              <w:t>4</w:t>
            </w:r>
            <w:r w:rsidR="00A61E89" w:rsidRPr="00242CAC">
              <w:rPr>
                <w:rFonts w:ascii="Arial" w:hAnsi="Arial" w:cs="Arial"/>
                <w:noProof/>
                <w:lang w:eastAsia="en-NZ"/>
              </w:rPr>
              <w:tab/>
            </w:r>
            <w:r w:rsidR="00A61E89" w:rsidRPr="00242CAC">
              <w:rPr>
                <w:rStyle w:val="Hyperlink"/>
                <w:rFonts w:ascii="Arial" w:hAnsi="Arial" w:cs="Arial"/>
                <w:noProof/>
              </w:rPr>
              <w:t>Service Objective</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_Toc43122833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6</w:t>
            </w:r>
            <w:r w:rsidR="00A61E89" w:rsidRPr="00242CAC">
              <w:rPr>
                <w:rFonts w:ascii="Arial" w:hAnsi="Arial" w:cs="Arial"/>
                <w:noProof/>
                <w:webHidden/>
              </w:rPr>
              <w:fldChar w:fldCharType="end"/>
            </w:r>
          </w:hyperlink>
        </w:p>
        <w:p w14:paraId="491FFEB5" w14:textId="5B590858" w:rsidR="00A61E89" w:rsidRPr="00242CAC" w:rsidRDefault="003E2092">
          <w:pPr>
            <w:pStyle w:val="TOC2"/>
            <w:rPr>
              <w:rFonts w:ascii="Arial" w:hAnsi="Arial" w:cs="Arial"/>
              <w:lang w:eastAsia="en-NZ"/>
            </w:rPr>
          </w:pPr>
          <w:hyperlink w:anchor="_Toc43122834" w:history="1">
            <w:r w:rsidR="00A61E89" w:rsidRPr="00242CAC">
              <w:rPr>
                <w:rStyle w:val="Hyperlink"/>
                <w:rFonts w:ascii="Arial" w:hAnsi="Arial" w:cs="Arial"/>
              </w:rPr>
              <w:t>4.1</w:t>
            </w:r>
            <w:r w:rsidR="00A61E89" w:rsidRPr="00242CAC">
              <w:rPr>
                <w:rFonts w:ascii="Arial" w:hAnsi="Arial" w:cs="Arial"/>
                <w:lang w:eastAsia="en-NZ"/>
              </w:rPr>
              <w:tab/>
            </w:r>
            <w:r w:rsidR="00A61E89" w:rsidRPr="00242CAC">
              <w:rPr>
                <w:rStyle w:val="Hyperlink"/>
                <w:rFonts w:ascii="Arial" w:hAnsi="Arial" w:cs="Arial"/>
              </w:rPr>
              <w:t>General</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_Toc43122834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6</w:t>
            </w:r>
            <w:r w:rsidR="00A61E89" w:rsidRPr="00242CAC">
              <w:rPr>
                <w:rFonts w:ascii="Arial" w:hAnsi="Arial" w:cs="Arial"/>
                <w:webHidden/>
              </w:rPr>
              <w:fldChar w:fldCharType="end"/>
            </w:r>
          </w:hyperlink>
        </w:p>
        <w:p w14:paraId="6B7B38EC" w14:textId="642394D3" w:rsidR="00A61E89" w:rsidRPr="00242CAC" w:rsidRDefault="003E2092">
          <w:pPr>
            <w:pStyle w:val="TOC2"/>
            <w:rPr>
              <w:rFonts w:ascii="Arial" w:hAnsi="Arial" w:cs="Arial"/>
              <w:lang w:eastAsia="en-NZ"/>
            </w:rPr>
          </w:pPr>
          <w:hyperlink w:anchor="_Toc43122835" w:history="1">
            <w:r w:rsidR="00A61E89" w:rsidRPr="00242CAC">
              <w:rPr>
                <w:rStyle w:val="Hyperlink"/>
                <w:rFonts w:ascii="Arial" w:hAnsi="Arial" w:cs="Arial"/>
              </w:rPr>
              <w:t>4.2</w:t>
            </w:r>
            <w:r w:rsidR="00A61E89" w:rsidRPr="00242CAC">
              <w:rPr>
                <w:rFonts w:ascii="Arial" w:hAnsi="Arial" w:cs="Arial"/>
                <w:lang w:eastAsia="en-NZ"/>
              </w:rPr>
              <w:tab/>
            </w:r>
            <w:r w:rsidR="00A61E89" w:rsidRPr="00242CAC">
              <w:rPr>
                <w:rStyle w:val="Hyperlink"/>
                <w:rFonts w:ascii="Arial" w:hAnsi="Arial" w:cs="Arial"/>
              </w:rPr>
              <w:t>Māori Health objectives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_Toc43122835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6</w:t>
            </w:r>
            <w:r w:rsidR="00A61E89" w:rsidRPr="00242CAC">
              <w:rPr>
                <w:rFonts w:ascii="Arial" w:hAnsi="Arial" w:cs="Arial"/>
                <w:webHidden/>
              </w:rPr>
              <w:fldChar w:fldCharType="end"/>
            </w:r>
          </w:hyperlink>
        </w:p>
        <w:p w14:paraId="7143A766" w14:textId="2A3E0317" w:rsidR="00A61E89" w:rsidRPr="00242CAC" w:rsidRDefault="003E2092">
          <w:pPr>
            <w:pStyle w:val="TOC1"/>
            <w:rPr>
              <w:rFonts w:ascii="Arial" w:hAnsi="Arial" w:cs="Arial"/>
              <w:noProof/>
              <w:lang w:eastAsia="en-NZ"/>
            </w:rPr>
          </w:pPr>
          <w:hyperlink w:anchor="_Toc43122836" w:history="1">
            <w:r w:rsidR="00A61E89" w:rsidRPr="00242CAC">
              <w:rPr>
                <w:rStyle w:val="Hyperlink"/>
                <w:rFonts w:ascii="Arial" w:hAnsi="Arial" w:cs="Arial"/>
                <w:noProof/>
              </w:rPr>
              <w:t>5</w:t>
            </w:r>
            <w:r w:rsidR="00A61E89" w:rsidRPr="00242CAC">
              <w:rPr>
                <w:rFonts w:ascii="Arial" w:hAnsi="Arial" w:cs="Arial"/>
                <w:noProof/>
                <w:lang w:eastAsia="en-NZ"/>
              </w:rPr>
              <w:tab/>
            </w:r>
            <w:r w:rsidR="00A61E89" w:rsidRPr="00242CAC">
              <w:rPr>
                <w:rStyle w:val="Hyperlink"/>
                <w:rFonts w:ascii="Arial" w:hAnsi="Arial" w:cs="Arial"/>
                <w:noProof/>
              </w:rPr>
              <w:t>Service Description</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_Toc43122836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6</w:t>
            </w:r>
            <w:r w:rsidR="00A61E89" w:rsidRPr="00242CAC">
              <w:rPr>
                <w:rFonts w:ascii="Arial" w:hAnsi="Arial" w:cs="Arial"/>
                <w:noProof/>
                <w:webHidden/>
              </w:rPr>
              <w:fldChar w:fldCharType="end"/>
            </w:r>
          </w:hyperlink>
        </w:p>
        <w:p w14:paraId="4B79E306" w14:textId="129BF149" w:rsidR="00A61E89" w:rsidRPr="00242CAC" w:rsidRDefault="003E2092">
          <w:pPr>
            <w:pStyle w:val="TOC2"/>
            <w:rPr>
              <w:rFonts w:ascii="Arial" w:hAnsi="Arial" w:cs="Arial"/>
              <w:lang w:eastAsia="en-NZ"/>
            </w:rPr>
          </w:pPr>
          <w:hyperlink w:anchor="_Toc43122837" w:history="1">
            <w:r w:rsidR="00A61E89" w:rsidRPr="00242CAC">
              <w:rPr>
                <w:rStyle w:val="Hyperlink"/>
                <w:rFonts w:ascii="Arial" w:hAnsi="Arial" w:cs="Arial"/>
                <w:lang w:val="en-US"/>
              </w:rPr>
              <w:t>5.1</w:t>
            </w:r>
            <w:r w:rsidR="00A61E89" w:rsidRPr="00242CAC">
              <w:rPr>
                <w:rFonts w:ascii="Arial" w:hAnsi="Arial" w:cs="Arial"/>
                <w:lang w:eastAsia="en-NZ"/>
              </w:rPr>
              <w:tab/>
            </w:r>
            <w:r w:rsidR="00A61E89" w:rsidRPr="00242CAC">
              <w:rPr>
                <w:rStyle w:val="Hyperlink"/>
                <w:rFonts w:ascii="Arial" w:hAnsi="Arial" w:cs="Arial"/>
                <w:lang w:val="en-US"/>
              </w:rPr>
              <w:t>Hours of service provision</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_Toc43122837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6</w:t>
            </w:r>
            <w:r w:rsidR="00A61E89" w:rsidRPr="00242CAC">
              <w:rPr>
                <w:rFonts w:ascii="Arial" w:hAnsi="Arial" w:cs="Arial"/>
                <w:webHidden/>
              </w:rPr>
              <w:fldChar w:fldCharType="end"/>
            </w:r>
          </w:hyperlink>
        </w:p>
        <w:p w14:paraId="1E073778" w14:textId="7F641DF5" w:rsidR="00A61E89" w:rsidRPr="00242CAC" w:rsidRDefault="003E2092">
          <w:pPr>
            <w:pStyle w:val="TOC2"/>
            <w:rPr>
              <w:rFonts w:ascii="Arial" w:hAnsi="Arial" w:cs="Arial"/>
              <w:lang w:eastAsia="en-NZ"/>
            </w:rPr>
          </w:pPr>
          <w:hyperlink w:anchor="_Toc43122838" w:history="1">
            <w:r w:rsidR="00A61E89" w:rsidRPr="00242CAC">
              <w:rPr>
                <w:rStyle w:val="Hyperlink"/>
                <w:rFonts w:ascii="Arial" w:hAnsi="Arial" w:cs="Arial"/>
              </w:rPr>
              <w:t>5.2</w:t>
            </w:r>
            <w:r w:rsidR="00A61E89" w:rsidRPr="00242CAC">
              <w:rPr>
                <w:rFonts w:ascii="Arial" w:hAnsi="Arial" w:cs="Arial"/>
                <w:lang w:eastAsia="en-NZ"/>
              </w:rPr>
              <w:tab/>
            </w:r>
            <w:r w:rsidR="00A61E89" w:rsidRPr="00242CAC">
              <w:rPr>
                <w:rStyle w:val="Hyperlink"/>
                <w:rFonts w:ascii="Arial" w:hAnsi="Arial" w:cs="Arial"/>
              </w:rPr>
              <w:t>Restorative casemix model overview</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_Toc43122838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7</w:t>
            </w:r>
            <w:r w:rsidR="00A61E89" w:rsidRPr="00242CAC">
              <w:rPr>
                <w:rFonts w:ascii="Arial" w:hAnsi="Arial" w:cs="Arial"/>
                <w:webHidden/>
              </w:rPr>
              <w:fldChar w:fldCharType="end"/>
            </w:r>
          </w:hyperlink>
        </w:p>
        <w:p w14:paraId="15E7CBB7" w14:textId="5D54A177" w:rsidR="00A61E89" w:rsidRPr="00242CAC" w:rsidRDefault="003E2092">
          <w:pPr>
            <w:pStyle w:val="TOC2"/>
            <w:rPr>
              <w:rFonts w:ascii="Arial" w:hAnsi="Arial" w:cs="Arial"/>
              <w:lang w:eastAsia="en-NZ"/>
            </w:rPr>
          </w:pPr>
          <w:hyperlink w:anchor="_Toc43122839" w:history="1">
            <w:r w:rsidR="00A61E89" w:rsidRPr="00242CAC">
              <w:rPr>
                <w:rStyle w:val="Hyperlink"/>
                <w:rFonts w:ascii="Arial" w:hAnsi="Arial" w:cs="Arial"/>
              </w:rPr>
              <w:t>5.3</w:t>
            </w:r>
            <w:r w:rsidR="00A61E89" w:rsidRPr="00242CAC">
              <w:rPr>
                <w:rFonts w:ascii="Arial" w:hAnsi="Arial" w:cs="Arial"/>
                <w:lang w:eastAsia="en-NZ"/>
              </w:rPr>
              <w:tab/>
            </w:r>
            <w:r w:rsidR="00A61E89" w:rsidRPr="00242CAC">
              <w:rPr>
                <w:rStyle w:val="Hyperlink"/>
                <w:rFonts w:ascii="Arial" w:hAnsi="Arial" w:cs="Arial"/>
              </w:rPr>
              <w:t>Service delivery requirements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_Toc43122839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7</w:t>
            </w:r>
            <w:r w:rsidR="00A61E89" w:rsidRPr="00242CAC">
              <w:rPr>
                <w:rFonts w:ascii="Arial" w:hAnsi="Arial" w:cs="Arial"/>
                <w:webHidden/>
              </w:rPr>
              <w:fldChar w:fldCharType="end"/>
            </w:r>
          </w:hyperlink>
        </w:p>
        <w:p w14:paraId="787EEC24" w14:textId="41C9CCEF" w:rsidR="00A61E89" w:rsidRPr="00242CAC" w:rsidRDefault="003E2092">
          <w:pPr>
            <w:pStyle w:val="TOC1"/>
            <w:rPr>
              <w:rFonts w:ascii="Arial" w:hAnsi="Arial" w:cs="Arial"/>
              <w:noProof/>
              <w:lang w:eastAsia="en-NZ"/>
            </w:rPr>
          </w:pPr>
          <w:hyperlink w:anchor="_Toc43122840" w:history="1">
            <w:r w:rsidR="00A61E89" w:rsidRPr="00242CAC">
              <w:rPr>
                <w:rStyle w:val="Hyperlink"/>
                <w:rFonts w:ascii="Arial" w:hAnsi="Arial" w:cs="Arial"/>
                <w:noProof/>
              </w:rPr>
              <w:t>6</w:t>
            </w:r>
            <w:r w:rsidR="00A61E89" w:rsidRPr="00242CAC">
              <w:rPr>
                <w:rFonts w:ascii="Arial" w:hAnsi="Arial" w:cs="Arial"/>
                <w:noProof/>
                <w:lang w:eastAsia="en-NZ"/>
              </w:rPr>
              <w:tab/>
            </w:r>
            <w:r w:rsidR="00A61E89" w:rsidRPr="00242CAC">
              <w:rPr>
                <w:rStyle w:val="Hyperlink"/>
                <w:rFonts w:ascii="Arial" w:hAnsi="Arial" w:cs="Arial"/>
                <w:noProof/>
              </w:rPr>
              <w:t>Service Processes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_Toc43122840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8</w:t>
            </w:r>
            <w:r w:rsidR="00A61E89" w:rsidRPr="00242CAC">
              <w:rPr>
                <w:rFonts w:ascii="Arial" w:hAnsi="Arial" w:cs="Arial"/>
                <w:noProof/>
                <w:webHidden/>
              </w:rPr>
              <w:fldChar w:fldCharType="end"/>
            </w:r>
          </w:hyperlink>
        </w:p>
        <w:p w14:paraId="383617EA" w14:textId="23723375" w:rsidR="00A61E89" w:rsidRPr="00242CAC" w:rsidRDefault="003E2092">
          <w:pPr>
            <w:pStyle w:val="TOC2"/>
            <w:rPr>
              <w:rFonts w:ascii="Arial" w:hAnsi="Arial" w:cs="Arial"/>
              <w:lang w:eastAsia="en-NZ"/>
            </w:rPr>
          </w:pPr>
          <w:hyperlink w:anchor="_Toc43122841" w:history="1">
            <w:r w:rsidR="00A61E89" w:rsidRPr="00242CAC">
              <w:rPr>
                <w:rStyle w:val="Hyperlink"/>
                <w:rFonts w:ascii="Arial" w:hAnsi="Arial" w:cs="Arial"/>
              </w:rPr>
              <w:t>6.1</w:t>
            </w:r>
            <w:r w:rsidR="00A61E89" w:rsidRPr="00242CAC">
              <w:rPr>
                <w:rFonts w:ascii="Arial" w:hAnsi="Arial" w:cs="Arial"/>
                <w:lang w:eastAsia="en-NZ"/>
              </w:rPr>
              <w:tab/>
            </w:r>
            <w:r w:rsidR="00A61E89" w:rsidRPr="00242CAC">
              <w:rPr>
                <w:rStyle w:val="Hyperlink"/>
                <w:rFonts w:ascii="Arial" w:hAnsi="Arial" w:cs="Arial"/>
              </w:rPr>
              <w:t>Service access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_Toc43122841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8</w:t>
            </w:r>
            <w:r w:rsidR="00A61E89" w:rsidRPr="00242CAC">
              <w:rPr>
                <w:rFonts w:ascii="Arial" w:hAnsi="Arial" w:cs="Arial"/>
                <w:webHidden/>
              </w:rPr>
              <w:fldChar w:fldCharType="end"/>
            </w:r>
          </w:hyperlink>
        </w:p>
        <w:p w14:paraId="0E404926" w14:textId="0BF497BB" w:rsidR="00A61E89" w:rsidRPr="00242CAC" w:rsidRDefault="003E2092">
          <w:pPr>
            <w:pStyle w:val="TOC2"/>
            <w:rPr>
              <w:rFonts w:ascii="Arial" w:hAnsi="Arial" w:cs="Arial"/>
              <w:lang w:eastAsia="en-NZ"/>
            </w:rPr>
          </w:pPr>
          <w:hyperlink w:anchor="_Toc43122842" w:history="1">
            <w:r w:rsidR="00A61E89" w:rsidRPr="00242CAC">
              <w:rPr>
                <w:rStyle w:val="Hyperlink"/>
                <w:rFonts w:ascii="Arial" w:hAnsi="Arial" w:cs="Arial"/>
              </w:rPr>
              <w:t>6.2</w:t>
            </w:r>
            <w:r w:rsidR="00A61E89" w:rsidRPr="00242CAC">
              <w:rPr>
                <w:rFonts w:ascii="Arial" w:hAnsi="Arial" w:cs="Arial"/>
                <w:lang w:eastAsia="en-NZ"/>
              </w:rPr>
              <w:tab/>
            </w:r>
            <w:r w:rsidR="00A61E89" w:rsidRPr="00242CAC">
              <w:rPr>
                <w:rStyle w:val="Hyperlink"/>
                <w:rFonts w:ascii="Arial" w:hAnsi="Arial" w:cs="Arial"/>
              </w:rPr>
              <w:t>Provider management of referrals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_Toc43122842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9</w:t>
            </w:r>
            <w:r w:rsidR="00A61E89" w:rsidRPr="00242CAC">
              <w:rPr>
                <w:rFonts w:ascii="Arial" w:hAnsi="Arial" w:cs="Arial"/>
                <w:webHidden/>
              </w:rPr>
              <w:fldChar w:fldCharType="end"/>
            </w:r>
          </w:hyperlink>
        </w:p>
        <w:p w14:paraId="5342E1D0" w14:textId="130ED4E7" w:rsidR="00A61E89" w:rsidRPr="00242CAC" w:rsidRDefault="003E2092">
          <w:pPr>
            <w:pStyle w:val="TOC2"/>
            <w:rPr>
              <w:rFonts w:ascii="Arial" w:hAnsi="Arial" w:cs="Arial"/>
              <w:lang w:eastAsia="en-NZ"/>
            </w:rPr>
          </w:pPr>
          <w:hyperlink w:anchor="_Toc43122843" w:history="1">
            <w:r w:rsidR="00A61E89" w:rsidRPr="00242CAC">
              <w:rPr>
                <w:rStyle w:val="Hyperlink"/>
                <w:rFonts w:ascii="Arial" w:hAnsi="Arial" w:cs="Arial"/>
              </w:rPr>
              <w:t>6.3</w:t>
            </w:r>
            <w:r w:rsidR="00A61E89" w:rsidRPr="00242CAC">
              <w:rPr>
                <w:rFonts w:ascii="Arial" w:hAnsi="Arial" w:cs="Arial"/>
                <w:lang w:eastAsia="en-NZ"/>
              </w:rPr>
              <w:tab/>
            </w:r>
            <w:r w:rsidR="00A61E89" w:rsidRPr="00242CAC">
              <w:rPr>
                <w:rStyle w:val="Hyperlink"/>
                <w:rFonts w:ascii="Arial" w:hAnsi="Arial" w:cs="Arial"/>
              </w:rPr>
              <w:t>Service response times for described activities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_Toc43122843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9</w:t>
            </w:r>
            <w:r w:rsidR="00A61E89" w:rsidRPr="00242CAC">
              <w:rPr>
                <w:rFonts w:ascii="Arial" w:hAnsi="Arial" w:cs="Arial"/>
                <w:webHidden/>
              </w:rPr>
              <w:fldChar w:fldCharType="end"/>
            </w:r>
          </w:hyperlink>
        </w:p>
        <w:p w14:paraId="47DDCC71" w14:textId="5AC21753" w:rsidR="00A61E89" w:rsidRPr="00242CAC" w:rsidRDefault="003E2092">
          <w:pPr>
            <w:pStyle w:val="TOC2"/>
            <w:rPr>
              <w:rFonts w:ascii="Arial" w:hAnsi="Arial" w:cs="Arial"/>
              <w:lang w:eastAsia="en-NZ"/>
            </w:rPr>
          </w:pPr>
          <w:hyperlink w:anchor="_Toc43122844" w:history="1">
            <w:r w:rsidR="00A61E89" w:rsidRPr="00242CAC">
              <w:rPr>
                <w:rStyle w:val="Hyperlink"/>
                <w:rFonts w:ascii="Arial" w:hAnsi="Arial" w:cs="Arial"/>
              </w:rPr>
              <w:t>6.4</w:t>
            </w:r>
            <w:r w:rsidR="00A61E89" w:rsidRPr="00242CAC">
              <w:rPr>
                <w:rFonts w:ascii="Arial" w:hAnsi="Arial" w:cs="Arial"/>
                <w:lang w:eastAsia="en-NZ"/>
              </w:rPr>
              <w:tab/>
            </w:r>
            <w:r w:rsidR="00A61E89" w:rsidRPr="00242CAC">
              <w:rPr>
                <w:rStyle w:val="Hyperlink"/>
                <w:rFonts w:ascii="Arial" w:hAnsi="Arial" w:cs="Arial"/>
              </w:rPr>
              <w:t>Individual support plan</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_Toc43122844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10</w:t>
            </w:r>
            <w:r w:rsidR="00A61E89" w:rsidRPr="00242CAC">
              <w:rPr>
                <w:rFonts w:ascii="Arial" w:hAnsi="Arial" w:cs="Arial"/>
                <w:webHidden/>
              </w:rPr>
              <w:fldChar w:fldCharType="end"/>
            </w:r>
          </w:hyperlink>
        </w:p>
        <w:p w14:paraId="22F8E9C3" w14:textId="3C6C527D" w:rsidR="00A61E89" w:rsidRPr="00242CAC" w:rsidRDefault="003E2092">
          <w:pPr>
            <w:pStyle w:val="TOC2"/>
            <w:rPr>
              <w:rFonts w:ascii="Arial" w:hAnsi="Arial" w:cs="Arial"/>
              <w:lang w:eastAsia="en-NZ"/>
            </w:rPr>
          </w:pPr>
          <w:hyperlink w:anchor="_Toc43122845" w:history="1">
            <w:r w:rsidR="00A61E89" w:rsidRPr="00242CAC">
              <w:rPr>
                <w:rStyle w:val="Hyperlink"/>
                <w:rFonts w:ascii="Arial" w:hAnsi="Arial" w:cs="Arial"/>
              </w:rPr>
              <w:t>6.5</w:t>
            </w:r>
            <w:r w:rsidR="00A61E89" w:rsidRPr="00242CAC">
              <w:rPr>
                <w:rFonts w:ascii="Arial" w:hAnsi="Arial" w:cs="Arial"/>
                <w:lang w:eastAsia="en-NZ"/>
              </w:rPr>
              <w:tab/>
            </w:r>
            <w:r w:rsidR="00A61E89" w:rsidRPr="00242CAC">
              <w:rPr>
                <w:rStyle w:val="Hyperlink"/>
                <w:rFonts w:ascii="Arial" w:hAnsi="Arial" w:cs="Arial"/>
              </w:rPr>
              <w:t>Client Consent, Assessment and Review</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_Toc43122845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11</w:t>
            </w:r>
            <w:r w:rsidR="00A61E89" w:rsidRPr="00242CAC">
              <w:rPr>
                <w:rFonts w:ascii="Arial" w:hAnsi="Arial" w:cs="Arial"/>
                <w:webHidden/>
              </w:rPr>
              <w:fldChar w:fldCharType="end"/>
            </w:r>
          </w:hyperlink>
        </w:p>
        <w:p w14:paraId="422CA818" w14:textId="66A356D2" w:rsidR="00A61E89" w:rsidRPr="00242CAC" w:rsidRDefault="003E2092">
          <w:pPr>
            <w:pStyle w:val="TOC3"/>
            <w:rPr>
              <w:rFonts w:ascii="Arial" w:hAnsi="Arial" w:cs="Arial"/>
              <w:noProof/>
              <w:lang w:eastAsia="en-NZ"/>
            </w:rPr>
          </w:pPr>
          <w:hyperlink w:anchor="_Toc43122846" w:history="1">
            <w:r w:rsidR="00A61E89" w:rsidRPr="00242CAC">
              <w:rPr>
                <w:rStyle w:val="Hyperlink"/>
                <w:rFonts w:ascii="Arial" w:hAnsi="Arial" w:cs="Arial"/>
                <w:noProof/>
              </w:rPr>
              <w:t>6.5.1</w:t>
            </w:r>
            <w:r w:rsidR="00A61E89" w:rsidRPr="00242CAC">
              <w:rPr>
                <w:rFonts w:ascii="Arial" w:hAnsi="Arial" w:cs="Arial"/>
                <w:noProof/>
                <w:lang w:eastAsia="en-NZ"/>
              </w:rPr>
              <w:tab/>
            </w:r>
            <w:r w:rsidR="00A61E89" w:rsidRPr="00242CAC">
              <w:rPr>
                <w:rStyle w:val="Hyperlink"/>
                <w:rFonts w:ascii="Arial" w:hAnsi="Arial" w:cs="Arial"/>
                <w:noProof/>
              </w:rPr>
              <w:t>Consent</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_Toc43122846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11</w:t>
            </w:r>
            <w:r w:rsidR="00A61E89" w:rsidRPr="00242CAC">
              <w:rPr>
                <w:rFonts w:ascii="Arial" w:hAnsi="Arial" w:cs="Arial"/>
                <w:noProof/>
                <w:webHidden/>
              </w:rPr>
              <w:fldChar w:fldCharType="end"/>
            </w:r>
          </w:hyperlink>
        </w:p>
        <w:p w14:paraId="46397AC8" w14:textId="5D4AA299" w:rsidR="00A61E89" w:rsidRPr="00242CAC" w:rsidRDefault="003E2092">
          <w:pPr>
            <w:pStyle w:val="TOC3"/>
            <w:rPr>
              <w:rFonts w:ascii="Arial" w:hAnsi="Arial" w:cs="Arial"/>
              <w:noProof/>
              <w:lang w:eastAsia="en-NZ"/>
            </w:rPr>
          </w:pPr>
          <w:hyperlink w:anchor="_Toc43122847" w:history="1">
            <w:r w:rsidR="00A61E89" w:rsidRPr="00242CAC">
              <w:rPr>
                <w:rStyle w:val="Hyperlink"/>
                <w:rFonts w:ascii="Arial" w:hAnsi="Arial" w:cs="Arial"/>
                <w:noProof/>
              </w:rPr>
              <w:t>6.5.2</w:t>
            </w:r>
            <w:r w:rsidR="00A61E89" w:rsidRPr="00242CAC">
              <w:rPr>
                <w:rFonts w:ascii="Arial" w:hAnsi="Arial" w:cs="Arial"/>
                <w:noProof/>
                <w:lang w:eastAsia="en-NZ"/>
              </w:rPr>
              <w:tab/>
            </w:r>
            <w:r w:rsidR="00A61E89" w:rsidRPr="00242CAC">
              <w:rPr>
                <w:rStyle w:val="Hyperlink"/>
                <w:rFonts w:ascii="Arial" w:hAnsi="Arial" w:cs="Arial"/>
                <w:noProof/>
              </w:rPr>
              <w:t>Monitoring and review of client progress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_Toc43122847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11</w:t>
            </w:r>
            <w:r w:rsidR="00A61E89" w:rsidRPr="00242CAC">
              <w:rPr>
                <w:rFonts w:ascii="Arial" w:hAnsi="Arial" w:cs="Arial"/>
                <w:noProof/>
                <w:webHidden/>
              </w:rPr>
              <w:fldChar w:fldCharType="end"/>
            </w:r>
          </w:hyperlink>
        </w:p>
        <w:p w14:paraId="2628313C" w14:textId="09E3842C" w:rsidR="00A61E89" w:rsidRPr="00242CAC" w:rsidRDefault="003E2092">
          <w:pPr>
            <w:pStyle w:val="TOC3"/>
            <w:rPr>
              <w:rFonts w:ascii="Arial" w:hAnsi="Arial" w:cs="Arial"/>
              <w:noProof/>
              <w:lang w:eastAsia="en-NZ"/>
            </w:rPr>
          </w:pPr>
          <w:hyperlink w:anchor="_Toc43122848" w:history="1">
            <w:r w:rsidR="00A61E89" w:rsidRPr="00242CAC">
              <w:rPr>
                <w:rStyle w:val="Hyperlink"/>
                <w:rFonts w:ascii="Arial" w:hAnsi="Arial" w:cs="Arial"/>
                <w:noProof/>
              </w:rPr>
              <w:t>6.5.3</w:t>
            </w:r>
            <w:r w:rsidR="00A61E89" w:rsidRPr="00242CAC">
              <w:rPr>
                <w:rFonts w:ascii="Arial" w:hAnsi="Arial" w:cs="Arial"/>
                <w:noProof/>
                <w:lang w:eastAsia="en-NZ"/>
              </w:rPr>
              <w:tab/>
            </w:r>
            <w:r w:rsidR="00A61E89" w:rsidRPr="00242CAC">
              <w:rPr>
                <w:rStyle w:val="Hyperlink"/>
                <w:rFonts w:ascii="Arial" w:hAnsi="Arial" w:cs="Arial"/>
                <w:noProof/>
              </w:rPr>
              <w:t>Assessments and reassessments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_Toc43122848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11</w:t>
            </w:r>
            <w:r w:rsidR="00A61E89" w:rsidRPr="00242CAC">
              <w:rPr>
                <w:rFonts w:ascii="Arial" w:hAnsi="Arial" w:cs="Arial"/>
                <w:noProof/>
                <w:webHidden/>
              </w:rPr>
              <w:fldChar w:fldCharType="end"/>
            </w:r>
          </w:hyperlink>
        </w:p>
        <w:p w14:paraId="6EF597D2" w14:textId="2CF4700D" w:rsidR="00A61E89" w:rsidRPr="00242CAC" w:rsidRDefault="003E2092">
          <w:pPr>
            <w:pStyle w:val="TOC2"/>
            <w:rPr>
              <w:rFonts w:ascii="Arial" w:hAnsi="Arial" w:cs="Arial"/>
              <w:lang w:eastAsia="en-NZ"/>
            </w:rPr>
          </w:pPr>
          <w:hyperlink w:anchor="_Toc43122849" w:history="1">
            <w:r w:rsidR="00A61E89" w:rsidRPr="00242CAC">
              <w:rPr>
                <w:rStyle w:val="Hyperlink"/>
                <w:rFonts w:ascii="Arial" w:hAnsi="Arial" w:cs="Arial"/>
                <w:lang w:val="en-US"/>
              </w:rPr>
              <w:t>6.6</w:t>
            </w:r>
            <w:r w:rsidR="00A61E89" w:rsidRPr="00242CAC">
              <w:rPr>
                <w:rFonts w:ascii="Arial" w:hAnsi="Arial" w:cs="Arial"/>
                <w:lang w:eastAsia="en-NZ"/>
              </w:rPr>
              <w:tab/>
            </w:r>
            <w:r w:rsidR="00A61E89" w:rsidRPr="00242CAC">
              <w:rPr>
                <w:rStyle w:val="Hyperlink"/>
                <w:rFonts w:ascii="Arial" w:hAnsi="Arial" w:cs="Arial"/>
                <w:lang w:val="en-US"/>
              </w:rPr>
              <w:t>Process for o</w:t>
            </w:r>
            <w:r w:rsidR="00A61E89" w:rsidRPr="00242CAC">
              <w:rPr>
                <w:rStyle w:val="Hyperlink"/>
                <w:rFonts w:ascii="Arial" w:hAnsi="Arial" w:cs="Arial"/>
              </w:rPr>
              <w:t>utside of service hours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_Toc43122849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12</w:t>
            </w:r>
            <w:r w:rsidR="00A61E89" w:rsidRPr="00242CAC">
              <w:rPr>
                <w:rFonts w:ascii="Arial" w:hAnsi="Arial" w:cs="Arial"/>
                <w:webHidden/>
              </w:rPr>
              <w:fldChar w:fldCharType="end"/>
            </w:r>
          </w:hyperlink>
        </w:p>
        <w:p w14:paraId="5ECE4900" w14:textId="1C739FCD" w:rsidR="00A61E89" w:rsidRPr="00242CAC" w:rsidRDefault="003E2092">
          <w:pPr>
            <w:pStyle w:val="TOC2"/>
            <w:rPr>
              <w:rFonts w:ascii="Arial" w:hAnsi="Arial" w:cs="Arial"/>
              <w:lang w:eastAsia="en-NZ"/>
            </w:rPr>
          </w:pPr>
          <w:hyperlink w:anchor="_Toc43122850" w:history="1">
            <w:r w:rsidR="00A61E89" w:rsidRPr="00242CAC">
              <w:rPr>
                <w:rStyle w:val="Hyperlink"/>
                <w:rFonts w:ascii="Arial" w:hAnsi="Arial" w:cs="Arial"/>
                <w:lang w:val="en-US"/>
              </w:rPr>
              <w:t>6.7</w:t>
            </w:r>
            <w:r w:rsidR="00A61E89" w:rsidRPr="00242CAC">
              <w:rPr>
                <w:rFonts w:ascii="Arial" w:hAnsi="Arial" w:cs="Arial"/>
                <w:lang w:eastAsia="en-NZ"/>
              </w:rPr>
              <w:tab/>
            </w:r>
            <w:r w:rsidR="00A61E89" w:rsidRPr="00242CAC">
              <w:rPr>
                <w:rStyle w:val="Hyperlink"/>
                <w:rFonts w:ascii="Arial" w:hAnsi="Arial" w:cs="Arial"/>
                <w:shd w:val="clear" w:color="auto" w:fill="FFFFFF" w:themeFill="background1"/>
                <w:lang w:val="en-US"/>
              </w:rPr>
              <w:t>Clients requiring high and very high intensive support</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_Toc43122850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12</w:t>
            </w:r>
            <w:r w:rsidR="00A61E89" w:rsidRPr="00242CAC">
              <w:rPr>
                <w:rFonts w:ascii="Arial" w:hAnsi="Arial" w:cs="Arial"/>
                <w:webHidden/>
              </w:rPr>
              <w:fldChar w:fldCharType="end"/>
            </w:r>
          </w:hyperlink>
        </w:p>
        <w:p w14:paraId="2AD36CA1" w14:textId="40243837" w:rsidR="00A61E89" w:rsidRPr="00242CAC" w:rsidRDefault="003E2092">
          <w:pPr>
            <w:pStyle w:val="TOC2"/>
            <w:rPr>
              <w:rFonts w:ascii="Arial" w:hAnsi="Arial" w:cs="Arial"/>
              <w:lang w:eastAsia="en-NZ"/>
            </w:rPr>
          </w:pPr>
          <w:hyperlink w:anchor="_Toc43122851" w:history="1">
            <w:r w:rsidR="00A61E89" w:rsidRPr="00242CAC">
              <w:rPr>
                <w:rStyle w:val="Hyperlink"/>
                <w:rFonts w:ascii="Arial" w:hAnsi="Arial" w:cs="Arial"/>
              </w:rPr>
              <w:t>6.8</w:t>
            </w:r>
            <w:r w:rsidR="00A61E89" w:rsidRPr="00242CAC">
              <w:rPr>
                <w:rFonts w:ascii="Arial" w:hAnsi="Arial" w:cs="Arial"/>
                <w:lang w:eastAsia="en-NZ"/>
              </w:rPr>
              <w:tab/>
            </w:r>
            <w:r w:rsidR="00A61E89" w:rsidRPr="00242CAC">
              <w:rPr>
                <w:rStyle w:val="Hyperlink"/>
                <w:rFonts w:ascii="Arial" w:hAnsi="Arial" w:cs="Arial"/>
              </w:rPr>
              <w:t>Case Management and Flexible Service Provision</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_Toc43122851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13</w:t>
            </w:r>
            <w:r w:rsidR="00A61E89" w:rsidRPr="00242CAC">
              <w:rPr>
                <w:rFonts w:ascii="Arial" w:hAnsi="Arial" w:cs="Arial"/>
                <w:webHidden/>
              </w:rPr>
              <w:fldChar w:fldCharType="end"/>
            </w:r>
          </w:hyperlink>
        </w:p>
        <w:p w14:paraId="0BFB17FC" w14:textId="3236A5CC" w:rsidR="00A61E89" w:rsidRPr="00242CAC" w:rsidRDefault="003E2092">
          <w:pPr>
            <w:pStyle w:val="TOC2"/>
            <w:rPr>
              <w:rFonts w:ascii="Arial" w:hAnsi="Arial" w:cs="Arial"/>
              <w:lang w:eastAsia="en-NZ"/>
            </w:rPr>
          </w:pPr>
          <w:hyperlink w:anchor="_Toc43122852" w:history="1">
            <w:r w:rsidR="00A61E89" w:rsidRPr="00242CAC">
              <w:rPr>
                <w:rStyle w:val="Hyperlink"/>
                <w:rFonts w:ascii="Arial" w:hAnsi="Arial" w:cs="Arial"/>
              </w:rPr>
              <w:t>6.9</w:t>
            </w:r>
            <w:r w:rsidR="00A61E89" w:rsidRPr="00242CAC">
              <w:rPr>
                <w:rFonts w:ascii="Arial" w:hAnsi="Arial" w:cs="Arial"/>
                <w:lang w:eastAsia="en-NZ"/>
              </w:rPr>
              <w:tab/>
            </w:r>
            <w:r w:rsidR="00A61E89" w:rsidRPr="00242CAC">
              <w:rPr>
                <w:rStyle w:val="Hyperlink"/>
                <w:rFonts w:ascii="Arial" w:hAnsi="Arial" w:cs="Arial"/>
              </w:rPr>
              <w:t>Client Discharge Processes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_Toc43122852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13</w:t>
            </w:r>
            <w:r w:rsidR="00A61E89" w:rsidRPr="00242CAC">
              <w:rPr>
                <w:rFonts w:ascii="Arial" w:hAnsi="Arial" w:cs="Arial"/>
                <w:webHidden/>
              </w:rPr>
              <w:fldChar w:fldCharType="end"/>
            </w:r>
          </w:hyperlink>
        </w:p>
        <w:p w14:paraId="3AD3DA91" w14:textId="6DCE3B88" w:rsidR="00A61E89" w:rsidRPr="00242CAC" w:rsidRDefault="003E2092">
          <w:pPr>
            <w:pStyle w:val="TOC3"/>
            <w:rPr>
              <w:rFonts w:ascii="Arial" w:hAnsi="Arial" w:cs="Arial"/>
              <w:noProof/>
              <w:lang w:eastAsia="en-NZ"/>
            </w:rPr>
          </w:pPr>
          <w:hyperlink w:anchor="_Toc43122853" w:history="1">
            <w:r w:rsidR="00A61E89" w:rsidRPr="00242CAC">
              <w:rPr>
                <w:rStyle w:val="Hyperlink"/>
                <w:rFonts w:ascii="Arial" w:hAnsi="Arial" w:cs="Arial"/>
                <w:noProof/>
              </w:rPr>
              <w:t>6.9.1</w:t>
            </w:r>
            <w:r w:rsidR="00A61E89" w:rsidRPr="00242CAC">
              <w:rPr>
                <w:rFonts w:ascii="Arial" w:hAnsi="Arial" w:cs="Arial"/>
                <w:noProof/>
                <w:lang w:eastAsia="en-NZ"/>
              </w:rPr>
              <w:tab/>
            </w:r>
            <w:r w:rsidR="00A61E89" w:rsidRPr="00242CAC">
              <w:rPr>
                <w:rStyle w:val="Hyperlink"/>
                <w:rFonts w:ascii="Arial" w:hAnsi="Arial" w:cs="Arial"/>
                <w:noProof/>
              </w:rPr>
              <w:t>Planned discharge</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_Toc43122853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13</w:t>
            </w:r>
            <w:r w:rsidR="00A61E89" w:rsidRPr="00242CAC">
              <w:rPr>
                <w:rFonts w:ascii="Arial" w:hAnsi="Arial" w:cs="Arial"/>
                <w:noProof/>
                <w:webHidden/>
              </w:rPr>
              <w:fldChar w:fldCharType="end"/>
            </w:r>
          </w:hyperlink>
        </w:p>
        <w:p w14:paraId="6C74B31B" w14:textId="0838FBDE" w:rsidR="00A61E89" w:rsidRPr="00242CAC" w:rsidRDefault="003E2092">
          <w:pPr>
            <w:pStyle w:val="TOC3"/>
            <w:rPr>
              <w:rFonts w:ascii="Arial" w:hAnsi="Arial" w:cs="Arial"/>
              <w:noProof/>
              <w:lang w:eastAsia="en-NZ"/>
            </w:rPr>
          </w:pPr>
          <w:hyperlink w:anchor="_Toc43122854" w:history="1">
            <w:r w:rsidR="00A61E89" w:rsidRPr="00242CAC">
              <w:rPr>
                <w:rStyle w:val="Hyperlink"/>
                <w:rFonts w:ascii="Arial" w:hAnsi="Arial" w:cs="Arial"/>
                <w:noProof/>
              </w:rPr>
              <w:t>6.9.2</w:t>
            </w:r>
            <w:r w:rsidR="00A61E89" w:rsidRPr="00242CAC">
              <w:rPr>
                <w:rFonts w:ascii="Arial" w:hAnsi="Arial" w:cs="Arial"/>
                <w:noProof/>
                <w:lang w:eastAsia="en-NZ"/>
              </w:rPr>
              <w:tab/>
            </w:r>
            <w:r w:rsidR="00A61E89" w:rsidRPr="00242CAC">
              <w:rPr>
                <w:rStyle w:val="Hyperlink"/>
                <w:rFonts w:ascii="Arial" w:hAnsi="Arial" w:cs="Arial"/>
                <w:noProof/>
              </w:rPr>
              <w:t>Discharge Criteria</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_Toc43122854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13</w:t>
            </w:r>
            <w:r w:rsidR="00A61E89" w:rsidRPr="00242CAC">
              <w:rPr>
                <w:rFonts w:ascii="Arial" w:hAnsi="Arial" w:cs="Arial"/>
                <w:noProof/>
                <w:webHidden/>
              </w:rPr>
              <w:fldChar w:fldCharType="end"/>
            </w:r>
          </w:hyperlink>
        </w:p>
        <w:p w14:paraId="5408091F" w14:textId="7F960328" w:rsidR="00A61E89" w:rsidRPr="00242CAC" w:rsidRDefault="003E2092">
          <w:pPr>
            <w:pStyle w:val="TOC3"/>
            <w:rPr>
              <w:rFonts w:ascii="Arial" w:hAnsi="Arial" w:cs="Arial"/>
              <w:noProof/>
              <w:lang w:eastAsia="en-NZ"/>
            </w:rPr>
          </w:pPr>
          <w:hyperlink w:anchor="_Toc43122855" w:history="1">
            <w:r w:rsidR="00A61E89" w:rsidRPr="00242CAC">
              <w:rPr>
                <w:rStyle w:val="Hyperlink"/>
                <w:rFonts w:ascii="Arial" w:hAnsi="Arial" w:cs="Arial"/>
                <w:noProof/>
              </w:rPr>
              <w:t>6.9.3</w:t>
            </w:r>
            <w:r w:rsidR="00A61E89" w:rsidRPr="00242CAC">
              <w:rPr>
                <w:rFonts w:ascii="Arial" w:hAnsi="Arial" w:cs="Arial"/>
                <w:noProof/>
                <w:lang w:eastAsia="en-NZ"/>
              </w:rPr>
              <w:tab/>
            </w:r>
            <w:r w:rsidR="00A61E89" w:rsidRPr="00242CAC">
              <w:rPr>
                <w:rStyle w:val="Hyperlink"/>
                <w:rFonts w:ascii="Arial" w:hAnsi="Arial" w:cs="Arial"/>
                <w:noProof/>
              </w:rPr>
              <w:t>Disputed Discharges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_Toc43122855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14</w:t>
            </w:r>
            <w:r w:rsidR="00A61E89" w:rsidRPr="00242CAC">
              <w:rPr>
                <w:rFonts w:ascii="Arial" w:hAnsi="Arial" w:cs="Arial"/>
                <w:noProof/>
                <w:webHidden/>
              </w:rPr>
              <w:fldChar w:fldCharType="end"/>
            </w:r>
          </w:hyperlink>
        </w:p>
        <w:p w14:paraId="5352BCE8" w14:textId="4C6D14D3" w:rsidR="00A61E89" w:rsidRPr="00242CAC" w:rsidRDefault="003E2092">
          <w:pPr>
            <w:pStyle w:val="TOC1"/>
            <w:rPr>
              <w:rFonts w:ascii="Arial" w:hAnsi="Arial" w:cs="Arial"/>
              <w:noProof/>
              <w:lang w:eastAsia="en-NZ"/>
            </w:rPr>
          </w:pPr>
          <w:hyperlink w:anchor="_Toc43122856" w:history="1">
            <w:r w:rsidR="00A61E89" w:rsidRPr="00242CAC">
              <w:rPr>
                <w:rStyle w:val="Hyperlink"/>
                <w:rFonts w:ascii="Arial" w:hAnsi="Arial" w:cs="Arial"/>
                <w:noProof/>
                <w:lang w:eastAsia="en-NZ"/>
              </w:rPr>
              <w:t>7</w:t>
            </w:r>
            <w:r w:rsidR="00A61E89" w:rsidRPr="00242CAC">
              <w:rPr>
                <w:rFonts w:ascii="Arial" w:hAnsi="Arial" w:cs="Arial"/>
                <w:noProof/>
                <w:lang w:eastAsia="en-NZ"/>
              </w:rPr>
              <w:tab/>
            </w:r>
            <w:r w:rsidR="00A61E89" w:rsidRPr="00242CAC">
              <w:rPr>
                <w:rStyle w:val="Hyperlink"/>
                <w:rFonts w:ascii="Arial" w:hAnsi="Arial" w:cs="Arial"/>
                <w:noProof/>
                <w:lang w:eastAsia="en-NZ"/>
              </w:rPr>
              <w:t>Workforce Development</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_Toc43122856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14</w:t>
            </w:r>
            <w:r w:rsidR="00A61E89" w:rsidRPr="00242CAC">
              <w:rPr>
                <w:rFonts w:ascii="Arial" w:hAnsi="Arial" w:cs="Arial"/>
                <w:noProof/>
                <w:webHidden/>
              </w:rPr>
              <w:fldChar w:fldCharType="end"/>
            </w:r>
          </w:hyperlink>
        </w:p>
        <w:p w14:paraId="2825F789" w14:textId="617D0C71" w:rsidR="00A61E89" w:rsidRPr="00242CAC" w:rsidRDefault="003E2092">
          <w:pPr>
            <w:pStyle w:val="TOC2"/>
            <w:rPr>
              <w:rFonts w:ascii="Arial" w:hAnsi="Arial" w:cs="Arial"/>
              <w:lang w:eastAsia="en-NZ"/>
            </w:rPr>
          </w:pPr>
          <w:hyperlink w:anchor="_Toc43122857" w:history="1">
            <w:r w:rsidR="00A61E89" w:rsidRPr="00242CAC">
              <w:rPr>
                <w:rStyle w:val="Hyperlink"/>
                <w:rFonts w:ascii="Arial" w:hAnsi="Arial" w:cs="Arial"/>
              </w:rPr>
              <w:t>7.1</w:t>
            </w:r>
            <w:r w:rsidR="00A61E89" w:rsidRPr="00242CAC">
              <w:rPr>
                <w:rFonts w:ascii="Arial" w:hAnsi="Arial" w:cs="Arial"/>
                <w:lang w:eastAsia="en-NZ"/>
              </w:rPr>
              <w:tab/>
            </w:r>
            <w:r w:rsidR="00A61E89" w:rsidRPr="00242CAC">
              <w:rPr>
                <w:rStyle w:val="Hyperlink"/>
                <w:rFonts w:ascii="Arial" w:hAnsi="Arial" w:cs="Arial"/>
              </w:rPr>
              <w:t>General</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_Toc43122857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14</w:t>
            </w:r>
            <w:r w:rsidR="00A61E89" w:rsidRPr="00242CAC">
              <w:rPr>
                <w:rFonts w:ascii="Arial" w:hAnsi="Arial" w:cs="Arial"/>
                <w:webHidden/>
              </w:rPr>
              <w:fldChar w:fldCharType="end"/>
            </w:r>
          </w:hyperlink>
        </w:p>
        <w:p w14:paraId="539601C9" w14:textId="663EB3BF" w:rsidR="00A61E89" w:rsidRPr="00242CAC" w:rsidRDefault="003E2092">
          <w:pPr>
            <w:pStyle w:val="TOC2"/>
            <w:rPr>
              <w:rFonts w:ascii="Arial" w:hAnsi="Arial" w:cs="Arial"/>
              <w:lang w:eastAsia="en-NZ"/>
            </w:rPr>
          </w:pPr>
          <w:hyperlink w:anchor="_Toc43122858" w:history="1">
            <w:r w:rsidR="00A61E89" w:rsidRPr="00242CAC">
              <w:rPr>
                <w:rStyle w:val="Hyperlink"/>
                <w:rFonts w:ascii="Arial" w:hAnsi="Arial" w:cs="Arial"/>
              </w:rPr>
              <w:t>7.2</w:t>
            </w:r>
            <w:r w:rsidR="00A61E89" w:rsidRPr="00242CAC">
              <w:rPr>
                <w:rFonts w:ascii="Arial" w:hAnsi="Arial" w:cs="Arial"/>
                <w:lang w:eastAsia="en-NZ"/>
              </w:rPr>
              <w:tab/>
            </w:r>
            <w:r w:rsidR="00A61E89" w:rsidRPr="00242CAC">
              <w:rPr>
                <w:rStyle w:val="Hyperlink"/>
                <w:rFonts w:ascii="Arial" w:hAnsi="Arial" w:cs="Arial"/>
              </w:rPr>
              <w:t>Support workers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_Toc43122858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14</w:t>
            </w:r>
            <w:r w:rsidR="00A61E89" w:rsidRPr="00242CAC">
              <w:rPr>
                <w:rFonts w:ascii="Arial" w:hAnsi="Arial" w:cs="Arial"/>
                <w:webHidden/>
              </w:rPr>
              <w:fldChar w:fldCharType="end"/>
            </w:r>
          </w:hyperlink>
        </w:p>
        <w:p w14:paraId="3CCF4CA5" w14:textId="7E5A293A" w:rsidR="00A61E89" w:rsidRPr="00242CAC" w:rsidRDefault="003E2092">
          <w:pPr>
            <w:pStyle w:val="TOC2"/>
            <w:rPr>
              <w:rFonts w:ascii="Arial" w:hAnsi="Arial" w:cs="Arial"/>
              <w:lang w:eastAsia="en-NZ"/>
            </w:rPr>
          </w:pPr>
          <w:hyperlink w:anchor="_Toc43122859" w:history="1">
            <w:r w:rsidR="00A61E89" w:rsidRPr="00242CAC">
              <w:rPr>
                <w:rStyle w:val="Hyperlink"/>
                <w:rFonts w:ascii="Arial" w:hAnsi="Arial" w:cs="Arial"/>
              </w:rPr>
              <w:t>7.3</w:t>
            </w:r>
            <w:r w:rsidR="00A61E89" w:rsidRPr="00242CAC">
              <w:rPr>
                <w:rFonts w:ascii="Arial" w:hAnsi="Arial" w:cs="Arial"/>
                <w:lang w:eastAsia="en-NZ"/>
              </w:rPr>
              <w:tab/>
            </w:r>
            <w:r w:rsidR="00A61E89" w:rsidRPr="00242CAC">
              <w:rPr>
                <w:rStyle w:val="Hyperlink"/>
                <w:rFonts w:ascii="Arial" w:hAnsi="Arial" w:cs="Arial"/>
              </w:rPr>
              <w:t>Registered health professionals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_Toc43122859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14</w:t>
            </w:r>
            <w:r w:rsidR="00A61E89" w:rsidRPr="00242CAC">
              <w:rPr>
                <w:rFonts w:ascii="Arial" w:hAnsi="Arial" w:cs="Arial"/>
                <w:webHidden/>
              </w:rPr>
              <w:fldChar w:fldCharType="end"/>
            </w:r>
          </w:hyperlink>
        </w:p>
        <w:p w14:paraId="77BC1A7F" w14:textId="3D1A02A4" w:rsidR="00A61E89" w:rsidRPr="00242CAC" w:rsidRDefault="003E2092">
          <w:pPr>
            <w:pStyle w:val="TOC2"/>
            <w:rPr>
              <w:rFonts w:ascii="Arial" w:hAnsi="Arial" w:cs="Arial"/>
              <w:lang w:eastAsia="en-NZ"/>
            </w:rPr>
          </w:pPr>
          <w:hyperlink w:anchor="_Toc43122860" w:history="1">
            <w:r w:rsidR="00A61E89" w:rsidRPr="00242CAC">
              <w:rPr>
                <w:rStyle w:val="Hyperlink"/>
                <w:rFonts w:ascii="Arial" w:hAnsi="Arial" w:cs="Arial"/>
              </w:rPr>
              <w:t>7.4</w:t>
            </w:r>
            <w:r w:rsidR="00A61E89" w:rsidRPr="00242CAC">
              <w:rPr>
                <w:rFonts w:ascii="Arial" w:hAnsi="Arial" w:cs="Arial"/>
                <w:lang w:eastAsia="en-NZ"/>
              </w:rPr>
              <w:tab/>
            </w:r>
            <w:r w:rsidR="00A61E89" w:rsidRPr="00242CAC">
              <w:rPr>
                <w:rStyle w:val="Hyperlink"/>
                <w:rFonts w:ascii="Arial" w:hAnsi="Arial" w:cs="Arial"/>
              </w:rPr>
              <w:t>Workforce diversity</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_Toc43122860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15</w:t>
            </w:r>
            <w:r w:rsidR="00A61E89" w:rsidRPr="00242CAC">
              <w:rPr>
                <w:rFonts w:ascii="Arial" w:hAnsi="Arial" w:cs="Arial"/>
                <w:webHidden/>
              </w:rPr>
              <w:fldChar w:fldCharType="end"/>
            </w:r>
          </w:hyperlink>
        </w:p>
        <w:p w14:paraId="0651820F" w14:textId="322E06F3" w:rsidR="00A61E89" w:rsidRPr="00242CAC" w:rsidRDefault="003E2092">
          <w:pPr>
            <w:pStyle w:val="TOC1"/>
            <w:rPr>
              <w:rFonts w:ascii="Arial" w:hAnsi="Arial" w:cs="Arial"/>
              <w:noProof/>
              <w:lang w:eastAsia="en-NZ"/>
            </w:rPr>
          </w:pPr>
          <w:hyperlink w:anchor="_Toc43122861" w:history="1">
            <w:r w:rsidR="00A61E89" w:rsidRPr="00242CAC">
              <w:rPr>
                <w:rStyle w:val="Hyperlink"/>
                <w:rFonts w:ascii="Arial" w:hAnsi="Arial" w:cs="Arial"/>
                <w:noProof/>
                <w:lang w:eastAsia="en-NZ"/>
              </w:rPr>
              <w:t>8</w:t>
            </w:r>
            <w:r w:rsidR="00A61E89" w:rsidRPr="00242CAC">
              <w:rPr>
                <w:rFonts w:ascii="Arial" w:hAnsi="Arial" w:cs="Arial"/>
                <w:noProof/>
                <w:lang w:eastAsia="en-NZ"/>
              </w:rPr>
              <w:tab/>
            </w:r>
            <w:r w:rsidR="00A61E89" w:rsidRPr="00242CAC">
              <w:rPr>
                <w:rStyle w:val="Hyperlink"/>
                <w:rFonts w:ascii="Arial" w:hAnsi="Arial" w:cs="Arial"/>
                <w:noProof/>
                <w:lang w:eastAsia="en-NZ"/>
              </w:rPr>
              <w:t>Service Linkages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_Toc43122861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15</w:t>
            </w:r>
            <w:r w:rsidR="00A61E89" w:rsidRPr="00242CAC">
              <w:rPr>
                <w:rFonts w:ascii="Arial" w:hAnsi="Arial" w:cs="Arial"/>
                <w:noProof/>
                <w:webHidden/>
              </w:rPr>
              <w:fldChar w:fldCharType="end"/>
            </w:r>
          </w:hyperlink>
        </w:p>
        <w:p w14:paraId="7FF7401A" w14:textId="4D8541A9" w:rsidR="00A61E89" w:rsidRPr="00242CAC" w:rsidRDefault="003E2092">
          <w:pPr>
            <w:pStyle w:val="TOC1"/>
            <w:rPr>
              <w:rFonts w:ascii="Arial" w:hAnsi="Arial" w:cs="Arial"/>
              <w:noProof/>
              <w:lang w:eastAsia="en-NZ"/>
            </w:rPr>
          </w:pPr>
          <w:hyperlink w:anchor="_Toc43122862" w:history="1">
            <w:r w:rsidR="00A61E89" w:rsidRPr="00242CAC">
              <w:rPr>
                <w:rStyle w:val="Hyperlink"/>
                <w:rFonts w:ascii="Arial" w:hAnsi="Arial" w:cs="Arial"/>
                <w:noProof/>
                <w:snapToGrid w:val="0"/>
                <w:lang w:val="en-US"/>
              </w:rPr>
              <w:t>9.</w:t>
            </w:r>
            <w:r w:rsidR="00A61E89" w:rsidRPr="00242CAC">
              <w:rPr>
                <w:rFonts w:ascii="Arial" w:hAnsi="Arial" w:cs="Arial"/>
                <w:noProof/>
                <w:lang w:eastAsia="en-NZ"/>
              </w:rPr>
              <w:tab/>
            </w:r>
            <w:r w:rsidR="00A61E89" w:rsidRPr="00242CAC">
              <w:rPr>
                <w:rStyle w:val="Hyperlink"/>
                <w:rFonts w:ascii="Arial" w:hAnsi="Arial" w:cs="Arial"/>
                <w:noProof/>
                <w:snapToGrid w:val="0"/>
                <w:lang w:val="en-US"/>
              </w:rPr>
              <w:t>Quality Requirements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_Toc43122862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16</w:t>
            </w:r>
            <w:r w:rsidR="00A61E89" w:rsidRPr="00242CAC">
              <w:rPr>
                <w:rFonts w:ascii="Arial" w:hAnsi="Arial" w:cs="Arial"/>
                <w:noProof/>
                <w:webHidden/>
              </w:rPr>
              <w:fldChar w:fldCharType="end"/>
            </w:r>
          </w:hyperlink>
        </w:p>
        <w:p w14:paraId="4B6330A9" w14:textId="5DFACA42" w:rsidR="00A61E89" w:rsidRPr="00242CAC" w:rsidRDefault="003E2092">
          <w:pPr>
            <w:pStyle w:val="TOC2"/>
            <w:rPr>
              <w:rFonts w:ascii="Arial" w:hAnsi="Arial" w:cs="Arial"/>
              <w:lang w:eastAsia="en-NZ"/>
            </w:rPr>
          </w:pPr>
          <w:hyperlink w:anchor="_Toc43122863" w:history="1">
            <w:r w:rsidR="00A61E89" w:rsidRPr="00242CAC">
              <w:rPr>
                <w:rStyle w:val="Hyperlink"/>
                <w:rFonts w:ascii="Arial" w:hAnsi="Arial" w:cs="Arial"/>
              </w:rPr>
              <w:t>9.1</w:t>
            </w:r>
            <w:r w:rsidR="00A61E89" w:rsidRPr="00242CAC">
              <w:rPr>
                <w:rFonts w:ascii="Arial" w:hAnsi="Arial" w:cs="Arial"/>
                <w:lang w:eastAsia="en-NZ"/>
              </w:rPr>
              <w:tab/>
            </w:r>
            <w:r w:rsidR="00A61E89" w:rsidRPr="00242CAC">
              <w:rPr>
                <w:rStyle w:val="Hyperlink"/>
                <w:rFonts w:ascii="Arial" w:hAnsi="Arial" w:cs="Arial"/>
              </w:rPr>
              <w:t>Legislative requirements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_Toc43122863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16</w:t>
            </w:r>
            <w:r w:rsidR="00A61E89" w:rsidRPr="00242CAC">
              <w:rPr>
                <w:rFonts w:ascii="Arial" w:hAnsi="Arial" w:cs="Arial"/>
                <w:webHidden/>
              </w:rPr>
              <w:fldChar w:fldCharType="end"/>
            </w:r>
          </w:hyperlink>
        </w:p>
        <w:p w14:paraId="374EB01E" w14:textId="31695019" w:rsidR="00A61E89" w:rsidRPr="00242CAC" w:rsidRDefault="003E2092">
          <w:pPr>
            <w:pStyle w:val="TOC2"/>
            <w:rPr>
              <w:rFonts w:ascii="Arial" w:hAnsi="Arial" w:cs="Arial"/>
              <w:lang w:eastAsia="en-NZ"/>
            </w:rPr>
          </w:pPr>
          <w:hyperlink w:anchor="_Toc43122864" w:history="1">
            <w:r w:rsidR="00A61E89" w:rsidRPr="00242CAC">
              <w:rPr>
                <w:rStyle w:val="Hyperlink"/>
                <w:rFonts w:ascii="Arial" w:hAnsi="Arial" w:cs="Arial"/>
              </w:rPr>
              <w:t>9.2</w:t>
            </w:r>
            <w:r w:rsidR="00A61E89" w:rsidRPr="00242CAC">
              <w:rPr>
                <w:rFonts w:ascii="Arial" w:hAnsi="Arial" w:cs="Arial"/>
                <w:lang w:eastAsia="en-NZ"/>
              </w:rPr>
              <w:tab/>
            </w:r>
            <w:r w:rsidR="00A61E89" w:rsidRPr="00242CAC">
              <w:rPr>
                <w:rStyle w:val="Hyperlink"/>
                <w:rFonts w:ascii="Arial" w:hAnsi="Arial" w:cs="Arial"/>
              </w:rPr>
              <w:t>Audit</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_Toc43122864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17</w:t>
            </w:r>
            <w:r w:rsidR="00A61E89" w:rsidRPr="00242CAC">
              <w:rPr>
                <w:rFonts w:ascii="Arial" w:hAnsi="Arial" w:cs="Arial"/>
                <w:webHidden/>
              </w:rPr>
              <w:fldChar w:fldCharType="end"/>
            </w:r>
          </w:hyperlink>
        </w:p>
        <w:p w14:paraId="60C737E0" w14:textId="33D6A7C6" w:rsidR="00A61E89" w:rsidRPr="00242CAC" w:rsidRDefault="003E2092">
          <w:pPr>
            <w:pStyle w:val="TOC2"/>
            <w:rPr>
              <w:rFonts w:ascii="Arial" w:hAnsi="Arial" w:cs="Arial"/>
              <w:lang w:eastAsia="en-NZ"/>
            </w:rPr>
          </w:pPr>
          <w:hyperlink w:anchor="_Toc43122865" w:history="1">
            <w:r w:rsidR="00A61E89" w:rsidRPr="00242CAC">
              <w:rPr>
                <w:rStyle w:val="Hyperlink"/>
                <w:rFonts w:ascii="Arial" w:hAnsi="Arial" w:cs="Arial"/>
              </w:rPr>
              <w:t>9.3</w:t>
            </w:r>
            <w:r w:rsidR="00A61E89" w:rsidRPr="00242CAC">
              <w:rPr>
                <w:rFonts w:ascii="Arial" w:hAnsi="Arial" w:cs="Arial"/>
                <w:lang w:eastAsia="en-NZ"/>
              </w:rPr>
              <w:tab/>
            </w:r>
            <w:r w:rsidR="00A61E89" w:rsidRPr="00242CAC">
              <w:rPr>
                <w:rStyle w:val="Hyperlink"/>
                <w:rFonts w:ascii="Arial" w:hAnsi="Arial" w:cs="Arial"/>
              </w:rPr>
              <w:t>Quality improvement and risk management systems</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_Toc43122865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17</w:t>
            </w:r>
            <w:r w:rsidR="00A61E89" w:rsidRPr="00242CAC">
              <w:rPr>
                <w:rFonts w:ascii="Arial" w:hAnsi="Arial" w:cs="Arial"/>
                <w:webHidden/>
              </w:rPr>
              <w:fldChar w:fldCharType="end"/>
            </w:r>
          </w:hyperlink>
        </w:p>
        <w:p w14:paraId="55B7896E" w14:textId="497C491D" w:rsidR="00A61E89" w:rsidRPr="00242CAC" w:rsidRDefault="003E2092">
          <w:pPr>
            <w:pStyle w:val="TOC1"/>
            <w:rPr>
              <w:rFonts w:ascii="Arial" w:hAnsi="Arial" w:cs="Arial"/>
              <w:noProof/>
              <w:lang w:eastAsia="en-NZ"/>
            </w:rPr>
          </w:pPr>
          <w:hyperlink w:anchor="_Toc43122866" w:history="1">
            <w:r w:rsidR="00A61E89" w:rsidRPr="00242CAC">
              <w:rPr>
                <w:rStyle w:val="Hyperlink"/>
                <w:rFonts w:ascii="Arial" w:hAnsi="Arial" w:cs="Arial"/>
                <w:noProof/>
              </w:rPr>
              <w:t>10</w:t>
            </w:r>
            <w:r w:rsidR="00A61E89" w:rsidRPr="00242CAC">
              <w:rPr>
                <w:rFonts w:ascii="Arial" w:hAnsi="Arial" w:cs="Arial"/>
                <w:noProof/>
                <w:lang w:eastAsia="en-NZ"/>
              </w:rPr>
              <w:tab/>
            </w:r>
            <w:r w:rsidR="00A61E89" w:rsidRPr="00242CAC">
              <w:rPr>
                <w:rStyle w:val="Hyperlink"/>
                <w:rFonts w:ascii="Arial" w:hAnsi="Arial" w:cs="Arial"/>
                <w:noProof/>
              </w:rPr>
              <w:t>Purchase Unit Codes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_Toc43122866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19</w:t>
            </w:r>
            <w:r w:rsidR="00A61E89" w:rsidRPr="00242CAC">
              <w:rPr>
                <w:rFonts w:ascii="Arial" w:hAnsi="Arial" w:cs="Arial"/>
                <w:noProof/>
                <w:webHidden/>
              </w:rPr>
              <w:fldChar w:fldCharType="end"/>
            </w:r>
          </w:hyperlink>
        </w:p>
        <w:p w14:paraId="7D2020DE" w14:textId="526A3F5C" w:rsidR="00A61E89" w:rsidRPr="00242CAC" w:rsidRDefault="003E2092">
          <w:pPr>
            <w:pStyle w:val="TOC1"/>
            <w:rPr>
              <w:rFonts w:ascii="Arial" w:hAnsi="Arial" w:cs="Arial"/>
              <w:noProof/>
              <w:lang w:eastAsia="en-NZ"/>
            </w:rPr>
          </w:pPr>
          <w:hyperlink w:anchor="_Toc43122867" w:history="1">
            <w:r w:rsidR="00A61E89" w:rsidRPr="00242CAC">
              <w:rPr>
                <w:rStyle w:val="Hyperlink"/>
                <w:rFonts w:ascii="Arial" w:hAnsi="Arial" w:cs="Arial"/>
                <w:noProof/>
              </w:rPr>
              <w:t>11</w:t>
            </w:r>
            <w:r w:rsidR="00A61E89" w:rsidRPr="00242CAC">
              <w:rPr>
                <w:rFonts w:ascii="Arial" w:hAnsi="Arial" w:cs="Arial"/>
                <w:noProof/>
                <w:lang w:eastAsia="en-NZ"/>
              </w:rPr>
              <w:tab/>
            </w:r>
            <w:r w:rsidR="00A61E89" w:rsidRPr="00242CAC">
              <w:rPr>
                <w:rStyle w:val="Hyperlink"/>
                <w:rFonts w:ascii="Arial" w:hAnsi="Arial" w:cs="Arial"/>
                <w:noProof/>
              </w:rPr>
              <w:t>Reporting and Monitoring</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_Toc43122867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20</w:t>
            </w:r>
            <w:r w:rsidR="00A61E89" w:rsidRPr="00242CAC">
              <w:rPr>
                <w:rFonts w:ascii="Arial" w:hAnsi="Arial" w:cs="Arial"/>
                <w:noProof/>
                <w:webHidden/>
              </w:rPr>
              <w:fldChar w:fldCharType="end"/>
            </w:r>
          </w:hyperlink>
        </w:p>
        <w:p w14:paraId="5499D1AB" w14:textId="1569B407" w:rsidR="00A61E89" w:rsidRPr="00242CAC" w:rsidRDefault="003E2092">
          <w:pPr>
            <w:pStyle w:val="TOC2"/>
            <w:rPr>
              <w:rFonts w:ascii="Arial" w:hAnsi="Arial" w:cs="Arial"/>
              <w:lang w:eastAsia="en-NZ"/>
            </w:rPr>
          </w:pPr>
          <w:hyperlink w:anchor="_Toc43122868" w:history="1">
            <w:r w:rsidR="00A61E89" w:rsidRPr="00242CAC">
              <w:rPr>
                <w:rStyle w:val="Hyperlink"/>
                <w:rFonts w:ascii="Arial" w:hAnsi="Arial" w:cs="Arial"/>
                <w:lang w:eastAsia="en-NZ"/>
              </w:rPr>
              <w:t xml:space="preserve">11.1 </w:t>
            </w:r>
            <w:r w:rsidR="00A61E89" w:rsidRPr="00242CAC">
              <w:rPr>
                <w:rFonts w:ascii="Arial" w:hAnsi="Arial" w:cs="Arial"/>
                <w:lang w:eastAsia="en-NZ"/>
              </w:rPr>
              <w:tab/>
            </w:r>
            <w:r w:rsidR="00A61E89" w:rsidRPr="00242CAC">
              <w:rPr>
                <w:rStyle w:val="Hyperlink"/>
                <w:rFonts w:ascii="Arial" w:hAnsi="Arial" w:cs="Arial"/>
                <w:lang w:eastAsia="en-NZ"/>
              </w:rPr>
              <w:t>Reporting to the Ministry of Health</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_Toc43122868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20</w:t>
            </w:r>
            <w:r w:rsidR="00A61E89" w:rsidRPr="00242CAC">
              <w:rPr>
                <w:rFonts w:ascii="Arial" w:hAnsi="Arial" w:cs="Arial"/>
                <w:webHidden/>
              </w:rPr>
              <w:fldChar w:fldCharType="end"/>
            </w:r>
          </w:hyperlink>
        </w:p>
        <w:p w14:paraId="2C0D720D" w14:textId="4BD4F6D9" w:rsidR="00A61E89" w:rsidRPr="00242CAC" w:rsidRDefault="003E2092">
          <w:pPr>
            <w:pStyle w:val="TOC2"/>
            <w:rPr>
              <w:rFonts w:ascii="Arial" w:hAnsi="Arial" w:cs="Arial"/>
              <w:lang w:eastAsia="en-NZ"/>
            </w:rPr>
          </w:pPr>
          <w:hyperlink w:anchor="_Toc43122869" w:history="1">
            <w:r w:rsidR="00A61E89" w:rsidRPr="00242CAC">
              <w:rPr>
                <w:rStyle w:val="Hyperlink"/>
                <w:rFonts w:ascii="Arial" w:hAnsi="Arial" w:cs="Arial"/>
                <w:lang w:eastAsia="en-NZ"/>
              </w:rPr>
              <w:t xml:space="preserve">11.2 </w:t>
            </w:r>
            <w:r w:rsidR="00A61E89" w:rsidRPr="00242CAC">
              <w:rPr>
                <w:rFonts w:ascii="Arial" w:hAnsi="Arial" w:cs="Arial"/>
                <w:lang w:eastAsia="en-NZ"/>
              </w:rPr>
              <w:tab/>
            </w:r>
            <w:r w:rsidR="00A61E89" w:rsidRPr="00242CAC">
              <w:rPr>
                <w:rStyle w:val="Hyperlink"/>
                <w:rFonts w:ascii="Arial" w:hAnsi="Arial" w:cs="Arial"/>
                <w:lang w:eastAsia="en-NZ"/>
              </w:rPr>
              <w:t>Reporting to the DHB Funder</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_Toc43122869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20</w:t>
            </w:r>
            <w:r w:rsidR="00A61E89" w:rsidRPr="00242CAC">
              <w:rPr>
                <w:rFonts w:ascii="Arial" w:hAnsi="Arial" w:cs="Arial"/>
                <w:webHidden/>
              </w:rPr>
              <w:fldChar w:fldCharType="end"/>
            </w:r>
          </w:hyperlink>
        </w:p>
        <w:p w14:paraId="1ADD29E7" w14:textId="1963C868" w:rsidR="00A61E89" w:rsidRPr="00242CAC" w:rsidRDefault="003E2092">
          <w:pPr>
            <w:pStyle w:val="TOC1"/>
            <w:rPr>
              <w:rFonts w:ascii="Arial" w:hAnsi="Arial" w:cs="Arial"/>
              <w:noProof/>
              <w:lang w:eastAsia="en-NZ"/>
            </w:rPr>
          </w:pPr>
          <w:hyperlink w:anchor="_Toc43122870" w:history="1">
            <w:r w:rsidR="00A61E89" w:rsidRPr="00242CAC">
              <w:rPr>
                <w:rStyle w:val="Hyperlink"/>
                <w:rFonts w:ascii="Arial" w:hAnsi="Arial" w:cs="Arial"/>
                <w:noProof/>
                <w:lang w:val="en-US"/>
              </w:rPr>
              <w:t>12.</w:t>
            </w:r>
            <w:r w:rsidR="00A61E89" w:rsidRPr="00242CAC">
              <w:rPr>
                <w:rFonts w:ascii="Arial" w:hAnsi="Arial" w:cs="Arial"/>
                <w:noProof/>
                <w:lang w:eastAsia="en-NZ"/>
              </w:rPr>
              <w:tab/>
            </w:r>
            <w:r w:rsidR="00A61E89" w:rsidRPr="00242CAC">
              <w:rPr>
                <w:rStyle w:val="Hyperlink"/>
                <w:rFonts w:ascii="Arial" w:hAnsi="Arial" w:cs="Arial"/>
                <w:noProof/>
                <w:lang w:val="en-US"/>
              </w:rPr>
              <w:t>Technology and Data Requirements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_Toc43122870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22</w:t>
            </w:r>
            <w:r w:rsidR="00A61E89" w:rsidRPr="00242CAC">
              <w:rPr>
                <w:rFonts w:ascii="Arial" w:hAnsi="Arial" w:cs="Arial"/>
                <w:noProof/>
                <w:webHidden/>
              </w:rPr>
              <w:fldChar w:fldCharType="end"/>
            </w:r>
          </w:hyperlink>
        </w:p>
        <w:p w14:paraId="319D39D7" w14:textId="4F3B875B" w:rsidR="00A61E89" w:rsidRPr="00242CAC" w:rsidRDefault="003E2092">
          <w:pPr>
            <w:pStyle w:val="TOC2"/>
            <w:rPr>
              <w:rFonts w:ascii="Arial" w:hAnsi="Arial" w:cs="Arial"/>
              <w:lang w:eastAsia="en-NZ"/>
            </w:rPr>
          </w:pPr>
          <w:hyperlink w:anchor="_Toc43122871" w:history="1">
            <w:r w:rsidR="00A61E89" w:rsidRPr="00242CAC">
              <w:rPr>
                <w:rStyle w:val="Hyperlink"/>
                <w:rFonts w:ascii="Arial" w:hAnsi="Arial" w:cs="Arial"/>
              </w:rPr>
              <w:t>12.1</w:t>
            </w:r>
            <w:r w:rsidR="00A61E89" w:rsidRPr="00242CAC">
              <w:rPr>
                <w:rFonts w:ascii="Arial" w:hAnsi="Arial" w:cs="Arial"/>
                <w:lang w:eastAsia="en-NZ"/>
              </w:rPr>
              <w:tab/>
            </w:r>
            <w:r w:rsidR="00A61E89" w:rsidRPr="00242CAC">
              <w:rPr>
                <w:rStyle w:val="Hyperlink"/>
                <w:rFonts w:ascii="Arial" w:hAnsi="Arial" w:cs="Arial"/>
              </w:rPr>
              <w:t>General</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_Toc43122871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22</w:t>
            </w:r>
            <w:r w:rsidR="00A61E89" w:rsidRPr="00242CAC">
              <w:rPr>
                <w:rFonts w:ascii="Arial" w:hAnsi="Arial" w:cs="Arial"/>
                <w:webHidden/>
              </w:rPr>
              <w:fldChar w:fldCharType="end"/>
            </w:r>
          </w:hyperlink>
        </w:p>
        <w:p w14:paraId="77C0CC69" w14:textId="52A25975" w:rsidR="00A61E89" w:rsidRPr="00242CAC" w:rsidRDefault="003E2092">
          <w:pPr>
            <w:pStyle w:val="TOC2"/>
            <w:rPr>
              <w:rFonts w:ascii="Arial" w:hAnsi="Arial" w:cs="Arial"/>
              <w:lang w:eastAsia="en-NZ"/>
            </w:rPr>
          </w:pPr>
          <w:hyperlink w:anchor="_Toc43122872" w:history="1">
            <w:r w:rsidR="00A61E89" w:rsidRPr="00242CAC">
              <w:rPr>
                <w:rStyle w:val="Hyperlink"/>
                <w:rFonts w:ascii="Arial" w:hAnsi="Arial" w:cs="Arial"/>
              </w:rPr>
              <w:t>12.2</w:t>
            </w:r>
            <w:r w:rsidR="00A61E89" w:rsidRPr="00242CAC">
              <w:rPr>
                <w:rFonts w:ascii="Arial" w:hAnsi="Arial" w:cs="Arial"/>
                <w:lang w:eastAsia="en-NZ"/>
              </w:rPr>
              <w:tab/>
            </w:r>
            <w:r w:rsidR="00A61E89" w:rsidRPr="00242CAC">
              <w:rPr>
                <w:rStyle w:val="Hyperlink"/>
                <w:rFonts w:ascii="Arial" w:hAnsi="Arial" w:cs="Arial"/>
              </w:rPr>
              <w:t>Data sharing</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_Toc43122872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22</w:t>
            </w:r>
            <w:r w:rsidR="00A61E89" w:rsidRPr="00242CAC">
              <w:rPr>
                <w:rFonts w:ascii="Arial" w:hAnsi="Arial" w:cs="Arial"/>
                <w:webHidden/>
              </w:rPr>
              <w:fldChar w:fldCharType="end"/>
            </w:r>
          </w:hyperlink>
        </w:p>
        <w:p w14:paraId="3A6EDA25" w14:textId="63CF7F34" w:rsidR="00A61E89" w:rsidRPr="00242CAC" w:rsidRDefault="003E2092">
          <w:pPr>
            <w:pStyle w:val="TOC2"/>
            <w:rPr>
              <w:rFonts w:ascii="Arial" w:hAnsi="Arial" w:cs="Arial"/>
              <w:lang w:eastAsia="en-NZ"/>
            </w:rPr>
          </w:pPr>
          <w:hyperlink w:anchor="_Toc43122873" w:history="1">
            <w:r w:rsidR="00A61E89" w:rsidRPr="00242CAC">
              <w:rPr>
                <w:rStyle w:val="Hyperlink"/>
                <w:rFonts w:ascii="Arial" w:hAnsi="Arial" w:cs="Arial"/>
              </w:rPr>
              <w:t>12.3</w:t>
            </w:r>
            <w:r w:rsidR="00A61E89" w:rsidRPr="00242CAC">
              <w:rPr>
                <w:rFonts w:ascii="Arial" w:hAnsi="Arial" w:cs="Arial"/>
                <w:lang w:eastAsia="en-NZ"/>
              </w:rPr>
              <w:tab/>
            </w:r>
            <w:r w:rsidR="00A61E89" w:rsidRPr="00242CAC">
              <w:rPr>
                <w:rStyle w:val="Hyperlink"/>
                <w:rFonts w:ascii="Arial" w:hAnsi="Arial" w:cs="Arial"/>
              </w:rPr>
              <w:t>Data collection</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_Toc43122873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22</w:t>
            </w:r>
            <w:r w:rsidR="00A61E89" w:rsidRPr="00242CAC">
              <w:rPr>
                <w:rFonts w:ascii="Arial" w:hAnsi="Arial" w:cs="Arial"/>
                <w:webHidden/>
              </w:rPr>
              <w:fldChar w:fldCharType="end"/>
            </w:r>
          </w:hyperlink>
        </w:p>
        <w:p w14:paraId="49B39CFA" w14:textId="2EF44A41" w:rsidR="00A61E89" w:rsidRPr="00242CAC" w:rsidRDefault="003E2092">
          <w:pPr>
            <w:pStyle w:val="TOC1"/>
            <w:rPr>
              <w:rFonts w:ascii="Arial" w:hAnsi="Arial" w:cs="Arial"/>
              <w:noProof/>
              <w:lang w:eastAsia="en-NZ"/>
            </w:rPr>
          </w:pPr>
          <w:hyperlink w:anchor="_Toc43122874" w:history="1">
            <w:r w:rsidR="00A61E89" w:rsidRPr="00242CAC">
              <w:rPr>
                <w:rStyle w:val="Hyperlink"/>
                <w:rFonts w:ascii="Arial" w:hAnsi="Arial" w:cs="Arial"/>
                <w:noProof/>
              </w:rPr>
              <w:t>Appendix 1: Casemix Algorithms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_Toc43122874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24</w:t>
            </w:r>
            <w:r w:rsidR="00A61E89" w:rsidRPr="00242CAC">
              <w:rPr>
                <w:rFonts w:ascii="Arial" w:hAnsi="Arial" w:cs="Arial"/>
                <w:noProof/>
                <w:webHidden/>
              </w:rPr>
              <w:fldChar w:fldCharType="end"/>
            </w:r>
          </w:hyperlink>
        </w:p>
        <w:p w14:paraId="0A99ED01" w14:textId="00BD6BA5" w:rsidR="00A61E89" w:rsidRPr="00242CAC" w:rsidRDefault="003E2092">
          <w:pPr>
            <w:pStyle w:val="TOC2"/>
            <w:rPr>
              <w:rFonts w:ascii="Arial" w:hAnsi="Arial" w:cs="Arial"/>
              <w:lang w:eastAsia="en-NZ"/>
            </w:rPr>
          </w:pPr>
          <w:hyperlink w:anchor="_Toc43122875" w:history="1">
            <w:r w:rsidR="00A61E89" w:rsidRPr="00242CAC">
              <w:rPr>
                <w:rStyle w:val="Hyperlink"/>
                <w:rFonts w:ascii="Arial" w:hAnsi="Arial" w:cs="Arial"/>
                <w:lang w:eastAsia="en-NZ"/>
              </w:rPr>
              <w:t>Non-Complex Algorithm Utilising the InterRAI Contact Assessment Tool</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_Toc43122875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24</w:t>
            </w:r>
            <w:r w:rsidR="00A61E89" w:rsidRPr="00242CAC">
              <w:rPr>
                <w:rFonts w:ascii="Arial" w:hAnsi="Arial" w:cs="Arial"/>
                <w:webHidden/>
              </w:rPr>
              <w:fldChar w:fldCharType="end"/>
            </w:r>
          </w:hyperlink>
        </w:p>
        <w:p w14:paraId="4E25EC18" w14:textId="346CBEB4" w:rsidR="00A61E89" w:rsidRPr="00242CAC" w:rsidRDefault="003E2092">
          <w:pPr>
            <w:pStyle w:val="TOC2"/>
            <w:rPr>
              <w:rFonts w:ascii="Arial" w:hAnsi="Arial" w:cs="Arial"/>
              <w:lang w:eastAsia="en-NZ"/>
            </w:rPr>
          </w:pPr>
          <w:hyperlink w:anchor="_Toc43122876" w:history="1">
            <w:r w:rsidR="00A61E89" w:rsidRPr="00242CAC">
              <w:rPr>
                <w:rStyle w:val="Hyperlink"/>
                <w:rFonts w:ascii="Arial" w:hAnsi="Arial" w:cs="Arial"/>
              </w:rPr>
              <w:t>Complex Algorithm Utilising the InterRAI Home Care Assessment Tool</w:t>
            </w:r>
            <w:r w:rsidR="00A61E89" w:rsidRPr="00242CAC">
              <w:rPr>
                <w:rFonts w:ascii="Arial" w:hAnsi="Arial" w:cs="Arial"/>
                <w:webHidden/>
              </w:rPr>
              <w:tab/>
            </w:r>
            <w:r w:rsidR="00A61E89" w:rsidRPr="00242CAC">
              <w:rPr>
                <w:rFonts w:ascii="Arial" w:hAnsi="Arial" w:cs="Arial"/>
                <w:webHidden/>
              </w:rPr>
              <w:fldChar w:fldCharType="begin"/>
            </w:r>
            <w:r w:rsidR="00A61E89" w:rsidRPr="00242CAC">
              <w:rPr>
                <w:rFonts w:ascii="Arial" w:hAnsi="Arial" w:cs="Arial"/>
                <w:webHidden/>
              </w:rPr>
              <w:instrText xml:space="preserve"> PAGEREF _Toc43122876 \h </w:instrText>
            </w:r>
            <w:r w:rsidR="00A61E89" w:rsidRPr="00242CAC">
              <w:rPr>
                <w:rFonts w:ascii="Arial" w:hAnsi="Arial" w:cs="Arial"/>
                <w:webHidden/>
              </w:rPr>
            </w:r>
            <w:r w:rsidR="00A61E89" w:rsidRPr="00242CAC">
              <w:rPr>
                <w:rFonts w:ascii="Arial" w:hAnsi="Arial" w:cs="Arial"/>
                <w:webHidden/>
              </w:rPr>
              <w:fldChar w:fldCharType="separate"/>
            </w:r>
            <w:r w:rsidR="00A61E89" w:rsidRPr="00242CAC">
              <w:rPr>
                <w:rFonts w:ascii="Arial" w:hAnsi="Arial" w:cs="Arial"/>
                <w:webHidden/>
              </w:rPr>
              <w:t>25</w:t>
            </w:r>
            <w:r w:rsidR="00A61E89" w:rsidRPr="00242CAC">
              <w:rPr>
                <w:rFonts w:ascii="Arial" w:hAnsi="Arial" w:cs="Arial"/>
                <w:webHidden/>
              </w:rPr>
              <w:fldChar w:fldCharType="end"/>
            </w:r>
          </w:hyperlink>
        </w:p>
        <w:p w14:paraId="1FDF3F6B" w14:textId="029A2F9B" w:rsidR="00A61E89" w:rsidRPr="00242CAC" w:rsidRDefault="003E2092">
          <w:pPr>
            <w:pStyle w:val="TOC1"/>
            <w:rPr>
              <w:rFonts w:ascii="Arial" w:hAnsi="Arial" w:cs="Arial"/>
              <w:noProof/>
              <w:lang w:eastAsia="en-NZ"/>
            </w:rPr>
          </w:pPr>
          <w:hyperlink w:anchor="_Toc43122877" w:history="1">
            <w:r w:rsidR="00A61E89" w:rsidRPr="00242CAC">
              <w:rPr>
                <w:rStyle w:val="Hyperlink"/>
                <w:rFonts w:ascii="Arial" w:hAnsi="Arial" w:cs="Arial"/>
                <w:noProof/>
              </w:rPr>
              <w:t>Appendix 2: Review and Assessment Regime</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_Toc43122877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26</w:t>
            </w:r>
            <w:r w:rsidR="00A61E89" w:rsidRPr="00242CAC">
              <w:rPr>
                <w:rFonts w:ascii="Arial" w:hAnsi="Arial" w:cs="Arial"/>
                <w:noProof/>
                <w:webHidden/>
              </w:rPr>
              <w:fldChar w:fldCharType="end"/>
            </w:r>
          </w:hyperlink>
        </w:p>
        <w:p w14:paraId="5290B886" w14:textId="63FD4CCE" w:rsidR="00A61E89" w:rsidRPr="00242CAC" w:rsidRDefault="003E2092">
          <w:pPr>
            <w:pStyle w:val="TOC1"/>
            <w:rPr>
              <w:rFonts w:ascii="Arial" w:hAnsi="Arial" w:cs="Arial"/>
              <w:noProof/>
              <w:lang w:eastAsia="en-NZ"/>
            </w:rPr>
          </w:pPr>
          <w:hyperlink w:anchor="_Toc43122878" w:history="1">
            <w:r w:rsidR="00A61E89" w:rsidRPr="00242CAC">
              <w:rPr>
                <w:rStyle w:val="Hyperlink"/>
                <w:rFonts w:ascii="Arial" w:hAnsi="Arial" w:cs="Arial"/>
                <w:noProof/>
              </w:rPr>
              <w:t>Appendix 3:  Service Allocation Tool</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_Toc43122878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27</w:t>
            </w:r>
            <w:r w:rsidR="00A61E89" w:rsidRPr="00242CAC">
              <w:rPr>
                <w:rFonts w:ascii="Arial" w:hAnsi="Arial" w:cs="Arial"/>
                <w:noProof/>
                <w:webHidden/>
              </w:rPr>
              <w:fldChar w:fldCharType="end"/>
            </w:r>
          </w:hyperlink>
        </w:p>
        <w:p w14:paraId="1503BF8E" w14:textId="60A72FE6" w:rsidR="00A61E89" w:rsidRPr="00242CAC" w:rsidRDefault="003E2092">
          <w:pPr>
            <w:pStyle w:val="TOC1"/>
            <w:rPr>
              <w:rFonts w:ascii="Arial" w:hAnsi="Arial" w:cs="Arial"/>
              <w:noProof/>
              <w:lang w:eastAsia="en-NZ"/>
            </w:rPr>
          </w:pPr>
          <w:hyperlink w:anchor="_Toc43122879" w:history="1">
            <w:r w:rsidR="00A61E89" w:rsidRPr="00242CAC">
              <w:rPr>
                <w:rStyle w:val="Hyperlink"/>
                <w:rFonts w:ascii="Arial" w:hAnsi="Arial" w:cs="Arial"/>
                <w:noProof/>
              </w:rPr>
              <w:t>Appendix 5: Key Terms and Processes</w:t>
            </w:r>
            <w:r w:rsidR="00A61E89" w:rsidRPr="00242CAC">
              <w:rPr>
                <w:rFonts w:ascii="Arial" w:hAnsi="Arial" w:cs="Arial"/>
                <w:noProof/>
                <w:webHidden/>
              </w:rPr>
              <w:tab/>
            </w:r>
            <w:r w:rsidR="00A61E89" w:rsidRPr="00242CAC">
              <w:rPr>
                <w:rFonts w:ascii="Arial" w:hAnsi="Arial" w:cs="Arial"/>
                <w:noProof/>
                <w:webHidden/>
              </w:rPr>
              <w:fldChar w:fldCharType="begin"/>
            </w:r>
            <w:r w:rsidR="00A61E89" w:rsidRPr="00242CAC">
              <w:rPr>
                <w:rFonts w:ascii="Arial" w:hAnsi="Arial" w:cs="Arial"/>
                <w:noProof/>
                <w:webHidden/>
              </w:rPr>
              <w:instrText xml:space="preserve"> PAGEREF _Toc43122879 \h </w:instrText>
            </w:r>
            <w:r w:rsidR="00A61E89" w:rsidRPr="00242CAC">
              <w:rPr>
                <w:rFonts w:ascii="Arial" w:hAnsi="Arial" w:cs="Arial"/>
                <w:noProof/>
                <w:webHidden/>
              </w:rPr>
            </w:r>
            <w:r w:rsidR="00A61E89" w:rsidRPr="00242CAC">
              <w:rPr>
                <w:rFonts w:ascii="Arial" w:hAnsi="Arial" w:cs="Arial"/>
                <w:noProof/>
                <w:webHidden/>
              </w:rPr>
              <w:fldChar w:fldCharType="separate"/>
            </w:r>
            <w:r w:rsidR="00A61E89" w:rsidRPr="00242CAC">
              <w:rPr>
                <w:rFonts w:ascii="Arial" w:hAnsi="Arial" w:cs="Arial"/>
                <w:noProof/>
                <w:webHidden/>
              </w:rPr>
              <w:t>28</w:t>
            </w:r>
            <w:r w:rsidR="00A61E89" w:rsidRPr="00242CAC">
              <w:rPr>
                <w:rFonts w:ascii="Arial" w:hAnsi="Arial" w:cs="Arial"/>
                <w:noProof/>
                <w:webHidden/>
              </w:rPr>
              <w:fldChar w:fldCharType="end"/>
            </w:r>
          </w:hyperlink>
        </w:p>
        <w:p w14:paraId="0FA51719" w14:textId="155977F9" w:rsidR="004E202F" w:rsidRDefault="004E202F">
          <w:r>
            <w:rPr>
              <w:b/>
              <w:bCs/>
              <w:noProof/>
            </w:rPr>
            <w:fldChar w:fldCharType="end"/>
          </w:r>
        </w:p>
      </w:sdtContent>
    </w:sdt>
    <w:p w14:paraId="3C92EB3F" w14:textId="77777777" w:rsidR="007268CF" w:rsidRPr="00986409" w:rsidRDefault="007268CF">
      <w:pPr>
        <w:rPr>
          <w:rFonts w:ascii="Arial" w:hAnsi="Arial" w:cs="Arial"/>
          <w:b/>
          <w:sz w:val="24"/>
          <w:szCs w:val="24"/>
        </w:rPr>
      </w:pPr>
      <w:r w:rsidRPr="00986409">
        <w:rPr>
          <w:rFonts w:ascii="Arial" w:hAnsi="Arial" w:cs="Arial"/>
          <w:b/>
          <w:sz w:val="24"/>
          <w:szCs w:val="24"/>
        </w:rPr>
        <w:br w:type="page"/>
      </w:r>
    </w:p>
    <w:p w14:paraId="44D8F32D" w14:textId="228416B0" w:rsidR="00E6579F" w:rsidRDefault="00E6579F" w:rsidP="00874DFB">
      <w:pPr>
        <w:pBdr>
          <w:top w:val="single" w:sz="4" w:space="1" w:color="auto"/>
          <w:left w:val="single" w:sz="4" w:space="4" w:color="auto"/>
          <w:bottom w:val="single" w:sz="4" w:space="0" w:color="auto"/>
          <w:right w:val="single" w:sz="4" w:space="26" w:color="auto"/>
        </w:pBdr>
        <w:tabs>
          <w:tab w:val="left" w:pos="0"/>
        </w:tabs>
        <w:spacing w:after="0"/>
        <w:jc w:val="center"/>
        <w:rPr>
          <w:rFonts w:ascii="Arial" w:hAnsi="Arial" w:cs="Arial"/>
          <w:b/>
          <w:sz w:val="24"/>
          <w:szCs w:val="24"/>
        </w:rPr>
      </w:pPr>
      <w:r w:rsidRPr="00E6579F">
        <w:rPr>
          <w:rFonts w:ascii="Arial" w:hAnsi="Arial" w:cs="Arial"/>
          <w:b/>
          <w:sz w:val="24"/>
          <w:szCs w:val="24"/>
        </w:rPr>
        <w:lastRenderedPageBreak/>
        <w:t>H</w:t>
      </w:r>
      <w:r>
        <w:rPr>
          <w:rFonts w:ascii="Arial" w:hAnsi="Arial" w:cs="Arial"/>
          <w:b/>
          <w:sz w:val="24"/>
          <w:szCs w:val="24"/>
        </w:rPr>
        <w:t>OME AND COMMUNITY SUPPORT SERVICES</w:t>
      </w:r>
    </w:p>
    <w:p w14:paraId="406719BB" w14:textId="59AFCBA5" w:rsidR="00E6579F" w:rsidRDefault="00E6579F" w:rsidP="00874DFB">
      <w:pPr>
        <w:pBdr>
          <w:top w:val="single" w:sz="4" w:space="1" w:color="auto"/>
          <w:left w:val="single" w:sz="4" w:space="4" w:color="auto"/>
          <w:bottom w:val="single" w:sz="4" w:space="0" w:color="auto"/>
          <w:right w:val="single" w:sz="4" w:space="26" w:color="auto"/>
        </w:pBdr>
        <w:tabs>
          <w:tab w:val="left" w:pos="0"/>
        </w:tabs>
        <w:spacing w:after="0"/>
        <w:jc w:val="center"/>
        <w:rPr>
          <w:rFonts w:ascii="Arial" w:hAnsi="Arial" w:cs="Arial"/>
          <w:b/>
          <w:sz w:val="24"/>
          <w:szCs w:val="24"/>
        </w:rPr>
      </w:pPr>
      <w:r w:rsidRPr="00E6579F">
        <w:rPr>
          <w:rFonts w:ascii="Arial" w:hAnsi="Arial" w:cs="Arial"/>
          <w:b/>
          <w:sz w:val="24"/>
          <w:szCs w:val="24"/>
        </w:rPr>
        <w:t>(DISTRICT HEALTH BOARD FUNDED)</w:t>
      </w:r>
    </w:p>
    <w:p w14:paraId="6B579C3D" w14:textId="4A694DC2" w:rsidR="00B57406" w:rsidRPr="005F1341" w:rsidRDefault="00986409" w:rsidP="00874DFB">
      <w:pPr>
        <w:pBdr>
          <w:top w:val="single" w:sz="4" w:space="1" w:color="auto"/>
          <w:left w:val="single" w:sz="4" w:space="4" w:color="auto"/>
          <w:bottom w:val="single" w:sz="4" w:space="0" w:color="auto"/>
          <w:right w:val="single" w:sz="4" w:space="26" w:color="auto"/>
        </w:pBdr>
        <w:tabs>
          <w:tab w:val="left" w:pos="0"/>
        </w:tabs>
        <w:spacing w:after="0"/>
        <w:jc w:val="center"/>
        <w:rPr>
          <w:rFonts w:ascii="Arial" w:hAnsi="Arial" w:cs="Arial"/>
          <w:b/>
          <w:sz w:val="24"/>
          <w:szCs w:val="24"/>
        </w:rPr>
      </w:pPr>
      <w:r w:rsidRPr="005F1341">
        <w:rPr>
          <w:rFonts w:ascii="Arial" w:hAnsi="Arial" w:cs="Arial"/>
          <w:b/>
          <w:sz w:val="24"/>
          <w:szCs w:val="24"/>
        </w:rPr>
        <w:t xml:space="preserve">COMMUNITY HEALTH, TRANSITIONAL AND SUPPORT SERVICES </w:t>
      </w:r>
    </w:p>
    <w:p w14:paraId="103AADBF" w14:textId="77777777" w:rsidR="0058478B" w:rsidRPr="00986409" w:rsidRDefault="00986409">
      <w:pPr>
        <w:pBdr>
          <w:top w:val="single" w:sz="4" w:space="1" w:color="auto"/>
          <w:left w:val="single" w:sz="4" w:space="4" w:color="auto"/>
          <w:bottom w:val="single" w:sz="4" w:space="0" w:color="auto"/>
          <w:right w:val="single" w:sz="4" w:space="26" w:color="auto"/>
        </w:pBdr>
        <w:tabs>
          <w:tab w:val="left" w:pos="0"/>
        </w:tabs>
        <w:spacing w:after="0"/>
        <w:jc w:val="center"/>
        <w:rPr>
          <w:rFonts w:ascii="Arial" w:hAnsi="Arial" w:cs="Arial"/>
          <w:b/>
          <w:sz w:val="24"/>
          <w:szCs w:val="24"/>
        </w:rPr>
      </w:pPr>
      <w:r w:rsidRPr="00986409">
        <w:rPr>
          <w:rFonts w:ascii="Arial" w:hAnsi="Arial" w:cs="Arial"/>
          <w:b/>
          <w:sz w:val="24"/>
          <w:szCs w:val="24"/>
        </w:rPr>
        <w:t xml:space="preserve">TIER TWO SERVICE SPECIFICATION </w:t>
      </w:r>
    </w:p>
    <w:p w14:paraId="3628377A" w14:textId="77777777" w:rsidR="007A33C7" w:rsidRPr="00986409" w:rsidRDefault="00986409">
      <w:pPr>
        <w:pBdr>
          <w:top w:val="single" w:sz="4" w:space="1" w:color="auto"/>
          <w:left w:val="single" w:sz="4" w:space="4" w:color="auto"/>
          <w:bottom w:val="single" w:sz="4" w:space="0" w:color="auto"/>
          <w:right w:val="single" w:sz="4" w:space="26" w:color="auto"/>
        </w:pBdr>
        <w:tabs>
          <w:tab w:val="left" w:pos="0"/>
        </w:tabs>
        <w:spacing w:after="0"/>
        <w:jc w:val="center"/>
        <w:rPr>
          <w:rFonts w:ascii="Arial" w:hAnsi="Arial" w:cs="Arial"/>
          <w:b/>
          <w:sz w:val="24"/>
          <w:szCs w:val="24"/>
        </w:rPr>
      </w:pPr>
      <w:r w:rsidRPr="00986409">
        <w:rPr>
          <w:rFonts w:ascii="Arial" w:hAnsi="Arial" w:cs="Arial"/>
          <w:b/>
          <w:sz w:val="24"/>
          <w:szCs w:val="24"/>
        </w:rPr>
        <w:t>HOP1009, HOP1010</w:t>
      </w:r>
    </w:p>
    <w:p w14:paraId="3FE51AE9" w14:textId="77777777" w:rsidR="00EA578D" w:rsidRPr="00AF42AC" w:rsidRDefault="0058478B" w:rsidP="00AF42AC">
      <w:pPr>
        <w:spacing w:before="120" w:after="120"/>
        <w:rPr>
          <w:rFonts w:ascii="Arial" w:hAnsi="Arial" w:cs="Arial"/>
          <w:sz w:val="24"/>
          <w:szCs w:val="24"/>
          <w:lang w:val="en-AU"/>
        </w:rPr>
      </w:pPr>
      <w:r w:rsidRPr="00AF42AC">
        <w:rPr>
          <w:rFonts w:ascii="Arial" w:hAnsi="Arial" w:cs="Arial"/>
          <w:sz w:val="24"/>
          <w:szCs w:val="24"/>
          <w:lang w:val="en-AU"/>
        </w:rPr>
        <w:t>The Tier Two service specification for Home and Community Support Services</w:t>
      </w:r>
      <w:r w:rsidR="00667D8B" w:rsidRPr="00AF42AC">
        <w:rPr>
          <w:rFonts w:ascii="Arial" w:hAnsi="Arial" w:cs="Arial"/>
          <w:sz w:val="24"/>
          <w:szCs w:val="24"/>
          <w:lang w:val="en-AU"/>
        </w:rPr>
        <w:t xml:space="preserve"> (HCSS)</w:t>
      </w:r>
      <w:r w:rsidRPr="00AF42AC">
        <w:rPr>
          <w:rFonts w:ascii="Arial" w:hAnsi="Arial" w:cs="Arial"/>
          <w:sz w:val="24"/>
          <w:szCs w:val="24"/>
          <w:lang w:val="en-AU"/>
        </w:rPr>
        <w:t xml:space="preserve"> is </w:t>
      </w:r>
      <w:r w:rsidR="00EA578D" w:rsidRPr="00AF42AC">
        <w:rPr>
          <w:rFonts w:ascii="Arial" w:hAnsi="Arial" w:cs="Arial"/>
          <w:sz w:val="24"/>
          <w:szCs w:val="24"/>
          <w:lang w:val="en-AU"/>
        </w:rPr>
        <w:t xml:space="preserve">used </w:t>
      </w:r>
      <w:r w:rsidRPr="00AF42AC">
        <w:rPr>
          <w:rFonts w:ascii="Arial" w:hAnsi="Arial" w:cs="Arial"/>
          <w:sz w:val="24"/>
          <w:szCs w:val="24"/>
          <w:lang w:val="en-AU"/>
        </w:rPr>
        <w:t xml:space="preserve">for </w:t>
      </w:r>
      <w:r w:rsidR="00EA578D" w:rsidRPr="00AF42AC">
        <w:rPr>
          <w:rFonts w:ascii="Arial" w:hAnsi="Arial" w:cs="Arial"/>
          <w:sz w:val="24"/>
          <w:szCs w:val="24"/>
          <w:lang w:val="en-AU"/>
        </w:rPr>
        <w:t xml:space="preserve">purchasing services for </w:t>
      </w:r>
      <w:r w:rsidRPr="00AF42AC">
        <w:rPr>
          <w:rFonts w:ascii="Arial" w:hAnsi="Arial" w:cs="Arial"/>
          <w:sz w:val="24"/>
          <w:szCs w:val="24"/>
          <w:lang w:val="en-AU"/>
        </w:rPr>
        <w:t xml:space="preserve">older people who have support needs because of an age-related condition. </w:t>
      </w:r>
    </w:p>
    <w:p w14:paraId="53464372" w14:textId="77777777" w:rsidR="0058478B" w:rsidRPr="00AF42AC" w:rsidRDefault="00C2048B" w:rsidP="00AF42AC">
      <w:pPr>
        <w:autoSpaceDE w:val="0"/>
        <w:autoSpaceDN w:val="0"/>
        <w:adjustRightInd w:val="0"/>
        <w:spacing w:before="120"/>
        <w:rPr>
          <w:rFonts w:ascii="Arial" w:eastAsia="Calibri" w:hAnsi="Arial" w:cs="Arial"/>
          <w:sz w:val="24"/>
          <w:szCs w:val="24"/>
        </w:rPr>
      </w:pPr>
      <w:r w:rsidRPr="00AF42AC">
        <w:rPr>
          <w:rFonts w:ascii="Arial" w:hAnsi="Arial" w:cs="Arial"/>
          <w:sz w:val="24"/>
          <w:szCs w:val="24"/>
          <w:lang w:val="en-AU"/>
        </w:rPr>
        <w:t>So that the total service requirements are explicit, th</w:t>
      </w:r>
      <w:r w:rsidR="00EA578D" w:rsidRPr="00AF42AC">
        <w:rPr>
          <w:rFonts w:ascii="Arial" w:hAnsi="Arial" w:cs="Arial"/>
          <w:sz w:val="24"/>
          <w:szCs w:val="24"/>
          <w:lang w:val="en-AU"/>
        </w:rPr>
        <w:t xml:space="preserve">is </w:t>
      </w:r>
      <w:r w:rsidR="00474E80" w:rsidRPr="00AF42AC">
        <w:rPr>
          <w:rFonts w:ascii="Arial" w:hAnsi="Arial" w:cs="Arial"/>
          <w:sz w:val="24"/>
          <w:szCs w:val="24"/>
          <w:lang w:val="en-AU"/>
        </w:rPr>
        <w:t>s</w:t>
      </w:r>
      <w:r w:rsidR="00EA578D" w:rsidRPr="00AF42AC">
        <w:rPr>
          <w:rFonts w:ascii="Arial" w:hAnsi="Arial" w:cs="Arial"/>
          <w:sz w:val="24"/>
          <w:szCs w:val="24"/>
          <w:lang w:val="en-AU"/>
        </w:rPr>
        <w:t xml:space="preserve">ervice </w:t>
      </w:r>
      <w:r w:rsidR="00474E80" w:rsidRPr="00AF42AC">
        <w:rPr>
          <w:rFonts w:ascii="Arial" w:hAnsi="Arial" w:cs="Arial"/>
          <w:sz w:val="24"/>
          <w:szCs w:val="24"/>
          <w:lang w:val="en-AU"/>
        </w:rPr>
        <w:t>s</w:t>
      </w:r>
      <w:r w:rsidR="00EA578D" w:rsidRPr="00AF42AC">
        <w:rPr>
          <w:rFonts w:ascii="Arial" w:hAnsi="Arial" w:cs="Arial"/>
          <w:sz w:val="24"/>
          <w:szCs w:val="24"/>
          <w:lang w:val="en-AU"/>
        </w:rPr>
        <w:t>pecification</w:t>
      </w:r>
      <w:r w:rsidR="0058478B" w:rsidRPr="00AF42AC">
        <w:rPr>
          <w:rFonts w:ascii="Arial" w:hAnsi="Arial" w:cs="Arial"/>
          <w:sz w:val="24"/>
          <w:szCs w:val="24"/>
          <w:lang w:val="en-AU"/>
        </w:rPr>
        <w:t xml:space="preserve"> is </w:t>
      </w:r>
      <w:r w:rsidR="00474E80" w:rsidRPr="00AF42AC">
        <w:rPr>
          <w:rFonts w:ascii="Arial" w:hAnsi="Arial" w:cs="Arial"/>
          <w:sz w:val="24"/>
          <w:szCs w:val="24"/>
          <w:lang w:val="en-AU"/>
        </w:rPr>
        <w:t xml:space="preserve">also </w:t>
      </w:r>
      <w:r w:rsidR="00970580" w:rsidRPr="00AF42AC">
        <w:rPr>
          <w:rFonts w:ascii="Arial" w:hAnsi="Arial" w:cs="Arial"/>
          <w:sz w:val="24"/>
          <w:szCs w:val="24"/>
          <w:lang w:val="en-AU"/>
        </w:rPr>
        <w:t xml:space="preserve">to be </w:t>
      </w:r>
      <w:r w:rsidR="0058478B" w:rsidRPr="00AF42AC">
        <w:rPr>
          <w:rFonts w:ascii="Arial" w:hAnsi="Arial" w:cs="Arial"/>
          <w:sz w:val="24"/>
          <w:szCs w:val="24"/>
          <w:lang w:val="en-AU"/>
        </w:rPr>
        <w:t xml:space="preserve">used in conjunction with the </w:t>
      </w:r>
      <w:bookmarkStart w:id="8" w:name="_Hlk34986323"/>
      <w:r w:rsidR="0058478B" w:rsidRPr="00AF42AC">
        <w:rPr>
          <w:rFonts w:ascii="Arial" w:hAnsi="Arial" w:cs="Arial"/>
          <w:sz w:val="24"/>
          <w:szCs w:val="24"/>
          <w:lang w:val="en-AU"/>
        </w:rPr>
        <w:t>Tier One Community Health</w:t>
      </w:r>
      <w:r w:rsidR="00893EC3">
        <w:rPr>
          <w:rFonts w:ascii="Arial" w:hAnsi="Arial" w:cs="Arial"/>
          <w:sz w:val="24"/>
          <w:szCs w:val="24"/>
          <w:lang w:val="en-AU"/>
        </w:rPr>
        <w:t>,</w:t>
      </w:r>
      <w:r w:rsidR="0058478B" w:rsidRPr="00AF42AC">
        <w:rPr>
          <w:rFonts w:ascii="Arial" w:hAnsi="Arial" w:cs="Arial"/>
          <w:sz w:val="24"/>
          <w:szCs w:val="24"/>
          <w:lang w:val="en-AU"/>
        </w:rPr>
        <w:t xml:space="preserve"> Transitional and Support Services service specification</w:t>
      </w:r>
      <w:bookmarkEnd w:id="8"/>
      <w:r w:rsidR="008703F0" w:rsidRPr="00AF42AC">
        <w:rPr>
          <w:rStyle w:val="FootnoteReference"/>
          <w:rFonts w:ascii="Arial" w:hAnsi="Arial" w:cs="Arial"/>
          <w:sz w:val="24"/>
          <w:szCs w:val="24"/>
          <w:lang w:val="en-AU"/>
        </w:rPr>
        <w:footnoteReference w:id="1"/>
      </w:r>
      <w:r w:rsidR="0058478B" w:rsidRPr="00AF42AC">
        <w:rPr>
          <w:rFonts w:ascii="Arial" w:hAnsi="Arial" w:cs="Arial"/>
          <w:sz w:val="24"/>
          <w:szCs w:val="24"/>
          <w:lang w:val="en-AU"/>
        </w:rPr>
        <w:t xml:space="preserve"> </w:t>
      </w:r>
      <w:r w:rsidRPr="00AF42AC">
        <w:rPr>
          <w:rFonts w:ascii="Arial" w:hAnsi="Arial" w:cs="Arial"/>
          <w:sz w:val="24"/>
          <w:szCs w:val="24"/>
          <w:lang w:val="en-AU"/>
        </w:rPr>
        <w:t xml:space="preserve">that contains generic principles </w:t>
      </w:r>
      <w:r w:rsidR="0058478B" w:rsidRPr="00AF42AC">
        <w:rPr>
          <w:rFonts w:ascii="Arial" w:hAnsi="Arial" w:cs="Arial"/>
          <w:sz w:val="24"/>
          <w:szCs w:val="24"/>
          <w:lang w:val="en-AU"/>
        </w:rPr>
        <w:t>and content common to all the tiers of specifications below it</w:t>
      </w:r>
      <w:r w:rsidRPr="00AF42AC">
        <w:rPr>
          <w:rFonts w:ascii="Arial" w:hAnsi="Arial" w:cs="Arial"/>
          <w:sz w:val="24"/>
          <w:szCs w:val="24"/>
          <w:lang w:val="en-AU"/>
        </w:rPr>
        <w:t>.</w:t>
      </w:r>
      <w:r w:rsidR="0058478B" w:rsidRPr="00AF42AC">
        <w:rPr>
          <w:rFonts w:ascii="Arial" w:hAnsi="Arial" w:cs="Arial"/>
          <w:sz w:val="24"/>
          <w:szCs w:val="24"/>
          <w:lang w:val="en-AU"/>
        </w:rPr>
        <w:t xml:space="preserve"> </w:t>
      </w:r>
      <w:bookmarkStart w:id="9" w:name="_Toc510537448"/>
    </w:p>
    <w:p w14:paraId="49964E58" w14:textId="77777777" w:rsidR="00C2048B" w:rsidRPr="00AF42AC" w:rsidRDefault="00C2048B" w:rsidP="00DC674C">
      <w:pPr>
        <w:pStyle w:val="Heading1"/>
      </w:pPr>
      <w:bookmarkStart w:id="10" w:name="_Toc43122829"/>
      <w:r w:rsidRPr="00AF42AC">
        <w:t>Background</w:t>
      </w:r>
      <w:bookmarkEnd w:id="10"/>
    </w:p>
    <w:p w14:paraId="26486F52" w14:textId="77777777" w:rsidR="006954D3" w:rsidRPr="00AF42AC" w:rsidRDefault="006954D3" w:rsidP="00874DFB">
      <w:pPr>
        <w:rPr>
          <w:rFonts w:ascii="Arial" w:hAnsi="Arial" w:cs="Arial"/>
          <w:sz w:val="24"/>
          <w:szCs w:val="24"/>
        </w:rPr>
      </w:pPr>
      <w:bookmarkStart w:id="11" w:name="_Toc19519179"/>
      <w:bookmarkStart w:id="12" w:name="_Toc19524547"/>
      <w:r w:rsidRPr="00AF42AC">
        <w:rPr>
          <w:rFonts w:ascii="Arial" w:hAnsi="Arial" w:cs="Arial"/>
          <w:sz w:val="24"/>
          <w:szCs w:val="24"/>
        </w:rPr>
        <w:t xml:space="preserve">HCSS services are required to work cooperatively with representatives of bodies such as contracted providers, allied health, </w:t>
      </w:r>
      <w:r w:rsidR="005F1341">
        <w:rPr>
          <w:rFonts w:ascii="Arial" w:hAnsi="Arial" w:cs="Arial"/>
          <w:sz w:val="24"/>
          <w:szCs w:val="24"/>
        </w:rPr>
        <w:t>p</w:t>
      </w:r>
      <w:r w:rsidRPr="00AF42AC">
        <w:rPr>
          <w:rFonts w:ascii="Arial" w:hAnsi="Arial" w:cs="Arial"/>
          <w:sz w:val="24"/>
          <w:szCs w:val="24"/>
        </w:rPr>
        <w:t xml:space="preserve">rimary </w:t>
      </w:r>
      <w:r w:rsidR="005F1341">
        <w:rPr>
          <w:rFonts w:ascii="Arial" w:hAnsi="Arial" w:cs="Arial"/>
          <w:sz w:val="24"/>
          <w:szCs w:val="24"/>
        </w:rPr>
        <w:t>h</w:t>
      </w:r>
      <w:r w:rsidRPr="00AF42AC">
        <w:rPr>
          <w:rFonts w:ascii="Arial" w:hAnsi="Arial" w:cs="Arial"/>
          <w:sz w:val="24"/>
          <w:szCs w:val="24"/>
        </w:rPr>
        <w:t xml:space="preserve">ealth </w:t>
      </w:r>
      <w:r w:rsidR="005F1341">
        <w:rPr>
          <w:rFonts w:ascii="Arial" w:hAnsi="Arial" w:cs="Arial"/>
          <w:sz w:val="24"/>
          <w:szCs w:val="24"/>
        </w:rPr>
        <w:t>c</w:t>
      </w:r>
      <w:r w:rsidRPr="00AF42AC">
        <w:rPr>
          <w:rFonts w:ascii="Arial" w:hAnsi="Arial" w:cs="Arial"/>
          <w:sz w:val="24"/>
          <w:szCs w:val="24"/>
        </w:rPr>
        <w:t>are</w:t>
      </w:r>
      <w:r w:rsidR="00B57406" w:rsidRPr="00AF42AC">
        <w:rPr>
          <w:rFonts w:ascii="Arial" w:hAnsi="Arial" w:cs="Arial"/>
          <w:sz w:val="24"/>
          <w:szCs w:val="24"/>
        </w:rPr>
        <w:t>,</w:t>
      </w:r>
      <w:r w:rsidRPr="00AF42AC">
        <w:rPr>
          <w:rFonts w:ascii="Arial" w:hAnsi="Arial" w:cs="Arial"/>
          <w:sz w:val="24"/>
          <w:szCs w:val="24"/>
        </w:rPr>
        <w:t xml:space="preserve"> </w:t>
      </w:r>
      <w:r w:rsidR="000B4D24">
        <w:rPr>
          <w:rFonts w:ascii="Arial" w:hAnsi="Arial" w:cs="Arial"/>
          <w:sz w:val="24"/>
          <w:szCs w:val="24"/>
        </w:rPr>
        <w:t>needs assessment and service coordination (</w:t>
      </w:r>
      <w:r w:rsidRPr="00AF42AC">
        <w:rPr>
          <w:rFonts w:ascii="Arial" w:hAnsi="Arial" w:cs="Arial"/>
          <w:sz w:val="24"/>
          <w:szCs w:val="24"/>
        </w:rPr>
        <w:t>NASC</w:t>
      </w:r>
      <w:r w:rsidR="000B4D24">
        <w:rPr>
          <w:rFonts w:ascii="Arial" w:hAnsi="Arial" w:cs="Arial"/>
          <w:sz w:val="24"/>
          <w:szCs w:val="24"/>
        </w:rPr>
        <w:t>)</w:t>
      </w:r>
      <w:r w:rsidRPr="00AF42AC">
        <w:rPr>
          <w:rFonts w:ascii="Arial" w:hAnsi="Arial" w:cs="Arial"/>
          <w:sz w:val="24"/>
          <w:szCs w:val="24"/>
        </w:rPr>
        <w:t xml:space="preserve"> and </w:t>
      </w:r>
      <w:r w:rsidR="009C647E">
        <w:rPr>
          <w:rFonts w:ascii="Arial" w:hAnsi="Arial" w:cs="Arial"/>
          <w:sz w:val="24"/>
          <w:szCs w:val="24"/>
        </w:rPr>
        <w:t>district health board (</w:t>
      </w:r>
      <w:r w:rsidRPr="00AF42AC">
        <w:rPr>
          <w:rFonts w:ascii="Arial" w:hAnsi="Arial" w:cs="Arial"/>
          <w:sz w:val="24"/>
          <w:szCs w:val="24"/>
        </w:rPr>
        <w:t>DHB</w:t>
      </w:r>
      <w:r w:rsidR="009C647E">
        <w:rPr>
          <w:rFonts w:ascii="Arial" w:hAnsi="Arial" w:cs="Arial"/>
          <w:sz w:val="24"/>
          <w:szCs w:val="24"/>
        </w:rPr>
        <w:t>)</w:t>
      </w:r>
      <w:r w:rsidRPr="00AF42AC">
        <w:rPr>
          <w:rFonts w:ascii="Arial" w:hAnsi="Arial" w:cs="Arial"/>
          <w:sz w:val="24"/>
          <w:szCs w:val="24"/>
        </w:rPr>
        <w:t xml:space="preserve"> Health of Older People </w:t>
      </w:r>
      <w:r w:rsidR="005F1341">
        <w:rPr>
          <w:rFonts w:ascii="Arial" w:hAnsi="Arial" w:cs="Arial"/>
          <w:sz w:val="24"/>
          <w:szCs w:val="24"/>
        </w:rPr>
        <w:t>p</w:t>
      </w:r>
      <w:r w:rsidRPr="00AF42AC">
        <w:rPr>
          <w:rFonts w:ascii="Arial" w:hAnsi="Arial" w:cs="Arial"/>
          <w:sz w:val="24"/>
          <w:szCs w:val="24"/>
        </w:rPr>
        <w:t xml:space="preserve">ortfolio </w:t>
      </w:r>
      <w:r w:rsidR="005F1341">
        <w:rPr>
          <w:rFonts w:ascii="Arial" w:hAnsi="Arial" w:cs="Arial"/>
          <w:sz w:val="24"/>
          <w:szCs w:val="24"/>
        </w:rPr>
        <w:t>m</w:t>
      </w:r>
      <w:r w:rsidRPr="00AF42AC">
        <w:rPr>
          <w:rFonts w:ascii="Arial" w:hAnsi="Arial" w:cs="Arial"/>
          <w:sz w:val="24"/>
          <w:szCs w:val="24"/>
        </w:rPr>
        <w:t>anagers. These bodies will work within an integrated management framework</w:t>
      </w:r>
      <w:r w:rsidR="00B57406" w:rsidRPr="00AF42AC">
        <w:rPr>
          <w:rFonts w:ascii="Arial" w:hAnsi="Arial" w:cs="Arial"/>
          <w:sz w:val="24"/>
          <w:szCs w:val="24"/>
        </w:rPr>
        <w:t xml:space="preserve"> consisting of a</w:t>
      </w:r>
      <w:r w:rsidRPr="00AF42AC">
        <w:rPr>
          <w:rFonts w:ascii="Arial" w:hAnsi="Arial" w:cs="Arial"/>
          <w:sz w:val="24"/>
          <w:szCs w:val="24"/>
        </w:rPr>
        <w:t xml:space="preserve"> strategic</w:t>
      </w:r>
      <w:r w:rsidR="00B57406" w:rsidRPr="00AF42AC">
        <w:rPr>
          <w:rFonts w:ascii="Arial" w:hAnsi="Arial" w:cs="Arial"/>
          <w:sz w:val="24"/>
          <w:szCs w:val="24"/>
        </w:rPr>
        <w:t xml:space="preserve"> steering group</w:t>
      </w:r>
      <w:r w:rsidRPr="00AF42AC">
        <w:rPr>
          <w:rFonts w:ascii="Arial" w:hAnsi="Arial" w:cs="Arial"/>
          <w:sz w:val="24"/>
          <w:szCs w:val="24"/>
        </w:rPr>
        <w:t xml:space="preserve"> and </w:t>
      </w:r>
      <w:r w:rsidR="00B57406" w:rsidRPr="00AF42AC">
        <w:rPr>
          <w:rFonts w:ascii="Arial" w:hAnsi="Arial" w:cs="Arial"/>
          <w:sz w:val="24"/>
          <w:szCs w:val="24"/>
        </w:rPr>
        <w:t xml:space="preserve">an </w:t>
      </w:r>
      <w:r w:rsidRPr="00AF42AC">
        <w:rPr>
          <w:rFonts w:ascii="Arial" w:hAnsi="Arial" w:cs="Arial"/>
          <w:sz w:val="24"/>
          <w:szCs w:val="24"/>
        </w:rPr>
        <w:t>operational integrated management group established at the commencement of the contracted service period</w:t>
      </w:r>
      <w:r w:rsidR="00B57406" w:rsidRPr="00AF42AC">
        <w:rPr>
          <w:rFonts w:ascii="Arial" w:hAnsi="Arial" w:cs="Arial"/>
          <w:sz w:val="24"/>
          <w:szCs w:val="24"/>
        </w:rPr>
        <w:t xml:space="preserve"> and meet regularly</w:t>
      </w:r>
      <w:r w:rsidRPr="00AF42AC">
        <w:rPr>
          <w:rFonts w:ascii="Arial" w:hAnsi="Arial" w:cs="Arial"/>
          <w:sz w:val="24"/>
          <w:szCs w:val="24"/>
        </w:rPr>
        <w:t xml:space="preserve">. </w:t>
      </w:r>
    </w:p>
    <w:p w14:paraId="43E35F1A" w14:textId="7C58FCC0" w:rsidR="006954D3" w:rsidRPr="00AF42AC" w:rsidRDefault="006954D3" w:rsidP="00AF42AC">
      <w:pPr>
        <w:autoSpaceDE w:val="0"/>
        <w:autoSpaceDN w:val="0"/>
        <w:adjustRightInd w:val="0"/>
        <w:spacing w:before="120"/>
        <w:rPr>
          <w:rFonts w:ascii="Arial" w:eastAsiaTheme="minorHAnsi" w:hAnsi="Arial" w:cs="Arial"/>
          <w:sz w:val="24"/>
          <w:szCs w:val="24"/>
          <w:lang w:val="en-AU"/>
        </w:rPr>
      </w:pPr>
      <w:r w:rsidRPr="00AF42AC">
        <w:rPr>
          <w:rFonts w:ascii="Arial" w:hAnsi="Arial" w:cs="Arial"/>
          <w:sz w:val="24"/>
          <w:szCs w:val="24"/>
        </w:rPr>
        <w:t>The integrated management group</w:t>
      </w:r>
      <w:r w:rsidR="006D46E2" w:rsidRPr="00AF42AC">
        <w:rPr>
          <w:rFonts w:ascii="Arial" w:hAnsi="Arial" w:cs="Arial"/>
          <w:sz w:val="24"/>
          <w:szCs w:val="24"/>
        </w:rPr>
        <w:t>s</w:t>
      </w:r>
      <w:r w:rsidRPr="00AF42AC">
        <w:rPr>
          <w:rFonts w:ascii="Arial" w:hAnsi="Arial" w:cs="Arial"/>
          <w:sz w:val="24"/>
          <w:szCs w:val="24"/>
        </w:rPr>
        <w:t xml:space="preserve"> </w:t>
      </w:r>
      <w:r w:rsidR="006D46E2" w:rsidRPr="00AF42AC">
        <w:rPr>
          <w:rFonts w:ascii="Arial" w:hAnsi="Arial" w:cs="Arial"/>
          <w:sz w:val="24"/>
          <w:szCs w:val="24"/>
        </w:rPr>
        <w:t>are</w:t>
      </w:r>
      <w:r w:rsidRPr="00AF42AC">
        <w:rPr>
          <w:rFonts w:ascii="Arial" w:hAnsi="Arial" w:cs="Arial"/>
          <w:sz w:val="24"/>
          <w:szCs w:val="24"/>
        </w:rPr>
        <w:t xml:space="preserve"> responsible for ensuring integrated, coordinated and responsive HCSS service delivery with a focus on continuous improvements within a ‘best for person, best for system’ </w:t>
      </w:r>
      <w:r w:rsidR="00370125" w:rsidRPr="00AF42AC">
        <w:rPr>
          <w:rFonts w:ascii="Arial" w:hAnsi="Arial" w:cs="Arial"/>
          <w:sz w:val="24"/>
          <w:szCs w:val="24"/>
        </w:rPr>
        <w:t>framework.</w:t>
      </w:r>
      <w:r w:rsidRPr="00AF42AC">
        <w:rPr>
          <w:rFonts w:ascii="Arial" w:hAnsi="Arial" w:cs="Arial"/>
          <w:sz w:val="24"/>
          <w:szCs w:val="24"/>
        </w:rPr>
        <w:t xml:space="preserve"> The </w:t>
      </w:r>
      <w:r w:rsidR="0032323D" w:rsidRPr="00AF42AC">
        <w:rPr>
          <w:rFonts w:ascii="Arial" w:hAnsi="Arial" w:cs="Arial"/>
          <w:sz w:val="24"/>
          <w:szCs w:val="24"/>
        </w:rPr>
        <w:t xml:space="preserve">HCSS </w:t>
      </w:r>
      <w:r w:rsidR="005C65F4">
        <w:rPr>
          <w:rFonts w:ascii="Arial" w:hAnsi="Arial" w:cs="Arial"/>
          <w:sz w:val="24"/>
          <w:szCs w:val="24"/>
        </w:rPr>
        <w:t>Operations</w:t>
      </w:r>
      <w:r w:rsidR="0032323D" w:rsidRPr="00AF42AC">
        <w:rPr>
          <w:rFonts w:ascii="Arial" w:hAnsi="Arial" w:cs="Arial"/>
          <w:sz w:val="24"/>
          <w:szCs w:val="24"/>
        </w:rPr>
        <w:t xml:space="preserve"> Manual</w:t>
      </w:r>
      <w:r w:rsidRPr="00AF42AC">
        <w:rPr>
          <w:rFonts w:ascii="Arial" w:hAnsi="Arial" w:cs="Arial"/>
          <w:sz w:val="24"/>
          <w:szCs w:val="24"/>
        </w:rPr>
        <w:t xml:space="preserve"> has been developed to </w:t>
      </w:r>
      <w:r w:rsidR="00370125" w:rsidRPr="00AF42AC">
        <w:rPr>
          <w:rFonts w:ascii="Arial" w:hAnsi="Arial" w:cs="Arial"/>
          <w:sz w:val="24"/>
          <w:szCs w:val="24"/>
        </w:rPr>
        <w:t>support the</w:t>
      </w:r>
      <w:r w:rsidRPr="00AF42AC">
        <w:rPr>
          <w:rFonts w:ascii="Arial" w:hAnsi="Arial" w:cs="Arial"/>
          <w:sz w:val="24"/>
          <w:szCs w:val="24"/>
        </w:rPr>
        <w:t xml:space="preserve"> integrated management groups throughout implementation strategic direction </w:t>
      </w:r>
      <w:r w:rsidR="00370125" w:rsidRPr="00AF42AC">
        <w:rPr>
          <w:rFonts w:ascii="Arial" w:hAnsi="Arial" w:cs="Arial"/>
          <w:sz w:val="24"/>
          <w:szCs w:val="24"/>
        </w:rPr>
        <w:t>and operational</w:t>
      </w:r>
      <w:r w:rsidRPr="00AF42AC">
        <w:rPr>
          <w:rFonts w:ascii="Arial" w:hAnsi="Arial" w:cs="Arial"/>
          <w:sz w:val="24"/>
          <w:szCs w:val="24"/>
        </w:rPr>
        <w:t xml:space="preserve"> delivery of this service. </w:t>
      </w:r>
    </w:p>
    <w:p w14:paraId="04C438C6" w14:textId="77777777" w:rsidR="008A5777" w:rsidRPr="00AF42AC" w:rsidRDefault="004859A5" w:rsidP="00DC674C">
      <w:pPr>
        <w:pStyle w:val="Heading1"/>
      </w:pPr>
      <w:bookmarkStart w:id="13" w:name="_Toc43122830"/>
      <w:r w:rsidRPr="00AF42AC">
        <w:t>1</w:t>
      </w:r>
      <w:r w:rsidR="00970580" w:rsidRPr="00AF42AC">
        <w:tab/>
      </w:r>
      <w:bookmarkEnd w:id="11"/>
      <w:bookmarkEnd w:id="12"/>
      <w:r w:rsidR="00AD2CBC" w:rsidRPr="00AF42AC">
        <w:t>Key Documents</w:t>
      </w:r>
      <w:bookmarkEnd w:id="13"/>
    </w:p>
    <w:p w14:paraId="6A3C5E4F" w14:textId="42FB9D22" w:rsidR="00737CE9" w:rsidRDefault="00032BAD" w:rsidP="00A61E89">
      <w:pPr>
        <w:autoSpaceDE w:val="0"/>
        <w:autoSpaceDN w:val="0"/>
        <w:adjustRightInd w:val="0"/>
        <w:spacing w:after="120"/>
        <w:rPr>
          <w:rFonts w:ascii="Arial" w:hAnsi="Arial" w:cs="Arial"/>
          <w:sz w:val="24"/>
          <w:szCs w:val="24"/>
        </w:rPr>
      </w:pPr>
      <w:r w:rsidRPr="00AF42AC">
        <w:rPr>
          <w:rFonts w:ascii="Arial" w:hAnsi="Arial" w:cs="Arial"/>
          <w:sz w:val="24"/>
          <w:szCs w:val="24"/>
          <w:lang w:val="en-AU"/>
        </w:rPr>
        <w:t>The Tier Two HCSS service specification is supported by t</w:t>
      </w:r>
      <w:r w:rsidR="00A572E9" w:rsidRPr="00AF42AC">
        <w:rPr>
          <w:rFonts w:ascii="Arial" w:hAnsi="Arial" w:cs="Arial"/>
          <w:sz w:val="24"/>
          <w:szCs w:val="24"/>
        </w:rPr>
        <w:t xml:space="preserve">he National </w:t>
      </w:r>
      <w:r w:rsidR="00D529CC">
        <w:rPr>
          <w:rFonts w:ascii="Arial" w:hAnsi="Arial" w:cs="Arial"/>
          <w:sz w:val="24"/>
          <w:szCs w:val="24"/>
        </w:rPr>
        <w:t xml:space="preserve">Framework for </w:t>
      </w:r>
      <w:r w:rsidR="00A572E9" w:rsidRPr="00AF42AC">
        <w:rPr>
          <w:rFonts w:ascii="Arial" w:hAnsi="Arial" w:cs="Arial"/>
          <w:sz w:val="24"/>
          <w:szCs w:val="24"/>
        </w:rPr>
        <w:t>Home and Community Support Services</w:t>
      </w:r>
      <w:bookmarkStart w:id="14" w:name="_GoBack"/>
      <w:bookmarkEnd w:id="14"/>
      <w:r w:rsidR="00A572E9" w:rsidRPr="00AF42AC">
        <w:rPr>
          <w:rStyle w:val="FootnoteReference"/>
          <w:rFonts w:ascii="Arial" w:hAnsi="Arial" w:cs="Arial"/>
          <w:sz w:val="24"/>
          <w:szCs w:val="24"/>
        </w:rPr>
        <w:footnoteReference w:id="2"/>
      </w:r>
      <w:r w:rsidR="00A572E9" w:rsidRPr="00AF42AC">
        <w:rPr>
          <w:rFonts w:ascii="Arial" w:hAnsi="Arial" w:cs="Arial"/>
          <w:sz w:val="24"/>
          <w:szCs w:val="24"/>
        </w:rPr>
        <w:t xml:space="preserve"> </w:t>
      </w:r>
      <w:r w:rsidRPr="00AF42AC">
        <w:rPr>
          <w:rFonts w:ascii="Arial" w:hAnsi="Arial" w:cs="Arial"/>
          <w:sz w:val="24"/>
          <w:szCs w:val="24"/>
        </w:rPr>
        <w:t xml:space="preserve">that </w:t>
      </w:r>
      <w:r w:rsidR="00A572E9" w:rsidRPr="00AF42AC">
        <w:rPr>
          <w:rFonts w:ascii="Arial" w:hAnsi="Arial" w:cs="Arial"/>
          <w:sz w:val="24"/>
          <w:szCs w:val="24"/>
        </w:rPr>
        <w:t xml:space="preserve">provides the overarching guidance for publicly funded </w:t>
      </w:r>
      <w:r w:rsidR="00416D06" w:rsidRPr="00AF42AC">
        <w:rPr>
          <w:rFonts w:ascii="Arial" w:hAnsi="Arial" w:cs="Arial"/>
          <w:sz w:val="24"/>
          <w:szCs w:val="24"/>
        </w:rPr>
        <w:t>home and community support services</w:t>
      </w:r>
      <w:r w:rsidR="00A572E9" w:rsidRPr="00AF42AC">
        <w:rPr>
          <w:rFonts w:ascii="Arial" w:hAnsi="Arial" w:cs="Arial"/>
          <w:sz w:val="24"/>
          <w:szCs w:val="24"/>
        </w:rPr>
        <w:t xml:space="preserve"> to ensure national consistency of </w:t>
      </w:r>
      <w:r w:rsidR="00B57406" w:rsidRPr="00AF42AC">
        <w:rPr>
          <w:rFonts w:ascii="Arial" w:hAnsi="Arial" w:cs="Arial"/>
          <w:sz w:val="24"/>
          <w:szCs w:val="24"/>
        </w:rPr>
        <w:t xml:space="preserve">the </w:t>
      </w:r>
      <w:r w:rsidR="00A572E9" w:rsidRPr="00AF42AC">
        <w:rPr>
          <w:rFonts w:ascii="Arial" w:hAnsi="Arial" w:cs="Arial"/>
          <w:sz w:val="24"/>
          <w:szCs w:val="24"/>
        </w:rPr>
        <w:t>commissioning</w:t>
      </w:r>
      <w:r w:rsidR="00416D06" w:rsidRPr="00AF42AC">
        <w:rPr>
          <w:rFonts w:ascii="Arial" w:hAnsi="Arial" w:cs="Arial"/>
          <w:sz w:val="24"/>
          <w:szCs w:val="24"/>
        </w:rPr>
        <w:t>,</w:t>
      </w:r>
      <w:r w:rsidR="00A572E9" w:rsidRPr="00AF42AC">
        <w:rPr>
          <w:rFonts w:ascii="Arial" w:hAnsi="Arial" w:cs="Arial"/>
          <w:sz w:val="24"/>
          <w:szCs w:val="24"/>
        </w:rPr>
        <w:t xml:space="preserve"> </w:t>
      </w:r>
      <w:r w:rsidR="008A5777" w:rsidRPr="00AF42AC">
        <w:rPr>
          <w:rFonts w:ascii="Arial" w:hAnsi="Arial" w:cs="Arial"/>
          <w:sz w:val="24"/>
          <w:szCs w:val="24"/>
        </w:rPr>
        <w:t>delivery</w:t>
      </w:r>
      <w:r w:rsidR="00416D06" w:rsidRPr="00AF42AC">
        <w:rPr>
          <w:rFonts w:ascii="Arial" w:hAnsi="Arial" w:cs="Arial"/>
          <w:sz w:val="24"/>
          <w:szCs w:val="24"/>
        </w:rPr>
        <w:t xml:space="preserve"> and evaluation</w:t>
      </w:r>
      <w:r w:rsidR="008A5777" w:rsidRPr="00AF42AC">
        <w:rPr>
          <w:rFonts w:ascii="Arial" w:hAnsi="Arial" w:cs="Arial"/>
          <w:sz w:val="24"/>
          <w:szCs w:val="24"/>
        </w:rPr>
        <w:t xml:space="preserve">. </w:t>
      </w:r>
    </w:p>
    <w:p w14:paraId="76C2AC9D" w14:textId="6A6181D8" w:rsidR="00032BAD" w:rsidRPr="00AF42AC" w:rsidRDefault="00032BAD" w:rsidP="00A61E89">
      <w:pPr>
        <w:autoSpaceDE w:val="0"/>
        <w:autoSpaceDN w:val="0"/>
        <w:adjustRightInd w:val="0"/>
        <w:spacing w:after="120"/>
        <w:rPr>
          <w:rFonts w:ascii="Arial" w:hAnsi="Arial" w:cs="Arial"/>
          <w:sz w:val="24"/>
          <w:szCs w:val="24"/>
        </w:rPr>
      </w:pPr>
      <w:r w:rsidRPr="00AF42AC">
        <w:rPr>
          <w:rFonts w:ascii="Arial" w:hAnsi="Arial" w:cs="Arial"/>
          <w:sz w:val="24"/>
          <w:szCs w:val="24"/>
        </w:rPr>
        <w:t>The s</w:t>
      </w:r>
      <w:r w:rsidR="00633FF7" w:rsidRPr="00AF42AC">
        <w:rPr>
          <w:rFonts w:ascii="Arial" w:hAnsi="Arial" w:cs="Arial"/>
          <w:sz w:val="24"/>
          <w:szCs w:val="24"/>
        </w:rPr>
        <w:t xml:space="preserve">trategic links for HCSS are </w:t>
      </w:r>
      <w:r w:rsidR="0058478B" w:rsidRPr="00AF42AC">
        <w:rPr>
          <w:rFonts w:ascii="Arial" w:hAnsi="Arial" w:cs="Arial"/>
          <w:sz w:val="24"/>
          <w:szCs w:val="24"/>
        </w:rPr>
        <w:t>New Zealand Health Strategy</w:t>
      </w:r>
      <w:r w:rsidR="004C1E3F">
        <w:rPr>
          <w:rStyle w:val="FootnoteReference"/>
          <w:rFonts w:ascii="Arial" w:hAnsi="Arial" w:cs="Arial"/>
          <w:sz w:val="24"/>
          <w:szCs w:val="24"/>
        </w:rPr>
        <w:footnoteReference w:id="3"/>
      </w:r>
      <w:r w:rsidR="0058478B" w:rsidRPr="00AF42AC">
        <w:rPr>
          <w:rFonts w:ascii="Arial" w:hAnsi="Arial" w:cs="Arial"/>
          <w:sz w:val="24"/>
          <w:szCs w:val="24"/>
        </w:rPr>
        <w:t>, the Healthy Ageing Strategy</w:t>
      </w:r>
      <w:r w:rsidR="008C3659">
        <w:rPr>
          <w:rStyle w:val="FootnoteReference"/>
          <w:rFonts w:ascii="Arial" w:hAnsi="Arial" w:cs="Arial"/>
          <w:sz w:val="24"/>
          <w:szCs w:val="24"/>
        </w:rPr>
        <w:footnoteReference w:id="4"/>
      </w:r>
      <w:r w:rsidR="003D6DD7">
        <w:rPr>
          <w:rFonts w:ascii="Arial" w:hAnsi="Arial" w:cs="Arial"/>
          <w:sz w:val="24"/>
          <w:szCs w:val="24"/>
        </w:rPr>
        <w:t>,</w:t>
      </w:r>
      <w:r w:rsidR="00667D8B" w:rsidRPr="00AF42AC">
        <w:rPr>
          <w:rFonts w:ascii="Arial" w:hAnsi="Arial" w:cs="Arial"/>
          <w:sz w:val="24"/>
          <w:szCs w:val="24"/>
        </w:rPr>
        <w:t xml:space="preserve"> </w:t>
      </w:r>
      <w:r w:rsidR="0058478B" w:rsidRPr="00AF42AC">
        <w:rPr>
          <w:rFonts w:ascii="Arial" w:hAnsi="Arial" w:cs="Arial"/>
          <w:sz w:val="24"/>
          <w:szCs w:val="24"/>
        </w:rPr>
        <w:t xml:space="preserve">He Korowai </w:t>
      </w:r>
      <w:proofErr w:type="spellStart"/>
      <w:r w:rsidR="0058478B" w:rsidRPr="00AF42AC">
        <w:rPr>
          <w:rFonts w:ascii="Arial" w:hAnsi="Arial" w:cs="Arial"/>
          <w:sz w:val="24"/>
          <w:szCs w:val="24"/>
        </w:rPr>
        <w:t>Oranga</w:t>
      </w:r>
      <w:proofErr w:type="spellEnd"/>
      <w:r w:rsidR="0058478B" w:rsidRPr="00AF42AC">
        <w:rPr>
          <w:rFonts w:ascii="Arial" w:hAnsi="Arial" w:cs="Arial"/>
          <w:sz w:val="24"/>
          <w:szCs w:val="24"/>
        </w:rPr>
        <w:t xml:space="preserve"> Māori Health Strategy</w:t>
      </w:r>
      <w:r w:rsidR="001E206B">
        <w:rPr>
          <w:rStyle w:val="FootnoteReference"/>
          <w:rFonts w:ascii="Arial" w:hAnsi="Arial" w:cs="Arial"/>
          <w:sz w:val="24"/>
          <w:szCs w:val="24"/>
        </w:rPr>
        <w:footnoteReference w:id="5"/>
      </w:r>
      <w:r w:rsidR="005170F5" w:rsidRPr="00AF42AC">
        <w:rPr>
          <w:rFonts w:ascii="Arial" w:hAnsi="Arial" w:cs="Arial"/>
          <w:sz w:val="24"/>
          <w:szCs w:val="24"/>
        </w:rPr>
        <w:t>,</w:t>
      </w:r>
      <w:r w:rsidR="00667D8B" w:rsidRPr="00AF42AC">
        <w:rPr>
          <w:rFonts w:ascii="Arial" w:hAnsi="Arial" w:cs="Arial"/>
          <w:sz w:val="24"/>
          <w:szCs w:val="24"/>
        </w:rPr>
        <w:t xml:space="preserve"> the </w:t>
      </w:r>
      <w:r w:rsidR="005C3849">
        <w:rPr>
          <w:rFonts w:ascii="Arial" w:hAnsi="Arial" w:cs="Arial"/>
          <w:sz w:val="24"/>
          <w:szCs w:val="24"/>
        </w:rPr>
        <w:t xml:space="preserve">New Zealand Framework for </w:t>
      </w:r>
      <w:r w:rsidR="00667D8B" w:rsidRPr="00AF42AC">
        <w:rPr>
          <w:rFonts w:ascii="Arial" w:hAnsi="Arial" w:cs="Arial"/>
          <w:sz w:val="24"/>
          <w:szCs w:val="24"/>
        </w:rPr>
        <w:lastRenderedPageBreak/>
        <w:t>Dementia</w:t>
      </w:r>
      <w:r w:rsidR="005C3849">
        <w:rPr>
          <w:rFonts w:ascii="Arial" w:hAnsi="Arial" w:cs="Arial"/>
          <w:sz w:val="24"/>
          <w:szCs w:val="24"/>
        </w:rPr>
        <w:t xml:space="preserve"> Care</w:t>
      </w:r>
      <w:r w:rsidR="005C3849">
        <w:rPr>
          <w:rStyle w:val="FootnoteReference"/>
          <w:rFonts w:ascii="Arial" w:hAnsi="Arial" w:cs="Arial"/>
          <w:sz w:val="24"/>
          <w:szCs w:val="24"/>
        </w:rPr>
        <w:footnoteReference w:id="6"/>
      </w:r>
      <w:r w:rsidR="004D6512" w:rsidRPr="00AF42AC">
        <w:rPr>
          <w:rFonts w:ascii="Arial" w:hAnsi="Arial" w:cs="Arial"/>
          <w:sz w:val="24"/>
          <w:szCs w:val="24"/>
        </w:rPr>
        <w:t>, the New Zealand Carers’ Strategy</w:t>
      </w:r>
      <w:r w:rsidR="00E1186D">
        <w:rPr>
          <w:rStyle w:val="FootnoteReference"/>
          <w:rFonts w:ascii="Arial" w:hAnsi="Arial" w:cs="Arial"/>
          <w:sz w:val="24"/>
          <w:szCs w:val="24"/>
        </w:rPr>
        <w:footnoteReference w:id="7"/>
      </w:r>
      <w:r w:rsidR="00667D8B" w:rsidRPr="00AF42AC">
        <w:rPr>
          <w:rFonts w:ascii="Arial" w:hAnsi="Arial" w:cs="Arial"/>
          <w:sz w:val="24"/>
          <w:szCs w:val="24"/>
        </w:rPr>
        <w:t xml:space="preserve"> and </w:t>
      </w:r>
      <w:proofErr w:type="spellStart"/>
      <w:r w:rsidR="00667D8B" w:rsidRPr="00AF42AC">
        <w:rPr>
          <w:rFonts w:ascii="Arial" w:hAnsi="Arial" w:cs="Arial"/>
          <w:sz w:val="24"/>
          <w:szCs w:val="24"/>
        </w:rPr>
        <w:t>Te</w:t>
      </w:r>
      <w:proofErr w:type="spellEnd"/>
      <w:r w:rsidR="00667D8B" w:rsidRPr="00AF42AC">
        <w:rPr>
          <w:rFonts w:ascii="Arial" w:hAnsi="Arial" w:cs="Arial"/>
          <w:sz w:val="24"/>
          <w:szCs w:val="24"/>
        </w:rPr>
        <w:t xml:space="preserve"> Ara </w:t>
      </w:r>
      <w:proofErr w:type="spellStart"/>
      <w:r w:rsidR="00667D8B" w:rsidRPr="00AF42AC">
        <w:rPr>
          <w:rFonts w:ascii="Arial" w:hAnsi="Arial" w:cs="Arial"/>
          <w:sz w:val="24"/>
          <w:szCs w:val="24"/>
        </w:rPr>
        <w:t>Whakapiri</w:t>
      </w:r>
      <w:proofErr w:type="spellEnd"/>
      <w:r w:rsidR="000D0001">
        <w:rPr>
          <w:rStyle w:val="FootnoteReference"/>
          <w:rFonts w:ascii="Arial" w:hAnsi="Arial" w:cs="Arial"/>
          <w:sz w:val="24"/>
          <w:szCs w:val="24"/>
        </w:rPr>
        <w:footnoteReference w:id="8"/>
      </w:r>
      <w:r w:rsidR="00C1413B">
        <w:rPr>
          <w:rFonts w:ascii="Arial" w:hAnsi="Arial" w:cs="Arial"/>
          <w:sz w:val="24"/>
          <w:szCs w:val="24"/>
        </w:rPr>
        <w:t xml:space="preserve"> and </w:t>
      </w:r>
      <w:r w:rsidR="008C090D">
        <w:rPr>
          <w:rFonts w:ascii="Arial" w:hAnsi="Arial" w:cs="Arial"/>
          <w:sz w:val="24"/>
          <w:szCs w:val="24"/>
        </w:rPr>
        <w:t>t</w:t>
      </w:r>
      <w:r w:rsidR="00C1413B" w:rsidRPr="00C1413B">
        <w:rPr>
          <w:rFonts w:ascii="Arial" w:hAnsi="Arial" w:cs="Arial"/>
          <w:sz w:val="24"/>
          <w:szCs w:val="24"/>
        </w:rPr>
        <w:t>he New Zealand Disability Strategy.</w:t>
      </w:r>
      <w:r w:rsidR="00AD2CBC" w:rsidRPr="00AF42AC">
        <w:rPr>
          <w:rFonts w:ascii="Arial" w:hAnsi="Arial" w:cs="Arial"/>
          <w:sz w:val="24"/>
          <w:szCs w:val="24"/>
        </w:rPr>
        <w:t xml:space="preserve"> </w:t>
      </w:r>
    </w:p>
    <w:p w14:paraId="2564F514" w14:textId="77777777" w:rsidR="00633FF7" w:rsidRPr="00AF42AC" w:rsidRDefault="00B57406">
      <w:pPr>
        <w:autoSpaceDE w:val="0"/>
        <w:autoSpaceDN w:val="0"/>
        <w:adjustRightInd w:val="0"/>
        <w:rPr>
          <w:rFonts w:ascii="Arial" w:hAnsi="Arial" w:cs="Arial"/>
          <w:sz w:val="24"/>
          <w:szCs w:val="24"/>
        </w:rPr>
      </w:pPr>
      <w:r w:rsidRPr="00AF42AC">
        <w:rPr>
          <w:rFonts w:ascii="Arial" w:hAnsi="Arial" w:cs="Arial"/>
          <w:sz w:val="24"/>
          <w:szCs w:val="24"/>
          <w:lang w:val="en-AU"/>
        </w:rPr>
        <w:t>HCSS</w:t>
      </w:r>
      <w:r w:rsidR="00032BAD" w:rsidRPr="00AF42AC">
        <w:rPr>
          <w:rFonts w:ascii="Arial" w:hAnsi="Arial" w:cs="Arial"/>
          <w:sz w:val="24"/>
          <w:szCs w:val="24"/>
          <w:lang w:val="en-AU"/>
        </w:rPr>
        <w:t xml:space="preserve"> </w:t>
      </w:r>
      <w:r w:rsidR="00633FF7" w:rsidRPr="00AF42AC">
        <w:rPr>
          <w:rFonts w:ascii="Arial" w:hAnsi="Arial" w:cs="Arial"/>
          <w:sz w:val="24"/>
          <w:szCs w:val="24"/>
        </w:rPr>
        <w:t>are a key component of achieving the long-term vision of the Healthy Aging Strategy by supporting older people to live well, age well and have a respectful end of life in age-friendly communities</w:t>
      </w:r>
      <w:r w:rsidR="00A34AF8" w:rsidRPr="00AF42AC">
        <w:rPr>
          <w:rFonts w:ascii="Arial" w:hAnsi="Arial" w:cs="Arial"/>
          <w:sz w:val="24"/>
          <w:szCs w:val="24"/>
        </w:rPr>
        <w:t>.</w:t>
      </w:r>
      <w:r w:rsidR="00633FF7" w:rsidRPr="00AF42AC">
        <w:rPr>
          <w:rFonts w:ascii="Arial" w:hAnsi="Arial" w:cs="Arial"/>
          <w:sz w:val="24"/>
          <w:szCs w:val="24"/>
        </w:rPr>
        <w:t xml:space="preserve"> </w:t>
      </w:r>
    </w:p>
    <w:p w14:paraId="2D1AC56D" w14:textId="77777777" w:rsidR="00753422" w:rsidRPr="00AF42AC" w:rsidRDefault="004859A5" w:rsidP="00DC674C">
      <w:pPr>
        <w:pStyle w:val="Heading1"/>
      </w:pPr>
      <w:bookmarkStart w:id="15" w:name="_Toc43122831"/>
      <w:bookmarkStart w:id="16" w:name="_Hlk23411572"/>
      <w:r w:rsidRPr="00AF42AC">
        <w:t>2</w:t>
      </w:r>
      <w:r w:rsidR="00970580" w:rsidRPr="00AF42AC">
        <w:tab/>
      </w:r>
      <w:r w:rsidR="00753422" w:rsidRPr="00AF42AC">
        <w:t>Service Users</w:t>
      </w:r>
      <w:bookmarkEnd w:id="15"/>
    </w:p>
    <w:p w14:paraId="7714B32C" w14:textId="77777777" w:rsidR="00AD2CBC" w:rsidRPr="00AF42AC" w:rsidRDefault="00AD2CBC" w:rsidP="00F168AC">
      <w:pPr>
        <w:spacing w:after="120"/>
        <w:rPr>
          <w:rFonts w:ascii="Arial" w:hAnsi="Arial" w:cs="Arial"/>
          <w:sz w:val="24"/>
          <w:szCs w:val="24"/>
          <w:lang w:val="en-AU"/>
        </w:rPr>
      </w:pPr>
      <w:r w:rsidRPr="00AF42AC">
        <w:rPr>
          <w:rFonts w:ascii="Arial" w:hAnsi="Arial" w:cs="Arial"/>
          <w:sz w:val="24"/>
          <w:szCs w:val="24"/>
          <w:lang w:val="en-AU"/>
        </w:rPr>
        <w:t>Service Users are defined as clients for the purposes of this service specification.</w:t>
      </w:r>
    </w:p>
    <w:p w14:paraId="702A913F" w14:textId="77777777" w:rsidR="00753422" w:rsidRPr="00AF42AC" w:rsidRDefault="00214C44" w:rsidP="00874DFB">
      <w:pPr>
        <w:shd w:val="clear" w:color="auto" w:fill="FFFFFF" w:themeFill="background1"/>
        <w:rPr>
          <w:rFonts w:ascii="Arial" w:hAnsi="Arial" w:cs="Arial"/>
          <w:sz w:val="24"/>
          <w:szCs w:val="24"/>
        </w:rPr>
      </w:pPr>
      <w:r w:rsidRPr="00AF42AC">
        <w:rPr>
          <w:rFonts w:ascii="Arial" w:hAnsi="Arial" w:cs="Arial"/>
          <w:sz w:val="24"/>
          <w:szCs w:val="24"/>
          <w:lang w:val="en-AU"/>
        </w:rPr>
        <w:t xml:space="preserve">Most </w:t>
      </w:r>
      <w:r w:rsidR="00AD2CBC" w:rsidRPr="00AF42AC">
        <w:rPr>
          <w:rFonts w:ascii="Arial" w:hAnsi="Arial" w:cs="Arial"/>
          <w:sz w:val="24"/>
          <w:szCs w:val="24"/>
          <w:lang w:val="en-AU"/>
        </w:rPr>
        <w:t>clients</w:t>
      </w:r>
      <w:r w:rsidR="009C61EB" w:rsidRPr="00AF42AC">
        <w:rPr>
          <w:rFonts w:ascii="Arial" w:hAnsi="Arial" w:cs="Arial"/>
          <w:sz w:val="24"/>
          <w:szCs w:val="24"/>
          <w:lang w:val="en-AU"/>
        </w:rPr>
        <w:t xml:space="preserve"> </w:t>
      </w:r>
      <w:r w:rsidRPr="00AF42AC">
        <w:rPr>
          <w:rFonts w:ascii="Arial" w:hAnsi="Arial" w:cs="Arial"/>
          <w:sz w:val="24"/>
          <w:szCs w:val="24"/>
          <w:lang w:val="en-AU"/>
        </w:rPr>
        <w:t xml:space="preserve">will be over 65 or aged </w:t>
      </w:r>
      <w:bookmarkStart w:id="17" w:name="_Hlk22566615"/>
      <w:r w:rsidRPr="00AF42AC">
        <w:rPr>
          <w:rFonts w:ascii="Arial" w:hAnsi="Arial" w:cs="Arial"/>
          <w:sz w:val="24"/>
          <w:szCs w:val="24"/>
          <w:lang w:val="en-AU"/>
        </w:rPr>
        <w:t>50 to 64 years with age related needs</w:t>
      </w:r>
      <w:bookmarkEnd w:id="17"/>
      <w:r w:rsidRPr="00AF42AC">
        <w:rPr>
          <w:rFonts w:ascii="Arial" w:hAnsi="Arial" w:cs="Arial"/>
          <w:sz w:val="24"/>
          <w:szCs w:val="24"/>
          <w:lang w:val="en-AU"/>
        </w:rPr>
        <w:t xml:space="preserve">. </w:t>
      </w:r>
      <w:r w:rsidR="00AD2CBC" w:rsidRPr="00AF42AC">
        <w:rPr>
          <w:rFonts w:ascii="Arial" w:hAnsi="Arial" w:cs="Arial"/>
          <w:sz w:val="24"/>
          <w:szCs w:val="24"/>
        </w:rPr>
        <w:t>Clients</w:t>
      </w:r>
      <w:r w:rsidR="00962A3B" w:rsidRPr="00AF42AC">
        <w:rPr>
          <w:rFonts w:ascii="Arial" w:hAnsi="Arial" w:cs="Arial"/>
          <w:sz w:val="24"/>
          <w:szCs w:val="24"/>
        </w:rPr>
        <w:t xml:space="preserve"> </w:t>
      </w:r>
      <w:proofErr w:type="gramStart"/>
      <w:r w:rsidR="00962A3B" w:rsidRPr="00AF42AC">
        <w:rPr>
          <w:rFonts w:ascii="Arial" w:hAnsi="Arial" w:cs="Arial"/>
          <w:sz w:val="24"/>
          <w:szCs w:val="24"/>
        </w:rPr>
        <w:t>are people who are</w:t>
      </w:r>
      <w:proofErr w:type="gramEnd"/>
      <w:r w:rsidR="00753422" w:rsidRPr="00AF42AC">
        <w:rPr>
          <w:rFonts w:ascii="Arial" w:hAnsi="Arial" w:cs="Arial"/>
          <w:sz w:val="24"/>
          <w:szCs w:val="24"/>
        </w:rPr>
        <w:t xml:space="preserve"> eligible for long term </w:t>
      </w:r>
      <w:r w:rsidR="00B265DA" w:rsidRPr="00AF42AC">
        <w:rPr>
          <w:rFonts w:ascii="Arial" w:hAnsi="Arial" w:cs="Arial"/>
          <w:sz w:val="24"/>
          <w:szCs w:val="24"/>
        </w:rPr>
        <w:t>publicly funded healthcare</w:t>
      </w:r>
      <w:r w:rsidR="007268CF" w:rsidRPr="00AF42AC">
        <w:rPr>
          <w:rFonts w:ascii="Arial" w:hAnsi="Arial" w:cs="Arial"/>
          <w:sz w:val="24"/>
          <w:szCs w:val="24"/>
        </w:rPr>
        <w:t xml:space="preserve"> and</w:t>
      </w:r>
      <w:r w:rsidR="00753422" w:rsidRPr="00AF42AC">
        <w:rPr>
          <w:rFonts w:ascii="Arial" w:hAnsi="Arial" w:cs="Arial"/>
          <w:sz w:val="24"/>
          <w:szCs w:val="24"/>
        </w:rPr>
        <w:t xml:space="preserve"> </w:t>
      </w:r>
      <w:r w:rsidR="00962A3B" w:rsidRPr="00AF42AC">
        <w:rPr>
          <w:rFonts w:ascii="Arial" w:hAnsi="Arial" w:cs="Arial"/>
          <w:sz w:val="24"/>
          <w:szCs w:val="24"/>
        </w:rPr>
        <w:t xml:space="preserve">that </w:t>
      </w:r>
      <w:r w:rsidR="007268CF" w:rsidRPr="00AF42AC">
        <w:rPr>
          <w:rFonts w:ascii="Arial" w:hAnsi="Arial" w:cs="Arial"/>
          <w:sz w:val="24"/>
          <w:szCs w:val="24"/>
        </w:rPr>
        <w:t>have been</w:t>
      </w:r>
      <w:r w:rsidR="00753422" w:rsidRPr="00AF42AC">
        <w:rPr>
          <w:rFonts w:ascii="Arial" w:hAnsi="Arial" w:cs="Arial"/>
          <w:sz w:val="24"/>
          <w:szCs w:val="24"/>
        </w:rPr>
        <w:t xml:space="preserve"> assessed using an appropriate </w:t>
      </w:r>
      <w:proofErr w:type="spellStart"/>
      <w:r w:rsidR="00753422" w:rsidRPr="00AF42AC">
        <w:rPr>
          <w:rFonts w:ascii="Arial" w:hAnsi="Arial" w:cs="Arial"/>
          <w:sz w:val="24"/>
          <w:szCs w:val="24"/>
        </w:rPr>
        <w:t>interRAI</w:t>
      </w:r>
      <w:proofErr w:type="spellEnd"/>
      <w:r w:rsidR="00753422" w:rsidRPr="00AF42AC">
        <w:rPr>
          <w:rFonts w:ascii="Arial" w:hAnsi="Arial" w:cs="Arial"/>
          <w:sz w:val="24"/>
          <w:szCs w:val="24"/>
        </w:rPr>
        <w:t xml:space="preserve"> assessment tool</w:t>
      </w:r>
      <w:r w:rsidR="00962A3B" w:rsidRPr="00AF42AC">
        <w:rPr>
          <w:rFonts w:ascii="Arial" w:hAnsi="Arial" w:cs="Arial"/>
          <w:sz w:val="24"/>
          <w:szCs w:val="24"/>
        </w:rPr>
        <w:t xml:space="preserve"> and:</w:t>
      </w:r>
      <w:r w:rsidR="00B265DA" w:rsidRPr="00AF42AC">
        <w:rPr>
          <w:rFonts w:ascii="Arial" w:hAnsi="Arial" w:cs="Arial"/>
          <w:sz w:val="24"/>
          <w:szCs w:val="24"/>
        </w:rPr>
        <w:t xml:space="preserve"> </w:t>
      </w:r>
    </w:p>
    <w:p w14:paraId="2C131E3E" w14:textId="77777777" w:rsidR="00753422" w:rsidRPr="00AF42AC" w:rsidRDefault="00962A3B" w:rsidP="00B37719">
      <w:pPr>
        <w:pStyle w:val="ListParagraph"/>
        <w:numPr>
          <w:ilvl w:val="0"/>
          <w:numId w:val="33"/>
        </w:numPr>
        <w:shd w:val="clear" w:color="auto" w:fill="FFFFFF" w:themeFill="background1"/>
        <w:spacing w:before="120" w:after="0" w:line="252" w:lineRule="auto"/>
        <w:contextualSpacing w:val="0"/>
        <w:jc w:val="both"/>
        <w:rPr>
          <w:rFonts w:ascii="Arial" w:hAnsi="Arial" w:cs="Arial"/>
          <w:sz w:val="24"/>
          <w:szCs w:val="24"/>
        </w:rPr>
      </w:pPr>
      <w:r w:rsidRPr="00AF42AC">
        <w:rPr>
          <w:rFonts w:ascii="Arial" w:hAnsi="Arial" w:cs="Arial"/>
          <w:sz w:val="24"/>
          <w:szCs w:val="24"/>
        </w:rPr>
        <w:t xml:space="preserve">have </w:t>
      </w:r>
      <w:r w:rsidR="00753422" w:rsidRPr="00AF42AC">
        <w:rPr>
          <w:rFonts w:ascii="Arial" w:hAnsi="Arial" w:cs="Arial"/>
          <w:sz w:val="24"/>
          <w:szCs w:val="24"/>
        </w:rPr>
        <w:t xml:space="preserve">support needs because of an age-related condition aged over 65 years </w:t>
      </w:r>
    </w:p>
    <w:p w14:paraId="747BE9D7" w14:textId="77777777" w:rsidR="00A318B9" w:rsidRPr="00AF42AC" w:rsidRDefault="00962A3B" w:rsidP="00B37719">
      <w:pPr>
        <w:pStyle w:val="ListParagraph"/>
        <w:numPr>
          <w:ilvl w:val="0"/>
          <w:numId w:val="33"/>
        </w:numPr>
        <w:shd w:val="clear" w:color="auto" w:fill="FFFFFF" w:themeFill="background1"/>
        <w:spacing w:before="120" w:after="0" w:line="252" w:lineRule="auto"/>
        <w:contextualSpacing w:val="0"/>
        <w:jc w:val="both"/>
        <w:rPr>
          <w:rFonts w:ascii="Arial" w:hAnsi="Arial" w:cs="Arial"/>
          <w:sz w:val="24"/>
          <w:szCs w:val="24"/>
        </w:rPr>
      </w:pPr>
      <w:r w:rsidRPr="00AF42AC">
        <w:rPr>
          <w:rFonts w:ascii="Arial" w:hAnsi="Arial" w:cs="Arial"/>
          <w:sz w:val="24"/>
          <w:szCs w:val="24"/>
        </w:rPr>
        <w:t xml:space="preserve">are aged 50 to 64 years, </w:t>
      </w:r>
      <w:r w:rsidR="00753422" w:rsidRPr="00AF42AC">
        <w:rPr>
          <w:rFonts w:ascii="Arial" w:hAnsi="Arial" w:cs="Arial"/>
          <w:sz w:val="24"/>
          <w:szCs w:val="24"/>
        </w:rPr>
        <w:t>and like in age and interest</w:t>
      </w:r>
    </w:p>
    <w:p w14:paraId="50C6DB95" w14:textId="77777777" w:rsidR="00FD268A" w:rsidRPr="00AF42AC" w:rsidRDefault="00B57406" w:rsidP="00B37719">
      <w:pPr>
        <w:pStyle w:val="ListParagraph"/>
        <w:numPr>
          <w:ilvl w:val="0"/>
          <w:numId w:val="33"/>
        </w:numPr>
        <w:shd w:val="clear" w:color="auto" w:fill="FFFFFF" w:themeFill="background1"/>
        <w:spacing w:before="120" w:after="0" w:line="252" w:lineRule="auto"/>
        <w:contextualSpacing w:val="0"/>
        <w:jc w:val="both"/>
        <w:rPr>
          <w:rFonts w:ascii="Arial" w:hAnsi="Arial" w:cs="Arial"/>
          <w:sz w:val="24"/>
          <w:szCs w:val="24"/>
        </w:rPr>
      </w:pPr>
      <w:r w:rsidRPr="00AF42AC">
        <w:rPr>
          <w:rFonts w:ascii="Arial" w:hAnsi="Arial" w:cs="Arial"/>
          <w:sz w:val="24"/>
          <w:szCs w:val="24"/>
        </w:rPr>
        <w:t xml:space="preserve">are </w:t>
      </w:r>
      <w:r w:rsidR="001B547A" w:rsidRPr="00AF42AC">
        <w:rPr>
          <w:rFonts w:ascii="Arial" w:hAnsi="Arial" w:cs="Arial"/>
          <w:sz w:val="24"/>
          <w:szCs w:val="24"/>
        </w:rPr>
        <w:t xml:space="preserve">people </w:t>
      </w:r>
      <w:r w:rsidR="00753422" w:rsidRPr="00AF42AC">
        <w:rPr>
          <w:rFonts w:ascii="Arial" w:hAnsi="Arial" w:cs="Arial"/>
          <w:sz w:val="24"/>
          <w:szCs w:val="24"/>
        </w:rPr>
        <w:t xml:space="preserve">receiving services for </w:t>
      </w:r>
      <w:r w:rsidR="00F315E7" w:rsidRPr="00AF42AC">
        <w:rPr>
          <w:rFonts w:ascii="Arial" w:hAnsi="Arial" w:cs="Arial"/>
          <w:sz w:val="24"/>
          <w:szCs w:val="24"/>
        </w:rPr>
        <w:t xml:space="preserve">ACC funded </w:t>
      </w:r>
      <w:r w:rsidR="00B265DA" w:rsidRPr="00AF42AC">
        <w:rPr>
          <w:rFonts w:ascii="Arial" w:hAnsi="Arial" w:cs="Arial"/>
          <w:sz w:val="24"/>
          <w:szCs w:val="24"/>
        </w:rPr>
        <w:t xml:space="preserve">short term </w:t>
      </w:r>
      <w:r w:rsidR="00F315E7" w:rsidRPr="00AF42AC">
        <w:rPr>
          <w:rFonts w:ascii="Arial" w:hAnsi="Arial" w:cs="Arial"/>
          <w:sz w:val="24"/>
          <w:szCs w:val="24"/>
        </w:rPr>
        <w:t xml:space="preserve">services </w:t>
      </w:r>
      <w:r w:rsidR="00753422" w:rsidRPr="00AF42AC">
        <w:rPr>
          <w:rFonts w:ascii="Arial" w:hAnsi="Arial" w:cs="Arial"/>
          <w:sz w:val="24"/>
          <w:szCs w:val="24"/>
        </w:rPr>
        <w:t xml:space="preserve">or </w:t>
      </w:r>
    </w:p>
    <w:p w14:paraId="77E2D458" w14:textId="10DAEBD5" w:rsidR="00753422" w:rsidRPr="00AF42AC" w:rsidRDefault="00B57406" w:rsidP="00B37719">
      <w:pPr>
        <w:pStyle w:val="ListParagraph"/>
        <w:numPr>
          <w:ilvl w:val="0"/>
          <w:numId w:val="33"/>
        </w:numPr>
        <w:shd w:val="clear" w:color="auto" w:fill="FFFFFF" w:themeFill="background1"/>
        <w:spacing w:before="120" w:after="0" w:line="252" w:lineRule="auto"/>
        <w:contextualSpacing w:val="0"/>
        <w:jc w:val="both"/>
        <w:rPr>
          <w:rFonts w:ascii="Arial" w:hAnsi="Arial" w:cs="Arial"/>
          <w:sz w:val="24"/>
          <w:szCs w:val="24"/>
        </w:rPr>
      </w:pPr>
      <w:r w:rsidRPr="00AF42AC">
        <w:rPr>
          <w:rFonts w:ascii="Arial" w:hAnsi="Arial" w:cs="Arial"/>
          <w:sz w:val="24"/>
          <w:szCs w:val="24"/>
        </w:rPr>
        <w:t xml:space="preserve">are </w:t>
      </w:r>
      <w:r w:rsidR="00F168AC">
        <w:rPr>
          <w:rFonts w:ascii="Arial" w:hAnsi="Arial" w:cs="Arial"/>
          <w:sz w:val="24"/>
          <w:szCs w:val="24"/>
        </w:rPr>
        <w:t xml:space="preserve">receiving </w:t>
      </w:r>
      <w:r w:rsidR="009B40B8" w:rsidRPr="00AF42AC">
        <w:rPr>
          <w:rFonts w:ascii="Arial" w:hAnsi="Arial" w:cs="Arial"/>
          <w:sz w:val="24"/>
          <w:szCs w:val="24"/>
        </w:rPr>
        <w:t xml:space="preserve">Mental Health and </w:t>
      </w:r>
      <w:r w:rsidR="00753422" w:rsidRPr="00AF42AC">
        <w:rPr>
          <w:rFonts w:ascii="Arial" w:hAnsi="Arial" w:cs="Arial"/>
          <w:sz w:val="24"/>
          <w:szCs w:val="24"/>
        </w:rPr>
        <w:t>D</w:t>
      </w:r>
      <w:r w:rsidR="001B547A" w:rsidRPr="00AF42AC">
        <w:rPr>
          <w:rFonts w:ascii="Arial" w:hAnsi="Arial" w:cs="Arial"/>
          <w:sz w:val="24"/>
          <w:szCs w:val="24"/>
        </w:rPr>
        <w:t>isability Support Services (D</w:t>
      </w:r>
      <w:r w:rsidR="00753422" w:rsidRPr="00AF42AC">
        <w:rPr>
          <w:rFonts w:ascii="Arial" w:hAnsi="Arial" w:cs="Arial"/>
          <w:sz w:val="24"/>
          <w:szCs w:val="24"/>
        </w:rPr>
        <w:t>SS</w:t>
      </w:r>
      <w:r w:rsidR="001B547A" w:rsidRPr="00AF42AC">
        <w:rPr>
          <w:rFonts w:ascii="Arial" w:hAnsi="Arial" w:cs="Arial"/>
          <w:sz w:val="24"/>
          <w:szCs w:val="24"/>
        </w:rPr>
        <w:t>)</w:t>
      </w:r>
      <w:r w:rsidR="00753422" w:rsidRPr="00AF42AC">
        <w:rPr>
          <w:rStyle w:val="FootnoteReference"/>
          <w:rFonts w:ascii="Arial" w:hAnsi="Arial" w:cs="Arial"/>
          <w:sz w:val="24"/>
          <w:szCs w:val="24"/>
        </w:rPr>
        <w:footnoteReference w:id="9"/>
      </w:r>
      <w:r w:rsidR="00DC674C">
        <w:rPr>
          <w:rFonts w:ascii="Arial" w:hAnsi="Arial" w:cs="Arial"/>
          <w:sz w:val="24"/>
          <w:szCs w:val="24"/>
        </w:rPr>
        <w:t xml:space="preserve">, and </w:t>
      </w:r>
      <w:r w:rsidRPr="00AF42AC">
        <w:rPr>
          <w:rFonts w:ascii="Arial" w:hAnsi="Arial" w:cs="Arial"/>
          <w:sz w:val="24"/>
          <w:szCs w:val="24"/>
        </w:rPr>
        <w:t>who</w:t>
      </w:r>
      <w:r w:rsidR="00962A3B" w:rsidRPr="00AF42AC">
        <w:rPr>
          <w:rFonts w:ascii="Arial" w:hAnsi="Arial" w:cs="Arial"/>
          <w:sz w:val="24"/>
          <w:szCs w:val="24"/>
        </w:rPr>
        <w:t xml:space="preserve"> </w:t>
      </w:r>
      <w:r w:rsidR="00B76F7C" w:rsidRPr="00AF42AC">
        <w:rPr>
          <w:rFonts w:ascii="Arial" w:hAnsi="Arial" w:cs="Arial"/>
          <w:sz w:val="24"/>
          <w:szCs w:val="24"/>
        </w:rPr>
        <w:t xml:space="preserve">also </w:t>
      </w:r>
      <w:r w:rsidR="00A76117" w:rsidRPr="00AF42AC">
        <w:rPr>
          <w:rFonts w:ascii="Arial" w:hAnsi="Arial" w:cs="Arial"/>
          <w:sz w:val="24"/>
          <w:szCs w:val="24"/>
        </w:rPr>
        <w:t>require</w:t>
      </w:r>
      <w:r w:rsidR="001B547A" w:rsidRPr="00AF42AC">
        <w:rPr>
          <w:rFonts w:ascii="Arial" w:hAnsi="Arial" w:cs="Arial"/>
          <w:sz w:val="24"/>
          <w:szCs w:val="24"/>
        </w:rPr>
        <w:t xml:space="preserve"> </w:t>
      </w:r>
      <w:r w:rsidR="00B76F7C" w:rsidRPr="00AF42AC">
        <w:rPr>
          <w:rFonts w:ascii="Arial" w:hAnsi="Arial" w:cs="Arial"/>
          <w:sz w:val="24"/>
          <w:szCs w:val="24"/>
        </w:rPr>
        <w:t xml:space="preserve">Health of Older People </w:t>
      </w:r>
      <w:r w:rsidR="009B40B8" w:rsidRPr="00AF42AC">
        <w:rPr>
          <w:rFonts w:ascii="Arial" w:hAnsi="Arial" w:cs="Arial"/>
          <w:sz w:val="24"/>
          <w:szCs w:val="24"/>
        </w:rPr>
        <w:t>Home Support</w:t>
      </w:r>
      <w:r w:rsidR="001B547A" w:rsidRPr="00AF42AC">
        <w:rPr>
          <w:rFonts w:ascii="Arial" w:hAnsi="Arial" w:cs="Arial"/>
          <w:sz w:val="24"/>
          <w:szCs w:val="24"/>
        </w:rPr>
        <w:t xml:space="preserve"> services</w:t>
      </w:r>
      <w:r w:rsidR="00083E29">
        <w:rPr>
          <w:rFonts w:ascii="Arial" w:hAnsi="Arial" w:cs="Arial"/>
          <w:sz w:val="24"/>
          <w:szCs w:val="24"/>
        </w:rPr>
        <w:t xml:space="preserve"> for age related needs</w:t>
      </w:r>
      <w:r w:rsidR="00B76F7C" w:rsidRPr="00AF42AC">
        <w:rPr>
          <w:rFonts w:ascii="Arial" w:hAnsi="Arial" w:cs="Arial"/>
          <w:sz w:val="24"/>
          <w:szCs w:val="24"/>
        </w:rPr>
        <w:t xml:space="preserve"> to continue</w:t>
      </w:r>
      <w:r w:rsidR="00962A3B" w:rsidRPr="00AF42AC">
        <w:rPr>
          <w:rFonts w:ascii="Arial" w:hAnsi="Arial" w:cs="Arial"/>
          <w:sz w:val="24"/>
          <w:szCs w:val="24"/>
        </w:rPr>
        <w:t xml:space="preserve"> concurrently</w:t>
      </w:r>
    </w:p>
    <w:p w14:paraId="53F91F6A" w14:textId="77777777" w:rsidR="00EC305C" w:rsidRPr="00AF42AC" w:rsidRDefault="00EC305C" w:rsidP="00B37719">
      <w:pPr>
        <w:pStyle w:val="ListParagraph"/>
        <w:numPr>
          <w:ilvl w:val="0"/>
          <w:numId w:val="33"/>
        </w:numPr>
        <w:shd w:val="clear" w:color="auto" w:fill="FFFFFF" w:themeFill="background1"/>
        <w:spacing w:before="120" w:after="0" w:line="252" w:lineRule="auto"/>
        <w:contextualSpacing w:val="0"/>
        <w:jc w:val="both"/>
        <w:rPr>
          <w:rFonts w:ascii="Arial" w:hAnsi="Arial" w:cs="Arial"/>
          <w:sz w:val="24"/>
          <w:szCs w:val="24"/>
        </w:rPr>
      </w:pPr>
      <w:r w:rsidRPr="00AF42AC">
        <w:rPr>
          <w:rFonts w:ascii="Arial" w:hAnsi="Arial" w:cs="Arial"/>
          <w:sz w:val="24"/>
          <w:szCs w:val="24"/>
        </w:rPr>
        <w:t>have support needs that are likely to last greater than 6 months</w:t>
      </w:r>
      <w:r w:rsidR="008E19B9">
        <w:rPr>
          <w:rFonts w:ascii="Arial" w:hAnsi="Arial" w:cs="Arial"/>
          <w:sz w:val="24"/>
          <w:szCs w:val="24"/>
        </w:rPr>
        <w:t>.</w:t>
      </w:r>
    </w:p>
    <w:p w14:paraId="173711A2" w14:textId="77777777" w:rsidR="00753422" w:rsidRPr="00AF42AC" w:rsidRDefault="00970580" w:rsidP="00DC674C">
      <w:pPr>
        <w:pStyle w:val="Heading1"/>
      </w:pPr>
      <w:bookmarkStart w:id="18" w:name="_Toc43122832"/>
      <w:r w:rsidRPr="00AF42AC">
        <w:t>3</w:t>
      </w:r>
      <w:r w:rsidRPr="00AF42AC">
        <w:tab/>
      </w:r>
      <w:r w:rsidR="00753422" w:rsidRPr="00AF42AC">
        <w:t>Service Exclusions</w:t>
      </w:r>
      <w:bookmarkEnd w:id="18"/>
    </w:p>
    <w:p w14:paraId="36AC2B73" w14:textId="1FA27640" w:rsidR="00A60FD8" w:rsidRPr="00AF42AC" w:rsidRDefault="00753422" w:rsidP="00AF42AC">
      <w:pPr>
        <w:rPr>
          <w:rFonts w:ascii="Arial" w:hAnsi="Arial" w:cs="Arial"/>
          <w:sz w:val="24"/>
          <w:szCs w:val="24"/>
        </w:rPr>
      </w:pPr>
      <w:r w:rsidRPr="00AF42AC">
        <w:rPr>
          <w:rFonts w:ascii="Arial" w:hAnsi="Arial" w:cs="Arial"/>
          <w:sz w:val="24"/>
          <w:szCs w:val="24"/>
        </w:rPr>
        <w:t>The following people will be excluded from this service</w:t>
      </w:r>
      <w:r w:rsidR="00A60FD8" w:rsidRPr="00AF42AC">
        <w:rPr>
          <w:rFonts w:ascii="Arial" w:hAnsi="Arial" w:cs="Arial"/>
          <w:sz w:val="24"/>
          <w:szCs w:val="24"/>
        </w:rPr>
        <w:t xml:space="preserve"> </w:t>
      </w:r>
      <w:r w:rsidR="00C266D0" w:rsidRPr="00AF42AC">
        <w:rPr>
          <w:rFonts w:ascii="Arial" w:hAnsi="Arial" w:cs="Arial"/>
          <w:sz w:val="24"/>
          <w:szCs w:val="24"/>
        </w:rPr>
        <w:t>where</w:t>
      </w:r>
      <w:r w:rsidR="00A60FD8" w:rsidRPr="00AF42AC">
        <w:rPr>
          <w:rFonts w:ascii="Arial" w:hAnsi="Arial" w:cs="Arial"/>
          <w:sz w:val="24"/>
          <w:szCs w:val="24"/>
        </w:rPr>
        <w:t xml:space="preserve"> there are duplicate services that are already funded by the DHBs under other service specifications, by other </w:t>
      </w:r>
      <w:r w:rsidR="00310331" w:rsidRPr="00AF42AC">
        <w:rPr>
          <w:rFonts w:ascii="Arial" w:hAnsi="Arial" w:cs="Arial"/>
          <w:sz w:val="24"/>
          <w:szCs w:val="24"/>
        </w:rPr>
        <w:t xml:space="preserve">government </w:t>
      </w:r>
      <w:r w:rsidR="00A60FD8" w:rsidRPr="00AF42AC">
        <w:rPr>
          <w:rFonts w:ascii="Arial" w:hAnsi="Arial" w:cs="Arial"/>
          <w:sz w:val="24"/>
          <w:szCs w:val="24"/>
        </w:rPr>
        <w:t xml:space="preserve">agencies or </w:t>
      </w:r>
      <w:r w:rsidR="00310331" w:rsidRPr="00AF42AC">
        <w:rPr>
          <w:rFonts w:ascii="Arial" w:hAnsi="Arial" w:cs="Arial"/>
          <w:sz w:val="24"/>
          <w:szCs w:val="24"/>
        </w:rPr>
        <w:t xml:space="preserve">the </w:t>
      </w:r>
      <w:r w:rsidR="00A60FD8" w:rsidRPr="00AF42AC">
        <w:rPr>
          <w:rFonts w:ascii="Arial" w:hAnsi="Arial" w:cs="Arial"/>
          <w:sz w:val="24"/>
          <w:szCs w:val="24"/>
        </w:rPr>
        <w:t>Ministry of Health</w:t>
      </w:r>
      <w:r w:rsidR="009C647E">
        <w:rPr>
          <w:rFonts w:ascii="Arial" w:hAnsi="Arial" w:cs="Arial"/>
          <w:sz w:val="24"/>
          <w:szCs w:val="24"/>
        </w:rPr>
        <w:t xml:space="preserve"> who</w:t>
      </w:r>
      <w:r w:rsidR="00D9648E">
        <w:rPr>
          <w:rFonts w:ascii="Arial" w:hAnsi="Arial" w:cs="Arial"/>
          <w:sz w:val="24"/>
          <w:szCs w:val="24"/>
        </w:rPr>
        <w:t>:</w:t>
      </w:r>
    </w:p>
    <w:p w14:paraId="060BAC14" w14:textId="6206C9D6" w:rsidR="00A828F2" w:rsidRPr="00A828F2" w:rsidRDefault="00A828F2" w:rsidP="00DC674C">
      <w:pPr>
        <w:pStyle w:val="ListParagraph"/>
        <w:numPr>
          <w:ilvl w:val="0"/>
          <w:numId w:val="25"/>
        </w:numPr>
        <w:spacing w:before="120" w:after="0"/>
        <w:ind w:left="567" w:hanging="567"/>
        <w:rPr>
          <w:rFonts w:ascii="Arial" w:hAnsi="Arial" w:cs="Arial"/>
          <w:sz w:val="24"/>
          <w:szCs w:val="24"/>
        </w:rPr>
      </w:pPr>
      <w:r w:rsidRPr="00A828F2">
        <w:rPr>
          <w:rFonts w:ascii="Arial" w:hAnsi="Arial" w:cs="Arial"/>
          <w:sz w:val="24"/>
          <w:szCs w:val="24"/>
        </w:rPr>
        <w:t xml:space="preserve">are funded for Home Support Services by Accident Compensation Corporation (ACC) (except for 2c. Service </w:t>
      </w:r>
      <w:r>
        <w:rPr>
          <w:rFonts w:ascii="Arial" w:hAnsi="Arial" w:cs="Arial"/>
          <w:sz w:val="24"/>
          <w:szCs w:val="24"/>
        </w:rPr>
        <w:t>U</w:t>
      </w:r>
      <w:r w:rsidRPr="00A828F2">
        <w:rPr>
          <w:rFonts w:ascii="Arial" w:hAnsi="Arial" w:cs="Arial"/>
          <w:sz w:val="24"/>
          <w:szCs w:val="24"/>
        </w:rPr>
        <w:t>sers, above)</w:t>
      </w:r>
    </w:p>
    <w:p w14:paraId="08D531D1" w14:textId="40C37143" w:rsidR="00753422" w:rsidRPr="00AF42AC" w:rsidRDefault="00970580" w:rsidP="00DC674C">
      <w:pPr>
        <w:pStyle w:val="ListParagraph"/>
        <w:numPr>
          <w:ilvl w:val="0"/>
          <w:numId w:val="25"/>
        </w:numPr>
        <w:spacing w:before="120" w:after="0"/>
        <w:ind w:left="567" w:hanging="567"/>
        <w:contextualSpacing w:val="0"/>
        <w:rPr>
          <w:rFonts w:ascii="Arial" w:hAnsi="Arial" w:cs="Arial"/>
          <w:sz w:val="24"/>
          <w:szCs w:val="24"/>
        </w:rPr>
      </w:pPr>
      <w:r w:rsidRPr="00AF42AC">
        <w:rPr>
          <w:rFonts w:ascii="Arial" w:hAnsi="Arial" w:cs="Arial"/>
          <w:sz w:val="24"/>
          <w:szCs w:val="24"/>
        </w:rPr>
        <w:t>receiv</w:t>
      </w:r>
      <w:r w:rsidR="008541A5">
        <w:rPr>
          <w:rFonts w:ascii="Arial" w:hAnsi="Arial" w:cs="Arial"/>
          <w:sz w:val="24"/>
          <w:szCs w:val="24"/>
        </w:rPr>
        <w:t>e</w:t>
      </w:r>
      <w:r w:rsidRPr="00AF42AC">
        <w:rPr>
          <w:rFonts w:ascii="Arial" w:hAnsi="Arial" w:cs="Arial"/>
          <w:sz w:val="24"/>
          <w:szCs w:val="24"/>
        </w:rPr>
        <w:t xml:space="preserve"> </w:t>
      </w:r>
      <w:r w:rsidR="009B40B8" w:rsidRPr="00AF42AC">
        <w:rPr>
          <w:rFonts w:ascii="Arial" w:hAnsi="Arial" w:cs="Arial"/>
          <w:sz w:val="24"/>
          <w:szCs w:val="24"/>
        </w:rPr>
        <w:t xml:space="preserve">Mental Health and </w:t>
      </w:r>
      <w:r w:rsidR="00753422" w:rsidRPr="00AF42AC">
        <w:rPr>
          <w:rFonts w:ascii="Arial" w:hAnsi="Arial" w:cs="Arial"/>
          <w:sz w:val="24"/>
          <w:szCs w:val="24"/>
        </w:rPr>
        <w:t>Disability Support Services</w:t>
      </w:r>
      <w:r w:rsidR="00A60FD8" w:rsidRPr="00AF42AC">
        <w:rPr>
          <w:rFonts w:ascii="Arial" w:hAnsi="Arial" w:cs="Arial"/>
          <w:sz w:val="24"/>
          <w:szCs w:val="24"/>
        </w:rPr>
        <w:t xml:space="preserve"> </w:t>
      </w:r>
      <w:r w:rsidR="00310331" w:rsidRPr="00AF42AC">
        <w:rPr>
          <w:rFonts w:ascii="Arial" w:hAnsi="Arial" w:cs="Arial"/>
          <w:sz w:val="24"/>
          <w:szCs w:val="24"/>
        </w:rPr>
        <w:t>(</w:t>
      </w:r>
      <w:r w:rsidR="00A60FD8" w:rsidRPr="00AF42AC">
        <w:rPr>
          <w:rFonts w:ascii="Arial" w:hAnsi="Arial" w:cs="Arial"/>
          <w:sz w:val="24"/>
          <w:szCs w:val="24"/>
        </w:rPr>
        <w:t>except for 2</w:t>
      </w:r>
      <w:r w:rsidR="009B40B8" w:rsidRPr="00AF42AC">
        <w:rPr>
          <w:rFonts w:ascii="Arial" w:hAnsi="Arial" w:cs="Arial"/>
          <w:sz w:val="24"/>
          <w:szCs w:val="24"/>
        </w:rPr>
        <w:t>d</w:t>
      </w:r>
      <w:r w:rsidR="00A60FD8" w:rsidRPr="00AF42AC">
        <w:rPr>
          <w:rFonts w:ascii="Arial" w:hAnsi="Arial" w:cs="Arial"/>
          <w:sz w:val="24"/>
          <w:szCs w:val="24"/>
        </w:rPr>
        <w:t xml:space="preserve">. </w:t>
      </w:r>
      <w:r w:rsidR="004624C4" w:rsidRPr="00AF42AC">
        <w:rPr>
          <w:rFonts w:ascii="Arial" w:hAnsi="Arial" w:cs="Arial"/>
          <w:sz w:val="24"/>
          <w:szCs w:val="24"/>
        </w:rPr>
        <w:t>S</w:t>
      </w:r>
      <w:r w:rsidR="00A60FD8" w:rsidRPr="00AF42AC">
        <w:rPr>
          <w:rFonts w:ascii="Arial" w:hAnsi="Arial" w:cs="Arial"/>
          <w:sz w:val="24"/>
          <w:szCs w:val="24"/>
        </w:rPr>
        <w:t xml:space="preserve">ervice </w:t>
      </w:r>
      <w:r w:rsidR="00C37C60">
        <w:rPr>
          <w:rFonts w:ascii="Arial" w:hAnsi="Arial" w:cs="Arial"/>
          <w:sz w:val="24"/>
          <w:szCs w:val="24"/>
        </w:rPr>
        <w:t>U</w:t>
      </w:r>
      <w:r w:rsidR="00A60FD8" w:rsidRPr="00AF42AC">
        <w:rPr>
          <w:rFonts w:ascii="Arial" w:hAnsi="Arial" w:cs="Arial"/>
          <w:sz w:val="24"/>
          <w:szCs w:val="24"/>
        </w:rPr>
        <w:t>sers</w:t>
      </w:r>
      <w:r w:rsidR="003D73D0" w:rsidRPr="00AF42AC">
        <w:rPr>
          <w:rFonts w:ascii="Arial" w:hAnsi="Arial" w:cs="Arial"/>
          <w:sz w:val="24"/>
          <w:szCs w:val="24"/>
        </w:rPr>
        <w:t>,</w:t>
      </w:r>
      <w:r w:rsidR="00A60FD8" w:rsidRPr="00AF42AC">
        <w:rPr>
          <w:rFonts w:ascii="Arial" w:hAnsi="Arial" w:cs="Arial"/>
          <w:sz w:val="24"/>
          <w:szCs w:val="24"/>
        </w:rPr>
        <w:t xml:space="preserve"> above) </w:t>
      </w:r>
    </w:p>
    <w:p w14:paraId="75E4DB64" w14:textId="4A655720" w:rsidR="00753422" w:rsidRPr="00AF42AC" w:rsidRDefault="008541A5" w:rsidP="00DC674C">
      <w:pPr>
        <w:pStyle w:val="ListParagraph"/>
        <w:numPr>
          <w:ilvl w:val="0"/>
          <w:numId w:val="25"/>
        </w:numPr>
        <w:shd w:val="clear" w:color="auto" w:fill="FFFFFF" w:themeFill="background1"/>
        <w:spacing w:before="120" w:after="0"/>
        <w:ind w:left="567" w:hanging="567"/>
        <w:contextualSpacing w:val="0"/>
        <w:rPr>
          <w:rFonts w:ascii="Arial" w:hAnsi="Arial" w:cs="Arial"/>
          <w:sz w:val="24"/>
          <w:szCs w:val="24"/>
        </w:rPr>
      </w:pPr>
      <w:r>
        <w:rPr>
          <w:rFonts w:ascii="Arial" w:hAnsi="Arial" w:cs="Arial"/>
          <w:sz w:val="24"/>
          <w:szCs w:val="24"/>
        </w:rPr>
        <w:t xml:space="preserve">are </w:t>
      </w:r>
      <w:r w:rsidR="00753422" w:rsidRPr="00AF42AC">
        <w:rPr>
          <w:rFonts w:ascii="Arial" w:hAnsi="Arial" w:cs="Arial"/>
          <w:sz w:val="24"/>
          <w:szCs w:val="24"/>
        </w:rPr>
        <w:t>funded for Long Term Supports – Chronic Health Conditions</w:t>
      </w:r>
      <w:r w:rsidR="00A60FD8" w:rsidRPr="00AF42AC">
        <w:rPr>
          <w:rFonts w:ascii="Arial" w:hAnsi="Arial" w:cs="Arial"/>
          <w:sz w:val="24"/>
          <w:szCs w:val="24"/>
        </w:rPr>
        <w:t xml:space="preserve"> services</w:t>
      </w:r>
      <w:r w:rsidR="00753422" w:rsidRPr="00AF42AC">
        <w:rPr>
          <w:rFonts w:ascii="Arial" w:hAnsi="Arial" w:cs="Arial"/>
          <w:sz w:val="24"/>
          <w:szCs w:val="24"/>
        </w:rPr>
        <w:t xml:space="preserve"> </w:t>
      </w:r>
    </w:p>
    <w:p w14:paraId="67C17B92" w14:textId="30D51DCB" w:rsidR="00753422" w:rsidRPr="00AF42AC" w:rsidRDefault="00753422" w:rsidP="00DC674C">
      <w:pPr>
        <w:pStyle w:val="ListParagraph"/>
        <w:numPr>
          <w:ilvl w:val="0"/>
          <w:numId w:val="25"/>
        </w:numPr>
        <w:spacing w:before="120" w:after="0"/>
        <w:ind w:left="567" w:hanging="567"/>
        <w:contextualSpacing w:val="0"/>
        <w:rPr>
          <w:rFonts w:ascii="Arial" w:hAnsi="Arial" w:cs="Arial"/>
          <w:sz w:val="24"/>
          <w:szCs w:val="24"/>
        </w:rPr>
      </w:pPr>
      <w:r w:rsidRPr="00AF42AC">
        <w:rPr>
          <w:rFonts w:ascii="Arial" w:hAnsi="Arial" w:cs="Arial"/>
          <w:sz w:val="24"/>
          <w:szCs w:val="24"/>
        </w:rPr>
        <w:t xml:space="preserve">in </w:t>
      </w:r>
      <w:r w:rsidR="00A60FD8" w:rsidRPr="00AF42AC">
        <w:rPr>
          <w:rFonts w:ascii="Arial" w:hAnsi="Arial" w:cs="Arial"/>
          <w:sz w:val="24"/>
          <w:szCs w:val="24"/>
        </w:rPr>
        <w:t xml:space="preserve">DHB funded </w:t>
      </w:r>
      <w:r w:rsidRPr="00AF42AC">
        <w:rPr>
          <w:rFonts w:ascii="Arial" w:hAnsi="Arial" w:cs="Arial"/>
          <w:sz w:val="24"/>
          <w:szCs w:val="24"/>
        </w:rPr>
        <w:t xml:space="preserve">aged residential care facilities </w:t>
      </w:r>
    </w:p>
    <w:p w14:paraId="04AE6DC7" w14:textId="36D90209" w:rsidR="00753422" w:rsidRPr="00AF42AC" w:rsidRDefault="00753422" w:rsidP="00DC674C">
      <w:pPr>
        <w:pStyle w:val="ListParagraph"/>
        <w:numPr>
          <w:ilvl w:val="0"/>
          <w:numId w:val="25"/>
        </w:numPr>
        <w:spacing w:before="120" w:after="0"/>
        <w:ind w:left="567" w:hanging="567"/>
        <w:contextualSpacing w:val="0"/>
        <w:rPr>
          <w:rFonts w:ascii="Arial" w:hAnsi="Arial" w:cs="Arial"/>
          <w:sz w:val="24"/>
          <w:szCs w:val="24"/>
        </w:rPr>
      </w:pPr>
      <w:r w:rsidRPr="00AF42AC">
        <w:rPr>
          <w:rFonts w:ascii="Arial" w:hAnsi="Arial" w:cs="Arial"/>
          <w:sz w:val="24"/>
          <w:szCs w:val="24"/>
        </w:rPr>
        <w:t>reside outside the DHB’s region</w:t>
      </w:r>
      <w:r w:rsidR="003D73D0" w:rsidRPr="00AF42AC">
        <w:rPr>
          <w:rFonts w:ascii="Arial" w:hAnsi="Arial" w:cs="Arial"/>
          <w:sz w:val="24"/>
          <w:szCs w:val="24"/>
        </w:rPr>
        <w:t>,</w:t>
      </w:r>
      <w:r w:rsidRPr="00AF42AC">
        <w:rPr>
          <w:rFonts w:ascii="Arial" w:hAnsi="Arial" w:cs="Arial"/>
          <w:sz w:val="24"/>
          <w:szCs w:val="24"/>
        </w:rPr>
        <w:t xml:space="preserve"> including those on holiday</w:t>
      </w:r>
    </w:p>
    <w:p w14:paraId="32B627B0" w14:textId="77777777" w:rsidR="00753422" w:rsidRPr="00AF42AC" w:rsidRDefault="008541A5" w:rsidP="00DC674C">
      <w:pPr>
        <w:pStyle w:val="ListParagraph"/>
        <w:numPr>
          <w:ilvl w:val="0"/>
          <w:numId w:val="25"/>
        </w:numPr>
        <w:spacing w:before="120" w:after="0"/>
        <w:ind w:left="567" w:hanging="567"/>
        <w:contextualSpacing w:val="0"/>
        <w:rPr>
          <w:rFonts w:ascii="Arial" w:hAnsi="Arial" w:cs="Arial"/>
          <w:sz w:val="24"/>
          <w:szCs w:val="24"/>
        </w:rPr>
      </w:pPr>
      <w:r>
        <w:rPr>
          <w:rFonts w:ascii="Arial" w:hAnsi="Arial" w:cs="Arial"/>
          <w:sz w:val="24"/>
          <w:szCs w:val="24"/>
        </w:rPr>
        <w:lastRenderedPageBreak/>
        <w:t xml:space="preserve">receive </w:t>
      </w:r>
      <w:r w:rsidR="002C1C55">
        <w:rPr>
          <w:rFonts w:ascii="Arial" w:hAnsi="Arial" w:cs="Arial"/>
          <w:sz w:val="24"/>
          <w:szCs w:val="24"/>
        </w:rPr>
        <w:t>h</w:t>
      </w:r>
      <w:r w:rsidR="00753422" w:rsidRPr="00AF42AC">
        <w:rPr>
          <w:rFonts w:ascii="Arial" w:hAnsi="Arial" w:cs="Arial"/>
          <w:sz w:val="24"/>
          <w:szCs w:val="24"/>
        </w:rPr>
        <w:t xml:space="preserve">ousehold only assistance for </w:t>
      </w:r>
      <w:r w:rsidR="00794623" w:rsidRPr="00AF42AC">
        <w:rPr>
          <w:rFonts w:ascii="Arial" w:hAnsi="Arial" w:cs="Arial"/>
          <w:sz w:val="24"/>
          <w:szCs w:val="24"/>
        </w:rPr>
        <w:t>p</w:t>
      </w:r>
      <w:r w:rsidR="00753422" w:rsidRPr="00AF42AC">
        <w:rPr>
          <w:rFonts w:ascii="Arial" w:hAnsi="Arial" w:cs="Arial"/>
          <w:sz w:val="24"/>
          <w:szCs w:val="24"/>
        </w:rPr>
        <w:t>eople who do not have a current community services card</w:t>
      </w:r>
    </w:p>
    <w:p w14:paraId="111D4DDA" w14:textId="52316049" w:rsidR="00370125" w:rsidRPr="002428C7" w:rsidRDefault="00753422" w:rsidP="00DC674C">
      <w:pPr>
        <w:pStyle w:val="ListParagraph"/>
        <w:numPr>
          <w:ilvl w:val="0"/>
          <w:numId w:val="25"/>
        </w:numPr>
        <w:spacing w:before="120" w:after="0"/>
        <w:ind w:left="567" w:hanging="567"/>
        <w:contextualSpacing w:val="0"/>
        <w:rPr>
          <w:rFonts w:ascii="Arial" w:hAnsi="Arial" w:cs="Arial"/>
          <w:sz w:val="24"/>
          <w:szCs w:val="24"/>
        </w:rPr>
      </w:pPr>
      <w:r w:rsidRPr="002428C7">
        <w:rPr>
          <w:rFonts w:ascii="Arial" w:hAnsi="Arial" w:cs="Arial"/>
          <w:sz w:val="24"/>
          <w:szCs w:val="24"/>
        </w:rPr>
        <w:t>have an individualised funding allocation of home and community support services</w:t>
      </w:r>
      <w:r w:rsidR="004624C4" w:rsidRPr="002428C7">
        <w:rPr>
          <w:rFonts w:ascii="Arial" w:hAnsi="Arial" w:cs="Arial"/>
          <w:sz w:val="24"/>
          <w:szCs w:val="24"/>
        </w:rPr>
        <w:t>.</w:t>
      </w:r>
    </w:p>
    <w:p w14:paraId="2C405F8A" w14:textId="77777777" w:rsidR="00214C44" w:rsidRPr="002428C7" w:rsidRDefault="00970580" w:rsidP="00DC674C">
      <w:pPr>
        <w:pStyle w:val="Heading1"/>
      </w:pPr>
      <w:bookmarkStart w:id="19" w:name="_Toc43122833"/>
      <w:bookmarkEnd w:id="16"/>
      <w:r w:rsidRPr="002428C7">
        <w:t>4</w:t>
      </w:r>
      <w:r w:rsidRPr="002428C7">
        <w:tab/>
      </w:r>
      <w:r w:rsidR="00214C44" w:rsidRPr="002428C7">
        <w:t>Service Objective</w:t>
      </w:r>
      <w:bookmarkEnd w:id="19"/>
    </w:p>
    <w:p w14:paraId="3C9E0594" w14:textId="77777777" w:rsidR="00214C44" w:rsidRPr="002428C7" w:rsidRDefault="00C02CC3" w:rsidP="002428C7">
      <w:pPr>
        <w:pStyle w:val="Heading2"/>
        <w:spacing w:after="120"/>
        <w:rPr>
          <w:rFonts w:ascii="Arial" w:hAnsi="Arial" w:cs="Arial"/>
          <w:sz w:val="24"/>
          <w:szCs w:val="24"/>
        </w:rPr>
      </w:pPr>
      <w:bookmarkStart w:id="20" w:name="_Toc43122834"/>
      <w:r w:rsidRPr="002428C7">
        <w:rPr>
          <w:rFonts w:ascii="Arial" w:hAnsi="Arial" w:cs="Arial"/>
          <w:sz w:val="24"/>
          <w:szCs w:val="24"/>
        </w:rPr>
        <w:t>4</w:t>
      </w:r>
      <w:r w:rsidR="00214C44" w:rsidRPr="002428C7">
        <w:rPr>
          <w:rFonts w:ascii="Arial" w:hAnsi="Arial" w:cs="Arial"/>
          <w:sz w:val="24"/>
          <w:szCs w:val="24"/>
        </w:rPr>
        <w:t>.1</w:t>
      </w:r>
      <w:r w:rsidR="00214C44" w:rsidRPr="002428C7">
        <w:rPr>
          <w:rFonts w:ascii="Arial" w:hAnsi="Arial" w:cs="Arial"/>
          <w:sz w:val="24"/>
          <w:szCs w:val="24"/>
        </w:rPr>
        <w:tab/>
        <w:t>General</w:t>
      </w:r>
      <w:bookmarkEnd w:id="20"/>
    </w:p>
    <w:p w14:paraId="1548CD71" w14:textId="77777777" w:rsidR="00214C44" w:rsidRPr="002428C7" w:rsidRDefault="00214C44" w:rsidP="002428C7">
      <w:pPr>
        <w:rPr>
          <w:rFonts w:ascii="Arial" w:hAnsi="Arial" w:cs="Arial"/>
          <w:sz w:val="24"/>
          <w:szCs w:val="24"/>
        </w:rPr>
      </w:pPr>
      <w:r w:rsidRPr="002428C7">
        <w:rPr>
          <w:rFonts w:ascii="Arial" w:hAnsi="Arial" w:cs="Arial"/>
          <w:sz w:val="24"/>
          <w:szCs w:val="24"/>
        </w:rPr>
        <w:t xml:space="preserve">The purpose of </w:t>
      </w:r>
      <w:r w:rsidR="006A746A" w:rsidRPr="002428C7">
        <w:rPr>
          <w:rFonts w:ascii="Arial" w:hAnsi="Arial" w:cs="Arial"/>
          <w:sz w:val="24"/>
          <w:szCs w:val="24"/>
        </w:rPr>
        <w:t>HCSS</w:t>
      </w:r>
      <w:r w:rsidRPr="002428C7">
        <w:rPr>
          <w:rFonts w:ascii="Arial" w:hAnsi="Arial" w:cs="Arial"/>
          <w:sz w:val="24"/>
          <w:szCs w:val="24"/>
        </w:rPr>
        <w:t xml:space="preserve"> is to provide </w:t>
      </w:r>
      <w:r w:rsidR="00B57406" w:rsidRPr="002428C7">
        <w:rPr>
          <w:rFonts w:ascii="Arial" w:hAnsi="Arial" w:cs="Arial"/>
          <w:sz w:val="24"/>
          <w:szCs w:val="24"/>
        </w:rPr>
        <w:t xml:space="preserve">older people with </w:t>
      </w:r>
      <w:r w:rsidRPr="002428C7">
        <w:rPr>
          <w:rFonts w:ascii="Arial" w:hAnsi="Arial" w:cs="Arial"/>
          <w:sz w:val="24"/>
          <w:szCs w:val="24"/>
        </w:rPr>
        <w:t>restorative client-centred, culturally appropriate and responsive support that maintains or enhances the functional ability, health and social connectivity</w:t>
      </w:r>
      <w:r w:rsidR="00DC21F4" w:rsidRPr="002428C7">
        <w:rPr>
          <w:rFonts w:ascii="Arial" w:hAnsi="Arial" w:cs="Arial"/>
          <w:sz w:val="24"/>
          <w:szCs w:val="24"/>
        </w:rPr>
        <w:t xml:space="preserve"> or to </w:t>
      </w:r>
      <w:r w:rsidR="00A318B9" w:rsidRPr="002428C7">
        <w:rPr>
          <w:rFonts w:ascii="Arial" w:hAnsi="Arial" w:cs="Arial"/>
          <w:sz w:val="24"/>
          <w:szCs w:val="24"/>
        </w:rPr>
        <w:t xml:space="preserve">provide support at </w:t>
      </w:r>
      <w:r w:rsidR="00DC21F4" w:rsidRPr="002428C7">
        <w:rPr>
          <w:rFonts w:ascii="Arial" w:hAnsi="Arial" w:cs="Arial"/>
          <w:sz w:val="24"/>
          <w:szCs w:val="24"/>
        </w:rPr>
        <w:t>end of life</w:t>
      </w:r>
      <w:r w:rsidR="00F235C6" w:rsidRPr="002428C7">
        <w:rPr>
          <w:rFonts w:ascii="Arial" w:hAnsi="Arial" w:cs="Arial"/>
          <w:sz w:val="24"/>
          <w:szCs w:val="24"/>
        </w:rPr>
        <w:t xml:space="preserve"> for existing clients</w:t>
      </w:r>
      <w:r w:rsidR="00DC21F4" w:rsidRPr="002428C7">
        <w:rPr>
          <w:rFonts w:ascii="Arial" w:hAnsi="Arial" w:cs="Arial"/>
          <w:sz w:val="24"/>
          <w:szCs w:val="24"/>
        </w:rPr>
        <w:t xml:space="preserve"> </w:t>
      </w:r>
      <w:r w:rsidRPr="002428C7">
        <w:rPr>
          <w:rFonts w:ascii="Arial" w:hAnsi="Arial" w:cs="Arial"/>
          <w:sz w:val="24"/>
          <w:szCs w:val="24"/>
        </w:rPr>
        <w:t xml:space="preserve">in the community. </w:t>
      </w:r>
    </w:p>
    <w:p w14:paraId="24FE3741" w14:textId="77777777" w:rsidR="00214C44" w:rsidRPr="002428C7" w:rsidRDefault="00C02CC3" w:rsidP="002428C7">
      <w:pPr>
        <w:pStyle w:val="Heading2"/>
        <w:shd w:val="clear" w:color="auto" w:fill="FFFFFF" w:themeFill="background1"/>
        <w:spacing w:after="120"/>
        <w:rPr>
          <w:rFonts w:ascii="Arial" w:hAnsi="Arial" w:cs="Arial"/>
          <w:sz w:val="24"/>
          <w:szCs w:val="24"/>
        </w:rPr>
      </w:pPr>
      <w:bookmarkStart w:id="21" w:name="_Toc43122835"/>
      <w:r w:rsidRPr="002428C7">
        <w:rPr>
          <w:rFonts w:ascii="Arial" w:hAnsi="Arial" w:cs="Arial"/>
          <w:sz w:val="24"/>
          <w:szCs w:val="24"/>
        </w:rPr>
        <w:t>4</w:t>
      </w:r>
      <w:r w:rsidR="00214C44" w:rsidRPr="002428C7">
        <w:rPr>
          <w:rFonts w:ascii="Arial" w:hAnsi="Arial" w:cs="Arial"/>
          <w:sz w:val="24"/>
          <w:szCs w:val="24"/>
        </w:rPr>
        <w:t>.2</w:t>
      </w:r>
      <w:r w:rsidR="00214C44" w:rsidRPr="002428C7">
        <w:rPr>
          <w:rFonts w:ascii="Arial" w:hAnsi="Arial" w:cs="Arial"/>
          <w:sz w:val="24"/>
          <w:szCs w:val="24"/>
        </w:rPr>
        <w:tab/>
        <w:t>Māori Health objectives</w:t>
      </w:r>
      <w:bookmarkEnd w:id="21"/>
    </w:p>
    <w:p w14:paraId="35462E76" w14:textId="412F5403" w:rsidR="00F168AC" w:rsidRDefault="00F168AC" w:rsidP="002428C7">
      <w:pPr>
        <w:spacing w:after="120"/>
        <w:ind w:left="-11" w:right="-1"/>
        <w:jc w:val="both"/>
        <w:rPr>
          <w:rFonts w:ascii="Arial" w:hAnsi="Arial" w:cs="Arial"/>
          <w:sz w:val="24"/>
          <w:szCs w:val="24"/>
        </w:rPr>
      </w:pPr>
      <w:r>
        <w:rPr>
          <w:rFonts w:ascii="Arial" w:hAnsi="Arial" w:cs="Arial"/>
          <w:sz w:val="24"/>
          <w:szCs w:val="24"/>
        </w:rPr>
        <w:t>These require</w:t>
      </w:r>
      <w:r w:rsidR="00855E2B">
        <w:rPr>
          <w:rFonts w:ascii="Arial" w:hAnsi="Arial" w:cs="Arial"/>
          <w:sz w:val="24"/>
          <w:szCs w:val="24"/>
        </w:rPr>
        <w:t>ments are i</w:t>
      </w:r>
      <w:r w:rsidR="002428C7">
        <w:rPr>
          <w:rFonts w:ascii="Arial" w:hAnsi="Arial" w:cs="Arial"/>
          <w:sz w:val="24"/>
          <w:szCs w:val="24"/>
        </w:rPr>
        <w:t xml:space="preserve">n addition to the </w:t>
      </w:r>
      <w:r w:rsidR="00855E2B">
        <w:rPr>
          <w:rFonts w:ascii="Arial" w:hAnsi="Arial" w:cs="Arial"/>
          <w:sz w:val="24"/>
          <w:szCs w:val="24"/>
        </w:rPr>
        <w:t xml:space="preserve">generic </w:t>
      </w:r>
      <w:r w:rsidR="002428C7">
        <w:rPr>
          <w:rFonts w:ascii="Arial" w:hAnsi="Arial" w:cs="Arial"/>
          <w:sz w:val="24"/>
          <w:szCs w:val="24"/>
        </w:rPr>
        <w:t>requireme</w:t>
      </w:r>
      <w:r w:rsidR="00C13276">
        <w:rPr>
          <w:rFonts w:ascii="Arial" w:hAnsi="Arial" w:cs="Arial"/>
          <w:sz w:val="24"/>
          <w:szCs w:val="24"/>
        </w:rPr>
        <w:t>nt</w:t>
      </w:r>
      <w:r w:rsidR="002428C7">
        <w:rPr>
          <w:rFonts w:ascii="Arial" w:hAnsi="Arial" w:cs="Arial"/>
          <w:sz w:val="24"/>
          <w:szCs w:val="24"/>
        </w:rPr>
        <w:t>s for M</w:t>
      </w:r>
      <w:r w:rsidR="0081360F">
        <w:rPr>
          <w:rFonts w:ascii="Arial" w:hAnsi="Arial" w:cs="Arial"/>
          <w:sz w:val="24"/>
          <w:szCs w:val="24"/>
        </w:rPr>
        <w:t>ā</w:t>
      </w:r>
      <w:r w:rsidR="002428C7">
        <w:rPr>
          <w:rFonts w:ascii="Arial" w:hAnsi="Arial" w:cs="Arial"/>
          <w:sz w:val="24"/>
          <w:szCs w:val="24"/>
        </w:rPr>
        <w:t xml:space="preserve">ori Health in the </w:t>
      </w:r>
      <w:r w:rsidR="002428C7" w:rsidRPr="002428C7">
        <w:rPr>
          <w:rFonts w:ascii="Arial" w:hAnsi="Arial" w:cs="Arial"/>
          <w:sz w:val="24"/>
          <w:szCs w:val="24"/>
        </w:rPr>
        <w:t>Tier One Community Health, Transitional and Support Services service specification</w:t>
      </w:r>
      <w:r w:rsidR="002428C7">
        <w:rPr>
          <w:rFonts w:ascii="Arial" w:hAnsi="Arial" w:cs="Arial"/>
          <w:sz w:val="24"/>
          <w:szCs w:val="24"/>
        </w:rPr>
        <w:t>.</w:t>
      </w:r>
    </w:p>
    <w:p w14:paraId="479A6BDD" w14:textId="6071461F" w:rsidR="00214C44" w:rsidRPr="002428C7" w:rsidRDefault="00214C44" w:rsidP="002428C7">
      <w:pPr>
        <w:spacing w:after="120"/>
        <w:ind w:left="-11" w:right="-1"/>
        <w:jc w:val="both"/>
        <w:rPr>
          <w:rFonts w:ascii="Arial" w:hAnsi="Arial" w:cs="Arial"/>
          <w:sz w:val="24"/>
          <w:szCs w:val="24"/>
        </w:rPr>
      </w:pPr>
      <w:r w:rsidRPr="002428C7">
        <w:rPr>
          <w:rFonts w:ascii="Arial" w:hAnsi="Arial" w:cs="Arial"/>
          <w:sz w:val="24"/>
          <w:szCs w:val="24"/>
        </w:rPr>
        <w:t xml:space="preserve">The Provider will work within the </w:t>
      </w:r>
      <w:proofErr w:type="spellStart"/>
      <w:r w:rsidRPr="002428C7">
        <w:rPr>
          <w:rFonts w:ascii="Arial" w:hAnsi="Arial" w:cs="Arial"/>
          <w:sz w:val="24"/>
          <w:szCs w:val="24"/>
        </w:rPr>
        <w:t>Pae</w:t>
      </w:r>
      <w:proofErr w:type="spellEnd"/>
      <w:r w:rsidRPr="002428C7">
        <w:rPr>
          <w:rFonts w:ascii="Arial" w:hAnsi="Arial" w:cs="Arial"/>
          <w:sz w:val="24"/>
          <w:szCs w:val="24"/>
        </w:rPr>
        <w:t xml:space="preserve"> Ora framework of He Korowai </w:t>
      </w:r>
      <w:proofErr w:type="spellStart"/>
      <w:r w:rsidRPr="002428C7">
        <w:rPr>
          <w:rFonts w:ascii="Arial" w:hAnsi="Arial" w:cs="Arial"/>
          <w:sz w:val="24"/>
          <w:szCs w:val="24"/>
        </w:rPr>
        <w:t>Oranga</w:t>
      </w:r>
      <w:proofErr w:type="spellEnd"/>
      <w:r w:rsidRPr="002428C7">
        <w:rPr>
          <w:rFonts w:ascii="Arial" w:hAnsi="Arial" w:cs="Arial"/>
          <w:sz w:val="24"/>
          <w:szCs w:val="24"/>
        </w:rPr>
        <w:t xml:space="preserve"> Māori Health Strategy, and seek to provide care and support that promotes:</w:t>
      </w:r>
    </w:p>
    <w:p w14:paraId="0A28E06B" w14:textId="77777777" w:rsidR="00214C44" w:rsidRPr="002428C7" w:rsidRDefault="00214C44" w:rsidP="002428C7">
      <w:pPr>
        <w:pStyle w:val="ListParagraph"/>
        <w:spacing w:before="120" w:after="0"/>
        <w:ind w:left="714" w:right="-1" w:hanging="357"/>
        <w:contextualSpacing w:val="0"/>
        <w:rPr>
          <w:rFonts w:ascii="Arial" w:hAnsi="Arial" w:cs="Arial"/>
          <w:sz w:val="24"/>
          <w:szCs w:val="24"/>
        </w:rPr>
      </w:pPr>
      <w:r w:rsidRPr="002428C7">
        <w:rPr>
          <w:rFonts w:ascii="Arial" w:hAnsi="Arial" w:cs="Arial"/>
          <w:sz w:val="24"/>
          <w:szCs w:val="24"/>
        </w:rPr>
        <w:t xml:space="preserve">Whānau </w:t>
      </w:r>
      <w:proofErr w:type="spellStart"/>
      <w:r w:rsidRPr="002428C7">
        <w:rPr>
          <w:rFonts w:ascii="Arial" w:hAnsi="Arial" w:cs="Arial"/>
          <w:sz w:val="24"/>
          <w:szCs w:val="24"/>
        </w:rPr>
        <w:t>ora</w:t>
      </w:r>
      <w:proofErr w:type="spellEnd"/>
      <w:r w:rsidRPr="002428C7">
        <w:rPr>
          <w:rFonts w:ascii="Arial" w:hAnsi="Arial" w:cs="Arial"/>
          <w:sz w:val="24"/>
          <w:szCs w:val="24"/>
        </w:rPr>
        <w:t xml:space="preserve"> – healthy families </w:t>
      </w:r>
    </w:p>
    <w:p w14:paraId="5D362842" w14:textId="77777777" w:rsidR="00214C44" w:rsidRPr="002428C7" w:rsidRDefault="00214C44" w:rsidP="002428C7">
      <w:pPr>
        <w:pStyle w:val="ListParagraph"/>
        <w:spacing w:before="120" w:after="0"/>
        <w:ind w:left="714" w:right="-1" w:hanging="357"/>
        <w:contextualSpacing w:val="0"/>
        <w:rPr>
          <w:rFonts w:ascii="Arial" w:hAnsi="Arial" w:cs="Arial"/>
          <w:sz w:val="24"/>
          <w:szCs w:val="24"/>
        </w:rPr>
      </w:pPr>
      <w:r w:rsidRPr="002428C7">
        <w:rPr>
          <w:rFonts w:ascii="Arial" w:hAnsi="Arial" w:cs="Arial"/>
          <w:sz w:val="24"/>
          <w:szCs w:val="24"/>
        </w:rPr>
        <w:t xml:space="preserve">Mauri </w:t>
      </w:r>
      <w:proofErr w:type="spellStart"/>
      <w:r w:rsidRPr="002428C7">
        <w:rPr>
          <w:rFonts w:ascii="Arial" w:hAnsi="Arial" w:cs="Arial"/>
          <w:sz w:val="24"/>
          <w:szCs w:val="24"/>
        </w:rPr>
        <w:t>ora</w:t>
      </w:r>
      <w:proofErr w:type="spellEnd"/>
      <w:r w:rsidRPr="002428C7">
        <w:rPr>
          <w:rFonts w:ascii="Arial" w:hAnsi="Arial" w:cs="Arial"/>
          <w:sz w:val="24"/>
          <w:szCs w:val="24"/>
        </w:rPr>
        <w:t xml:space="preserve"> – healthy individuals </w:t>
      </w:r>
    </w:p>
    <w:p w14:paraId="01B35F72" w14:textId="77777777" w:rsidR="00214C44" w:rsidRPr="002428C7" w:rsidRDefault="00214C44" w:rsidP="002428C7">
      <w:pPr>
        <w:pStyle w:val="ListParagraph"/>
        <w:spacing w:before="120" w:after="120"/>
        <w:ind w:left="714" w:right="-1" w:hanging="357"/>
        <w:contextualSpacing w:val="0"/>
        <w:rPr>
          <w:rFonts w:ascii="Arial" w:hAnsi="Arial" w:cs="Arial"/>
          <w:sz w:val="24"/>
          <w:szCs w:val="24"/>
        </w:rPr>
      </w:pPr>
      <w:r w:rsidRPr="002428C7">
        <w:rPr>
          <w:rFonts w:ascii="Arial" w:hAnsi="Arial" w:cs="Arial"/>
          <w:sz w:val="24"/>
          <w:szCs w:val="24"/>
        </w:rPr>
        <w:t xml:space="preserve">Wai </w:t>
      </w:r>
      <w:proofErr w:type="spellStart"/>
      <w:r w:rsidRPr="002428C7">
        <w:rPr>
          <w:rFonts w:ascii="Arial" w:hAnsi="Arial" w:cs="Arial"/>
          <w:sz w:val="24"/>
          <w:szCs w:val="24"/>
        </w:rPr>
        <w:t>ora</w:t>
      </w:r>
      <w:proofErr w:type="spellEnd"/>
      <w:r w:rsidRPr="002428C7">
        <w:rPr>
          <w:rFonts w:ascii="Arial" w:hAnsi="Arial" w:cs="Arial"/>
          <w:sz w:val="24"/>
          <w:szCs w:val="24"/>
        </w:rPr>
        <w:t xml:space="preserve"> – health environments </w:t>
      </w:r>
    </w:p>
    <w:p w14:paraId="5961485E" w14:textId="77777777" w:rsidR="00214C44" w:rsidRPr="002428C7" w:rsidRDefault="00214C44" w:rsidP="002428C7">
      <w:pPr>
        <w:spacing w:after="120"/>
        <w:ind w:left="-11" w:right="-1"/>
        <w:jc w:val="both"/>
        <w:rPr>
          <w:rFonts w:ascii="Arial" w:hAnsi="Arial" w:cs="Arial"/>
          <w:sz w:val="24"/>
          <w:szCs w:val="24"/>
        </w:rPr>
      </w:pPr>
      <w:proofErr w:type="spellStart"/>
      <w:r w:rsidRPr="002428C7">
        <w:rPr>
          <w:rFonts w:ascii="Arial" w:hAnsi="Arial" w:cs="Arial"/>
          <w:sz w:val="24"/>
          <w:szCs w:val="24"/>
        </w:rPr>
        <w:t>Pae</w:t>
      </w:r>
      <w:proofErr w:type="spellEnd"/>
      <w:r w:rsidRPr="002428C7">
        <w:rPr>
          <w:rFonts w:ascii="Arial" w:hAnsi="Arial" w:cs="Arial"/>
          <w:sz w:val="24"/>
          <w:szCs w:val="24"/>
        </w:rPr>
        <w:t xml:space="preserve"> Ora provides a platform for Māori to live with good health and well-being in an environment that supports a good quality of life. It encourages everyone in the health and disability sector to work collaboratively, to think beyond narrow definitions </w:t>
      </w:r>
      <w:r w:rsidR="00C773D8" w:rsidRPr="002428C7">
        <w:rPr>
          <w:rFonts w:ascii="Arial" w:hAnsi="Arial" w:cs="Arial"/>
          <w:sz w:val="24"/>
          <w:szCs w:val="24"/>
        </w:rPr>
        <w:t xml:space="preserve">of </w:t>
      </w:r>
      <w:r w:rsidRPr="002428C7">
        <w:rPr>
          <w:rFonts w:ascii="Arial" w:hAnsi="Arial" w:cs="Arial"/>
          <w:sz w:val="24"/>
          <w:szCs w:val="24"/>
        </w:rPr>
        <w:t>health, and to provide a high-quality and effective service.</w:t>
      </w:r>
    </w:p>
    <w:p w14:paraId="04222196" w14:textId="77777777" w:rsidR="00214C44" w:rsidRPr="002428C7" w:rsidRDefault="00214C44" w:rsidP="002428C7">
      <w:pPr>
        <w:spacing w:after="120"/>
        <w:ind w:left="-11" w:right="-1"/>
        <w:jc w:val="both"/>
        <w:rPr>
          <w:rFonts w:ascii="Arial" w:hAnsi="Arial" w:cs="Arial"/>
          <w:sz w:val="24"/>
          <w:szCs w:val="24"/>
        </w:rPr>
      </w:pPr>
      <w:r w:rsidRPr="002428C7">
        <w:rPr>
          <w:rFonts w:ascii="Arial" w:hAnsi="Arial" w:cs="Arial"/>
          <w:sz w:val="24"/>
          <w:szCs w:val="24"/>
        </w:rPr>
        <w:t>The Provider’s policies and practices will demonstrate measurable benefit to Māori, including demonstration of:</w:t>
      </w:r>
    </w:p>
    <w:p w14:paraId="2C6F1D08" w14:textId="77777777" w:rsidR="00214C44" w:rsidRPr="002428C7" w:rsidRDefault="000E7FDE" w:rsidP="00DC674C">
      <w:pPr>
        <w:pStyle w:val="ListParagraph"/>
        <w:numPr>
          <w:ilvl w:val="0"/>
          <w:numId w:val="24"/>
        </w:numPr>
        <w:spacing w:before="120" w:after="0"/>
        <w:ind w:left="567" w:right="-1" w:hanging="567"/>
        <w:contextualSpacing w:val="0"/>
        <w:rPr>
          <w:rFonts w:ascii="Arial" w:hAnsi="Arial" w:cs="Arial"/>
          <w:sz w:val="24"/>
          <w:szCs w:val="24"/>
        </w:rPr>
      </w:pPr>
      <w:r>
        <w:rPr>
          <w:rFonts w:ascii="Arial" w:hAnsi="Arial" w:cs="Arial"/>
          <w:sz w:val="24"/>
          <w:szCs w:val="24"/>
        </w:rPr>
        <w:t>s</w:t>
      </w:r>
      <w:r w:rsidR="00214C44" w:rsidRPr="002428C7">
        <w:rPr>
          <w:rFonts w:ascii="Arial" w:hAnsi="Arial" w:cs="Arial"/>
          <w:sz w:val="24"/>
          <w:szCs w:val="24"/>
        </w:rPr>
        <w:t>ervices that will equitably and directly deliver on Māori health priorities</w:t>
      </w:r>
    </w:p>
    <w:p w14:paraId="3DB995D2" w14:textId="77777777" w:rsidR="00214C44" w:rsidRPr="002428C7" w:rsidRDefault="000E7FDE" w:rsidP="00DC674C">
      <w:pPr>
        <w:pStyle w:val="ListParagraph"/>
        <w:numPr>
          <w:ilvl w:val="0"/>
          <w:numId w:val="24"/>
        </w:numPr>
        <w:spacing w:before="120" w:after="0"/>
        <w:ind w:left="567" w:right="-1" w:hanging="567"/>
        <w:contextualSpacing w:val="0"/>
        <w:rPr>
          <w:rFonts w:ascii="Arial" w:hAnsi="Arial" w:cs="Arial"/>
          <w:sz w:val="24"/>
          <w:szCs w:val="24"/>
        </w:rPr>
      </w:pPr>
      <w:r>
        <w:rPr>
          <w:rFonts w:ascii="Arial" w:hAnsi="Arial" w:cs="Arial"/>
          <w:sz w:val="24"/>
          <w:szCs w:val="24"/>
        </w:rPr>
        <w:t>w</w:t>
      </w:r>
      <w:r w:rsidR="00214C44" w:rsidRPr="002428C7">
        <w:rPr>
          <w:rFonts w:ascii="Arial" w:hAnsi="Arial" w:cs="Arial"/>
          <w:sz w:val="24"/>
          <w:szCs w:val="24"/>
        </w:rPr>
        <w:t>orkforce training focused on the delivery of services to Māori including the service’s understanding of Māori principles/tikanga</w:t>
      </w:r>
    </w:p>
    <w:p w14:paraId="13B571EF" w14:textId="17D537CB" w:rsidR="00214C44" w:rsidRPr="002428C7" w:rsidRDefault="00214C44" w:rsidP="00DC674C">
      <w:pPr>
        <w:pStyle w:val="ListParagraph"/>
        <w:numPr>
          <w:ilvl w:val="0"/>
          <w:numId w:val="24"/>
        </w:numPr>
        <w:spacing w:before="120" w:after="0"/>
        <w:ind w:left="567" w:right="-1" w:hanging="567"/>
        <w:contextualSpacing w:val="0"/>
        <w:rPr>
          <w:rFonts w:ascii="Arial" w:hAnsi="Arial" w:cs="Arial"/>
          <w:sz w:val="24"/>
          <w:szCs w:val="24"/>
        </w:rPr>
      </w:pPr>
      <w:r w:rsidRPr="002428C7">
        <w:rPr>
          <w:rFonts w:ascii="Arial" w:hAnsi="Arial" w:cs="Arial"/>
          <w:sz w:val="24"/>
          <w:szCs w:val="24"/>
        </w:rPr>
        <w:t xml:space="preserve">client and whānau feedback on how they believe the </w:t>
      </w:r>
      <w:r w:rsidR="004178C6">
        <w:rPr>
          <w:rFonts w:ascii="Arial" w:hAnsi="Arial" w:cs="Arial"/>
          <w:sz w:val="24"/>
          <w:szCs w:val="24"/>
        </w:rPr>
        <w:t>P</w:t>
      </w:r>
      <w:r w:rsidRPr="002428C7">
        <w:rPr>
          <w:rFonts w:ascii="Arial" w:hAnsi="Arial" w:cs="Arial"/>
          <w:sz w:val="24"/>
          <w:szCs w:val="24"/>
        </w:rPr>
        <w:t>rovider has delivered in relation to Māori values and beliefs</w:t>
      </w:r>
    </w:p>
    <w:p w14:paraId="32E08CBB" w14:textId="77777777" w:rsidR="00214C44" w:rsidRPr="002428C7" w:rsidRDefault="000E7FDE" w:rsidP="00DC674C">
      <w:pPr>
        <w:pStyle w:val="ListParagraph"/>
        <w:numPr>
          <w:ilvl w:val="0"/>
          <w:numId w:val="24"/>
        </w:numPr>
        <w:spacing w:before="120" w:after="0"/>
        <w:ind w:left="567" w:right="-1" w:hanging="567"/>
        <w:contextualSpacing w:val="0"/>
        <w:rPr>
          <w:rFonts w:ascii="Arial" w:hAnsi="Arial" w:cs="Arial"/>
          <w:sz w:val="24"/>
          <w:szCs w:val="24"/>
        </w:rPr>
      </w:pPr>
      <w:r>
        <w:rPr>
          <w:rFonts w:ascii="Arial" w:hAnsi="Arial" w:cs="Arial"/>
          <w:sz w:val="24"/>
          <w:szCs w:val="24"/>
        </w:rPr>
        <w:t>l</w:t>
      </w:r>
      <w:r w:rsidR="00214C44" w:rsidRPr="002428C7">
        <w:rPr>
          <w:rFonts w:ascii="Arial" w:hAnsi="Arial" w:cs="Arial"/>
          <w:sz w:val="24"/>
          <w:szCs w:val="24"/>
        </w:rPr>
        <w:t>inkages with the local Māori community and how these are enhanced; and</w:t>
      </w:r>
    </w:p>
    <w:p w14:paraId="6B83B088" w14:textId="77777777" w:rsidR="00214C44" w:rsidRPr="002428C7" w:rsidRDefault="000E7FDE" w:rsidP="00DC674C">
      <w:pPr>
        <w:pStyle w:val="ListParagraph"/>
        <w:numPr>
          <w:ilvl w:val="0"/>
          <w:numId w:val="24"/>
        </w:numPr>
        <w:spacing w:before="120" w:after="0"/>
        <w:ind w:left="567" w:right="-1" w:hanging="567"/>
        <w:contextualSpacing w:val="0"/>
        <w:rPr>
          <w:rFonts w:ascii="Arial" w:hAnsi="Arial" w:cs="Arial"/>
          <w:sz w:val="24"/>
          <w:szCs w:val="24"/>
        </w:rPr>
      </w:pPr>
      <w:r>
        <w:rPr>
          <w:rFonts w:ascii="Arial" w:hAnsi="Arial" w:cs="Arial"/>
          <w:sz w:val="24"/>
          <w:szCs w:val="24"/>
        </w:rPr>
        <w:t>p</w:t>
      </w:r>
      <w:r w:rsidR="00214C44" w:rsidRPr="002428C7">
        <w:rPr>
          <w:rFonts w:ascii="Arial" w:hAnsi="Arial" w:cs="Arial"/>
          <w:sz w:val="24"/>
          <w:szCs w:val="24"/>
        </w:rPr>
        <w:t xml:space="preserve">rocesses to include engagement and input from Māori into service delivery management and ongoing improvement and development of the service. </w:t>
      </w:r>
    </w:p>
    <w:p w14:paraId="36184000" w14:textId="77777777" w:rsidR="0058478B" w:rsidRPr="002428C7" w:rsidRDefault="00456392" w:rsidP="00DC674C">
      <w:pPr>
        <w:pStyle w:val="Heading1"/>
      </w:pPr>
      <w:bookmarkStart w:id="22" w:name="_Toc510537449"/>
      <w:bookmarkStart w:id="23" w:name="_Toc19519181"/>
      <w:bookmarkStart w:id="24" w:name="_Toc19524549"/>
      <w:bookmarkStart w:id="25" w:name="_Toc43122836"/>
      <w:bookmarkEnd w:id="9"/>
      <w:r w:rsidRPr="002428C7">
        <w:t>5</w:t>
      </w:r>
      <w:r w:rsidRPr="002428C7">
        <w:tab/>
      </w:r>
      <w:r w:rsidR="0058478B" w:rsidRPr="002428C7">
        <w:t xml:space="preserve">Service </w:t>
      </w:r>
      <w:bookmarkEnd w:id="22"/>
      <w:bookmarkEnd w:id="23"/>
      <w:bookmarkEnd w:id="24"/>
      <w:r w:rsidR="00756B27" w:rsidRPr="002428C7">
        <w:t>Description</w:t>
      </w:r>
      <w:bookmarkEnd w:id="25"/>
    </w:p>
    <w:p w14:paraId="5B5C1DBC" w14:textId="0CB847B7" w:rsidR="00796887" w:rsidRPr="002428C7" w:rsidRDefault="00796887" w:rsidP="002428C7">
      <w:pPr>
        <w:pStyle w:val="Heading2"/>
        <w:spacing w:after="120"/>
        <w:rPr>
          <w:rFonts w:ascii="Arial" w:hAnsi="Arial" w:cs="Arial"/>
          <w:b w:val="0"/>
          <w:sz w:val="24"/>
          <w:szCs w:val="24"/>
          <w:lang w:val="en-US"/>
        </w:rPr>
      </w:pPr>
      <w:bookmarkStart w:id="26" w:name="_Toc43122837"/>
      <w:r w:rsidRPr="002428C7">
        <w:rPr>
          <w:rFonts w:ascii="Arial" w:hAnsi="Arial" w:cs="Arial"/>
          <w:sz w:val="24"/>
          <w:szCs w:val="24"/>
          <w:lang w:val="en-US"/>
        </w:rPr>
        <w:t>5.1</w:t>
      </w:r>
      <w:r w:rsidRPr="002428C7">
        <w:rPr>
          <w:rFonts w:ascii="Arial" w:hAnsi="Arial" w:cs="Arial"/>
          <w:sz w:val="24"/>
          <w:szCs w:val="24"/>
          <w:lang w:val="en-US"/>
        </w:rPr>
        <w:tab/>
        <w:t xml:space="preserve">Hours of </w:t>
      </w:r>
      <w:r w:rsidR="00FC3020">
        <w:rPr>
          <w:rFonts w:ascii="Arial" w:hAnsi="Arial" w:cs="Arial"/>
          <w:sz w:val="24"/>
          <w:szCs w:val="24"/>
          <w:lang w:val="en-US"/>
        </w:rPr>
        <w:t>s</w:t>
      </w:r>
      <w:r w:rsidRPr="002428C7">
        <w:rPr>
          <w:rFonts w:ascii="Arial" w:hAnsi="Arial" w:cs="Arial"/>
          <w:sz w:val="24"/>
          <w:szCs w:val="24"/>
          <w:lang w:val="en-US"/>
        </w:rPr>
        <w:t xml:space="preserve">ervice </w:t>
      </w:r>
      <w:r w:rsidR="00FC3020">
        <w:rPr>
          <w:rFonts w:ascii="Arial" w:hAnsi="Arial" w:cs="Arial"/>
          <w:sz w:val="24"/>
          <w:szCs w:val="24"/>
          <w:lang w:val="en-US"/>
        </w:rPr>
        <w:t>p</w:t>
      </w:r>
      <w:r w:rsidRPr="002428C7">
        <w:rPr>
          <w:rFonts w:ascii="Arial" w:hAnsi="Arial" w:cs="Arial"/>
          <w:sz w:val="24"/>
          <w:szCs w:val="24"/>
          <w:lang w:val="en-US"/>
        </w:rPr>
        <w:t>rovision</w:t>
      </w:r>
      <w:bookmarkEnd w:id="26"/>
    </w:p>
    <w:p w14:paraId="77ED980D" w14:textId="485C3190" w:rsidR="004C13E7" w:rsidRPr="002428C7" w:rsidRDefault="004C13E7" w:rsidP="004C13E7">
      <w:pPr>
        <w:rPr>
          <w:rFonts w:ascii="Arial" w:hAnsi="Arial" w:cs="Arial"/>
          <w:sz w:val="24"/>
          <w:szCs w:val="24"/>
          <w:lang w:val="en-US"/>
        </w:rPr>
      </w:pPr>
      <w:r w:rsidRPr="002428C7">
        <w:rPr>
          <w:rFonts w:ascii="Arial" w:hAnsi="Arial" w:cs="Arial"/>
          <w:sz w:val="24"/>
          <w:szCs w:val="24"/>
          <w:lang w:val="en-US"/>
        </w:rPr>
        <w:t xml:space="preserve">The </w:t>
      </w:r>
      <w:r w:rsidR="00796887" w:rsidRPr="002428C7">
        <w:rPr>
          <w:rFonts w:ascii="Arial" w:hAnsi="Arial" w:cs="Arial"/>
          <w:sz w:val="24"/>
          <w:szCs w:val="24"/>
          <w:lang w:val="en-US"/>
        </w:rPr>
        <w:t xml:space="preserve">Service will be </w:t>
      </w:r>
      <w:r w:rsidR="00C773D8" w:rsidRPr="002428C7">
        <w:rPr>
          <w:rFonts w:ascii="Arial" w:hAnsi="Arial" w:cs="Arial"/>
          <w:sz w:val="24"/>
          <w:szCs w:val="24"/>
          <w:lang w:val="en-US"/>
        </w:rPr>
        <w:t>accessible</w:t>
      </w:r>
      <w:r w:rsidRPr="002428C7">
        <w:rPr>
          <w:rFonts w:ascii="Arial" w:hAnsi="Arial" w:cs="Arial"/>
          <w:sz w:val="24"/>
          <w:szCs w:val="24"/>
          <w:lang w:val="en-US"/>
        </w:rPr>
        <w:t xml:space="preserve"> 24 hours, seven days a week, as appropriate to meet client needs. In usual circumstances, </w:t>
      </w:r>
      <w:r w:rsidR="007268CF" w:rsidRPr="002428C7">
        <w:rPr>
          <w:rFonts w:ascii="Arial" w:hAnsi="Arial" w:cs="Arial"/>
          <w:sz w:val="24"/>
          <w:szCs w:val="24"/>
          <w:lang w:val="en-US"/>
        </w:rPr>
        <w:t xml:space="preserve">inside </w:t>
      </w:r>
      <w:r w:rsidRPr="002428C7">
        <w:rPr>
          <w:rFonts w:ascii="Arial" w:hAnsi="Arial" w:cs="Arial"/>
          <w:sz w:val="24"/>
          <w:szCs w:val="24"/>
          <w:lang w:val="en-US"/>
        </w:rPr>
        <w:t>service</w:t>
      </w:r>
      <w:r w:rsidR="007268CF" w:rsidRPr="002428C7">
        <w:rPr>
          <w:rFonts w:ascii="Arial" w:hAnsi="Arial" w:cs="Arial"/>
          <w:sz w:val="24"/>
          <w:szCs w:val="24"/>
          <w:lang w:val="en-US"/>
        </w:rPr>
        <w:t xml:space="preserve"> hours are</w:t>
      </w:r>
      <w:r w:rsidRPr="002428C7">
        <w:rPr>
          <w:rFonts w:ascii="Arial" w:hAnsi="Arial" w:cs="Arial"/>
          <w:sz w:val="24"/>
          <w:szCs w:val="24"/>
          <w:lang w:val="en-US"/>
        </w:rPr>
        <w:t xml:space="preserve"> between 7</w:t>
      </w:r>
      <w:r w:rsidR="008C1D77" w:rsidRPr="002428C7">
        <w:rPr>
          <w:rFonts w:ascii="Arial" w:hAnsi="Arial" w:cs="Arial"/>
          <w:sz w:val="24"/>
          <w:szCs w:val="24"/>
          <w:lang w:val="en-US"/>
        </w:rPr>
        <w:t>.00</w:t>
      </w:r>
      <w:r w:rsidRPr="002428C7">
        <w:rPr>
          <w:rFonts w:ascii="Arial" w:hAnsi="Arial" w:cs="Arial"/>
          <w:sz w:val="24"/>
          <w:szCs w:val="24"/>
          <w:lang w:val="en-US"/>
        </w:rPr>
        <w:t xml:space="preserve"> am </w:t>
      </w:r>
      <w:r w:rsidR="00737C02">
        <w:rPr>
          <w:rFonts w:ascii="Arial" w:hAnsi="Arial" w:cs="Arial"/>
          <w:sz w:val="24"/>
          <w:szCs w:val="24"/>
          <w:lang w:val="en-US"/>
        </w:rPr>
        <w:t xml:space="preserve">and </w:t>
      </w:r>
      <w:r w:rsidRPr="002428C7">
        <w:rPr>
          <w:rFonts w:ascii="Arial" w:hAnsi="Arial" w:cs="Arial"/>
          <w:sz w:val="24"/>
          <w:szCs w:val="24"/>
          <w:lang w:val="en-US"/>
        </w:rPr>
        <w:t>10</w:t>
      </w:r>
      <w:r w:rsidR="008C1D77" w:rsidRPr="002428C7">
        <w:rPr>
          <w:rFonts w:ascii="Arial" w:hAnsi="Arial" w:cs="Arial"/>
          <w:sz w:val="24"/>
          <w:szCs w:val="24"/>
          <w:lang w:val="en-US"/>
        </w:rPr>
        <w:t>.00</w:t>
      </w:r>
      <w:r w:rsidRPr="002428C7">
        <w:rPr>
          <w:rFonts w:ascii="Arial" w:hAnsi="Arial" w:cs="Arial"/>
          <w:sz w:val="24"/>
          <w:szCs w:val="24"/>
          <w:lang w:val="en-US"/>
        </w:rPr>
        <w:t xml:space="preserve"> pm</w:t>
      </w:r>
      <w:r w:rsidR="00092DDF" w:rsidRPr="002428C7">
        <w:rPr>
          <w:rFonts w:ascii="Arial" w:hAnsi="Arial" w:cs="Arial"/>
          <w:sz w:val="24"/>
          <w:szCs w:val="24"/>
          <w:lang w:val="en-US"/>
        </w:rPr>
        <w:t xml:space="preserve"> or by negotiation</w:t>
      </w:r>
      <w:r w:rsidRPr="002428C7">
        <w:rPr>
          <w:rFonts w:ascii="Arial" w:hAnsi="Arial" w:cs="Arial"/>
          <w:sz w:val="24"/>
          <w:szCs w:val="24"/>
          <w:lang w:val="en-US"/>
        </w:rPr>
        <w:t xml:space="preserve">, seven days a week. </w:t>
      </w:r>
      <w:r w:rsidR="007268CF" w:rsidRPr="002428C7">
        <w:rPr>
          <w:rFonts w:ascii="Arial" w:hAnsi="Arial" w:cs="Arial"/>
          <w:sz w:val="24"/>
          <w:szCs w:val="24"/>
          <w:lang w:val="en-US"/>
        </w:rPr>
        <w:t>It is not expected that support services will be delivered by support workers between 10</w:t>
      </w:r>
      <w:r w:rsidR="008C1D77" w:rsidRPr="002428C7">
        <w:rPr>
          <w:rFonts w:ascii="Arial" w:hAnsi="Arial" w:cs="Arial"/>
          <w:sz w:val="24"/>
          <w:szCs w:val="24"/>
          <w:lang w:val="en-US"/>
        </w:rPr>
        <w:t>.00</w:t>
      </w:r>
      <w:r w:rsidR="007268CF" w:rsidRPr="002428C7">
        <w:rPr>
          <w:rFonts w:ascii="Arial" w:hAnsi="Arial" w:cs="Arial"/>
          <w:sz w:val="24"/>
          <w:szCs w:val="24"/>
          <w:lang w:val="en-US"/>
        </w:rPr>
        <w:t xml:space="preserve"> pm and 7</w:t>
      </w:r>
      <w:r w:rsidR="008C1D77" w:rsidRPr="002428C7">
        <w:rPr>
          <w:rFonts w:ascii="Arial" w:hAnsi="Arial" w:cs="Arial"/>
          <w:sz w:val="24"/>
          <w:szCs w:val="24"/>
          <w:lang w:val="en-US"/>
        </w:rPr>
        <w:t>.00</w:t>
      </w:r>
      <w:r w:rsidR="007268CF" w:rsidRPr="002428C7">
        <w:rPr>
          <w:rFonts w:ascii="Arial" w:hAnsi="Arial" w:cs="Arial"/>
          <w:sz w:val="24"/>
          <w:szCs w:val="24"/>
          <w:lang w:val="en-US"/>
        </w:rPr>
        <w:t xml:space="preserve"> am. </w:t>
      </w:r>
      <w:r w:rsidR="004309E6" w:rsidRPr="002428C7">
        <w:rPr>
          <w:rFonts w:ascii="Arial" w:hAnsi="Arial" w:cs="Arial"/>
          <w:sz w:val="24"/>
          <w:szCs w:val="24"/>
          <w:lang w:val="en-US"/>
        </w:rPr>
        <w:t>S</w:t>
      </w:r>
      <w:r w:rsidRPr="002428C7">
        <w:rPr>
          <w:rFonts w:ascii="Arial" w:hAnsi="Arial" w:cs="Arial"/>
          <w:sz w:val="24"/>
          <w:szCs w:val="24"/>
          <w:lang w:val="en-US"/>
        </w:rPr>
        <w:t>ervice times</w:t>
      </w:r>
      <w:r w:rsidR="004309E6" w:rsidRPr="002428C7">
        <w:rPr>
          <w:rFonts w:ascii="Arial" w:hAnsi="Arial" w:cs="Arial"/>
          <w:sz w:val="24"/>
          <w:szCs w:val="24"/>
          <w:lang w:val="en-US"/>
        </w:rPr>
        <w:t xml:space="preserve"> (</w:t>
      </w:r>
      <w:proofErr w:type="spellStart"/>
      <w:r w:rsidR="00370125" w:rsidRPr="002428C7">
        <w:rPr>
          <w:rFonts w:ascii="Arial" w:hAnsi="Arial" w:cs="Arial"/>
          <w:sz w:val="24"/>
          <w:szCs w:val="24"/>
          <w:lang w:val="en-US"/>
        </w:rPr>
        <w:t>eg</w:t>
      </w:r>
      <w:proofErr w:type="spellEnd"/>
      <w:r w:rsidR="00737C02">
        <w:rPr>
          <w:rFonts w:ascii="Arial" w:hAnsi="Arial" w:cs="Arial"/>
          <w:sz w:val="24"/>
          <w:szCs w:val="24"/>
          <w:lang w:val="en-US"/>
        </w:rPr>
        <w:t>,</w:t>
      </w:r>
      <w:r w:rsidR="004309E6" w:rsidRPr="002428C7">
        <w:rPr>
          <w:rFonts w:ascii="Arial" w:hAnsi="Arial" w:cs="Arial"/>
          <w:sz w:val="24"/>
          <w:szCs w:val="24"/>
          <w:lang w:val="en-US"/>
        </w:rPr>
        <w:t xml:space="preserve"> between </w:t>
      </w:r>
      <w:r w:rsidR="004309E6" w:rsidRPr="002428C7">
        <w:rPr>
          <w:rFonts w:ascii="Arial" w:hAnsi="Arial" w:cs="Arial"/>
          <w:sz w:val="24"/>
          <w:szCs w:val="24"/>
          <w:lang w:val="en-US"/>
        </w:rPr>
        <w:lastRenderedPageBreak/>
        <w:t>7</w:t>
      </w:r>
      <w:r w:rsidR="00737C02">
        <w:rPr>
          <w:rFonts w:ascii="Arial" w:hAnsi="Arial" w:cs="Arial"/>
          <w:sz w:val="24"/>
          <w:szCs w:val="24"/>
          <w:lang w:val="en-US"/>
        </w:rPr>
        <w:t>am</w:t>
      </w:r>
      <w:r w:rsidR="004309E6" w:rsidRPr="002428C7">
        <w:rPr>
          <w:rFonts w:ascii="Arial" w:hAnsi="Arial" w:cs="Arial"/>
          <w:sz w:val="24"/>
          <w:szCs w:val="24"/>
          <w:lang w:val="en-US"/>
        </w:rPr>
        <w:t xml:space="preserve"> and </w:t>
      </w:r>
      <w:r w:rsidR="00370125" w:rsidRPr="002428C7">
        <w:rPr>
          <w:rFonts w:ascii="Arial" w:hAnsi="Arial" w:cs="Arial"/>
          <w:sz w:val="24"/>
          <w:szCs w:val="24"/>
          <w:lang w:val="en-US"/>
        </w:rPr>
        <w:t>9am</w:t>
      </w:r>
      <w:r w:rsidR="004309E6" w:rsidRPr="002428C7">
        <w:rPr>
          <w:rFonts w:ascii="Arial" w:hAnsi="Arial" w:cs="Arial"/>
          <w:sz w:val="24"/>
          <w:szCs w:val="24"/>
          <w:lang w:val="en-US"/>
        </w:rPr>
        <w:t>)</w:t>
      </w:r>
      <w:r w:rsidRPr="002428C7">
        <w:rPr>
          <w:rFonts w:ascii="Arial" w:hAnsi="Arial" w:cs="Arial"/>
          <w:sz w:val="24"/>
          <w:szCs w:val="24"/>
          <w:lang w:val="en-US"/>
        </w:rPr>
        <w:t xml:space="preserve"> will be determined </w:t>
      </w:r>
      <w:r w:rsidR="007268CF" w:rsidRPr="002428C7">
        <w:rPr>
          <w:rFonts w:ascii="Arial" w:hAnsi="Arial" w:cs="Arial"/>
          <w:sz w:val="24"/>
          <w:szCs w:val="24"/>
          <w:lang w:val="en-US"/>
        </w:rPr>
        <w:t xml:space="preserve">in response to the client’s current and evolving needs </w:t>
      </w:r>
      <w:r w:rsidRPr="002428C7">
        <w:rPr>
          <w:rFonts w:ascii="Arial" w:hAnsi="Arial" w:cs="Arial"/>
          <w:sz w:val="24"/>
          <w:szCs w:val="24"/>
          <w:lang w:val="en-US"/>
        </w:rPr>
        <w:t xml:space="preserve">in consultation between the Provider, the client, their </w:t>
      </w:r>
      <w:proofErr w:type="spellStart"/>
      <w:r w:rsidRPr="002428C7">
        <w:rPr>
          <w:rFonts w:ascii="Arial" w:hAnsi="Arial" w:cs="Arial"/>
          <w:sz w:val="24"/>
          <w:szCs w:val="24"/>
          <w:lang w:val="en-US"/>
        </w:rPr>
        <w:t>carer</w:t>
      </w:r>
      <w:proofErr w:type="spellEnd"/>
      <w:r w:rsidRPr="002428C7">
        <w:rPr>
          <w:rFonts w:ascii="Arial" w:hAnsi="Arial" w:cs="Arial"/>
          <w:sz w:val="24"/>
          <w:szCs w:val="24"/>
          <w:lang w:val="en-US"/>
        </w:rPr>
        <w:t xml:space="preserve">, and </w:t>
      </w:r>
      <w:r w:rsidR="007268CF" w:rsidRPr="002428C7">
        <w:rPr>
          <w:rFonts w:ascii="Arial" w:hAnsi="Arial" w:cs="Arial"/>
          <w:sz w:val="24"/>
          <w:szCs w:val="24"/>
          <w:lang w:val="en-US"/>
        </w:rPr>
        <w:t>whānau.</w:t>
      </w:r>
    </w:p>
    <w:p w14:paraId="70EF13FF" w14:textId="13E63CF4" w:rsidR="004C13E7" w:rsidRPr="002428C7" w:rsidRDefault="004C13E7" w:rsidP="00456392">
      <w:pPr>
        <w:rPr>
          <w:rFonts w:ascii="Arial" w:hAnsi="Arial" w:cs="Arial"/>
          <w:sz w:val="24"/>
          <w:szCs w:val="24"/>
        </w:rPr>
      </w:pPr>
      <w:r w:rsidRPr="002428C7">
        <w:rPr>
          <w:rFonts w:ascii="Arial" w:hAnsi="Arial" w:cs="Arial"/>
          <w:sz w:val="24"/>
          <w:szCs w:val="24"/>
        </w:rPr>
        <w:t xml:space="preserve">Inside service hours the client, referrers and </w:t>
      </w:r>
      <w:r w:rsidR="005212CC" w:rsidRPr="002428C7">
        <w:rPr>
          <w:rFonts w:ascii="Arial" w:hAnsi="Arial" w:cs="Arial"/>
          <w:sz w:val="24"/>
          <w:szCs w:val="24"/>
        </w:rPr>
        <w:t xml:space="preserve">support </w:t>
      </w:r>
      <w:r w:rsidRPr="002428C7">
        <w:rPr>
          <w:rFonts w:ascii="Arial" w:hAnsi="Arial" w:cs="Arial"/>
          <w:sz w:val="24"/>
          <w:szCs w:val="24"/>
        </w:rPr>
        <w:t xml:space="preserve">workers will be able to make direct contact with a </w:t>
      </w:r>
      <w:r w:rsidR="004178C6">
        <w:rPr>
          <w:rFonts w:ascii="Arial" w:hAnsi="Arial" w:cs="Arial"/>
          <w:sz w:val="24"/>
          <w:szCs w:val="24"/>
        </w:rPr>
        <w:t>P</w:t>
      </w:r>
      <w:r w:rsidRPr="002428C7">
        <w:rPr>
          <w:rFonts w:ascii="Arial" w:hAnsi="Arial" w:cs="Arial"/>
          <w:sz w:val="24"/>
          <w:szCs w:val="24"/>
        </w:rPr>
        <w:t>rovider representative. Responses to queries will be available Monday to Sunday between the hours of 7.00</w:t>
      </w:r>
      <w:r w:rsidR="00737C02">
        <w:rPr>
          <w:rFonts w:ascii="Arial" w:hAnsi="Arial" w:cs="Arial"/>
          <w:sz w:val="24"/>
          <w:szCs w:val="24"/>
        </w:rPr>
        <w:t xml:space="preserve"> </w:t>
      </w:r>
      <w:r w:rsidRPr="002428C7">
        <w:rPr>
          <w:rFonts w:ascii="Arial" w:hAnsi="Arial" w:cs="Arial"/>
          <w:sz w:val="24"/>
          <w:szCs w:val="24"/>
        </w:rPr>
        <w:t>am and 10.00</w:t>
      </w:r>
      <w:r w:rsidR="00737C02">
        <w:rPr>
          <w:rFonts w:ascii="Arial" w:hAnsi="Arial" w:cs="Arial"/>
          <w:sz w:val="24"/>
          <w:szCs w:val="24"/>
        </w:rPr>
        <w:t xml:space="preserve"> </w:t>
      </w:r>
      <w:r w:rsidRPr="002428C7">
        <w:rPr>
          <w:rFonts w:ascii="Arial" w:hAnsi="Arial" w:cs="Arial"/>
          <w:sz w:val="24"/>
          <w:szCs w:val="24"/>
        </w:rPr>
        <w:t>pm. The Provider is expected to have a process to screen and allocate urgency to messages. This expectation includes all forms of message including but not exclusive to; phone, text and email.</w:t>
      </w:r>
    </w:p>
    <w:p w14:paraId="1EDEFF6C" w14:textId="77777777" w:rsidR="0058478B" w:rsidRPr="002428C7" w:rsidRDefault="00730CBD" w:rsidP="002428C7">
      <w:pPr>
        <w:pStyle w:val="Heading2"/>
        <w:spacing w:after="120"/>
        <w:rPr>
          <w:rFonts w:ascii="Arial" w:hAnsi="Arial" w:cs="Arial"/>
          <w:sz w:val="24"/>
          <w:szCs w:val="24"/>
        </w:rPr>
      </w:pPr>
      <w:bookmarkStart w:id="27" w:name="_Toc19519182"/>
      <w:bookmarkStart w:id="28" w:name="_Toc19524550"/>
      <w:bookmarkStart w:id="29" w:name="_Toc43122838"/>
      <w:r w:rsidRPr="002428C7">
        <w:rPr>
          <w:rFonts w:ascii="Arial" w:hAnsi="Arial" w:cs="Arial"/>
          <w:sz w:val="24"/>
          <w:szCs w:val="24"/>
        </w:rPr>
        <w:t>5</w:t>
      </w:r>
      <w:r w:rsidR="00EA578D" w:rsidRPr="002428C7">
        <w:rPr>
          <w:rFonts w:ascii="Arial" w:hAnsi="Arial" w:cs="Arial"/>
          <w:sz w:val="24"/>
          <w:szCs w:val="24"/>
        </w:rPr>
        <w:t>.</w:t>
      </w:r>
      <w:r w:rsidR="007268CF" w:rsidRPr="002428C7">
        <w:rPr>
          <w:rFonts w:ascii="Arial" w:hAnsi="Arial" w:cs="Arial"/>
          <w:sz w:val="24"/>
          <w:szCs w:val="24"/>
        </w:rPr>
        <w:t>2</w:t>
      </w:r>
      <w:r w:rsidR="00E57BA5" w:rsidRPr="002428C7">
        <w:rPr>
          <w:rFonts w:ascii="Arial" w:hAnsi="Arial" w:cs="Arial"/>
          <w:sz w:val="24"/>
          <w:szCs w:val="24"/>
        </w:rPr>
        <w:tab/>
      </w:r>
      <w:bookmarkEnd w:id="27"/>
      <w:bookmarkEnd w:id="28"/>
      <w:r w:rsidR="00756B27" w:rsidRPr="002428C7">
        <w:rPr>
          <w:rFonts w:ascii="Arial" w:hAnsi="Arial" w:cs="Arial"/>
          <w:sz w:val="24"/>
          <w:szCs w:val="24"/>
        </w:rPr>
        <w:t>Restorative casemix model</w:t>
      </w:r>
      <w:r w:rsidR="00CF779A" w:rsidRPr="002428C7">
        <w:rPr>
          <w:rFonts w:ascii="Arial" w:hAnsi="Arial" w:cs="Arial"/>
          <w:sz w:val="24"/>
          <w:szCs w:val="24"/>
        </w:rPr>
        <w:t xml:space="preserve"> overview</w:t>
      </w:r>
      <w:bookmarkEnd w:id="29"/>
    </w:p>
    <w:p w14:paraId="6BF9875B" w14:textId="77777777" w:rsidR="00DA2B1B" w:rsidRPr="002428C7" w:rsidRDefault="00DA2B1B" w:rsidP="00853D3D">
      <w:pPr>
        <w:rPr>
          <w:rFonts w:ascii="Arial" w:hAnsi="Arial" w:cs="Arial"/>
          <w:sz w:val="24"/>
          <w:szCs w:val="24"/>
        </w:rPr>
      </w:pPr>
      <w:r w:rsidRPr="002428C7">
        <w:rPr>
          <w:rFonts w:ascii="Arial" w:hAnsi="Arial" w:cs="Arial"/>
          <w:sz w:val="24"/>
          <w:szCs w:val="24"/>
        </w:rPr>
        <w:t>Th</w:t>
      </w:r>
      <w:r w:rsidR="00310331" w:rsidRPr="002428C7">
        <w:rPr>
          <w:rFonts w:ascii="Arial" w:hAnsi="Arial" w:cs="Arial"/>
          <w:sz w:val="24"/>
          <w:szCs w:val="24"/>
        </w:rPr>
        <w:t>e</w:t>
      </w:r>
      <w:r w:rsidRPr="002428C7">
        <w:rPr>
          <w:rFonts w:ascii="Arial" w:hAnsi="Arial" w:cs="Arial"/>
          <w:sz w:val="24"/>
          <w:szCs w:val="24"/>
        </w:rPr>
        <w:t xml:space="preserve"> National HCSS restorative model uses a casemix methodology to group people with similar levels of assessed need together to support equitable resource allocation.  The eligible population is initially screened by a NASC</w:t>
      </w:r>
      <w:r w:rsidR="00466F61">
        <w:rPr>
          <w:rFonts w:ascii="Arial" w:hAnsi="Arial" w:cs="Arial"/>
          <w:sz w:val="24"/>
          <w:szCs w:val="24"/>
        </w:rPr>
        <w:t xml:space="preserve"> </w:t>
      </w:r>
      <w:r w:rsidR="00553AE3">
        <w:rPr>
          <w:rFonts w:ascii="Arial" w:hAnsi="Arial" w:cs="Arial"/>
          <w:sz w:val="24"/>
          <w:szCs w:val="24"/>
        </w:rPr>
        <w:t>coordinator</w:t>
      </w:r>
      <w:r w:rsidRPr="002428C7">
        <w:rPr>
          <w:rFonts w:ascii="Arial" w:hAnsi="Arial" w:cs="Arial"/>
          <w:sz w:val="24"/>
          <w:szCs w:val="24"/>
        </w:rPr>
        <w:t xml:space="preserve"> using a Service Allocation Tool (SAT) to determine level of complexity. There are two complexity groups:</w:t>
      </w:r>
      <w:r w:rsidR="009C61EB" w:rsidRPr="002428C7">
        <w:rPr>
          <w:rFonts w:ascii="Arial" w:hAnsi="Arial" w:cs="Arial"/>
          <w:sz w:val="24"/>
          <w:szCs w:val="24"/>
        </w:rPr>
        <w:t xml:space="preserve"> </w:t>
      </w:r>
      <w:r w:rsidRPr="002428C7">
        <w:rPr>
          <w:rFonts w:ascii="Arial" w:hAnsi="Arial" w:cs="Arial"/>
          <w:sz w:val="24"/>
          <w:szCs w:val="24"/>
        </w:rPr>
        <w:t>Non-</w:t>
      </w:r>
      <w:r w:rsidR="00EC7467" w:rsidRPr="002428C7">
        <w:rPr>
          <w:rFonts w:ascii="Arial" w:hAnsi="Arial" w:cs="Arial"/>
          <w:sz w:val="24"/>
          <w:szCs w:val="24"/>
        </w:rPr>
        <w:t>Complex and</w:t>
      </w:r>
      <w:r w:rsidR="009C61EB" w:rsidRPr="002428C7">
        <w:rPr>
          <w:rFonts w:ascii="Arial" w:hAnsi="Arial" w:cs="Arial"/>
          <w:sz w:val="24"/>
          <w:szCs w:val="24"/>
        </w:rPr>
        <w:t xml:space="preserve"> </w:t>
      </w:r>
      <w:r w:rsidRPr="002428C7">
        <w:rPr>
          <w:rFonts w:ascii="Arial" w:hAnsi="Arial" w:cs="Arial"/>
          <w:sz w:val="24"/>
          <w:szCs w:val="24"/>
        </w:rPr>
        <w:t>Complex</w:t>
      </w:r>
      <w:r w:rsidR="009C61EB" w:rsidRPr="002428C7">
        <w:rPr>
          <w:rFonts w:ascii="Arial" w:hAnsi="Arial" w:cs="Arial"/>
          <w:sz w:val="24"/>
          <w:szCs w:val="24"/>
        </w:rPr>
        <w:t>.</w:t>
      </w:r>
      <w:r w:rsidRPr="002428C7">
        <w:rPr>
          <w:rFonts w:ascii="Arial" w:hAnsi="Arial" w:cs="Arial"/>
          <w:sz w:val="24"/>
          <w:szCs w:val="24"/>
        </w:rPr>
        <w:t xml:space="preserve"> </w:t>
      </w:r>
    </w:p>
    <w:p w14:paraId="5ECAA5F1" w14:textId="02BD15BD" w:rsidR="00DA2B1B" w:rsidRPr="002428C7" w:rsidRDefault="004C3891" w:rsidP="00853D3D">
      <w:pPr>
        <w:rPr>
          <w:rFonts w:ascii="Arial" w:hAnsi="Arial" w:cs="Arial"/>
          <w:sz w:val="24"/>
          <w:szCs w:val="24"/>
        </w:rPr>
      </w:pPr>
      <w:r w:rsidRPr="002428C7">
        <w:rPr>
          <w:rFonts w:ascii="Arial" w:hAnsi="Arial" w:cs="Arial"/>
          <w:sz w:val="24"/>
          <w:szCs w:val="24"/>
        </w:rPr>
        <w:t xml:space="preserve">The </w:t>
      </w:r>
      <w:proofErr w:type="spellStart"/>
      <w:r w:rsidRPr="002428C7">
        <w:rPr>
          <w:rFonts w:ascii="Arial" w:hAnsi="Arial" w:cs="Arial"/>
          <w:sz w:val="24"/>
          <w:szCs w:val="24"/>
        </w:rPr>
        <w:t>interRAI</w:t>
      </w:r>
      <w:proofErr w:type="spellEnd"/>
      <w:r w:rsidRPr="002428C7">
        <w:rPr>
          <w:rFonts w:ascii="Arial" w:hAnsi="Arial" w:cs="Arial"/>
          <w:sz w:val="24"/>
          <w:szCs w:val="24"/>
        </w:rPr>
        <w:t xml:space="preserve"> assessment </w:t>
      </w:r>
      <w:r w:rsidR="006153E2" w:rsidRPr="002428C7">
        <w:rPr>
          <w:rFonts w:ascii="Arial" w:hAnsi="Arial" w:cs="Arial"/>
          <w:sz w:val="24"/>
          <w:szCs w:val="24"/>
        </w:rPr>
        <w:t xml:space="preserve">outcomes scores are used to </w:t>
      </w:r>
      <w:r w:rsidR="00756B27" w:rsidRPr="002428C7">
        <w:rPr>
          <w:rFonts w:ascii="Arial" w:hAnsi="Arial" w:cs="Arial"/>
          <w:sz w:val="24"/>
          <w:szCs w:val="24"/>
        </w:rPr>
        <w:t>determine and allocate</w:t>
      </w:r>
      <w:r w:rsidR="006153E2" w:rsidRPr="002428C7">
        <w:rPr>
          <w:rFonts w:ascii="Arial" w:hAnsi="Arial" w:cs="Arial"/>
          <w:sz w:val="24"/>
          <w:szCs w:val="24"/>
        </w:rPr>
        <w:t xml:space="preserve"> client casemix. </w:t>
      </w:r>
      <w:r w:rsidRPr="002428C7">
        <w:rPr>
          <w:rFonts w:ascii="Arial" w:hAnsi="Arial" w:cs="Arial"/>
          <w:sz w:val="24"/>
          <w:szCs w:val="24"/>
        </w:rPr>
        <w:t>The c</w:t>
      </w:r>
      <w:r w:rsidR="00DA2B1B" w:rsidRPr="002428C7">
        <w:rPr>
          <w:rFonts w:ascii="Arial" w:hAnsi="Arial" w:cs="Arial"/>
          <w:sz w:val="24"/>
          <w:szCs w:val="24"/>
        </w:rPr>
        <w:t xml:space="preserve">linical decision tree algorithms </w:t>
      </w:r>
      <w:r w:rsidRPr="002428C7">
        <w:rPr>
          <w:rFonts w:ascii="Arial" w:hAnsi="Arial" w:cs="Arial"/>
          <w:sz w:val="24"/>
          <w:szCs w:val="24"/>
        </w:rPr>
        <w:t>(</w:t>
      </w:r>
      <w:r w:rsidR="00DA2B1B" w:rsidRPr="002428C7">
        <w:rPr>
          <w:rFonts w:ascii="Arial" w:hAnsi="Arial" w:cs="Arial"/>
          <w:sz w:val="24"/>
          <w:szCs w:val="24"/>
        </w:rPr>
        <w:t>with descriptors for both non-complex and complex population groups</w:t>
      </w:r>
      <w:r w:rsidRPr="002428C7">
        <w:rPr>
          <w:rFonts w:ascii="Arial" w:hAnsi="Arial" w:cs="Arial"/>
          <w:sz w:val="24"/>
          <w:szCs w:val="24"/>
        </w:rPr>
        <w:t xml:space="preserve">) </w:t>
      </w:r>
      <w:r w:rsidR="00DA2B1B" w:rsidRPr="002428C7">
        <w:rPr>
          <w:rFonts w:ascii="Arial" w:hAnsi="Arial" w:cs="Arial"/>
          <w:sz w:val="24"/>
          <w:szCs w:val="24"/>
        </w:rPr>
        <w:t>are provided in Appendix 1.</w:t>
      </w:r>
      <w:bookmarkStart w:id="30" w:name="_Hlk15899479"/>
      <w:r w:rsidR="006153E2" w:rsidRPr="002428C7">
        <w:rPr>
          <w:rFonts w:ascii="Arial" w:hAnsi="Arial" w:cs="Arial"/>
          <w:sz w:val="24"/>
          <w:szCs w:val="24"/>
        </w:rPr>
        <w:t xml:space="preserve"> The casemix algorithms enable </w:t>
      </w:r>
      <w:r w:rsidR="004178C6">
        <w:rPr>
          <w:rFonts w:ascii="Arial" w:hAnsi="Arial" w:cs="Arial"/>
          <w:sz w:val="24"/>
          <w:szCs w:val="24"/>
        </w:rPr>
        <w:t>P</w:t>
      </w:r>
      <w:r w:rsidR="006153E2" w:rsidRPr="002428C7">
        <w:rPr>
          <w:rFonts w:ascii="Arial" w:hAnsi="Arial" w:cs="Arial"/>
          <w:sz w:val="24"/>
          <w:szCs w:val="24"/>
        </w:rPr>
        <w:t xml:space="preserve">roviders to identify clients that can be </w:t>
      </w:r>
      <w:proofErr w:type="spellStart"/>
      <w:r w:rsidR="006153E2" w:rsidRPr="002428C7">
        <w:rPr>
          <w:rFonts w:ascii="Arial" w:hAnsi="Arial" w:cs="Arial"/>
          <w:sz w:val="24"/>
          <w:szCs w:val="24"/>
        </w:rPr>
        <w:t>reabled</w:t>
      </w:r>
      <w:proofErr w:type="spellEnd"/>
      <w:r w:rsidR="006153E2" w:rsidRPr="002428C7">
        <w:rPr>
          <w:rFonts w:ascii="Arial" w:hAnsi="Arial" w:cs="Arial"/>
          <w:sz w:val="24"/>
          <w:szCs w:val="24"/>
        </w:rPr>
        <w:t>/restored, or alternatively supported to maintain or extend their level of functional ability and wellness.</w:t>
      </w:r>
      <w:bookmarkEnd w:id="30"/>
    </w:p>
    <w:p w14:paraId="1F4D005F" w14:textId="77777777" w:rsidR="0058478B" w:rsidRPr="002428C7" w:rsidRDefault="00756B27" w:rsidP="00853D3D">
      <w:pPr>
        <w:rPr>
          <w:rFonts w:ascii="Arial" w:hAnsi="Arial" w:cs="Arial"/>
          <w:sz w:val="24"/>
          <w:szCs w:val="24"/>
        </w:rPr>
      </w:pPr>
      <w:r w:rsidRPr="002428C7">
        <w:rPr>
          <w:rFonts w:ascii="Arial" w:hAnsi="Arial" w:cs="Arial"/>
          <w:sz w:val="24"/>
          <w:szCs w:val="24"/>
        </w:rPr>
        <w:t>Using a restorative approach</w:t>
      </w:r>
      <w:r w:rsidR="006153E2" w:rsidRPr="002428C7">
        <w:rPr>
          <w:rFonts w:ascii="Arial" w:hAnsi="Arial" w:cs="Arial"/>
          <w:sz w:val="24"/>
          <w:szCs w:val="24"/>
        </w:rPr>
        <w:t>,</w:t>
      </w:r>
      <w:r w:rsidR="00AB7695" w:rsidRPr="002428C7">
        <w:rPr>
          <w:rFonts w:ascii="Arial" w:hAnsi="Arial" w:cs="Arial"/>
          <w:sz w:val="24"/>
          <w:szCs w:val="24"/>
        </w:rPr>
        <w:t xml:space="preserve"> the Provider will work in partnership with the clients to develop and agree </w:t>
      </w:r>
      <w:r w:rsidR="000C779E" w:rsidRPr="002428C7">
        <w:rPr>
          <w:rFonts w:ascii="Arial" w:hAnsi="Arial" w:cs="Arial"/>
          <w:sz w:val="24"/>
          <w:szCs w:val="24"/>
        </w:rPr>
        <w:t>SMART</w:t>
      </w:r>
      <w:r w:rsidR="00246A37" w:rsidRPr="002428C7">
        <w:rPr>
          <w:rStyle w:val="FootnoteReference"/>
          <w:rFonts w:ascii="Arial" w:hAnsi="Arial" w:cs="Arial"/>
          <w:sz w:val="24"/>
          <w:szCs w:val="24"/>
        </w:rPr>
        <w:footnoteReference w:id="10"/>
      </w:r>
      <w:r w:rsidR="000C779E" w:rsidRPr="002428C7">
        <w:rPr>
          <w:rFonts w:ascii="Arial" w:hAnsi="Arial" w:cs="Arial"/>
          <w:sz w:val="24"/>
          <w:szCs w:val="24"/>
        </w:rPr>
        <w:t xml:space="preserve"> </w:t>
      </w:r>
      <w:r w:rsidR="00C773D8" w:rsidRPr="002428C7">
        <w:rPr>
          <w:rFonts w:ascii="Arial" w:hAnsi="Arial" w:cs="Arial"/>
          <w:sz w:val="24"/>
          <w:szCs w:val="24"/>
        </w:rPr>
        <w:t>g</w:t>
      </w:r>
      <w:r w:rsidR="000C779E" w:rsidRPr="002428C7">
        <w:rPr>
          <w:rFonts w:ascii="Arial" w:hAnsi="Arial" w:cs="Arial"/>
          <w:sz w:val="24"/>
          <w:szCs w:val="24"/>
        </w:rPr>
        <w:t>oals and document these in the</w:t>
      </w:r>
      <w:r w:rsidR="00AB7695" w:rsidRPr="002428C7">
        <w:rPr>
          <w:rFonts w:ascii="Arial" w:hAnsi="Arial" w:cs="Arial"/>
          <w:sz w:val="24"/>
          <w:szCs w:val="24"/>
        </w:rPr>
        <w:t xml:space="preserve"> client</w:t>
      </w:r>
      <w:r w:rsidR="004C3891" w:rsidRPr="002428C7">
        <w:rPr>
          <w:rFonts w:ascii="Arial" w:hAnsi="Arial" w:cs="Arial"/>
          <w:sz w:val="24"/>
          <w:szCs w:val="24"/>
        </w:rPr>
        <w:t>s’</w:t>
      </w:r>
      <w:r w:rsidR="00AB7695" w:rsidRPr="002428C7">
        <w:rPr>
          <w:rFonts w:ascii="Arial" w:hAnsi="Arial" w:cs="Arial"/>
          <w:sz w:val="24"/>
          <w:szCs w:val="24"/>
        </w:rPr>
        <w:t xml:space="preserve"> </w:t>
      </w:r>
      <w:r w:rsidR="00B562C1" w:rsidRPr="002428C7">
        <w:rPr>
          <w:rFonts w:ascii="Arial" w:hAnsi="Arial" w:cs="Arial"/>
          <w:sz w:val="24"/>
          <w:szCs w:val="24"/>
        </w:rPr>
        <w:t>individual support plan</w:t>
      </w:r>
      <w:r w:rsidR="00AB7695" w:rsidRPr="002428C7">
        <w:rPr>
          <w:rFonts w:ascii="Arial" w:hAnsi="Arial" w:cs="Arial"/>
          <w:sz w:val="24"/>
          <w:szCs w:val="24"/>
        </w:rPr>
        <w:t xml:space="preserve">. To facilitate achievement of </w:t>
      </w:r>
      <w:r w:rsidR="004C3891" w:rsidRPr="002428C7">
        <w:rPr>
          <w:rFonts w:ascii="Arial" w:hAnsi="Arial" w:cs="Arial"/>
          <w:sz w:val="24"/>
          <w:szCs w:val="24"/>
        </w:rPr>
        <w:t xml:space="preserve">the client’s </w:t>
      </w:r>
      <w:r w:rsidR="000C779E" w:rsidRPr="002428C7">
        <w:rPr>
          <w:rFonts w:ascii="Arial" w:hAnsi="Arial" w:cs="Arial"/>
          <w:sz w:val="24"/>
          <w:szCs w:val="24"/>
        </w:rPr>
        <w:t xml:space="preserve">SMART </w:t>
      </w:r>
      <w:r w:rsidR="00C773D8" w:rsidRPr="002428C7">
        <w:rPr>
          <w:rFonts w:ascii="Arial" w:hAnsi="Arial" w:cs="Arial"/>
          <w:sz w:val="24"/>
          <w:szCs w:val="24"/>
        </w:rPr>
        <w:t>g</w:t>
      </w:r>
      <w:r w:rsidR="000C779E" w:rsidRPr="002428C7">
        <w:rPr>
          <w:rFonts w:ascii="Arial" w:hAnsi="Arial" w:cs="Arial"/>
          <w:sz w:val="24"/>
          <w:szCs w:val="24"/>
        </w:rPr>
        <w:t>oals,</w:t>
      </w:r>
      <w:r w:rsidR="00AB7695" w:rsidRPr="002428C7">
        <w:rPr>
          <w:rFonts w:ascii="Arial" w:hAnsi="Arial" w:cs="Arial"/>
          <w:sz w:val="24"/>
          <w:szCs w:val="24"/>
        </w:rPr>
        <w:t xml:space="preserve"> Providers </w:t>
      </w:r>
      <w:r w:rsidR="006153E2" w:rsidRPr="002428C7">
        <w:rPr>
          <w:rFonts w:ascii="Arial" w:hAnsi="Arial" w:cs="Arial"/>
          <w:sz w:val="24"/>
          <w:szCs w:val="24"/>
        </w:rPr>
        <w:t xml:space="preserve">will </w:t>
      </w:r>
      <w:r w:rsidR="00AB7695" w:rsidRPr="002428C7">
        <w:rPr>
          <w:rFonts w:ascii="Arial" w:hAnsi="Arial" w:cs="Arial"/>
          <w:sz w:val="24"/>
          <w:szCs w:val="24"/>
        </w:rPr>
        <w:t xml:space="preserve">continuously </w:t>
      </w:r>
      <w:r w:rsidR="00DA2B1B" w:rsidRPr="002428C7">
        <w:rPr>
          <w:rFonts w:ascii="Arial" w:hAnsi="Arial" w:cs="Arial"/>
          <w:sz w:val="24"/>
          <w:szCs w:val="24"/>
        </w:rPr>
        <w:t xml:space="preserve">deliver </w:t>
      </w:r>
      <w:r w:rsidR="00AB7695" w:rsidRPr="002428C7">
        <w:rPr>
          <w:rFonts w:ascii="Arial" w:hAnsi="Arial" w:cs="Arial"/>
          <w:sz w:val="24"/>
          <w:szCs w:val="24"/>
        </w:rPr>
        <w:t>services that</w:t>
      </w:r>
      <w:r w:rsidR="00DA2B1B" w:rsidRPr="002428C7">
        <w:rPr>
          <w:rFonts w:ascii="Arial" w:hAnsi="Arial" w:cs="Arial"/>
          <w:sz w:val="24"/>
          <w:szCs w:val="24"/>
        </w:rPr>
        <w:t xml:space="preserve"> </w:t>
      </w:r>
      <w:r w:rsidR="0058478B" w:rsidRPr="002428C7">
        <w:rPr>
          <w:rFonts w:ascii="Arial" w:hAnsi="Arial" w:cs="Arial"/>
          <w:sz w:val="24"/>
          <w:szCs w:val="24"/>
        </w:rPr>
        <w:t>include</w:t>
      </w:r>
      <w:r w:rsidR="00AB7695" w:rsidRPr="002428C7">
        <w:rPr>
          <w:rFonts w:ascii="Arial" w:hAnsi="Arial" w:cs="Arial"/>
          <w:sz w:val="24"/>
          <w:szCs w:val="24"/>
        </w:rPr>
        <w:t xml:space="preserve"> activities of</w:t>
      </w:r>
      <w:r w:rsidR="0058478B" w:rsidRPr="002428C7">
        <w:rPr>
          <w:rFonts w:ascii="Arial" w:hAnsi="Arial" w:cs="Arial"/>
          <w:sz w:val="24"/>
          <w:szCs w:val="24"/>
        </w:rPr>
        <w:t xml:space="preserve"> </w:t>
      </w:r>
      <w:proofErr w:type="spellStart"/>
      <w:r w:rsidR="0058478B" w:rsidRPr="002428C7">
        <w:rPr>
          <w:rFonts w:ascii="Arial" w:hAnsi="Arial" w:cs="Arial"/>
          <w:sz w:val="24"/>
          <w:szCs w:val="24"/>
        </w:rPr>
        <w:t>interRAI</w:t>
      </w:r>
      <w:proofErr w:type="spellEnd"/>
      <w:r w:rsidR="0058478B" w:rsidRPr="002428C7">
        <w:rPr>
          <w:rFonts w:ascii="Arial" w:hAnsi="Arial" w:cs="Arial"/>
          <w:sz w:val="24"/>
          <w:szCs w:val="24"/>
        </w:rPr>
        <w:t xml:space="preserve"> assessment</w:t>
      </w:r>
      <w:r w:rsidR="00AB7695" w:rsidRPr="002428C7">
        <w:rPr>
          <w:rFonts w:ascii="Arial" w:hAnsi="Arial" w:cs="Arial"/>
          <w:sz w:val="24"/>
          <w:szCs w:val="24"/>
        </w:rPr>
        <w:t>,</w:t>
      </w:r>
      <w:r w:rsidR="0058478B" w:rsidRPr="002428C7">
        <w:rPr>
          <w:rFonts w:ascii="Arial" w:hAnsi="Arial" w:cs="Arial"/>
          <w:sz w:val="24"/>
          <w:szCs w:val="24"/>
        </w:rPr>
        <w:t xml:space="preserve"> reassessment, </w:t>
      </w:r>
      <w:r w:rsidR="00B40C49" w:rsidRPr="002428C7">
        <w:rPr>
          <w:rFonts w:ascii="Arial" w:hAnsi="Arial" w:cs="Arial"/>
          <w:sz w:val="24"/>
          <w:szCs w:val="24"/>
        </w:rPr>
        <w:t>client</w:t>
      </w:r>
      <w:r w:rsidR="004E65EA" w:rsidRPr="002428C7">
        <w:rPr>
          <w:rFonts w:ascii="Arial" w:hAnsi="Arial" w:cs="Arial"/>
          <w:sz w:val="24"/>
          <w:szCs w:val="24"/>
        </w:rPr>
        <w:t xml:space="preserve"> centred </w:t>
      </w:r>
      <w:r w:rsidR="00B562C1" w:rsidRPr="002428C7">
        <w:rPr>
          <w:rFonts w:ascii="Arial" w:hAnsi="Arial" w:cs="Arial"/>
          <w:sz w:val="24"/>
          <w:szCs w:val="24"/>
        </w:rPr>
        <w:t>individual support planning</w:t>
      </w:r>
      <w:r w:rsidR="0058478B" w:rsidRPr="002428C7">
        <w:rPr>
          <w:rFonts w:ascii="Arial" w:hAnsi="Arial" w:cs="Arial"/>
          <w:sz w:val="24"/>
          <w:szCs w:val="24"/>
        </w:rPr>
        <w:t xml:space="preserve">, resource allocation, </w:t>
      </w:r>
      <w:r w:rsidR="00AB7695" w:rsidRPr="002428C7">
        <w:rPr>
          <w:rFonts w:ascii="Arial" w:hAnsi="Arial" w:cs="Arial"/>
          <w:sz w:val="24"/>
          <w:szCs w:val="24"/>
        </w:rPr>
        <w:t xml:space="preserve">clinical oversight, case management, </w:t>
      </w:r>
      <w:r w:rsidR="0058478B" w:rsidRPr="002428C7">
        <w:rPr>
          <w:rFonts w:ascii="Arial" w:hAnsi="Arial" w:cs="Arial"/>
          <w:sz w:val="24"/>
          <w:szCs w:val="24"/>
        </w:rPr>
        <w:t xml:space="preserve">service review, personal care and support, </w:t>
      </w:r>
      <w:r w:rsidR="00AB7695" w:rsidRPr="002428C7">
        <w:rPr>
          <w:rFonts w:ascii="Arial" w:hAnsi="Arial" w:cs="Arial"/>
          <w:sz w:val="24"/>
          <w:szCs w:val="24"/>
        </w:rPr>
        <w:t xml:space="preserve">and </w:t>
      </w:r>
      <w:r w:rsidR="0058478B" w:rsidRPr="002428C7">
        <w:rPr>
          <w:rFonts w:ascii="Arial" w:hAnsi="Arial" w:cs="Arial"/>
          <w:sz w:val="24"/>
          <w:szCs w:val="24"/>
        </w:rPr>
        <w:t>household management</w:t>
      </w:r>
      <w:r w:rsidR="00AB7695" w:rsidRPr="002428C7">
        <w:rPr>
          <w:rFonts w:ascii="Arial" w:hAnsi="Arial" w:cs="Arial"/>
          <w:sz w:val="24"/>
          <w:szCs w:val="24"/>
        </w:rPr>
        <w:t>.</w:t>
      </w:r>
      <w:r w:rsidR="0058478B" w:rsidRPr="002428C7">
        <w:rPr>
          <w:rFonts w:ascii="Arial" w:hAnsi="Arial" w:cs="Arial"/>
          <w:sz w:val="24"/>
          <w:szCs w:val="24"/>
        </w:rPr>
        <w:t xml:space="preserve"> </w:t>
      </w:r>
    </w:p>
    <w:p w14:paraId="6813EC9D" w14:textId="2AF7B6DF" w:rsidR="00AB7695" w:rsidRPr="002428C7" w:rsidRDefault="00D15903" w:rsidP="00853D3D">
      <w:pPr>
        <w:rPr>
          <w:rFonts w:ascii="Arial" w:hAnsi="Arial" w:cs="Arial"/>
          <w:sz w:val="24"/>
          <w:szCs w:val="24"/>
        </w:rPr>
      </w:pPr>
      <w:r w:rsidRPr="002428C7">
        <w:rPr>
          <w:rFonts w:ascii="Arial" w:hAnsi="Arial" w:cs="Arial"/>
          <w:sz w:val="24"/>
          <w:szCs w:val="24"/>
        </w:rPr>
        <w:t>T</w:t>
      </w:r>
      <w:r w:rsidR="004C3891" w:rsidRPr="002428C7">
        <w:rPr>
          <w:rFonts w:ascii="Arial" w:hAnsi="Arial" w:cs="Arial"/>
          <w:sz w:val="24"/>
          <w:szCs w:val="24"/>
        </w:rPr>
        <w:t xml:space="preserve">he Provider will review the </w:t>
      </w:r>
      <w:r w:rsidR="00B562C1" w:rsidRPr="002428C7">
        <w:rPr>
          <w:rFonts w:ascii="Arial" w:hAnsi="Arial" w:cs="Arial"/>
          <w:sz w:val="24"/>
          <w:szCs w:val="24"/>
        </w:rPr>
        <w:t xml:space="preserve">individual support plans </w:t>
      </w:r>
      <w:r w:rsidR="00E86128" w:rsidRPr="002428C7">
        <w:rPr>
          <w:rFonts w:ascii="Arial" w:hAnsi="Arial" w:cs="Arial"/>
          <w:sz w:val="24"/>
          <w:szCs w:val="24"/>
        </w:rPr>
        <w:t xml:space="preserve">regularly, based on </w:t>
      </w:r>
      <w:r w:rsidR="00B562C1" w:rsidRPr="002428C7">
        <w:rPr>
          <w:rFonts w:ascii="Arial" w:hAnsi="Arial" w:cs="Arial"/>
          <w:sz w:val="24"/>
          <w:szCs w:val="24"/>
        </w:rPr>
        <w:t xml:space="preserve">complexity as described by </w:t>
      </w:r>
      <w:r w:rsidR="00E86128" w:rsidRPr="002428C7">
        <w:rPr>
          <w:rFonts w:ascii="Arial" w:hAnsi="Arial" w:cs="Arial"/>
          <w:sz w:val="24"/>
          <w:szCs w:val="24"/>
        </w:rPr>
        <w:t>case-mix</w:t>
      </w:r>
      <w:r w:rsidR="00B562C1" w:rsidRPr="002428C7">
        <w:rPr>
          <w:rFonts w:ascii="Arial" w:hAnsi="Arial" w:cs="Arial"/>
          <w:sz w:val="24"/>
          <w:szCs w:val="24"/>
        </w:rPr>
        <w:t xml:space="preserve"> level</w:t>
      </w:r>
      <w:r w:rsidR="00E86128" w:rsidRPr="002428C7">
        <w:rPr>
          <w:rFonts w:ascii="Arial" w:hAnsi="Arial" w:cs="Arial"/>
          <w:sz w:val="24"/>
          <w:szCs w:val="24"/>
        </w:rPr>
        <w:t xml:space="preserve">. Where </w:t>
      </w:r>
      <w:r w:rsidR="00416D06" w:rsidRPr="002428C7">
        <w:rPr>
          <w:rFonts w:ascii="Arial" w:hAnsi="Arial" w:cs="Arial"/>
          <w:sz w:val="24"/>
          <w:szCs w:val="24"/>
        </w:rPr>
        <w:t>c</w:t>
      </w:r>
      <w:r w:rsidR="00E86128" w:rsidRPr="002428C7">
        <w:rPr>
          <w:rFonts w:ascii="Arial" w:hAnsi="Arial" w:cs="Arial"/>
          <w:sz w:val="24"/>
          <w:szCs w:val="24"/>
        </w:rPr>
        <w:t>lients experience a change in wellbeing and/or functional ability</w:t>
      </w:r>
      <w:r w:rsidRPr="002428C7">
        <w:rPr>
          <w:rFonts w:ascii="Arial" w:hAnsi="Arial" w:cs="Arial"/>
          <w:sz w:val="24"/>
          <w:szCs w:val="24"/>
        </w:rPr>
        <w:t>,</w:t>
      </w:r>
      <w:r w:rsidR="00E86128" w:rsidRPr="002428C7">
        <w:rPr>
          <w:rFonts w:ascii="Arial" w:hAnsi="Arial" w:cs="Arial"/>
          <w:sz w:val="24"/>
          <w:szCs w:val="24"/>
        </w:rPr>
        <w:t xml:space="preserve"> services are adjusted to the new level of need and </w:t>
      </w:r>
      <w:r w:rsidRPr="002428C7">
        <w:rPr>
          <w:rFonts w:ascii="Arial" w:hAnsi="Arial" w:cs="Arial"/>
          <w:sz w:val="24"/>
          <w:szCs w:val="24"/>
        </w:rPr>
        <w:t xml:space="preserve">the client’s </w:t>
      </w:r>
      <w:r w:rsidR="00E86128" w:rsidRPr="002428C7">
        <w:rPr>
          <w:rFonts w:ascii="Arial" w:hAnsi="Arial" w:cs="Arial"/>
          <w:sz w:val="24"/>
          <w:szCs w:val="24"/>
        </w:rPr>
        <w:t xml:space="preserve">SMART goals amended. </w:t>
      </w:r>
      <w:r w:rsidR="0058478B" w:rsidRPr="002428C7">
        <w:rPr>
          <w:rFonts w:ascii="Arial" w:hAnsi="Arial" w:cs="Arial"/>
          <w:sz w:val="24"/>
          <w:szCs w:val="24"/>
        </w:rPr>
        <w:t xml:space="preserve">If the support needs of the </w:t>
      </w:r>
      <w:r w:rsidR="00B40C49" w:rsidRPr="002428C7">
        <w:rPr>
          <w:rFonts w:ascii="Arial" w:hAnsi="Arial" w:cs="Arial"/>
          <w:sz w:val="24"/>
          <w:szCs w:val="24"/>
        </w:rPr>
        <w:t>client</w:t>
      </w:r>
      <w:r w:rsidR="0058478B" w:rsidRPr="002428C7">
        <w:rPr>
          <w:rFonts w:ascii="Arial" w:hAnsi="Arial" w:cs="Arial"/>
          <w:sz w:val="24"/>
          <w:szCs w:val="24"/>
        </w:rPr>
        <w:t xml:space="preserve"> have changed significantly requiring an on-going change to resource allocation a re-assessment </w:t>
      </w:r>
      <w:r w:rsidR="00EA3D65" w:rsidRPr="002428C7">
        <w:rPr>
          <w:rFonts w:ascii="Arial" w:hAnsi="Arial" w:cs="Arial"/>
          <w:sz w:val="24"/>
          <w:szCs w:val="24"/>
        </w:rPr>
        <w:t>is completed</w:t>
      </w:r>
      <w:r w:rsidR="0058478B" w:rsidRPr="002428C7">
        <w:rPr>
          <w:rFonts w:ascii="Arial" w:hAnsi="Arial" w:cs="Arial"/>
          <w:sz w:val="24"/>
          <w:szCs w:val="24"/>
        </w:rPr>
        <w:t xml:space="preserve"> to </w:t>
      </w:r>
      <w:r w:rsidR="006B7868" w:rsidRPr="002428C7">
        <w:rPr>
          <w:rFonts w:ascii="Arial" w:hAnsi="Arial" w:cs="Arial"/>
          <w:sz w:val="24"/>
          <w:szCs w:val="24"/>
        </w:rPr>
        <w:t>identify the</w:t>
      </w:r>
      <w:r w:rsidR="00EA3D65" w:rsidRPr="002428C7">
        <w:rPr>
          <w:rFonts w:ascii="Arial" w:hAnsi="Arial" w:cs="Arial"/>
          <w:sz w:val="24"/>
          <w:szCs w:val="24"/>
        </w:rPr>
        <w:t xml:space="preserve"> </w:t>
      </w:r>
      <w:r w:rsidR="0058478B" w:rsidRPr="002428C7">
        <w:rPr>
          <w:rFonts w:ascii="Arial" w:hAnsi="Arial" w:cs="Arial"/>
          <w:sz w:val="24"/>
          <w:szCs w:val="24"/>
        </w:rPr>
        <w:t>casemix level</w:t>
      </w:r>
      <w:r w:rsidR="00E86128" w:rsidRPr="002428C7">
        <w:rPr>
          <w:rFonts w:ascii="Arial" w:hAnsi="Arial" w:cs="Arial"/>
          <w:sz w:val="24"/>
          <w:szCs w:val="24"/>
        </w:rPr>
        <w:t xml:space="preserve">. Alternatively, the reassessment may determine that the client cannot be safely supported in the community and requires </w:t>
      </w:r>
      <w:r w:rsidR="00BA5CF4" w:rsidRPr="002428C7">
        <w:rPr>
          <w:rFonts w:ascii="Arial" w:hAnsi="Arial" w:cs="Arial"/>
          <w:sz w:val="24"/>
          <w:szCs w:val="24"/>
        </w:rPr>
        <w:t>an altern</w:t>
      </w:r>
      <w:r w:rsidR="007802C0" w:rsidRPr="002428C7">
        <w:rPr>
          <w:rFonts w:ascii="Arial" w:hAnsi="Arial" w:cs="Arial"/>
          <w:sz w:val="24"/>
          <w:szCs w:val="24"/>
        </w:rPr>
        <w:t>a</w:t>
      </w:r>
      <w:r w:rsidR="00BA5CF4" w:rsidRPr="002428C7">
        <w:rPr>
          <w:rFonts w:ascii="Arial" w:hAnsi="Arial" w:cs="Arial"/>
          <w:sz w:val="24"/>
          <w:szCs w:val="24"/>
        </w:rPr>
        <w:t>tive arrangement</w:t>
      </w:r>
      <w:r w:rsidR="00E86128" w:rsidRPr="002428C7">
        <w:rPr>
          <w:rFonts w:ascii="Arial" w:hAnsi="Arial" w:cs="Arial"/>
          <w:sz w:val="24"/>
          <w:szCs w:val="24"/>
        </w:rPr>
        <w:t xml:space="preserve">. The </w:t>
      </w:r>
      <w:r w:rsidR="0081360F">
        <w:rPr>
          <w:rFonts w:ascii="Arial" w:hAnsi="Arial" w:cs="Arial"/>
          <w:sz w:val="24"/>
          <w:szCs w:val="24"/>
        </w:rPr>
        <w:t>P</w:t>
      </w:r>
      <w:r w:rsidR="00E86128" w:rsidRPr="002428C7">
        <w:rPr>
          <w:rFonts w:ascii="Arial" w:hAnsi="Arial" w:cs="Arial"/>
          <w:sz w:val="24"/>
          <w:szCs w:val="24"/>
        </w:rPr>
        <w:t xml:space="preserve">rovider will continue providing support as outlined in the </w:t>
      </w:r>
      <w:r w:rsidR="00B562C1" w:rsidRPr="002428C7">
        <w:rPr>
          <w:rFonts w:ascii="Arial" w:hAnsi="Arial" w:cs="Arial"/>
          <w:sz w:val="24"/>
          <w:szCs w:val="24"/>
        </w:rPr>
        <w:t xml:space="preserve">client’s individual support plan </w:t>
      </w:r>
      <w:r w:rsidR="00E86128" w:rsidRPr="002428C7">
        <w:rPr>
          <w:rFonts w:ascii="Arial" w:hAnsi="Arial" w:cs="Arial"/>
          <w:sz w:val="24"/>
          <w:szCs w:val="24"/>
        </w:rPr>
        <w:t>until discharge</w:t>
      </w:r>
      <w:r w:rsidR="00F94090" w:rsidRPr="002428C7">
        <w:rPr>
          <w:rFonts w:ascii="Arial" w:hAnsi="Arial" w:cs="Arial"/>
          <w:sz w:val="24"/>
          <w:szCs w:val="24"/>
        </w:rPr>
        <w:t>,</w:t>
      </w:r>
      <w:r w:rsidR="00E86128" w:rsidRPr="002428C7">
        <w:rPr>
          <w:rFonts w:ascii="Arial" w:hAnsi="Arial" w:cs="Arial"/>
          <w:sz w:val="24"/>
          <w:szCs w:val="24"/>
        </w:rPr>
        <w:t xml:space="preserve"> which occurs when </w:t>
      </w:r>
      <w:r w:rsidR="00C773D8" w:rsidRPr="002428C7">
        <w:rPr>
          <w:rFonts w:ascii="Arial" w:hAnsi="Arial" w:cs="Arial"/>
          <w:sz w:val="24"/>
          <w:szCs w:val="24"/>
        </w:rPr>
        <w:t>the</w:t>
      </w:r>
      <w:r w:rsidR="00E86128" w:rsidRPr="002428C7">
        <w:rPr>
          <w:rFonts w:ascii="Arial" w:hAnsi="Arial" w:cs="Arial"/>
          <w:sz w:val="24"/>
          <w:szCs w:val="24"/>
        </w:rPr>
        <w:t xml:space="preserve"> </w:t>
      </w:r>
      <w:r w:rsidR="008C1D77" w:rsidRPr="002428C7">
        <w:rPr>
          <w:rFonts w:ascii="Arial" w:hAnsi="Arial" w:cs="Arial"/>
          <w:sz w:val="24"/>
          <w:szCs w:val="24"/>
        </w:rPr>
        <w:t>c</w:t>
      </w:r>
      <w:r w:rsidR="00E86128" w:rsidRPr="002428C7">
        <w:rPr>
          <w:rFonts w:ascii="Arial" w:hAnsi="Arial" w:cs="Arial"/>
          <w:sz w:val="24"/>
          <w:szCs w:val="24"/>
        </w:rPr>
        <w:t>lient is no longer at home</w:t>
      </w:r>
      <w:r w:rsidR="00456392" w:rsidRPr="002428C7">
        <w:rPr>
          <w:rFonts w:ascii="Arial" w:hAnsi="Arial" w:cs="Arial"/>
          <w:sz w:val="24"/>
          <w:szCs w:val="24"/>
        </w:rPr>
        <w:t>.</w:t>
      </w:r>
    </w:p>
    <w:p w14:paraId="5F693466" w14:textId="408B9266" w:rsidR="009F2155" w:rsidRPr="002428C7" w:rsidRDefault="00D15903" w:rsidP="002428C7">
      <w:pPr>
        <w:pStyle w:val="Heading2"/>
        <w:spacing w:after="120"/>
        <w:rPr>
          <w:rFonts w:ascii="Arial" w:hAnsi="Arial" w:cs="Arial"/>
          <w:sz w:val="24"/>
          <w:szCs w:val="24"/>
        </w:rPr>
      </w:pPr>
      <w:bookmarkStart w:id="31" w:name="_Toc19524551"/>
      <w:bookmarkStart w:id="32" w:name="_Toc43122839"/>
      <w:r w:rsidRPr="002428C7">
        <w:rPr>
          <w:rFonts w:ascii="Arial" w:hAnsi="Arial" w:cs="Arial"/>
          <w:sz w:val="24"/>
          <w:szCs w:val="24"/>
        </w:rPr>
        <w:t>5</w:t>
      </w:r>
      <w:r w:rsidR="00AF5A54" w:rsidRPr="002428C7">
        <w:rPr>
          <w:rFonts w:ascii="Arial" w:hAnsi="Arial" w:cs="Arial"/>
          <w:sz w:val="24"/>
          <w:szCs w:val="24"/>
        </w:rPr>
        <w:t>.</w:t>
      </w:r>
      <w:r w:rsidR="00456392" w:rsidRPr="002428C7">
        <w:rPr>
          <w:rFonts w:ascii="Arial" w:hAnsi="Arial" w:cs="Arial"/>
          <w:sz w:val="24"/>
          <w:szCs w:val="24"/>
        </w:rPr>
        <w:t>3</w:t>
      </w:r>
      <w:r w:rsidR="00AF5A54" w:rsidRPr="002428C7">
        <w:rPr>
          <w:rFonts w:ascii="Arial" w:hAnsi="Arial" w:cs="Arial"/>
          <w:sz w:val="24"/>
          <w:szCs w:val="24"/>
        </w:rPr>
        <w:tab/>
      </w:r>
      <w:bookmarkEnd w:id="31"/>
      <w:r w:rsidR="00EC7467" w:rsidRPr="002428C7">
        <w:rPr>
          <w:rFonts w:ascii="Arial" w:hAnsi="Arial" w:cs="Arial"/>
          <w:sz w:val="24"/>
          <w:szCs w:val="24"/>
        </w:rPr>
        <w:t xml:space="preserve">Service </w:t>
      </w:r>
      <w:r w:rsidR="00FC3020">
        <w:rPr>
          <w:rFonts w:ascii="Arial" w:hAnsi="Arial" w:cs="Arial"/>
          <w:sz w:val="24"/>
          <w:szCs w:val="24"/>
        </w:rPr>
        <w:t>d</w:t>
      </w:r>
      <w:r w:rsidR="00AD2CBC" w:rsidRPr="002428C7">
        <w:rPr>
          <w:rFonts w:ascii="Arial" w:hAnsi="Arial" w:cs="Arial"/>
          <w:sz w:val="24"/>
          <w:szCs w:val="24"/>
        </w:rPr>
        <w:t xml:space="preserve">elivery </w:t>
      </w:r>
      <w:r w:rsidR="00FC3020">
        <w:rPr>
          <w:rFonts w:ascii="Arial" w:hAnsi="Arial" w:cs="Arial"/>
          <w:sz w:val="24"/>
          <w:szCs w:val="24"/>
        </w:rPr>
        <w:t>r</w:t>
      </w:r>
      <w:r w:rsidR="00AD2CBC" w:rsidRPr="002428C7">
        <w:rPr>
          <w:rFonts w:ascii="Arial" w:hAnsi="Arial" w:cs="Arial"/>
          <w:sz w:val="24"/>
          <w:szCs w:val="24"/>
        </w:rPr>
        <w:t>equirements</w:t>
      </w:r>
      <w:bookmarkEnd w:id="32"/>
    </w:p>
    <w:p w14:paraId="620C2670" w14:textId="457C1A50" w:rsidR="001C39C2" w:rsidRPr="00C13276" w:rsidRDefault="001C39C2" w:rsidP="00874DFB">
      <w:pPr>
        <w:spacing w:after="120"/>
        <w:rPr>
          <w:rFonts w:ascii="Arial" w:hAnsi="Arial" w:cs="Arial"/>
          <w:sz w:val="24"/>
          <w:szCs w:val="24"/>
        </w:rPr>
      </w:pPr>
      <w:r w:rsidRPr="002428C7">
        <w:rPr>
          <w:rFonts w:ascii="Arial" w:hAnsi="Arial" w:cs="Arial"/>
          <w:sz w:val="24"/>
          <w:szCs w:val="24"/>
        </w:rPr>
        <w:t>The Provider will actively collaborate with NASC, primary care, secondary care, community providers and aged-related residential care</w:t>
      </w:r>
      <w:r w:rsidR="00C01E81">
        <w:rPr>
          <w:rFonts w:ascii="Arial" w:hAnsi="Arial" w:cs="Arial"/>
          <w:sz w:val="24"/>
          <w:szCs w:val="24"/>
        </w:rPr>
        <w:t xml:space="preserve"> to</w:t>
      </w:r>
      <w:r w:rsidRPr="00C13276">
        <w:rPr>
          <w:rFonts w:ascii="Arial" w:hAnsi="Arial" w:cs="Arial"/>
          <w:sz w:val="24"/>
          <w:szCs w:val="24"/>
        </w:rPr>
        <w:t xml:space="preserve"> </w:t>
      </w:r>
      <w:r w:rsidR="005D60E4" w:rsidRPr="00C13276">
        <w:rPr>
          <w:rFonts w:ascii="Arial" w:hAnsi="Arial" w:cs="Arial"/>
          <w:sz w:val="24"/>
          <w:szCs w:val="24"/>
        </w:rPr>
        <w:t xml:space="preserve">deliver </w:t>
      </w:r>
      <w:r w:rsidR="007E45D6" w:rsidRPr="00C13276">
        <w:rPr>
          <w:rFonts w:ascii="Arial" w:hAnsi="Arial" w:cs="Arial"/>
          <w:sz w:val="24"/>
          <w:szCs w:val="24"/>
        </w:rPr>
        <w:t xml:space="preserve">services to achieve the </w:t>
      </w:r>
      <w:r w:rsidRPr="00C13276">
        <w:rPr>
          <w:rFonts w:ascii="Arial" w:hAnsi="Arial" w:cs="Arial"/>
          <w:sz w:val="24"/>
          <w:szCs w:val="24"/>
        </w:rPr>
        <w:t xml:space="preserve">strategic </w:t>
      </w:r>
      <w:r w:rsidR="00C6167B" w:rsidRPr="00C13276">
        <w:rPr>
          <w:rFonts w:ascii="Arial" w:hAnsi="Arial" w:cs="Arial"/>
          <w:sz w:val="24"/>
          <w:szCs w:val="24"/>
        </w:rPr>
        <w:t xml:space="preserve">objectives </w:t>
      </w:r>
      <w:r w:rsidRPr="00C13276">
        <w:rPr>
          <w:rFonts w:ascii="Arial" w:hAnsi="Arial" w:cs="Arial"/>
          <w:sz w:val="24"/>
          <w:szCs w:val="24"/>
        </w:rPr>
        <w:t xml:space="preserve">of the </w:t>
      </w:r>
      <w:r w:rsidR="009E7E69" w:rsidRPr="00C13276">
        <w:rPr>
          <w:rFonts w:ascii="Arial" w:hAnsi="Arial" w:cs="Arial"/>
          <w:sz w:val="24"/>
          <w:szCs w:val="24"/>
        </w:rPr>
        <w:t xml:space="preserve">service </w:t>
      </w:r>
      <w:r w:rsidRPr="00C13276">
        <w:rPr>
          <w:rFonts w:ascii="Arial" w:hAnsi="Arial" w:cs="Arial"/>
          <w:sz w:val="24"/>
          <w:szCs w:val="24"/>
        </w:rPr>
        <w:t>as outlined below</w:t>
      </w:r>
      <w:r w:rsidR="00C01E81">
        <w:rPr>
          <w:rFonts w:ascii="Arial" w:hAnsi="Arial" w:cs="Arial"/>
          <w:sz w:val="24"/>
          <w:szCs w:val="24"/>
        </w:rPr>
        <w:t>:</w:t>
      </w:r>
    </w:p>
    <w:p w14:paraId="072B7A6C" w14:textId="77777777" w:rsidR="00FC0924"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lastRenderedPageBreak/>
        <w:t>Engage and work with both formal and natural supports to facilitate client goal attainment</w:t>
      </w:r>
      <w:r w:rsidR="00FC0924" w:rsidRPr="00C13276">
        <w:rPr>
          <w:rFonts w:ascii="Arial" w:hAnsi="Arial" w:cs="Arial"/>
          <w:sz w:val="24"/>
          <w:szCs w:val="24"/>
        </w:rPr>
        <w:t xml:space="preserve"> </w:t>
      </w:r>
      <w:r w:rsidRPr="00C13276">
        <w:rPr>
          <w:rFonts w:ascii="Arial" w:hAnsi="Arial" w:cs="Arial"/>
          <w:sz w:val="24"/>
          <w:szCs w:val="24"/>
        </w:rPr>
        <w:t>and where appropriate discharge clients who can manage independently with appropriate</w:t>
      </w:r>
      <w:r w:rsidR="00FC0924" w:rsidRPr="00C13276">
        <w:rPr>
          <w:rFonts w:ascii="Arial" w:hAnsi="Arial" w:cs="Arial"/>
          <w:sz w:val="24"/>
          <w:szCs w:val="24"/>
        </w:rPr>
        <w:t xml:space="preserve"> </w:t>
      </w:r>
      <w:r w:rsidRPr="00C13276">
        <w:rPr>
          <w:rFonts w:ascii="Arial" w:hAnsi="Arial" w:cs="Arial"/>
          <w:sz w:val="24"/>
          <w:szCs w:val="24"/>
        </w:rPr>
        <w:t>community and/or family support in place.</w:t>
      </w:r>
    </w:p>
    <w:p w14:paraId="2A042BA5" w14:textId="77777777" w:rsidR="00FC0924"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 xml:space="preserve">Work with a proactive restorative/reablement focus using flexible service delivery to optimise client independence taking a ‘doing with’ as opposed to ‘doing for’ approach where </w:t>
      </w:r>
      <w:r w:rsidR="000B4D24">
        <w:rPr>
          <w:rFonts w:ascii="Arial" w:hAnsi="Arial" w:cs="Arial"/>
          <w:sz w:val="24"/>
          <w:szCs w:val="24"/>
        </w:rPr>
        <w:t>a</w:t>
      </w:r>
      <w:r w:rsidRPr="00C13276">
        <w:rPr>
          <w:rFonts w:ascii="Arial" w:hAnsi="Arial" w:cs="Arial"/>
          <w:sz w:val="24"/>
          <w:szCs w:val="24"/>
        </w:rPr>
        <w:t xml:space="preserve">ppropriate </w:t>
      </w:r>
    </w:p>
    <w:p w14:paraId="7D0B2B6F" w14:textId="351D48CB" w:rsidR="00FC0924"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 xml:space="preserve">Deliver responsive and flexible services that meet fluctuation in client health and support needs from service entry to service exit. This may require working more closely with whānau, hospice, community health specialist nurses and primary care during times of unstable need or at end of life. </w:t>
      </w:r>
    </w:p>
    <w:p w14:paraId="308E4101" w14:textId="77777777" w:rsidR="00FC0924"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Provide services that facilitate ‘falls prevention’ through support activities that improve strength and balance consistent with current evidence or as advised by an allied health professional.</w:t>
      </w:r>
    </w:p>
    <w:p w14:paraId="5C608A9E" w14:textId="6C147524" w:rsidR="009749D0"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Promote and improve health literacy and knowledge for older people, their informal carers, whānau, and for the HCSS workforce; including sharing of informational resources such as advanced care plans (ACP)</w:t>
      </w:r>
      <w:r w:rsidR="00137E12" w:rsidRPr="00C13276">
        <w:rPr>
          <w:rStyle w:val="FootnoteReference"/>
          <w:rFonts w:ascii="Arial" w:hAnsi="Arial" w:cs="Arial"/>
          <w:sz w:val="24"/>
          <w:szCs w:val="24"/>
        </w:rPr>
        <w:footnoteReference w:id="11"/>
      </w:r>
      <w:r w:rsidRPr="00C13276">
        <w:rPr>
          <w:rFonts w:ascii="Arial" w:hAnsi="Arial" w:cs="Arial"/>
          <w:sz w:val="24"/>
          <w:szCs w:val="24"/>
        </w:rPr>
        <w:t>, Live Stronger for Longer leaflets</w:t>
      </w:r>
      <w:r w:rsidR="00137E12" w:rsidRPr="00C13276">
        <w:rPr>
          <w:rStyle w:val="FootnoteReference"/>
          <w:rFonts w:ascii="Arial" w:hAnsi="Arial" w:cs="Arial"/>
          <w:sz w:val="24"/>
          <w:szCs w:val="24"/>
        </w:rPr>
        <w:footnoteReference w:id="12"/>
      </w:r>
      <w:r w:rsidR="00137E12" w:rsidRPr="00C13276">
        <w:rPr>
          <w:rFonts w:ascii="Arial" w:hAnsi="Arial" w:cs="Arial"/>
          <w:sz w:val="24"/>
          <w:szCs w:val="24"/>
        </w:rPr>
        <w:t>, Dementia NZ fact sheet: Information for Friends and Family</w:t>
      </w:r>
      <w:r w:rsidR="00137E12" w:rsidRPr="00C13276">
        <w:rPr>
          <w:rStyle w:val="FootnoteReference"/>
          <w:rFonts w:ascii="Arial" w:hAnsi="Arial" w:cs="Arial"/>
          <w:sz w:val="24"/>
          <w:szCs w:val="24"/>
        </w:rPr>
        <w:footnoteReference w:id="13"/>
      </w:r>
      <w:r w:rsidR="00137E12" w:rsidRPr="00C13276">
        <w:rPr>
          <w:rFonts w:ascii="Arial" w:hAnsi="Arial" w:cs="Arial"/>
          <w:sz w:val="24"/>
          <w:szCs w:val="24"/>
        </w:rPr>
        <w:t xml:space="preserve">. </w:t>
      </w:r>
    </w:p>
    <w:p w14:paraId="7EB2C5A2" w14:textId="77777777" w:rsidR="009749D0"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 xml:space="preserve">Liaise with the NASC </w:t>
      </w:r>
      <w:r w:rsidR="00EE4908">
        <w:rPr>
          <w:rFonts w:ascii="Arial" w:hAnsi="Arial" w:cs="Arial"/>
          <w:sz w:val="24"/>
          <w:szCs w:val="24"/>
        </w:rPr>
        <w:t xml:space="preserve">coordinator </w:t>
      </w:r>
      <w:r w:rsidRPr="00C13276">
        <w:rPr>
          <w:rFonts w:ascii="Arial" w:hAnsi="Arial" w:cs="Arial"/>
          <w:sz w:val="24"/>
          <w:szCs w:val="24"/>
        </w:rPr>
        <w:t xml:space="preserve">if end of life, respite care, carer support, day activity, </w:t>
      </w:r>
      <w:r w:rsidR="00F24630" w:rsidRPr="00C13276">
        <w:rPr>
          <w:rFonts w:ascii="Arial" w:hAnsi="Arial" w:cs="Arial"/>
          <w:sz w:val="24"/>
          <w:szCs w:val="24"/>
        </w:rPr>
        <w:t xml:space="preserve">palliative care </w:t>
      </w:r>
      <w:r w:rsidRPr="00C13276">
        <w:rPr>
          <w:rFonts w:ascii="Arial" w:hAnsi="Arial" w:cs="Arial"/>
          <w:sz w:val="24"/>
          <w:szCs w:val="24"/>
        </w:rPr>
        <w:t>or residential care is required.</w:t>
      </w:r>
    </w:p>
    <w:p w14:paraId="2B54C9D2" w14:textId="77777777" w:rsidR="00FC0924"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 xml:space="preserve">Complete case management as required to ensure clients access the </w:t>
      </w:r>
      <w:proofErr w:type="gramStart"/>
      <w:r w:rsidRPr="00C13276">
        <w:rPr>
          <w:rFonts w:ascii="Arial" w:hAnsi="Arial" w:cs="Arial"/>
          <w:sz w:val="24"/>
          <w:szCs w:val="24"/>
        </w:rPr>
        <w:t>supports</w:t>
      </w:r>
      <w:proofErr w:type="gramEnd"/>
      <w:r w:rsidRPr="00C13276">
        <w:rPr>
          <w:rFonts w:ascii="Arial" w:hAnsi="Arial" w:cs="Arial"/>
          <w:sz w:val="24"/>
          <w:szCs w:val="24"/>
        </w:rPr>
        <w:t xml:space="preserve"> they need from,</w:t>
      </w:r>
      <w:r w:rsidR="00FC0924" w:rsidRPr="00C13276">
        <w:rPr>
          <w:rFonts w:ascii="Arial" w:hAnsi="Arial" w:cs="Arial"/>
          <w:sz w:val="24"/>
          <w:szCs w:val="24"/>
        </w:rPr>
        <w:t xml:space="preserve"> </w:t>
      </w:r>
      <w:r w:rsidRPr="00C13276">
        <w:rPr>
          <w:rFonts w:ascii="Arial" w:hAnsi="Arial" w:cs="Arial"/>
          <w:sz w:val="24"/>
          <w:szCs w:val="24"/>
        </w:rPr>
        <w:t>natural supports, other providers and the wider community as required.</w:t>
      </w:r>
    </w:p>
    <w:p w14:paraId="6ECF3B67" w14:textId="77777777" w:rsidR="00FC0924" w:rsidRPr="00C13276" w:rsidRDefault="007E45D6" w:rsidP="00C13276">
      <w:pPr>
        <w:pStyle w:val="ListParagraph"/>
        <w:numPr>
          <w:ilvl w:val="0"/>
          <w:numId w:val="26"/>
        </w:numPr>
        <w:spacing w:after="120"/>
        <w:ind w:left="357" w:hanging="357"/>
        <w:contextualSpacing w:val="0"/>
        <w:rPr>
          <w:rFonts w:ascii="Arial" w:hAnsi="Arial" w:cs="Arial"/>
          <w:sz w:val="24"/>
          <w:szCs w:val="24"/>
        </w:rPr>
      </w:pPr>
      <w:r w:rsidRPr="00C13276">
        <w:rPr>
          <w:rFonts w:ascii="Arial" w:hAnsi="Arial" w:cs="Arial"/>
          <w:sz w:val="24"/>
          <w:szCs w:val="24"/>
        </w:rPr>
        <w:t xml:space="preserve">Deliver services to facilitate integration across the health system, including, but not limited to integration with primary and secondary health </w:t>
      </w:r>
      <w:r w:rsidR="00C773D8" w:rsidRPr="00C13276">
        <w:rPr>
          <w:rFonts w:ascii="Arial" w:hAnsi="Arial" w:cs="Arial"/>
          <w:sz w:val="24"/>
          <w:szCs w:val="24"/>
        </w:rPr>
        <w:t>s</w:t>
      </w:r>
      <w:r w:rsidRPr="00C13276">
        <w:rPr>
          <w:rFonts w:ascii="Arial" w:hAnsi="Arial" w:cs="Arial"/>
          <w:sz w:val="24"/>
          <w:szCs w:val="24"/>
        </w:rPr>
        <w:t>ervices.</w:t>
      </w:r>
    </w:p>
    <w:p w14:paraId="1F26CE83" w14:textId="27F115ED" w:rsidR="007E45D6" w:rsidRPr="00C13276" w:rsidRDefault="007E45D6" w:rsidP="00C13276">
      <w:pPr>
        <w:pStyle w:val="ListParagraph"/>
        <w:numPr>
          <w:ilvl w:val="0"/>
          <w:numId w:val="26"/>
        </w:numPr>
        <w:shd w:val="clear" w:color="auto" w:fill="FFFFFF" w:themeFill="background1"/>
        <w:spacing w:after="120"/>
        <w:ind w:left="357" w:hanging="357"/>
        <w:contextualSpacing w:val="0"/>
        <w:rPr>
          <w:rFonts w:ascii="Arial" w:hAnsi="Arial" w:cs="Arial"/>
          <w:sz w:val="24"/>
          <w:szCs w:val="24"/>
        </w:rPr>
      </w:pPr>
      <w:r w:rsidRPr="00C13276">
        <w:rPr>
          <w:rFonts w:ascii="Arial" w:hAnsi="Arial" w:cs="Arial"/>
          <w:sz w:val="24"/>
          <w:szCs w:val="24"/>
          <w:shd w:val="clear" w:color="auto" w:fill="FFFFFF" w:themeFill="background1"/>
        </w:rPr>
        <w:t>Services are provided at the client’s place of residence and at other community-based sites, as appropriate</w:t>
      </w:r>
      <w:r w:rsidRPr="00C13276">
        <w:rPr>
          <w:rFonts w:ascii="Arial" w:hAnsi="Arial" w:cs="Arial"/>
          <w:sz w:val="24"/>
          <w:szCs w:val="24"/>
        </w:rPr>
        <w:t>.</w:t>
      </w:r>
    </w:p>
    <w:p w14:paraId="2ECD473D" w14:textId="77777777" w:rsidR="00D8570B" w:rsidRPr="00C13276" w:rsidRDefault="00CA4868" w:rsidP="00DC674C">
      <w:pPr>
        <w:pStyle w:val="Heading1"/>
      </w:pPr>
      <w:bookmarkStart w:id="33" w:name="_Toc43122840"/>
      <w:r w:rsidRPr="00C13276">
        <w:t>6</w:t>
      </w:r>
      <w:r w:rsidR="00456392" w:rsidRPr="00C13276">
        <w:tab/>
      </w:r>
      <w:bookmarkStart w:id="34" w:name="_Toc20742120"/>
      <w:bookmarkStart w:id="35" w:name="_Toc20742172"/>
      <w:bookmarkStart w:id="36" w:name="_Toc20743273"/>
      <w:bookmarkStart w:id="37" w:name="_Toc20753244"/>
      <w:bookmarkStart w:id="38" w:name="_Toc20742121"/>
      <w:bookmarkStart w:id="39" w:name="_Toc20742173"/>
      <w:bookmarkStart w:id="40" w:name="_Toc20743274"/>
      <w:bookmarkStart w:id="41" w:name="_Toc20753245"/>
      <w:bookmarkStart w:id="42" w:name="_Toc20742122"/>
      <w:bookmarkStart w:id="43" w:name="_Toc20742174"/>
      <w:bookmarkStart w:id="44" w:name="_Toc20743275"/>
      <w:bookmarkStart w:id="45" w:name="_Toc20753246"/>
      <w:bookmarkStart w:id="46" w:name="_Toc20742123"/>
      <w:bookmarkStart w:id="47" w:name="_Toc20742175"/>
      <w:bookmarkStart w:id="48" w:name="_Toc20743276"/>
      <w:bookmarkStart w:id="49" w:name="_Toc20753247"/>
      <w:bookmarkStart w:id="50" w:name="_Toc20742124"/>
      <w:bookmarkStart w:id="51" w:name="_Toc20742176"/>
      <w:bookmarkStart w:id="52" w:name="_Toc20743277"/>
      <w:bookmarkStart w:id="53" w:name="_Toc20753248"/>
      <w:bookmarkStart w:id="54" w:name="_Toc20742125"/>
      <w:bookmarkStart w:id="55" w:name="_Toc20742177"/>
      <w:bookmarkStart w:id="56" w:name="_Toc20743278"/>
      <w:bookmarkStart w:id="57" w:name="_Toc20753249"/>
      <w:bookmarkStart w:id="58" w:name="_Toc20742126"/>
      <w:bookmarkStart w:id="59" w:name="_Toc20742178"/>
      <w:bookmarkStart w:id="60" w:name="_Toc20743279"/>
      <w:bookmarkStart w:id="61" w:name="_Toc20753250"/>
      <w:bookmarkStart w:id="62" w:name="_Toc20742127"/>
      <w:bookmarkStart w:id="63" w:name="_Toc20742179"/>
      <w:bookmarkStart w:id="64" w:name="_Toc20743280"/>
      <w:bookmarkStart w:id="65" w:name="_Toc20753251"/>
      <w:bookmarkStart w:id="66" w:name="_Toc20742128"/>
      <w:bookmarkStart w:id="67" w:name="_Toc20742180"/>
      <w:bookmarkStart w:id="68" w:name="_Toc20743281"/>
      <w:bookmarkStart w:id="69" w:name="_Toc20753252"/>
      <w:bookmarkStart w:id="70" w:name="_Toc20742129"/>
      <w:bookmarkStart w:id="71" w:name="_Toc20742181"/>
      <w:bookmarkStart w:id="72" w:name="_Toc20743282"/>
      <w:bookmarkStart w:id="73" w:name="_Toc20753253"/>
      <w:bookmarkStart w:id="74" w:name="_Toc20742130"/>
      <w:bookmarkStart w:id="75" w:name="_Toc20742182"/>
      <w:bookmarkStart w:id="76" w:name="_Toc20743283"/>
      <w:bookmarkStart w:id="77" w:name="_Toc20753254"/>
      <w:bookmarkStart w:id="78" w:name="_Toc20742131"/>
      <w:bookmarkStart w:id="79" w:name="_Toc20742183"/>
      <w:bookmarkStart w:id="80" w:name="_Toc20743284"/>
      <w:bookmarkStart w:id="81" w:name="_Toc20753255"/>
      <w:bookmarkStart w:id="82" w:name="_Toc20742132"/>
      <w:bookmarkStart w:id="83" w:name="_Toc20742184"/>
      <w:bookmarkStart w:id="84" w:name="_Toc20743285"/>
      <w:bookmarkStart w:id="85" w:name="_Toc20753256"/>
      <w:bookmarkStart w:id="86" w:name="_Toc20742133"/>
      <w:bookmarkStart w:id="87" w:name="_Toc20742185"/>
      <w:bookmarkStart w:id="88" w:name="_Toc20743286"/>
      <w:bookmarkStart w:id="89" w:name="_Toc20753257"/>
      <w:bookmarkStart w:id="90" w:name="_Toc20742134"/>
      <w:bookmarkStart w:id="91" w:name="_Toc20742186"/>
      <w:bookmarkStart w:id="92" w:name="_Toc20743287"/>
      <w:bookmarkStart w:id="93" w:name="_Toc20753258"/>
      <w:bookmarkStart w:id="94" w:name="_Toc19519185"/>
      <w:bookmarkStart w:id="95" w:name="_Toc19524554"/>
      <w:bookmarkStart w:id="96" w:name="_Toc51053745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D8570B" w:rsidRPr="00C13276">
        <w:t xml:space="preserve">Service </w:t>
      </w:r>
      <w:bookmarkEnd w:id="94"/>
      <w:bookmarkEnd w:id="95"/>
      <w:r w:rsidR="00A77156" w:rsidRPr="00C13276">
        <w:t>Pro</w:t>
      </w:r>
      <w:r w:rsidR="00352435" w:rsidRPr="00C13276">
        <w:t>cesses</w:t>
      </w:r>
      <w:bookmarkEnd w:id="33"/>
    </w:p>
    <w:p w14:paraId="1432CC39" w14:textId="680CF3A9" w:rsidR="0058478B" w:rsidRPr="00C13276" w:rsidRDefault="00C02CC3" w:rsidP="00C13276">
      <w:pPr>
        <w:pStyle w:val="Heading2"/>
        <w:spacing w:after="120"/>
        <w:rPr>
          <w:rFonts w:ascii="Arial" w:hAnsi="Arial" w:cs="Arial"/>
          <w:sz w:val="24"/>
          <w:szCs w:val="24"/>
        </w:rPr>
      </w:pPr>
      <w:bookmarkStart w:id="97" w:name="_Toc43122841"/>
      <w:bookmarkStart w:id="98" w:name="_Toc19519186"/>
      <w:bookmarkStart w:id="99" w:name="_Toc19524555"/>
      <w:r w:rsidRPr="00C13276">
        <w:rPr>
          <w:rFonts w:ascii="Arial" w:hAnsi="Arial" w:cs="Arial"/>
          <w:sz w:val="24"/>
          <w:szCs w:val="24"/>
        </w:rPr>
        <w:t>6</w:t>
      </w:r>
      <w:r w:rsidR="00F076A5" w:rsidRPr="00C13276">
        <w:rPr>
          <w:rFonts w:ascii="Arial" w:hAnsi="Arial" w:cs="Arial"/>
          <w:sz w:val="24"/>
          <w:szCs w:val="24"/>
        </w:rPr>
        <w:t>.</w:t>
      </w:r>
      <w:r w:rsidR="007E45D6" w:rsidRPr="00C13276">
        <w:rPr>
          <w:rFonts w:ascii="Arial" w:hAnsi="Arial" w:cs="Arial"/>
          <w:sz w:val="24"/>
          <w:szCs w:val="24"/>
        </w:rPr>
        <w:t>1</w:t>
      </w:r>
      <w:r w:rsidR="00F076A5" w:rsidRPr="00C13276">
        <w:rPr>
          <w:rFonts w:ascii="Arial" w:hAnsi="Arial" w:cs="Arial"/>
          <w:sz w:val="24"/>
          <w:szCs w:val="24"/>
        </w:rPr>
        <w:tab/>
      </w:r>
      <w:r w:rsidR="00647097" w:rsidRPr="00C13276">
        <w:rPr>
          <w:rFonts w:ascii="Arial" w:hAnsi="Arial" w:cs="Arial"/>
          <w:sz w:val="24"/>
          <w:szCs w:val="24"/>
        </w:rPr>
        <w:t>Service access</w:t>
      </w:r>
      <w:bookmarkEnd w:id="97"/>
      <w:r w:rsidR="00647097" w:rsidRPr="00C13276">
        <w:rPr>
          <w:rFonts w:ascii="Arial" w:hAnsi="Arial" w:cs="Arial"/>
          <w:sz w:val="24"/>
          <w:szCs w:val="24"/>
        </w:rPr>
        <w:t xml:space="preserve"> </w:t>
      </w:r>
      <w:bookmarkEnd w:id="96"/>
      <w:bookmarkEnd w:id="98"/>
      <w:bookmarkEnd w:id="99"/>
    </w:p>
    <w:p w14:paraId="7BD1711C" w14:textId="77777777" w:rsidR="0058478B" w:rsidRPr="00C13276" w:rsidRDefault="0058478B" w:rsidP="00456392">
      <w:pPr>
        <w:spacing w:after="120"/>
        <w:rPr>
          <w:rFonts w:ascii="Arial" w:hAnsi="Arial" w:cs="Arial"/>
          <w:sz w:val="24"/>
          <w:szCs w:val="24"/>
          <w:lang w:val="en-US"/>
        </w:rPr>
      </w:pPr>
      <w:r w:rsidRPr="00C13276">
        <w:rPr>
          <w:rFonts w:ascii="Arial" w:hAnsi="Arial" w:cs="Arial"/>
          <w:sz w:val="24"/>
          <w:szCs w:val="24"/>
          <w:lang w:val="en-US"/>
        </w:rPr>
        <w:t xml:space="preserve">Access to this service is by referral </w:t>
      </w:r>
      <w:r w:rsidR="001B6BD0" w:rsidRPr="00C13276">
        <w:rPr>
          <w:rFonts w:ascii="Arial" w:hAnsi="Arial" w:cs="Arial"/>
          <w:sz w:val="24"/>
          <w:szCs w:val="24"/>
          <w:lang w:val="en-US"/>
        </w:rPr>
        <w:t xml:space="preserve">to the DHB NASC </w:t>
      </w:r>
      <w:r w:rsidRPr="00C13276">
        <w:rPr>
          <w:rFonts w:ascii="Arial" w:hAnsi="Arial" w:cs="Arial"/>
          <w:sz w:val="24"/>
          <w:szCs w:val="24"/>
          <w:lang w:val="en-US"/>
        </w:rPr>
        <w:t xml:space="preserve">from an appropriate </w:t>
      </w:r>
      <w:r w:rsidR="001B6BD0" w:rsidRPr="00C13276">
        <w:rPr>
          <w:rFonts w:ascii="Arial" w:hAnsi="Arial" w:cs="Arial"/>
          <w:sz w:val="24"/>
          <w:szCs w:val="24"/>
          <w:lang w:val="en-US"/>
        </w:rPr>
        <w:t>DHB</w:t>
      </w:r>
      <w:r w:rsidRPr="00C13276">
        <w:rPr>
          <w:rFonts w:ascii="Arial" w:hAnsi="Arial" w:cs="Arial"/>
          <w:sz w:val="24"/>
          <w:szCs w:val="24"/>
          <w:lang w:val="en-US"/>
        </w:rPr>
        <w:t xml:space="preserve"> specialist service, general or nurse practitioners, </w:t>
      </w:r>
      <w:r w:rsidR="007F18B1" w:rsidRPr="00C13276">
        <w:rPr>
          <w:rFonts w:ascii="Arial" w:hAnsi="Arial" w:cs="Arial"/>
          <w:sz w:val="24"/>
          <w:szCs w:val="24"/>
          <w:lang w:val="en-US"/>
        </w:rPr>
        <w:t xml:space="preserve">practice nurses, </w:t>
      </w:r>
      <w:r w:rsidRPr="00C13276">
        <w:rPr>
          <w:rFonts w:ascii="Arial" w:hAnsi="Arial" w:cs="Arial"/>
          <w:sz w:val="24"/>
          <w:szCs w:val="24"/>
          <w:lang w:val="en-US"/>
        </w:rPr>
        <w:t xml:space="preserve">iwi </w:t>
      </w:r>
      <w:r w:rsidR="007F18B1" w:rsidRPr="00C13276">
        <w:rPr>
          <w:rFonts w:ascii="Arial" w:hAnsi="Arial" w:cs="Arial"/>
          <w:sz w:val="24"/>
          <w:szCs w:val="24"/>
          <w:lang w:val="en-US"/>
        </w:rPr>
        <w:t>p</w:t>
      </w:r>
      <w:r w:rsidRPr="00C13276">
        <w:rPr>
          <w:rFonts w:ascii="Arial" w:hAnsi="Arial" w:cs="Arial"/>
          <w:sz w:val="24"/>
          <w:szCs w:val="24"/>
          <w:lang w:val="en-US"/>
        </w:rPr>
        <w:t>rovider</w:t>
      </w:r>
      <w:r w:rsidR="007F18B1" w:rsidRPr="00C13276">
        <w:rPr>
          <w:rFonts w:ascii="Arial" w:hAnsi="Arial" w:cs="Arial"/>
          <w:sz w:val="24"/>
          <w:szCs w:val="24"/>
          <w:lang w:val="en-US"/>
        </w:rPr>
        <w:t>s</w:t>
      </w:r>
      <w:r w:rsidRPr="00C13276">
        <w:rPr>
          <w:rFonts w:ascii="Arial" w:hAnsi="Arial" w:cs="Arial"/>
          <w:sz w:val="24"/>
          <w:szCs w:val="24"/>
          <w:lang w:val="en-US"/>
        </w:rPr>
        <w:t xml:space="preserve"> or specialist community health team nurses. Self-referral for assessment may also occur.</w:t>
      </w:r>
      <w:r w:rsidR="00713FE6" w:rsidRPr="00C13276">
        <w:rPr>
          <w:rFonts w:ascii="Arial" w:hAnsi="Arial" w:cs="Arial"/>
          <w:sz w:val="24"/>
          <w:szCs w:val="24"/>
          <w:lang w:val="en-US"/>
        </w:rPr>
        <w:t xml:space="preserve"> </w:t>
      </w:r>
    </w:p>
    <w:p w14:paraId="2CED272D" w14:textId="77777777" w:rsidR="0058478B" w:rsidRPr="00C13276" w:rsidRDefault="00647097" w:rsidP="00456392">
      <w:pPr>
        <w:spacing w:after="120"/>
        <w:rPr>
          <w:rFonts w:ascii="Arial" w:hAnsi="Arial" w:cs="Arial"/>
          <w:sz w:val="24"/>
          <w:szCs w:val="24"/>
          <w:lang w:val="en-US"/>
        </w:rPr>
      </w:pPr>
      <w:r w:rsidRPr="00C13276">
        <w:rPr>
          <w:rFonts w:ascii="Arial" w:hAnsi="Arial" w:cs="Arial"/>
          <w:sz w:val="24"/>
          <w:szCs w:val="24"/>
          <w:lang w:val="en-US"/>
        </w:rPr>
        <w:t>I</w:t>
      </w:r>
      <w:r w:rsidR="00713FE6" w:rsidRPr="00C13276">
        <w:rPr>
          <w:rFonts w:ascii="Arial" w:hAnsi="Arial" w:cs="Arial"/>
          <w:sz w:val="24"/>
          <w:szCs w:val="24"/>
          <w:lang w:val="en-US"/>
        </w:rPr>
        <w:t xml:space="preserve">nitial screening of referrals by the NASC uses a SAT to determine level of complexity.  </w:t>
      </w:r>
      <w:r w:rsidR="0058478B" w:rsidRPr="00C13276">
        <w:rPr>
          <w:rFonts w:ascii="Arial" w:hAnsi="Arial" w:cs="Arial"/>
          <w:sz w:val="24"/>
          <w:szCs w:val="24"/>
          <w:lang w:val="en-US"/>
        </w:rPr>
        <w:t xml:space="preserve">The </w:t>
      </w:r>
      <w:r w:rsidRPr="00C13276">
        <w:rPr>
          <w:rFonts w:ascii="Arial" w:hAnsi="Arial" w:cs="Arial"/>
          <w:sz w:val="24"/>
          <w:szCs w:val="24"/>
          <w:lang w:val="en-US"/>
        </w:rPr>
        <w:t>SAT</w:t>
      </w:r>
      <w:r w:rsidR="0058478B" w:rsidRPr="00C13276">
        <w:rPr>
          <w:rFonts w:ascii="Arial" w:hAnsi="Arial" w:cs="Arial"/>
          <w:sz w:val="24"/>
          <w:szCs w:val="24"/>
          <w:lang w:val="en-US"/>
        </w:rPr>
        <w:t xml:space="preserve"> can be found in </w:t>
      </w:r>
      <w:r w:rsidR="00AB7F03" w:rsidRPr="00C13276">
        <w:rPr>
          <w:rFonts w:ascii="Arial" w:hAnsi="Arial" w:cs="Arial"/>
          <w:sz w:val="24"/>
          <w:szCs w:val="24"/>
          <w:lang w:val="en-US"/>
        </w:rPr>
        <w:t>A</w:t>
      </w:r>
      <w:r w:rsidR="0058478B" w:rsidRPr="00C13276">
        <w:rPr>
          <w:rFonts w:ascii="Arial" w:hAnsi="Arial" w:cs="Arial"/>
          <w:sz w:val="24"/>
          <w:szCs w:val="24"/>
          <w:lang w:val="en-US"/>
        </w:rPr>
        <w:t xml:space="preserve">ppendix </w:t>
      </w:r>
      <w:r w:rsidR="00FF72F4" w:rsidRPr="00C13276">
        <w:rPr>
          <w:rFonts w:ascii="Arial" w:hAnsi="Arial" w:cs="Arial"/>
          <w:sz w:val="24"/>
          <w:szCs w:val="24"/>
          <w:lang w:val="en-US"/>
        </w:rPr>
        <w:t>3.</w:t>
      </w:r>
      <w:r w:rsidR="00713FE6" w:rsidRPr="00C13276">
        <w:rPr>
          <w:rFonts w:ascii="Arial" w:hAnsi="Arial" w:cs="Arial"/>
          <w:sz w:val="24"/>
          <w:szCs w:val="24"/>
          <w:lang w:val="en-US"/>
        </w:rPr>
        <w:t xml:space="preserve">  </w:t>
      </w:r>
    </w:p>
    <w:p w14:paraId="2104A152" w14:textId="77777777" w:rsidR="0058478B" w:rsidRPr="004178C6" w:rsidRDefault="00647097" w:rsidP="00456392">
      <w:pPr>
        <w:spacing w:after="120"/>
        <w:rPr>
          <w:rFonts w:ascii="Arial" w:hAnsi="Arial" w:cs="Arial"/>
          <w:sz w:val="24"/>
          <w:szCs w:val="24"/>
          <w:lang w:val="en-US"/>
        </w:rPr>
      </w:pPr>
      <w:r w:rsidRPr="004178C6">
        <w:rPr>
          <w:rFonts w:ascii="Arial" w:hAnsi="Arial" w:cs="Arial"/>
          <w:sz w:val="24"/>
          <w:szCs w:val="24"/>
          <w:lang w:val="en-US"/>
        </w:rPr>
        <w:t>Clients choose, or are referred to, their preferred Provider based on the contractual arrangements with the funde</w:t>
      </w:r>
      <w:r w:rsidRPr="004178C6">
        <w:rPr>
          <w:rFonts w:ascii="Arial" w:hAnsi="Arial" w:cs="Arial"/>
          <w:sz w:val="24"/>
          <w:szCs w:val="24"/>
          <w:shd w:val="clear" w:color="auto" w:fill="FFFFFF" w:themeFill="background1"/>
          <w:lang w:val="en-US"/>
        </w:rPr>
        <w:t xml:space="preserve">r.  The Provider is responsible for completing </w:t>
      </w:r>
      <w:proofErr w:type="spellStart"/>
      <w:r w:rsidRPr="004178C6">
        <w:rPr>
          <w:rFonts w:ascii="Arial" w:hAnsi="Arial" w:cs="Arial"/>
          <w:sz w:val="24"/>
          <w:szCs w:val="24"/>
          <w:shd w:val="clear" w:color="auto" w:fill="FFFFFF" w:themeFill="background1"/>
          <w:lang w:val="en-US"/>
        </w:rPr>
        <w:t>interRAI</w:t>
      </w:r>
      <w:proofErr w:type="spellEnd"/>
      <w:r w:rsidRPr="004178C6">
        <w:rPr>
          <w:rFonts w:ascii="Arial" w:hAnsi="Arial" w:cs="Arial"/>
          <w:sz w:val="24"/>
          <w:szCs w:val="24"/>
          <w:shd w:val="clear" w:color="auto" w:fill="FFFFFF" w:themeFill="background1"/>
          <w:lang w:val="en-US"/>
        </w:rPr>
        <w:t xml:space="preserve"> Contact Assessments for the non-complex population, Home Care assessments are generally </w:t>
      </w:r>
      <w:r w:rsidRPr="004178C6">
        <w:rPr>
          <w:rFonts w:ascii="Arial" w:hAnsi="Arial" w:cs="Arial"/>
          <w:sz w:val="24"/>
          <w:szCs w:val="24"/>
          <w:shd w:val="clear" w:color="auto" w:fill="FFFFFF" w:themeFill="background1"/>
          <w:lang w:val="en-US"/>
        </w:rPr>
        <w:lastRenderedPageBreak/>
        <w:t>completed by the NASC</w:t>
      </w:r>
      <w:r w:rsidR="000B4D24" w:rsidRPr="004178C6">
        <w:rPr>
          <w:rFonts w:ascii="Arial" w:hAnsi="Arial" w:cs="Arial"/>
          <w:sz w:val="24"/>
          <w:szCs w:val="24"/>
          <w:shd w:val="clear" w:color="auto" w:fill="FFFFFF" w:themeFill="background1"/>
          <w:lang w:val="en-US"/>
        </w:rPr>
        <w:t xml:space="preserve"> coordinator</w:t>
      </w:r>
      <w:r w:rsidRPr="004178C6">
        <w:rPr>
          <w:rFonts w:ascii="Arial" w:hAnsi="Arial" w:cs="Arial"/>
          <w:sz w:val="24"/>
          <w:szCs w:val="24"/>
          <w:shd w:val="clear" w:color="auto" w:fill="FFFFFF" w:themeFill="background1"/>
          <w:lang w:val="en-US"/>
        </w:rPr>
        <w:t>.</w:t>
      </w:r>
      <w:r w:rsidRPr="004178C6">
        <w:rPr>
          <w:rFonts w:ascii="Arial" w:hAnsi="Arial" w:cs="Arial"/>
          <w:sz w:val="24"/>
          <w:szCs w:val="24"/>
          <w:lang w:val="en-US"/>
        </w:rPr>
        <w:t xml:space="preserve"> To avoid duplication of effort the Provider may complete some complex assessments in agreement with the NASC</w:t>
      </w:r>
      <w:r w:rsidR="006B4033" w:rsidRPr="004178C6">
        <w:rPr>
          <w:rFonts w:ascii="Arial" w:hAnsi="Arial" w:cs="Arial"/>
          <w:sz w:val="24"/>
          <w:szCs w:val="24"/>
          <w:lang w:val="en-US"/>
        </w:rPr>
        <w:t xml:space="preserve"> coordinator</w:t>
      </w:r>
      <w:r w:rsidRPr="004178C6">
        <w:rPr>
          <w:rFonts w:ascii="Arial" w:hAnsi="Arial" w:cs="Arial"/>
          <w:sz w:val="24"/>
          <w:szCs w:val="24"/>
          <w:lang w:val="en-US"/>
        </w:rPr>
        <w:t>.</w:t>
      </w:r>
    </w:p>
    <w:p w14:paraId="49AD9490" w14:textId="091E7565" w:rsidR="0058478B" w:rsidRPr="00C13276" w:rsidRDefault="0058478B" w:rsidP="00456392">
      <w:pPr>
        <w:spacing w:after="120"/>
        <w:rPr>
          <w:rFonts w:ascii="Arial" w:hAnsi="Arial" w:cs="Arial"/>
          <w:sz w:val="24"/>
          <w:szCs w:val="24"/>
          <w:lang w:val="en-US"/>
        </w:rPr>
      </w:pPr>
      <w:bookmarkStart w:id="100" w:name="_Hlk19870654"/>
      <w:bookmarkStart w:id="101" w:name="_Hlk16752521"/>
      <w:r w:rsidRPr="00C13276">
        <w:rPr>
          <w:rFonts w:ascii="Arial" w:hAnsi="Arial" w:cs="Arial"/>
          <w:sz w:val="24"/>
          <w:szCs w:val="24"/>
          <w:lang w:val="en-US"/>
        </w:rPr>
        <w:t>Within th</w:t>
      </w:r>
      <w:r w:rsidR="00647097" w:rsidRPr="00C13276">
        <w:rPr>
          <w:rFonts w:ascii="Arial" w:hAnsi="Arial" w:cs="Arial"/>
          <w:sz w:val="24"/>
          <w:szCs w:val="24"/>
          <w:lang w:val="en-US"/>
        </w:rPr>
        <w:t>e</w:t>
      </w:r>
      <w:r w:rsidRPr="00C13276">
        <w:rPr>
          <w:rFonts w:ascii="Arial" w:hAnsi="Arial" w:cs="Arial"/>
          <w:sz w:val="24"/>
          <w:szCs w:val="24"/>
          <w:lang w:val="en-US"/>
        </w:rPr>
        <w:t xml:space="preserve"> </w:t>
      </w:r>
      <w:r w:rsidR="00AC5D20" w:rsidRPr="00C13276">
        <w:rPr>
          <w:rFonts w:ascii="Arial" w:hAnsi="Arial" w:cs="Arial"/>
          <w:sz w:val="24"/>
          <w:szCs w:val="24"/>
          <w:lang w:val="en-US"/>
        </w:rPr>
        <w:t xml:space="preserve">described </w:t>
      </w:r>
      <w:r w:rsidRPr="00C13276">
        <w:rPr>
          <w:rFonts w:ascii="Arial" w:hAnsi="Arial" w:cs="Arial"/>
          <w:sz w:val="24"/>
          <w:szCs w:val="24"/>
          <w:lang w:val="en-US"/>
        </w:rPr>
        <w:t xml:space="preserve">access framework, people requiring ‘household only’ management services can only access this service if they hold a </w:t>
      </w:r>
      <w:r w:rsidR="0020067D" w:rsidRPr="00C13276">
        <w:rPr>
          <w:rFonts w:ascii="Arial" w:hAnsi="Arial" w:cs="Arial"/>
          <w:sz w:val="24"/>
          <w:szCs w:val="24"/>
          <w:lang w:val="en-US"/>
        </w:rPr>
        <w:t xml:space="preserve">current </w:t>
      </w:r>
      <w:r w:rsidRPr="00C13276">
        <w:rPr>
          <w:rFonts w:ascii="Arial" w:hAnsi="Arial" w:cs="Arial"/>
          <w:sz w:val="24"/>
          <w:szCs w:val="24"/>
          <w:lang w:val="en-US"/>
        </w:rPr>
        <w:t>community service card (CSC)</w:t>
      </w:r>
      <w:r w:rsidR="004E65EA" w:rsidRPr="00C13276">
        <w:rPr>
          <w:rFonts w:ascii="Arial" w:hAnsi="Arial" w:cs="Arial"/>
          <w:sz w:val="24"/>
          <w:szCs w:val="24"/>
          <w:lang w:val="en-US"/>
        </w:rPr>
        <w:t xml:space="preserve"> and have no</w:t>
      </w:r>
      <w:r w:rsidR="00B76F7C" w:rsidRPr="00C13276">
        <w:rPr>
          <w:rFonts w:ascii="Arial" w:hAnsi="Arial" w:cs="Arial"/>
          <w:sz w:val="24"/>
          <w:szCs w:val="24"/>
          <w:lang w:val="en-US"/>
        </w:rPr>
        <w:t xml:space="preserve"> available</w:t>
      </w:r>
      <w:r w:rsidR="004E65EA" w:rsidRPr="00C13276">
        <w:rPr>
          <w:rFonts w:ascii="Arial" w:hAnsi="Arial" w:cs="Arial"/>
          <w:sz w:val="24"/>
          <w:szCs w:val="24"/>
          <w:lang w:val="en-US"/>
        </w:rPr>
        <w:t xml:space="preserve"> </w:t>
      </w:r>
      <w:r w:rsidR="00D579EC" w:rsidRPr="00C13276">
        <w:rPr>
          <w:rFonts w:ascii="Arial" w:hAnsi="Arial" w:cs="Arial"/>
          <w:sz w:val="24"/>
          <w:szCs w:val="24"/>
          <w:lang w:val="en-US"/>
        </w:rPr>
        <w:t>able-bodied</w:t>
      </w:r>
      <w:r w:rsidR="004E65EA" w:rsidRPr="00C13276">
        <w:rPr>
          <w:rFonts w:ascii="Arial" w:hAnsi="Arial" w:cs="Arial"/>
          <w:sz w:val="24"/>
          <w:szCs w:val="24"/>
          <w:lang w:val="en-US"/>
        </w:rPr>
        <w:t xml:space="preserve"> natural support</w:t>
      </w:r>
      <w:r w:rsidRPr="00C13276">
        <w:rPr>
          <w:rFonts w:ascii="Arial" w:hAnsi="Arial" w:cs="Arial"/>
          <w:sz w:val="24"/>
          <w:szCs w:val="24"/>
          <w:lang w:val="en-US"/>
        </w:rPr>
        <w:t xml:space="preserve">. Non-CSC holders may be required to contribute to partial or full costs of </w:t>
      </w:r>
      <w:r w:rsidR="00AC5D20" w:rsidRPr="00C13276">
        <w:rPr>
          <w:rFonts w:ascii="Arial" w:hAnsi="Arial" w:cs="Arial"/>
          <w:sz w:val="24"/>
          <w:szCs w:val="24"/>
          <w:lang w:val="en-US"/>
        </w:rPr>
        <w:t>care or</w:t>
      </w:r>
      <w:r w:rsidR="0020067D" w:rsidRPr="00C13276">
        <w:rPr>
          <w:rFonts w:ascii="Arial" w:hAnsi="Arial" w:cs="Arial"/>
          <w:sz w:val="24"/>
          <w:szCs w:val="24"/>
          <w:lang w:val="en-US"/>
        </w:rPr>
        <w:t xml:space="preserve"> choose an alternative provider</w:t>
      </w:r>
      <w:r w:rsidRPr="00C13276">
        <w:rPr>
          <w:rFonts w:ascii="Arial" w:hAnsi="Arial" w:cs="Arial"/>
          <w:sz w:val="24"/>
          <w:szCs w:val="24"/>
          <w:lang w:val="en-US"/>
        </w:rPr>
        <w:t>.</w:t>
      </w:r>
      <w:r w:rsidR="004E65EA" w:rsidRPr="00C13276">
        <w:rPr>
          <w:rFonts w:ascii="Arial" w:hAnsi="Arial" w:cs="Arial"/>
          <w:sz w:val="24"/>
          <w:szCs w:val="24"/>
          <w:lang w:val="en-US"/>
        </w:rPr>
        <w:t xml:space="preserve"> </w:t>
      </w:r>
      <w:bookmarkEnd w:id="100"/>
      <w:r w:rsidR="008E0C85" w:rsidRPr="00C13276">
        <w:rPr>
          <w:rFonts w:ascii="Arial" w:hAnsi="Arial" w:cs="Arial"/>
          <w:sz w:val="24"/>
          <w:szCs w:val="24"/>
          <w:lang w:val="en-US"/>
        </w:rPr>
        <w:t xml:space="preserve">More detailed guidance is provided </w:t>
      </w:r>
      <w:r w:rsidR="00B05F99" w:rsidRPr="00C13276">
        <w:rPr>
          <w:rFonts w:ascii="Arial" w:hAnsi="Arial" w:cs="Arial"/>
          <w:sz w:val="24"/>
          <w:szCs w:val="24"/>
          <w:lang w:val="en-US"/>
        </w:rPr>
        <w:t>in the</w:t>
      </w:r>
      <w:r w:rsidR="00D8626E" w:rsidRPr="00C13276">
        <w:rPr>
          <w:rFonts w:ascii="Arial" w:hAnsi="Arial" w:cs="Arial"/>
          <w:sz w:val="24"/>
          <w:szCs w:val="24"/>
          <w:lang w:val="en-US"/>
        </w:rPr>
        <w:t xml:space="preserve"> </w:t>
      </w:r>
      <w:r w:rsidR="0032323D" w:rsidRPr="00C13276">
        <w:rPr>
          <w:rFonts w:ascii="Arial" w:hAnsi="Arial" w:cs="Arial"/>
          <w:sz w:val="24"/>
          <w:szCs w:val="24"/>
          <w:lang w:val="en-US"/>
        </w:rPr>
        <w:t xml:space="preserve">HCSS </w:t>
      </w:r>
      <w:r w:rsidR="005C65F4">
        <w:rPr>
          <w:rFonts w:ascii="Arial" w:hAnsi="Arial" w:cs="Arial"/>
          <w:sz w:val="24"/>
          <w:szCs w:val="24"/>
          <w:lang w:val="en-US"/>
        </w:rPr>
        <w:t>Operations</w:t>
      </w:r>
      <w:r w:rsidR="0032323D" w:rsidRPr="00C13276">
        <w:rPr>
          <w:rFonts w:ascii="Arial" w:hAnsi="Arial" w:cs="Arial"/>
          <w:sz w:val="24"/>
          <w:szCs w:val="24"/>
          <w:lang w:val="en-US"/>
        </w:rPr>
        <w:t xml:space="preserve"> Manual</w:t>
      </w:r>
      <w:r w:rsidR="00D8626E" w:rsidRPr="00C13276">
        <w:rPr>
          <w:rFonts w:ascii="Arial" w:hAnsi="Arial" w:cs="Arial"/>
          <w:sz w:val="24"/>
          <w:szCs w:val="24"/>
          <w:lang w:val="en-US"/>
        </w:rPr>
        <w:t>.</w:t>
      </w:r>
    </w:p>
    <w:p w14:paraId="232946FC" w14:textId="77777777" w:rsidR="00647097" w:rsidRPr="00C13276" w:rsidRDefault="00C02CC3" w:rsidP="00C13276">
      <w:pPr>
        <w:pStyle w:val="Heading2"/>
        <w:spacing w:after="120"/>
        <w:rPr>
          <w:rFonts w:ascii="Arial" w:hAnsi="Arial" w:cs="Arial"/>
          <w:sz w:val="24"/>
          <w:szCs w:val="24"/>
        </w:rPr>
      </w:pPr>
      <w:bookmarkStart w:id="102" w:name="_Toc43122842"/>
      <w:r w:rsidRPr="00C13276">
        <w:rPr>
          <w:rFonts w:ascii="Arial" w:hAnsi="Arial" w:cs="Arial"/>
          <w:sz w:val="24"/>
          <w:szCs w:val="24"/>
        </w:rPr>
        <w:t>6</w:t>
      </w:r>
      <w:r w:rsidR="00F076A5" w:rsidRPr="00C13276">
        <w:rPr>
          <w:rFonts w:ascii="Arial" w:hAnsi="Arial" w:cs="Arial"/>
          <w:sz w:val="24"/>
          <w:szCs w:val="24"/>
        </w:rPr>
        <w:t>.</w:t>
      </w:r>
      <w:r w:rsidR="007E45D6" w:rsidRPr="00C13276">
        <w:rPr>
          <w:rFonts w:ascii="Arial" w:hAnsi="Arial" w:cs="Arial"/>
          <w:sz w:val="24"/>
          <w:szCs w:val="24"/>
        </w:rPr>
        <w:t>2</w:t>
      </w:r>
      <w:r w:rsidR="00F076A5" w:rsidRPr="00C13276">
        <w:rPr>
          <w:rFonts w:ascii="Arial" w:hAnsi="Arial" w:cs="Arial"/>
          <w:sz w:val="24"/>
          <w:szCs w:val="24"/>
        </w:rPr>
        <w:tab/>
      </w:r>
      <w:r w:rsidR="00647097" w:rsidRPr="00C13276">
        <w:rPr>
          <w:rFonts w:ascii="Arial" w:hAnsi="Arial" w:cs="Arial"/>
          <w:sz w:val="24"/>
          <w:szCs w:val="24"/>
        </w:rPr>
        <w:t>Provider management of referrals</w:t>
      </w:r>
      <w:bookmarkEnd w:id="102"/>
    </w:p>
    <w:p w14:paraId="0194EFE4" w14:textId="77777777" w:rsidR="00647097" w:rsidRPr="00C13276" w:rsidRDefault="00647097" w:rsidP="00456392">
      <w:pPr>
        <w:spacing w:after="120"/>
        <w:rPr>
          <w:rFonts w:ascii="Arial" w:hAnsi="Arial" w:cs="Arial"/>
          <w:sz w:val="24"/>
          <w:szCs w:val="24"/>
          <w:lang w:val="en-US"/>
        </w:rPr>
      </w:pPr>
      <w:r w:rsidRPr="00C13276">
        <w:rPr>
          <w:rFonts w:ascii="Arial" w:hAnsi="Arial" w:cs="Arial"/>
          <w:sz w:val="24"/>
          <w:szCs w:val="24"/>
          <w:lang w:val="en-US"/>
        </w:rPr>
        <w:t>The Provider will establish and maintain effective communication links with primary and secondary health services, and the NASC</w:t>
      </w:r>
      <w:r w:rsidR="006B4033">
        <w:rPr>
          <w:rFonts w:ascii="Arial" w:hAnsi="Arial" w:cs="Arial"/>
          <w:sz w:val="24"/>
          <w:szCs w:val="24"/>
          <w:lang w:val="en-US"/>
        </w:rPr>
        <w:t xml:space="preserve"> </w:t>
      </w:r>
      <w:proofErr w:type="spellStart"/>
      <w:r w:rsidR="006B4033">
        <w:rPr>
          <w:rFonts w:ascii="Arial" w:hAnsi="Arial" w:cs="Arial"/>
          <w:sz w:val="24"/>
          <w:szCs w:val="24"/>
          <w:lang w:val="en-US"/>
        </w:rPr>
        <w:t>cordinator</w:t>
      </w:r>
      <w:proofErr w:type="spellEnd"/>
      <w:r w:rsidRPr="00C13276">
        <w:rPr>
          <w:rFonts w:ascii="Arial" w:hAnsi="Arial" w:cs="Arial"/>
          <w:sz w:val="24"/>
          <w:szCs w:val="24"/>
          <w:lang w:val="en-US"/>
        </w:rPr>
        <w:t xml:space="preserve">, to achieve a responsive and informed referral management processes. This may be inclusive of involvement in discharge planning for </w:t>
      </w:r>
      <w:r w:rsidR="00F24630" w:rsidRPr="00C13276">
        <w:rPr>
          <w:rFonts w:ascii="Arial" w:hAnsi="Arial" w:cs="Arial"/>
          <w:sz w:val="24"/>
          <w:szCs w:val="24"/>
          <w:lang w:val="en-US"/>
        </w:rPr>
        <w:t xml:space="preserve">existing </w:t>
      </w:r>
      <w:r w:rsidRPr="00C13276">
        <w:rPr>
          <w:rFonts w:ascii="Arial" w:hAnsi="Arial" w:cs="Arial"/>
          <w:sz w:val="24"/>
          <w:szCs w:val="24"/>
          <w:lang w:val="en-US"/>
        </w:rPr>
        <w:t xml:space="preserve">clients referred during an inpatient episode of care. </w:t>
      </w:r>
    </w:p>
    <w:p w14:paraId="49C3B619" w14:textId="6C4C5473" w:rsidR="00647097" w:rsidRPr="00C13276" w:rsidRDefault="00647097" w:rsidP="00456392">
      <w:pPr>
        <w:spacing w:after="120"/>
        <w:rPr>
          <w:rFonts w:ascii="Arial" w:hAnsi="Arial" w:cs="Arial"/>
          <w:sz w:val="24"/>
          <w:szCs w:val="24"/>
          <w:lang w:val="en-US"/>
        </w:rPr>
      </w:pPr>
      <w:r w:rsidRPr="00C13276">
        <w:rPr>
          <w:rFonts w:ascii="Arial" w:hAnsi="Arial" w:cs="Arial"/>
          <w:sz w:val="24"/>
          <w:szCs w:val="24"/>
          <w:lang w:val="en-US"/>
        </w:rPr>
        <w:t xml:space="preserve">In adherence with legislative requirements the Provider will ensure an occupational safety and health risk assessment is undertaken and documented at the earliest opportunity in relation to the specific services to be delivered. See the </w:t>
      </w:r>
      <w:r w:rsidR="006B4033" w:rsidRPr="006B4033">
        <w:rPr>
          <w:rFonts w:ascii="Arial" w:hAnsi="Arial" w:cs="Arial"/>
          <w:sz w:val="24"/>
          <w:szCs w:val="24"/>
          <w:lang w:val="en-US"/>
        </w:rPr>
        <w:t>Tier One Community Health</w:t>
      </w:r>
      <w:r w:rsidR="00893EC3">
        <w:rPr>
          <w:rFonts w:ascii="Arial" w:hAnsi="Arial" w:cs="Arial"/>
          <w:sz w:val="24"/>
          <w:szCs w:val="24"/>
          <w:lang w:val="en-US"/>
        </w:rPr>
        <w:t>,</w:t>
      </w:r>
      <w:r w:rsidR="006B4033" w:rsidRPr="006B4033">
        <w:rPr>
          <w:rFonts w:ascii="Arial" w:hAnsi="Arial" w:cs="Arial"/>
          <w:sz w:val="24"/>
          <w:szCs w:val="24"/>
          <w:lang w:val="en-US"/>
        </w:rPr>
        <w:t xml:space="preserve"> Transitional and Support Services service specification</w:t>
      </w:r>
      <w:r w:rsidR="006B4033" w:rsidRPr="00874DFB" w:rsidDel="006B4033">
        <w:rPr>
          <w:rFonts w:ascii="Arial" w:hAnsi="Arial" w:cs="Arial"/>
          <w:sz w:val="24"/>
          <w:szCs w:val="24"/>
          <w:lang w:val="en-US"/>
        </w:rPr>
        <w:t xml:space="preserve"> </w:t>
      </w:r>
      <w:r w:rsidRPr="00C13276">
        <w:rPr>
          <w:rFonts w:ascii="Arial" w:hAnsi="Arial" w:cs="Arial"/>
          <w:sz w:val="24"/>
          <w:szCs w:val="24"/>
          <w:lang w:val="en-US"/>
        </w:rPr>
        <w:t xml:space="preserve">for the client </w:t>
      </w:r>
      <w:r w:rsidR="006B4033">
        <w:rPr>
          <w:rFonts w:ascii="Arial" w:hAnsi="Arial" w:cs="Arial"/>
          <w:sz w:val="24"/>
          <w:szCs w:val="24"/>
          <w:lang w:val="en-US"/>
        </w:rPr>
        <w:t>R</w:t>
      </w:r>
      <w:r w:rsidRPr="00C13276">
        <w:rPr>
          <w:rFonts w:ascii="Arial" w:hAnsi="Arial" w:cs="Arial"/>
          <w:sz w:val="24"/>
          <w:szCs w:val="24"/>
          <w:lang w:val="en-US"/>
        </w:rPr>
        <w:t xml:space="preserve">isk </w:t>
      </w:r>
      <w:r w:rsidR="006B4033">
        <w:rPr>
          <w:rFonts w:ascii="Arial" w:hAnsi="Arial" w:cs="Arial"/>
          <w:sz w:val="24"/>
          <w:szCs w:val="24"/>
          <w:lang w:val="en-US"/>
        </w:rPr>
        <w:t>A</w:t>
      </w:r>
      <w:r w:rsidRPr="00C13276">
        <w:rPr>
          <w:rFonts w:ascii="Arial" w:hAnsi="Arial" w:cs="Arial"/>
          <w:sz w:val="24"/>
          <w:szCs w:val="24"/>
          <w:lang w:val="en-US"/>
        </w:rPr>
        <w:t xml:space="preserve">ssessment </w:t>
      </w:r>
      <w:r w:rsidR="006B4033">
        <w:rPr>
          <w:rFonts w:ascii="Arial" w:hAnsi="Arial" w:cs="Arial"/>
          <w:sz w:val="24"/>
          <w:szCs w:val="24"/>
          <w:lang w:val="en-US"/>
        </w:rPr>
        <w:t>F</w:t>
      </w:r>
      <w:r w:rsidRPr="00C13276">
        <w:rPr>
          <w:rFonts w:ascii="Arial" w:hAnsi="Arial" w:cs="Arial"/>
          <w:sz w:val="24"/>
          <w:szCs w:val="24"/>
          <w:lang w:val="en-US"/>
        </w:rPr>
        <w:t>ramework.</w:t>
      </w:r>
    </w:p>
    <w:p w14:paraId="742DC6BB" w14:textId="295B4629" w:rsidR="00796887" w:rsidRPr="00C13276" w:rsidRDefault="00796887" w:rsidP="00C13276">
      <w:pPr>
        <w:pStyle w:val="Heading2"/>
        <w:spacing w:after="120"/>
        <w:rPr>
          <w:rFonts w:ascii="Arial" w:hAnsi="Arial" w:cs="Arial"/>
          <w:sz w:val="24"/>
          <w:szCs w:val="24"/>
        </w:rPr>
      </w:pPr>
      <w:bookmarkStart w:id="103" w:name="_Toc43122843"/>
      <w:bookmarkStart w:id="104" w:name="_Hlk22215993"/>
      <w:r w:rsidRPr="00C13276">
        <w:rPr>
          <w:rFonts w:ascii="Arial" w:hAnsi="Arial" w:cs="Arial"/>
          <w:sz w:val="24"/>
          <w:szCs w:val="24"/>
        </w:rPr>
        <w:t>6.3</w:t>
      </w:r>
      <w:r w:rsidRPr="00C13276">
        <w:rPr>
          <w:rFonts w:ascii="Arial" w:hAnsi="Arial" w:cs="Arial"/>
          <w:sz w:val="24"/>
          <w:szCs w:val="24"/>
        </w:rPr>
        <w:tab/>
      </w:r>
      <w:bookmarkStart w:id="105" w:name="_Hlk22806025"/>
      <w:r w:rsidR="004859A5" w:rsidRPr="00C13276">
        <w:rPr>
          <w:rFonts w:ascii="Arial" w:hAnsi="Arial" w:cs="Arial"/>
          <w:sz w:val="24"/>
          <w:szCs w:val="24"/>
        </w:rPr>
        <w:t xml:space="preserve">Service </w:t>
      </w:r>
      <w:r w:rsidR="00FC3020">
        <w:rPr>
          <w:rFonts w:ascii="Arial" w:hAnsi="Arial" w:cs="Arial"/>
          <w:sz w:val="24"/>
          <w:szCs w:val="24"/>
        </w:rPr>
        <w:t>re</w:t>
      </w:r>
      <w:r w:rsidRPr="00C13276">
        <w:rPr>
          <w:rFonts w:ascii="Arial" w:hAnsi="Arial" w:cs="Arial"/>
          <w:sz w:val="24"/>
          <w:szCs w:val="24"/>
        </w:rPr>
        <w:t xml:space="preserve">sponse </w:t>
      </w:r>
      <w:r w:rsidR="00942ED5" w:rsidRPr="00C13276">
        <w:rPr>
          <w:rFonts w:ascii="Arial" w:hAnsi="Arial" w:cs="Arial"/>
          <w:sz w:val="24"/>
          <w:szCs w:val="24"/>
        </w:rPr>
        <w:t>t</w:t>
      </w:r>
      <w:r w:rsidRPr="00C13276">
        <w:rPr>
          <w:rFonts w:ascii="Arial" w:hAnsi="Arial" w:cs="Arial"/>
          <w:sz w:val="24"/>
          <w:szCs w:val="24"/>
        </w:rPr>
        <w:t>imes</w:t>
      </w:r>
      <w:r w:rsidR="00942ED5" w:rsidRPr="00C13276">
        <w:rPr>
          <w:rFonts w:ascii="Arial" w:hAnsi="Arial" w:cs="Arial"/>
          <w:sz w:val="24"/>
          <w:szCs w:val="24"/>
        </w:rPr>
        <w:t xml:space="preserve"> for described activities</w:t>
      </w:r>
      <w:bookmarkEnd w:id="103"/>
    </w:p>
    <w:p w14:paraId="1B2DDD96" w14:textId="77777777" w:rsidR="0089764E" w:rsidRPr="00C13276" w:rsidRDefault="00796887" w:rsidP="00456392">
      <w:pPr>
        <w:pStyle w:val="BodyTextIndent2"/>
        <w:tabs>
          <w:tab w:val="clear" w:pos="851"/>
        </w:tabs>
        <w:spacing w:after="160" w:line="259" w:lineRule="auto"/>
        <w:ind w:left="0" w:right="-22"/>
        <w:jc w:val="left"/>
        <w:rPr>
          <w:rFonts w:ascii="Arial" w:hAnsi="Arial" w:cs="Arial"/>
          <w:szCs w:val="24"/>
        </w:rPr>
      </w:pPr>
      <w:r w:rsidRPr="00BA0DA9">
        <w:rPr>
          <w:rFonts w:ascii="Arial" w:hAnsi="Arial" w:cs="Arial"/>
          <w:szCs w:val="24"/>
        </w:rPr>
        <w:t>The response time for each referral will be based on the</w:t>
      </w:r>
      <w:r w:rsidR="00942ED5" w:rsidRPr="00BA0DA9">
        <w:rPr>
          <w:rFonts w:ascii="Arial" w:hAnsi="Arial" w:cs="Arial"/>
          <w:szCs w:val="24"/>
        </w:rPr>
        <w:t xml:space="preserve"> </w:t>
      </w:r>
      <w:r w:rsidR="00370125" w:rsidRPr="00AF42AC">
        <w:rPr>
          <w:rFonts w:ascii="Arial" w:hAnsi="Arial" w:cs="Arial"/>
          <w:szCs w:val="24"/>
        </w:rPr>
        <w:t>client’s</w:t>
      </w:r>
      <w:r w:rsidRPr="00AF42AC">
        <w:rPr>
          <w:rFonts w:ascii="Arial" w:hAnsi="Arial" w:cs="Arial"/>
          <w:szCs w:val="24"/>
        </w:rPr>
        <w:t xml:space="preserve"> level of </w:t>
      </w:r>
      <w:r w:rsidR="004D212C" w:rsidRPr="00AF42AC">
        <w:rPr>
          <w:rFonts w:ascii="Arial" w:hAnsi="Arial" w:cs="Arial"/>
          <w:szCs w:val="24"/>
        </w:rPr>
        <w:t>contextual</w:t>
      </w:r>
      <w:r w:rsidRPr="00AF42AC">
        <w:rPr>
          <w:rFonts w:ascii="Arial" w:hAnsi="Arial" w:cs="Arial"/>
          <w:szCs w:val="24"/>
        </w:rPr>
        <w:t xml:space="preserve"> risk</w:t>
      </w:r>
      <w:r w:rsidR="00E53A38" w:rsidRPr="00AF42AC">
        <w:rPr>
          <w:rFonts w:ascii="Arial" w:hAnsi="Arial" w:cs="Arial"/>
          <w:szCs w:val="24"/>
        </w:rPr>
        <w:t xml:space="preserve"> (</w:t>
      </w:r>
      <w:r w:rsidR="008A69FF" w:rsidRPr="00AF42AC">
        <w:rPr>
          <w:rFonts w:ascii="Arial" w:hAnsi="Arial" w:cs="Arial"/>
          <w:szCs w:val="24"/>
        </w:rPr>
        <w:t>A</w:t>
      </w:r>
      <w:r w:rsidR="00E53A38" w:rsidRPr="00AF42AC">
        <w:rPr>
          <w:rFonts w:ascii="Arial" w:hAnsi="Arial" w:cs="Arial"/>
          <w:szCs w:val="24"/>
        </w:rPr>
        <w:t>ppendix 4)</w:t>
      </w:r>
      <w:r w:rsidRPr="00AF42AC">
        <w:rPr>
          <w:rFonts w:ascii="Arial" w:hAnsi="Arial" w:cs="Arial"/>
          <w:szCs w:val="24"/>
        </w:rPr>
        <w:t xml:space="preserve"> assessed from the information given with the referral. It is intended that the response times enable clients’ needs to be met with the best use of available resource.</w:t>
      </w:r>
      <w:bookmarkEnd w:id="105"/>
    </w:p>
    <w:tbl>
      <w:tblPr>
        <w:tblW w:w="9629" w:type="dxa"/>
        <w:tblCellMar>
          <w:left w:w="0" w:type="dxa"/>
          <w:right w:w="0" w:type="dxa"/>
        </w:tblCellMar>
        <w:tblLook w:val="04A0" w:firstRow="1" w:lastRow="0" w:firstColumn="1" w:lastColumn="0" w:noHBand="0" w:noVBand="1"/>
      </w:tblPr>
      <w:tblGrid>
        <w:gridCol w:w="2542"/>
        <w:gridCol w:w="7087"/>
      </w:tblGrid>
      <w:tr w:rsidR="0089764E" w:rsidRPr="00986409" w14:paraId="1D79DF09" w14:textId="77777777" w:rsidTr="00DC674C">
        <w:trPr>
          <w:tblHeader/>
        </w:trPr>
        <w:tc>
          <w:tcPr>
            <w:tcW w:w="254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99A7B77" w14:textId="77777777" w:rsidR="0089764E" w:rsidRPr="00C13276" w:rsidRDefault="0089764E" w:rsidP="004178C6">
            <w:pPr>
              <w:pStyle w:val="BodyTextIndent2"/>
              <w:spacing w:before="120" w:after="120"/>
              <w:ind w:left="0"/>
              <w:jc w:val="left"/>
              <w:rPr>
                <w:rFonts w:ascii="Arial" w:hAnsi="Arial" w:cs="Arial"/>
                <w:b/>
                <w:bCs/>
                <w:szCs w:val="24"/>
              </w:rPr>
            </w:pPr>
            <w:bookmarkStart w:id="106" w:name="_Hlk22215298"/>
            <w:bookmarkStart w:id="107" w:name="_Hlk22546318"/>
            <w:bookmarkEnd w:id="104"/>
            <w:r w:rsidRPr="00C13276">
              <w:rPr>
                <w:rFonts w:ascii="Arial" w:hAnsi="Arial" w:cs="Arial"/>
                <w:b/>
                <w:bCs/>
                <w:szCs w:val="24"/>
              </w:rPr>
              <w:t>Service Process</w:t>
            </w:r>
          </w:p>
        </w:tc>
        <w:tc>
          <w:tcPr>
            <w:tcW w:w="70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67F5202" w14:textId="77777777" w:rsidR="0089764E" w:rsidRPr="00C13276" w:rsidRDefault="0089764E" w:rsidP="004178C6">
            <w:pPr>
              <w:pStyle w:val="BodyTextIndent2"/>
              <w:spacing w:before="120" w:after="120"/>
              <w:ind w:left="0"/>
              <w:jc w:val="left"/>
              <w:rPr>
                <w:rFonts w:ascii="Arial" w:hAnsi="Arial" w:cs="Arial"/>
                <w:b/>
                <w:bCs/>
                <w:szCs w:val="24"/>
              </w:rPr>
            </w:pPr>
            <w:r w:rsidRPr="00C13276">
              <w:rPr>
                <w:rFonts w:ascii="Arial" w:hAnsi="Arial" w:cs="Arial"/>
                <w:b/>
                <w:bCs/>
                <w:szCs w:val="24"/>
              </w:rPr>
              <w:t>Response time and description of activities to be completed</w:t>
            </w:r>
          </w:p>
        </w:tc>
      </w:tr>
      <w:tr w:rsidR="0089764E" w:rsidRPr="00986409" w14:paraId="24472FBC"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76E1A9C"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Referrals confirmation and processing</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05FFB14F"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The Provider will provide the </w:t>
            </w:r>
            <w:r w:rsidRPr="00C13276">
              <w:rPr>
                <w:rFonts w:ascii="Arial" w:hAnsi="Arial" w:cs="Arial"/>
                <w:szCs w:val="24"/>
                <w:shd w:val="clear" w:color="auto" w:fill="FFFFFF"/>
              </w:rPr>
              <w:t>referrer electronic</w:t>
            </w:r>
            <w:r w:rsidRPr="00C13276">
              <w:rPr>
                <w:rFonts w:ascii="Arial" w:hAnsi="Arial" w:cs="Arial"/>
                <w:szCs w:val="24"/>
              </w:rPr>
              <w:t xml:space="preserve"> confirmation of the receipt of referrals within one working day.</w:t>
            </w:r>
          </w:p>
          <w:p w14:paraId="3D41E6FC"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Referrals will be processed by the Provider within one working day.</w:t>
            </w:r>
          </w:p>
        </w:tc>
      </w:tr>
      <w:tr w:rsidR="0089764E" w:rsidRPr="00986409" w14:paraId="3E90FC3B"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FEFF22" w14:textId="77777777" w:rsidR="0089764E" w:rsidRPr="00C13276" w:rsidRDefault="0089764E" w:rsidP="004178C6">
            <w:pPr>
              <w:pStyle w:val="BodyTextIndent2"/>
              <w:spacing w:before="120" w:after="120"/>
              <w:ind w:left="0"/>
              <w:jc w:val="left"/>
              <w:rPr>
                <w:rFonts w:ascii="Arial" w:hAnsi="Arial" w:cs="Arial"/>
                <w:b/>
                <w:bCs/>
                <w:szCs w:val="24"/>
              </w:rPr>
            </w:pPr>
            <w:r w:rsidRPr="00C13276">
              <w:rPr>
                <w:rFonts w:ascii="Arial" w:hAnsi="Arial" w:cs="Arial"/>
                <w:szCs w:val="24"/>
              </w:rPr>
              <w:t xml:space="preserve">Initial </w:t>
            </w:r>
            <w:r w:rsidR="00EE7F92" w:rsidRPr="00C13276">
              <w:rPr>
                <w:rFonts w:ascii="Arial" w:hAnsi="Arial" w:cs="Arial"/>
                <w:szCs w:val="24"/>
              </w:rPr>
              <w:t>c</w:t>
            </w:r>
            <w:r w:rsidRPr="00C13276">
              <w:rPr>
                <w:rFonts w:ascii="Arial" w:hAnsi="Arial" w:cs="Arial"/>
                <w:szCs w:val="24"/>
              </w:rPr>
              <w:t>ontact/</w:t>
            </w:r>
            <w:r w:rsidR="00EE7F92" w:rsidRPr="00C13276">
              <w:rPr>
                <w:rFonts w:ascii="Arial" w:hAnsi="Arial" w:cs="Arial"/>
                <w:szCs w:val="24"/>
              </w:rPr>
              <w:t>s</w:t>
            </w:r>
            <w:r w:rsidRPr="00C13276">
              <w:rPr>
                <w:rFonts w:ascii="Arial" w:hAnsi="Arial" w:cs="Arial"/>
                <w:szCs w:val="24"/>
              </w:rPr>
              <w:t>ervice Implementation –</w:t>
            </w:r>
          </w:p>
          <w:p w14:paraId="268EB244"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Non-Complex Clients (Low Risk)</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4B59984B" w14:textId="77777777" w:rsidR="004E1BB0"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Initial contact</w:t>
            </w:r>
            <w:r w:rsidR="00A1400B" w:rsidRPr="00C13276">
              <w:rPr>
                <w:rFonts w:ascii="Arial" w:hAnsi="Arial" w:cs="Arial"/>
                <w:szCs w:val="24"/>
              </w:rPr>
              <w:t xml:space="preserve"> and appointment booked</w:t>
            </w:r>
            <w:r w:rsidRPr="00C13276">
              <w:rPr>
                <w:rFonts w:ascii="Arial" w:hAnsi="Arial" w:cs="Arial"/>
                <w:szCs w:val="24"/>
              </w:rPr>
              <w:t xml:space="preserve"> with client within three working days of acceptance of referral.</w:t>
            </w:r>
            <w:r w:rsidR="001012A0" w:rsidRPr="00C13276">
              <w:rPr>
                <w:rFonts w:ascii="Arial" w:hAnsi="Arial" w:cs="Arial"/>
                <w:szCs w:val="24"/>
              </w:rPr>
              <w:t xml:space="preserve"> </w:t>
            </w:r>
          </w:p>
          <w:p w14:paraId="47345AEC" w14:textId="77777777" w:rsidR="0089764E" w:rsidRPr="00C13276" w:rsidRDefault="001012A0" w:rsidP="004178C6">
            <w:pPr>
              <w:pStyle w:val="BodyTextIndent2"/>
              <w:spacing w:before="120" w:after="120"/>
              <w:ind w:left="0"/>
              <w:jc w:val="left"/>
              <w:rPr>
                <w:rFonts w:ascii="Arial" w:hAnsi="Arial" w:cs="Arial"/>
                <w:szCs w:val="24"/>
              </w:rPr>
            </w:pPr>
            <w:r w:rsidRPr="00BA0DA9">
              <w:rPr>
                <w:rFonts w:ascii="Arial" w:hAnsi="Arial" w:cs="Arial"/>
                <w:szCs w:val="24"/>
              </w:rPr>
              <w:t>Contact assessment</w:t>
            </w:r>
            <w:r w:rsidR="00B265DA" w:rsidRPr="00BA0DA9">
              <w:rPr>
                <w:rFonts w:ascii="Arial" w:hAnsi="Arial" w:cs="Arial"/>
                <w:szCs w:val="24"/>
              </w:rPr>
              <w:t xml:space="preserve"> and</w:t>
            </w:r>
            <w:r w:rsidR="004E1BB0">
              <w:rPr>
                <w:rFonts w:ascii="Arial" w:hAnsi="Arial" w:cs="Arial"/>
                <w:szCs w:val="24"/>
              </w:rPr>
              <w:t xml:space="preserve"> s</w:t>
            </w:r>
            <w:r w:rsidR="0089764E" w:rsidRPr="00C13276">
              <w:rPr>
                <w:rFonts w:ascii="Arial" w:hAnsi="Arial" w:cs="Arial"/>
                <w:szCs w:val="24"/>
              </w:rPr>
              <w:t>ervice implementation within five working days of acceptance of referral.</w:t>
            </w:r>
          </w:p>
        </w:tc>
      </w:tr>
      <w:tr w:rsidR="0089764E" w:rsidRPr="00986409" w14:paraId="356D39CD"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293DDF" w14:textId="77777777" w:rsidR="004E1BB0"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Initial </w:t>
            </w:r>
            <w:r w:rsidR="00EE7F92" w:rsidRPr="00C13276">
              <w:rPr>
                <w:rFonts w:ascii="Arial" w:hAnsi="Arial" w:cs="Arial"/>
                <w:szCs w:val="24"/>
              </w:rPr>
              <w:t>c</w:t>
            </w:r>
            <w:r w:rsidRPr="00C13276">
              <w:rPr>
                <w:rFonts w:ascii="Arial" w:hAnsi="Arial" w:cs="Arial"/>
                <w:szCs w:val="24"/>
              </w:rPr>
              <w:t>ontact/</w:t>
            </w:r>
            <w:r w:rsidR="00EE7F92" w:rsidRPr="00C13276">
              <w:rPr>
                <w:rFonts w:ascii="Arial" w:hAnsi="Arial" w:cs="Arial"/>
                <w:szCs w:val="24"/>
              </w:rPr>
              <w:t>s</w:t>
            </w:r>
            <w:r w:rsidRPr="00C13276">
              <w:rPr>
                <w:rFonts w:ascii="Arial" w:hAnsi="Arial" w:cs="Arial"/>
                <w:szCs w:val="24"/>
              </w:rPr>
              <w:t>ervice implementation</w:t>
            </w:r>
          </w:p>
          <w:p w14:paraId="58377711"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Complex Clients (Moderate Risk)</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62DFA5F5"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Initial contact </w:t>
            </w:r>
            <w:r w:rsidR="00A1400B" w:rsidRPr="00C13276">
              <w:rPr>
                <w:rFonts w:ascii="Arial" w:hAnsi="Arial" w:cs="Arial"/>
                <w:szCs w:val="24"/>
              </w:rPr>
              <w:t xml:space="preserve">and appointment booked </w:t>
            </w:r>
            <w:r w:rsidRPr="00C13276">
              <w:rPr>
                <w:rFonts w:ascii="Arial" w:hAnsi="Arial" w:cs="Arial"/>
                <w:szCs w:val="24"/>
              </w:rPr>
              <w:t>with client within two working days of acceptance of referral.</w:t>
            </w:r>
          </w:p>
          <w:p w14:paraId="38EE9F97"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Service implementation within two working days of acceptance of referral or 3 working days if natural supports in can provide necessary interim support. </w:t>
            </w:r>
          </w:p>
        </w:tc>
      </w:tr>
      <w:tr w:rsidR="0089764E" w:rsidRPr="00986409" w14:paraId="18EA8BD5"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A4F2E10" w14:textId="77777777" w:rsidR="0089764E" w:rsidRPr="00C13276" w:rsidRDefault="0089764E" w:rsidP="004178C6">
            <w:pPr>
              <w:pStyle w:val="BodyTextIndent2"/>
              <w:spacing w:before="120" w:after="120"/>
              <w:ind w:left="0"/>
              <w:jc w:val="left"/>
              <w:rPr>
                <w:rFonts w:ascii="Arial" w:eastAsiaTheme="minorHAnsi" w:hAnsi="Arial" w:cs="Arial"/>
                <w:szCs w:val="24"/>
              </w:rPr>
            </w:pPr>
            <w:r w:rsidRPr="00C13276">
              <w:rPr>
                <w:rFonts w:ascii="Arial" w:hAnsi="Arial" w:cs="Arial"/>
                <w:szCs w:val="24"/>
              </w:rPr>
              <w:t xml:space="preserve">Initial </w:t>
            </w:r>
            <w:r w:rsidR="00EE7F92" w:rsidRPr="00C13276">
              <w:rPr>
                <w:rFonts w:ascii="Arial" w:hAnsi="Arial" w:cs="Arial"/>
                <w:szCs w:val="24"/>
              </w:rPr>
              <w:t>c</w:t>
            </w:r>
            <w:r w:rsidRPr="00C13276">
              <w:rPr>
                <w:rFonts w:ascii="Arial" w:hAnsi="Arial" w:cs="Arial"/>
                <w:szCs w:val="24"/>
              </w:rPr>
              <w:t>ontact/</w:t>
            </w:r>
            <w:r w:rsidR="00EE7F92" w:rsidRPr="00C13276">
              <w:rPr>
                <w:rFonts w:ascii="Arial" w:hAnsi="Arial" w:cs="Arial"/>
                <w:szCs w:val="24"/>
              </w:rPr>
              <w:t>s</w:t>
            </w:r>
            <w:r w:rsidRPr="00C13276">
              <w:rPr>
                <w:rFonts w:ascii="Arial" w:hAnsi="Arial" w:cs="Arial"/>
                <w:szCs w:val="24"/>
              </w:rPr>
              <w:t xml:space="preserve">ervice </w:t>
            </w:r>
            <w:r w:rsidR="00EE7F92" w:rsidRPr="00C13276">
              <w:rPr>
                <w:rFonts w:ascii="Arial" w:hAnsi="Arial" w:cs="Arial"/>
                <w:szCs w:val="24"/>
              </w:rPr>
              <w:t>i</w:t>
            </w:r>
            <w:r w:rsidRPr="00C13276">
              <w:rPr>
                <w:rFonts w:ascii="Arial" w:hAnsi="Arial" w:cs="Arial"/>
                <w:szCs w:val="24"/>
              </w:rPr>
              <w:t xml:space="preserve">mplementation </w:t>
            </w:r>
          </w:p>
          <w:p w14:paraId="0AA6E552" w14:textId="77777777" w:rsidR="0089764E" w:rsidRPr="00C13276" w:rsidRDefault="0089764E" w:rsidP="004178C6">
            <w:pPr>
              <w:pStyle w:val="BodyTextIndent2"/>
              <w:spacing w:before="120" w:after="120"/>
              <w:ind w:left="0"/>
              <w:jc w:val="left"/>
              <w:rPr>
                <w:rFonts w:ascii="Arial" w:hAnsi="Arial" w:cs="Arial"/>
                <w:szCs w:val="24"/>
              </w:rPr>
            </w:pPr>
            <w:r w:rsidRPr="00BA0DA9">
              <w:rPr>
                <w:rFonts w:ascii="Arial" w:hAnsi="Arial" w:cs="Arial"/>
                <w:szCs w:val="24"/>
              </w:rPr>
              <w:t xml:space="preserve">Complex </w:t>
            </w:r>
            <w:r w:rsidR="00EE7F92" w:rsidRPr="00BA0DA9">
              <w:rPr>
                <w:rFonts w:ascii="Arial" w:hAnsi="Arial" w:cs="Arial"/>
                <w:szCs w:val="24"/>
              </w:rPr>
              <w:t>C</w:t>
            </w:r>
            <w:r w:rsidRPr="00AF42AC">
              <w:rPr>
                <w:rFonts w:ascii="Arial" w:hAnsi="Arial" w:cs="Arial"/>
                <w:szCs w:val="24"/>
              </w:rPr>
              <w:t>lients</w:t>
            </w:r>
            <w:r w:rsidR="004E1BB0">
              <w:rPr>
                <w:rFonts w:ascii="Arial" w:hAnsi="Arial" w:cs="Arial"/>
                <w:szCs w:val="24"/>
              </w:rPr>
              <w:t xml:space="preserve"> </w:t>
            </w:r>
            <w:r w:rsidRPr="00C13276">
              <w:rPr>
                <w:rFonts w:ascii="Arial" w:hAnsi="Arial" w:cs="Arial"/>
                <w:szCs w:val="24"/>
              </w:rPr>
              <w:t>(</w:t>
            </w:r>
            <w:r w:rsidR="004E1BB0">
              <w:rPr>
                <w:rFonts w:ascii="Arial" w:hAnsi="Arial" w:cs="Arial"/>
                <w:szCs w:val="24"/>
              </w:rPr>
              <w:t>H</w:t>
            </w:r>
            <w:r w:rsidRPr="00C13276">
              <w:rPr>
                <w:rFonts w:ascii="Arial" w:hAnsi="Arial" w:cs="Arial"/>
                <w:szCs w:val="24"/>
              </w:rPr>
              <w:t xml:space="preserve">igh </w:t>
            </w:r>
            <w:r w:rsidR="004E1BB0">
              <w:rPr>
                <w:rFonts w:ascii="Arial" w:hAnsi="Arial" w:cs="Arial"/>
                <w:szCs w:val="24"/>
              </w:rPr>
              <w:t>R</w:t>
            </w:r>
            <w:r w:rsidRPr="00C13276">
              <w:rPr>
                <w:rFonts w:ascii="Arial" w:hAnsi="Arial" w:cs="Arial"/>
                <w:szCs w:val="24"/>
              </w:rPr>
              <w:t>isk)</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3FB83588"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Initial contact and </w:t>
            </w:r>
            <w:r w:rsidR="00277710" w:rsidRPr="00C13276">
              <w:rPr>
                <w:rFonts w:ascii="Arial" w:hAnsi="Arial" w:cs="Arial"/>
                <w:szCs w:val="24"/>
              </w:rPr>
              <w:t>s</w:t>
            </w:r>
            <w:r w:rsidRPr="00C13276">
              <w:rPr>
                <w:rFonts w:ascii="Arial" w:hAnsi="Arial" w:cs="Arial"/>
                <w:szCs w:val="24"/>
              </w:rPr>
              <w:t xml:space="preserve">ervice implementation within 24 hours of acceptance of referral. </w:t>
            </w:r>
          </w:p>
        </w:tc>
      </w:tr>
      <w:tr w:rsidR="0089764E" w:rsidRPr="00986409" w14:paraId="54DE05C2"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90333A8" w14:textId="77777777" w:rsidR="008C36E4" w:rsidRDefault="0089764E" w:rsidP="004178C6">
            <w:pPr>
              <w:pStyle w:val="BodyTextIndent2"/>
              <w:spacing w:before="120" w:after="120"/>
              <w:ind w:left="0"/>
              <w:jc w:val="left"/>
              <w:rPr>
                <w:rFonts w:ascii="Arial" w:hAnsi="Arial" w:cs="Arial"/>
                <w:szCs w:val="24"/>
              </w:rPr>
            </w:pPr>
            <w:bookmarkStart w:id="108" w:name="_Hlk22212060"/>
            <w:r w:rsidRPr="00C13276">
              <w:rPr>
                <w:rFonts w:ascii="Arial" w:hAnsi="Arial" w:cs="Arial"/>
                <w:szCs w:val="24"/>
              </w:rPr>
              <w:lastRenderedPageBreak/>
              <w:t xml:space="preserve">Existing Client </w:t>
            </w:r>
            <w:r w:rsidR="00370125" w:rsidRPr="00C13276">
              <w:rPr>
                <w:rFonts w:ascii="Arial" w:hAnsi="Arial" w:cs="Arial"/>
                <w:szCs w:val="24"/>
              </w:rPr>
              <w:t>returning home</w:t>
            </w:r>
            <w:r w:rsidRPr="00C13276">
              <w:rPr>
                <w:rFonts w:ascii="Arial" w:hAnsi="Arial" w:cs="Arial"/>
                <w:szCs w:val="24"/>
              </w:rPr>
              <w:t xml:space="preserve"> from hospital/ED/Hospita</w:t>
            </w:r>
            <w:r w:rsidR="008C36E4">
              <w:rPr>
                <w:rFonts w:ascii="Arial" w:hAnsi="Arial" w:cs="Arial"/>
                <w:szCs w:val="24"/>
              </w:rPr>
              <w:t>l</w:t>
            </w:r>
          </w:p>
          <w:p w14:paraId="0AE1A69A" w14:textId="77777777" w:rsidR="0089764E" w:rsidRPr="00C13276" w:rsidRDefault="0089764E" w:rsidP="004178C6">
            <w:pPr>
              <w:pStyle w:val="BodyTextIndent2"/>
              <w:spacing w:before="120" w:after="120"/>
              <w:ind w:left="0"/>
              <w:jc w:val="left"/>
              <w:rPr>
                <w:rFonts w:ascii="Arial" w:eastAsiaTheme="minorHAnsi" w:hAnsi="Arial" w:cs="Arial"/>
                <w:szCs w:val="24"/>
              </w:rPr>
            </w:pPr>
            <w:r w:rsidRPr="00C13276">
              <w:rPr>
                <w:rFonts w:ascii="Arial" w:hAnsi="Arial" w:cs="Arial"/>
                <w:szCs w:val="24"/>
              </w:rPr>
              <w:t>Avoidance Service (</w:t>
            </w:r>
            <w:proofErr w:type="spellStart"/>
            <w:r w:rsidR="00370125" w:rsidRPr="00C13276">
              <w:rPr>
                <w:rFonts w:ascii="Arial" w:hAnsi="Arial" w:cs="Arial"/>
                <w:szCs w:val="24"/>
              </w:rPr>
              <w:t>eg</w:t>
            </w:r>
            <w:proofErr w:type="spellEnd"/>
            <w:r w:rsidR="008C36E4">
              <w:rPr>
                <w:rFonts w:ascii="Arial" w:hAnsi="Arial" w:cs="Arial"/>
                <w:szCs w:val="24"/>
              </w:rPr>
              <w:t>,</w:t>
            </w:r>
            <w:r w:rsidRPr="00C13276">
              <w:rPr>
                <w:rFonts w:ascii="Arial" w:hAnsi="Arial" w:cs="Arial"/>
                <w:szCs w:val="24"/>
              </w:rPr>
              <w:t xml:space="preserve"> CREST, START, etc)</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0DC10B16"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Services to the existing client to recommence within 48 hours of acceptance of referral unless the client is High Risk whereby services must recommence within 24 hours.</w:t>
            </w:r>
          </w:p>
          <w:p w14:paraId="41D2F3C1"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The DHB is to ensure the Provider R</w:t>
            </w:r>
            <w:r w:rsidR="00277710" w:rsidRPr="00C13276">
              <w:rPr>
                <w:rFonts w:ascii="Arial" w:hAnsi="Arial" w:cs="Arial"/>
                <w:szCs w:val="24"/>
              </w:rPr>
              <w:t>egister</w:t>
            </w:r>
            <w:r w:rsidR="006C58E3" w:rsidRPr="00C13276">
              <w:rPr>
                <w:rFonts w:ascii="Arial" w:hAnsi="Arial" w:cs="Arial"/>
                <w:szCs w:val="24"/>
              </w:rPr>
              <w:t>ed</w:t>
            </w:r>
            <w:r w:rsidR="00277710" w:rsidRPr="00C13276">
              <w:rPr>
                <w:rFonts w:ascii="Arial" w:hAnsi="Arial" w:cs="Arial"/>
                <w:szCs w:val="24"/>
              </w:rPr>
              <w:t xml:space="preserve"> Health Profession</w:t>
            </w:r>
            <w:r w:rsidR="006C58E3" w:rsidRPr="00C13276">
              <w:rPr>
                <w:rFonts w:ascii="Arial" w:hAnsi="Arial" w:cs="Arial"/>
                <w:szCs w:val="24"/>
              </w:rPr>
              <w:t>al</w:t>
            </w:r>
            <w:r w:rsidR="00277710" w:rsidRPr="00C13276">
              <w:rPr>
                <w:rFonts w:ascii="Arial" w:hAnsi="Arial" w:cs="Arial"/>
                <w:szCs w:val="24"/>
              </w:rPr>
              <w:t xml:space="preserve"> (RHP)</w:t>
            </w:r>
            <w:r w:rsidRPr="00C13276">
              <w:rPr>
                <w:rFonts w:ascii="Arial" w:hAnsi="Arial" w:cs="Arial"/>
                <w:szCs w:val="24"/>
              </w:rPr>
              <w:t xml:space="preserve"> is involved in discharge planning to determine Provider service allocations meet new temporary needs on discharge.</w:t>
            </w:r>
          </w:p>
        </w:tc>
      </w:tr>
      <w:tr w:rsidR="0089764E" w:rsidRPr="00986409" w14:paraId="3D024A7A"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48FCABA" w14:textId="77777777" w:rsidR="0089764E" w:rsidRPr="00C13276" w:rsidRDefault="0089764E" w:rsidP="004178C6">
            <w:pPr>
              <w:pStyle w:val="BodyTextIndent2"/>
              <w:spacing w:before="120" w:after="120"/>
              <w:ind w:left="0"/>
              <w:jc w:val="left"/>
              <w:rPr>
                <w:rFonts w:ascii="Arial" w:eastAsiaTheme="minorHAnsi" w:hAnsi="Arial" w:cs="Arial"/>
                <w:szCs w:val="24"/>
              </w:rPr>
            </w:pPr>
            <w:r w:rsidRPr="00C13276">
              <w:rPr>
                <w:rFonts w:ascii="Arial" w:hAnsi="Arial" w:cs="Arial"/>
                <w:szCs w:val="24"/>
              </w:rPr>
              <w:t xml:space="preserve">Client’s </w:t>
            </w:r>
            <w:r w:rsidR="00B562C1" w:rsidRPr="00C13276">
              <w:rPr>
                <w:rFonts w:ascii="Arial" w:hAnsi="Arial" w:cs="Arial"/>
                <w:szCs w:val="24"/>
              </w:rPr>
              <w:t>individual support plan</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7B6126F2" w14:textId="77777777" w:rsidR="0089764E" w:rsidRPr="00C13276" w:rsidRDefault="00B562C1" w:rsidP="004178C6">
            <w:pPr>
              <w:pStyle w:val="BodyTextIndent2"/>
              <w:spacing w:before="120" w:after="120"/>
              <w:ind w:left="0"/>
              <w:jc w:val="left"/>
              <w:rPr>
                <w:rFonts w:ascii="Arial" w:hAnsi="Arial" w:cs="Arial"/>
                <w:szCs w:val="24"/>
              </w:rPr>
            </w:pPr>
            <w:r w:rsidRPr="00C13276">
              <w:rPr>
                <w:rFonts w:ascii="Arial" w:hAnsi="Arial" w:cs="Arial"/>
                <w:szCs w:val="24"/>
              </w:rPr>
              <w:t xml:space="preserve">The individual support plan </w:t>
            </w:r>
            <w:r w:rsidR="0089764E" w:rsidRPr="00C13276">
              <w:rPr>
                <w:rFonts w:ascii="Arial" w:hAnsi="Arial" w:cs="Arial"/>
                <w:szCs w:val="24"/>
              </w:rPr>
              <w:t>is fully developed at time of service implementation except for High Risk clients who require interdisciplinary input where it is completed and agreed prior to service implementation.</w:t>
            </w:r>
          </w:p>
          <w:p w14:paraId="592008E6"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The service plan is reviewed and amended as clinically indicated (change of medications, deterioration in health status) or due to a change in personal circumstances (primary carer no longer able) or as a result of a review</w:t>
            </w:r>
            <w:r w:rsidR="0025679D">
              <w:rPr>
                <w:rFonts w:ascii="Arial" w:hAnsi="Arial" w:cs="Arial"/>
                <w:szCs w:val="24"/>
              </w:rPr>
              <w:t>.</w:t>
            </w:r>
          </w:p>
        </w:tc>
      </w:tr>
      <w:tr w:rsidR="0089764E" w:rsidRPr="00986409" w14:paraId="3E45B0CE" w14:textId="77777777" w:rsidTr="00DC674C">
        <w:trPr>
          <w:trHeight w:val="586"/>
        </w:trPr>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BF00BE1" w14:textId="77777777" w:rsidR="0089764E" w:rsidRPr="00C13276" w:rsidRDefault="0089764E" w:rsidP="004178C6">
            <w:pPr>
              <w:pStyle w:val="BodyTextIndent2"/>
              <w:spacing w:before="120" w:after="120"/>
              <w:ind w:left="0"/>
              <w:jc w:val="left"/>
              <w:rPr>
                <w:rFonts w:ascii="Arial" w:eastAsiaTheme="minorHAnsi" w:hAnsi="Arial" w:cs="Arial"/>
                <w:szCs w:val="24"/>
              </w:rPr>
            </w:pPr>
            <w:r w:rsidRPr="00C13276">
              <w:rPr>
                <w:rFonts w:ascii="Arial" w:hAnsi="Arial" w:cs="Arial"/>
                <w:szCs w:val="24"/>
              </w:rPr>
              <w:t>Client’s service review</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63047D3E" w14:textId="0F0D149B"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Reviews are scheduled </w:t>
            </w:r>
            <w:r w:rsidR="00277710" w:rsidRPr="00C13276">
              <w:rPr>
                <w:rFonts w:ascii="Arial" w:hAnsi="Arial" w:cs="Arial"/>
                <w:szCs w:val="24"/>
              </w:rPr>
              <w:t>from date of</w:t>
            </w:r>
            <w:r w:rsidRPr="00C13276">
              <w:rPr>
                <w:rFonts w:ascii="Arial" w:hAnsi="Arial" w:cs="Arial"/>
                <w:szCs w:val="24"/>
              </w:rPr>
              <w:t xml:space="preserve"> service implementation and must occur as scheduled (Appendix 2) or clinically indicated. The review section (</w:t>
            </w:r>
            <w:r w:rsidR="0032323D" w:rsidRPr="00C13276">
              <w:rPr>
                <w:rFonts w:ascii="Arial" w:hAnsi="Arial" w:cs="Arial"/>
                <w:szCs w:val="24"/>
              </w:rPr>
              <w:t xml:space="preserve">HCSS </w:t>
            </w:r>
            <w:r w:rsidR="005C65F4">
              <w:rPr>
                <w:rFonts w:ascii="Arial" w:hAnsi="Arial" w:cs="Arial"/>
                <w:szCs w:val="24"/>
              </w:rPr>
              <w:t>Operations</w:t>
            </w:r>
            <w:r w:rsidR="0032323D" w:rsidRPr="00C13276">
              <w:rPr>
                <w:rFonts w:ascii="Arial" w:hAnsi="Arial" w:cs="Arial"/>
                <w:szCs w:val="24"/>
              </w:rPr>
              <w:t xml:space="preserve"> Manual</w:t>
            </w:r>
            <w:r w:rsidRPr="00C13276">
              <w:rPr>
                <w:rFonts w:ascii="Arial" w:hAnsi="Arial" w:cs="Arial"/>
                <w:szCs w:val="24"/>
              </w:rPr>
              <w:t xml:space="preserve">) details the minimum activity </w:t>
            </w:r>
            <w:r w:rsidR="00855E2B">
              <w:rPr>
                <w:rFonts w:ascii="Arial" w:hAnsi="Arial" w:cs="Arial"/>
                <w:szCs w:val="24"/>
              </w:rPr>
              <w:t>P</w:t>
            </w:r>
            <w:r w:rsidRPr="00C13276">
              <w:rPr>
                <w:rFonts w:ascii="Arial" w:hAnsi="Arial" w:cs="Arial"/>
                <w:szCs w:val="24"/>
              </w:rPr>
              <w:t xml:space="preserve">roviders must undertake to complete a review. </w:t>
            </w:r>
          </w:p>
        </w:tc>
      </w:tr>
      <w:tr w:rsidR="0089764E" w:rsidRPr="00986409" w14:paraId="5BA0D653"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29C9D4A"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Significant change of client ability or condition requires reassessment</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1D4ADA2E" w14:textId="572CA4B4" w:rsidR="0089764E" w:rsidRPr="00C13276" w:rsidRDefault="0089764E" w:rsidP="004178C6">
            <w:pPr>
              <w:pStyle w:val="ListParagraph"/>
              <w:spacing w:before="120" w:after="120" w:line="240" w:lineRule="auto"/>
              <w:ind w:left="0"/>
              <w:rPr>
                <w:rFonts w:ascii="Arial" w:hAnsi="Arial" w:cs="Arial"/>
                <w:sz w:val="24"/>
                <w:szCs w:val="24"/>
              </w:rPr>
            </w:pPr>
            <w:r w:rsidRPr="00C13276">
              <w:rPr>
                <w:rFonts w:ascii="Arial" w:hAnsi="Arial" w:cs="Arial"/>
                <w:sz w:val="24"/>
                <w:szCs w:val="24"/>
              </w:rPr>
              <w:t xml:space="preserve">For </w:t>
            </w:r>
            <w:r w:rsidR="00277710" w:rsidRPr="00C13276">
              <w:rPr>
                <w:rFonts w:ascii="Arial" w:hAnsi="Arial" w:cs="Arial"/>
                <w:sz w:val="24"/>
                <w:szCs w:val="24"/>
              </w:rPr>
              <w:t>c</w:t>
            </w:r>
            <w:r w:rsidRPr="00C13276">
              <w:rPr>
                <w:rFonts w:ascii="Arial" w:hAnsi="Arial" w:cs="Arial"/>
                <w:sz w:val="24"/>
                <w:szCs w:val="24"/>
              </w:rPr>
              <w:t xml:space="preserve">omplex clients the </w:t>
            </w:r>
            <w:r w:rsidR="00855E2B">
              <w:rPr>
                <w:rFonts w:ascii="Arial" w:hAnsi="Arial" w:cs="Arial"/>
                <w:sz w:val="24"/>
                <w:szCs w:val="24"/>
              </w:rPr>
              <w:t>P</w:t>
            </w:r>
            <w:r w:rsidRPr="00C13276">
              <w:rPr>
                <w:rFonts w:ascii="Arial" w:hAnsi="Arial" w:cs="Arial"/>
                <w:sz w:val="24"/>
                <w:szCs w:val="24"/>
              </w:rPr>
              <w:t xml:space="preserve">rovider may request the NASC </w:t>
            </w:r>
            <w:r w:rsidR="0025679D">
              <w:rPr>
                <w:rFonts w:ascii="Arial" w:hAnsi="Arial" w:cs="Arial"/>
                <w:sz w:val="24"/>
                <w:szCs w:val="24"/>
              </w:rPr>
              <w:t xml:space="preserve">coordinator </w:t>
            </w:r>
            <w:r w:rsidRPr="00C13276">
              <w:rPr>
                <w:rFonts w:ascii="Arial" w:hAnsi="Arial" w:cs="Arial"/>
                <w:sz w:val="24"/>
                <w:szCs w:val="24"/>
              </w:rPr>
              <w:t xml:space="preserve">to reassess the client if there has been a significant change to their abilities, which may result in a new casemix allocation.  </w:t>
            </w:r>
          </w:p>
        </w:tc>
        <w:bookmarkEnd w:id="108"/>
      </w:tr>
      <w:tr w:rsidR="0089764E" w:rsidRPr="00986409" w14:paraId="3A216F63" w14:textId="77777777" w:rsidTr="00DC674C">
        <w:tc>
          <w:tcPr>
            <w:tcW w:w="254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4B1029" w14:textId="77777777" w:rsidR="0089764E" w:rsidRPr="00C13276" w:rsidRDefault="0089764E" w:rsidP="004178C6">
            <w:pPr>
              <w:pStyle w:val="BodyTextIndent2"/>
              <w:spacing w:before="120" w:after="120"/>
              <w:ind w:left="0"/>
              <w:jc w:val="left"/>
              <w:rPr>
                <w:rFonts w:ascii="Arial" w:hAnsi="Arial" w:cs="Arial"/>
                <w:szCs w:val="24"/>
              </w:rPr>
            </w:pPr>
            <w:bookmarkStart w:id="109" w:name="_Hlk22215690"/>
            <w:r w:rsidRPr="00C13276">
              <w:rPr>
                <w:rFonts w:ascii="Arial" w:hAnsi="Arial" w:cs="Arial"/>
                <w:szCs w:val="24"/>
              </w:rPr>
              <w:t xml:space="preserve">Client </w:t>
            </w:r>
            <w:r w:rsidR="00EE7F92" w:rsidRPr="00C13276">
              <w:rPr>
                <w:rFonts w:ascii="Arial" w:hAnsi="Arial" w:cs="Arial"/>
                <w:szCs w:val="24"/>
              </w:rPr>
              <w:t>d</w:t>
            </w:r>
            <w:r w:rsidRPr="00C13276">
              <w:rPr>
                <w:rFonts w:ascii="Arial" w:hAnsi="Arial" w:cs="Arial"/>
                <w:szCs w:val="24"/>
              </w:rPr>
              <w:t>ischarge</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0EB7BEDA" w14:textId="77777777" w:rsidR="0089764E" w:rsidRPr="00C13276" w:rsidRDefault="0089764E" w:rsidP="004178C6">
            <w:pPr>
              <w:pStyle w:val="BodyTextIndent2"/>
              <w:spacing w:before="120" w:after="120"/>
              <w:ind w:left="0"/>
              <w:jc w:val="left"/>
              <w:rPr>
                <w:rFonts w:ascii="Arial" w:hAnsi="Arial" w:cs="Arial"/>
                <w:szCs w:val="24"/>
              </w:rPr>
            </w:pPr>
            <w:r w:rsidRPr="00C13276">
              <w:rPr>
                <w:rFonts w:ascii="Arial" w:hAnsi="Arial" w:cs="Arial"/>
                <w:szCs w:val="24"/>
              </w:rPr>
              <w:t xml:space="preserve">When a client is transferred or discharged from the service, and accesses other appropriate services, the </w:t>
            </w:r>
            <w:r w:rsidR="00277710" w:rsidRPr="00C13276">
              <w:rPr>
                <w:rFonts w:ascii="Arial" w:hAnsi="Arial" w:cs="Arial"/>
                <w:szCs w:val="24"/>
              </w:rPr>
              <w:t>Provider</w:t>
            </w:r>
            <w:r w:rsidRPr="00C13276">
              <w:rPr>
                <w:rFonts w:ascii="Arial" w:hAnsi="Arial" w:cs="Arial"/>
                <w:szCs w:val="24"/>
              </w:rPr>
              <w:t xml:space="preserve"> will transfer or discharge without avoidable delay or interruption</w:t>
            </w:r>
          </w:p>
        </w:tc>
        <w:bookmarkEnd w:id="106"/>
        <w:bookmarkEnd w:id="109"/>
      </w:tr>
    </w:tbl>
    <w:p w14:paraId="2FBAF9AA" w14:textId="24733A72" w:rsidR="00F076A5" w:rsidRPr="00C13276" w:rsidRDefault="00C02CC3" w:rsidP="00C13276">
      <w:pPr>
        <w:pStyle w:val="Heading2"/>
        <w:spacing w:before="120" w:after="120"/>
        <w:ind w:right="-1"/>
        <w:rPr>
          <w:rFonts w:ascii="Arial" w:hAnsi="Arial" w:cs="Arial"/>
          <w:sz w:val="24"/>
          <w:szCs w:val="24"/>
        </w:rPr>
      </w:pPr>
      <w:bookmarkStart w:id="110" w:name="_Toc43122844"/>
      <w:bookmarkEnd w:id="107"/>
      <w:r w:rsidRPr="00C13276">
        <w:rPr>
          <w:rFonts w:ascii="Arial" w:hAnsi="Arial" w:cs="Arial"/>
          <w:sz w:val="24"/>
          <w:szCs w:val="24"/>
        </w:rPr>
        <w:t>6</w:t>
      </w:r>
      <w:r w:rsidR="00F076A5" w:rsidRPr="00C13276">
        <w:rPr>
          <w:rFonts w:ascii="Arial" w:hAnsi="Arial" w:cs="Arial"/>
          <w:sz w:val="24"/>
          <w:szCs w:val="24"/>
        </w:rPr>
        <w:t>.</w:t>
      </w:r>
      <w:r w:rsidR="00CA4868" w:rsidRPr="00C13276">
        <w:rPr>
          <w:rFonts w:ascii="Arial" w:hAnsi="Arial" w:cs="Arial"/>
          <w:sz w:val="24"/>
          <w:szCs w:val="24"/>
        </w:rPr>
        <w:t>4</w:t>
      </w:r>
      <w:r w:rsidR="00F076A5" w:rsidRPr="00C13276">
        <w:rPr>
          <w:rFonts w:ascii="Arial" w:hAnsi="Arial" w:cs="Arial"/>
          <w:sz w:val="24"/>
          <w:szCs w:val="24"/>
        </w:rPr>
        <w:tab/>
      </w:r>
      <w:r w:rsidR="00CD0ED8" w:rsidRPr="00C13276">
        <w:rPr>
          <w:rFonts w:ascii="Arial" w:hAnsi="Arial" w:cs="Arial"/>
          <w:sz w:val="24"/>
          <w:szCs w:val="24"/>
        </w:rPr>
        <w:t xml:space="preserve">Individual </w:t>
      </w:r>
      <w:r w:rsidR="00B9335D">
        <w:rPr>
          <w:rFonts w:ascii="Arial" w:hAnsi="Arial" w:cs="Arial"/>
          <w:sz w:val="24"/>
          <w:szCs w:val="24"/>
        </w:rPr>
        <w:t>s</w:t>
      </w:r>
      <w:r w:rsidR="00CD0ED8" w:rsidRPr="00C13276">
        <w:rPr>
          <w:rFonts w:ascii="Arial" w:hAnsi="Arial" w:cs="Arial"/>
          <w:sz w:val="24"/>
          <w:szCs w:val="24"/>
        </w:rPr>
        <w:t xml:space="preserve">upport </w:t>
      </w:r>
      <w:r w:rsidR="00B9335D">
        <w:rPr>
          <w:rFonts w:ascii="Arial" w:hAnsi="Arial" w:cs="Arial"/>
          <w:sz w:val="24"/>
          <w:szCs w:val="24"/>
        </w:rPr>
        <w:t>p</w:t>
      </w:r>
      <w:r w:rsidR="00CD0ED8" w:rsidRPr="00C13276">
        <w:rPr>
          <w:rFonts w:ascii="Arial" w:hAnsi="Arial" w:cs="Arial"/>
          <w:sz w:val="24"/>
          <w:szCs w:val="24"/>
        </w:rPr>
        <w:t>lan</w:t>
      </w:r>
      <w:bookmarkEnd w:id="110"/>
      <w:r w:rsidR="00F076A5" w:rsidRPr="00C13276">
        <w:rPr>
          <w:rFonts w:ascii="Arial" w:hAnsi="Arial" w:cs="Arial"/>
          <w:sz w:val="24"/>
          <w:szCs w:val="24"/>
        </w:rPr>
        <w:t xml:space="preserve"> </w:t>
      </w:r>
    </w:p>
    <w:p w14:paraId="3308BA49" w14:textId="7395E48D" w:rsidR="00F076A5" w:rsidRPr="00C13276" w:rsidRDefault="00CD0ED8" w:rsidP="00C13276">
      <w:pPr>
        <w:spacing w:before="60" w:after="60" w:line="240" w:lineRule="auto"/>
        <w:ind w:right="-1"/>
        <w:rPr>
          <w:rFonts w:ascii="Arial" w:hAnsi="Arial" w:cs="Arial"/>
          <w:sz w:val="24"/>
          <w:szCs w:val="24"/>
        </w:rPr>
      </w:pPr>
      <w:r w:rsidRPr="00C13276">
        <w:rPr>
          <w:rFonts w:ascii="Arial" w:hAnsi="Arial" w:cs="Arial"/>
          <w:sz w:val="24"/>
          <w:szCs w:val="24"/>
        </w:rPr>
        <w:t>Client centred goal-based service planning informs</w:t>
      </w:r>
      <w:r w:rsidR="00F076A5" w:rsidRPr="00C13276">
        <w:rPr>
          <w:rFonts w:ascii="Arial" w:hAnsi="Arial" w:cs="Arial"/>
          <w:sz w:val="24"/>
          <w:szCs w:val="24"/>
        </w:rPr>
        <w:t xml:space="preserve"> the </w:t>
      </w:r>
      <w:r w:rsidR="00192CF9" w:rsidRPr="00C13276">
        <w:rPr>
          <w:rFonts w:ascii="Arial" w:hAnsi="Arial" w:cs="Arial"/>
          <w:sz w:val="24"/>
          <w:szCs w:val="24"/>
        </w:rPr>
        <w:t>Individual support plan</w:t>
      </w:r>
      <w:r w:rsidRPr="00C13276">
        <w:rPr>
          <w:rFonts w:ascii="Arial" w:hAnsi="Arial" w:cs="Arial"/>
          <w:sz w:val="24"/>
          <w:szCs w:val="24"/>
        </w:rPr>
        <w:t>.  Th</w:t>
      </w:r>
      <w:r w:rsidR="00F076A5" w:rsidRPr="00C13276">
        <w:rPr>
          <w:rFonts w:ascii="Arial" w:hAnsi="Arial" w:cs="Arial"/>
          <w:sz w:val="24"/>
          <w:szCs w:val="24"/>
        </w:rPr>
        <w:t>e Provider will work with the client and their whānau to:</w:t>
      </w:r>
    </w:p>
    <w:p w14:paraId="70DF5FF4" w14:textId="77777777" w:rsidR="00F076A5" w:rsidRPr="000D0001" w:rsidRDefault="00456392" w:rsidP="000D0001">
      <w:pPr>
        <w:pStyle w:val="ListParagraph"/>
        <w:numPr>
          <w:ilvl w:val="0"/>
          <w:numId w:val="3"/>
        </w:numPr>
        <w:spacing w:before="120" w:after="0" w:line="240" w:lineRule="auto"/>
        <w:ind w:left="567" w:hanging="567"/>
        <w:rPr>
          <w:rFonts w:ascii="Arial" w:hAnsi="Arial" w:cs="Arial"/>
          <w:sz w:val="24"/>
          <w:szCs w:val="24"/>
        </w:rPr>
      </w:pPr>
      <w:r w:rsidRPr="000D0001">
        <w:rPr>
          <w:rFonts w:ascii="Arial" w:hAnsi="Arial" w:cs="Arial"/>
          <w:sz w:val="24"/>
          <w:szCs w:val="24"/>
        </w:rPr>
        <w:t>u</w:t>
      </w:r>
      <w:r w:rsidR="00F076A5" w:rsidRPr="000D0001">
        <w:rPr>
          <w:rFonts w:ascii="Arial" w:hAnsi="Arial" w:cs="Arial"/>
          <w:sz w:val="24"/>
          <w:szCs w:val="24"/>
        </w:rPr>
        <w:t>nderstand the living situation including natural supports</w:t>
      </w:r>
    </w:p>
    <w:p w14:paraId="447100E3" w14:textId="77777777" w:rsidR="00F076A5" w:rsidRPr="000D0001" w:rsidRDefault="00456392" w:rsidP="000D0001">
      <w:pPr>
        <w:pStyle w:val="ListParagraph"/>
        <w:numPr>
          <w:ilvl w:val="0"/>
          <w:numId w:val="3"/>
        </w:numPr>
        <w:spacing w:before="120" w:after="0" w:line="240" w:lineRule="auto"/>
        <w:ind w:left="567" w:hanging="567"/>
        <w:rPr>
          <w:rFonts w:ascii="Arial" w:hAnsi="Arial" w:cs="Arial"/>
          <w:sz w:val="24"/>
          <w:szCs w:val="24"/>
        </w:rPr>
      </w:pPr>
      <w:r w:rsidRPr="000D0001">
        <w:rPr>
          <w:rFonts w:ascii="Arial" w:hAnsi="Arial" w:cs="Arial"/>
          <w:sz w:val="24"/>
          <w:szCs w:val="24"/>
        </w:rPr>
        <w:t>e</w:t>
      </w:r>
      <w:r w:rsidR="00F076A5" w:rsidRPr="000D0001">
        <w:rPr>
          <w:rFonts w:ascii="Arial" w:hAnsi="Arial" w:cs="Arial"/>
          <w:sz w:val="24"/>
          <w:szCs w:val="24"/>
        </w:rPr>
        <w:t>xplore what is important to them</w:t>
      </w:r>
    </w:p>
    <w:p w14:paraId="3E3BD803" w14:textId="038626BF" w:rsidR="00F076A5" w:rsidRPr="000D0001" w:rsidRDefault="00456392" w:rsidP="000D0001">
      <w:pPr>
        <w:pStyle w:val="ListParagraph"/>
        <w:numPr>
          <w:ilvl w:val="0"/>
          <w:numId w:val="3"/>
        </w:numPr>
        <w:spacing w:before="120" w:after="0" w:line="240" w:lineRule="auto"/>
        <w:ind w:left="567" w:hanging="567"/>
        <w:rPr>
          <w:rFonts w:ascii="Arial" w:hAnsi="Arial" w:cs="Arial"/>
          <w:sz w:val="24"/>
          <w:szCs w:val="24"/>
        </w:rPr>
      </w:pPr>
      <w:r w:rsidRPr="000D0001">
        <w:rPr>
          <w:rFonts w:ascii="Arial" w:hAnsi="Arial" w:cs="Arial"/>
          <w:sz w:val="24"/>
          <w:szCs w:val="24"/>
        </w:rPr>
        <w:t>u</w:t>
      </w:r>
      <w:r w:rsidR="00F076A5" w:rsidRPr="000D0001">
        <w:rPr>
          <w:rFonts w:ascii="Arial" w:hAnsi="Arial" w:cs="Arial"/>
          <w:sz w:val="24"/>
          <w:szCs w:val="24"/>
        </w:rPr>
        <w:t>nderstand what is meaningful to them</w:t>
      </w:r>
    </w:p>
    <w:p w14:paraId="18DAB2E0" w14:textId="77777777" w:rsidR="00796887" w:rsidRPr="00E6579F" w:rsidRDefault="00456392" w:rsidP="000D0001">
      <w:pPr>
        <w:pStyle w:val="ListParagraph"/>
        <w:numPr>
          <w:ilvl w:val="0"/>
          <w:numId w:val="3"/>
        </w:numPr>
        <w:spacing w:before="120" w:after="0" w:line="240" w:lineRule="auto"/>
        <w:ind w:left="567" w:hanging="567"/>
        <w:rPr>
          <w:rFonts w:ascii="Arial" w:hAnsi="Arial" w:cs="Arial"/>
          <w:sz w:val="24"/>
          <w:szCs w:val="24"/>
        </w:rPr>
      </w:pPr>
      <w:r w:rsidRPr="00E6579F">
        <w:rPr>
          <w:rFonts w:ascii="Arial" w:hAnsi="Arial" w:cs="Arial"/>
          <w:sz w:val="24"/>
          <w:szCs w:val="24"/>
        </w:rPr>
        <w:t>u</w:t>
      </w:r>
      <w:r w:rsidR="00F076A5" w:rsidRPr="00E6579F">
        <w:rPr>
          <w:rFonts w:ascii="Arial" w:hAnsi="Arial" w:cs="Arial"/>
          <w:sz w:val="24"/>
          <w:szCs w:val="24"/>
        </w:rPr>
        <w:t xml:space="preserve">nderstand the </w:t>
      </w:r>
      <w:proofErr w:type="spellStart"/>
      <w:r w:rsidR="00F076A5" w:rsidRPr="00E6579F">
        <w:rPr>
          <w:rFonts w:ascii="Arial" w:hAnsi="Arial" w:cs="Arial"/>
          <w:sz w:val="24"/>
          <w:szCs w:val="24"/>
        </w:rPr>
        <w:t>interRAI</w:t>
      </w:r>
      <w:proofErr w:type="spellEnd"/>
      <w:r w:rsidR="00F076A5" w:rsidRPr="00E6579F">
        <w:rPr>
          <w:rFonts w:ascii="Arial" w:hAnsi="Arial" w:cs="Arial"/>
          <w:sz w:val="24"/>
          <w:szCs w:val="24"/>
        </w:rPr>
        <w:t xml:space="preserve"> assessed support needs of the client</w:t>
      </w:r>
      <w:r w:rsidR="00352435" w:rsidRPr="00E6579F">
        <w:rPr>
          <w:rFonts w:ascii="Arial" w:hAnsi="Arial" w:cs="Arial"/>
          <w:sz w:val="24"/>
          <w:szCs w:val="24"/>
        </w:rPr>
        <w:t>.</w:t>
      </w:r>
    </w:p>
    <w:p w14:paraId="190CEF4E" w14:textId="77777777" w:rsidR="00F076A5" w:rsidRPr="00C13276" w:rsidRDefault="00F076A5" w:rsidP="0081360F">
      <w:pPr>
        <w:spacing w:before="120" w:after="0" w:line="240" w:lineRule="auto"/>
        <w:ind w:right="-1"/>
        <w:rPr>
          <w:rFonts w:ascii="Arial" w:hAnsi="Arial" w:cs="Arial"/>
          <w:sz w:val="24"/>
          <w:szCs w:val="24"/>
        </w:rPr>
      </w:pPr>
      <w:r w:rsidRPr="00C13276">
        <w:rPr>
          <w:rFonts w:ascii="Arial" w:hAnsi="Arial" w:cs="Arial"/>
          <w:sz w:val="24"/>
          <w:szCs w:val="24"/>
        </w:rPr>
        <w:t>A SMART goal format is used, where the Provider and client and family whānau agree goals that are focused towards maintaining or increasing independence where possible and that are aligned with their restorative or reablement potential. Goals will also support clients to be involved in normal social activity.</w:t>
      </w:r>
    </w:p>
    <w:p w14:paraId="20453218" w14:textId="77777777" w:rsidR="00F076A5" w:rsidRPr="00986409" w:rsidRDefault="00F076A5" w:rsidP="00C13276">
      <w:pPr>
        <w:spacing w:before="120" w:after="0" w:line="240" w:lineRule="auto"/>
        <w:ind w:right="-1"/>
        <w:rPr>
          <w:rFonts w:ascii="Arial" w:hAnsi="Arial" w:cs="Arial"/>
          <w:b/>
          <w:sz w:val="24"/>
          <w:szCs w:val="24"/>
          <w:lang w:eastAsia="en-NZ"/>
        </w:rPr>
      </w:pPr>
      <w:r w:rsidRPr="00C13276">
        <w:rPr>
          <w:rFonts w:ascii="Arial" w:hAnsi="Arial" w:cs="Arial"/>
          <w:sz w:val="24"/>
          <w:szCs w:val="24"/>
        </w:rPr>
        <w:t xml:space="preserve">Where clients are frail and/or require end of life support the goals of the </w:t>
      </w:r>
      <w:r w:rsidR="00CD0ED8" w:rsidRPr="00C13276">
        <w:rPr>
          <w:rFonts w:ascii="Arial" w:hAnsi="Arial" w:cs="Arial"/>
          <w:sz w:val="24"/>
          <w:szCs w:val="24"/>
        </w:rPr>
        <w:t>individual support</w:t>
      </w:r>
      <w:r w:rsidRPr="00C13276">
        <w:rPr>
          <w:rFonts w:ascii="Arial" w:hAnsi="Arial" w:cs="Arial"/>
          <w:sz w:val="24"/>
          <w:szCs w:val="24"/>
        </w:rPr>
        <w:t xml:space="preserve"> plan will reflect this transition of need and focus on support activities that promote clinical </w:t>
      </w:r>
      <w:r w:rsidRPr="00C13276">
        <w:rPr>
          <w:rFonts w:ascii="Arial" w:hAnsi="Arial" w:cs="Arial"/>
          <w:sz w:val="24"/>
          <w:szCs w:val="24"/>
        </w:rPr>
        <w:lastRenderedPageBreak/>
        <w:t xml:space="preserve">safety, dignity and comfort </w:t>
      </w:r>
      <w:r w:rsidR="000A0BA4" w:rsidRPr="00C13276">
        <w:rPr>
          <w:rFonts w:ascii="Arial" w:hAnsi="Arial" w:cs="Arial"/>
          <w:sz w:val="24"/>
          <w:szCs w:val="24"/>
        </w:rPr>
        <w:t xml:space="preserve">to align </w:t>
      </w:r>
      <w:r w:rsidRPr="00C13276">
        <w:rPr>
          <w:rFonts w:ascii="Arial" w:hAnsi="Arial" w:cs="Arial"/>
          <w:sz w:val="24"/>
          <w:szCs w:val="24"/>
        </w:rPr>
        <w:t>where possible</w:t>
      </w:r>
      <w:r w:rsidR="00EA1343" w:rsidRPr="00C13276">
        <w:rPr>
          <w:rFonts w:ascii="Arial" w:hAnsi="Arial" w:cs="Arial"/>
          <w:sz w:val="24"/>
          <w:szCs w:val="24"/>
        </w:rPr>
        <w:t xml:space="preserve"> to </w:t>
      </w:r>
      <w:r w:rsidR="000A0BA4" w:rsidRPr="00C13276">
        <w:rPr>
          <w:rFonts w:ascii="Arial" w:hAnsi="Arial" w:cs="Arial"/>
          <w:sz w:val="24"/>
          <w:szCs w:val="24"/>
        </w:rPr>
        <w:t>the</w:t>
      </w:r>
      <w:r w:rsidRPr="00C13276">
        <w:rPr>
          <w:rFonts w:ascii="Arial" w:hAnsi="Arial" w:cs="Arial"/>
          <w:sz w:val="24"/>
          <w:szCs w:val="24"/>
        </w:rPr>
        <w:t xml:space="preserve"> clients advanced care</w:t>
      </w:r>
      <w:r w:rsidR="0008067D">
        <w:rPr>
          <w:rFonts w:ascii="Arial" w:hAnsi="Arial" w:cs="Arial"/>
          <w:sz w:val="24"/>
          <w:szCs w:val="24"/>
        </w:rPr>
        <w:t xml:space="preserve"> </w:t>
      </w:r>
      <w:r w:rsidRPr="00C13276">
        <w:rPr>
          <w:rFonts w:ascii="Arial" w:hAnsi="Arial" w:cs="Arial"/>
          <w:sz w:val="24"/>
          <w:szCs w:val="24"/>
        </w:rPr>
        <w:t xml:space="preserve">plan/wishes. End of life care will be delivered in line with </w:t>
      </w:r>
      <w:proofErr w:type="spellStart"/>
      <w:r w:rsidRPr="00C13276">
        <w:rPr>
          <w:rFonts w:ascii="Arial" w:hAnsi="Arial" w:cs="Arial"/>
          <w:sz w:val="24"/>
          <w:szCs w:val="24"/>
        </w:rPr>
        <w:t>Te</w:t>
      </w:r>
      <w:proofErr w:type="spellEnd"/>
      <w:r w:rsidRPr="00C13276">
        <w:rPr>
          <w:rFonts w:ascii="Arial" w:hAnsi="Arial" w:cs="Arial"/>
          <w:sz w:val="24"/>
          <w:szCs w:val="24"/>
        </w:rPr>
        <w:t xml:space="preserve"> Ara </w:t>
      </w:r>
      <w:proofErr w:type="spellStart"/>
      <w:r w:rsidRPr="00C13276">
        <w:rPr>
          <w:rFonts w:ascii="Arial" w:hAnsi="Arial" w:cs="Arial"/>
          <w:sz w:val="24"/>
          <w:szCs w:val="24"/>
        </w:rPr>
        <w:t>Whakapiri</w:t>
      </w:r>
      <w:proofErr w:type="spellEnd"/>
      <w:r w:rsidRPr="00C13276">
        <w:rPr>
          <w:rFonts w:ascii="Arial" w:hAnsi="Arial" w:cs="Arial"/>
          <w:sz w:val="24"/>
          <w:szCs w:val="24"/>
        </w:rPr>
        <w:t>.</w:t>
      </w:r>
    </w:p>
    <w:p w14:paraId="199F8362" w14:textId="586DFDD1" w:rsidR="00F076A5" w:rsidRPr="00C13276" w:rsidRDefault="00F076A5" w:rsidP="00C13276">
      <w:pPr>
        <w:spacing w:before="120" w:after="0" w:line="240" w:lineRule="auto"/>
        <w:ind w:right="-1"/>
        <w:rPr>
          <w:rFonts w:ascii="Arial" w:hAnsi="Arial" w:cs="Arial"/>
          <w:sz w:val="24"/>
          <w:szCs w:val="24"/>
        </w:rPr>
      </w:pPr>
      <w:r w:rsidRPr="00C13276">
        <w:rPr>
          <w:rFonts w:ascii="Arial" w:hAnsi="Arial" w:cs="Arial"/>
          <w:sz w:val="24"/>
          <w:szCs w:val="24"/>
        </w:rPr>
        <w:t xml:space="preserve">The Provider will ensure the </w:t>
      </w:r>
      <w:r w:rsidR="00CD0ED8" w:rsidRPr="00C13276">
        <w:rPr>
          <w:rFonts w:ascii="Arial" w:hAnsi="Arial" w:cs="Arial"/>
          <w:sz w:val="24"/>
          <w:szCs w:val="24"/>
        </w:rPr>
        <w:t>i</w:t>
      </w:r>
      <w:r w:rsidR="00192CF9" w:rsidRPr="00C13276">
        <w:rPr>
          <w:rFonts w:ascii="Arial" w:hAnsi="Arial" w:cs="Arial"/>
          <w:sz w:val="24"/>
          <w:szCs w:val="24"/>
        </w:rPr>
        <w:t xml:space="preserve">ndividual support plan </w:t>
      </w:r>
      <w:r w:rsidRPr="00C13276">
        <w:rPr>
          <w:rFonts w:ascii="Arial" w:hAnsi="Arial" w:cs="Arial"/>
          <w:sz w:val="24"/>
          <w:szCs w:val="24"/>
        </w:rPr>
        <w:t>documents how the service will be delivered flexibly to ensure clients use natural supports, whānau, or technological aids to meet their agreed goals.</w:t>
      </w:r>
    </w:p>
    <w:p w14:paraId="17801714" w14:textId="77777777" w:rsidR="00F076A5" w:rsidRPr="00C13276" w:rsidRDefault="00CD0ED8" w:rsidP="00C13276">
      <w:pPr>
        <w:spacing w:before="120" w:after="0" w:line="240" w:lineRule="auto"/>
        <w:ind w:right="-1"/>
        <w:rPr>
          <w:rFonts w:ascii="Arial" w:hAnsi="Arial" w:cs="Arial"/>
          <w:sz w:val="24"/>
          <w:szCs w:val="24"/>
        </w:rPr>
      </w:pPr>
      <w:r w:rsidRPr="00C13276">
        <w:rPr>
          <w:rFonts w:ascii="Arial" w:hAnsi="Arial" w:cs="Arial"/>
          <w:sz w:val="24"/>
          <w:szCs w:val="24"/>
        </w:rPr>
        <w:t>Individual support</w:t>
      </w:r>
      <w:r w:rsidR="00F076A5" w:rsidRPr="00C13276">
        <w:rPr>
          <w:rFonts w:ascii="Arial" w:hAnsi="Arial" w:cs="Arial"/>
          <w:sz w:val="24"/>
          <w:szCs w:val="24"/>
        </w:rPr>
        <w:t xml:space="preserve"> plans provide </w:t>
      </w:r>
      <w:proofErr w:type="gramStart"/>
      <w:r w:rsidR="00F076A5" w:rsidRPr="00C13276">
        <w:rPr>
          <w:rFonts w:ascii="Arial" w:hAnsi="Arial" w:cs="Arial"/>
          <w:sz w:val="24"/>
          <w:szCs w:val="24"/>
        </w:rPr>
        <w:t>sufficient</w:t>
      </w:r>
      <w:proofErr w:type="gramEnd"/>
      <w:r w:rsidR="00F076A5" w:rsidRPr="00C13276">
        <w:rPr>
          <w:rFonts w:ascii="Arial" w:hAnsi="Arial" w:cs="Arial"/>
          <w:sz w:val="24"/>
          <w:szCs w:val="24"/>
        </w:rPr>
        <w:t xml:space="preserve"> detail for support workers to understand the support interventions required</w:t>
      </w:r>
      <w:r w:rsidR="00F235C6" w:rsidRPr="00C13276">
        <w:rPr>
          <w:rFonts w:ascii="Arial" w:hAnsi="Arial" w:cs="Arial"/>
          <w:sz w:val="24"/>
          <w:szCs w:val="24"/>
        </w:rPr>
        <w:t xml:space="preserve"> </w:t>
      </w:r>
      <w:r w:rsidR="00F076A5" w:rsidRPr="00C13276">
        <w:rPr>
          <w:rFonts w:ascii="Arial" w:hAnsi="Arial" w:cs="Arial"/>
          <w:sz w:val="24"/>
          <w:szCs w:val="24"/>
        </w:rPr>
        <w:t xml:space="preserve">for clients to be able to achieve </w:t>
      </w:r>
      <w:r w:rsidR="006C58E3" w:rsidRPr="00C13276">
        <w:rPr>
          <w:rFonts w:ascii="Arial" w:hAnsi="Arial" w:cs="Arial"/>
          <w:sz w:val="24"/>
          <w:szCs w:val="24"/>
        </w:rPr>
        <w:t>their</w:t>
      </w:r>
      <w:r w:rsidR="00F076A5" w:rsidRPr="00C13276">
        <w:rPr>
          <w:rFonts w:ascii="Arial" w:hAnsi="Arial" w:cs="Arial"/>
          <w:sz w:val="24"/>
          <w:szCs w:val="24"/>
        </w:rPr>
        <w:t xml:space="preserve"> goals.</w:t>
      </w:r>
    </w:p>
    <w:p w14:paraId="280210E4" w14:textId="60E9718B" w:rsidR="00F076A5" w:rsidRPr="00C13276" w:rsidRDefault="00F076A5" w:rsidP="00C13276">
      <w:pPr>
        <w:spacing w:before="120" w:after="0" w:line="240" w:lineRule="auto"/>
        <w:ind w:right="-1"/>
        <w:rPr>
          <w:rFonts w:ascii="Arial" w:hAnsi="Arial" w:cs="Arial"/>
          <w:sz w:val="24"/>
          <w:szCs w:val="24"/>
          <w:lang w:eastAsia="en-NZ"/>
        </w:rPr>
      </w:pPr>
      <w:r w:rsidRPr="00C13276">
        <w:rPr>
          <w:rFonts w:ascii="Arial" w:hAnsi="Arial" w:cs="Arial"/>
          <w:sz w:val="24"/>
          <w:szCs w:val="24"/>
          <w:lang w:eastAsia="en-NZ"/>
        </w:rPr>
        <w:t xml:space="preserve">A clear escalation pathway is documented within </w:t>
      </w:r>
      <w:r w:rsidR="00370125" w:rsidRPr="00C13276">
        <w:rPr>
          <w:rFonts w:ascii="Arial" w:hAnsi="Arial" w:cs="Arial"/>
          <w:sz w:val="24"/>
          <w:szCs w:val="24"/>
          <w:lang w:eastAsia="en-NZ"/>
        </w:rPr>
        <w:t xml:space="preserve">the </w:t>
      </w:r>
      <w:r w:rsidR="000A0BA4" w:rsidRPr="00C13276">
        <w:rPr>
          <w:rFonts w:ascii="Arial" w:hAnsi="Arial" w:cs="Arial"/>
          <w:sz w:val="24"/>
          <w:szCs w:val="24"/>
          <w:lang w:eastAsia="en-NZ"/>
        </w:rPr>
        <w:t>i</w:t>
      </w:r>
      <w:r w:rsidR="00370125" w:rsidRPr="00C13276">
        <w:rPr>
          <w:rFonts w:ascii="Arial" w:hAnsi="Arial" w:cs="Arial"/>
          <w:sz w:val="24"/>
          <w:szCs w:val="24"/>
          <w:lang w:eastAsia="en-NZ"/>
        </w:rPr>
        <w:t>ndividual</w:t>
      </w:r>
      <w:r w:rsidR="00192CF9" w:rsidRPr="00C13276">
        <w:rPr>
          <w:rFonts w:ascii="Arial" w:hAnsi="Arial" w:cs="Arial"/>
          <w:sz w:val="24"/>
          <w:szCs w:val="24"/>
          <w:lang w:eastAsia="en-NZ"/>
        </w:rPr>
        <w:t xml:space="preserve"> support </w:t>
      </w:r>
      <w:r w:rsidR="00370125" w:rsidRPr="00C13276">
        <w:rPr>
          <w:rFonts w:ascii="Arial" w:hAnsi="Arial" w:cs="Arial"/>
          <w:sz w:val="24"/>
          <w:szCs w:val="24"/>
          <w:lang w:eastAsia="en-NZ"/>
        </w:rPr>
        <w:t>plan to</w:t>
      </w:r>
      <w:r w:rsidRPr="00C13276">
        <w:rPr>
          <w:rFonts w:ascii="Arial" w:hAnsi="Arial" w:cs="Arial"/>
          <w:sz w:val="24"/>
          <w:szCs w:val="24"/>
          <w:lang w:eastAsia="en-NZ"/>
        </w:rPr>
        <w:t xml:space="preserve"> manage situations where arrangements for support are uncertain or do not </w:t>
      </w:r>
      <w:r w:rsidR="005C4ADA" w:rsidRPr="00C13276">
        <w:rPr>
          <w:rFonts w:ascii="Arial" w:hAnsi="Arial" w:cs="Arial"/>
          <w:sz w:val="24"/>
          <w:szCs w:val="24"/>
          <w:lang w:eastAsia="en-NZ"/>
        </w:rPr>
        <w:t>occur</w:t>
      </w:r>
      <w:r w:rsidRPr="00C13276">
        <w:rPr>
          <w:rFonts w:ascii="Arial" w:hAnsi="Arial" w:cs="Arial"/>
          <w:sz w:val="24"/>
          <w:szCs w:val="24"/>
          <w:lang w:eastAsia="en-NZ"/>
        </w:rPr>
        <w:t xml:space="preserve"> as planned. This may include processes for support to be provided by their carer or whānau and will ensure information on how to contact emergency services if required. The ‘Stop and Watch tool’ </w:t>
      </w:r>
      <w:bookmarkStart w:id="111" w:name="_Hlk20899704"/>
      <w:r w:rsidRPr="00C13276">
        <w:rPr>
          <w:rFonts w:ascii="Arial" w:hAnsi="Arial" w:cs="Arial"/>
          <w:sz w:val="24"/>
          <w:szCs w:val="24"/>
          <w:lang w:eastAsia="en-NZ"/>
        </w:rPr>
        <w:t>(</w:t>
      </w:r>
      <w:r w:rsidR="0032323D" w:rsidRPr="00C13276">
        <w:rPr>
          <w:rFonts w:ascii="Arial" w:hAnsi="Arial" w:cs="Arial"/>
          <w:sz w:val="24"/>
          <w:szCs w:val="24"/>
          <w:lang w:eastAsia="en-NZ"/>
        </w:rPr>
        <w:t xml:space="preserve">HCSS </w:t>
      </w:r>
      <w:r w:rsidR="007343D9">
        <w:rPr>
          <w:rFonts w:ascii="Arial" w:hAnsi="Arial" w:cs="Arial"/>
          <w:sz w:val="24"/>
          <w:szCs w:val="24"/>
          <w:lang w:eastAsia="en-NZ"/>
        </w:rPr>
        <w:t>Operations</w:t>
      </w:r>
      <w:r w:rsidR="0032323D" w:rsidRPr="00C13276">
        <w:rPr>
          <w:rFonts w:ascii="Arial" w:hAnsi="Arial" w:cs="Arial"/>
          <w:sz w:val="24"/>
          <w:szCs w:val="24"/>
          <w:lang w:eastAsia="en-NZ"/>
        </w:rPr>
        <w:t xml:space="preserve"> Manual</w:t>
      </w:r>
      <w:r w:rsidRPr="00C13276">
        <w:rPr>
          <w:rFonts w:ascii="Arial" w:hAnsi="Arial" w:cs="Arial"/>
          <w:sz w:val="24"/>
          <w:szCs w:val="24"/>
          <w:lang w:eastAsia="en-NZ"/>
        </w:rPr>
        <w:t xml:space="preserve">) </w:t>
      </w:r>
      <w:bookmarkEnd w:id="111"/>
      <w:r w:rsidRPr="00C13276">
        <w:rPr>
          <w:rFonts w:ascii="Arial" w:hAnsi="Arial" w:cs="Arial"/>
          <w:sz w:val="24"/>
          <w:szCs w:val="24"/>
          <w:lang w:eastAsia="en-NZ"/>
        </w:rPr>
        <w:t xml:space="preserve">provides a framework </w:t>
      </w:r>
      <w:r w:rsidR="000A0BA4" w:rsidRPr="00C13276">
        <w:rPr>
          <w:rFonts w:ascii="Arial" w:hAnsi="Arial" w:cs="Arial"/>
          <w:sz w:val="24"/>
          <w:szCs w:val="24"/>
          <w:lang w:eastAsia="en-NZ"/>
        </w:rPr>
        <w:t>that</w:t>
      </w:r>
      <w:r w:rsidRPr="00C13276">
        <w:rPr>
          <w:rFonts w:ascii="Arial" w:hAnsi="Arial" w:cs="Arial"/>
          <w:sz w:val="24"/>
          <w:szCs w:val="24"/>
          <w:lang w:eastAsia="en-NZ"/>
        </w:rPr>
        <w:t xml:space="preserve"> support</w:t>
      </w:r>
      <w:r w:rsidR="000A0BA4" w:rsidRPr="00C13276">
        <w:rPr>
          <w:rFonts w:ascii="Arial" w:hAnsi="Arial" w:cs="Arial"/>
          <w:sz w:val="24"/>
          <w:szCs w:val="24"/>
          <w:lang w:eastAsia="en-NZ"/>
        </w:rPr>
        <w:t>s</w:t>
      </w:r>
      <w:r w:rsidRPr="00C13276">
        <w:rPr>
          <w:rFonts w:ascii="Arial" w:hAnsi="Arial" w:cs="Arial"/>
          <w:sz w:val="24"/>
          <w:szCs w:val="24"/>
          <w:lang w:eastAsia="en-NZ"/>
        </w:rPr>
        <w:t xml:space="preserve"> workers and whānau</w:t>
      </w:r>
      <w:r w:rsidR="000A0BA4" w:rsidRPr="00C13276">
        <w:rPr>
          <w:rFonts w:ascii="Arial" w:hAnsi="Arial" w:cs="Arial"/>
          <w:sz w:val="24"/>
          <w:szCs w:val="24"/>
          <w:lang w:eastAsia="en-NZ"/>
        </w:rPr>
        <w:t xml:space="preserve"> to</w:t>
      </w:r>
      <w:r w:rsidRPr="00C13276">
        <w:rPr>
          <w:rFonts w:ascii="Arial" w:hAnsi="Arial" w:cs="Arial"/>
          <w:sz w:val="24"/>
          <w:szCs w:val="24"/>
          <w:lang w:eastAsia="en-NZ"/>
        </w:rPr>
        <w:t xml:space="preserve"> identify what must be escalated to a service coordinator. </w:t>
      </w:r>
    </w:p>
    <w:p w14:paraId="51E5FC76" w14:textId="77777777" w:rsidR="00AE776C" w:rsidRPr="00C13276" w:rsidRDefault="00C02CC3" w:rsidP="000D0001">
      <w:pPr>
        <w:pStyle w:val="Heading2"/>
        <w:spacing w:before="120" w:after="120"/>
        <w:rPr>
          <w:rFonts w:ascii="Arial" w:hAnsi="Arial" w:cs="Arial"/>
          <w:sz w:val="24"/>
          <w:szCs w:val="24"/>
        </w:rPr>
      </w:pPr>
      <w:bookmarkStart w:id="112" w:name="_Toc43122845"/>
      <w:r w:rsidRPr="00C13276">
        <w:rPr>
          <w:rFonts w:ascii="Arial" w:hAnsi="Arial" w:cs="Arial"/>
          <w:sz w:val="24"/>
          <w:szCs w:val="24"/>
        </w:rPr>
        <w:t>6</w:t>
      </w:r>
      <w:r w:rsidR="00AE776C" w:rsidRPr="00C13276">
        <w:rPr>
          <w:rFonts w:ascii="Arial" w:hAnsi="Arial" w:cs="Arial"/>
          <w:sz w:val="24"/>
          <w:szCs w:val="24"/>
        </w:rPr>
        <w:t>.</w:t>
      </w:r>
      <w:r w:rsidR="007B6943" w:rsidRPr="00C13276">
        <w:rPr>
          <w:rFonts w:ascii="Arial" w:hAnsi="Arial" w:cs="Arial"/>
          <w:sz w:val="24"/>
          <w:szCs w:val="24"/>
        </w:rPr>
        <w:t>5</w:t>
      </w:r>
      <w:r w:rsidR="00AE776C" w:rsidRPr="00C13276">
        <w:rPr>
          <w:rFonts w:ascii="Arial" w:hAnsi="Arial" w:cs="Arial"/>
          <w:sz w:val="24"/>
          <w:szCs w:val="24"/>
        </w:rPr>
        <w:tab/>
      </w:r>
      <w:r w:rsidR="00CA4868" w:rsidRPr="00C13276">
        <w:rPr>
          <w:rFonts w:ascii="Arial" w:hAnsi="Arial" w:cs="Arial"/>
          <w:sz w:val="24"/>
          <w:szCs w:val="24"/>
        </w:rPr>
        <w:t xml:space="preserve">Client </w:t>
      </w:r>
      <w:r w:rsidR="00707FB6" w:rsidRPr="00C13276">
        <w:rPr>
          <w:rFonts w:ascii="Arial" w:hAnsi="Arial" w:cs="Arial"/>
          <w:sz w:val="24"/>
          <w:szCs w:val="24"/>
        </w:rPr>
        <w:t xml:space="preserve">Consent, </w:t>
      </w:r>
      <w:r w:rsidR="00AE776C" w:rsidRPr="00C13276">
        <w:rPr>
          <w:rFonts w:ascii="Arial" w:hAnsi="Arial" w:cs="Arial"/>
          <w:sz w:val="24"/>
          <w:szCs w:val="24"/>
        </w:rPr>
        <w:t xml:space="preserve">Assessment </w:t>
      </w:r>
      <w:r w:rsidR="00CA4868" w:rsidRPr="00C13276">
        <w:rPr>
          <w:rFonts w:ascii="Arial" w:hAnsi="Arial" w:cs="Arial"/>
          <w:sz w:val="24"/>
          <w:szCs w:val="24"/>
        </w:rPr>
        <w:t>and</w:t>
      </w:r>
      <w:r w:rsidR="00AE776C" w:rsidRPr="00C13276">
        <w:rPr>
          <w:rFonts w:ascii="Arial" w:hAnsi="Arial" w:cs="Arial"/>
          <w:sz w:val="24"/>
          <w:szCs w:val="24"/>
        </w:rPr>
        <w:t xml:space="preserve"> Review</w:t>
      </w:r>
      <w:bookmarkEnd w:id="112"/>
    </w:p>
    <w:p w14:paraId="7F1318E6" w14:textId="77777777" w:rsidR="00707FB6" w:rsidRPr="00C13276" w:rsidRDefault="00707FB6" w:rsidP="00C13276">
      <w:pPr>
        <w:pStyle w:val="Heading3"/>
        <w:spacing w:after="120"/>
        <w:rPr>
          <w:rFonts w:ascii="Arial" w:hAnsi="Arial" w:cs="Arial"/>
        </w:rPr>
      </w:pPr>
      <w:bookmarkStart w:id="113" w:name="_Toc43122846"/>
      <w:r w:rsidRPr="00C13276">
        <w:rPr>
          <w:rFonts w:ascii="Arial" w:hAnsi="Arial" w:cs="Arial"/>
        </w:rPr>
        <w:t>6.</w:t>
      </w:r>
      <w:r w:rsidR="00B108A7" w:rsidRPr="00C13276">
        <w:rPr>
          <w:rFonts w:ascii="Arial" w:hAnsi="Arial" w:cs="Arial"/>
        </w:rPr>
        <w:t>5</w:t>
      </w:r>
      <w:r w:rsidRPr="00C13276">
        <w:rPr>
          <w:rFonts w:ascii="Arial" w:hAnsi="Arial" w:cs="Arial"/>
        </w:rPr>
        <w:t>.1</w:t>
      </w:r>
      <w:r w:rsidRPr="00C13276">
        <w:rPr>
          <w:rFonts w:ascii="Arial" w:hAnsi="Arial" w:cs="Arial"/>
        </w:rPr>
        <w:tab/>
        <w:t>Consent</w:t>
      </w:r>
      <w:bookmarkEnd w:id="113"/>
    </w:p>
    <w:p w14:paraId="1AAF2E30" w14:textId="77777777" w:rsidR="00AE776C" w:rsidRPr="00C13276" w:rsidRDefault="00AE776C" w:rsidP="00874DFB">
      <w:pPr>
        <w:rPr>
          <w:rFonts w:ascii="Arial" w:hAnsi="Arial" w:cs="Arial"/>
          <w:sz w:val="24"/>
          <w:szCs w:val="24"/>
        </w:rPr>
      </w:pPr>
      <w:r w:rsidRPr="00C13276">
        <w:rPr>
          <w:rFonts w:ascii="Arial" w:hAnsi="Arial" w:cs="Arial"/>
          <w:sz w:val="24"/>
          <w:szCs w:val="24"/>
        </w:rPr>
        <w:t>The Provider will seek written informed consent from clients at service commencement in adherence to the Code of Health and Disability Services Consumers’ Rights 1996 and other relevant legislation</w:t>
      </w:r>
      <w:r w:rsidR="004859A5" w:rsidRPr="00C13276">
        <w:rPr>
          <w:rFonts w:ascii="Arial" w:hAnsi="Arial" w:cs="Arial"/>
          <w:sz w:val="24"/>
          <w:szCs w:val="24"/>
        </w:rPr>
        <w:t xml:space="preserve"> (see link to section 12 Legislation)</w:t>
      </w:r>
      <w:r w:rsidRPr="00C13276">
        <w:rPr>
          <w:rFonts w:ascii="Arial" w:hAnsi="Arial" w:cs="Arial"/>
          <w:sz w:val="24"/>
          <w:szCs w:val="24"/>
        </w:rPr>
        <w:t>. Consent will be regularly revisited at times while the client is in contact with the service.</w:t>
      </w:r>
    </w:p>
    <w:p w14:paraId="4D8B9A03" w14:textId="77777777" w:rsidR="00A77681" w:rsidRPr="00C13276" w:rsidRDefault="00AE776C" w:rsidP="00C13276">
      <w:pPr>
        <w:spacing w:before="60" w:after="120" w:line="240" w:lineRule="auto"/>
        <w:rPr>
          <w:rFonts w:ascii="Arial" w:hAnsi="Arial" w:cs="Arial"/>
          <w:sz w:val="24"/>
          <w:szCs w:val="24"/>
        </w:rPr>
      </w:pPr>
      <w:r w:rsidRPr="00C13276">
        <w:rPr>
          <w:rFonts w:ascii="Arial" w:hAnsi="Arial" w:cs="Arial"/>
          <w:sz w:val="24"/>
          <w:szCs w:val="24"/>
        </w:rPr>
        <w:t>If the client’s enduring power of attorney for health and welfare has been activated, then this is documented, and this person provides consent on behalf of the client.</w:t>
      </w:r>
    </w:p>
    <w:p w14:paraId="7FA0563A" w14:textId="77777777" w:rsidR="00707FB6" w:rsidRPr="00C13276" w:rsidRDefault="00707FB6" w:rsidP="00C13276">
      <w:pPr>
        <w:pStyle w:val="Heading3"/>
        <w:spacing w:after="120"/>
        <w:rPr>
          <w:rFonts w:ascii="Arial" w:hAnsi="Arial" w:cs="Arial"/>
        </w:rPr>
      </w:pPr>
      <w:bookmarkStart w:id="114" w:name="_Toc43122847"/>
      <w:bookmarkStart w:id="115" w:name="_Hlk21944425"/>
      <w:r w:rsidRPr="00C13276">
        <w:rPr>
          <w:rFonts w:ascii="Arial" w:hAnsi="Arial" w:cs="Arial"/>
        </w:rPr>
        <w:t>6.</w:t>
      </w:r>
      <w:r w:rsidR="00B108A7" w:rsidRPr="00C13276">
        <w:rPr>
          <w:rFonts w:ascii="Arial" w:hAnsi="Arial" w:cs="Arial"/>
        </w:rPr>
        <w:t>5</w:t>
      </w:r>
      <w:r w:rsidRPr="00C13276">
        <w:rPr>
          <w:rFonts w:ascii="Arial" w:hAnsi="Arial" w:cs="Arial"/>
        </w:rPr>
        <w:t>.2</w:t>
      </w:r>
      <w:r w:rsidRPr="00C13276">
        <w:rPr>
          <w:rFonts w:ascii="Arial" w:hAnsi="Arial" w:cs="Arial"/>
        </w:rPr>
        <w:tab/>
        <w:t>Monitoring and review of client progress</w:t>
      </w:r>
      <w:bookmarkEnd w:id="114"/>
    </w:p>
    <w:p w14:paraId="4518F9EA" w14:textId="77777777" w:rsidR="00AE776C" w:rsidRPr="00C13276" w:rsidRDefault="00AE776C" w:rsidP="00874DFB">
      <w:pPr>
        <w:spacing w:before="120" w:after="0" w:line="240" w:lineRule="auto"/>
        <w:rPr>
          <w:rFonts w:ascii="Arial" w:hAnsi="Arial" w:cs="Arial"/>
          <w:sz w:val="24"/>
          <w:szCs w:val="24"/>
        </w:rPr>
      </w:pPr>
      <w:r w:rsidRPr="00C13276">
        <w:rPr>
          <w:rFonts w:ascii="Arial" w:hAnsi="Arial" w:cs="Arial"/>
          <w:sz w:val="24"/>
          <w:szCs w:val="24"/>
        </w:rPr>
        <w:t xml:space="preserve">The </w:t>
      </w:r>
      <w:r w:rsidR="00214C44" w:rsidRPr="00C13276">
        <w:rPr>
          <w:rFonts w:ascii="Arial" w:hAnsi="Arial" w:cs="Arial"/>
          <w:sz w:val="24"/>
          <w:szCs w:val="24"/>
        </w:rPr>
        <w:t>P</w:t>
      </w:r>
      <w:r w:rsidRPr="00C13276">
        <w:rPr>
          <w:rFonts w:ascii="Arial" w:hAnsi="Arial" w:cs="Arial"/>
          <w:sz w:val="24"/>
          <w:szCs w:val="24"/>
        </w:rPr>
        <w:t xml:space="preserve">rovider is responsible for on-going monitoring and review of client progress towards achieving the goals established in the </w:t>
      </w:r>
      <w:r w:rsidR="00CD0ED8" w:rsidRPr="00C13276">
        <w:rPr>
          <w:rFonts w:ascii="Arial" w:hAnsi="Arial" w:cs="Arial"/>
          <w:sz w:val="24"/>
          <w:szCs w:val="24"/>
        </w:rPr>
        <w:t>individual support</w:t>
      </w:r>
      <w:r w:rsidRPr="00C13276">
        <w:rPr>
          <w:rFonts w:ascii="Arial" w:hAnsi="Arial" w:cs="Arial"/>
          <w:sz w:val="24"/>
          <w:szCs w:val="24"/>
        </w:rPr>
        <w:t xml:space="preserve"> plan and for ensuring the services are responsive and flexible enough to meet current and evolving needs as they occur.  A full assessment and review schedule to support this process is attached in Appendix</w:t>
      </w:r>
      <w:r w:rsidRPr="00C13276">
        <w:rPr>
          <w:rFonts w:ascii="Arial" w:hAnsi="Arial" w:cs="Arial"/>
          <w:color w:val="000000" w:themeColor="text1"/>
          <w:sz w:val="24"/>
          <w:szCs w:val="24"/>
        </w:rPr>
        <w:t xml:space="preserve"> 2 </w:t>
      </w:r>
      <w:r w:rsidRPr="00C13276">
        <w:rPr>
          <w:rFonts w:ascii="Arial" w:hAnsi="Arial" w:cs="Arial"/>
          <w:sz w:val="24"/>
          <w:szCs w:val="24"/>
        </w:rPr>
        <w:t>and must be adhered to.</w:t>
      </w:r>
      <w:r w:rsidR="002F5FD4" w:rsidRPr="00C13276">
        <w:rPr>
          <w:rFonts w:ascii="Arial" w:hAnsi="Arial" w:cs="Arial"/>
          <w:sz w:val="24"/>
          <w:szCs w:val="24"/>
        </w:rPr>
        <w:t xml:space="preserve"> </w:t>
      </w:r>
    </w:p>
    <w:p w14:paraId="6A384FCF" w14:textId="6FAB8385" w:rsidR="004D212C" w:rsidRPr="00C13276" w:rsidRDefault="00AE776C" w:rsidP="00C13276">
      <w:pPr>
        <w:spacing w:before="120" w:after="120" w:line="240" w:lineRule="auto"/>
        <w:rPr>
          <w:rFonts w:ascii="Arial" w:hAnsi="Arial" w:cs="Arial"/>
          <w:sz w:val="24"/>
          <w:szCs w:val="24"/>
        </w:rPr>
      </w:pPr>
      <w:r w:rsidRPr="00C13276">
        <w:rPr>
          <w:rFonts w:ascii="Arial" w:hAnsi="Arial" w:cs="Arial"/>
          <w:sz w:val="24"/>
          <w:szCs w:val="24"/>
          <w:shd w:val="clear" w:color="auto" w:fill="FFFFFF" w:themeFill="background1"/>
        </w:rPr>
        <w:t xml:space="preserve">Reviews </w:t>
      </w:r>
      <w:r w:rsidR="003E09F5" w:rsidRPr="00C13276">
        <w:rPr>
          <w:rFonts w:ascii="Arial" w:hAnsi="Arial" w:cs="Arial"/>
          <w:sz w:val="24"/>
          <w:szCs w:val="24"/>
          <w:shd w:val="clear" w:color="auto" w:fill="FFFFFF" w:themeFill="background1"/>
        </w:rPr>
        <w:t>(</w:t>
      </w:r>
      <w:r w:rsidR="000D0001">
        <w:rPr>
          <w:rFonts w:ascii="Arial" w:hAnsi="Arial" w:cs="Arial"/>
          <w:sz w:val="24"/>
          <w:szCs w:val="24"/>
          <w:shd w:val="clear" w:color="auto" w:fill="FFFFFF" w:themeFill="background1"/>
        </w:rPr>
        <w:t xml:space="preserve">refer to </w:t>
      </w:r>
      <w:r w:rsidR="00DC674C">
        <w:rPr>
          <w:rFonts w:ascii="Arial" w:hAnsi="Arial" w:cs="Arial"/>
          <w:sz w:val="24"/>
          <w:szCs w:val="24"/>
          <w:shd w:val="clear" w:color="auto" w:fill="FFFFFF" w:themeFill="background1"/>
        </w:rPr>
        <w:t xml:space="preserve">the </w:t>
      </w:r>
      <w:r w:rsidR="0032323D" w:rsidRPr="00C13276">
        <w:rPr>
          <w:rFonts w:ascii="Arial" w:hAnsi="Arial" w:cs="Arial"/>
          <w:sz w:val="24"/>
          <w:szCs w:val="24"/>
          <w:shd w:val="clear" w:color="auto" w:fill="FFFFFF" w:themeFill="background1"/>
        </w:rPr>
        <w:t xml:space="preserve">HCSS </w:t>
      </w:r>
      <w:r w:rsidR="007343D9">
        <w:rPr>
          <w:rFonts w:ascii="Arial" w:hAnsi="Arial" w:cs="Arial"/>
          <w:sz w:val="24"/>
          <w:szCs w:val="24"/>
          <w:shd w:val="clear" w:color="auto" w:fill="FFFFFF" w:themeFill="background1"/>
        </w:rPr>
        <w:t>Operations</w:t>
      </w:r>
      <w:r w:rsidR="0032323D" w:rsidRPr="00C13276">
        <w:rPr>
          <w:rFonts w:ascii="Arial" w:hAnsi="Arial" w:cs="Arial"/>
          <w:sz w:val="24"/>
          <w:szCs w:val="24"/>
          <w:shd w:val="clear" w:color="auto" w:fill="FFFFFF" w:themeFill="background1"/>
        </w:rPr>
        <w:t xml:space="preserve"> Manual</w:t>
      </w:r>
      <w:r w:rsidR="003E09F5" w:rsidRPr="00C13276">
        <w:rPr>
          <w:rFonts w:ascii="Arial" w:hAnsi="Arial" w:cs="Arial"/>
          <w:sz w:val="24"/>
          <w:szCs w:val="24"/>
          <w:shd w:val="clear" w:color="auto" w:fill="FFFFFF" w:themeFill="background1"/>
        </w:rPr>
        <w:t xml:space="preserve">) </w:t>
      </w:r>
      <w:r w:rsidRPr="00C13276">
        <w:rPr>
          <w:rFonts w:ascii="Arial" w:hAnsi="Arial" w:cs="Arial"/>
          <w:sz w:val="24"/>
          <w:szCs w:val="24"/>
          <w:shd w:val="clear" w:color="auto" w:fill="FFFFFF" w:themeFill="background1"/>
        </w:rPr>
        <w:t>are</w:t>
      </w:r>
      <w:r w:rsidRPr="00C13276">
        <w:rPr>
          <w:rFonts w:ascii="Arial" w:hAnsi="Arial" w:cs="Arial"/>
          <w:sz w:val="24"/>
          <w:szCs w:val="24"/>
        </w:rPr>
        <w:t xml:space="preserve"> scheduled when </w:t>
      </w:r>
      <w:r w:rsidR="00370125" w:rsidRPr="00C13276">
        <w:rPr>
          <w:rFonts w:ascii="Arial" w:hAnsi="Arial" w:cs="Arial"/>
          <w:sz w:val="24"/>
          <w:szCs w:val="24"/>
        </w:rPr>
        <w:t xml:space="preserve">the </w:t>
      </w:r>
      <w:r w:rsidR="00D05548" w:rsidRPr="00C13276">
        <w:rPr>
          <w:rFonts w:ascii="Arial" w:hAnsi="Arial" w:cs="Arial"/>
          <w:sz w:val="24"/>
          <w:szCs w:val="24"/>
        </w:rPr>
        <w:t>i</w:t>
      </w:r>
      <w:r w:rsidR="00370125" w:rsidRPr="00C13276">
        <w:rPr>
          <w:rFonts w:ascii="Arial" w:hAnsi="Arial" w:cs="Arial"/>
          <w:sz w:val="24"/>
          <w:szCs w:val="24"/>
        </w:rPr>
        <w:t>ndividual</w:t>
      </w:r>
      <w:r w:rsidR="00192CF9" w:rsidRPr="00C13276">
        <w:rPr>
          <w:rFonts w:ascii="Arial" w:hAnsi="Arial" w:cs="Arial"/>
          <w:sz w:val="24"/>
          <w:szCs w:val="24"/>
        </w:rPr>
        <w:t xml:space="preserve"> support plan</w:t>
      </w:r>
      <w:r w:rsidR="00CD0ED8" w:rsidRPr="00C13276">
        <w:rPr>
          <w:rFonts w:ascii="Arial" w:hAnsi="Arial" w:cs="Arial"/>
          <w:sz w:val="24"/>
          <w:szCs w:val="24"/>
        </w:rPr>
        <w:t xml:space="preserve"> </w:t>
      </w:r>
      <w:r w:rsidRPr="00C13276">
        <w:rPr>
          <w:rFonts w:ascii="Arial" w:hAnsi="Arial" w:cs="Arial"/>
          <w:sz w:val="24"/>
          <w:szCs w:val="24"/>
        </w:rPr>
        <w:t xml:space="preserve">is developed. The purpose of the review is to measure client progress against SMART goals, observe if there are any clinical indications for </w:t>
      </w:r>
      <w:r w:rsidR="002F5FD4" w:rsidRPr="00C13276">
        <w:rPr>
          <w:rFonts w:ascii="Arial" w:hAnsi="Arial" w:cs="Arial"/>
          <w:sz w:val="24"/>
          <w:szCs w:val="24"/>
        </w:rPr>
        <w:t xml:space="preserve">a change in support </w:t>
      </w:r>
      <w:r w:rsidR="00ED70DE" w:rsidRPr="00C13276">
        <w:rPr>
          <w:rFonts w:ascii="Arial" w:hAnsi="Arial" w:cs="Arial"/>
          <w:sz w:val="24"/>
          <w:szCs w:val="24"/>
        </w:rPr>
        <w:t xml:space="preserve">provision, </w:t>
      </w:r>
      <w:r w:rsidRPr="00C13276">
        <w:rPr>
          <w:rFonts w:ascii="Arial" w:hAnsi="Arial" w:cs="Arial"/>
          <w:sz w:val="24"/>
          <w:szCs w:val="24"/>
        </w:rPr>
        <w:t xml:space="preserve">further assessment or greater transdisciplinary team input. The outcome of a review may require the </w:t>
      </w:r>
      <w:r w:rsidR="00CD0ED8" w:rsidRPr="00C13276">
        <w:rPr>
          <w:rFonts w:ascii="Arial" w:hAnsi="Arial" w:cs="Arial"/>
          <w:sz w:val="24"/>
          <w:szCs w:val="24"/>
        </w:rPr>
        <w:t xml:space="preserve">individual support </w:t>
      </w:r>
      <w:r w:rsidRPr="00C13276">
        <w:rPr>
          <w:rFonts w:ascii="Arial" w:hAnsi="Arial" w:cs="Arial"/>
          <w:sz w:val="24"/>
          <w:szCs w:val="24"/>
        </w:rPr>
        <w:t>plan to be modified or redeveloped</w:t>
      </w:r>
      <w:r w:rsidR="00DA6385" w:rsidRPr="00C13276">
        <w:rPr>
          <w:rFonts w:ascii="Arial" w:hAnsi="Arial" w:cs="Arial"/>
          <w:sz w:val="24"/>
          <w:szCs w:val="24"/>
        </w:rPr>
        <w:t xml:space="preserve"> or the client may be ready for discharge</w:t>
      </w:r>
      <w:r w:rsidRPr="00C13276">
        <w:rPr>
          <w:rFonts w:ascii="Arial" w:hAnsi="Arial" w:cs="Arial"/>
          <w:sz w:val="24"/>
          <w:szCs w:val="24"/>
        </w:rPr>
        <w:t>.</w:t>
      </w:r>
      <w:r w:rsidR="004D212C" w:rsidRPr="00C13276">
        <w:rPr>
          <w:rFonts w:ascii="Arial" w:hAnsi="Arial" w:cs="Arial"/>
          <w:sz w:val="24"/>
          <w:szCs w:val="24"/>
        </w:rPr>
        <w:t xml:space="preserve"> The risk assessment</w:t>
      </w:r>
      <w:r w:rsidR="004D212C" w:rsidRPr="00C13276">
        <w:rPr>
          <w:rStyle w:val="FootnoteReference"/>
          <w:rFonts w:ascii="Arial" w:hAnsi="Arial" w:cs="Arial"/>
          <w:sz w:val="24"/>
          <w:szCs w:val="24"/>
        </w:rPr>
        <w:footnoteReference w:id="14"/>
      </w:r>
      <w:r w:rsidR="004D212C" w:rsidRPr="00C13276">
        <w:rPr>
          <w:rFonts w:ascii="Arial" w:hAnsi="Arial" w:cs="Arial"/>
          <w:sz w:val="24"/>
          <w:szCs w:val="24"/>
        </w:rPr>
        <w:t xml:space="preserve"> will be revised </w:t>
      </w:r>
      <w:r w:rsidR="006C58E3" w:rsidRPr="00C13276">
        <w:rPr>
          <w:rFonts w:ascii="Arial" w:hAnsi="Arial" w:cs="Arial"/>
          <w:sz w:val="24"/>
          <w:szCs w:val="24"/>
        </w:rPr>
        <w:t>during</w:t>
      </w:r>
      <w:r w:rsidR="004D212C" w:rsidRPr="00C13276">
        <w:rPr>
          <w:rFonts w:ascii="Arial" w:hAnsi="Arial" w:cs="Arial"/>
          <w:sz w:val="24"/>
          <w:szCs w:val="24"/>
        </w:rPr>
        <w:t xml:space="preserve"> the scheduled client review/reassessment and/or </w:t>
      </w:r>
      <w:r w:rsidR="006C58E3" w:rsidRPr="00C13276">
        <w:rPr>
          <w:rFonts w:ascii="Arial" w:hAnsi="Arial" w:cs="Arial"/>
          <w:sz w:val="24"/>
          <w:szCs w:val="24"/>
        </w:rPr>
        <w:t>repeated</w:t>
      </w:r>
      <w:r w:rsidR="004D212C" w:rsidRPr="00C13276">
        <w:rPr>
          <w:rFonts w:ascii="Arial" w:hAnsi="Arial" w:cs="Arial"/>
          <w:sz w:val="24"/>
          <w:szCs w:val="24"/>
        </w:rPr>
        <w:t xml:space="preserve"> as services change.</w:t>
      </w:r>
      <w:r w:rsidR="00321598" w:rsidRPr="00C13276">
        <w:rPr>
          <w:rFonts w:ascii="Arial" w:hAnsi="Arial" w:cs="Arial"/>
          <w:sz w:val="24"/>
          <w:szCs w:val="24"/>
        </w:rPr>
        <w:t xml:space="preserve"> </w:t>
      </w:r>
    </w:p>
    <w:p w14:paraId="0D5AB52F" w14:textId="77777777" w:rsidR="00707FB6" w:rsidRPr="00C13276" w:rsidRDefault="00707FB6" w:rsidP="00C13276">
      <w:pPr>
        <w:pStyle w:val="Heading3"/>
        <w:rPr>
          <w:rFonts w:ascii="Arial" w:hAnsi="Arial" w:cs="Arial"/>
        </w:rPr>
      </w:pPr>
      <w:bookmarkStart w:id="116" w:name="_Toc43122848"/>
      <w:bookmarkEnd w:id="115"/>
      <w:r w:rsidRPr="00C13276">
        <w:rPr>
          <w:rFonts w:ascii="Arial" w:hAnsi="Arial" w:cs="Arial"/>
        </w:rPr>
        <w:t>6.</w:t>
      </w:r>
      <w:r w:rsidR="00B108A7" w:rsidRPr="00C13276">
        <w:rPr>
          <w:rFonts w:ascii="Arial" w:hAnsi="Arial" w:cs="Arial"/>
        </w:rPr>
        <w:t>5.</w:t>
      </w:r>
      <w:r w:rsidRPr="00C13276">
        <w:rPr>
          <w:rFonts w:ascii="Arial" w:hAnsi="Arial" w:cs="Arial"/>
        </w:rPr>
        <w:t>3</w:t>
      </w:r>
      <w:r w:rsidRPr="00C13276">
        <w:rPr>
          <w:rFonts w:ascii="Arial" w:hAnsi="Arial" w:cs="Arial"/>
        </w:rPr>
        <w:tab/>
        <w:t>Assessments and reassessments</w:t>
      </w:r>
      <w:bookmarkEnd w:id="116"/>
    </w:p>
    <w:p w14:paraId="6BE57EA6" w14:textId="77777777" w:rsidR="00AE776C" w:rsidRPr="00C13276" w:rsidRDefault="00AE776C" w:rsidP="00874DFB">
      <w:pPr>
        <w:spacing w:before="60" w:after="60" w:line="240" w:lineRule="auto"/>
        <w:rPr>
          <w:rFonts w:ascii="Arial" w:hAnsi="Arial" w:cs="Arial"/>
          <w:sz w:val="24"/>
          <w:szCs w:val="24"/>
        </w:rPr>
      </w:pPr>
      <w:r w:rsidRPr="00C13276">
        <w:rPr>
          <w:rFonts w:ascii="Arial" w:hAnsi="Arial" w:cs="Arial"/>
          <w:sz w:val="24"/>
          <w:szCs w:val="24"/>
        </w:rPr>
        <w:t xml:space="preserve">The </w:t>
      </w:r>
      <w:r w:rsidR="00214C44" w:rsidRPr="00C13276">
        <w:rPr>
          <w:rFonts w:ascii="Arial" w:hAnsi="Arial" w:cs="Arial"/>
          <w:sz w:val="24"/>
          <w:szCs w:val="24"/>
        </w:rPr>
        <w:t>P</w:t>
      </w:r>
      <w:r w:rsidRPr="00C13276">
        <w:rPr>
          <w:rFonts w:ascii="Arial" w:hAnsi="Arial" w:cs="Arial"/>
          <w:sz w:val="24"/>
          <w:szCs w:val="24"/>
        </w:rPr>
        <w:t xml:space="preserve">rovider </w:t>
      </w:r>
      <w:r w:rsidR="00A1368E" w:rsidRPr="00C13276">
        <w:rPr>
          <w:rFonts w:ascii="Arial" w:hAnsi="Arial" w:cs="Arial"/>
          <w:sz w:val="24"/>
          <w:szCs w:val="24"/>
          <w:shd w:val="clear" w:color="auto" w:fill="FFFFFF" w:themeFill="background1"/>
        </w:rPr>
        <w:t xml:space="preserve">will </w:t>
      </w:r>
      <w:r w:rsidRPr="00C13276">
        <w:rPr>
          <w:rFonts w:ascii="Arial" w:hAnsi="Arial" w:cs="Arial"/>
          <w:sz w:val="24"/>
          <w:szCs w:val="24"/>
          <w:shd w:val="clear" w:color="auto" w:fill="FFFFFF" w:themeFill="background1"/>
        </w:rPr>
        <w:t>complete assessments and reassessments for all non-complex</w:t>
      </w:r>
      <w:r w:rsidRPr="00C13276">
        <w:rPr>
          <w:rFonts w:ascii="Arial" w:hAnsi="Arial" w:cs="Arial"/>
          <w:sz w:val="24"/>
          <w:szCs w:val="24"/>
        </w:rPr>
        <w:t xml:space="preserve"> clients who are referred to the service.  </w:t>
      </w:r>
    </w:p>
    <w:p w14:paraId="5E389772" w14:textId="652F6F5B" w:rsidR="00AE776C" w:rsidRPr="00C13276" w:rsidRDefault="00AE776C">
      <w:pPr>
        <w:spacing w:before="60" w:after="60" w:line="240" w:lineRule="auto"/>
        <w:rPr>
          <w:rFonts w:ascii="Arial" w:hAnsi="Arial" w:cs="Arial"/>
          <w:sz w:val="24"/>
          <w:szCs w:val="24"/>
        </w:rPr>
      </w:pPr>
      <w:r w:rsidRPr="00C13276">
        <w:rPr>
          <w:rFonts w:ascii="Arial" w:hAnsi="Arial" w:cs="Arial"/>
          <w:sz w:val="24"/>
          <w:szCs w:val="24"/>
        </w:rPr>
        <w:t xml:space="preserve">The </w:t>
      </w:r>
      <w:r w:rsidR="00707FB6" w:rsidRPr="00C13276">
        <w:rPr>
          <w:rFonts w:ascii="Arial" w:hAnsi="Arial" w:cs="Arial"/>
          <w:sz w:val="24"/>
          <w:szCs w:val="24"/>
        </w:rPr>
        <w:t>P</w:t>
      </w:r>
      <w:r w:rsidRPr="00C13276">
        <w:rPr>
          <w:rFonts w:ascii="Arial" w:hAnsi="Arial" w:cs="Arial"/>
          <w:sz w:val="24"/>
          <w:szCs w:val="24"/>
        </w:rPr>
        <w:t xml:space="preserve">rovider may also complete some assessments for complex clients. This will be agreed with the DHB </w:t>
      </w:r>
      <w:r w:rsidR="00707FB6" w:rsidRPr="00C13276">
        <w:rPr>
          <w:rFonts w:ascii="Arial" w:hAnsi="Arial" w:cs="Arial"/>
          <w:sz w:val="24"/>
          <w:szCs w:val="24"/>
        </w:rPr>
        <w:t xml:space="preserve">Funder </w:t>
      </w:r>
      <w:r w:rsidRPr="00C13276">
        <w:rPr>
          <w:rFonts w:ascii="Arial" w:hAnsi="Arial" w:cs="Arial"/>
          <w:sz w:val="24"/>
          <w:szCs w:val="24"/>
        </w:rPr>
        <w:t>and NASC</w:t>
      </w:r>
      <w:r w:rsidR="00720BD3">
        <w:rPr>
          <w:rFonts w:ascii="Arial" w:hAnsi="Arial" w:cs="Arial"/>
          <w:sz w:val="24"/>
          <w:szCs w:val="24"/>
        </w:rPr>
        <w:t xml:space="preserve"> coordinator</w:t>
      </w:r>
      <w:r w:rsidRPr="00C13276">
        <w:rPr>
          <w:rFonts w:ascii="Arial" w:hAnsi="Arial" w:cs="Arial"/>
          <w:sz w:val="24"/>
          <w:szCs w:val="24"/>
        </w:rPr>
        <w:t xml:space="preserve"> and include specified parameters indicating when these are undertaken (</w:t>
      </w:r>
      <w:proofErr w:type="spellStart"/>
      <w:r w:rsidR="00C81603" w:rsidRPr="00C13276">
        <w:rPr>
          <w:rFonts w:ascii="Arial" w:hAnsi="Arial" w:cs="Arial"/>
          <w:sz w:val="24"/>
          <w:szCs w:val="24"/>
        </w:rPr>
        <w:t>eg</w:t>
      </w:r>
      <w:proofErr w:type="spellEnd"/>
      <w:r w:rsidR="00720BD3">
        <w:rPr>
          <w:rFonts w:ascii="Arial" w:hAnsi="Arial" w:cs="Arial"/>
          <w:sz w:val="24"/>
          <w:szCs w:val="24"/>
        </w:rPr>
        <w:t>,</w:t>
      </w:r>
      <w:r w:rsidRPr="00C13276">
        <w:rPr>
          <w:rFonts w:ascii="Arial" w:hAnsi="Arial" w:cs="Arial"/>
          <w:sz w:val="24"/>
          <w:szCs w:val="24"/>
        </w:rPr>
        <w:t xml:space="preserve"> rurality). Provider and NASC services will </w:t>
      </w:r>
      <w:r w:rsidRPr="00C13276">
        <w:rPr>
          <w:rFonts w:ascii="Arial" w:hAnsi="Arial" w:cs="Arial"/>
          <w:sz w:val="24"/>
          <w:szCs w:val="24"/>
        </w:rPr>
        <w:lastRenderedPageBreak/>
        <w:t xml:space="preserve">ensure </w:t>
      </w:r>
      <w:r w:rsidR="006C58E3" w:rsidRPr="00C13276">
        <w:rPr>
          <w:rFonts w:ascii="Arial" w:hAnsi="Arial" w:cs="Arial"/>
          <w:sz w:val="24"/>
          <w:szCs w:val="24"/>
        </w:rPr>
        <w:t xml:space="preserve">access to </w:t>
      </w:r>
      <w:proofErr w:type="gramStart"/>
      <w:r w:rsidRPr="00C13276">
        <w:rPr>
          <w:rFonts w:ascii="Arial" w:hAnsi="Arial" w:cs="Arial"/>
          <w:sz w:val="24"/>
          <w:szCs w:val="24"/>
        </w:rPr>
        <w:t>sufficient</w:t>
      </w:r>
      <w:proofErr w:type="gramEnd"/>
      <w:r w:rsidRPr="00C13276">
        <w:rPr>
          <w:rFonts w:ascii="Arial" w:hAnsi="Arial" w:cs="Arial"/>
          <w:sz w:val="24"/>
          <w:szCs w:val="24"/>
        </w:rPr>
        <w:t xml:space="preserve"> </w:t>
      </w:r>
      <w:r w:rsidR="006C58E3" w:rsidRPr="00C13276">
        <w:rPr>
          <w:rFonts w:ascii="Arial" w:hAnsi="Arial" w:cs="Arial"/>
          <w:sz w:val="24"/>
          <w:szCs w:val="24"/>
        </w:rPr>
        <w:t>c</w:t>
      </w:r>
      <w:r w:rsidRPr="00C13276">
        <w:rPr>
          <w:rFonts w:ascii="Arial" w:hAnsi="Arial" w:cs="Arial"/>
          <w:sz w:val="24"/>
          <w:szCs w:val="24"/>
        </w:rPr>
        <w:t xml:space="preserve">omplex client assessments for </w:t>
      </w:r>
      <w:r w:rsidR="00855E2B">
        <w:rPr>
          <w:rFonts w:ascii="Arial" w:hAnsi="Arial" w:cs="Arial"/>
          <w:sz w:val="24"/>
          <w:szCs w:val="24"/>
        </w:rPr>
        <w:t>P</w:t>
      </w:r>
      <w:r w:rsidRPr="00C13276">
        <w:rPr>
          <w:rFonts w:ascii="Arial" w:hAnsi="Arial" w:cs="Arial"/>
          <w:sz w:val="24"/>
          <w:szCs w:val="24"/>
        </w:rPr>
        <w:t>rovider RHPs to maintain</w:t>
      </w:r>
      <w:r w:rsidR="000378F8" w:rsidRPr="00C13276">
        <w:rPr>
          <w:rFonts w:ascii="Arial" w:hAnsi="Arial" w:cs="Arial"/>
          <w:sz w:val="24"/>
          <w:szCs w:val="24"/>
        </w:rPr>
        <w:t xml:space="preserve"> </w:t>
      </w:r>
      <w:proofErr w:type="spellStart"/>
      <w:r w:rsidR="000378F8" w:rsidRPr="00C13276">
        <w:rPr>
          <w:rFonts w:ascii="Arial" w:hAnsi="Arial" w:cs="Arial"/>
          <w:sz w:val="24"/>
          <w:szCs w:val="24"/>
        </w:rPr>
        <w:t>interRA</w:t>
      </w:r>
      <w:r w:rsidR="008A1131" w:rsidRPr="00C13276">
        <w:rPr>
          <w:rFonts w:ascii="Arial" w:hAnsi="Arial" w:cs="Arial"/>
          <w:sz w:val="24"/>
          <w:szCs w:val="24"/>
        </w:rPr>
        <w:t>I</w:t>
      </w:r>
      <w:proofErr w:type="spellEnd"/>
      <w:r w:rsidRPr="00C13276">
        <w:rPr>
          <w:rFonts w:ascii="Arial" w:hAnsi="Arial" w:cs="Arial"/>
          <w:sz w:val="24"/>
          <w:szCs w:val="24"/>
        </w:rPr>
        <w:t xml:space="preserve"> HC </w:t>
      </w:r>
      <w:r w:rsidR="008A1131" w:rsidRPr="00C13276">
        <w:rPr>
          <w:rFonts w:ascii="Arial" w:hAnsi="Arial" w:cs="Arial"/>
          <w:sz w:val="24"/>
          <w:szCs w:val="24"/>
        </w:rPr>
        <w:t xml:space="preserve">assessment </w:t>
      </w:r>
      <w:r w:rsidRPr="00C13276">
        <w:rPr>
          <w:rFonts w:ascii="Arial" w:hAnsi="Arial" w:cs="Arial"/>
          <w:sz w:val="24"/>
          <w:szCs w:val="24"/>
        </w:rPr>
        <w:t>competency</w:t>
      </w:r>
      <w:r w:rsidR="00321598" w:rsidRPr="00C13276">
        <w:rPr>
          <w:rFonts w:ascii="Arial" w:hAnsi="Arial" w:cs="Arial"/>
          <w:sz w:val="24"/>
          <w:szCs w:val="24"/>
        </w:rPr>
        <w:t xml:space="preserve"> (</w:t>
      </w:r>
      <w:r w:rsidR="009F11C2" w:rsidRPr="00C13276">
        <w:rPr>
          <w:rFonts w:ascii="Arial" w:hAnsi="Arial" w:cs="Arial"/>
          <w:sz w:val="24"/>
          <w:szCs w:val="24"/>
        </w:rPr>
        <w:t xml:space="preserve">See </w:t>
      </w:r>
      <w:r w:rsidR="0032323D" w:rsidRPr="00C13276">
        <w:rPr>
          <w:rFonts w:ascii="Arial" w:hAnsi="Arial" w:cs="Arial"/>
          <w:sz w:val="24"/>
          <w:szCs w:val="24"/>
        </w:rPr>
        <w:t xml:space="preserve">HCSS </w:t>
      </w:r>
      <w:r w:rsidR="007343D9">
        <w:rPr>
          <w:rFonts w:ascii="Arial" w:hAnsi="Arial" w:cs="Arial"/>
          <w:sz w:val="24"/>
          <w:szCs w:val="24"/>
        </w:rPr>
        <w:t>Operations</w:t>
      </w:r>
      <w:r w:rsidR="0032323D" w:rsidRPr="00C13276">
        <w:rPr>
          <w:rFonts w:ascii="Arial" w:hAnsi="Arial" w:cs="Arial"/>
          <w:sz w:val="24"/>
          <w:szCs w:val="24"/>
        </w:rPr>
        <w:t xml:space="preserve"> Manual)</w:t>
      </w:r>
      <w:r w:rsidR="00720BD3">
        <w:rPr>
          <w:rFonts w:ascii="Arial" w:hAnsi="Arial" w:cs="Arial"/>
          <w:sz w:val="24"/>
          <w:szCs w:val="24"/>
        </w:rPr>
        <w:t>.</w:t>
      </w:r>
    </w:p>
    <w:p w14:paraId="3C16D50B" w14:textId="77777777" w:rsidR="00AE776C" w:rsidRPr="00C13276" w:rsidRDefault="00AE776C">
      <w:pPr>
        <w:spacing w:before="60" w:after="60" w:line="256" w:lineRule="auto"/>
        <w:rPr>
          <w:rFonts w:ascii="Arial" w:hAnsi="Arial" w:cs="Arial"/>
          <w:sz w:val="24"/>
          <w:szCs w:val="24"/>
        </w:rPr>
      </w:pPr>
      <w:r w:rsidRPr="00C13276">
        <w:rPr>
          <w:rFonts w:ascii="Arial" w:hAnsi="Arial" w:cs="Arial"/>
          <w:sz w:val="24"/>
          <w:szCs w:val="24"/>
        </w:rPr>
        <w:t xml:space="preserve">The </w:t>
      </w:r>
      <w:r w:rsidR="00214C44" w:rsidRPr="00C13276">
        <w:rPr>
          <w:rFonts w:ascii="Arial" w:hAnsi="Arial" w:cs="Arial"/>
          <w:sz w:val="24"/>
          <w:szCs w:val="24"/>
        </w:rPr>
        <w:t>P</w:t>
      </w:r>
      <w:r w:rsidRPr="00C13276">
        <w:rPr>
          <w:rFonts w:ascii="Arial" w:hAnsi="Arial" w:cs="Arial"/>
          <w:sz w:val="24"/>
          <w:szCs w:val="24"/>
        </w:rPr>
        <w:t>rovider</w:t>
      </w:r>
      <w:r w:rsidR="00AD4271" w:rsidRPr="00C13276">
        <w:rPr>
          <w:rFonts w:ascii="Arial" w:hAnsi="Arial" w:cs="Arial"/>
          <w:sz w:val="24"/>
          <w:szCs w:val="24"/>
        </w:rPr>
        <w:t xml:space="preserve"> RHP may complete or facilitate a clinical assessment by a primary care clinician to establish any reversible cause where</w:t>
      </w:r>
      <w:r w:rsidR="00C13276">
        <w:rPr>
          <w:rFonts w:ascii="Arial" w:hAnsi="Arial" w:cs="Arial"/>
          <w:sz w:val="24"/>
          <w:szCs w:val="24"/>
        </w:rPr>
        <w:t xml:space="preserve"> there</w:t>
      </w:r>
      <w:r w:rsidR="00AD4271" w:rsidRPr="00C13276">
        <w:rPr>
          <w:rFonts w:ascii="Arial" w:hAnsi="Arial" w:cs="Arial"/>
          <w:sz w:val="24"/>
          <w:szCs w:val="24"/>
        </w:rPr>
        <w:t>:</w:t>
      </w:r>
    </w:p>
    <w:p w14:paraId="52F7DEA9" w14:textId="0A6EAA18" w:rsidR="00FC0924" w:rsidRPr="00C13276" w:rsidRDefault="00AE776C" w:rsidP="00DC674C">
      <w:pPr>
        <w:pStyle w:val="ListParagraph"/>
        <w:numPr>
          <w:ilvl w:val="0"/>
          <w:numId w:val="4"/>
        </w:numPr>
        <w:spacing w:after="120"/>
        <w:ind w:left="567" w:hanging="567"/>
        <w:contextualSpacing w:val="0"/>
        <w:rPr>
          <w:rFonts w:ascii="Arial" w:hAnsi="Arial" w:cs="Arial"/>
          <w:sz w:val="24"/>
          <w:szCs w:val="24"/>
        </w:rPr>
      </w:pPr>
      <w:r w:rsidRPr="00C13276">
        <w:rPr>
          <w:rFonts w:ascii="Arial" w:hAnsi="Arial" w:cs="Arial"/>
          <w:sz w:val="24"/>
          <w:szCs w:val="24"/>
        </w:rPr>
        <w:t xml:space="preserve">is an unexplained or gradual decrease in function </w:t>
      </w:r>
      <w:r w:rsidR="00720BD3">
        <w:rPr>
          <w:rFonts w:ascii="Arial" w:hAnsi="Arial" w:cs="Arial"/>
          <w:sz w:val="24"/>
          <w:szCs w:val="24"/>
        </w:rPr>
        <w:t>(</w:t>
      </w:r>
      <w:proofErr w:type="spellStart"/>
      <w:r w:rsidRPr="00C13276">
        <w:rPr>
          <w:rFonts w:ascii="Arial" w:hAnsi="Arial" w:cs="Arial"/>
          <w:sz w:val="24"/>
          <w:szCs w:val="24"/>
        </w:rPr>
        <w:t>eg</w:t>
      </w:r>
      <w:proofErr w:type="spellEnd"/>
      <w:r w:rsidR="00720BD3">
        <w:rPr>
          <w:rFonts w:ascii="Arial" w:hAnsi="Arial" w:cs="Arial"/>
          <w:sz w:val="24"/>
          <w:szCs w:val="24"/>
        </w:rPr>
        <w:t>,</w:t>
      </w:r>
      <w:r w:rsidRPr="00C13276">
        <w:rPr>
          <w:rFonts w:ascii="Arial" w:hAnsi="Arial" w:cs="Arial"/>
          <w:sz w:val="24"/>
          <w:szCs w:val="24"/>
        </w:rPr>
        <w:t xml:space="preserve"> mobility/transfer skills to a degree that places significant pressure/distress on the carer/wh</w:t>
      </w:r>
      <w:r w:rsidR="0081360F">
        <w:rPr>
          <w:rFonts w:ascii="Arial" w:hAnsi="Arial" w:cs="Arial"/>
          <w:sz w:val="24"/>
          <w:szCs w:val="24"/>
        </w:rPr>
        <w:t>ā</w:t>
      </w:r>
      <w:r w:rsidRPr="00C13276">
        <w:rPr>
          <w:rFonts w:ascii="Arial" w:hAnsi="Arial" w:cs="Arial"/>
          <w:sz w:val="24"/>
          <w:szCs w:val="24"/>
        </w:rPr>
        <w:t>nau</w:t>
      </w:r>
      <w:r w:rsidR="00720BD3">
        <w:rPr>
          <w:rFonts w:ascii="Arial" w:hAnsi="Arial" w:cs="Arial"/>
          <w:sz w:val="24"/>
          <w:szCs w:val="24"/>
        </w:rPr>
        <w:t>)</w:t>
      </w:r>
      <w:r w:rsidRPr="00C13276">
        <w:rPr>
          <w:rFonts w:ascii="Arial" w:hAnsi="Arial" w:cs="Arial"/>
          <w:sz w:val="24"/>
          <w:szCs w:val="24"/>
        </w:rPr>
        <w:t xml:space="preserve"> </w:t>
      </w:r>
    </w:p>
    <w:p w14:paraId="0A25E72B" w14:textId="18E380DA" w:rsidR="00FC0924" w:rsidRPr="00C13276" w:rsidRDefault="00AE776C" w:rsidP="00471CF0">
      <w:pPr>
        <w:pStyle w:val="ListParagraph"/>
        <w:numPr>
          <w:ilvl w:val="0"/>
          <w:numId w:val="4"/>
        </w:numPr>
        <w:spacing w:after="120"/>
        <w:ind w:left="567" w:hanging="567"/>
        <w:contextualSpacing w:val="0"/>
        <w:rPr>
          <w:rFonts w:ascii="Arial" w:hAnsi="Arial" w:cs="Arial"/>
          <w:sz w:val="24"/>
          <w:szCs w:val="24"/>
        </w:rPr>
      </w:pPr>
      <w:r w:rsidRPr="00C13276">
        <w:rPr>
          <w:rFonts w:ascii="Arial" w:hAnsi="Arial" w:cs="Arial"/>
          <w:sz w:val="24"/>
          <w:szCs w:val="24"/>
        </w:rPr>
        <w:t>is an unplanned episode of acute care</w:t>
      </w:r>
    </w:p>
    <w:p w14:paraId="6B221411" w14:textId="383C2C92" w:rsidR="00FC0924" w:rsidRPr="00C13276" w:rsidRDefault="00AE776C" w:rsidP="00471CF0">
      <w:pPr>
        <w:pStyle w:val="ListParagraph"/>
        <w:numPr>
          <w:ilvl w:val="0"/>
          <w:numId w:val="4"/>
        </w:numPr>
        <w:spacing w:after="120"/>
        <w:ind w:left="567" w:hanging="567"/>
        <w:contextualSpacing w:val="0"/>
        <w:rPr>
          <w:rFonts w:ascii="Arial" w:hAnsi="Arial" w:cs="Arial"/>
          <w:sz w:val="24"/>
          <w:szCs w:val="24"/>
        </w:rPr>
      </w:pPr>
      <w:r w:rsidRPr="00C13276">
        <w:rPr>
          <w:rFonts w:ascii="Arial" w:hAnsi="Arial" w:cs="Arial"/>
          <w:sz w:val="24"/>
          <w:szCs w:val="24"/>
        </w:rPr>
        <w:t>is an unexplained and/or sudden increased need for home and/or carer support</w:t>
      </w:r>
    </w:p>
    <w:p w14:paraId="1568B9E7" w14:textId="02965048" w:rsidR="00AE776C" w:rsidRPr="00C13276" w:rsidRDefault="00AE776C" w:rsidP="00471CF0">
      <w:pPr>
        <w:pStyle w:val="ListParagraph"/>
        <w:numPr>
          <w:ilvl w:val="0"/>
          <w:numId w:val="4"/>
        </w:numPr>
        <w:spacing w:after="120"/>
        <w:ind w:left="567" w:hanging="567"/>
        <w:contextualSpacing w:val="0"/>
        <w:rPr>
          <w:rFonts w:ascii="Arial" w:hAnsi="Arial" w:cs="Arial"/>
          <w:sz w:val="24"/>
          <w:szCs w:val="24"/>
        </w:rPr>
      </w:pPr>
      <w:r w:rsidRPr="00C13276">
        <w:rPr>
          <w:rFonts w:ascii="Arial" w:hAnsi="Arial" w:cs="Arial"/>
          <w:sz w:val="24"/>
          <w:szCs w:val="24"/>
        </w:rPr>
        <w:t xml:space="preserve">are clear risks in the client’s ability to stay at home and </w:t>
      </w:r>
      <w:r w:rsidR="006C58E3" w:rsidRPr="00C13276">
        <w:rPr>
          <w:rFonts w:ascii="Arial" w:hAnsi="Arial" w:cs="Arial"/>
          <w:sz w:val="24"/>
          <w:szCs w:val="24"/>
        </w:rPr>
        <w:t>socially</w:t>
      </w:r>
      <w:r w:rsidRPr="00C13276">
        <w:rPr>
          <w:rFonts w:ascii="Arial" w:hAnsi="Arial" w:cs="Arial"/>
          <w:sz w:val="24"/>
          <w:szCs w:val="24"/>
        </w:rPr>
        <w:t xml:space="preserve"> involved in their community</w:t>
      </w:r>
      <w:r w:rsidR="00720BD3">
        <w:rPr>
          <w:rFonts w:ascii="Arial" w:hAnsi="Arial" w:cs="Arial"/>
          <w:sz w:val="24"/>
          <w:szCs w:val="24"/>
        </w:rPr>
        <w:t>.</w:t>
      </w:r>
      <w:r w:rsidRPr="00C13276">
        <w:rPr>
          <w:rFonts w:ascii="Arial" w:hAnsi="Arial" w:cs="Arial"/>
          <w:sz w:val="24"/>
          <w:szCs w:val="24"/>
        </w:rPr>
        <w:t xml:space="preserve"> </w:t>
      </w:r>
    </w:p>
    <w:p w14:paraId="6DB091C8" w14:textId="46709D5A" w:rsidR="00B52339" w:rsidRPr="00C13276" w:rsidRDefault="00B52339" w:rsidP="00C13276">
      <w:pPr>
        <w:ind w:right="-1"/>
        <w:rPr>
          <w:rFonts w:ascii="Arial" w:hAnsi="Arial" w:cs="Arial"/>
          <w:sz w:val="24"/>
          <w:szCs w:val="24"/>
        </w:rPr>
      </w:pPr>
      <w:r w:rsidRPr="00C13276">
        <w:rPr>
          <w:rFonts w:ascii="Arial" w:hAnsi="Arial" w:cs="Arial"/>
          <w:sz w:val="24"/>
          <w:szCs w:val="24"/>
        </w:rPr>
        <w:t xml:space="preserve">Where reversibility is unlikely the Provider may refer clients to the NASC for assessment. For </w:t>
      </w:r>
      <w:proofErr w:type="spellStart"/>
      <w:r w:rsidRPr="00C13276">
        <w:rPr>
          <w:rFonts w:ascii="Arial" w:hAnsi="Arial" w:cs="Arial"/>
          <w:sz w:val="24"/>
          <w:szCs w:val="24"/>
        </w:rPr>
        <w:t>non complex</w:t>
      </w:r>
      <w:proofErr w:type="spellEnd"/>
      <w:r w:rsidRPr="00C13276">
        <w:rPr>
          <w:rFonts w:ascii="Arial" w:hAnsi="Arial" w:cs="Arial"/>
          <w:sz w:val="24"/>
          <w:szCs w:val="24"/>
        </w:rPr>
        <w:t xml:space="preserve"> clients where the Contact Assessment shows an Assessment Urgency Score of 5 or 6 clients will be referred to NASC. </w:t>
      </w:r>
      <w:r w:rsidR="00433242" w:rsidRPr="00C13276">
        <w:rPr>
          <w:rFonts w:ascii="Arial" w:hAnsi="Arial" w:cs="Arial"/>
          <w:sz w:val="24"/>
          <w:szCs w:val="24"/>
        </w:rPr>
        <w:t>T</w:t>
      </w:r>
      <w:r w:rsidRPr="00C13276">
        <w:rPr>
          <w:rFonts w:ascii="Arial" w:hAnsi="Arial" w:cs="Arial"/>
          <w:sz w:val="24"/>
          <w:szCs w:val="24"/>
        </w:rPr>
        <w:t>he RHP will exercise clinical judgement to determine if clients require a referral to NASC</w:t>
      </w:r>
      <w:r w:rsidR="00433242" w:rsidRPr="00C13276">
        <w:t xml:space="preserve"> </w:t>
      </w:r>
      <w:r w:rsidR="00433242" w:rsidRPr="00C13276">
        <w:rPr>
          <w:rFonts w:ascii="Arial" w:hAnsi="Arial" w:cs="Arial"/>
          <w:sz w:val="24"/>
          <w:szCs w:val="24"/>
        </w:rPr>
        <w:t xml:space="preserve">where </w:t>
      </w:r>
      <w:r w:rsidR="00411D90">
        <w:rPr>
          <w:rFonts w:ascii="Arial" w:hAnsi="Arial" w:cs="Arial"/>
          <w:sz w:val="24"/>
          <w:szCs w:val="24"/>
        </w:rPr>
        <w:t>c</w:t>
      </w:r>
      <w:r w:rsidR="00433242" w:rsidRPr="00C13276">
        <w:rPr>
          <w:rFonts w:ascii="Arial" w:hAnsi="Arial" w:cs="Arial"/>
          <w:sz w:val="24"/>
          <w:szCs w:val="24"/>
        </w:rPr>
        <w:t>ontact assessments show an urgency score of 4</w:t>
      </w:r>
      <w:r w:rsidRPr="00C13276">
        <w:rPr>
          <w:rFonts w:ascii="Arial" w:hAnsi="Arial" w:cs="Arial"/>
          <w:sz w:val="24"/>
          <w:szCs w:val="24"/>
        </w:rPr>
        <w:t>.</w:t>
      </w:r>
    </w:p>
    <w:p w14:paraId="29D58EB5" w14:textId="7B873591" w:rsidR="00483B14" w:rsidRPr="00C13276" w:rsidRDefault="00796887" w:rsidP="00C13276">
      <w:pPr>
        <w:pStyle w:val="Heading2"/>
        <w:spacing w:after="120"/>
        <w:ind w:right="-1"/>
        <w:rPr>
          <w:rFonts w:ascii="Arial" w:hAnsi="Arial" w:cs="Arial"/>
          <w:sz w:val="24"/>
          <w:szCs w:val="24"/>
          <w:lang w:val="en-US"/>
        </w:rPr>
      </w:pPr>
      <w:bookmarkStart w:id="117" w:name="_Toc43122849"/>
      <w:r w:rsidRPr="00C13276">
        <w:rPr>
          <w:rFonts w:ascii="Arial" w:hAnsi="Arial" w:cs="Arial"/>
          <w:sz w:val="24"/>
          <w:szCs w:val="24"/>
          <w:lang w:val="en-US"/>
        </w:rPr>
        <w:t>6</w:t>
      </w:r>
      <w:r w:rsidR="00483B14" w:rsidRPr="00C13276">
        <w:rPr>
          <w:rFonts w:ascii="Arial" w:hAnsi="Arial" w:cs="Arial"/>
          <w:sz w:val="24"/>
          <w:szCs w:val="24"/>
          <w:lang w:val="en-US"/>
        </w:rPr>
        <w:t>.</w:t>
      </w:r>
      <w:r w:rsidR="00B108A7" w:rsidRPr="00C13276">
        <w:rPr>
          <w:rFonts w:ascii="Arial" w:hAnsi="Arial" w:cs="Arial"/>
          <w:sz w:val="24"/>
          <w:szCs w:val="24"/>
          <w:lang w:val="en-US"/>
        </w:rPr>
        <w:t>6</w:t>
      </w:r>
      <w:r w:rsidR="007E45D6" w:rsidRPr="00C13276">
        <w:rPr>
          <w:rFonts w:ascii="Arial" w:hAnsi="Arial" w:cs="Arial"/>
          <w:sz w:val="24"/>
          <w:szCs w:val="24"/>
          <w:lang w:val="en-US"/>
        </w:rPr>
        <w:tab/>
      </w:r>
      <w:r w:rsidRPr="00C13276">
        <w:rPr>
          <w:rFonts w:ascii="Arial" w:hAnsi="Arial" w:cs="Arial"/>
          <w:sz w:val="24"/>
          <w:szCs w:val="24"/>
          <w:lang w:val="en-US"/>
        </w:rPr>
        <w:t xml:space="preserve">Process for </w:t>
      </w:r>
      <w:r w:rsidR="00723180">
        <w:rPr>
          <w:rFonts w:ascii="Arial" w:hAnsi="Arial" w:cs="Arial"/>
          <w:sz w:val="24"/>
          <w:szCs w:val="24"/>
          <w:lang w:val="en-US"/>
        </w:rPr>
        <w:t>o</w:t>
      </w:r>
      <w:proofErr w:type="spellStart"/>
      <w:r w:rsidR="004C13E7" w:rsidRPr="00C13276">
        <w:rPr>
          <w:rFonts w:ascii="Arial" w:hAnsi="Arial" w:cs="Arial"/>
          <w:sz w:val="24"/>
          <w:szCs w:val="24"/>
        </w:rPr>
        <w:t>utside</w:t>
      </w:r>
      <w:proofErr w:type="spellEnd"/>
      <w:r w:rsidR="004C13E7" w:rsidRPr="00C13276">
        <w:rPr>
          <w:rFonts w:ascii="Arial" w:hAnsi="Arial" w:cs="Arial"/>
          <w:sz w:val="24"/>
          <w:szCs w:val="24"/>
        </w:rPr>
        <w:t xml:space="preserve"> of </w:t>
      </w:r>
      <w:r w:rsidR="00723180">
        <w:rPr>
          <w:rFonts w:ascii="Arial" w:hAnsi="Arial" w:cs="Arial"/>
          <w:sz w:val="24"/>
          <w:szCs w:val="24"/>
        </w:rPr>
        <w:t>s</w:t>
      </w:r>
      <w:r w:rsidR="004C13E7" w:rsidRPr="00C13276">
        <w:rPr>
          <w:rFonts w:ascii="Arial" w:hAnsi="Arial" w:cs="Arial"/>
          <w:sz w:val="24"/>
          <w:szCs w:val="24"/>
        </w:rPr>
        <w:t xml:space="preserve">ervice </w:t>
      </w:r>
      <w:r w:rsidR="00723180">
        <w:rPr>
          <w:rFonts w:ascii="Arial" w:hAnsi="Arial" w:cs="Arial"/>
          <w:sz w:val="24"/>
          <w:szCs w:val="24"/>
        </w:rPr>
        <w:t>h</w:t>
      </w:r>
      <w:r w:rsidR="004C13E7" w:rsidRPr="00C13276">
        <w:rPr>
          <w:rFonts w:ascii="Arial" w:hAnsi="Arial" w:cs="Arial"/>
          <w:sz w:val="24"/>
          <w:szCs w:val="24"/>
        </w:rPr>
        <w:t>ours</w:t>
      </w:r>
      <w:bookmarkEnd w:id="117"/>
      <w:r w:rsidR="004C13E7" w:rsidRPr="00C13276">
        <w:rPr>
          <w:rFonts w:ascii="Arial" w:hAnsi="Arial" w:cs="Arial"/>
          <w:sz w:val="24"/>
          <w:szCs w:val="24"/>
        </w:rPr>
        <w:t xml:space="preserve"> </w:t>
      </w:r>
    </w:p>
    <w:p w14:paraId="00D082B6" w14:textId="798C2EA7" w:rsidR="00F076A5" w:rsidRPr="00C13276" w:rsidRDefault="00F076A5" w:rsidP="00FE606D">
      <w:pPr>
        <w:spacing w:before="40" w:after="120"/>
        <w:ind w:left="-11" w:right="-1"/>
        <w:rPr>
          <w:rFonts w:ascii="Arial" w:hAnsi="Arial" w:cs="Arial"/>
          <w:sz w:val="24"/>
          <w:szCs w:val="24"/>
        </w:rPr>
      </w:pPr>
      <w:r w:rsidRPr="00C13276">
        <w:rPr>
          <w:rFonts w:ascii="Arial" w:hAnsi="Arial" w:cs="Arial"/>
          <w:sz w:val="24"/>
          <w:szCs w:val="24"/>
        </w:rPr>
        <w:t xml:space="preserve">Outside of </w:t>
      </w:r>
      <w:r w:rsidR="00723180">
        <w:rPr>
          <w:rFonts w:ascii="Arial" w:hAnsi="Arial" w:cs="Arial"/>
          <w:sz w:val="24"/>
          <w:szCs w:val="24"/>
        </w:rPr>
        <w:t>s</w:t>
      </w:r>
      <w:r w:rsidRPr="00C13276">
        <w:rPr>
          <w:rFonts w:ascii="Arial" w:hAnsi="Arial" w:cs="Arial"/>
          <w:sz w:val="24"/>
          <w:szCs w:val="24"/>
        </w:rPr>
        <w:t xml:space="preserve">ervice </w:t>
      </w:r>
      <w:r w:rsidR="00723180">
        <w:rPr>
          <w:rFonts w:ascii="Arial" w:hAnsi="Arial" w:cs="Arial"/>
          <w:sz w:val="24"/>
          <w:szCs w:val="24"/>
        </w:rPr>
        <w:t>h</w:t>
      </w:r>
      <w:r w:rsidRPr="00C13276">
        <w:rPr>
          <w:rFonts w:ascii="Arial" w:hAnsi="Arial" w:cs="Arial"/>
          <w:sz w:val="24"/>
          <w:szCs w:val="24"/>
        </w:rPr>
        <w:t>ours (after 10.00</w:t>
      </w:r>
      <w:r w:rsidR="00E679E7" w:rsidRPr="00C13276">
        <w:rPr>
          <w:rFonts w:ascii="Arial" w:hAnsi="Arial" w:cs="Arial"/>
          <w:sz w:val="24"/>
          <w:szCs w:val="24"/>
        </w:rPr>
        <w:t xml:space="preserve"> </w:t>
      </w:r>
      <w:r w:rsidRPr="00C13276">
        <w:rPr>
          <w:rFonts w:ascii="Arial" w:hAnsi="Arial" w:cs="Arial"/>
          <w:sz w:val="24"/>
          <w:szCs w:val="24"/>
        </w:rPr>
        <w:t>pm and before 7.00</w:t>
      </w:r>
      <w:r w:rsidR="00E679E7" w:rsidRPr="00C13276">
        <w:rPr>
          <w:rFonts w:ascii="Arial" w:hAnsi="Arial" w:cs="Arial"/>
          <w:sz w:val="24"/>
          <w:szCs w:val="24"/>
        </w:rPr>
        <w:t xml:space="preserve"> </w:t>
      </w:r>
      <w:r w:rsidRPr="00C13276">
        <w:rPr>
          <w:rFonts w:ascii="Arial" w:hAnsi="Arial" w:cs="Arial"/>
          <w:sz w:val="24"/>
          <w:szCs w:val="24"/>
        </w:rPr>
        <w:t>am) clients, health professionals and workers must be able to leave messages for the service which will be responded to as appropriate on an urgent or non-urgent basis. The urgency of call is defined by immediate safety and need of the client.</w:t>
      </w:r>
      <w:r w:rsidR="00D15903" w:rsidRPr="00C13276">
        <w:rPr>
          <w:rFonts w:ascii="Arial" w:hAnsi="Arial" w:cs="Arial"/>
          <w:sz w:val="24"/>
          <w:szCs w:val="24"/>
        </w:rPr>
        <w:t xml:space="preserve"> </w:t>
      </w:r>
      <w:r w:rsidRPr="00C13276">
        <w:rPr>
          <w:rFonts w:ascii="Arial" w:hAnsi="Arial" w:cs="Arial"/>
          <w:sz w:val="24"/>
          <w:szCs w:val="24"/>
        </w:rPr>
        <w:t xml:space="preserve">The Provider has a system in place to retrieve, process and act </w:t>
      </w:r>
      <w:r w:rsidRPr="00C13276">
        <w:rPr>
          <w:rFonts w:ascii="Arial" w:hAnsi="Arial" w:cs="Arial"/>
          <w:sz w:val="24"/>
          <w:szCs w:val="24"/>
          <w:shd w:val="clear" w:color="auto" w:fill="FFFFFF" w:themeFill="background1"/>
        </w:rPr>
        <w:t xml:space="preserve">on urgent messages </w:t>
      </w:r>
      <w:r w:rsidR="00A1368E" w:rsidRPr="00C13276">
        <w:rPr>
          <w:rFonts w:ascii="Arial" w:hAnsi="Arial" w:cs="Arial"/>
          <w:sz w:val="24"/>
          <w:szCs w:val="24"/>
          <w:shd w:val="clear" w:color="auto" w:fill="FFFFFF" w:themeFill="background1"/>
        </w:rPr>
        <w:t>early the next day.</w:t>
      </w:r>
    </w:p>
    <w:p w14:paraId="5A332222" w14:textId="47B30AE9" w:rsidR="00F076A5" w:rsidRPr="00FE606D" w:rsidRDefault="00796887" w:rsidP="00FE606D">
      <w:pPr>
        <w:pStyle w:val="Heading2"/>
        <w:shd w:val="clear" w:color="auto" w:fill="FFFFFF" w:themeFill="background1"/>
        <w:spacing w:after="120"/>
        <w:ind w:right="-1"/>
        <w:rPr>
          <w:rFonts w:ascii="Arial" w:hAnsi="Arial" w:cs="Arial"/>
          <w:sz w:val="24"/>
          <w:szCs w:val="24"/>
          <w:lang w:val="en-US"/>
        </w:rPr>
      </w:pPr>
      <w:bookmarkStart w:id="118" w:name="_Toc19519191"/>
      <w:bookmarkStart w:id="119" w:name="_Toc19524560"/>
      <w:bookmarkStart w:id="120" w:name="_Toc43122850"/>
      <w:bookmarkEnd w:id="101"/>
      <w:r w:rsidRPr="00FE606D">
        <w:rPr>
          <w:rFonts w:ascii="Arial" w:hAnsi="Arial" w:cs="Arial"/>
          <w:sz w:val="24"/>
          <w:szCs w:val="24"/>
          <w:lang w:val="en-US"/>
        </w:rPr>
        <w:t>6.</w:t>
      </w:r>
      <w:r w:rsidR="00B108A7" w:rsidRPr="00FE606D">
        <w:rPr>
          <w:rFonts w:ascii="Arial" w:hAnsi="Arial" w:cs="Arial"/>
          <w:sz w:val="24"/>
          <w:szCs w:val="24"/>
          <w:lang w:val="en-US"/>
        </w:rPr>
        <w:t>7</w:t>
      </w:r>
      <w:r w:rsidRPr="00FE606D">
        <w:rPr>
          <w:rFonts w:ascii="Arial" w:hAnsi="Arial" w:cs="Arial"/>
          <w:sz w:val="24"/>
          <w:szCs w:val="24"/>
          <w:lang w:val="en-US"/>
        </w:rPr>
        <w:tab/>
      </w:r>
      <w:r w:rsidR="00F076A5" w:rsidRPr="00FE606D">
        <w:rPr>
          <w:rFonts w:ascii="Arial" w:hAnsi="Arial" w:cs="Arial"/>
          <w:sz w:val="24"/>
          <w:szCs w:val="24"/>
          <w:shd w:val="clear" w:color="auto" w:fill="FFFFFF" w:themeFill="background1"/>
          <w:lang w:val="en-US"/>
        </w:rPr>
        <w:t xml:space="preserve">Clients </w:t>
      </w:r>
      <w:r w:rsidR="00723180">
        <w:rPr>
          <w:rFonts w:ascii="Arial" w:hAnsi="Arial" w:cs="Arial"/>
          <w:sz w:val="24"/>
          <w:szCs w:val="24"/>
          <w:shd w:val="clear" w:color="auto" w:fill="FFFFFF" w:themeFill="background1"/>
          <w:lang w:val="en-US"/>
        </w:rPr>
        <w:t>r</w:t>
      </w:r>
      <w:r w:rsidR="00F076A5" w:rsidRPr="00FE606D">
        <w:rPr>
          <w:rFonts w:ascii="Arial" w:hAnsi="Arial" w:cs="Arial"/>
          <w:sz w:val="24"/>
          <w:szCs w:val="24"/>
          <w:shd w:val="clear" w:color="auto" w:fill="FFFFFF" w:themeFill="background1"/>
          <w:lang w:val="en-US"/>
        </w:rPr>
        <w:t xml:space="preserve">equiring </w:t>
      </w:r>
      <w:r w:rsidR="00723180">
        <w:rPr>
          <w:rFonts w:ascii="Arial" w:hAnsi="Arial" w:cs="Arial"/>
          <w:sz w:val="24"/>
          <w:szCs w:val="24"/>
          <w:shd w:val="clear" w:color="auto" w:fill="FFFFFF" w:themeFill="background1"/>
          <w:lang w:val="en-US"/>
        </w:rPr>
        <w:t>h</w:t>
      </w:r>
      <w:r w:rsidR="00F076A5" w:rsidRPr="00FE606D">
        <w:rPr>
          <w:rFonts w:ascii="Arial" w:hAnsi="Arial" w:cs="Arial"/>
          <w:sz w:val="24"/>
          <w:szCs w:val="24"/>
          <w:shd w:val="clear" w:color="auto" w:fill="FFFFFF" w:themeFill="background1"/>
          <w:lang w:val="en-US"/>
        </w:rPr>
        <w:t>igh and</w:t>
      </w:r>
      <w:r w:rsidR="00A540D7" w:rsidRPr="00FE606D">
        <w:rPr>
          <w:rFonts w:ascii="Arial" w:hAnsi="Arial" w:cs="Arial"/>
          <w:sz w:val="24"/>
          <w:szCs w:val="24"/>
          <w:shd w:val="clear" w:color="auto" w:fill="FFFFFF" w:themeFill="background1"/>
          <w:lang w:val="en-US"/>
        </w:rPr>
        <w:t xml:space="preserve"> </w:t>
      </w:r>
      <w:r w:rsidR="00723180">
        <w:rPr>
          <w:rFonts w:ascii="Arial" w:hAnsi="Arial" w:cs="Arial"/>
          <w:sz w:val="24"/>
          <w:szCs w:val="24"/>
          <w:shd w:val="clear" w:color="auto" w:fill="FFFFFF" w:themeFill="background1"/>
          <w:lang w:val="en-US"/>
        </w:rPr>
        <w:t>v</w:t>
      </w:r>
      <w:r w:rsidR="00A540D7" w:rsidRPr="00FE606D">
        <w:rPr>
          <w:rFonts w:ascii="Arial" w:hAnsi="Arial" w:cs="Arial"/>
          <w:sz w:val="24"/>
          <w:szCs w:val="24"/>
          <w:shd w:val="clear" w:color="auto" w:fill="FFFFFF" w:themeFill="background1"/>
          <w:lang w:val="en-US"/>
        </w:rPr>
        <w:t xml:space="preserve">ery </w:t>
      </w:r>
      <w:proofErr w:type="gramStart"/>
      <w:r w:rsidR="00723180">
        <w:rPr>
          <w:rFonts w:ascii="Arial" w:hAnsi="Arial" w:cs="Arial"/>
          <w:sz w:val="24"/>
          <w:szCs w:val="24"/>
          <w:shd w:val="clear" w:color="auto" w:fill="FFFFFF" w:themeFill="background1"/>
          <w:lang w:val="en-US"/>
        </w:rPr>
        <w:t>h</w:t>
      </w:r>
      <w:r w:rsidR="00A540D7" w:rsidRPr="00FE606D">
        <w:rPr>
          <w:rFonts w:ascii="Arial" w:hAnsi="Arial" w:cs="Arial"/>
          <w:sz w:val="24"/>
          <w:szCs w:val="24"/>
          <w:shd w:val="clear" w:color="auto" w:fill="FFFFFF" w:themeFill="background1"/>
          <w:lang w:val="en-US"/>
        </w:rPr>
        <w:t>igh</w:t>
      </w:r>
      <w:proofErr w:type="gramEnd"/>
      <w:r w:rsidR="00F076A5" w:rsidRPr="00FE606D">
        <w:rPr>
          <w:rFonts w:ascii="Arial" w:hAnsi="Arial" w:cs="Arial"/>
          <w:sz w:val="24"/>
          <w:szCs w:val="24"/>
          <w:shd w:val="clear" w:color="auto" w:fill="FFFFFF" w:themeFill="background1"/>
          <w:lang w:val="en-US"/>
        </w:rPr>
        <w:t xml:space="preserve"> </w:t>
      </w:r>
      <w:r w:rsidR="00723180">
        <w:rPr>
          <w:rFonts w:ascii="Arial" w:hAnsi="Arial" w:cs="Arial"/>
          <w:sz w:val="24"/>
          <w:szCs w:val="24"/>
          <w:shd w:val="clear" w:color="auto" w:fill="FFFFFF" w:themeFill="background1"/>
          <w:lang w:val="en-US"/>
        </w:rPr>
        <w:t>i</w:t>
      </w:r>
      <w:r w:rsidR="00F076A5" w:rsidRPr="00FE606D">
        <w:rPr>
          <w:rFonts w:ascii="Arial" w:hAnsi="Arial" w:cs="Arial"/>
          <w:sz w:val="24"/>
          <w:szCs w:val="24"/>
          <w:shd w:val="clear" w:color="auto" w:fill="FFFFFF" w:themeFill="background1"/>
          <w:lang w:val="en-US"/>
        </w:rPr>
        <w:t xml:space="preserve">ntensive </w:t>
      </w:r>
      <w:r w:rsidR="00723180">
        <w:rPr>
          <w:rFonts w:ascii="Arial" w:hAnsi="Arial" w:cs="Arial"/>
          <w:sz w:val="24"/>
          <w:szCs w:val="24"/>
          <w:shd w:val="clear" w:color="auto" w:fill="FFFFFF" w:themeFill="background1"/>
          <w:lang w:val="en-US"/>
        </w:rPr>
        <w:t>s</w:t>
      </w:r>
      <w:r w:rsidR="00F076A5" w:rsidRPr="00FE606D">
        <w:rPr>
          <w:rFonts w:ascii="Arial" w:hAnsi="Arial" w:cs="Arial"/>
          <w:sz w:val="24"/>
          <w:szCs w:val="24"/>
          <w:shd w:val="clear" w:color="auto" w:fill="FFFFFF" w:themeFill="background1"/>
          <w:lang w:val="en-US"/>
        </w:rPr>
        <w:t>upport</w:t>
      </w:r>
      <w:bookmarkEnd w:id="118"/>
      <w:bookmarkEnd w:id="119"/>
      <w:bookmarkEnd w:id="120"/>
    </w:p>
    <w:p w14:paraId="76B15E06" w14:textId="77777777" w:rsidR="00246A37" w:rsidRPr="00FE606D" w:rsidRDefault="00246A37" w:rsidP="00FE606D">
      <w:pPr>
        <w:spacing w:after="120"/>
        <w:ind w:right="-1"/>
        <w:rPr>
          <w:rFonts w:ascii="Arial" w:hAnsi="Arial" w:cs="Arial"/>
          <w:sz w:val="24"/>
          <w:szCs w:val="24"/>
          <w:lang w:val="en-US"/>
        </w:rPr>
      </w:pPr>
      <w:r w:rsidRPr="00FE606D">
        <w:rPr>
          <w:rFonts w:ascii="Arial" w:hAnsi="Arial" w:cs="Arial"/>
          <w:sz w:val="24"/>
          <w:szCs w:val="24"/>
        </w:rPr>
        <w:t xml:space="preserve">There </w:t>
      </w:r>
      <w:r w:rsidR="005C4ADA" w:rsidRPr="00FE606D">
        <w:rPr>
          <w:rFonts w:ascii="Arial" w:hAnsi="Arial" w:cs="Arial"/>
          <w:sz w:val="24"/>
          <w:szCs w:val="24"/>
        </w:rPr>
        <w:t>is</w:t>
      </w:r>
      <w:r w:rsidRPr="00FE606D">
        <w:rPr>
          <w:rFonts w:ascii="Arial" w:hAnsi="Arial" w:cs="Arial"/>
          <w:sz w:val="24"/>
          <w:szCs w:val="24"/>
        </w:rPr>
        <w:t xml:space="preserve"> a group of clients that present with complexities </w:t>
      </w:r>
      <w:r w:rsidR="005C4ADA" w:rsidRPr="00FE606D">
        <w:rPr>
          <w:rFonts w:ascii="Arial" w:hAnsi="Arial" w:cs="Arial"/>
          <w:sz w:val="24"/>
          <w:szCs w:val="24"/>
        </w:rPr>
        <w:t>requiring</w:t>
      </w:r>
      <w:r w:rsidRPr="00FE606D">
        <w:rPr>
          <w:rFonts w:ascii="Arial" w:hAnsi="Arial" w:cs="Arial"/>
          <w:sz w:val="24"/>
          <w:szCs w:val="24"/>
        </w:rPr>
        <w:t xml:space="preserve"> significantly more resources than the casemix allocation methodology allows for</w:t>
      </w:r>
      <w:r w:rsidRPr="00FE606D">
        <w:rPr>
          <w:rFonts w:ascii="Arial" w:hAnsi="Arial" w:cs="Arial"/>
          <w:sz w:val="24"/>
          <w:szCs w:val="24"/>
          <w:lang w:val="en-US"/>
        </w:rPr>
        <w:t>. Providers will continue to deliver services to clients with intensive support needs that:</w:t>
      </w:r>
    </w:p>
    <w:p w14:paraId="0D70F229" w14:textId="77777777" w:rsidR="005C4ADA" w:rsidRPr="00FE606D" w:rsidRDefault="00F076A5" w:rsidP="000D0001">
      <w:pPr>
        <w:pStyle w:val="ListParagraph"/>
        <w:numPr>
          <w:ilvl w:val="0"/>
          <w:numId w:val="4"/>
        </w:numPr>
        <w:spacing w:after="120"/>
        <w:ind w:left="567" w:right="-1" w:hanging="567"/>
        <w:contextualSpacing w:val="0"/>
        <w:rPr>
          <w:rFonts w:ascii="Arial" w:hAnsi="Arial" w:cs="Arial"/>
          <w:sz w:val="24"/>
          <w:szCs w:val="24"/>
        </w:rPr>
      </w:pPr>
      <w:r w:rsidRPr="00FE606D">
        <w:rPr>
          <w:rFonts w:ascii="Arial" w:hAnsi="Arial" w:cs="Arial"/>
          <w:sz w:val="24"/>
          <w:szCs w:val="24"/>
        </w:rPr>
        <w:t xml:space="preserve">may be short term as part of an intensive rehabilitation </w:t>
      </w:r>
      <w:r w:rsidR="00321598" w:rsidRPr="00FE606D">
        <w:rPr>
          <w:rFonts w:ascii="Arial" w:hAnsi="Arial" w:cs="Arial"/>
          <w:sz w:val="24"/>
          <w:szCs w:val="24"/>
        </w:rPr>
        <w:t>programme</w:t>
      </w:r>
      <w:r w:rsidR="00707FB6" w:rsidRPr="00FE606D">
        <w:rPr>
          <w:rFonts w:ascii="Arial" w:hAnsi="Arial" w:cs="Arial"/>
          <w:sz w:val="24"/>
          <w:szCs w:val="24"/>
        </w:rPr>
        <w:t>,</w:t>
      </w:r>
      <w:r w:rsidRPr="00FE606D">
        <w:rPr>
          <w:rFonts w:ascii="Arial" w:hAnsi="Arial" w:cs="Arial"/>
          <w:sz w:val="24"/>
          <w:szCs w:val="24"/>
        </w:rPr>
        <w:t xml:space="preserve"> or</w:t>
      </w:r>
    </w:p>
    <w:p w14:paraId="4106CA9D" w14:textId="77777777" w:rsidR="00F076A5" w:rsidRPr="00FE606D" w:rsidRDefault="00F076A5" w:rsidP="000D0001">
      <w:pPr>
        <w:pStyle w:val="ListParagraph"/>
        <w:numPr>
          <w:ilvl w:val="0"/>
          <w:numId w:val="4"/>
        </w:numPr>
        <w:spacing w:after="120"/>
        <w:ind w:left="567" w:right="-1" w:hanging="567"/>
        <w:contextualSpacing w:val="0"/>
        <w:rPr>
          <w:rFonts w:ascii="Arial" w:hAnsi="Arial" w:cs="Arial"/>
          <w:sz w:val="24"/>
          <w:szCs w:val="24"/>
        </w:rPr>
      </w:pPr>
      <w:r w:rsidRPr="00FE606D">
        <w:rPr>
          <w:rFonts w:ascii="Arial" w:hAnsi="Arial" w:cs="Arial"/>
          <w:sz w:val="24"/>
          <w:szCs w:val="24"/>
        </w:rPr>
        <w:t>longer term</w:t>
      </w:r>
      <w:r w:rsidR="00A821F6" w:rsidRPr="00FE606D">
        <w:rPr>
          <w:rFonts w:ascii="Arial" w:hAnsi="Arial" w:cs="Arial"/>
          <w:sz w:val="24"/>
          <w:szCs w:val="24"/>
        </w:rPr>
        <w:t xml:space="preserve"> to</w:t>
      </w:r>
      <w:r w:rsidRPr="00FE606D">
        <w:rPr>
          <w:rFonts w:ascii="Arial" w:hAnsi="Arial" w:cs="Arial"/>
          <w:sz w:val="24"/>
          <w:szCs w:val="24"/>
        </w:rPr>
        <w:t xml:space="preserve"> prevent further decline, admission to aged residential care or</w:t>
      </w:r>
      <w:r w:rsidR="00213449">
        <w:rPr>
          <w:rFonts w:ascii="Arial" w:hAnsi="Arial" w:cs="Arial"/>
          <w:sz w:val="24"/>
          <w:szCs w:val="24"/>
        </w:rPr>
        <w:t xml:space="preserve"> </w:t>
      </w:r>
      <w:r w:rsidRPr="00FE606D">
        <w:rPr>
          <w:rFonts w:ascii="Arial" w:hAnsi="Arial" w:cs="Arial"/>
          <w:sz w:val="24"/>
          <w:szCs w:val="24"/>
        </w:rPr>
        <w:t>to support clients who require end of life care and support.</w:t>
      </w:r>
    </w:p>
    <w:p w14:paraId="3C97B9F5" w14:textId="7ECDD956" w:rsidR="00F076A5" w:rsidRPr="00FE606D" w:rsidRDefault="00246A37" w:rsidP="00FE606D">
      <w:pPr>
        <w:ind w:right="-1"/>
        <w:rPr>
          <w:rFonts w:ascii="Arial" w:hAnsi="Arial" w:cs="Arial"/>
          <w:sz w:val="24"/>
          <w:szCs w:val="24"/>
          <w:lang w:val="en-US"/>
        </w:rPr>
      </w:pPr>
      <w:r w:rsidRPr="00FE606D">
        <w:rPr>
          <w:rFonts w:ascii="Arial" w:hAnsi="Arial" w:cs="Arial"/>
          <w:sz w:val="24"/>
          <w:szCs w:val="24"/>
          <w:lang w:val="en-US"/>
        </w:rPr>
        <w:t xml:space="preserve">This client group has a broad range of intensive support needs that require case management to bridge multiple interconnected needs across health, disability and /or social and whānau groups. Their high and complex needs may be stable or non-stable, and this will determine the frequency of review by the NASC: monthly for unstable and </w:t>
      </w:r>
      <w:r w:rsidR="00CF3B99" w:rsidRPr="00FE606D">
        <w:rPr>
          <w:rFonts w:ascii="Arial" w:hAnsi="Arial" w:cs="Arial"/>
          <w:sz w:val="24"/>
          <w:szCs w:val="24"/>
          <w:lang w:val="en-US"/>
        </w:rPr>
        <w:t>three-</w:t>
      </w:r>
      <w:r w:rsidRPr="00FE606D">
        <w:rPr>
          <w:rFonts w:ascii="Arial" w:hAnsi="Arial" w:cs="Arial"/>
          <w:sz w:val="24"/>
          <w:szCs w:val="24"/>
          <w:lang w:val="en-US"/>
        </w:rPr>
        <w:t xml:space="preserve"> monthly for those who are stable. </w:t>
      </w:r>
      <w:r w:rsidRPr="00FE606D">
        <w:rPr>
          <w:rFonts w:ascii="Arial" w:hAnsi="Arial" w:cs="Arial"/>
          <w:sz w:val="24"/>
          <w:szCs w:val="24"/>
        </w:rPr>
        <w:t>To identify clients with intensive support a robust process of assessment and review with trans-disciplinary team input is provide</w:t>
      </w:r>
      <w:r w:rsidR="005C4ADA" w:rsidRPr="00FE606D">
        <w:rPr>
          <w:rFonts w:ascii="Arial" w:hAnsi="Arial" w:cs="Arial"/>
          <w:sz w:val="24"/>
          <w:szCs w:val="24"/>
        </w:rPr>
        <w:t>d</w:t>
      </w:r>
      <w:r w:rsidRPr="00FE606D">
        <w:rPr>
          <w:rFonts w:ascii="Arial" w:hAnsi="Arial" w:cs="Arial"/>
          <w:sz w:val="24"/>
          <w:szCs w:val="24"/>
        </w:rPr>
        <w:t xml:space="preserve"> by t</w:t>
      </w:r>
      <w:r w:rsidRPr="00FE606D">
        <w:rPr>
          <w:rFonts w:ascii="Arial" w:hAnsi="Arial" w:cs="Arial"/>
          <w:sz w:val="24"/>
          <w:szCs w:val="24"/>
          <w:lang w:val="en-US"/>
        </w:rPr>
        <w:t xml:space="preserve">he Decision Framework: Clients with high needs requiring intensive supports </w:t>
      </w:r>
      <w:r w:rsidR="005C4ADA" w:rsidRPr="00FE606D">
        <w:rPr>
          <w:rFonts w:ascii="Arial" w:hAnsi="Arial" w:cs="Arial"/>
          <w:sz w:val="24"/>
          <w:szCs w:val="24"/>
          <w:lang w:val="en-US"/>
        </w:rPr>
        <w:t>(</w:t>
      </w:r>
      <w:r w:rsidRPr="00FE606D">
        <w:rPr>
          <w:rFonts w:ascii="Arial" w:hAnsi="Arial" w:cs="Arial"/>
          <w:sz w:val="24"/>
          <w:szCs w:val="24"/>
          <w:lang w:val="en-US"/>
        </w:rPr>
        <w:t xml:space="preserve">see the HCSS </w:t>
      </w:r>
      <w:r w:rsidR="00C37F02">
        <w:rPr>
          <w:rFonts w:ascii="Arial" w:hAnsi="Arial" w:cs="Arial"/>
          <w:sz w:val="24"/>
          <w:szCs w:val="24"/>
          <w:lang w:val="en-US"/>
        </w:rPr>
        <w:t>Operations</w:t>
      </w:r>
      <w:r w:rsidR="00183477" w:rsidRPr="00FE606D">
        <w:rPr>
          <w:rFonts w:ascii="Arial" w:hAnsi="Arial" w:cs="Arial"/>
          <w:sz w:val="24"/>
          <w:szCs w:val="24"/>
          <w:lang w:val="en-US"/>
        </w:rPr>
        <w:t xml:space="preserve"> </w:t>
      </w:r>
      <w:r w:rsidRPr="00FE606D">
        <w:rPr>
          <w:rFonts w:ascii="Arial" w:hAnsi="Arial" w:cs="Arial"/>
          <w:sz w:val="24"/>
          <w:szCs w:val="24"/>
          <w:lang w:val="en-US"/>
        </w:rPr>
        <w:t>Manual</w:t>
      </w:r>
      <w:r w:rsidR="005C4ADA" w:rsidRPr="00FE606D">
        <w:rPr>
          <w:rFonts w:ascii="Arial" w:hAnsi="Arial" w:cs="Arial"/>
          <w:sz w:val="24"/>
          <w:szCs w:val="24"/>
          <w:lang w:val="en-US"/>
        </w:rPr>
        <w:t>)</w:t>
      </w:r>
      <w:r w:rsidRPr="00FE606D">
        <w:rPr>
          <w:rFonts w:ascii="Arial" w:hAnsi="Arial" w:cs="Arial"/>
          <w:sz w:val="24"/>
          <w:szCs w:val="24"/>
          <w:lang w:val="en-US"/>
        </w:rPr>
        <w:t xml:space="preserve">. </w:t>
      </w:r>
    </w:p>
    <w:p w14:paraId="23C5CC70" w14:textId="0E704FD3" w:rsidR="00A540D7" w:rsidRPr="00FE606D" w:rsidRDefault="00A540D7" w:rsidP="004C0BA2">
      <w:pPr>
        <w:rPr>
          <w:rFonts w:ascii="Arial" w:hAnsi="Arial" w:cs="Arial"/>
          <w:sz w:val="24"/>
          <w:szCs w:val="24"/>
        </w:rPr>
      </w:pPr>
      <w:r w:rsidRPr="00FE606D">
        <w:rPr>
          <w:rFonts w:ascii="Arial" w:hAnsi="Arial" w:cs="Arial"/>
          <w:sz w:val="24"/>
          <w:szCs w:val="24"/>
        </w:rPr>
        <w:t xml:space="preserve">Some clients with high and very high support needs may be eligible to have a </w:t>
      </w:r>
      <w:r w:rsidR="00A116CC">
        <w:rPr>
          <w:rFonts w:ascii="Arial" w:hAnsi="Arial" w:cs="Arial"/>
          <w:sz w:val="24"/>
          <w:szCs w:val="24"/>
        </w:rPr>
        <w:t xml:space="preserve">member </w:t>
      </w:r>
      <w:proofErr w:type="spellStart"/>
      <w:r w:rsidR="00A116CC">
        <w:rPr>
          <w:rFonts w:ascii="Arial" w:hAnsi="Arial" w:cs="Arial"/>
          <w:sz w:val="24"/>
          <w:szCs w:val="24"/>
        </w:rPr>
        <w:t>empoloyed</w:t>
      </w:r>
      <w:proofErr w:type="spellEnd"/>
      <w:r w:rsidR="00A116CC">
        <w:rPr>
          <w:rFonts w:ascii="Arial" w:hAnsi="Arial" w:cs="Arial"/>
          <w:sz w:val="24"/>
          <w:szCs w:val="24"/>
        </w:rPr>
        <w:t xml:space="preserve"> to deliver their allocated package of care.</w:t>
      </w:r>
      <w:r w:rsidRPr="00FE606D">
        <w:rPr>
          <w:rFonts w:ascii="Arial" w:hAnsi="Arial" w:cs="Arial"/>
          <w:sz w:val="24"/>
          <w:szCs w:val="24"/>
        </w:rPr>
        <w:t xml:space="preserve"> When this is required the Provider will employ the family carer on merit using usual employment practices.</w:t>
      </w:r>
    </w:p>
    <w:p w14:paraId="7640B5C2" w14:textId="77777777" w:rsidR="00E10AF2" w:rsidRPr="00FE606D" w:rsidRDefault="00E10AF2" w:rsidP="00FE606D">
      <w:pPr>
        <w:pStyle w:val="Heading2"/>
        <w:spacing w:after="120"/>
        <w:rPr>
          <w:rFonts w:ascii="Arial" w:hAnsi="Arial" w:cs="Arial"/>
          <w:b w:val="0"/>
          <w:sz w:val="24"/>
          <w:szCs w:val="24"/>
        </w:rPr>
      </w:pPr>
      <w:bookmarkStart w:id="121" w:name="_Toc43122851"/>
      <w:r w:rsidRPr="00FE606D">
        <w:rPr>
          <w:rFonts w:ascii="Arial" w:hAnsi="Arial" w:cs="Arial"/>
          <w:sz w:val="24"/>
          <w:szCs w:val="24"/>
        </w:rPr>
        <w:lastRenderedPageBreak/>
        <w:t>6.8</w:t>
      </w:r>
      <w:r w:rsidRPr="00FE606D">
        <w:rPr>
          <w:rFonts w:ascii="Arial" w:hAnsi="Arial" w:cs="Arial"/>
          <w:sz w:val="24"/>
          <w:szCs w:val="24"/>
        </w:rPr>
        <w:tab/>
        <w:t>Case Management and Flexible Service Provision</w:t>
      </w:r>
      <w:bookmarkEnd w:id="121"/>
    </w:p>
    <w:p w14:paraId="2B89C1D9" w14:textId="03FF03C8" w:rsidR="007D6626" w:rsidRPr="00874DFB" w:rsidRDefault="00A77681" w:rsidP="00FE606D">
      <w:pPr>
        <w:spacing w:line="240" w:lineRule="auto"/>
      </w:pPr>
      <w:r w:rsidRPr="00FE606D">
        <w:rPr>
          <w:rFonts w:ascii="Arial" w:hAnsi="Arial" w:cs="Arial"/>
          <w:sz w:val="24"/>
          <w:szCs w:val="24"/>
        </w:rPr>
        <w:t>Through mutual agreement by the clients wider integrated healthcare team (which may include primary care, social sector agencies,</w:t>
      </w:r>
      <w:r w:rsidR="00035AF8" w:rsidRPr="00FE606D">
        <w:rPr>
          <w:rFonts w:ascii="Arial" w:hAnsi="Arial" w:cs="Arial"/>
          <w:sz w:val="24"/>
          <w:szCs w:val="24"/>
        </w:rPr>
        <w:t xml:space="preserve"> DHB based community health specialists, </w:t>
      </w:r>
      <w:r w:rsidRPr="00FE606D">
        <w:rPr>
          <w:rFonts w:ascii="Arial" w:hAnsi="Arial" w:cs="Arial"/>
          <w:sz w:val="24"/>
          <w:szCs w:val="24"/>
        </w:rPr>
        <w:t xml:space="preserve">NASC and HCSS </w:t>
      </w:r>
      <w:r w:rsidR="00855E2B">
        <w:rPr>
          <w:rFonts w:ascii="Arial" w:hAnsi="Arial" w:cs="Arial"/>
          <w:sz w:val="24"/>
          <w:szCs w:val="24"/>
        </w:rPr>
        <w:t>P</w:t>
      </w:r>
      <w:r w:rsidRPr="00FE606D">
        <w:rPr>
          <w:rFonts w:ascii="Arial" w:hAnsi="Arial" w:cs="Arial"/>
          <w:sz w:val="24"/>
          <w:szCs w:val="24"/>
        </w:rPr>
        <w:t>roviders), the most appropriate person will be nominated to undertaken case management activities as described in appendix</w:t>
      </w:r>
      <w:r w:rsidR="00F864F8" w:rsidRPr="00FE606D">
        <w:rPr>
          <w:rFonts w:ascii="Arial" w:hAnsi="Arial" w:cs="Arial"/>
          <w:sz w:val="24"/>
          <w:szCs w:val="24"/>
        </w:rPr>
        <w:t xml:space="preserve"> 5</w:t>
      </w:r>
      <w:r w:rsidRPr="00FE606D">
        <w:rPr>
          <w:rFonts w:ascii="Arial" w:hAnsi="Arial" w:cs="Arial"/>
          <w:sz w:val="24"/>
          <w:szCs w:val="24"/>
        </w:rPr>
        <w:t xml:space="preserve">.  This may include the Providers </w:t>
      </w:r>
      <w:r w:rsidR="005C4ADA" w:rsidRPr="00FE606D">
        <w:rPr>
          <w:rFonts w:ascii="Arial" w:hAnsi="Arial" w:cs="Arial"/>
          <w:sz w:val="24"/>
          <w:szCs w:val="24"/>
        </w:rPr>
        <w:t>RHP.</w:t>
      </w:r>
    </w:p>
    <w:p w14:paraId="5EDE6ABC" w14:textId="77777777" w:rsidR="00A856AF" w:rsidRPr="00FE606D" w:rsidRDefault="00853D3D" w:rsidP="00FE606D">
      <w:pPr>
        <w:pStyle w:val="Heading2"/>
        <w:spacing w:after="120"/>
        <w:rPr>
          <w:rFonts w:ascii="Arial" w:hAnsi="Arial" w:cs="Arial"/>
          <w:sz w:val="24"/>
          <w:szCs w:val="24"/>
        </w:rPr>
      </w:pPr>
      <w:bookmarkStart w:id="122" w:name="_Toc43122852"/>
      <w:r w:rsidRPr="00FE606D">
        <w:rPr>
          <w:rFonts w:ascii="Arial" w:hAnsi="Arial" w:cs="Arial"/>
          <w:sz w:val="24"/>
          <w:szCs w:val="24"/>
        </w:rPr>
        <w:t>6.</w:t>
      </w:r>
      <w:r w:rsidR="00B108A7" w:rsidRPr="00FE606D">
        <w:rPr>
          <w:rFonts w:ascii="Arial" w:hAnsi="Arial" w:cs="Arial"/>
          <w:sz w:val="24"/>
          <w:szCs w:val="24"/>
        </w:rPr>
        <w:t>9</w:t>
      </w:r>
      <w:r w:rsidRPr="00FE606D">
        <w:rPr>
          <w:rFonts w:ascii="Arial" w:hAnsi="Arial" w:cs="Arial"/>
          <w:sz w:val="24"/>
          <w:szCs w:val="24"/>
        </w:rPr>
        <w:tab/>
      </w:r>
      <w:r w:rsidR="000369FB" w:rsidRPr="00FE606D">
        <w:rPr>
          <w:rFonts w:ascii="Arial" w:hAnsi="Arial" w:cs="Arial"/>
          <w:sz w:val="24"/>
          <w:szCs w:val="24"/>
        </w:rPr>
        <w:t xml:space="preserve">Client </w:t>
      </w:r>
      <w:r w:rsidR="00A856AF" w:rsidRPr="00FE606D">
        <w:rPr>
          <w:rFonts w:ascii="Arial" w:hAnsi="Arial" w:cs="Arial"/>
          <w:sz w:val="24"/>
          <w:szCs w:val="24"/>
        </w:rPr>
        <w:t xml:space="preserve">Discharge </w:t>
      </w:r>
      <w:r w:rsidR="000369FB" w:rsidRPr="00FE606D">
        <w:rPr>
          <w:rFonts w:ascii="Arial" w:hAnsi="Arial" w:cs="Arial"/>
          <w:sz w:val="24"/>
          <w:szCs w:val="24"/>
        </w:rPr>
        <w:t>Processes</w:t>
      </w:r>
      <w:bookmarkEnd w:id="122"/>
    </w:p>
    <w:p w14:paraId="15B1A463" w14:textId="77777777" w:rsidR="000369FB" w:rsidRPr="00FE606D" w:rsidRDefault="00853D3D" w:rsidP="00FE606D">
      <w:pPr>
        <w:pStyle w:val="Heading3"/>
        <w:spacing w:after="120"/>
        <w:rPr>
          <w:rFonts w:ascii="Arial" w:hAnsi="Arial" w:cs="Arial"/>
        </w:rPr>
      </w:pPr>
      <w:bookmarkStart w:id="123" w:name="_Toc43122853"/>
      <w:r w:rsidRPr="00FE606D">
        <w:rPr>
          <w:rFonts w:ascii="Arial" w:hAnsi="Arial" w:cs="Arial"/>
        </w:rPr>
        <w:t>6.</w:t>
      </w:r>
      <w:r w:rsidR="00B108A7" w:rsidRPr="00FE606D">
        <w:rPr>
          <w:rFonts w:ascii="Arial" w:hAnsi="Arial" w:cs="Arial"/>
        </w:rPr>
        <w:t>9</w:t>
      </w:r>
      <w:r w:rsidRPr="00FE606D">
        <w:rPr>
          <w:rFonts w:ascii="Arial" w:hAnsi="Arial" w:cs="Arial"/>
        </w:rPr>
        <w:t>.1</w:t>
      </w:r>
      <w:r w:rsidRPr="00FE606D">
        <w:rPr>
          <w:rFonts w:ascii="Arial" w:hAnsi="Arial" w:cs="Arial"/>
        </w:rPr>
        <w:tab/>
      </w:r>
      <w:r w:rsidR="000369FB" w:rsidRPr="00FE606D">
        <w:rPr>
          <w:rFonts w:ascii="Arial" w:hAnsi="Arial" w:cs="Arial"/>
        </w:rPr>
        <w:t>Planned discharge</w:t>
      </w:r>
      <w:bookmarkEnd w:id="123"/>
    </w:p>
    <w:p w14:paraId="5AFC27A1" w14:textId="6940BFE8" w:rsidR="00A856AF" w:rsidRPr="00FE606D" w:rsidRDefault="00A856AF" w:rsidP="00DC21F4">
      <w:pPr>
        <w:spacing w:after="120" w:line="240" w:lineRule="auto"/>
        <w:rPr>
          <w:rFonts w:ascii="Arial" w:hAnsi="Arial" w:cs="Arial"/>
          <w:sz w:val="24"/>
          <w:szCs w:val="24"/>
        </w:rPr>
      </w:pPr>
      <w:r w:rsidRPr="00FE606D">
        <w:rPr>
          <w:rFonts w:ascii="Arial" w:hAnsi="Arial" w:cs="Arial"/>
          <w:sz w:val="24"/>
          <w:szCs w:val="24"/>
        </w:rPr>
        <w:t xml:space="preserve">Some clients will successfully regain </w:t>
      </w:r>
      <w:r w:rsidR="008932C0" w:rsidRPr="00FE606D">
        <w:rPr>
          <w:rFonts w:ascii="Arial" w:hAnsi="Arial" w:cs="Arial"/>
          <w:sz w:val="24"/>
          <w:szCs w:val="24"/>
        </w:rPr>
        <w:t xml:space="preserve">their </w:t>
      </w:r>
      <w:r w:rsidRPr="00FE606D">
        <w:rPr>
          <w:rFonts w:ascii="Arial" w:hAnsi="Arial" w:cs="Arial"/>
          <w:sz w:val="24"/>
          <w:szCs w:val="24"/>
        </w:rPr>
        <w:t>functional ability</w:t>
      </w:r>
      <w:r w:rsidR="005309CF" w:rsidRPr="00FE606D">
        <w:rPr>
          <w:rFonts w:ascii="Arial" w:hAnsi="Arial" w:cs="Arial"/>
          <w:sz w:val="24"/>
          <w:szCs w:val="24"/>
        </w:rPr>
        <w:t xml:space="preserve"> and independence</w:t>
      </w:r>
      <w:r w:rsidR="003A41AD" w:rsidRPr="00FE606D">
        <w:rPr>
          <w:rFonts w:ascii="Arial" w:hAnsi="Arial" w:cs="Arial"/>
          <w:sz w:val="24"/>
          <w:szCs w:val="24"/>
        </w:rPr>
        <w:t>.</w:t>
      </w:r>
      <w:r w:rsidR="00F3034F">
        <w:rPr>
          <w:rFonts w:ascii="Arial" w:hAnsi="Arial" w:cs="Arial"/>
          <w:sz w:val="24"/>
          <w:szCs w:val="24"/>
        </w:rPr>
        <w:t xml:space="preserve"> </w:t>
      </w:r>
      <w:r w:rsidR="003A41AD" w:rsidRPr="00FE606D">
        <w:rPr>
          <w:rFonts w:ascii="Arial" w:hAnsi="Arial" w:cs="Arial"/>
          <w:sz w:val="24"/>
          <w:szCs w:val="24"/>
        </w:rPr>
        <w:t xml:space="preserve">Where this </w:t>
      </w:r>
      <w:r w:rsidR="00636E36" w:rsidRPr="00FE606D">
        <w:rPr>
          <w:rFonts w:ascii="Arial" w:hAnsi="Arial" w:cs="Arial"/>
          <w:sz w:val="24"/>
          <w:szCs w:val="24"/>
        </w:rPr>
        <w:t>occur</w:t>
      </w:r>
      <w:r w:rsidR="005C4ADA" w:rsidRPr="00FE606D">
        <w:rPr>
          <w:rFonts w:ascii="Arial" w:hAnsi="Arial" w:cs="Arial"/>
          <w:sz w:val="24"/>
          <w:szCs w:val="24"/>
        </w:rPr>
        <w:t>s</w:t>
      </w:r>
      <w:r w:rsidR="00636E36" w:rsidRPr="00FE606D">
        <w:rPr>
          <w:rFonts w:ascii="Arial" w:hAnsi="Arial" w:cs="Arial"/>
          <w:sz w:val="24"/>
          <w:szCs w:val="24"/>
        </w:rPr>
        <w:t>,</w:t>
      </w:r>
      <w:r w:rsidR="003A41AD" w:rsidRPr="00FE606D">
        <w:rPr>
          <w:rFonts w:ascii="Arial" w:hAnsi="Arial" w:cs="Arial"/>
          <w:sz w:val="24"/>
          <w:szCs w:val="24"/>
        </w:rPr>
        <w:t xml:space="preserve"> the </w:t>
      </w:r>
      <w:r w:rsidR="00747360" w:rsidRPr="00FE606D">
        <w:rPr>
          <w:rFonts w:ascii="Arial" w:hAnsi="Arial" w:cs="Arial"/>
          <w:sz w:val="24"/>
          <w:szCs w:val="24"/>
        </w:rPr>
        <w:t xml:space="preserve">Provider will use safe consistent practices drawing on a combination of assessment and clinical support tools to flexibly deliver services, reducing service allocations as </w:t>
      </w:r>
      <w:r w:rsidR="003A41AD" w:rsidRPr="00FE606D">
        <w:rPr>
          <w:rFonts w:ascii="Arial" w:hAnsi="Arial" w:cs="Arial"/>
          <w:sz w:val="24"/>
          <w:szCs w:val="24"/>
        </w:rPr>
        <w:t>c</w:t>
      </w:r>
      <w:r w:rsidR="00747360" w:rsidRPr="00FE606D">
        <w:rPr>
          <w:rFonts w:ascii="Arial" w:hAnsi="Arial" w:cs="Arial"/>
          <w:sz w:val="24"/>
          <w:szCs w:val="24"/>
        </w:rPr>
        <w:t>lients regain independence and eventually discharg</w:t>
      </w:r>
      <w:r w:rsidR="00636E36" w:rsidRPr="00FE606D">
        <w:rPr>
          <w:rFonts w:ascii="Arial" w:hAnsi="Arial" w:cs="Arial"/>
          <w:sz w:val="24"/>
          <w:szCs w:val="24"/>
        </w:rPr>
        <w:t xml:space="preserve">ing </w:t>
      </w:r>
      <w:r w:rsidR="00747360" w:rsidRPr="00FE606D">
        <w:rPr>
          <w:rFonts w:ascii="Arial" w:hAnsi="Arial" w:cs="Arial"/>
          <w:sz w:val="24"/>
          <w:szCs w:val="24"/>
        </w:rPr>
        <w:t>them from the service</w:t>
      </w:r>
      <w:r w:rsidR="009D3BF9" w:rsidRPr="00FE606D">
        <w:rPr>
          <w:rFonts w:ascii="Arial" w:hAnsi="Arial" w:cs="Arial"/>
          <w:sz w:val="24"/>
          <w:szCs w:val="24"/>
        </w:rPr>
        <w:t>.</w:t>
      </w:r>
    </w:p>
    <w:p w14:paraId="16893823" w14:textId="740F2695" w:rsidR="00A856AF" w:rsidRPr="00FE606D" w:rsidRDefault="008932C0" w:rsidP="00DC21F4">
      <w:pPr>
        <w:spacing w:after="120" w:line="240" w:lineRule="auto"/>
        <w:rPr>
          <w:rFonts w:ascii="Arial" w:hAnsi="Arial" w:cs="Arial"/>
          <w:sz w:val="24"/>
          <w:szCs w:val="24"/>
        </w:rPr>
      </w:pPr>
      <w:r w:rsidRPr="00FE606D">
        <w:rPr>
          <w:rFonts w:ascii="Arial" w:hAnsi="Arial" w:cs="Arial"/>
          <w:sz w:val="24"/>
          <w:szCs w:val="24"/>
        </w:rPr>
        <w:t xml:space="preserve">For these clients the </w:t>
      </w:r>
      <w:r w:rsidR="00A856AF" w:rsidRPr="00FE606D">
        <w:rPr>
          <w:rFonts w:ascii="Arial" w:hAnsi="Arial" w:cs="Arial"/>
          <w:sz w:val="24"/>
          <w:szCs w:val="24"/>
        </w:rPr>
        <w:t xml:space="preserve">Provider will have on-going </w:t>
      </w:r>
      <w:r w:rsidR="00AC0B87" w:rsidRPr="00FE606D">
        <w:rPr>
          <w:rFonts w:ascii="Arial" w:hAnsi="Arial" w:cs="Arial"/>
          <w:sz w:val="24"/>
          <w:szCs w:val="24"/>
        </w:rPr>
        <w:t xml:space="preserve">and early </w:t>
      </w:r>
      <w:r w:rsidR="00A856AF" w:rsidRPr="00FE606D">
        <w:rPr>
          <w:rFonts w:ascii="Arial" w:hAnsi="Arial" w:cs="Arial"/>
          <w:sz w:val="24"/>
          <w:szCs w:val="24"/>
        </w:rPr>
        <w:t>discussions with</w:t>
      </w:r>
      <w:r w:rsidR="003C40D8" w:rsidRPr="00FE606D">
        <w:rPr>
          <w:rFonts w:ascii="Arial" w:hAnsi="Arial" w:cs="Arial"/>
          <w:sz w:val="24"/>
          <w:szCs w:val="24"/>
        </w:rPr>
        <w:t xml:space="preserve"> NASC,</w:t>
      </w:r>
      <w:r w:rsidR="005309CF" w:rsidRPr="00FE606D">
        <w:rPr>
          <w:rFonts w:ascii="Arial" w:hAnsi="Arial" w:cs="Arial"/>
          <w:sz w:val="24"/>
          <w:szCs w:val="24"/>
        </w:rPr>
        <w:t xml:space="preserve"> the</w:t>
      </w:r>
      <w:r w:rsidR="00A856AF" w:rsidRPr="00FE606D">
        <w:rPr>
          <w:rFonts w:ascii="Arial" w:hAnsi="Arial" w:cs="Arial"/>
          <w:sz w:val="24"/>
          <w:szCs w:val="24"/>
        </w:rPr>
        <w:t xml:space="preserve"> client and their whānau to ensure reduction in service provision leading up to discharge and the discharge itself is well planned and expected. </w:t>
      </w:r>
    </w:p>
    <w:p w14:paraId="293B58BA" w14:textId="77777777" w:rsidR="00585766" w:rsidRPr="00FE606D" w:rsidRDefault="00A10918" w:rsidP="00DC21F4">
      <w:pPr>
        <w:spacing w:after="120"/>
        <w:rPr>
          <w:rFonts w:ascii="Arial" w:hAnsi="Arial" w:cs="Arial"/>
          <w:sz w:val="24"/>
          <w:szCs w:val="24"/>
          <w:lang w:eastAsia="en-NZ"/>
        </w:rPr>
      </w:pPr>
      <w:r w:rsidRPr="00FE606D">
        <w:rPr>
          <w:rFonts w:ascii="Arial" w:hAnsi="Arial" w:cs="Arial"/>
          <w:sz w:val="24"/>
          <w:szCs w:val="24"/>
        </w:rPr>
        <w:t xml:space="preserve">Providers are required to have a formal process for discharging clients. </w:t>
      </w:r>
      <w:r w:rsidR="00A856AF" w:rsidRPr="00FE606D">
        <w:rPr>
          <w:rFonts w:ascii="Arial" w:hAnsi="Arial" w:cs="Arial"/>
          <w:sz w:val="24"/>
          <w:szCs w:val="24"/>
        </w:rPr>
        <w:t>As a minimum this will include discussion with clients to confirm the last date of service, a documented discharge letter outlining referrals made to other services and how these can be accessed, activities to be continued in the home, and what to do if they feel they are not coping and need the service restarted.</w:t>
      </w:r>
    </w:p>
    <w:p w14:paraId="64C7B262" w14:textId="04481346" w:rsidR="000369FB" w:rsidRPr="00FE606D" w:rsidRDefault="009D3BF9" w:rsidP="00874DFB">
      <w:pPr>
        <w:spacing w:after="120"/>
        <w:rPr>
          <w:rFonts w:ascii="Arial" w:hAnsi="Arial" w:cs="Arial"/>
          <w:sz w:val="24"/>
          <w:szCs w:val="24"/>
          <w:lang w:eastAsia="en-NZ"/>
        </w:rPr>
      </w:pPr>
      <w:r w:rsidRPr="00FE606D">
        <w:rPr>
          <w:rFonts w:ascii="Arial" w:hAnsi="Arial" w:cs="Arial"/>
          <w:sz w:val="24"/>
          <w:szCs w:val="24"/>
          <w:lang w:eastAsia="en-NZ"/>
        </w:rPr>
        <w:t>Unless there are exception</w:t>
      </w:r>
      <w:r w:rsidR="005C4ADA" w:rsidRPr="00FE606D">
        <w:rPr>
          <w:rFonts w:ascii="Arial" w:hAnsi="Arial" w:cs="Arial"/>
          <w:sz w:val="24"/>
          <w:szCs w:val="24"/>
          <w:lang w:eastAsia="en-NZ"/>
        </w:rPr>
        <w:t>al</w:t>
      </w:r>
      <w:r w:rsidRPr="00FE606D">
        <w:rPr>
          <w:rFonts w:ascii="Arial" w:hAnsi="Arial" w:cs="Arial"/>
          <w:sz w:val="24"/>
          <w:szCs w:val="24"/>
          <w:lang w:eastAsia="en-NZ"/>
        </w:rPr>
        <w:t xml:space="preserve"> circumstances (see disputed discharges) the </w:t>
      </w:r>
      <w:r w:rsidR="00855E2B">
        <w:rPr>
          <w:rFonts w:ascii="Arial" w:hAnsi="Arial" w:cs="Arial"/>
          <w:sz w:val="24"/>
          <w:szCs w:val="24"/>
          <w:lang w:eastAsia="en-NZ"/>
        </w:rPr>
        <w:t>P</w:t>
      </w:r>
      <w:r w:rsidRPr="00FE606D">
        <w:rPr>
          <w:rFonts w:ascii="Arial" w:hAnsi="Arial" w:cs="Arial"/>
          <w:sz w:val="24"/>
          <w:szCs w:val="24"/>
          <w:lang w:eastAsia="en-NZ"/>
        </w:rPr>
        <w:t xml:space="preserve">rovider will give 14 days’ notice of </w:t>
      </w:r>
      <w:r w:rsidR="005C4ADA" w:rsidRPr="00FE606D">
        <w:rPr>
          <w:rFonts w:ascii="Arial" w:hAnsi="Arial" w:cs="Arial"/>
          <w:sz w:val="24"/>
          <w:szCs w:val="24"/>
          <w:lang w:eastAsia="en-NZ"/>
        </w:rPr>
        <w:t xml:space="preserve">the </w:t>
      </w:r>
      <w:r w:rsidRPr="00FE606D">
        <w:rPr>
          <w:rFonts w:ascii="Arial" w:hAnsi="Arial" w:cs="Arial"/>
          <w:sz w:val="24"/>
          <w:szCs w:val="24"/>
          <w:lang w:eastAsia="en-NZ"/>
        </w:rPr>
        <w:t xml:space="preserve">intent to discharge and discharge the client </w:t>
      </w:r>
      <w:r w:rsidR="00CF3B99" w:rsidRPr="00FE606D">
        <w:rPr>
          <w:rFonts w:ascii="Arial" w:hAnsi="Arial" w:cs="Arial"/>
          <w:sz w:val="24"/>
          <w:szCs w:val="24"/>
          <w:lang w:eastAsia="en-NZ"/>
        </w:rPr>
        <w:t>five</w:t>
      </w:r>
      <w:r w:rsidRPr="00FE606D">
        <w:rPr>
          <w:rFonts w:ascii="Arial" w:hAnsi="Arial" w:cs="Arial"/>
          <w:sz w:val="24"/>
          <w:szCs w:val="24"/>
          <w:lang w:eastAsia="en-NZ"/>
        </w:rPr>
        <w:t xml:space="preserve"> days after the end of service.</w:t>
      </w:r>
    </w:p>
    <w:p w14:paraId="5C133922" w14:textId="77777777" w:rsidR="000369FB" w:rsidRPr="00FE606D" w:rsidRDefault="00853D3D" w:rsidP="00FE606D">
      <w:pPr>
        <w:pStyle w:val="Heading3"/>
        <w:spacing w:after="120"/>
        <w:rPr>
          <w:rFonts w:ascii="Arial" w:hAnsi="Arial" w:cs="Arial"/>
        </w:rPr>
      </w:pPr>
      <w:bookmarkStart w:id="124" w:name="_Toc43122854"/>
      <w:r w:rsidRPr="00FE606D">
        <w:rPr>
          <w:rFonts w:ascii="Arial" w:hAnsi="Arial" w:cs="Arial"/>
        </w:rPr>
        <w:t>6</w:t>
      </w:r>
      <w:r w:rsidR="000369FB" w:rsidRPr="00FE606D">
        <w:rPr>
          <w:rFonts w:ascii="Arial" w:hAnsi="Arial" w:cs="Arial"/>
        </w:rPr>
        <w:t>.</w:t>
      </w:r>
      <w:r w:rsidR="00B108A7" w:rsidRPr="00FE606D">
        <w:rPr>
          <w:rFonts w:ascii="Arial" w:hAnsi="Arial" w:cs="Arial"/>
        </w:rPr>
        <w:t>9</w:t>
      </w:r>
      <w:r w:rsidRPr="00FE606D">
        <w:rPr>
          <w:rFonts w:ascii="Arial" w:hAnsi="Arial" w:cs="Arial"/>
        </w:rPr>
        <w:t>.</w:t>
      </w:r>
      <w:r w:rsidR="000369FB" w:rsidRPr="00FE606D">
        <w:rPr>
          <w:rFonts w:ascii="Arial" w:hAnsi="Arial" w:cs="Arial"/>
        </w:rPr>
        <w:t>2</w:t>
      </w:r>
      <w:r w:rsidR="000369FB" w:rsidRPr="00FE606D">
        <w:rPr>
          <w:rFonts w:ascii="Arial" w:hAnsi="Arial" w:cs="Arial"/>
        </w:rPr>
        <w:tab/>
        <w:t>Discharge Criteria</w:t>
      </w:r>
      <w:bookmarkEnd w:id="124"/>
    </w:p>
    <w:p w14:paraId="6883BDE4" w14:textId="5C1822B2" w:rsidR="000369FB" w:rsidRPr="00FE606D" w:rsidRDefault="005C4ADA" w:rsidP="00CF3B99">
      <w:pPr>
        <w:spacing w:after="120" w:line="240" w:lineRule="auto"/>
        <w:rPr>
          <w:rFonts w:ascii="Arial" w:hAnsi="Arial" w:cs="Arial"/>
          <w:sz w:val="24"/>
          <w:szCs w:val="24"/>
        </w:rPr>
      </w:pPr>
      <w:r w:rsidRPr="00FE606D">
        <w:rPr>
          <w:rFonts w:ascii="Arial" w:hAnsi="Arial" w:cs="Arial"/>
          <w:sz w:val="24"/>
          <w:szCs w:val="24"/>
        </w:rPr>
        <w:t>T</w:t>
      </w:r>
      <w:r w:rsidR="000369FB" w:rsidRPr="00FE606D">
        <w:rPr>
          <w:rFonts w:ascii="Arial" w:hAnsi="Arial" w:cs="Arial"/>
          <w:sz w:val="24"/>
          <w:szCs w:val="24"/>
        </w:rPr>
        <w:t xml:space="preserve">he Provider will initiate and continue discussions with client and their whānau and NASC to ensure a safe and timely </w:t>
      </w:r>
      <w:r w:rsidR="00765E7F" w:rsidRPr="00FE606D">
        <w:rPr>
          <w:rFonts w:ascii="Arial" w:hAnsi="Arial" w:cs="Arial"/>
          <w:sz w:val="24"/>
          <w:szCs w:val="24"/>
        </w:rPr>
        <w:t>discharge</w:t>
      </w:r>
      <w:r w:rsidRPr="00FE606D">
        <w:rPr>
          <w:rFonts w:ascii="Arial" w:hAnsi="Arial" w:cs="Arial"/>
          <w:sz w:val="24"/>
          <w:szCs w:val="24"/>
        </w:rPr>
        <w:t>.</w:t>
      </w:r>
      <w:r w:rsidR="000369FB" w:rsidRPr="00FE606D">
        <w:rPr>
          <w:rFonts w:ascii="Arial" w:hAnsi="Arial" w:cs="Arial"/>
          <w:sz w:val="24"/>
          <w:szCs w:val="24"/>
        </w:rPr>
        <w:t xml:space="preserve"> </w:t>
      </w:r>
    </w:p>
    <w:p w14:paraId="2118CD4A" w14:textId="77777777" w:rsidR="000369FB" w:rsidRPr="00986409" w:rsidRDefault="00F9455E" w:rsidP="00874DFB">
      <w:pPr>
        <w:spacing w:after="120"/>
        <w:ind w:left="720" w:hanging="720"/>
        <w:rPr>
          <w:rFonts w:ascii="Arial" w:hAnsi="Arial" w:cs="Arial"/>
          <w:b/>
          <w:sz w:val="24"/>
          <w:szCs w:val="24"/>
          <w:lang w:eastAsia="en-NZ"/>
        </w:rPr>
      </w:pPr>
      <w:r w:rsidRPr="00FE606D">
        <w:rPr>
          <w:rFonts w:ascii="Arial" w:hAnsi="Arial" w:cs="Arial"/>
          <w:sz w:val="24"/>
          <w:szCs w:val="24"/>
        </w:rPr>
        <w:t>C</w:t>
      </w:r>
      <w:r w:rsidR="000369FB" w:rsidRPr="00FE606D">
        <w:rPr>
          <w:rFonts w:ascii="Arial" w:hAnsi="Arial" w:cs="Arial"/>
          <w:sz w:val="24"/>
          <w:szCs w:val="24"/>
        </w:rPr>
        <w:t>lients will be discharged from the service when</w:t>
      </w:r>
      <w:r w:rsidRPr="00FE606D">
        <w:rPr>
          <w:rFonts w:ascii="Arial" w:hAnsi="Arial" w:cs="Arial"/>
          <w:sz w:val="24"/>
          <w:szCs w:val="24"/>
        </w:rPr>
        <w:t xml:space="preserve"> they</w:t>
      </w:r>
      <w:r w:rsidR="000369FB" w:rsidRPr="00FE606D">
        <w:rPr>
          <w:rFonts w:ascii="Arial" w:hAnsi="Arial" w:cs="Arial"/>
          <w:sz w:val="24"/>
          <w:szCs w:val="24"/>
        </w:rPr>
        <w:t>:</w:t>
      </w:r>
    </w:p>
    <w:p w14:paraId="4F885437" w14:textId="77777777" w:rsidR="000369FB" w:rsidRPr="00FE606D" w:rsidRDefault="000369FB"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no longer wish to receive the service</w:t>
      </w:r>
    </w:p>
    <w:p w14:paraId="3C13B4FF" w14:textId="77777777" w:rsidR="000369FB" w:rsidRPr="00FE606D" w:rsidRDefault="000369FB"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 xml:space="preserve">cease to meet the service access criteria </w:t>
      </w:r>
    </w:p>
    <w:p w14:paraId="5B136D82" w14:textId="77777777" w:rsidR="00CF0465" w:rsidRPr="00FE606D" w:rsidRDefault="000369FB"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 xml:space="preserve">choose to transfer to another service Provider </w:t>
      </w:r>
    </w:p>
    <w:p w14:paraId="135CEA06" w14:textId="77777777" w:rsidR="000369FB" w:rsidRPr="00FE606D" w:rsidRDefault="00CF0465"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 xml:space="preserve">transfer to </w:t>
      </w:r>
      <w:r w:rsidR="000369FB" w:rsidRPr="00FE606D">
        <w:rPr>
          <w:rFonts w:ascii="Arial" w:hAnsi="Arial" w:cs="Arial"/>
          <w:sz w:val="24"/>
          <w:szCs w:val="24"/>
        </w:rPr>
        <w:t>age residential care</w:t>
      </w:r>
    </w:p>
    <w:p w14:paraId="6E8A9AD4" w14:textId="77777777" w:rsidR="000369FB" w:rsidRPr="00FE606D" w:rsidRDefault="000369FB"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 xml:space="preserve">transfer to another DHB region </w:t>
      </w:r>
    </w:p>
    <w:p w14:paraId="5662AF20" w14:textId="77777777" w:rsidR="000369FB" w:rsidRPr="00FE606D" w:rsidRDefault="000369FB"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are deceased</w:t>
      </w:r>
    </w:p>
    <w:p w14:paraId="22E53F0F" w14:textId="77777777" w:rsidR="00E85834" w:rsidRPr="00FE606D" w:rsidRDefault="005C4ADA"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c</w:t>
      </w:r>
      <w:r w:rsidR="00E85834" w:rsidRPr="00FE606D">
        <w:rPr>
          <w:rFonts w:ascii="Arial" w:hAnsi="Arial" w:cs="Arial"/>
          <w:sz w:val="24"/>
          <w:szCs w:val="24"/>
        </w:rPr>
        <w:t>hanging domicile</w:t>
      </w:r>
    </w:p>
    <w:p w14:paraId="4FB0F385" w14:textId="77777777" w:rsidR="00E85834" w:rsidRPr="00FE606D" w:rsidRDefault="005C4ADA"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h</w:t>
      </w:r>
      <w:r w:rsidR="00E85834" w:rsidRPr="00FE606D">
        <w:rPr>
          <w:rFonts w:ascii="Arial" w:hAnsi="Arial" w:cs="Arial"/>
          <w:sz w:val="24"/>
          <w:szCs w:val="24"/>
        </w:rPr>
        <w:t>ave new natural supports in home</w:t>
      </w:r>
    </w:p>
    <w:p w14:paraId="527B23AF" w14:textId="77777777" w:rsidR="00AB352C" w:rsidRPr="00FE606D" w:rsidRDefault="00B360E1"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h</w:t>
      </w:r>
      <w:r w:rsidR="00F235C6" w:rsidRPr="00FE606D">
        <w:rPr>
          <w:rFonts w:ascii="Arial" w:hAnsi="Arial" w:cs="Arial"/>
          <w:sz w:val="24"/>
          <w:szCs w:val="24"/>
        </w:rPr>
        <w:t>ave met service goals and</w:t>
      </w:r>
      <w:r w:rsidR="00AB352C" w:rsidRPr="00FE606D">
        <w:rPr>
          <w:rFonts w:ascii="Arial" w:hAnsi="Arial" w:cs="Arial"/>
          <w:sz w:val="24"/>
          <w:szCs w:val="24"/>
        </w:rPr>
        <w:t xml:space="preserve"> restored to independence</w:t>
      </w:r>
    </w:p>
    <w:p w14:paraId="5914DFC4" w14:textId="77777777" w:rsidR="00E85834" w:rsidRPr="00FE606D" w:rsidRDefault="0053763C" w:rsidP="00471CF0">
      <w:pPr>
        <w:pStyle w:val="ListParagraph"/>
        <w:numPr>
          <w:ilvl w:val="0"/>
          <w:numId w:val="21"/>
        </w:numPr>
        <w:tabs>
          <w:tab w:val="left" w:pos="0"/>
        </w:tabs>
        <w:spacing w:after="120"/>
        <w:ind w:left="567" w:right="-612" w:hanging="567"/>
        <w:contextualSpacing w:val="0"/>
        <w:rPr>
          <w:rFonts w:ascii="Arial" w:hAnsi="Arial" w:cs="Arial"/>
          <w:sz w:val="24"/>
          <w:szCs w:val="24"/>
        </w:rPr>
      </w:pPr>
      <w:r w:rsidRPr="00FE606D">
        <w:rPr>
          <w:rFonts w:ascii="Arial" w:hAnsi="Arial" w:cs="Arial"/>
          <w:sz w:val="24"/>
          <w:szCs w:val="24"/>
        </w:rPr>
        <w:t>cannot safely remain at home</w:t>
      </w:r>
      <w:r w:rsidR="00BA0822">
        <w:rPr>
          <w:rFonts w:ascii="Arial" w:hAnsi="Arial" w:cs="Arial"/>
          <w:sz w:val="24"/>
          <w:szCs w:val="24"/>
        </w:rPr>
        <w:t>.</w:t>
      </w:r>
    </w:p>
    <w:p w14:paraId="10D95153" w14:textId="77777777" w:rsidR="00A856AF" w:rsidRPr="00FE606D" w:rsidRDefault="00853D3D" w:rsidP="00FE606D">
      <w:pPr>
        <w:pStyle w:val="Heading3"/>
        <w:spacing w:after="120"/>
        <w:rPr>
          <w:rFonts w:ascii="Arial" w:hAnsi="Arial" w:cs="Arial"/>
        </w:rPr>
      </w:pPr>
      <w:bookmarkStart w:id="125" w:name="_Toc19519194"/>
      <w:bookmarkStart w:id="126" w:name="_Toc19524563"/>
      <w:bookmarkStart w:id="127" w:name="_Toc43122855"/>
      <w:r w:rsidRPr="00FE606D">
        <w:rPr>
          <w:rFonts w:ascii="Arial" w:hAnsi="Arial" w:cs="Arial"/>
        </w:rPr>
        <w:lastRenderedPageBreak/>
        <w:t>6.</w:t>
      </w:r>
      <w:r w:rsidR="00986409" w:rsidRPr="00FE606D">
        <w:rPr>
          <w:rFonts w:ascii="Arial" w:hAnsi="Arial" w:cs="Arial"/>
        </w:rPr>
        <w:t>9</w:t>
      </w:r>
      <w:r w:rsidRPr="00FE606D">
        <w:rPr>
          <w:rFonts w:ascii="Arial" w:hAnsi="Arial" w:cs="Arial"/>
        </w:rPr>
        <w:t>.3</w:t>
      </w:r>
      <w:r w:rsidR="00CF779A" w:rsidRPr="00FE606D">
        <w:rPr>
          <w:rFonts w:ascii="Arial" w:hAnsi="Arial" w:cs="Arial"/>
        </w:rPr>
        <w:tab/>
      </w:r>
      <w:r w:rsidR="00A856AF" w:rsidRPr="00FE606D">
        <w:rPr>
          <w:rFonts w:ascii="Arial" w:hAnsi="Arial" w:cs="Arial"/>
        </w:rPr>
        <w:t>Disputed Discharges</w:t>
      </w:r>
      <w:bookmarkEnd w:id="125"/>
      <w:bookmarkEnd w:id="126"/>
      <w:bookmarkEnd w:id="127"/>
    </w:p>
    <w:p w14:paraId="7C119EF0" w14:textId="64781054" w:rsidR="00321A00" w:rsidRPr="00FE606D" w:rsidRDefault="00321A00" w:rsidP="00CF3B99">
      <w:pPr>
        <w:rPr>
          <w:rFonts w:ascii="Arial" w:hAnsi="Arial" w:cs="Arial"/>
          <w:sz w:val="24"/>
          <w:szCs w:val="24"/>
          <w:lang w:val="en-US"/>
        </w:rPr>
      </w:pPr>
      <w:r w:rsidRPr="00FE606D">
        <w:rPr>
          <w:rFonts w:ascii="Arial" w:hAnsi="Arial" w:cs="Arial"/>
          <w:sz w:val="24"/>
          <w:szCs w:val="24"/>
          <w:lang w:val="en-US"/>
        </w:rPr>
        <w:t>The contracted Provider may withdraw service</w:t>
      </w:r>
      <w:r w:rsidR="00172138" w:rsidRPr="00FE606D">
        <w:rPr>
          <w:rFonts w:ascii="Arial" w:hAnsi="Arial" w:cs="Arial"/>
          <w:sz w:val="24"/>
          <w:szCs w:val="24"/>
          <w:lang w:val="en-US"/>
        </w:rPr>
        <w:t>s</w:t>
      </w:r>
      <w:r w:rsidRPr="00FE606D">
        <w:rPr>
          <w:rFonts w:ascii="Arial" w:hAnsi="Arial" w:cs="Arial"/>
          <w:sz w:val="24"/>
          <w:szCs w:val="24"/>
          <w:lang w:val="en-US"/>
        </w:rPr>
        <w:t xml:space="preserve"> for an existing client because the service is no longer necessary or due to inappropriate client or whānau </w:t>
      </w:r>
      <w:proofErr w:type="spellStart"/>
      <w:r w:rsidRPr="00FE606D">
        <w:rPr>
          <w:rFonts w:ascii="Arial" w:hAnsi="Arial" w:cs="Arial"/>
          <w:sz w:val="24"/>
          <w:szCs w:val="24"/>
          <w:lang w:val="en-US"/>
        </w:rPr>
        <w:t>behaviour</w:t>
      </w:r>
      <w:proofErr w:type="spellEnd"/>
      <w:r w:rsidRPr="00FE606D">
        <w:rPr>
          <w:rFonts w:ascii="Arial" w:hAnsi="Arial" w:cs="Arial"/>
          <w:sz w:val="24"/>
          <w:szCs w:val="24"/>
          <w:lang w:val="en-US"/>
        </w:rPr>
        <w:t xml:space="preserve">, non-compliance or for health and safety concerns that pose a risk to staff. Should this be necessary, and the family dispute the discharge decision, the Provider </w:t>
      </w:r>
      <w:r w:rsidR="00AB352C" w:rsidRPr="00FE606D">
        <w:rPr>
          <w:rFonts w:ascii="Arial" w:hAnsi="Arial" w:cs="Arial"/>
          <w:sz w:val="24"/>
          <w:szCs w:val="24"/>
          <w:lang w:val="en-US"/>
        </w:rPr>
        <w:t>and NASC</w:t>
      </w:r>
      <w:r w:rsidR="00A031AE">
        <w:rPr>
          <w:rFonts w:ascii="Arial" w:hAnsi="Arial" w:cs="Arial"/>
          <w:sz w:val="24"/>
          <w:szCs w:val="24"/>
          <w:lang w:val="en-US"/>
        </w:rPr>
        <w:t xml:space="preserve"> coo</w:t>
      </w:r>
      <w:r w:rsidR="00FE606D">
        <w:rPr>
          <w:rFonts w:ascii="Arial" w:hAnsi="Arial" w:cs="Arial"/>
          <w:sz w:val="24"/>
          <w:szCs w:val="24"/>
          <w:lang w:val="en-US"/>
        </w:rPr>
        <w:t>r</w:t>
      </w:r>
      <w:r w:rsidR="00A031AE">
        <w:rPr>
          <w:rFonts w:ascii="Arial" w:hAnsi="Arial" w:cs="Arial"/>
          <w:sz w:val="24"/>
          <w:szCs w:val="24"/>
          <w:lang w:val="en-US"/>
        </w:rPr>
        <w:t>dinator</w:t>
      </w:r>
      <w:r w:rsidR="00AB352C" w:rsidRPr="00FE606D">
        <w:rPr>
          <w:rFonts w:ascii="Arial" w:hAnsi="Arial" w:cs="Arial"/>
          <w:sz w:val="24"/>
          <w:szCs w:val="24"/>
          <w:lang w:val="en-US"/>
        </w:rPr>
        <w:t xml:space="preserve"> </w:t>
      </w:r>
      <w:r w:rsidR="00370125" w:rsidRPr="00FE606D">
        <w:rPr>
          <w:rFonts w:ascii="Arial" w:hAnsi="Arial" w:cs="Arial"/>
          <w:sz w:val="24"/>
          <w:szCs w:val="24"/>
          <w:lang w:val="en-US"/>
        </w:rPr>
        <w:t>will peer</w:t>
      </w:r>
      <w:r w:rsidR="00AB352C" w:rsidRPr="00FE606D">
        <w:rPr>
          <w:rFonts w:ascii="Arial" w:hAnsi="Arial" w:cs="Arial"/>
          <w:sz w:val="24"/>
          <w:szCs w:val="24"/>
          <w:lang w:val="en-US"/>
        </w:rPr>
        <w:t xml:space="preserve"> review</w:t>
      </w:r>
      <w:r w:rsidRPr="00FE606D">
        <w:rPr>
          <w:rFonts w:ascii="Arial" w:hAnsi="Arial" w:cs="Arial"/>
          <w:sz w:val="24"/>
          <w:szCs w:val="24"/>
          <w:lang w:val="en-US"/>
        </w:rPr>
        <w:t xml:space="preserve"> the client case and rationale for the decision. If service provision cannot be continued while resolution is sought, the DHB </w:t>
      </w:r>
      <w:r w:rsidR="00585766" w:rsidRPr="00FE606D">
        <w:rPr>
          <w:rFonts w:ascii="Arial" w:hAnsi="Arial" w:cs="Arial"/>
          <w:sz w:val="24"/>
          <w:szCs w:val="24"/>
          <w:lang w:val="en-US"/>
        </w:rPr>
        <w:t xml:space="preserve">Funder </w:t>
      </w:r>
      <w:r w:rsidRPr="00FE606D">
        <w:rPr>
          <w:rFonts w:ascii="Arial" w:hAnsi="Arial" w:cs="Arial"/>
          <w:sz w:val="24"/>
          <w:szCs w:val="24"/>
          <w:lang w:val="en-US"/>
        </w:rPr>
        <w:t xml:space="preserve">must be notified immediately to be able to manage any risks to the client. </w:t>
      </w:r>
    </w:p>
    <w:p w14:paraId="4B0B4975" w14:textId="6D17503D" w:rsidR="00A856AF" w:rsidRPr="00FE606D" w:rsidRDefault="00A856AF" w:rsidP="00CF3B99">
      <w:pPr>
        <w:rPr>
          <w:rFonts w:ascii="Arial" w:hAnsi="Arial" w:cs="Arial"/>
          <w:sz w:val="24"/>
          <w:szCs w:val="24"/>
          <w:lang w:val="en-US"/>
        </w:rPr>
      </w:pPr>
      <w:r w:rsidRPr="00FE606D">
        <w:rPr>
          <w:rFonts w:ascii="Arial" w:hAnsi="Arial" w:cs="Arial"/>
          <w:sz w:val="24"/>
          <w:szCs w:val="24"/>
          <w:lang w:val="en-US"/>
        </w:rPr>
        <w:t>The Provider and the NASC Manager will work with the client</w:t>
      </w:r>
      <w:r w:rsidR="0053763C" w:rsidRPr="00FE606D">
        <w:rPr>
          <w:rFonts w:ascii="Arial" w:hAnsi="Arial" w:cs="Arial"/>
          <w:sz w:val="24"/>
          <w:szCs w:val="24"/>
          <w:lang w:val="en-US"/>
        </w:rPr>
        <w:t xml:space="preserve"> and </w:t>
      </w:r>
      <w:r w:rsidRPr="00FE606D">
        <w:rPr>
          <w:rFonts w:ascii="Arial" w:hAnsi="Arial" w:cs="Arial"/>
          <w:sz w:val="24"/>
          <w:szCs w:val="24"/>
          <w:lang w:val="en-US"/>
        </w:rPr>
        <w:t xml:space="preserve">whānau to agree </w:t>
      </w:r>
      <w:r w:rsidR="00585766" w:rsidRPr="00FE606D">
        <w:rPr>
          <w:rFonts w:ascii="Arial" w:hAnsi="Arial" w:cs="Arial"/>
          <w:sz w:val="24"/>
          <w:szCs w:val="24"/>
          <w:lang w:val="en-US"/>
        </w:rPr>
        <w:t xml:space="preserve">the </w:t>
      </w:r>
      <w:r w:rsidRPr="00FE606D">
        <w:rPr>
          <w:rFonts w:ascii="Arial" w:hAnsi="Arial" w:cs="Arial"/>
          <w:sz w:val="24"/>
          <w:szCs w:val="24"/>
          <w:lang w:val="en-US"/>
        </w:rPr>
        <w:t xml:space="preserve">way forward. If the situation cannot be resolved at this level it will be referred to the </w:t>
      </w:r>
      <w:r w:rsidR="00585766" w:rsidRPr="00FE606D">
        <w:rPr>
          <w:rFonts w:ascii="Arial" w:hAnsi="Arial" w:cs="Arial"/>
          <w:sz w:val="24"/>
          <w:szCs w:val="24"/>
          <w:lang w:val="en-US"/>
        </w:rPr>
        <w:t xml:space="preserve">DHB </w:t>
      </w:r>
      <w:r w:rsidR="00C074F5" w:rsidRPr="00FE606D">
        <w:rPr>
          <w:rFonts w:ascii="Arial" w:hAnsi="Arial" w:cs="Arial"/>
          <w:sz w:val="24"/>
          <w:szCs w:val="24"/>
          <w:lang w:val="en-US"/>
        </w:rPr>
        <w:t>Funder</w:t>
      </w:r>
      <w:r w:rsidRPr="00FE606D">
        <w:rPr>
          <w:rFonts w:ascii="Arial" w:hAnsi="Arial" w:cs="Arial"/>
          <w:sz w:val="24"/>
          <w:szCs w:val="24"/>
          <w:lang w:val="en-US"/>
        </w:rPr>
        <w:t xml:space="preserve"> who will act as an arbitrator if an appeal is requested.</w:t>
      </w:r>
      <w:r w:rsidR="00321A00" w:rsidRPr="00FE606D">
        <w:rPr>
          <w:rFonts w:ascii="Arial" w:hAnsi="Arial" w:cs="Arial"/>
          <w:sz w:val="24"/>
          <w:szCs w:val="24"/>
          <w:lang w:val="en-US"/>
        </w:rPr>
        <w:t xml:space="preserve">  </w:t>
      </w:r>
    </w:p>
    <w:p w14:paraId="0B0DF97B" w14:textId="77777777" w:rsidR="0058478B" w:rsidRPr="00FE606D" w:rsidRDefault="008B647A" w:rsidP="00DC674C">
      <w:pPr>
        <w:pStyle w:val="Heading1"/>
        <w:rPr>
          <w:lang w:eastAsia="en-NZ"/>
        </w:rPr>
      </w:pPr>
      <w:bookmarkStart w:id="128" w:name="_Toc43122856"/>
      <w:r w:rsidRPr="00FE606D">
        <w:rPr>
          <w:lang w:eastAsia="en-NZ"/>
        </w:rPr>
        <w:t>7</w:t>
      </w:r>
      <w:r w:rsidRPr="00FE606D">
        <w:rPr>
          <w:lang w:eastAsia="en-NZ"/>
        </w:rPr>
        <w:tab/>
      </w:r>
      <w:r w:rsidR="003D22B1" w:rsidRPr="00FE606D">
        <w:rPr>
          <w:lang w:eastAsia="en-NZ"/>
        </w:rPr>
        <w:t>Workforce Development</w:t>
      </w:r>
      <w:bookmarkEnd w:id="128"/>
    </w:p>
    <w:p w14:paraId="32288D58" w14:textId="77777777" w:rsidR="00585766" w:rsidRPr="00FE606D" w:rsidRDefault="00585766" w:rsidP="00FE606D">
      <w:pPr>
        <w:pStyle w:val="Heading2"/>
        <w:spacing w:after="120"/>
        <w:rPr>
          <w:rFonts w:ascii="Arial" w:hAnsi="Arial" w:cs="Arial"/>
          <w:sz w:val="24"/>
          <w:szCs w:val="24"/>
        </w:rPr>
      </w:pPr>
      <w:bookmarkStart w:id="129" w:name="_Toc43122857"/>
      <w:r w:rsidRPr="00FE606D">
        <w:rPr>
          <w:rFonts w:ascii="Arial" w:hAnsi="Arial" w:cs="Arial"/>
          <w:sz w:val="24"/>
          <w:szCs w:val="24"/>
        </w:rPr>
        <w:t>7.1</w:t>
      </w:r>
      <w:r w:rsidRPr="00FE606D">
        <w:rPr>
          <w:rFonts w:ascii="Arial" w:hAnsi="Arial" w:cs="Arial"/>
          <w:sz w:val="24"/>
          <w:szCs w:val="24"/>
        </w:rPr>
        <w:tab/>
        <w:t>General</w:t>
      </w:r>
      <w:bookmarkEnd w:id="129"/>
    </w:p>
    <w:p w14:paraId="58C34282" w14:textId="77777777" w:rsidR="007D67D2" w:rsidRPr="00083E29" w:rsidRDefault="003D22B1" w:rsidP="00FE606D">
      <w:pPr>
        <w:spacing w:line="240" w:lineRule="auto"/>
        <w:rPr>
          <w:rFonts w:ascii="Arial" w:hAnsi="Arial" w:cs="Arial"/>
          <w:sz w:val="24"/>
          <w:szCs w:val="24"/>
        </w:rPr>
      </w:pPr>
      <w:r w:rsidRPr="00083E29">
        <w:rPr>
          <w:rFonts w:ascii="Arial" w:hAnsi="Arial" w:cs="Arial"/>
          <w:sz w:val="24"/>
          <w:szCs w:val="24"/>
        </w:rPr>
        <w:t xml:space="preserve">The Provider develops and maintains a capable, diverse, experienced, culturally aware and well-trained workforce to deliver this service to </w:t>
      </w:r>
      <w:r w:rsidR="00B40C49" w:rsidRPr="00083E29">
        <w:rPr>
          <w:rFonts w:ascii="Arial" w:hAnsi="Arial" w:cs="Arial"/>
          <w:sz w:val="24"/>
          <w:szCs w:val="24"/>
        </w:rPr>
        <w:t>client</w:t>
      </w:r>
      <w:r w:rsidRPr="00083E29">
        <w:rPr>
          <w:rFonts w:ascii="Arial" w:hAnsi="Arial" w:cs="Arial"/>
          <w:sz w:val="24"/>
          <w:szCs w:val="24"/>
        </w:rPr>
        <w:t xml:space="preserve">s </w:t>
      </w:r>
      <w:r w:rsidR="00047D04" w:rsidRPr="00083E29">
        <w:rPr>
          <w:rFonts w:ascii="Arial" w:hAnsi="Arial" w:cs="Arial"/>
          <w:sz w:val="24"/>
          <w:szCs w:val="24"/>
        </w:rPr>
        <w:t>with</w:t>
      </w:r>
      <w:r w:rsidRPr="00083E29">
        <w:rPr>
          <w:rFonts w:ascii="Arial" w:hAnsi="Arial" w:cs="Arial"/>
          <w:sz w:val="24"/>
          <w:szCs w:val="24"/>
        </w:rPr>
        <w:t xml:space="preserve"> diverse levels of assessed clinical complexity and support needs. </w:t>
      </w:r>
    </w:p>
    <w:p w14:paraId="55DB5163" w14:textId="77777777" w:rsidR="001535F3" w:rsidRPr="00083E29" w:rsidRDefault="001535F3" w:rsidP="00F9455E">
      <w:pPr>
        <w:spacing w:before="120" w:after="0" w:line="240" w:lineRule="auto"/>
        <w:rPr>
          <w:rFonts w:ascii="Arial" w:hAnsi="Arial" w:cs="Arial"/>
          <w:sz w:val="24"/>
          <w:szCs w:val="24"/>
        </w:rPr>
      </w:pPr>
      <w:r w:rsidRPr="00083E29">
        <w:rPr>
          <w:rFonts w:ascii="Arial" w:hAnsi="Arial" w:cs="Arial"/>
          <w:sz w:val="24"/>
          <w:szCs w:val="24"/>
        </w:rPr>
        <w:t>The Provider workforce will be developed and deployed so that support staff knowledge and competency level can be matched to client complexity needs across the service area.</w:t>
      </w:r>
    </w:p>
    <w:p w14:paraId="59CE2CD6" w14:textId="77777777" w:rsidR="001535F3" w:rsidRPr="00083E29" w:rsidRDefault="001535F3" w:rsidP="00FE606D">
      <w:pPr>
        <w:spacing w:after="120" w:line="240" w:lineRule="auto"/>
        <w:rPr>
          <w:rFonts w:ascii="Arial" w:hAnsi="Arial" w:cs="Arial"/>
          <w:sz w:val="24"/>
          <w:szCs w:val="24"/>
        </w:rPr>
      </w:pPr>
      <w:r w:rsidRPr="00083E29">
        <w:rPr>
          <w:rFonts w:ascii="Arial" w:hAnsi="Arial" w:cs="Arial"/>
          <w:sz w:val="24"/>
          <w:szCs w:val="24"/>
        </w:rPr>
        <w:t>The Provider will have a casemix/caseload mechanism in place to ensure fair and safe allocation of clients at a safe staffing level.</w:t>
      </w:r>
    </w:p>
    <w:p w14:paraId="559B00D5" w14:textId="326E1951" w:rsidR="001535F3" w:rsidRPr="00FE606D" w:rsidRDefault="008B647A" w:rsidP="00FE606D">
      <w:pPr>
        <w:pStyle w:val="Heading2"/>
        <w:spacing w:after="120"/>
        <w:rPr>
          <w:rFonts w:ascii="Arial" w:hAnsi="Arial" w:cs="Arial"/>
          <w:sz w:val="24"/>
          <w:szCs w:val="24"/>
        </w:rPr>
      </w:pPr>
      <w:bookmarkStart w:id="130" w:name="_Toc43122858"/>
      <w:r w:rsidRPr="00FE606D">
        <w:rPr>
          <w:rFonts w:ascii="Arial" w:hAnsi="Arial" w:cs="Arial"/>
          <w:sz w:val="24"/>
          <w:szCs w:val="24"/>
        </w:rPr>
        <w:t>7.2</w:t>
      </w:r>
      <w:r w:rsidRPr="00FE606D">
        <w:rPr>
          <w:rFonts w:ascii="Arial" w:hAnsi="Arial" w:cs="Arial"/>
          <w:sz w:val="24"/>
          <w:szCs w:val="24"/>
        </w:rPr>
        <w:tab/>
      </w:r>
      <w:r w:rsidR="001535F3" w:rsidRPr="00FE606D">
        <w:rPr>
          <w:rFonts w:ascii="Arial" w:hAnsi="Arial" w:cs="Arial"/>
          <w:sz w:val="24"/>
          <w:szCs w:val="24"/>
        </w:rPr>
        <w:t xml:space="preserve">Support </w:t>
      </w:r>
      <w:r w:rsidR="00723180">
        <w:rPr>
          <w:rFonts w:ascii="Arial" w:hAnsi="Arial" w:cs="Arial"/>
          <w:sz w:val="24"/>
          <w:szCs w:val="24"/>
        </w:rPr>
        <w:t>w</w:t>
      </w:r>
      <w:r w:rsidR="001535F3" w:rsidRPr="00FE606D">
        <w:rPr>
          <w:rFonts w:ascii="Arial" w:hAnsi="Arial" w:cs="Arial"/>
          <w:sz w:val="24"/>
          <w:szCs w:val="24"/>
        </w:rPr>
        <w:t>orkers</w:t>
      </w:r>
      <w:bookmarkEnd w:id="130"/>
    </w:p>
    <w:p w14:paraId="367BC538" w14:textId="77777777" w:rsidR="001535F3" w:rsidRPr="00FE606D" w:rsidRDefault="001535F3" w:rsidP="00FE606D">
      <w:pPr>
        <w:shd w:val="clear" w:color="auto" w:fill="FFFFFF" w:themeFill="background1"/>
        <w:spacing w:line="240" w:lineRule="auto"/>
        <w:rPr>
          <w:rFonts w:ascii="Arial" w:hAnsi="Arial" w:cs="Arial"/>
          <w:sz w:val="24"/>
          <w:szCs w:val="24"/>
          <w:shd w:val="clear" w:color="auto" w:fill="FFFFFF" w:themeFill="background1"/>
        </w:rPr>
      </w:pPr>
      <w:r w:rsidRPr="00FE606D">
        <w:rPr>
          <w:rFonts w:ascii="Arial" w:hAnsi="Arial" w:cs="Arial"/>
          <w:sz w:val="24"/>
          <w:szCs w:val="24"/>
        </w:rPr>
        <w:t xml:space="preserve">All support workers will have attained </w:t>
      </w:r>
      <w:r w:rsidRPr="00FE606D">
        <w:rPr>
          <w:rFonts w:ascii="Arial" w:hAnsi="Arial" w:cs="Arial"/>
          <w:sz w:val="24"/>
          <w:szCs w:val="24"/>
          <w:shd w:val="clear" w:color="auto" w:fill="FFFFFF" w:themeFill="background1"/>
        </w:rPr>
        <w:t xml:space="preserve">NZQA </w:t>
      </w:r>
      <w:r w:rsidR="00F936EF" w:rsidRPr="00FE606D">
        <w:rPr>
          <w:rFonts w:ascii="Arial" w:hAnsi="Arial" w:cs="Arial"/>
          <w:sz w:val="24"/>
          <w:szCs w:val="24"/>
          <w:shd w:val="clear" w:color="auto" w:fill="FFFFFF" w:themeFill="background1"/>
        </w:rPr>
        <w:t xml:space="preserve">New Zealand Certificate in Health and Wellbeing </w:t>
      </w:r>
      <w:r w:rsidR="00BE1DB3" w:rsidRPr="00FE606D">
        <w:rPr>
          <w:rFonts w:ascii="Arial" w:hAnsi="Arial" w:cs="Arial"/>
          <w:sz w:val="24"/>
          <w:szCs w:val="24"/>
          <w:shd w:val="clear" w:color="auto" w:fill="FFFFFF" w:themeFill="background1"/>
        </w:rPr>
        <w:t>–</w:t>
      </w:r>
      <w:r w:rsidR="00F936EF" w:rsidRPr="00FE606D">
        <w:rPr>
          <w:rFonts w:ascii="Arial" w:hAnsi="Arial" w:cs="Arial"/>
          <w:sz w:val="24"/>
          <w:szCs w:val="24"/>
          <w:shd w:val="clear" w:color="auto" w:fill="FFFFFF" w:themeFill="background1"/>
        </w:rPr>
        <w:t xml:space="preserve"> Level 2, </w:t>
      </w:r>
      <w:r w:rsidRPr="00FE606D">
        <w:rPr>
          <w:rFonts w:ascii="Arial" w:hAnsi="Arial" w:cs="Arial"/>
          <w:sz w:val="24"/>
          <w:szCs w:val="24"/>
          <w:shd w:val="clear" w:color="auto" w:fill="FFFFFF" w:themeFill="background1"/>
        </w:rPr>
        <w:t xml:space="preserve">within </w:t>
      </w:r>
      <w:r w:rsidR="00E85834" w:rsidRPr="00FE606D">
        <w:rPr>
          <w:rFonts w:ascii="Arial" w:hAnsi="Arial" w:cs="Arial"/>
          <w:sz w:val="24"/>
          <w:szCs w:val="24"/>
          <w:shd w:val="clear" w:color="auto" w:fill="FFFFFF" w:themeFill="background1"/>
        </w:rPr>
        <w:t>12 months</w:t>
      </w:r>
      <w:r w:rsidRPr="00FE606D">
        <w:rPr>
          <w:rFonts w:ascii="Arial" w:hAnsi="Arial" w:cs="Arial"/>
          <w:sz w:val="24"/>
          <w:szCs w:val="24"/>
          <w:shd w:val="clear" w:color="auto" w:fill="FFFFFF" w:themeFill="background1"/>
        </w:rPr>
        <w:t xml:space="preserve"> of commencement. </w:t>
      </w:r>
    </w:p>
    <w:p w14:paraId="4549C704" w14:textId="77777777" w:rsidR="003D22B1" w:rsidRPr="00FE606D" w:rsidRDefault="003D22B1" w:rsidP="00FE606D">
      <w:pPr>
        <w:spacing w:line="240" w:lineRule="auto"/>
        <w:rPr>
          <w:rFonts w:ascii="Arial" w:hAnsi="Arial" w:cs="Arial"/>
          <w:sz w:val="24"/>
          <w:szCs w:val="24"/>
        </w:rPr>
      </w:pPr>
      <w:r w:rsidRPr="00FE606D">
        <w:rPr>
          <w:rFonts w:ascii="Arial" w:hAnsi="Arial" w:cs="Arial"/>
          <w:sz w:val="24"/>
          <w:szCs w:val="24"/>
        </w:rPr>
        <w:t>Support workers will</w:t>
      </w:r>
      <w:r w:rsidR="006617A6" w:rsidRPr="00FE606D">
        <w:rPr>
          <w:rFonts w:ascii="Arial" w:hAnsi="Arial" w:cs="Arial"/>
          <w:sz w:val="24"/>
          <w:szCs w:val="24"/>
        </w:rPr>
        <w:t xml:space="preserve"> have access to and</w:t>
      </w:r>
      <w:r w:rsidRPr="00FE606D">
        <w:rPr>
          <w:rFonts w:ascii="Arial" w:hAnsi="Arial" w:cs="Arial"/>
          <w:sz w:val="24"/>
          <w:szCs w:val="24"/>
        </w:rPr>
        <w:t xml:space="preserve"> be supported to complete</w:t>
      </w:r>
      <w:r w:rsidR="007D67D2" w:rsidRPr="00FE606D">
        <w:rPr>
          <w:rFonts w:ascii="Arial" w:hAnsi="Arial" w:cs="Arial"/>
          <w:sz w:val="24"/>
          <w:szCs w:val="24"/>
        </w:rPr>
        <w:t xml:space="preserve"> further</w:t>
      </w:r>
      <w:r w:rsidRPr="00FE606D">
        <w:rPr>
          <w:rFonts w:ascii="Arial" w:hAnsi="Arial" w:cs="Arial"/>
          <w:sz w:val="24"/>
          <w:szCs w:val="24"/>
        </w:rPr>
        <w:t xml:space="preserve"> professional development</w:t>
      </w:r>
      <w:r w:rsidR="00F936EF" w:rsidRPr="00FE606D">
        <w:rPr>
          <w:rFonts w:ascii="Arial" w:hAnsi="Arial" w:cs="Arial"/>
          <w:sz w:val="24"/>
          <w:szCs w:val="24"/>
        </w:rPr>
        <w:t>,</w:t>
      </w:r>
      <w:r w:rsidRPr="00FE606D">
        <w:rPr>
          <w:rFonts w:ascii="Arial" w:hAnsi="Arial" w:cs="Arial"/>
          <w:sz w:val="24"/>
          <w:szCs w:val="24"/>
        </w:rPr>
        <w:t xml:space="preserve"> including training</w:t>
      </w:r>
      <w:r w:rsidR="00D46933" w:rsidRPr="00FE606D">
        <w:rPr>
          <w:rFonts w:ascii="Arial" w:hAnsi="Arial" w:cs="Arial"/>
          <w:sz w:val="24"/>
          <w:szCs w:val="24"/>
        </w:rPr>
        <w:t xml:space="preserve"> to </w:t>
      </w:r>
      <w:r w:rsidR="00370125" w:rsidRPr="00FE606D">
        <w:rPr>
          <w:rFonts w:ascii="Arial" w:hAnsi="Arial" w:cs="Arial"/>
          <w:sz w:val="24"/>
          <w:szCs w:val="24"/>
        </w:rPr>
        <w:t>attain the</w:t>
      </w:r>
      <w:r w:rsidR="00F936EF" w:rsidRPr="00FE606D">
        <w:rPr>
          <w:rFonts w:ascii="Arial" w:hAnsi="Arial" w:cs="Arial"/>
          <w:sz w:val="24"/>
          <w:szCs w:val="24"/>
        </w:rPr>
        <w:t xml:space="preserve"> New Zealand Certificate in Health and Wellbeing level </w:t>
      </w:r>
      <w:r w:rsidRPr="00FE606D">
        <w:rPr>
          <w:rFonts w:ascii="Arial" w:hAnsi="Arial" w:cs="Arial"/>
          <w:sz w:val="24"/>
          <w:szCs w:val="24"/>
        </w:rPr>
        <w:t>3 and 4</w:t>
      </w:r>
      <w:r w:rsidR="002E6FAC" w:rsidRPr="00FE606D">
        <w:rPr>
          <w:rFonts w:ascii="Arial" w:hAnsi="Arial" w:cs="Arial"/>
          <w:sz w:val="24"/>
          <w:szCs w:val="24"/>
        </w:rPr>
        <w:t xml:space="preserve"> in accordance with the </w:t>
      </w:r>
      <w:r w:rsidR="00774DB8" w:rsidRPr="00FE606D">
        <w:rPr>
          <w:rFonts w:ascii="Arial" w:hAnsi="Arial" w:cs="Arial"/>
          <w:sz w:val="24"/>
          <w:szCs w:val="24"/>
        </w:rPr>
        <w:t>Care and Support Workers Pay Equity Settlement Act.</w:t>
      </w:r>
      <w:r w:rsidR="00774DB8" w:rsidRPr="00FE606D">
        <w:rPr>
          <w:rStyle w:val="FootnoteReference"/>
          <w:rFonts w:ascii="Arial" w:hAnsi="Arial" w:cs="Arial"/>
          <w:sz w:val="24"/>
          <w:szCs w:val="24"/>
        </w:rPr>
        <w:footnoteReference w:id="15"/>
      </w:r>
      <w:r w:rsidRPr="00FE606D">
        <w:rPr>
          <w:rFonts w:ascii="Arial" w:hAnsi="Arial" w:cs="Arial"/>
          <w:sz w:val="24"/>
          <w:szCs w:val="24"/>
        </w:rPr>
        <w:t xml:space="preserve"> </w:t>
      </w:r>
    </w:p>
    <w:p w14:paraId="3A64BDD8" w14:textId="4FCAEBE7" w:rsidR="001535F3" w:rsidRPr="00FE606D" w:rsidRDefault="008B647A" w:rsidP="00FE606D">
      <w:pPr>
        <w:pStyle w:val="Heading2"/>
        <w:spacing w:after="120"/>
        <w:rPr>
          <w:rFonts w:ascii="Arial" w:hAnsi="Arial" w:cs="Arial"/>
          <w:sz w:val="24"/>
          <w:szCs w:val="24"/>
        </w:rPr>
      </w:pPr>
      <w:bookmarkStart w:id="131" w:name="_Toc43122859"/>
      <w:r w:rsidRPr="00FE606D">
        <w:rPr>
          <w:rFonts w:ascii="Arial" w:hAnsi="Arial" w:cs="Arial"/>
          <w:sz w:val="24"/>
          <w:szCs w:val="24"/>
        </w:rPr>
        <w:t>7.3</w:t>
      </w:r>
      <w:r w:rsidRPr="00FE606D">
        <w:rPr>
          <w:rFonts w:ascii="Arial" w:hAnsi="Arial" w:cs="Arial"/>
          <w:sz w:val="24"/>
          <w:szCs w:val="24"/>
        </w:rPr>
        <w:tab/>
      </w:r>
      <w:r w:rsidR="001535F3" w:rsidRPr="00FE606D">
        <w:rPr>
          <w:rFonts w:ascii="Arial" w:hAnsi="Arial" w:cs="Arial"/>
          <w:sz w:val="24"/>
          <w:szCs w:val="24"/>
        </w:rPr>
        <w:t xml:space="preserve">Registered </w:t>
      </w:r>
      <w:r w:rsidR="00723180">
        <w:rPr>
          <w:rFonts w:ascii="Arial" w:hAnsi="Arial" w:cs="Arial"/>
          <w:sz w:val="24"/>
          <w:szCs w:val="24"/>
        </w:rPr>
        <w:t>h</w:t>
      </w:r>
      <w:r w:rsidR="001535F3" w:rsidRPr="00FE606D">
        <w:rPr>
          <w:rFonts w:ascii="Arial" w:hAnsi="Arial" w:cs="Arial"/>
          <w:sz w:val="24"/>
          <w:szCs w:val="24"/>
        </w:rPr>
        <w:t xml:space="preserve">ealth </w:t>
      </w:r>
      <w:r w:rsidR="00723180">
        <w:rPr>
          <w:rFonts w:ascii="Arial" w:hAnsi="Arial" w:cs="Arial"/>
          <w:sz w:val="24"/>
          <w:szCs w:val="24"/>
        </w:rPr>
        <w:t>p</w:t>
      </w:r>
      <w:r w:rsidR="001535F3" w:rsidRPr="00FE606D">
        <w:rPr>
          <w:rFonts w:ascii="Arial" w:hAnsi="Arial" w:cs="Arial"/>
          <w:sz w:val="24"/>
          <w:szCs w:val="24"/>
        </w:rPr>
        <w:t>rofessionals</w:t>
      </w:r>
      <w:bookmarkEnd w:id="131"/>
      <w:r w:rsidR="001535F3" w:rsidRPr="00FE606D">
        <w:rPr>
          <w:rFonts w:ascii="Arial" w:hAnsi="Arial" w:cs="Arial"/>
          <w:sz w:val="24"/>
          <w:szCs w:val="24"/>
        </w:rPr>
        <w:t xml:space="preserve"> </w:t>
      </w:r>
    </w:p>
    <w:p w14:paraId="45D3D5B2" w14:textId="1FEA8B58" w:rsidR="003D22B1" w:rsidRPr="00FE606D" w:rsidRDefault="00DC674C" w:rsidP="00FE606D">
      <w:pPr>
        <w:spacing w:line="240" w:lineRule="auto"/>
        <w:rPr>
          <w:rFonts w:ascii="Arial" w:hAnsi="Arial" w:cs="Arial"/>
          <w:sz w:val="24"/>
          <w:szCs w:val="24"/>
        </w:rPr>
      </w:pPr>
      <w:r>
        <w:rPr>
          <w:rFonts w:ascii="Arial" w:hAnsi="Arial" w:cs="Arial"/>
          <w:sz w:val="24"/>
          <w:szCs w:val="24"/>
        </w:rPr>
        <w:t>Registered Health Professio</w:t>
      </w:r>
      <w:r w:rsidR="00A61E89">
        <w:rPr>
          <w:rFonts w:ascii="Arial" w:hAnsi="Arial" w:cs="Arial"/>
          <w:sz w:val="24"/>
          <w:szCs w:val="24"/>
        </w:rPr>
        <w:t>n</w:t>
      </w:r>
      <w:r>
        <w:rPr>
          <w:rFonts w:ascii="Arial" w:hAnsi="Arial" w:cs="Arial"/>
          <w:sz w:val="24"/>
          <w:szCs w:val="24"/>
        </w:rPr>
        <w:t>als (</w:t>
      </w:r>
      <w:r w:rsidR="00F9455E" w:rsidRPr="00FE606D">
        <w:rPr>
          <w:rFonts w:ascii="Arial" w:hAnsi="Arial" w:cs="Arial"/>
          <w:sz w:val="24"/>
          <w:szCs w:val="24"/>
        </w:rPr>
        <w:t>RHP</w:t>
      </w:r>
      <w:r>
        <w:rPr>
          <w:rFonts w:ascii="Arial" w:hAnsi="Arial" w:cs="Arial"/>
          <w:sz w:val="24"/>
          <w:szCs w:val="24"/>
        </w:rPr>
        <w:t>)</w:t>
      </w:r>
      <w:r w:rsidR="00F9455E" w:rsidRPr="00FE606D">
        <w:rPr>
          <w:rFonts w:ascii="Arial" w:hAnsi="Arial" w:cs="Arial"/>
          <w:sz w:val="24"/>
          <w:szCs w:val="24"/>
        </w:rPr>
        <w:t xml:space="preserve"> will</w:t>
      </w:r>
      <w:r w:rsidR="003D22B1" w:rsidRPr="00FE606D">
        <w:rPr>
          <w:rFonts w:ascii="Arial" w:hAnsi="Arial" w:cs="Arial"/>
          <w:sz w:val="24"/>
          <w:szCs w:val="24"/>
        </w:rPr>
        <w:t xml:space="preserve"> have a current practicing certificate as required under the Health Practitioners’ Competence Assurance Act 2003</w:t>
      </w:r>
      <w:r w:rsidR="00370125" w:rsidRPr="00FE606D">
        <w:rPr>
          <w:rFonts w:ascii="Arial" w:hAnsi="Arial" w:cs="Arial"/>
          <w:sz w:val="24"/>
          <w:szCs w:val="24"/>
        </w:rPr>
        <w:t xml:space="preserve"> and the Health Social Workers Registration Act (2003) and relevant professional authorities for self-regulated professions.</w:t>
      </w:r>
      <w:r w:rsidR="003D22B1" w:rsidRPr="00FE606D">
        <w:rPr>
          <w:rFonts w:ascii="Arial" w:hAnsi="Arial" w:cs="Arial"/>
          <w:sz w:val="24"/>
          <w:szCs w:val="24"/>
        </w:rPr>
        <w:t xml:space="preserve"> </w:t>
      </w:r>
      <w:r w:rsidR="0053763C" w:rsidRPr="00FE606D">
        <w:rPr>
          <w:rFonts w:ascii="Arial" w:hAnsi="Arial" w:cs="Arial"/>
          <w:sz w:val="24"/>
          <w:szCs w:val="24"/>
        </w:rPr>
        <w:t>RHPs</w:t>
      </w:r>
      <w:r w:rsidR="003D22B1" w:rsidRPr="00FE606D">
        <w:rPr>
          <w:rFonts w:ascii="Arial" w:hAnsi="Arial" w:cs="Arial"/>
          <w:sz w:val="24"/>
          <w:szCs w:val="24"/>
        </w:rPr>
        <w:t xml:space="preserve"> will work within their scope of practice and</w:t>
      </w:r>
      <w:r w:rsidR="003C40D8" w:rsidRPr="00FE606D">
        <w:rPr>
          <w:rFonts w:ascii="Arial" w:hAnsi="Arial" w:cs="Arial"/>
          <w:sz w:val="24"/>
          <w:szCs w:val="24"/>
        </w:rPr>
        <w:t xml:space="preserve"> may</w:t>
      </w:r>
      <w:r w:rsidR="003D22B1" w:rsidRPr="00FE606D">
        <w:rPr>
          <w:rFonts w:ascii="Arial" w:hAnsi="Arial" w:cs="Arial"/>
          <w:sz w:val="24"/>
          <w:szCs w:val="24"/>
        </w:rPr>
        <w:t xml:space="preserve"> provide an outline of delegated duties for the support workers</w:t>
      </w:r>
      <w:r w:rsidR="00172138" w:rsidRPr="00FE606D">
        <w:rPr>
          <w:rFonts w:ascii="Arial" w:hAnsi="Arial" w:cs="Arial"/>
          <w:sz w:val="24"/>
          <w:szCs w:val="24"/>
        </w:rPr>
        <w:t>.</w:t>
      </w:r>
      <w:r w:rsidR="003D22B1" w:rsidRPr="00FE606D">
        <w:rPr>
          <w:rFonts w:ascii="Arial" w:hAnsi="Arial" w:cs="Arial"/>
          <w:sz w:val="24"/>
          <w:szCs w:val="24"/>
        </w:rPr>
        <w:t xml:space="preserve"> </w:t>
      </w:r>
    </w:p>
    <w:p w14:paraId="6AB9D96A" w14:textId="77777777" w:rsidR="00542E7B" w:rsidRPr="00FE606D" w:rsidRDefault="00F9455E" w:rsidP="00FE606D">
      <w:pPr>
        <w:spacing w:line="240" w:lineRule="auto"/>
        <w:rPr>
          <w:rFonts w:ascii="Arial" w:hAnsi="Arial" w:cs="Arial"/>
          <w:sz w:val="24"/>
          <w:szCs w:val="24"/>
        </w:rPr>
      </w:pPr>
      <w:r w:rsidRPr="00FE606D">
        <w:rPr>
          <w:rFonts w:ascii="Arial" w:hAnsi="Arial" w:cs="Arial"/>
          <w:sz w:val="24"/>
          <w:szCs w:val="24"/>
        </w:rPr>
        <w:t>RHP</w:t>
      </w:r>
      <w:r w:rsidR="003D22B1" w:rsidRPr="00FE606D">
        <w:rPr>
          <w:rFonts w:ascii="Arial" w:hAnsi="Arial" w:cs="Arial"/>
          <w:sz w:val="24"/>
          <w:szCs w:val="24"/>
        </w:rPr>
        <w:t xml:space="preserve"> will </w:t>
      </w:r>
      <w:r w:rsidR="00E33533" w:rsidRPr="00FE606D">
        <w:rPr>
          <w:rFonts w:ascii="Arial" w:hAnsi="Arial" w:cs="Arial"/>
          <w:sz w:val="24"/>
          <w:szCs w:val="24"/>
        </w:rPr>
        <w:t xml:space="preserve">receive training to </w:t>
      </w:r>
      <w:r w:rsidR="003D22B1" w:rsidRPr="00FE606D">
        <w:rPr>
          <w:rFonts w:ascii="Arial" w:hAnsi="Arial" w:cs="Arial"/>
          <w:sz w:val="24"/>
          <w:szCs w:val="24"/>
        </w:rPr>
        <w:t xml:space="preserve">understand </w:t>
      </w:r>
      <w:r w:rsidR="00E33533" w:rsidRPr="00FE606D">
        <w:rPr>
          <w:rFonts w:ascii="Arial" w:hAnsi="Arial" w:cs="Arial"/>
          <w:sz w:val="24"/>
          <w:szCs w:val="24"/>
        </w:rPr>
        <w:t>th</w:t>
      </w:r>
      <w:r w:rsidR="00D46933" w:rsidRPr="00FE606D">
        <w:rPr>
          <w:rFonts w:ascii="Arial" w:hAnsi="Arial" w:cs="Arial"/>
          <w:sz w:val="24"/>
          <w:szCs w:val="24"/>
        </w:rPr>
        <w:t>e</w:t>
      </w:r>
      <w:r w:rsidR="00E33533" w:rsidRPr="00FE606D">
        <w:rPr>
          <w:rFonts w:ascii="Arial" w:hAnsi="Arial" w:cs="Arial"/>
          <w:sz w:val="24"/>
          <w:szCs w:val="24"/>
        </w:rPr>
        <w:t xml:space="preserve"> </w:t>
      </w:r>
      <w:r w:rsidR="00D46933" w:rsidRPr="00FE606D">
        <w:rPr>
          <w:rFonts w:ascii="Arial" w:hAnsi="Arial" w:cs="Arial"/>
          <w:sz w:val="24"/>
          <w:szCs w:val="24"/>
        </w:rPr>
        <w:t xml:space="preserve">HCSS </w:t>
      </w:r>
      <w:r w:rsidR="00E33533" w:rsidRPr="00FE606D">
        <w:rPr>
          <w:rFonts w:ascii="Arial" w:hAnsi="Arial" w:cs="Arial"/>
          <w:sz w:val="24"/>
          <w:szCs w:val="24"/>
        </w:rPr>
        <w:t xml:space="preserve">service model, with a </w:t>
      </w:r>
      <w:proofErr w:type="gramStart"/>
      <w:r w:rsidR="00E33533" w:rsidRPr="00FE606D">
        <w:rPr>
          <w:rFonts w:ascii="Arial" w:hAnsi="Arial" w:cs="Arial"/>
          <w:sz w:val="24"/>
          <w:szCs w:val="24"/>
        </w:rPr>
        <w:t>particular focus</w:t>
      </w:r>
      <w:proofErr w:type="gramEnd"/>
      <w:r w:rsidR="00E33533" w:rsidRPr="00FE606D">
        <w:rPr>
          <w:rFonts w:ascii="Arial" w:hAnsi="Arial" w:cs="Arial"/>
          <w:sz w:val="24"/>
          <w:szCs w:val="24"/>
        </w:rPr>
        <w:t xml:space="preserve"> on understanding </w:t>
      </w:r>
      <w:r w:rsidR="003D22B1" w:rsidRPr="00FE606D">
        <w:rPr>
          <w:rFonts w:ascii="Arial" w:hAnsi="Arial" w:cs="Arial"/>
          <w:sz w:val="24"/>
          <w:szCs w:val="24"/>
        </w:rPr>
        <w:t xml:space="preserve">casemix </w:t>
      </w:r>
      <w:r w:rsidR="005D1C5D" w:rsidRPr="00FE606D">
        <w:rPr>
          <w:rFonts w:ascii="Arial" w:hAnsi="Arial" w:cs="Arial"/>
          <w:sz w:val="24"/>
          <w:szCs w:val="24"/>
        </w:rPr>
        <w:t>and</w:t>
      </w:r>
      <w:r w:rsidR="003D22B1" w:rsidRPr="00FE606D">
        <w:rPr>
          <w:rFonts w:ascii="Arial" w:hAnsi="Arial" w:cs="Arial"/>
          <w:sz w:val="24"/>
          <w:szCs w:val="24"/>
        </w:rPr>
        <w:t xml:space="preserve"> service allocation methodology</w:t>
      </w:r>
      <w:r w:rsidR="00E33533" w:rsidRPr="00FE606D">
        <w:rPr>
          <w:rFonts w:ascii="Arial" w:hAnsi="Arial" w:cs="Arial"/>
          <w:sz w:val="24"/>
          <w:szCs w:val="24"/>
        </w:rPr>
        <w:t>.</w:t>
      </w:r>
      <w:r w:rsidR="003D22B1" w:rsidRPr="00FE606D">
        <w:rPr>
          <w:rFonts w:ascii="Arial" w:hAnsi="Arial" w:cs="Arial"/>
          <w:sz w:val="24"/>
          <w:szCs w:val="24"/>
        </w:rPr>
        <w:t xml:space="preserve">  </w:t>
      </w:r>
    </w:p>
    <w:p w14:paraId="76D6A9D8" w14:textId="503CC66C" w:rsidR="003D22B1" w:rsidRPr="00FE606D" w:rsidRDefault="00542E7B" w:rsidP="00FE606D">
      <w:pPr>
        <w:spacing w:line="240" w:lineRule="auto"/>
        <w:rPr>
          <w:rFonts w:ascii="Arial" w:hAnsi="Arial" w:cs="Arial"/>
          <w:sz w:val="24"/>
          <w:szCs w:val="24"/>
        </w:rPr>
      </w:pPr>
      <w:r w:rsidRPr="00FE606D">
        <w:rPr>
          <w:rFonts w:ascii="Arial" w:hAnsi="Arial" w:cs="Arial"/>
          <w:sz w:val="24"/>
          <w:szCs w:val="24"/>
        </w:rPr>
        <w:t xml:space="preserve">Client assessments must be completed by trained RHP </w:t>
      </w:r>
      <w:proofErr w:type="spellStart"/>
      <w:r w:rsidRPr="00FE606D">
        <w:rPr>
          <w:rFonts w:ascii="Arial" w:hAnsi="Arial" w:cs="Arial"/>
          <w:sz w:val="24"/>
          <w:szCs w:val="24"/>
        </w:rPr>
        <w:t>interRAI</w:t>
      </w:r>
      <w:proofErr w:type="spellEnd"/>
      <w:r w:rsidRPr="00FE606D">
        <w:rPr>
          <w:rFonts w:ascii="Arial" w:hAnsi="Arial" w:cs="Arial"/>
          <w:sz w:val="24"/>
          <w:szCs w:val="24"/>
        </w:rPr>
        <w:t xml:space="preserve"> assessors who meet the ‘Criteria for Training and Workforce Requirements’ as listed in the Ministry</w:t>
      </w:r>
      <w:r w:rsidR="00CF3B99" w:rsidRPr="00FE606D">
        <w:rPr>
          <w:rFonts w:ascii="Arial" w:hAnsi="Arial" w:cs="Arial"/>
          <w:sz w:val="24"/>
          <w:szCs w:val="24"/>
        </w:rPr>
        <w:t xml:space="preserve"> of </w:t>
      </w:r>
      <w:r w:rsidR="00FC0924" w:rsidRPr="00FE606D">
        <w:rPr>
          <w:rFonts w:ascii="Arial" w:hAnsi="Arial" w:cs="Arial"/>
          <w:sz w:val="24"/>
          <w:szCs w:val="24"/>
        </w:rPr>
        <w:t>Health’s</w:t>
      </w:r>
      <w:r w:rsidRPr="00FE606D">
        <w:rPr>
          <w:rFonts w:ascii="Arial" w:hAnsi="Arial" w:cs="Arial"/>
          <w:sz w:val="24"/>
          <w:szCs w:val="24"/>
        </w:rPr>
        <w:t xml:space="preserve"> </w:t>
      </w:r>
      <w:proofErr w:type="spellStart"/>
      <w:r w:rsidRPr="00FE606D">
        <w:rPr>
          <w:rFonts w:ascii="Arial" w:hAnsi="Arial" w:cs="Arial"/>
          <w:sz w:val="24"/>
          <w:szCs w:val="24"/>
        </w:rPr>
        <w:t>interRAI</w:t>
      </w:r>
      <w:proofErr w:type="spellEnd"/>
      <w:r w:rsidRPr="00FE606D">
        <w:rPr>
          <w:rFonts w:ascii="Arial" w:hAnsi="Arial" w:cs="Arial"/>
          <w:sz w:val="24"/>
          <w:szCs w:val="24"/>
        </w:rPr>
        <w:t xml:space="preserve"> National DHB Project Implementation Plan (2008-2012</w:t>
      </w:r>
      <w:r w:rsidR="00370125" w:rsidRPr="00FE606D">
        <w:rPr>
          <w:rFonts w:ascii="Arial" w:hAnsi="Arial" w:cs="Arial"/>
          <w:sz w:val="24"/>
          <w:szCs w:val="24"/>
        </w:rPr>
        <w:t>). The</w:t>
      </w:r>
      <w:r w:rsidRPr="00FE606D">
        <w:rPr>
          <w:rFonts w:ascii="Arial" w:hAnsi="Arial" w:cs="Arial"/>
          <w:sz w:val="24"/>
          <w:szCs w:val="24"/>
        </w:rPr>
        <w:t xml:space="preserve"> Provider</w:t>
      </w:r>
      <w:r w:rsidR="003D22B1" w:rsidRPr="00FE606D">
        <w:rPr>
          <w:rFonts w:ascii="Arial" w:hAnsi="Arial" w:cs="Arial"/>
          <w:sz w:val="24"/>
          <w:szCs w:val="24"/>
        </w:rPr>
        <w:t xml:space="preserve"> RHP will </w:t>
      </w:r>
      <w:r w:rsidR="007D67D2" w:rsidRPr="00FE606D">
        <w:rPr>
          <w:rFonts w:ascii="Arial" w:hAnsi="Arial" w:cs="Arial"/>
          <w:sz w:val="24"/>
          <w:szCs w:val="24"/>
        </w:rPr>
        <w:lastRenderedPageBreak/>
        <w:t>meet competency requirements</w:t>
      </w:r>
      <w:r w:rsidR="00E33533" w:rsidRPr="00FE606D">
        <w:rPr>
          <w:rFonts w:ascii="Arial" w:hAnsi="Arial" w:cs="Arial"/>
          <w:sz w:val="24"/>
          <w:szCs w:val="24"/>
        </w:rPr>
        <w:t xml:space="preserve"> to </w:t>
      </w:r>
      <w:r w:rsidR="003D22B1" w:rsidRPr="00FE606D">
        <w:rPr>
          <w:rFonts w:ascii="Arial" w:hAnsi="Arial" w:cs="Arial"/>
          <w:sz w:val="24"/>
          <w:szCs w:val="24"/>
        </w:rPr>
        <w:t xml:space="preserve">complete </w:t>
      </w:r>
      <w:proofErr w:type="spellStart"/>
      <w:r w:rsidR="003D22B1" w:rsidRPr="00FE606D">
        <w:rPr>
          <w:rFonts w:ascii="Arial" w:hAnsi="Arial" w:cs="Arial"/>
          <w:sz w:val="24"/>
          <w:szCs w:val="24"/>
        </w:rPr>
        <w:t>interRAI</w:t>
      </w:r>
      <w:proofErr w:type="spellEnd"/>
      <w:r w:rsidR="003D22B1" w:rsidRPr="00FE606D">
        <w:rPr>
          <w:rFonts w:ascii="Arial" w:hAnsi="Arial" w:cs="Arial"/>
          <w:sz w:val="24"/>
          <w:szCs w:val="24"/>
        </w:rPr>
        <w:t xml:space="preserve"> Home Care</w:t>
      </w:r>
      <w:r w:rsidR="005D680B" w:rsidRPr="00FE606D">
        <w:rPr>
          <w:rFonts w:ascii="Arial" w:hAnsi="Arial" w:cs="Arial"/>
          <w:sz w:val="24"/>
          <w:szCs w:val="24"/>
        </w:rPr>
        <w:t xml:space="preserve"> (if requirement</w:t>
      </w:r>
      <w:r w:rsidRPr="00FE606D">
        <w:rPr>
          <w:rFonts w:ascii="Arial" w:hAnsi="Arial" w:cs="Arial"/>
          <w:sz w:val="24"/>
          <w:szCs w:val="24"/>
        </w:rPr>
        <w:t xml:space="preserve"> is</w:t>
      </w:r>
      <w:r w:rsidR="005D680B" w:rsidRPr="00FE606D">
        <w:rPr>
          <w:rFonts w:ascii="Arial" w:hAnsi="Arial" w:cs="Arial"/>
          <w:sz w:val="24"/>
          <w:szCs w:val="24"/>
        </w:rPr>
        <w:t xml:space="preserve"> agreed by NASC)</w:t>
      </w:r>
      <w:r w:rsidR="003D22B1" w:rsidRPr="00FE606D">
        <w:rPr>
          <w:rFonts w:ascii="Arial" w:hAnsi="Arial" w:cs="Arial"/>
          <w:sz w:val="24"/>
          <w:szCs w:val="24"/>
        </w:rPr>
        <w:t xml:space="preserve"> and </w:t>
      </w:r>
      <w:r w:rsidR="00E33533" w:rsidRPr="00FE606D">
        <w:rPr>
          <w:rFonts w:ascii="Arial" w:hAnsi="Arial" w:cs="Arial"/>
          <w:sz w:val="24"/>
          <w:szCs w:val="24"/>
        </w:rPr>
        <w:t>C</w:t>
      </w:r>
      <w:r w:rsidR="003D22B1" w:rsidRPr="00FE606D">
        <w:rPr>
          <w:rFonts w:ascii="Arial" w:hAnsi="Arial" w:cs="Arial"/>
          <w:sz w:val="24"/>
          <w:szCs w:val="24"/>
        </w:rPr>
        <w:t xml:space="preserve">ontact assessments </w:t>
      </w:r>
      <w:r w:rsidR="007D67D2" w:rsidRPr="00FE606D">
        <w:rPr>
          <w:rFonts w:ascii="Arial" w:hAnsi="Arial" w:cs="Arial"/>
          <w:sz w:val="24"/>
          <w:szCs w:val="24"/>
        </w:rPr>
        <w:t>and</w:t>
      </w:r>
      <w:r w:rsidR="003D22B1" w:rsidRPr="00FE606D">
        <w:rPr>
          <w:rFonts w:ascii="Arial" w:hAnsi="Arial" w:cs="Arial"/>
          <w:sz w:val="24"/>
          <w:szCs w:val="24"/>
        </w:rPr>
        <w:t xml:space="preserve"> write and review </w:t>
      </w:r>
      <w:r w:rsidR="00CD0ED8" w:rsidRPr="00FE606D">
        <w:rPr>
          <w:rFonts w:ascii="Arial" w:hAnsi="Arial" w:cs="Arial"/>
          <w:sz w:val="24"/>
          <w:szCs w:val="24"/>
        </w:rPr>
        <w:t>individual support</w:t>
      </w:r>
      <w:r w:rsidR="005D1C5D" w:rsidRPr="00FE606D">
        <w:rPr>
          <w:rFonts w:ascii="Arial" w:hAnsi="Arial" w:cs="Arial"/>
          <w:sz w:val="24"/>
          <w:szCs w:val="24"/>
        </w:rPr>
        <w:t xml:space="preserve"> plan</w:t>
      </w:r>
      <w:r w:rsidR="005D680B" w:rsidRPr="00FE606D">
        <w:rPr>
          <w:rFonts w:ascii="Arial" w:hAnsi="Arial" w:cs="Arial"/>
          <w:sz w:val="24"/>
          <w:szCs w:val="24"/>
        </w:rPr>
        <w:t>s</w:t>
      </w:r>
      <w:r w:rsidR="00FF5C9A" w:rsidRPr="00FE606D">
        <w:rPr>
          <w:rFonts w:ascii="Arial" w:hAnsi="Arial" w:cs="Arial"/>
          <w:sz w:val="24"/>
          <w:szCs w:val="24"/>
        </w:rPr>
        <w:t xml:space="preserve"> using the </w:t>
      </w:r>
      <w:proofErr w:type="spellStart"/>
      <w:r w:rsidR="00FF5C9A" w:rsidRPr="00FE606D">
        <w:rPr>
          <w:rFonts w:ascii="Arial" w:hAnsi="Arial" w:cs="Arial"/>
          <w:sz w:val="24"/>
          <w:szCs w:val="24"/>
        </w:rPr>
        <w:t>interRAI</w:t>
      </w:r>
      <w:proofErr w:type="spellEnd"/>
      <w:r w:rsidRPr="00FE606D">
        <w:rPr>
          <w:rFonts w:ascii="Arial" w:hAnsi="Arial" w:cs="Arial"/>
          <w:sz w:val="24"/>
          <w:szCs w:val="24"/>
        </w:rPr>
        <w:t xml:space="preserve"> assessment</w:t>
      </w:r>
      <w:r w:rsidR="00FF5C9A" w:rsidRPr="00FE606D">
        <w:rPr>
          <w:rFonts w:ascii="Arial" w:hAnsi="Arial" w:cs="Arial"/>
          <w:sz w:val="24"/>
          <w:szCs w:val="24"/>
        </w:rPr>
        <w:t xml:space="preserve"> </w:t>
      </w:r>
      <w:r w:rsidRPr="00FE606D">
        <w:rPr>
          <w:rFonts w:ascii="Arial" w:hAnsi="Arial" w:cs="Arial"/>
          <w:sz w:val="24"/>
          <w:szCs w:val="24"/>
        </w:rPr>
        <w:t>information</w:t>
      </w:r>
      <w:r w:rsidR="005D680B" w:rsidRPr="00FE606D">
        <w:rPr>
          <w:rFonts w:ascii="Arial" w:hAnsi="Arial" w:cs="Arial"/>
          <w:sz w:val="24"/>
          <w:szCs w:val="24"/>
        </w:rPr>
        <w:t xml:space="preserve"> (</w:t>
      </w:r>
      <w:r w:rsidR="00DC674C">
        <w:rPr>
          <w:rFonts w:ascii="Arial" w:hAnsi="Arial" w:cs="Arial"/>
          <w:sz w:val="24"/>
          <w:szCs w:val="24"/>
        </w:rPr>
        <w:t xml:space="preserve">refer to the </w:t>
      </w:r>
      <w:r w:rsidR="0032323D" w:rsidRPr="00FE606D">
        <w:rPr>
          <w:rFonts w:ascii="Arial" w:hAnsi="Arial" w:cs="Arial"/>
          <w:sz w:val="24"/>
          <w:szCs w:val="24"/>
        </w:rPr>
        <w:t xml:space="preserve">HCSS </w:t>
      </w:r>
      <w:r w:rsidR="00C37F02">
        <w:rPr>
          <w:rFonts w:ascii="Arial" w:hAnsi="Arial" w:cs="Arial"/>
          <w:sz w:val="24"/>
          <w:szCs w:val="24"/>
        </w:rPr>
        <w:t>Operations</w:t>
      </w:r>
      <w:r w:rsidR="0032323D" w:rsidRPr="00FE606D">
        <w:rPr>
          <w:rFonts w:ascii="Arial" w:hAnsi="Arial" w:cs="Arial"/>
          <w:sz w:val="24"/>
          <w:szCs w:val="24"/>
        </w:rPr>
        <w:t xml:space="preserve"> Manual</w:t>
      </w:r>
      <w:r w:rsidR="00291E15">
        <w:rPr>
          <w:rFonts w:ascii="Arial" w:hAnsi="Arial" w:cs="Arial"/>
          <w:sz w:val="24"/>
          <w:szCs w:val="24"/>
        </w:rPr>
        <w:t xml:space="preserve">). </w:t>
      </w:r>
    </w:p>
    <w:p w14:paraId="243ECAB7" w14:textId="25D3A400" w:rsidR="008B647A" w:rsidRPr="00FE606D" w:rsidRDefault="00585766" w:rsidP="00FE606D">
      <w:pPr>
        <w:pStyle w:val="Heading2"/>
        <w:spacing w:after="120"/>
        <w:rPr>
          <w:rFonts w:ascii="Arial" w:hAnsi="Arial" w:cs="Arial"/>
          <w:sz w:val="24"/>
          <w:szCs w:val="24"/>
        </w:rPr>
      </w:pPr>
      <w:bookmarkStart w:id="132" w:name="_Toc43122860"/>
      <w:r w:rsidRPr="00FE606D">
        <w:rPr>
          <w:rFonts w:ascii="Arial" w:hAnsi="Arial" w:cs="Arial"/>
          <w:sz w:val="24"/>
          <w:szCs w:val="24"/>
        </w:rPr>
        <w:t>7.</w:t>
      </w:r>
      <w:r w:rsidR="008B647A" w:rsidRPr="00FE606D">
        <w:rPr>
          <w:rFonts w:ascii="Arial" w:hAnsi="Arial" w:cs="Arial"/>
          <w:sz w:val="24"/>
          <w:szCs w:val="24"/>
        </w:rPr>
        <w:t>4</w:t>
      </w:r>
      <w:r w:rsidRPr="00FE606D">
        <w:rPr>
          <w:rFonts w:ascii="Arial" w:hAnsi="Arial" w:cs="Arial"/>
          <w:sz w:val="24"/>
          <w:szCs w:val="24"/>
        </w:rPr>
        <w:tab/>
      </w:r>
      <w:r w:rsidR="008B647A" w:rsidRPr="00FE606D">
        <w:rPr>
          <w:rFonts w:ascii="Arial" w:hAnsi="Arial" w:cs="Arial"/>
          <w:sz w:val="24"/>
          <w:szCs w:val="24"/>
        </w:rPr>
        <w:t xml:space="preserve">Workforce </w:t>
      </w:r>
      <w:r w:rsidR="00723180">
        <w:rPr>
          <w:rFonts w:ascii="Arial" w:hAnsi="Arial" w:cs="Arial"/>
          <w:sz w:val="24"/>
          <w:szCs w:val="24"/>
        </w:rPr>
        <w:t>d</w:t>
      </w:r>
      <w:r w:rsidR="008B647A" w:rsidRPr="00FE606D">
        <w:rPr>
          <w:rFonts w:ascii="Arial" w:hAnsi="Arial" w:cs="Arial"/>
          <w:sz w:val="24"/>
          <w:szCs w:val="24"/>
        </w:rPr>
        <w:t>iversity</w:t>
      </w:r>
      <w:bookmarkEnd w:id="132"/>
      <w:r w:rsidR="008B647A" w:rsidRPr="00FE606D">
        <w:rPr>
          <w:rFonts w:ascii="Arial" w:hAnsi="Arial" w:cs="Arial"/>
          <w:sz w:val="24"/>
          <w:szCs w:val="24"/>
        </w:rPr>
        <w:t xml:space="preserve"> </w:t>
      </w:r>
    </w:p>
    <w:p w14:paraId="17F3A314" w14:textId="178D71EF" w:rsidR="008B647A" w:rsidRPr="00FE606D" w:rsidRDefault="005D680B" w:rsidP="00874DFB">
      <w:pPr>
        <w:rPr>
          <w:rFonts w:ascii="Arial" w:hAnsi="Arial" w:cs="Arial"/>
          <w:sz w:val="24"/>
          <w:szCs w:val="24"/>
        </w:rPr>
      </w:pPr>
      <w:r w:rsidRPr="00FE606D">
        <w:rPr>
          <w:rFonts w:ascii="Arial" w:hAnsi="Arial" w:cs="Arial"/>
          <w:sz w:val="24"/>
          <w:szCs w:val="24"/>
        </w:rPr>
        <w:t xml:space="preserve">The Provider ensures services are provided by a workforce that is reflective of the communities in which they provide services </w:t>
      </w:r>
      <w:r w:rsidR="001535F3" w:rsidRPr="00FE606D">
        <w:rPr>
          <w:rFonts w:ascii="Arial" w:hAnsi="Arial" w:cs="Arial"/>
          <w:sz w:val="24"/>
          <w:szCs w:val="24"/>
        </w:rPr>
        <w:t xml:space="preserve">and has active strategies to attract more Māori and Pacific staff and </w:t>
      </w:r>
      <w:r w:rsidRPr="00FE606D">
        <w:rPr>
          <w:rFonts w:ascii="Arial" w:hAnsi="Arial" w:cs="Arial"/>
          <w:sz w:val="24"/>
          <w:szCs w:val="24"/>
        </w:rPr>
        <w:t>staff</w:t>
      </w:r>
      <w:r w:rsidR="001535F3" w:rsidRPr="00FE606D">
        <w:rPr>
          <w:rFonts w:ascii="Arial" w:hAnsi="Arial" w:cs="Arial"/>
          <w:sz w:val="24"/>
          <w:szCs w:val="24"/>
        </w:rPr>
        <w:t xml:space="preserve"> of other ethnicities</w:t>
      </w:r>
      <w:r w:rsidR="008A1131" w:rsidRPr="00FE606D">
        <w:rPr>
          <w:rFonts w:ascii="Arial" w:hAnsi="Arial" w:cs="Arial"/>
          <w:sz w:val="24"/>
          <w:szCs w:val="24"/>
        </w:rPr>
        <w:t xml:space="preserve"> and</w:t>
      </w:r>
      <w:r w:rsidRPr="00FE606D">
        <w:rPr>
          <w:rFonts w:ascii="Arial" w:hAnsi="Arial" w:cs="Arial"/>
          <w:sz w:val="24"/>
          <w:szCs w:val="24"/>
        </w:rPr>
        <w:t xml:space="preserve"> </w:t>
      </w:r>
      <w:r w:rsidR="008A1131" w:rsidRPr="00FE606D">
        <w:rPr>
          <w:rFonts w:ascii="Arial" w:hAnsi="Arial" w:cs="Arial"/>
          <w:sz w:val="24"/>
          <w:szCs w:val="24"/>
        </w:rPr>
        <w:t>minority groups</w:t>
      </w:r>
      <w:r w:rsidRPr="00FE606D">
        <w:rPr>
          <w:rFonts w:ascii="Arial" w:hAnsi="Arial" w:cs="Arial"/>
          <w:sz w:val="24"/>
          <w:szCs w:val="24"/>
        </w:rPr>
        <w:t xml:space="preserve"> (</w:t>
      </w:r>
      <w:proofErr w:type="spellStart"/>
      <w:r w:rsidR="00291E15">
        <w:rPr>
          <w:rFonts w:ascii="Arial" w:hAnsi="Arial" w:cs="Arial"/>
          <w:sz w:val="24"/>
          <w:szCs w:val="24"/>
        </w:rPr>
        <w:t>e</w:t>
      </w:r>
      <w:r w:rsidR="0081360F">
        <w:rPr>
          <w:rFonts w:ascii="Arial" w:hAnsi="Arial" w:cs="Arial"/>
          <w:sz w:val="24"/>
          <w:szCs w:val="24"/>
        </w:rPr>
        <w:t>g</w:t>
      </w:r>
      <w:proofErr w:type="spellEnd"/>
      <w:r w:rsidR="001A4580" w:rsidRPr="00FE606D">
        <w:rPr>
          <w:rFonts w:ascii="Arial" w:hAnsi="Arial" w:cs="Arial"/>
          <w:sz w:val="24"/>
          <w:szCs w:val="24"/>
        </w:rPr>
        <w:t xml:space="preserve"> Lesbian, Gay, Transitioning, Questioning or intersex</w:t>
      </w:r>
      <w:r w:rsidRPr="00FE606D">
        <w:rPr>
          <w:rFonts w:ascii="Arial" w:hAnsi="Arial" w:cs="Arial"/>
          <w:sz w:val="24"/>
          <w:szCs w:val="24"/>
        </w:rPr>
        <w:t>)</w:t>
      </w:r>
      <w:r w:rsidR="001535F3" w:rsidRPr="00FE606D">
        <w:rPr>
          <w:rFonts w:ascii="Arial" w:hAnsi="Arial" w:cs="Arial"/>
          <w:sz w:val="24"/>
          <w:szCs w:val="24"/>
        </w:rPr>
        <w:t xml:space="preserve"> to health roles as reflected by the community service area.</w:t>
      </w:r>
      <w:r w:rsidRPr="00FE606D">
        <w:rPr>
          <w:rFonts w:ascii="Arial" w:hAnsi="Arial" w:cs="Arial"/>
          <w:sz w:val="24"/>
          <w:szCs w:val="24"/>
        </w:rPr>
        <w:t xml:space="preserve"> </w:t>
      </w:r>
      <w:r w:rsidR="001535F3" w:rsidRPr="00FE606D">
        <w:rPr>
          <w:rFonts w:ascii="Arial" w:hAnsi="Arial" w:cs="Arial"/>
          <w:sz w:val="24"/>
          <w:szCs w:val="24"/>
        </w:rPr>
        <w:t>Where possible the client will be matched with support staff of the same culture who can speak in the same language as the client</w:t>
      </w:r>
      <w:r w:rsidR="0053763C" w:rsidRPr="00FE606D">
        <w:rPr>
          <w:rFonts w:ascii="Arial" w:hAnsi="Arial" w:cs="Arial"/>
          <w:sz w:val="24"/>
          <w:szCs w:val="24"/>
        </w:rPr>
        <w:t xml:space="preserve"> as required</w:t>
      </w:r>
      <w:r w:rsidR="001535F3" w:rsidRPr="00FE606D">
        <w:rPr>
          <w:rFonts w:ascii="Arial" w:hAnsi="Arial" w:cs="Arial"/>
          <w:sz w:val="24"/>
          <w:szCs w:val="24"/>
        </w:rPr>
        <w:t xml:space="preserve">. </w:t>
      </w:r>
      <w:r w:rsidR="001A4580" w:rsidRPr="00FE606D">
        <w:rPr>
          <w:rFonts w:ascii="Arial" w:hAnsi="Arial" w:cs="Arial"/>
          <w:snapToGrid w:val="0"/>
          <w:sz w:val="24"/>
          <w:szCs w:val="24"/>
          <w:lang w:val="en-US"/>
        </w:rPr>
        <w:t>Clients</w:t>
      </w:r>
      <w:r w:rsidR="001535F3" w:rsidRPr="00FE606D">
        <w:rPr>
          <w:rFonts w:ascii="Arial" w:hAnsi="Arial" w:cs="Arial"/>
          <w:snapToGrid w:val="0"/>
          <w:sz w:val="24"/>
          <w:szCs w:val="24"/>
          <w:lang w:val="en-US"/>
        </w:rPr>
        <w:t xml:space="preserve"> </w:t>
      </w:r>
      <w:r w:rsidR="0053763C" w:rsidRPr="00FE606D">
        <w:rPr>
          <w:rFonts w:ascii="Arial" w:hAnsi="Arial" w:cs="Arial"/>
          <w:snapToGrid w:val="0"/>
          <w:sz w:val="24"/>
          <w:szCs w:val="24"/>
          <w:lang w:val="en-US"/>
        </w:rPr>
        <w:t xml:space="preserve">are </w:t>
      </w:r>
      <w:r w:rsidR="008A1131" w:rsidRPr="00FE606D">
        <w:rPr>
          <w:rFonts w:ascii="Arial" w:hAnsi="Arial" w:cs="Arial"/>
          <w:snapToGrid w:val="0"/>
          <w:sz w:val="24"/>
          <w:szCs w:val="24"/>
          <w:lang w:val="en-US"/>
        </w:rPr>
        <w:t>supported</w:t>
      </w:r>
      <w:r w:rsidR="001535F3" w:rsidRPr="00FE606D">
        <w:rPr>
          <w:rFonts w:ascii="Arial" w:hAnsi="Arial" w:cs="Arial"/>
          <w:snapToGrid w:val="0"/>
          <w:sz w:val="24"/>
          <w:szCs w:val="24"/>
          <w:lang w:val="en-US"/>
        </w:rPr>
        <w:t xml:space="preserve"> to access interpreter services as required</w:t>
      </w:r>
      <w:r w:rsidR="00B108A7" w:rsidRPr="00FE606D">
        <w:rPr>
          <w:rFonts w:ascii="Arial" w:hAnsi="Arial" w:cs="Arial"/>
          <w:snapToGrid w:val="0"/>
          <w:sz w:val="24"/>
          <w:szCs w:val="24"/>
          <w:lang w:val="en-US"/>
        </w:rPr>
        <w:t xml:space="preserve"> </w:t>
      </w:r>
      <w:r w:rsidR="00476972" w:rsidRPr="00FE606D">
        <w:rPr>
          <w:rFonts w:ascii="Arial" w:hAnsi="Arial" w:cs="Arial"/>
          <w:snapToGrid w:val="0"/>
          <w:sz w:val="24"/>
          <w:szCs w:val="24"/>
          <w:lang w:val="en-US"/>
        </w:rPr>
        <w:t>including N</w:t>
      </w:r>
      <w:r w:rsidR="001A4580" w:rsidRPr="00FE606D">
        <w:rPr>
          <w:rFonts w:ascii="Arial" w:hAnsi="Arial" w:cs="Arial"/>
          <w:snapToGrid w:val="0"/>
          <w:sz w:val="24"/>
          <w:szCs w:val="24"/>
          <w:lang w:val="en-US"/>
        </w:rPr>
        <w:t xml:space="preserve">ew </w:t>
      </w:r>
      <w:r w:rsidR="00476972" w:rsidRPr="00FE606D">
        <w:rPr>
          <w:rFonts w:ascii="Arial" w:hAnsi="Arial" w:cs="Arial"/>
          <w:snapToGrid w:val="0"/>
          <w:sz w:val="24"/>
          <w:szCs w:val="24"/>
          <w:lang w:val="en-US"/>
        </w:rPr>
        <w:t>Z</w:t>
      </w:r>
      <w:r w:rsidR="001A4580" w:rsidRPr="00FE606D">
        <w:rPr>
          <w:rFonts w:ascii="Arial" w:hAnsi="Arial" w:cs="Arial"/>
          <w:snapToGrid w:val="0"/>
          <w:sz w:val="24"/>
          <w:szCs w:val="24"/>
          <w:lang w:val="en-US"/>
        </w:rPr>
        <w:t>ealand</w:t>
      </w:r>
      <w:r w:rsidR="00476972" w:rsidRPr="00FE606D">
        <w:rPr>
          <w:rFonts w:ascii="Arial" w:hAnsi="Arial" w:cs="Arial"/>
          <w:snapToGrid w:val="0"/>
          <w:sz w:val="24"/>
          <w:szCs w:val="24"/>
          <w:lang w:val="en-US"/>
        </w:rPr>
        <w:t xml:space="preserve"> </w:t>
      </w:r>
      <w:r w:rsidR="0081360F">
        <w:rPr>
          <w:rFonts w:ascii="Arial" w:hAnsi="Arial" w:cs="Arial"/>
          <w:snapToGrid w:val="0"/>
          <w:sz w:val="24"/>
          <w:szCs w:val="24"/>
          <w:lang w:val="en-US"/>
        </w:rPr>
        <w:t>S</w:t>
      </w:r>
      <w:r w:rsidR="00476972" w:rsidRPr="00FE606D">
        <w:rPr>
          <w:rFonts w:ascii="Arial" w:hAnsi="Arial" w:cs="Arial"/>
          <w:snapToGrid w:val="0"/>
          <w:sz w:val="24"/>
          <w:szCs w:val="24"/>
          <w:lang w:val="en-US"/>
        </w:rPr>
        <w:t xml:space="preserve">ign </w:t>
      </w:r>
      <w:r w:rsidR="0081360F">
        <w:rPr>
          <w:rFonts w:ascii="Arial" w:hAnsi="Arial" w:cs="Arial"/>
          <w:snapToGrid w:val="0"/>
          <w:sz w:val="24"/>
          <w:szCs w:val="24"/>
          <w:lang w:val="en-US"/>
        </w:rPr>
        <w:t>L</w:t>
      </w:r>
      <w:r w:rsidR="00476972" w:rsidRPr="00FE606D">
        <w:rPr>
          <w:rFonts w:ascii="Arial" w:hAnsi="Arial" w:cs="Arial"/>
          <w:snapToGrid w:val="0"/>
          <w:sz w:val="24"/>
          <w:szCs w:val="24"/>
          <w:lang w:val="en-US"/>
        </w:rPr>
        <w:t>anguage</w:t>
      </w:r>
      <w:r w:rsidR="00542E7B" w:rsidRPr="00FE606D">
        <w:rPr>
          <w:rFonts w:ascii="Arial" w:hAnsi="Arial" w:cs="Arial"/>
          <w:snapToGrid w:val="0"/>
          <w:sz w:val="24"/>
          <w:szCs w:val="24"/>
          <w:lang w:val="en-US"/>
        </w:rPr>
        <w:t xml:space="preserve"> for the Deaf</w:t>
      </w:r>
      <w:r w:rsidR="00476972" w:rsidRPr="00FE606D">
        <w:rPr>
          <w:rFonts w:ascii="Arial" w:hAnsi="Arial" w:cs="Arial"/>
          <w:snapToGrid w:val="0"/>
          <w:sz w:val="24"/>
          <w:szCs w:val="24"/>
          <w:lang w:val="en-US"/>
        </w:rPr>
        <w:t xml:space="preserve">. </w:t>
      </w:r>
    </w:p>
    <w:p w14:paraId="78C3EC83" w14:textId="77777777" w:rsidR="00643B2D" w:rsidRPr="00FE606D" w:rsidRDefault="008B647A" w:rsidP="00DC674C">
      <w:pPr>
        <w:pStyle w:val="Heading1"/>
        <w:rPr>
          <w:lang w:eastAsia="en-NZ"/>
        </w:rPr>
      </w:pPr>
      <w:bookmarkStart w:id="133" w:name="_Toc19519196"/>
      <w:bookmarkStart w:id="134" w:name="_Toc19524565"/>
      <w:bookmarkStart w:id="135" w:name="_Toc43122861"/>
      <w:r w:rsidRPr="00FE606D">
        <w:rPr>
          <w:lang w:eastAsia="en-NZ"/>
        </w:rPr>
        <w:t>8</w:t>
      </w:r>
      <w:r w:rsidR="007F2E65">
        <w:rPr>
          <w:lang w:eastAsia="en-NZ"/>
        </w:rPr>
        <w:tab/>
      </w:r>
      <w:r w:rsidR="008859C8" w:rsidRPr="00FE606D">
        <w:rPr>
          <w:lang w:eastAsia="en-NZ"/>
        </w:rPr>
        <w:t xml:space="preserve">Service </w:t>
      </w:r>
      <w:r w:rsidR="00643B2D" w:rsidRPr="00FE606D">
        <w:rPr>
          <w:lang w:eastAsia="en-NZ"/>
        </w:rPr>
        <w:t>Linkages</w:t>
      </w:r>
      <w:bookmarkEnd w:id="133"/>
      <w:bookmarkEnd w:id="134"/>
      <w:bookmarkEnd w:id="135"/>
    </w:p>
    <w:p w14:paraId="0F554AEA" w14:textId="77777777" w:rsidR="00F10711" w:rsidRPr="00FE606D" w:rsidRDefault="00F10711" w:rsidP="00FE606D">
      <w:pPr>
        <w:ind w:right="-1"/>
        <w:rPr>
          <w:rFonts w:ascii="Arial" w:hAnsi="Arial" w:cs="Arial"/>
          <w:sz w:val="24"/>
          <w:szCs w:val="24"/>
          <w:lang w:val="en-AU"/>
        </w:rPr>
      </w:pPr>
      <w:bookmarkStart w:id="136" w:name="_Toc3079019"/>
      <w:bookmarkStart w:id="137" w:name="_Toc510537464"/>
      <w:r w:rsidRPr="00FE606D">
        <w:rPr>
          <w:rFonts w:ascii="Arial" w:hAnsi="Arial" w:cs="Arial"/>
          <w:sz w:val="24"/>
          <w:szCs w:val="24"/>
        </w:rPr>
        <w:t xml:space="preserve">See Tier One Community Health, Transitional and Support Services service specification Section 8, Service Linkages.  </w:t>
      </w:r>
    </w:p>
    <w:p w14:paraId="5627A715" w14:textId="28588B9B" w:rsidR="00643B2D" w:rsidRPr="00FE606D" w:rsidRDefault="00643B2D" w:rsidP="00FE606D">
      <w:pPr>
        <w:spacing w:after="120"/>
        <w:ind w:right="-1"/>
        <w:rPr>
          <w:rFonts w:ascii="Arial" w:hAnsi="Arial" w:cs="Arial"/>
          <w:sz w:val="24"/>
          <w:szCs w:val="24"/>
        </w:rPr>
      </w:pPr>
      <w:r w:rsidRPr="00FE606D">
        <w:rPr>
          <w:rFonts w:ascii="Arial" w:hAnsi="Arial" w:cs="Arial"/>
          <w:sz w:val="24"/>
          <w:szCs w:val="24"/>
        </w:rPr>
        <w:t xml:space="preserve">Key linkages between the </w:t>
      </w:r>
      <w:r w:rsidR="00855E2B">
        <w:rPr>
          <w:rFonts w:ascii="Arial" w:hAnsi="Arial" w:cs="Arial"/>
          <w:sz w:val="24"/>
          <w:szCs w:val="24"/>
        </w:rPr>
        <w:t>P</w:t>
      </w:r>
      <w:r w:rsidRPr="00FE606D">
        <w:rPr>
          <w:rFonts w:ascii="Arial" w:hAnsi="Arial" w:cs="Arial"/>
          <w:sz w:val="24"/>
          <w:szCs w:val="24"/>
        </w:rPr>
        <w:t xml:space="preserve">rovider and other entities are critical to the effective delivery of seamless and integrated HCSS and to maintain social connections for </w:t>
      </w:r>
      <w:r w:rsidR="00B40C49" w:rsidRPr="00FE606D">
        <w:rPr>
          <w:rFonts w:ascii="Arial" w:hAnsi="Arial" w:cs="Arial"/>
          <w:sz w:val="24"/>
          <w:szCs w:val="24"/>
        </w:rPr>
        <w:t>client</w:t>
      </w:r>
      <w:r w:rsidRPr="00FE606D">
        <w:rPr>
          <w:rFonts w:ascii="Arial" w:hAnsi="Arial" w:cs="Arial"/>
          <w:sz w:val="24"/>
          <w:szCs w:val="24"/>
        </w:rPr>
        <w:t>s. Key linkages will be established with:</w:t>
      </w:r>
    </w:p>
    <w:p w14:paraId="4A41B3AF" w14:textId="77777777" w:rsidR="00643B2D" w:rsidRPr="00FE606D" w:rsidRDefault="00F9455E" w:rsidP="00FE606D">
      <w:pPr>
        <w:pStyle w:val="ListParagraph"/>
        <w:numPr>
          <w:ilvl w:val="0"/>
          <w:numId w:val="29"/>
        </w:numPr>
        <w:spacing w:after="120"/>
        <w:ind w:left="357" w:right="-1" w:hanging="357"/>
        <w:contextualSpacing w:val="0"/>
        <w:rPr>
          <w:rFonts w:ascii="Arial" w:hAnsi="Arial" w:cs="Arial"/>
          <w:sz w:val="24"/>
          <w:szCs w:val="24"/>
        </w:rPr>
      </w:pPr>
      <w:r w:rsidRPr="00FE606D">
        <w:rPr>
          <w:rFonts w:ascii="Arial" w:hAnsi="Arial" w:cs="Arial"/>
          <w:b/>
          <w:sz w:val="24"/>
          <w:szCs w:val="24"/>
        </w:rPr>
        <w:t xml:space="preserve">The </w:t>
      </w:r>
      <w:r w:rsidR="00B108A7" w:rsidRPr="00FE606D">
        <w:rPr>
          <w:rFonts w:ascii="Arial" w:hAnsi="Arial" w:cs="Arial"/>
          <w:b/>
          <w:sz w:val="24"/>
          <w:szCs w:val="24"/>
        </w:rPr>
        <w:t>c</w:t>
      </w:r>
      <w:r w:rsidRPr="00FE606D">
        <w:rPr>
          <w:rFonts w:ascii="Arial" w:hAnsi="Arial" w:cs="Arial"/>
          <w:b/>
          <w:sz w:val="24"/>
          <w:szCs w:val="24"/>
        </w:rPr>
        <w:t xml:space="preserve">lient’s </w:t>
      </w:r>
      <w:r w:rsidR="006D4AA5" w:rsidRPr="00FE606D">
        <w:rPr>
          <w:rFonts w:ascii="Arial" w:hAnsi="Arial" w:cs="Arial"/>
          <w:b/>
          <w:sz w:val="24"/>
          <w:szCs w:val="24"/>
        </w:rPr>
        <w:t>p</w:t>
      </w:r>
      <w:r w:rsidR="00643B2D" w:rsidRPr="00FE606D">
        <w:rPr>
          <w:rFonts w:ascii="Arial" w:hAnsi="Arial" w:cs="Arial"/>
          <w:b/>
          <w:sz w:val="24"/>
          <w:szCs w:val="24"/>
        </w:rPr>
        <w:t xml:space="preserve">rimary </w:t>
      </w:r>
      <w:r w:rsidR="00D46933" w:rsidRPr="00FE606D">
        <w:rPr>
          <w:rFonts w:ascii="Arial" w:hAnsi="Arial" w:cs="Arial"/>
          <w:b/>
          <w:sz w:val="24"/>
          <w:szCs w:val="24"/>
        </w:rPr>
        <w:t>health c</w:t>
      </w:r>
      <w:r w:rsidR="00643B2D" w:rsidRPr="00FE606D">
        <w:rPr>
          <w:rFonts w:ascii="Arial" w:hAnsi="Arial" w:cs="Arial"/>
          <w:b/>
          <w:sz w:val="24"/>
          <w:szCs w:val="24"/>
        </w:rPr>
        <w:t xml:space="preserve">are </w:t>
      </w:r>
      <w:r w:rsidRPr="00FE606D">
        <w:rPr>
          <w:rFonts w:ascii="Arial" w:hAnsi="Arial" w:cs="Arial"/>
          <w:b/>
          <w:sz w:val="24"/>
          <w:szCs w:val="24"/>
        </w:rPr>
        <w:t>provider</w:t>
      </w:r>
      <w:r w:rsidR="00F246BA" w:rsidRPr="00FE606D">
        <w:rPr>
          <w:rFonts w:ascii="Arial" w:hAnsi="Arial" w:cs="Arial"/>
          <w:b/>
          <w:sz w:val="24"/>
          <w:szCs w:val="24"/>
        </w:rPr>
        <w:t xml:space="preserve"> </w:t>
      </w:r>
      <w:r w:rsidR="00BE1DB3" w:rsidRPr="00FE606D">
        <w:rPr>
          <w:rFonts w:ascii="Arial" w:hAnsi="Arial" w:cs="Arial"/>
          <w:sz w:val="24"/>
          <w:szCs w:val="24"/>
        </w:rPr>
        <w:t>–</w:t>
      </w:r>
      <w:r w:rsidR="00643B2D" w:rsidRPr="00FE606D">
        <w:rPr>
          <w:rFonts w:ascii="Arial" w:hAnsi="Arial" w:cs="Arial"/>
          <w:b/>
          <w:sz w:val="24"/>
          <w:szCs w:val="24"/>
        </w:rPr>
        <w:t xml:space="preserve"> </w:t>
      </w:r>
      <w:r w:rsidR="00643B2D" w:rsidRPr="00FE606D">
        <w:rPr>
          <w:rFonts w:ascii="Arial" w:hAnsi="Arial" w:cs="Arial"/>
          <w:sz w:val="24"/>
          <w:szCs w:val="24"/>
        </w:rPr>
        <w:t xml:space="preserve">the </w:t>
      </w:r>
      <w:r w:rsidRPr="00FE606D">
        <w:rPr>
          <w:rFonts w:ascii="Arial" w:hAnsi="Arial" w:cs="Arial"/>
          <w:sz w:val="24"/>
          <w:szCs w:val="24"/>
        </w:rPr>
        <w:t>P</w:t>
      </w:r>
      <w:r w:rsidR="00643B2D" w:rsidRPr="00FE606D">
        <w:rPr>
          <w:rFonts w:ascii="Arial" w:hAnsi="Arial" w:cs="Arial"/>
          <w:sz w:val="24"/>
          <w:szCs w:val="24"/>
        </w:rPr>
        <w:t xml:space="preserve">rovider will ensure they develop specific protocols and policies to strengthen communication directly with </w:t>
      </w:r>
      <w:r w:rsidR="00B40C49" w:rsidRPr="00FE606D">
        <w:rPr>
          <w:rFonts w:ascii="Arial" w:hAnsi="Arial" w:cs="Arial"/>
          <w:sz w:val="24"/>
          <w:szCs w:val="24"/>
        </w:rPr>
        <w:t>client</w:t>
      </w:r>
      <w:r w:rsidR="00643B2D" w:rsidRPr="00FE606D">
        <w:rPr>
          <w:rFonts w:ascii="Arial" w:hAnsi="Arial" w:cs="Arial"/>
          <w:sz w:val="24"/>
          <w:szCs w:val="24"/>
        </w:rPr>
        <w:t xml:space="preserve">’s general </w:t>
      </w:r>
      <w:r w:rsidR="00052010" w:rsidRPr="00FE606D">
        <w:rPr>
          <w:rFonts w:ascii="Arial" w:hAnsi="Arial" w:cs="Arial"/>
          <w:sz w:val="24"/>
          <w:szCs w:val="24"/>
        </w:rPr>
        <w:t>practitioner (</w:t>
      </w:r>
      <w:r w:rsidR="00E13AFA" w:rsidRPr="00FE606D">
        <w:rPr>
          <w:rFonts w:ascii="Arial" w:hAnsi="Arial" w:cs="Arial"/>
          <w:sz w:val="24"/>
          <w:szCs w:val="24"/>
        </w:rPr>
        <w:t>GP)</w:t>
      </w:r>
      <w:r w:rsidR="00491A7F" w:rsidRPr="00FE606D">
        <w:rPr>
          <w:rFonts w:ascii="Arial" w:hAnsi="Arial" w:cs="Arial"/>
          <w:sz w:val="24"/>
          <w:szCs w:val="24"/>
        </w:rPr>
        <w:t xml:space="preserve"> </w:t>
      </w:r>
      <w:r w:rsidR="00E13AFA" w:rsidRPr="00FE606D">
        <w:rPr>
          <w:rFonts w:ascii="Arial" w:hAnsi="Arial" w:cs="Arial"/>
          <w:sz w:val="24"/>
          <w:szCs w:val="24"/>
        </w:rPr>
        <w:t xml:space="preserve">or </w:t>
      </w:r>
      <w:r w:rsidR="008819A7" w:rsidRPr="00FE606D">
        <w:rPr>
          <w:rFonts w:ascii="Arial" w:hAnsi="Arial" w:cs="Arial"/>
          <w:sz w:val="24"/>
          <w:szCs w:val="24"/>
        </w:rPr>
        <w:t>n</w:t>
      </w:r>
      <w:r w:rsidR="00E13AFA" w:rsidRPr="00FE606D">
        <w:rPr>
          <w:rFonts w:ascii="Arial" w:hAnsi="Arial" w:cs="Arial"/>
          <w:sz w:val="24"/>
          <w:szCs w:val="24"/>
        </w:rPr>
        <w:t xml:space="preserve">urse </w:t>
      </w:r>
      <w:r w:rsidR="008819A7" w:rsidRPr="00FE606D">
        <w:rPr>
          <w:rFonts w:ascii="Arial" w:hAnsi="Arial" w:cs="Arial"/>
          <w:sz w:val="24"/>
          <w:szCs w:val="24"/>
        </w:rPr>
        <w:t>p</w:t>
      </w:r>
      <w:r w:rsidR="00E13AFA" w:rsidRPr="00FE606D">
        <w:rPr>
          <w:rFonts w:ascii="Arial" w:hAnsi="Arial" w:cs="Arial"/>
          <w:sz w:val="24"/>
          <w:szCs w:val="24"/>
        </w:rPr>
        <w:t>ractitioner (NP)</w:t>
      </w:r>
      <w:r w:rsidR="00D46933" w:rsidRPr="00FE606D">
        <w:rPr>
          <w:rFonts w:ascii="Arial" w:hAnsi="Arial" w:cs="Arial"/>
          <w:sz w:val="24"/>
          <w:szCs w:val="24"/>
        </w:rPr>
        <w:t xml:space="preserve"> </w:t>
      </w:r>
      <w:r w:rsidR="00F246BA" w:rsidRPr="00FE606D">
        <w:rPr>
          <w:rFonts w:ascii="Arial" w:hAnsi="Arial" w:cs="Arial"/>
          <w:sz w:val="24"/>
          <w:szCs w:val="24"/>
        </w:rPr>
        <w:t xml:space="preserve">and </w:t>
      </w:r>
      <w:r w:rsidR="00D46933" w:rsidRPr="00FE606D">
        <w:rPr>
          <w:rFonts w:ascii="Arial" w:hAnsi="Arial" w:cs="Arial"/>
          <w:sz w:val="24"/>
          <w:szCs w:val="24"/>
        </w:rPr>
        <w:t>practice nurse</w:t>
      </w:r>
      <w:r w:rsidR="00643B2D" w:rsidRPr="00FE606D">
        <w:rPr>
          <w:rFonts w:ascii="Arial" w:hAnsi="Arial" w:cs="Arial"/>
          <w:sz w:val="24"/>
          <w:szCs w:val="24"/>
        </w:rPr>
        <w:t xml:space="preserve">. The </w:t>
      </w:r>
      <w:r w:rsidRPr="00FE606D">
        <w:rPr>
          <w:rFonts w:ascii="Arial" w:hAnsi="Arial" w:cs="Arial"/>
          <w:sz w:val="24"/>
          <w:szCs w:val="24"/>
        </w:rPr>
        <w:t>P</w:t>
      </w:r>
      <w:r w:rsidR="00643B2D" w:rsidRPr="00FE606D">
        <w:rPr>
          <w:rFonts w:ascii="Arial" w:hAnsi="Arial" w:cs="Arial"/>
          <w:sz w:val="24"/>
          <w:szCs w:val="24"/>
        </w:rPr>
        <w:t xml:space="preserve">rovider will communicate with the </w:t>
      </w:r>
      <w:r w:rsidR="00E13AFA" w:rsidRPr="00FE606D">
        <w:rPr>
          <w:rFonts w:ascii="Arial" w:hAnsi="Arial" w:cs="Arial"/>
          <w:sz w:val="24"/>
          <w:szCs w:val="24"/>
        </w:rPr>
        <w:t>GP/NP</w:t>
      </w:r>
      <w:r w:rsidR="00D46933" w:rsidRPr="00FE606D">
        <w:rPr>
          <w:rFonts w:ascii="Arial" w:hAnsi="Arial" w:cs="Arial"/>
          <w:sz w:val="24"/>
          <w:szCs w:val="24"/>
        </w:rPr>
        <w:t xml:space="preserve"> or practice nurse about</w:t>
      </w:r>
      <w:r w:rsidR="00643B2D" w:rsidRPr="00FE606D">
        <w:rPr>
          <w:rFonts w:ascii="Arial" w:hAnsi="Arial" w:cs="Arial"/>
          <w:sz w:val="24"/>
          <w:szCs w:val="24"/>
        </w:rPr>
        <w:t xml:space="preserve"> </w:t>
      </w:r>
      <w:r w:rsidR="00B40C49" w:rsidRPr="00FE606D">
        <w:rPr>
          <w:rFonts w:ascii="Arial" w:hAnsi="Arial" w:cs="Arial"/>
          <w:sz w:val="24"/>
          <w:szCs w:val="24"/>
        </w:rPr>
        <w:t>client</w:t>
      </w:r>
      <w:r w:rsidR="00643B2D" w:rsidRPr="00FE606D">
        <w:rPr>
          <w:rFonts w:ascii="Arial" w:hAnsi="Arial" w:cs="Arial"/>
          <w:sz w:val="24"/>
          <w:szCs w:val="24"/>
        </w:rPr>
        <w:t xml:space="preserve">s with high and complex needs </w:t>
      </w:r>
      <w:proofErr w:type="gramStart"/>
      <w:r w:rsidR="00643B2D" w:rsidRPr="00FE606D">
        <w:rPr>
          <w:rFonts w:ascii="Arial" w:hAnsi="Arial" w:cs="Arial"/>
          <w:sz w:val="24"/>
          <w:szCs w:val="24"/>
        </w:rPr>
        <w:t>in regard to</w:t>
      </w:r>
      <w:proofErr w:type="gramEnd"/>
      <w:r w:rsidR="00643B2D" w:rsidRPr="00FE606D">
        <w:rPr>
          <w:rFonts w:ascii="Arial" w:hAnsi="Arial" w:cs="Arial"/>
          <w:sz w:val="24"/>
          <w:szCs w:val="24"/>
        </w:rPr>
        <w:t xml:space="preserve"> any service risks or deterioration in the </w:t>
      </w:r>
      <w:r w:rsidR="00B40C49" w:rsidRPr="00FE606D">
        <w:rPr>
          <w:rFonts w:ascii="Arial" w:hAnsi="Arial" w:cs="Arial"/>
          <w:sz w:val="24"/>
          <w:szCs w:val="24"/>
        </w:rPr>
        <w:t>client</w:t>
      </w:r>
      <w:r w:rsidR="00643B2D" w:rsidRPr="00FE606D">
        <w:rPr>
          <w:rFonts w:ascii="Arial" w:hAnsi="Arial" w:cs="Arial"/>
          <w:sz w:val="24"/>
          <w:szCs w:val="24"/>
        </w:rPr>
        <w:t xml:space="preserve">’s well-being. </w:t>
      </w:r>
    </w:p>
    <w:p w14:paraId="55971F5C" w14:textId="77777777" w:rsidR="00643B2D" w:rsidRPr="00FE606D" w:rsidRDefault="00643B2D" w:rsidP="00FE606D">
      <w:pPr>
        <w:pStyle w:val="ListParagraph"/>
        <w:numPr>
          <w:ilvl w:val="0"/>
          <w:numId w:val="29"/>
        </w:numPr>
        <w:spacing w:after="120"/>
        <w:ind w:left="357" w:right="-1" w:hanging="357"/>
        <w:contextualSpacing w:val="0"/>
        <w:rPr>
          <w:rFonts w:ascii="Arial" w:hAnsi="Arial" w:cs="Arial"/>
          <w:sz w:val="24"/>
          <w:szCs w:val="24"/>
        </w:rPr>
      </w:pPr>
      <w:r w:rsidRPr="00FE606D">
        <w:rPr>
          <w:rFonts w:ascii="Arial" w:hAnsi="Arial" w:cs="Arial"/>
          <w:b/>
          <w:sz w:val="24"/>
          <w:szCs w:val="24"/>
        </w:rPr>
        <w:t>NASC</w:t>
      </w:r>
      <w:r w:rsidR="00052010" w:rsidRPr="00FE606D">
        <w:rPr>
          <w:rFonts w:ascii="Arial" w:hAnsi="Arial" w:cs="Arial"/>
          <w:b/>
          <w:sz w:val="24"/>
          <w:szCs w:val="24"/>
        </w:rPr>
        <w:t xml:space="preserve">/Care </w:t>
      </w:r>
      <w:r w:rsidR="00D46933" w:rsidRPr="00FE606D">
        <w:rPr>
          <w:rFonts w:ascii="Arial" w:hAnsi="Arial" w:cs="Arial"/>
          <w:b/>
          <w:sz w:val="24"/>
          <w:szCs w:val="24"/>
        </w:rPr>
        <w:t>m</w:t>
      </w:r>
      <w:r w:rsidR="00052010" w:rsidRPr="00FE606D">
        <w:rPr>
          <w:rFonts w:ascii="Arial" w:hAnsi="Arial" w:cs="Arial"/>
          <w:b/>
          <w:sz w:val="24"/>
          <w:szCs w:val="24"/>
        </w:rPr>
        <w:t>anager</w:t>
      </w:r>
      <w:r w:rsidRPr="00FE606D">
        <w:rPr>
          <w:rFonts w:ascii="Arial" w:hAnsi="Arial" w:cs="Arial"/>
          <w:b/>
          <w:sz w:val="24"/>
          <w:szCs w:val="24"/>
        </w:rPr>
        <w:t xml:space="preserve"> </w:t>
      </w:r>
      <w:r w:rsidRPr="00FE606D">
        <w:rPr>
          <w:rFonts w:ascii="Arial" w:hAnsi="Arial" w:cs="Arial"/>
          <w:sz w:val="24"/>
          <w:szCs w:val="24"/>
        </w:rPr>
        <w:t xml:space="preserve">– the </w:t>
      </w:r>
      <w:r w:rsidR="00F9455E" w:rsidRPr="00FE606D">
        <w:rPr>
          <w:rFonts w:ascii="Arial" w:hAnsi="Arial" w:cs="Arial"/>
          <w:sz w:val="24"/>
          <w:szCs w:val="24"/>
        </w:rPr>
        <w:t>P</w:t>
      </w:r>
      <w:r w:rsidRPr="00FE606D">
        <w:rPr>
          <w:rFonts w:ascii="Arial" w:hAnsi="Arial" w:cs="Arial"/>
          <w:sz w:val="24"/>
          <w:szCs w:val="24"/>
        </w:rPr>
        <w:t xml:space="preserve">rovider will establish an effective and collaborative working relationship with the NASC service to facilitate timely responses </w:t>
      </w:r>
      <w:r w:rsidR="00F246BA" w:rsidRPr="00FE606D">
        <w:rPr>
          <w:rFonts w:ascii="Arial" w:hAnsi="Arial" w:cs="Arial"/>
          <w:sz w:val="24"/>
          <w:szCs w:val="24"/>
        </w:rPr>
        <w:t>and access to other services and</w:t>
      </w:r>
      <w:r w:rsidRPr="00FE606D">
        <w:rPr>
          <w:rFonts w:ascii="Arial" w:hAnsi="Arial" w:cs="Arial"/>
          <w:sz w:val="24"/>
          <w:szCs w:val="24"/>
        </w:rPr>
        <w:t xml:space="preserve"> </w:t>
      </w:r>
      <w:r w:rsidR="00F246BA" w:rsidRPr="00FE606D">
        <w:rPr>
          <w:rFonts w:ascii="Arial" w:hAnsi="Arial" w:cs="Arial"/>
          <w:sz w:val="24"/>
          <w:szCs w:val="24"/>
        </w:rPr>
        <w:t xml:space="preserve">to ensure continuing </w:t>
      </w:r>
      <w:r w:rsidRPr="00FE606D">
        <w:rPr>
          <w:rFonts w:ascii="Arial" w:hAnsi="Arial" w:cs="Arial"/>
          <w:sz w:val="24"/>
          <w:szCs w:val="24"/>
        </w:rPr>
        <w:t xml:space="preserve">two-way communication </w:t>
      </w:r>
      <w:r w:rsidR="00F246BA" w:rsidRPr="00FE606D">
        <w:rPr>
          <w:rFonts w:ascii="Arial" w:hAnsi="Arial" w:cs="Arial"/>
          <w:sz w:val="24"/>
          <w:szCs w:val="24"/>
        </w:rPr>
        <w:t xml:space="preserve">regarding service requests/referrals and </w:t>
      </w:r>
      <w:r w:rsidR="00B40C49" w:rsidRPr="00FE606D">
        <w:rPr>
          <w:rFonts w:ascii="Arial" w:hAnsi="Arial" w:cs="Arial"/>
          <w:sz w:val="24"/>
          <w:szCs w:val="24"/>
        </w:rPr>
        <w:t>client</w:t>
      </w:r>
      <w:r w:rsidRPr="00FE606D">
        <w:rPr>
          <w:rFonts w:ascii="Arial" w:hAnsi="Arial" w:cs="Arial"/>
          <w:sz w:val="24"/>
          <w:szCs w:val="24"/>
        </w:rPr>
        <w:t xml:space="preserve"> support needs.</w:t>
      </w:r>
    </w:p>
    <w:p w14:paraId="219ADDA5" w14:textId="77777777" w:rsidR="00643B2D" w:rsidRPr="00FE606D" w:rsidRDefault="00643B2D" w:rsidP="00FE606D">
      <w:pPr>
        <w:pStyle w:val="ListParagraph"/>
        <w:numPr>
          <w:ilvl w:val="0"/>
          <w:numId w:val="29"/>
        </w:numPr>
        <w:spacing w:after="120"/>
        <w:ind w:left="357" w:right="-1" w:hanging="357"/>
        <w:contextualSpacing w:val="0"/>
        <w:rPr>
          <w:rFonts w:ascii="Arial" w:hAnsi="Arial" w:cs="Arial"/>
          <w:sz w:val="24"/>
          <w:szCs w:val="24"/>
        </w:rPr>
      </w:pPr>
      <w:r w:rsidRPr="00FE606D">
        <w:rPr>
          <w:rFonts w:ascii="Arial" w:hAnsi="Arial" w:cs="Arial"/>
          <w:b/>
          <w:sz w:val="24"/>
          <w:szCs w:val="24"/>
        </w:rPr>
        <w:t xml:space="preserve">Secondary </w:t>
      </w:r>
      <w:r w:rsidR="00F9455E" w:rsidRPr="00FE606D">
        <w:rPr>
          <w:rFonts w:ascii="Arial" w:hAnsi="Arial" w:cs="Arial"/>
          <w:b/>
          <w:sz w:val="24"/>
          <w:szCs w:val="24"/>
        </w:rPr>
        <w:t xml:space="preserve">health </w:t>
      </w:r>
      <w:r w:rsidRPr="00FE606D">
        <w:rPr>
          <w:rFonts w:ascii="Arial" w:hAnsi="Arial" w:cs="Arial"/>
          <w:b/>
          <w:sz w:val="24"/>
          <w:szCs w:val="24"/>
        </w:rPr>
        <w:t>care</w:t>
      </w:r>
      <w:r w:rsidRPr="00FE606D">
        <w:rPr>
          <w:rFonts w:ascii="Arial" w:hAnsi="Arial" w:cs="Arial"/>
          <w:sz w:val="24"/>
          <w:szCs w:val="24"/>
        </w:rPr>
        <w:t xml:space="preserve"> – the </w:t>
      </w:r>
      <w:r w:rsidR="008B647A" w:rsidRPr="00FE606D">
        <w:rPr>
          <w:rFonts w:ascii="Arial" w:hAnsi="Arial" w:cs="Arial"/>
          <w:sz w:val="24"/>
          <w:szCs w:val="24"/>
        </w:rPr>
        <w:t>P</w:t>
      </w:r>
      <w:r w:rsidRPr="00FE606D">
        <w:rPr>
          <w:rFonts w:ascii="Arial" w:hAnsi="Arial" w:cs="Arial"/>
          <w:sz w:val="24"/>
          <w:szCs w:val="24"/>
        </w:rPr>
        <w:t xml:space="preserve">rovider will develop and nurture relationships that promote integrated </w:t>
      </w:r>
      <w:r w:rsidR="00B40C49" w:rsidRPr="00FE606D">
        <w:rPr>
          <w:rFonts w:ascii="Arial" w:hAnsi="Arial" w:cs="Arial"/>
          <w:sz w:val="24"/>
          <w:szCs w:val="24"/>
        </w:rPr>
        <w:t>client</w:t>
      </w:r>
      <w:r w:rsidRPr="00FE606D">
        <w:rPr>
          <w:rFonts w:ascii="Arial" w:hAnsi="Arial" w:cs="Arial"/>
          <w:sz w:val="24"/>
          <w:szCs w:val="24"/>
        </w:rPr>
        <w:t xml:space="preserve"> pathways with DHB services, district</w:t>
      </w:r>
      <w:r w:rsidR="002845E0" w:rsidRPr="00FE606D">
        <w:rPr>
          <w:rFonts w:ascii="Arial" w:hAnsi="Arial" w:cs="Arial"/>
          <w:sz w:val="24"/>
          <w:szCs w:val="24"/>
        </w:rPr>
        <w:t xml:space="preserve">/community </w:t>
      </w:r>
      <w:r w:rsidRPr="00FE606D">
        <w:rPr>
          <w:rFonts w:ascii="Arial" w:hAnsi="Arial" w:cs="Arial"/>
          <w:sz w:val="24"/>
          <w:szCs w:val="24"/>
        </w:rPr>
        <w:t>nursing and allied health services, older people’s health specialist services</w:t>
      </w:r>
      <w:r w:rsidR="00E13AFA" w:rsidRPr="00FE606D">
        <w:rPr>
          <w:rFonts w:ascii="Arial" w:hAnsi="Arial" w:cs="Arial"/>
          <w:sz w:val="24"/>
          <w:szCs w:val="24"/>
        </w:rPr>
        <w:t xml:space="preserve"> including specialist nurses who work in mental health</w:t>
      </w:r>
      <w:r w:rsidRPr="00FE606D">
        <w:rPr>
          <w:rFonts w:ascii="Arial" w:hAnsi="Arial" w:cs="Arial"/>
          <w:sz w:val="24"/>
          <w:szCs w:val="24"/>
        </w:rPr>
        <w:t>.</w:t>
      </w:r>
    </w:p>
    <w:p w14:paraId="4D35D8E2" w14:textId="67F09279" w:rsidR="00643B2D" w:rsidRPr="00FE606D" w:rsidRDefault="00643B2D" w:rsidP="00FE606D">
      <w:pPr>
        <w:pStyle w:val="ListParagraph"/>
        <w:numPr>
          <w:ilvl w:val="0"/>
          <w:numId w:val="29"/>
        </w:numPr>
        <w:spacing w:after="120"/>
        <w:ind w:left="357" w:right="-1" w:hanging="357"/>
        <w:contextualSpacing w:val="0"/>
        <w:rPr>
          <w:rFonts w:ascii="Arial" w:hAnsi="Arial" w:cs="Arial"/>
          <w:sz w:val="24"/>
          <w:szCs w:val="24"/>
        </w:rPr>
      </w:pPr>
      <w:r w:rsidRPr="00FE606D">
        <w:rPr>
          <w:rFonts w:ascii="Arial" w:hAnsi="Arial" w:cs="Arial"/>
          <w:b/>
          <w:sz w:val="24"/>
          <w:szCs w:val="24"/>
        </w:rPr>
        <w:t>Community agencies/voluntary sector</w:t>
      </w:r>
      <w:r w:rsidRPr="00FE606D">
        <w:rPr>
          <w:rFonts w:ascii="Arial" w:hAnsi="Arial" w:cs="Arial"/>
          <w:sz w:val="24"/>
          <w:szCs w:val="24"/>
        </w:rPr>
        <w:t xml:space="preserve"> – the </w:t>
      </w:r>
      <w:r w:rsidR="008B647A" w:rsidRPr="00FE606D">
        <w:rPr>
          <w:rFonts w:ascii="Arial" w:hAnsi="Arial" w:cs="Arial"/>
          <w:sz w:val="24"/>
          <w:szCs w:val="24"/>
        </w:rPr>
        <w:t>P</w:t>
      </w:r>
      <w:r w:rsidRPr="00FE606D">
        <w:rPr>
          <w:rFonts w:ascii="Arial" w:hAnsi="Arial" w:cs="Arial"/>
          <w:sz w:val="24"/>
          <w:szCs w:val="24"/>
        </w:rPr>
        <w:t xml:space="preserve">rovider will establish and sustain effective relationships with other organisations and individuals involved in assisting </w:t>
      </w:r>
      <w:r w:rsidR="00B40C49" w:rsidRPr="00FE606D">
        <w:rPr>
          <w:rFonts w:ascii="Arial" w:hAnsi="Arial" w:cs="Arial"/>
          <w:sz w:val="24"/>
          <w:szCs w:val="24"/>
        </w:rPr>
        <w:t>client</w:t>
      </w:r>
      <w:r w:rsidRPr="00FE606D">
        <w:rPr>
          <w:rFonts w:ascii="Arial" w:hAnsi="Arial" w:cs="Arial"/>
          <w:sz w:val="24"/>
          <w:szCs w:val="24"/>
        </w:rPr>
        <w:t>s and their carer/whānau to address their goals, needs and risks. This may include:</w:t>
      </w:r>
    </w:p>
    <w:p w14:paraId="25CE3D0E" w14:textId="4FA960AF" w:rsidR="00643B2D" w:rsidRPr="00FE606D" w:rsidRDefault="00643B2D" w:rsidP="00DC674C">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sidRPr="00FE606D">
        <w:rPr>
          <w:rFonts w:ascii="Arial" w:hAnsi="Arial" w:cs="Arial"/>
          <w:sz w:val="24"/>
          <w:szCs w:val="24"/>
        </w:rPr>
        <w:t xml:space="preserve">local Māori networks, </w:t>
      </w:r>
      <w:proofErr w:type="spellStart"/>
      <w:r w:rsidR="000D0001">
        <w:rPr>
          <w:rFonts w:ascii="Arial" w:hAnsi="Arial" w:cs="Arial"/>
          <w:sz w:val="24"/>
          <w:szCs w:val="24"/>
        </w:rPr>
        <w:t>k</w:t>
      </w:r>
      <w:r w:rsidRPr="00FE606D">
        <w:rPr>
          <w:rFonts w:ascii="Arial" w:hAnsi="Arial" w:cs="Arial"/>
          <w:sz w:val="24"/>
          <w:szCs w:val="24"/>
        </w:rPr>
        <w:t>aumātua</w:t>
      </w:r>
      <w:proofErr w:type="spellEnd"/>
      <w:r w:rsidRPr="00FE606D">
        <w:rPr>
          <w:rFonts w:ascii="Arial" w:hAnsi="Arial" w:cs="Arial"/>
          <w:sz w:val="24"/>
          <w:szCs w:val="24"/>
        </w:rPr>
        <w:t xml:space="preserve"> groups, marae, whānau groups and Māori health providers</w:t>
      </w:r>
    </w:p>
    <w:p w14:paraId="74090B96" w14:textId="77777777" w:rsidR="00137E12" w:rsidRPr="00FE606D" w:rsidRDefault="00137E12"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sidRPr="00FE606D">
        <w:rPr>
          <w:rFonts w:ascii="Arial" w:hAnsi="Arial" w:cs="Arial"/>
          <w:sz w:val="24"/>
          <w:szCs w:val="24"/>
        </w:rPr>
        <w:t>Alzheimer’s New Zealand and/or Dementia New Zealand</w:t>
      </w:r>
    </w:p>
    <w:p w14:paraId="1A0E80F7" w14:textId="77777777" w:rsidR="00643B2D" w:rsidRPr="00FE606D" w:rsidRDefault="00643B2D"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sidRPr="00FE606D">
        <w:rPr>
          <w:rFonts w:ascii="Arial" w:hAnsi="Arial" w:cs="Arial"/>
          <w:sz w:val="24"/>
          <w:szCs w:val="24"/>
        </w:rPr>
        <w:t xml:space="preserve">support groups and consumer advocacy groups </w:t>
      </w:r>
    </w:p>
    <w:p w14:paraId="397646CB" w14:textId="77777777" w:rsidR="00643B2D" w:rsidRPr="00FE606D" w:rsidRDefault="00643B2D"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sidRPr="00FE606D">
        <w:rPr>
          <w:rFonts w:ascii="Arial" w:hAnsi="Arial" w:cs="Arial"/>
          <w:sz w:val="24"/>
          <w:szCs w:val="24"/>
        </w:rPr>
        <w:t>cultural and disability networks</w:t>
      </w:r>
    </w:p>
    <w:p w14:paraId="0986A308" w14:textId="77777777" w:rsidR="00E13AFA" w:rsidRPr="00FE606D" w:rsidRDefault="00052010"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sidRPr="00FE606D">
        <w:rPr>
          <w:rFonts w:ascii="Arial" w:hAnsi="Arial" w:cs="Arial"/>
          <w:sz w:val="24"/>
          <w:szCs w:val="24"/>
        </w:rPr>
        <w:t xml:space="preserve">accredited community </w:t>
      </w:r>
      <w:r w:rsidR="00E13AFA" w:rsidRPr="00FE606D">
        <w:rPr>
          <w:rFonts w:ascii="Arial" w:hAnsi="Arial" w:cs="Arial"/>
          <w:sz w:val="24"/>
          <w:szCs w:val="24"/>
        </w:rPr>
        <w:t>providers of strength and balance classes</w:t>
      </w:r>
    </w:p>
    <w:p w14:paraId="0D290FC0" w14:textId="114A4E19" w:rsidR="00E13AFA" w:rsidRPr="00FE606D" w:rsidRDefault="008B647A"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sidRPr="00FE606D">
        <w:rPr>
          <w:rFonts w:ascii="Arial" w:hAnsi="Arial" w:cs="Arial"/>
          <w:sz w:val="24"/>
          <w:szCs w:val="24"/>
        </w:rPr>
        <w:lastRenderedPageBreak/>
        <w:t>interpreter</w:t>
      </w:r>
      <w:r w:rsidR="00E13AFA" w:rsidRPr="00FE606D">
        <w:rPr>
          <w:rFonts w:ascii="Arial" w:hAnsi="Arial" w:cs="Arial"/>
          <w:sz w:val="24"/>
          <w:szCs w:val="24"/>
        </w:rPr>
        <w:t xml:space="preserve"> services</w:t>
      </w:r>
      <w:r w:rsidR="00DC674C">
        <w:rPr>
          <w:rFonts w:ascii="Arial" w:hAnsi="Arial" w:cs="Arial"/>
          <w:sz w:val="24"/>
          <w:szCs w:val="24"/>
        </w:rPr>
        <w:t xml:space="preserve"> including </w:t>
      </w:r>
      <w:r w:rsidR="00546C90">
        <w:rPr>
          <w:rFonts w:ascii="Arial" w:hAnsi="Arial" w:cs="Arial"/>
          <w:sz w:val="24"/>
          <w:szCs w:val="24"/>
        </w:rPr>
        <w:t>New Zealand Sign Language</w:t>
      </w:r>
    </w:p>
    <w:p w14:paraId="7B4DE1CF" w14:textId="77777777" w:rsidR="00052010" w:rsidRPr="00FE606D" w:rsidRDefault="00874DFB"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Pr>
          <w:rFonts w:ascii="Arial" w:hAnsi="Arial" w:cs="Arial"/>
          <w:sz w:val="24"/>
          <w:szCs w:val="24"/>
        </w:rPr>
        <w:t>m</w:t>
      </w:r>
      <w:r w:rsidR="00052010" w:rsidRPr="00FE606D">
        <w:rPr>
          <w:rFonts w:ascii="Arial" w:hAnsi="Arial" w:cs="Arial"/>
          <w:sz w:val="24"/>
          <w:szCs w:val="24"/>
        </w:rPr>
        <w:t xml:space="preserve">eals on wheels </w:t>
      </w:r>
      <w:r w:rsidR="00B108A7" w:rsidRPr="00FE606D">
        <w:rPr>
          <w:rFonts w:ascii="Arial" w:hAnsi="Arial" w:cs="Arial"/>
          <w:sz w:val="24"/>
          <w:szCs w:val="24"/>
        </w:rPr>
        <w:t xml:space="preserve">or equivalent, </w:t>
      </w:r>
      <w:r w:rsidR="00052010" w:rsidRPr="00FE606D">
        <w:rPr>
          <w:rFonts w:ascii="Arial" w:hAnsi="Arial" w:cs="Arial"/>
          <w:sz w:val="24"/>
          <w:szCs w:val="24"/>
        </w:rPr>
        <w:t>and support with supermarket orders/deliveries</w:t>
      </w:r>
    </w:p>
    <w:p w14:paraId="75DCB0B7" w14:textId="353B6AB2" w:rsidR="00035AF8" w:rsidRPr="00FE606D" w:rsidRDefault="00874DFB" w:rsidP="00471CF0">
      <w:pPr>
        <w:pStyle w:val="ListParagraph"/>
        <w:numPr>
          <w:ilvl w:val="0"/>
          <w:numId w:val="21"/>
        </w:numPr>
        <w:tabs>
          <w:tab w:val="left" w:pos="0"/>
          <w:tab w:val="left" w:pos="426"/>
        </w:tabs>
        <w:spacing w:after="120"/>
        <w:ind w:left="567" w:hanging="567"/>
        <w:contextualSpacing w:val="0"/>
        <w:rPr>
          <w:rFonts w:ascii="Arial" w:hAnsi="Arial" w:cs="Arial"/>
          <w:sz w:val="24"/>
          <w:szCs w:val="24"/>
        </w:rPr>
      </w:pPr>
      <w:r>
        <w:rPr>
          <w:rFonts w:ascii="Arial" w:hAnsi="Arial" w:cs="Arial"/>
          <w:sz w:val="24"/>
          <w:szCs w:val="24"/>
        </w:rPr>
        <w:t>c</w:t>
      </w:r>
      <w:r w:rsidR="00035AF8" w:rsidRPr="00FE606D">
        <w:rPr>
          <w:rFonts w:ascii="Arial" w:hAnsi="Arial" w:cs="Arial"/>
          <w:sz w:val="24"/>
          <w:szCs w:val="24"/>
        </w:rPr>
        <w:t xml:space="preserve">ommunity based </w:t>
      </w:r>
      <w:proofErr w:type="spellStart"/>
      <w:proofErr w:type="gramStart"/>
      <w:r w:rsidR="00723180">
        <w:rPr>
          <w:rFonts w:ascii="Arial" w:hAnsi="Arial" w:cs="Arial"/>
          <w:sz w:val="24"/>
          <w:szCs w:val="24"/>
        </w:rPr>
        <w:t>Non Go</w:t>
      </w:r>
      <w:r w:rsidR="00083E29">
        <w:rPr>
          <w:rFonts w:ascii="Arial" w:hAnsi="Arial" w:cs="Arial"/>
          <w:sz w:val="24"/>
          <w:szCs w:val="24"/>
        </w:rPr>
        <w:t>v</w:t>
      </w:r>
      <w:r w:rsidR="00723180">
        <w:rPr>
          <w:rFonts w:ascii="Arial" w:hAnsi="Arial" w:cs="Arial"/>
          <w:sz w:val="24"/>
          <w:szCs w:val="24"/>
        </w:rPr>
        <w:t>ernment</w:t>
      </w:r>
      <w:proofErr w:type="spellEnd"/>
      <w:proofErr w:type="gramEnd"/>
      <w:r w:rsidR="00723180">
        <w:rPr>
          <w:rFonts w:ascii="Arial" w:hAnsi="Arial" w:cs="Arial"/>
          <w:sz w:val="24"/>
          <w:szCs w:val="24"/>
        </w:rPr>
        <w:t xml:space="preserve"> </w:t>
      </w:r>
      <w:proofErr w:type="spellStart"/>
      <w:r w:rsidR="00723180">
        <w:rPr>
          <w:rFonts w:ascii="Arial" w:hAnsi="Arial" w:cs="Arial"/>
          <w:sz w:val="24"/>
          <w:szCs w:val="24"/>
        </w:rPr>
        <w:t>Organisaitons</w:t>
      </w:r>
      <w:proofErr w:type="spellEnd"/>
      <w:r w:rsidR="00723180">
        <w:rPr>
          <w:rFonts w:ascii="Arial" w:hAnsi="Arial" w:cs="Arial"/>
          <w:sz w:val="24"/>
          <w:szCs w:val="24"/>
        </w:rPr>
        <w:t xml:space="preserve"> (</w:t>
      </w:r>
      <w:r w:rsidR="00035AF8" w:rsidRPr="00FE606D">
        <w:rPr>
          <w:rFonts w:ascii="Arial" w:hAnsi="Arial" w:cs="Arial"/>
          <w:sz w:val="24"/>
          <w:szCs w:val="24"/>
        </w:rPr>
        <w:t>NGOs</w:t>
      </w:r>
      <w:r w:rsidR="00723180">
        <w:rPr>
          <w:rFonts w:ascii="Arial" w:hAnsi="Arial" w:cs="Arial"/>
          <w:sz w:val="24"/>
          <w:szCs w:val="24"/>
        </w:rPr>
        <w:t>)</w:t>
      </w:r>
      <w:r w:rsidR="00035AF8" w:rsidRPr="00FE606D">
        <w:rPr>
          <w:rFonts w:ascii="Arial" w:hAnsi="Arial" w:cs="Arial"/>
          <w:sz w:val="24"/>
          <w:szCs w:val="24"/>
        </w:rPr>
        <w:t xml:space="preserve"> including those providing mental health services</w:t>
      </w:r>
      <w:r>
        <w:rPr>
          <w:rFonts w:ascii="Arial" w:hAnsi="Arial" w:cs="Arial"/>
          <w:sz w:val="24"/>
          <w:szCs w:val="24"/>
        </w:rPr>
        <w:t>.</w:t>
      </w:r>
    </w:p>
    <w:p w14:paraId="2E7459B0" w14:textId="77777777" w:rsidR="00643B2D" w:rsidRPr="00FE606D" w:rsidRDefault="00643B2D" w:rsidP="00FE606D">
      <w:pPr>
        <w:pStyle w:val="ListParagraph"/>
        <w:numPr>
          <w:ilvl w:val="0"/>
          <w:numId w:val="21"/>
        </w:numPr>
        <w:rPr>
          <w:rFonts w:ascii="Arial" w:hAnsi="Arial" w:cs="Arial"/>
          <w:sz w:val="24"/>
          <w:szCs w:val="24"/>
        </w:rPr>
      </w:pPr>
      <w:r w:rsidRPr="00FE606D">
        <w:rPr>
          <w:rFonts w:ascii="Arial" w:hAnsi="Arial" w:cs="Arial"/>
          <w:b/>
          <w:sz w:val="24"/>
          <w:szCs w:val="24"/>
        </w:rPr>
        <w:t>Emergency response coordinators</w:t>
      </w:r>
      <w:r w:rsidRPr="00FE606D">
        <w:rPr>
          <w:rFonts w:ascii="Arial" w:hAnsi="Arial" w:cs="Arial"/>
          <w:sz w:val="24"/>
          <w:szCs w:val="24"/>
        </w:rPr>
        <w:t xml:space="preserve"> – the </w:t>
      </w:r>
      <w:r w:rsidR="008B647A" w:rsidRPr="00FE606D">
        <w:rPr>
          <w:rFonts w:ascii="Arial" w:hAnsi="Arial" w:cs="Arial"/>
          <w:sz w:val="24"/>
          <w:szCs w:val="24"/>
        </w:rPr>
        <w:t>P</w:t>
      </w:r>
      <w:r w:rsidRPr="00FE606D">
        <w:rPr>
          <w:rFonts w:ascii="Arial" w:hAnsi="Arial" w:cs="Arial"/>
          <w:sz w:val="24"/>
          <w:szCs w:val="24"/>
        </w:rPr>
        <w:t>rovider will establish relationships with district wide emergency planning/coordination entities (for example WREMO</w:t>
      </w:r>
      <w:r w:rsidR="007E45D6" w:rsidRPr="00FE606D">
        <w:rPr>
          <w:rStyle w:val="FootnoteReference"/>
          <w:rFonts w:ascii="Arial" w:hAnsi="Arial" w:cs="Arial"/>
          <w:sz w:val="24"/>
          <w:szCs w:val="24"/>
        </w:rPr>
        <w:footnoteReference w:id="16"/>
      </w:r>
      <w:r w:rsidRPr="00FE606D">
        <w:rPr>
          <w:rFonts w:ascii="Arial" w:hAnsi="Arial" w:cs="Arial"/>
          <w:sz w:val="24"/>
          <w:szCs w:val="24"/>
        </w:rPr>
        <w:t>) for a coordinated emergency response to emergencies such as flooding and earthquakes, in addition to developing individual emergency response plans</w:t>
      </w:r>
      <w:r w:rsidR="00052010" w:rsidRPr="00FE606D">
        <w:rPr>
          <w:rFonts w:ascii="Arial" w:hAnsi="Arial" w:cs="Arial"/>
          <w:sz w:val="24"/>
          <w:szCs w:val="24"/>
        </w:rPr>
        <w:t>; and ensure contact information is updated regularly</w:t>
      </w:r>
      <w:r w:rsidR="00C47402">
        <w:rPr>
          <w:rFonts w:ascii="Arial" w:hAnsi="Arial" w:cs="Arial"/>
          <w:sz w:val="24"/>
          <w:szCs w:val="24"/>
        </w:rPr>
        <w:t>.</w:t>
      </w:r>
    </w:p>
    <w:p w14:paraId="40A17C7F" w14:textId="77777777" w:rsidR="00643B2D" w:rsidRPr="00FE606D" w:rsidRDefault="00643B2D" w:rsidP="00FE606D">
      <w:pPr>
        <w:spacing w:after="120"/>
        <w:rPr>
          <w:rFonts w:ascii="Arial" w:hAnsi="Arial" w:cs="Arial"/>
          <w:sz w:val="24"/>
          <w:szCs w:val="24"/>
        </w:rPr>
      </w:pPr>
      <w:r w:rsidRPr="00FE606D">
        <w:rPr>
          <w:rFonts w:ascii="Arial" w:hAnsi="Arial" w:cs="Arial"/>
          <w:snapToGrid w:val="0"/>
          <w:sz w:val="24"/>
          <w:szCs w:val="24"/>
        </w:rPr>
        <w:t>The Provider</w:t>
      </w:r>
      <w:r w:rsidRPr="00FE606D">
        <w:rPr>
          <w:rFonts w:ascii="Arial" w:hAnsi="Arial" w:cs="Arial"/>
          <w:sz w:val="24"/>
          <w:szCs w:val="24"/>
        </w:rPr>
        <w:t xml:space="preserve"> will also need to supply evidence when required (for example in the event of an external audit) of effective linkages</w:t>
      </w:r>
      <w:r w:rsidR="00BB61D3" w:rsidRPr="00FE606D">
        <w:rPr>
          <w:rFonts w:ascii="Arial" w:hAnsi="Arial" w:cs="Arial"/>
          <w:sz w:val="24"/>
          <w:szCs w:val="24"/>
        </w:rPr>
        <w:t xml:space="preserve"> to support clients link to the wider</w:t>
      </w:r>
      <w:r w:rsidRPr="00FE606D">
        <w:rPr>
          <w:rFonts w:ascii="Arial" w:hAnsi="Arial" w:cs="Arial"/>
          <w:sz w:val="24"/>
          <w:szCs w:val="24"/>
        </w:rPr>
        <w:t xml:space="preserve"> community, involving Māori, Pacific, disability groups,</w:t>
      </w:r>
      <w:r w:rsidR="00BB61D3" w:rsidRPr="00FE606D">
        <w:rPr>
          <w:rFonts w:ascii="Arial" w:hAnsi="Arial" w:cs="Arial"/>
          <w:sz w:val="24"/>
          <w:szCs w:val="24"/>
        </w:rPr>
        <w:t xml:space="preserve"> providers of strength and balance classes and other</w:t>
      </w:r>
      <w:r w:rsidRPr="00FE606D">
        <w:rPr>
          <w:rFonts w:ascii="Arial" w:hAnsi="Arial" w:cs="Arial"/>
          <w:sz w:val="24"/>
          <w:szCs w:val="24"/>
        </w:rPr>
        <w:t xml:space="preserve"> support networks and advocacy groups. </w:t>
      </w:r>
    </w:p>
    <w:p w14:paraId="0E31D986" w14:textId="77777777" w:rsidR="00A468C8" w:rsidRPr="00FE606D" w:rsidRDefault="00DE1461" w:rsidP="00DC674C">
      <w:pPr>
        <w:pStyle w:val="Heading1"/>
        <w:rPr>
          <w:snapToGrid w:val="0"/>
          <w:lang w:val="en-US"/>
        </w:rPr>
      </w:pPr>
      <w:bookmarkStart w:id="138" w:name="_Toc19519198"/>
      <w:bookmarkStart w:id="139" w:name="_Toc19524567"/>
      <w:bookmarkStart w:id="140" w:name="_Toc43122862"/>
      <w:bookmarkEnd w:id="136"/>
      <w:bookmarkEnd w:id="137"/>
      <w:r w:rsidRPr="00FE606D">
        <w:rPr>
          <w:snapToGrid w:val="0"/>
          <w:lang w:val="en-US"/>
        </w:rPr>
        <w:t>9</w:t>
      </w:r>
      <w:r w:rsidR="006575A1" w:rsidRPr="00FE606D">
        <w:rPr>
          <w:snapToGrid w:val="0"/>
          <w:lang w:val="en-US"/>
        </w:rPr>
        <w:t>.</w:t>
      </w:r>
      <w:r w:rsidR="00211F0F" w:rsidRPr="00FE606D">
        <w:rPr>
          <w:snapToGrid w:val="0"/>
          <w:lang w:val="en-US"/>
        </w:rPr>
        <w:tab/>
      </w:r>
      <w:r w:rsidR="00A468C8" w:rsidRPr="00FE606D">
        <w:rPr>
          <w:snapToGrid w:val="0"/>
          <w:lang w:val="en-US"/>
        </w:rPr>
        <w:t>Quality</w:t>
      </w:r>
      <w:bookmarkEnd w:id="138"/>
      <w:bookmarkEnd w:id="139"/>
      <w:r w:rsidR="008F2F37" w:rsidRPr="00FE606D">
        <w:rPr>
          <w:snapToGrid w:val="0"/>
          <w:lang w:val="en-US"/>
        </w:rPr>
        <w:t xml:space="preserve"> Requirements</w:t>
      </w:r>
      <w:bookmarkEnd w:id="140"/>
      <w:r w:rsidR="008F2F37" w:rsidRPr="00FE606D">
        <w:rPr>
          <w:snapToGrid w:val="0"/>
          <w:lang w:val="en-US"/>
        </w:rPr>
        <w:t xml:space="preserve"> </w:t>
      </w:r>
    </w:p>
    <w:p w14:paraId="2972A4CD" w14:textId="77777777" w:rsidR="00152A10" w:rsidRPr="00FE606D" w:rsidRDefault="002845E0" w:rsidP="00FE606D">
      <w:pPr>
        <w:spacing w:after="120"/>
        <w:rPr>
          <w:rFonts w:ascii="Arial" w:hAnsi="Arial" w:cs="Arial"/>
          <w:sz w:val="24"/>
          <w:szCs w:val="24"/>
        </w:rPr>
      </w:pPr>
      <w:r w:rsidRPr="00FE606D">
        <w:rPr>
          <w:rFonts w:ascii="Arial" w:hAnsi="Arial" w:cs="Arial"/>
          <w:sz w:val="24"/>
          <w:szCs w:val="24"/>
        </w:rPr>
        <w:t xml:space="preserve">Refer to the Tier One Community </w:t>
      </w:r>
      <w:r w:rsidR="00893EC3">
        <w:rPr>
          <w:rFonts w:ascii="Arial" w:hAnsi="Arial" w:cs="Arial"/>
          <w:sz w:val="24"/>
          <w:szCs w:val="24"/>
        </w:rPr>
        <w:t xml:space="preserve">Health, </w:t>
      </w:r>
      <w:r w:rsidRPr="00FE606D">
        <w:rPr>
          <w:rFonts w:ascii="Arial" w:hAnsi="Arial" w:cs="Arial"/>
          <w:sz w:val="24"/>
          <w:szCs w:val="24"/>
        </w:rPr>
        <w:t>Transitional and Support Services service specification for Quality Requirements for General, Access and Acceptability.</w:t>
      </w:r>
    </w:p>
    <w:p w14:paraId="2E290C03" w14:textId="4378F984" w:rsidR="00152A10" w:rsidRPr="00FE606D" w:rsidRDefault="00DE1461" w:rsidP="00FE606D">
      <w:pPr>
        <w:pStyle w:val="Heading2"/>
        <w:spacing w:after="120"/>
        <w:rPr>
          <w:rFonts w:ascii="Arial" w:hAnsi="Arial" w:cs="Arial"/>
          <w:b w:val="0"/>
          <w:sz w:val="24"/>
          <w:szCs w:val="24"/>
        </w:rPr>
      </w:pPr>
      <w:bookmarkStart w:id="141" w:name="_Toc43122863"/>
      <w:r w:rsidRPr="00FE606D">
        <w:rPr>
          <w:rFonts w:ascii="Arial" w:hAnsi="Arial" w:cs="Arial"/>
          <w:sz w:val="24"/>
          <w:szCs w:val="24"/>
        </w:rPr>
        <w:t>9.1</w:t>
      </w:r>
      <w:r w:rsidR="00152A10" w:rsidRPr="00FE606D">
        <w:rPr>
          <w:rFonts w:ascii="Arial" w:hAnsi="Arial" w:cs="Arial"/>
          <w:sz w:val="24"/>
          <w:szCs w:val="24"/>
        </w:rPr>
        <w:tab/>
        <w:t xml:space="preserve">Legislative </w:t>
      </w:r>
      <w:r w:rsidR="00723180">
        <w:rPr>
          <w:rFonts w:ascii="Arial" w:hAnsi="Arial" w:cs="Arial"/>
          <w:sz w:val="24"/>
          <w:szCs w:val="24"/>
        </w:rPr>
        <w:t>r</w:t>
      </w:r>
      <w:r w:rsidR="00152A10" w:rsidRPr="00FE606D">
        <w:rPr>
          <w:rFonts w:ascii="Arial" w:hAnsi="Arial" w:cs="Arial"/>
          <w:sz w:val="24"/>
          <w:szCs w:val="24"/>
        </w:rPr>
        <w:t>equirements</w:t>
      </w:r>
      <w:bookmarkEnd w:id="141"/>
    </w:p>
    <w:p w14:paraId="77BEAA20" w14:textId="77777777" w:rsidR="00152A10" w:rsidRPr="00FE606D" w:rsidRDefault="00152A10" w:rsidP="00FE606D">
      <w:pPr>
        <w:tabs>
          <w:tab w:val="left" w:pos="567"/>
          <w:tab w:val="left" w:pos="1134"/>
        </w:tabs>
        <w:spacing w:after="120"/>
        <w:rPr>
          <w:rFonts w:ascii="Arial" w:hAnsi="Arial" w:cs="Arial"/>
          <w:sz w:val="24"/>
          <w:szCs w:val="24"/>
        </w:rPr>
      </w:pPr>
      <w:r w:rsidRPr="00FE606D">
        <w:rPr>
          <w:rFonts w:ascii="Arial" w:hAnsi="Arial" w:cs="Arial"/>
          <w:sz w:val="24"/>
          <w:szCs w:val="24"/>
        </w:rPr>
        <w:t>The Provider</w:t>
      </w:r>
      <w:r w:rsidR="00B108A7" w:rsidRPr="00FE606D">
        <w:rPr>
          <w:rFonts w:ascii="Arial" w:hAnsi="Arial" w:cs="Arial"/>
          <w:sz w:val="24"/>
          <w:szCs w:val="24"/>
        </w:rPr>
        <w:t>’s</w:t>
      </w:r>
      <w:r w:rsidRPr="00FE606D">
        <w:rPr>
          <w:rFonts w:ascii="Arial" w:hAnsi="Arial" w:cs="Arial"/>
          <w:sz w:val="24"/>
          <w:szCs w:val="24"/>
        </w:rPr>
        <w:t xml:space="preserve"> services are governed by NZ Regulations and Legislation, </w:t>
      </w:r>
      <w:r w:rsidR="0053763C" w:rsidRPr="00FE606D">
        <w:rPr>
          <w:rFonts w:ascii="Arial" w:hAnsi="Arial" w:cs="Arial"/>
          <w:sz w:val="24"/>
          <w:szCs w:val="24"/>
        </w:rPr>
        <w:t>including</w:t>
      </w:r>
      <w:r w:rsidRPr="00FE606D">
        <w:rPr>
          <w:rFonts w:ascii="Arial" w:hAnsi="Arial" w:cs="Arial"/>
          <w:sz w:val="24"/>
          <w:szCs w:val="24"/>
        </w:rPr>
        <w:t>:</w:t>
      </w:r>
    </w:p>
    <w:p w14:paraId="68918210"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and Disability Commissioner (Code of Health and Disability Services Consumers’ Rights) Regulations 1996</w:t>
      </w:r>
    </w:p>
    <w:p w14:paraId="31378425" w14:textId="77777777" w:rsidR="00120EA3" w:rsidRPr="00FE606D" w:rsidRDefault="00120EA3"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New Zealand Public Health and Disability Act 2000</w:t>
      </w:r>
    </w:p>
    <w:p w14:paraId="39D53B3C"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(Infectious and Notifiable Diseases) Regulations 1966</w:t>
      </w:r>
    </w:p>
    <w:p w14:paraId="444E44B0"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(Retention of Health Information) Regulations 1996</w:t>
      </w:r>
    </w:p>
    <w:p w14:paraId="09ADF041"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and Safety in Employment Regulations 1995</w:t>
      </w:r>
    </w:p>
    <w:p w14:paraId="70E698B2"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Human Rights Regulations 1993</w:t>
      </w:r>
    </w:p>
    <w:p w14:paraId="597CCF83"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Privacy Act 1993</w:t>
      </w:r>
    </w:p>
    <w:p w14:paraId="2431AF54"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Practitioner Competenc</w:t>
      </w:r>
      <w:r w:rsidR="0053763C" w:rsidRPr="00FE606D">
        <w:rPr>
          <w:rFonts w:ascii="Arial" w:hAnsi="Arial" w:cs="Arial"/>
          <w:sz w:val="24"/>
          <w:szCs w:val="24"/>
        </w:rPr>
        <w:t>e</w:t>
      </w:r>
      <w:r w:rsidRPr="00FE606D">
        <w:rPr>
          <w:rFonts w:ascii="Arial" w:hAnsi="Arial" w:cs="Arial"/>
          <w:sz w:val="24"/>
          <w:szCs w:val="24"/>
        </w:rPr>
        <w:t xml:space="preserve"> Assurance Act 2003</w:t>
      </w:r>
    </w:p>
    <w:p w14:paraId="21200215"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and Disability Services (Safety) Act 2001</w:t>
      </w:r>
    </w:p>
    <w:p w14:paraId="63FCADED" w14:textId="77777777"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Health Information Privacy Code 1994</w:t>
      </w:r>
    </w:p>
    <w:p w14:paraId="6FA9562E" w14:textId="77777777" w:rsidR="00B477FF" w:rsidRPr="00FE606D" w:rsidRDefault="00362BFD" w:rsidP="00DC674C">
      <w:pPr>
        <w:pStyle w:val="ListParagraph"/>
        <w:numPr>
          <w:ilvl w:val="0"/>
          <w:numId w:val="21"/>
        </w:numPr>
        <w:shd w:val="clear" w:color="auto" w:fill="FFFFFF" w:themeFill="background1"/>
        <w:tabs>
          <w:tab w:val="left" w:pos="0"/>
          <w:tab w:val="left" w:pos="426"/>
        </w:tabs>
        <w:spacing w:after="120"/>
        <w:contextualSpacing w:val="0"/>
        <w:rPr>
          <w:rFonts w:ascii="Arial" w:hAnsi="Arial" w:cs="Arial"/>
          <w:sz w:val="24"/>
          <w:szCs w:val="24"/>
        </w:rPr>
      </w:pPr>
      <w:r w:rsidRPr="00FE606D">
        <w:rPr>
          <w:rFonts w:ascii="Arial" w:hAnsi="Arial" w:cs="Arial"/>
          <w:sz w:val="24"/>
          <w:szCs w:val="24"/>
          <w:shd w:val="clear" w:color="auto" w:fill="FFFFFF" w:themeFill="background1"/>
        </w:rPr>
        <w:t xml:space="preserve">Home and Community Support (Payment for Travel between Clients) Settlement </w:t>
      </w:r>
      <w:r w:rsidRPr="00FE606D">
        <w:rPr>
          <w:rFonts w:ascii="Arial" w:hAnsi="Arial" w:cs="Arial"/>
          <w:sz w:val="24"/>
          <w:szCs w:val="24"/>
        </w:rPr>
        <w:t>Act 2016</w:t>
      </w:r>
    </w:p>
    <w:p w14:paraId="4E5C10EE" w14:textId="77777777" w:rsidR="0077469D" w:rsidRPr="00FE606D" w:rsidRDefault="0077469D" w:rsidP="00DC674C">
      <w:pPr>
        <w:pStyle w:val="ListParagraph"/>
        <w:numPr>
          <w:ilvl w:val="0"/>
          <w:numId w:val="21"/>
        </w:numPr>
        <w:shd w:val="clear" w:color="auto" w:fill="FFFFFF" w:themeFill="background1"/>
        <w:tabs>
          <w:tab w:val="left" w:pos="0"/>
          <w:tab w:val="left" w:pos="426"/>
        </w:tabs>
        <w:spacing w:after="120"/>
        <w:contextualSpacing w:val="0"/>
        <w:rPr>
          <w:rFonts w:ascii="Arial" w:hAnsi="Arial" w:cs="Arial"/>
          <w:sz w:val="24"/>
          <w:szCs w:val="24"/>
        </w:rPr>
      </w:pPr>
      <w:r w:rsidRPr="00FE606D">
        <w:rPr>
          <w:rFonts w:ascii="Arial" w:hAnsi="Arial" w:cs="Arial"/>
          <w:sz w:val="24"/>
          <w:szCs w:val="24"/>
        </w:rPr>
        <w:t>Support and care workers (Pay Equity) settlement Act 2017</w:t>
      </w:r>
    </w:p>
    <w:p w14:paraId="3D025BCB" w14:textId="62B878C1" w:rsidR="00152A10" w:rsidRPr="00FE606D" w:rsidRDefault="00152A10" w:rsidP="00DC674C">
      <w:pPr>
        <w:pStyle w:val="ListParagraph"/>
        <w:numPr>
          <w:ilvl w:val="0"/>
          <w:numId w:val="21"/>
        </w:numPr>
        <w:tabs>
          <w:tab w:val="left" w:pos="0"/>
          <w:tab w:val="left" w:pos="426"/>
        </w:tabs>
        <w:spacing w:after="120"/>
        <w:contextualSpacing w:val="0"/>
        <w:rPr>
          <w:rFonts w:ascii="Arial" w:hAnsi="Arial" w:cs="Arial"/>
          <w:sz w:val="24"/>
          <w:szCs w:val="24"/>
        </w:rPr>
      </w:pPr>
      <w:r w:rsidRPr="00FE606D">
        <w:rPr>
          <w:rFonts w:ascii="Arial" w:hAnsi="Arial" w:cs="Arial"/>
          <w:sz w:val="24"/>
          <w:szCs w:val="24"/>
        </w:rPr>
        <w:t>Crimes Act 1961 (duty of care Section 151).</w:t>
      </w:r>
    </w:p>
    <w:p w14:paraId="1E8852B7" w14:textId="77777777" w:rsidR="00152A10" w:rsidRPr="00413272" w:rsidRDefault="00DE1461" w:rsidP="00413272">
      <w:pPr>
        <w:pStyle w:val="Heading2"/>
        <w:spacing w:after="120"/>
        <w:rPr>
          <w:rFonts w:ascii="Arial" w:hAnsi="Arial" w:cs="Arial"/>
          <w:b w:val="0"/>
          <w:sz w:val="24"/>
          <w:szCs w:val="24"/>
        </w:rPr>
      </w:pPr>
      <w:bookmarkStart w:id="142" w:name="_Toc43122864"/>
      <w:r w:rsidRPr="00FE606D">
        <w:rPr>
          <w:rFonts w:ascii="Arial" w:hAnsi="Arial" w:cs="Arial"/>
          <w:sz w:val="24"/>
          <w:szCs w:val="24"/>
        </w:rPr>
        <w:lastRenderedPageBreak/>
        <w:t>9</w:t>
      </w:r>
      <w:r w:rsidR="00152A10" w:rsidRPr="00FE606D">
        <w:rPr>
          <w:rFonts w:ascii="Arial" w:hAnsi="Arial" w:cs="Arial"/>
          <w:sz w:val="24"/>
          <w:szCs w:val="24"/>
        </w:rPr>
        <w:t>.2</w:t>
      </w:r>
      <w:r w:rsidR="00EA6A17">
        <w:rPr>
          <w:rFonts w:ascii="Arial" w:hAnsi="Arial" w:cs="Arial"/>
          <w:sz w:val="24"/>
          <w:szCs w:val="24"/>
        </w:rPr>
        <w:tab/>
      </w:r>
      <w:r w:rsidR="00152A10" w:rsidRPr="00413272">
        <w:rPr>
          <w:rFonts w:ascii="Arial" w:hAnsi="Arial" w:cs="Arial"/>
          <w:sz w:val="24"/>
          <w:szCs w:val="24"/>
        </w:rPr>
        <w:t>Audit</w:t>
      </w:r>
      <w:bookmarkEnd w:id="142"/>
    </w:p>
    <w:p w14:paraId="6ED9F365" w14:textId="77777777" w:rsidR="00A468C8" w:rsidRPr="00413272" w:rsidRDefault="00A468C8" w:rsidP="00413272">
      <w:pPr>
        <w:tabs>
          <w:tab w:val="left" w:pos="851"/>
        </w:tabs>
        <w:spacing w:after="120"/>
        <w:rPr>
          <w:rFonts w:ascii="Arial" w:hAnsi="Arial" w:cs="Arial"/>
          <w:sz w:val="24"/>
          <w:szCs w:val="24"/>
        </w:rPr>
      </w:pPr>
      <w:r w:rsidRPr="00413272">
        <w:rPr>
          <w:rFonts w:ascii="Arial" w:hAnsi="Arial" w:cs="Arial"/>
          <w:sz w:val="24"/>
          <w:szCs w:val="24"/>
        </w:rPr>
        <w:t xml:space="preserve">The Provider must hold and maintain current certification against Home and Community Sector Standard 8158:2012.  The Provider must also be compliant with NZS 4121:2001 for accessibility. Certification audits </w:t>
      </w:r>
      <w:r w:rsidR="00BA4943" w:rsidRPr="00413272">
        <w:rPr>
          <w:rFonts w:ascii="Arial" w:hAnsi="Arial" w:cs="Arial"/>
          <w:sz w:val="24"/>
          <w:szCs w:val="24"/>
        </w:rPr>
        <w:t>will</w:t>
      </w:r>
      <w:r w:rsidRPr="00413272">
        <w:rPr>
          <w:rFonts w:ascii="Arial" w:hAnsi="Arial" w:cs="Arial"/>
          <w:sz w:val="24"/>
          <w:szCs w:val="24"/>
        </w:rPr>
        <w:t xml:space="preserve"> be completed by </w:t>
      </w:r>
      <w:r w:rsidR="008819A7" w:rsidRPr="00413272">
        <w:rPr>
          <w:rFonts w:ascii="Arial" w:hAnsi="Arial" w:cs="Arial"/>
          <w:sz w:val="24"/>
          <w:szCs w:val="24"/>
        </w:rPr>
        <w:t>a designated audit agency</w:t>
      </w:r>
      <w:r w:rsidRPr="00413272">
        <w:rPr>
          <w:rFonts w:ascii="Arial" w:hAnsi="Arial" w:cs="Arial"/>
          <w:sz w:val="24"/>
          <w:szCs w:val="24"/>
        </w:rPr>
        <w:t xml:space="preserve">. All certification audit reports and associated progress reports </w:t>
      </w:r>
      <w:r w:rsidR="00BA4943" w:rsidRPr="00413272">
        <w:rPr>
          <w:rFonts w:ascii="Arial" w:hAnsi="Arial" w:cs="Arial"/>
          <w:sz w:val="24"/>
          <w:szCs w:val="24"/>
        </w:rPr>
        <w:t>will</w:t>
      </w:r>
      <w:r w:rsidRPr="00413272">
        <w:rPr>
          <w:rFonts w:ascii="Arial" w:hAnsi="Arial" w:cs="Arial"/>
          <w:sz w:val="24"/>
          <w:szCs w:val="24"/>
        </w:rPr>
        <w:t xml:space="preserve"> be provided to the DHB </w:t>
      </w:r>
      <w:r w:rsidR="002845E0" w:rsidRPr="00413272">
        <w:rPr>
          <w:rFonts w:ascii="Arial" w:hAnsi="Arial" w:cs="Arial"/>
          <w:sz w:val="24"/>
          <w:szCs w:val="24"/>
        </w:rPr>
        <w:t xml:space="preserve">Funder </w:t>
      </w:r>
      <w:r w:rsidRPr="00413272">
        <w:rPr>
          <w:rFonts w:ascii="Arial" w:hAnsi="Arial" w:cs="Arial"/>
          <w:sz w:val="24"/>
          <w:szCs w:val="24"/>
        </w:rPr>
        <w:t>as soon as finalised.</w:t>
      </w:r>
      <w:r w:rsidR="008819A7" w:rsidRPr="00413272">
        <w:rPr>
          <w:rFonts w:ascii="Arial" w:hAnsi="Arial" w:cs="Arial"/>
          <w:sz w:val="24"/>
          <w:szCs w:val="24"/>
        </w:rPr>
        <w:t xml:space="preserve"> </w:t>
      </w:r>
    </w:p>
    <w:p w14:paraId="3A5B5D62" w14:textId="13092867" w:rsidR="00152A10" w:rsidRPr="00413272" w:rsidRDefault="00DE1461" w:rsidP="00413272">
      <w:pPr>
        <w:pStyle w:val="Heading2"/>
        <w:spacing w:after="120"/>
        <w:rPr>
          <w:rFonts w:ascii="Arial" w:hAnsi="Arial" w:cs="Arial"/>
          <w:b w:val="0"/>
          <w:sz w:val="24"/>
          <w:szCs w:val="24"/>
        </w:rPr>
      </w:pPr>
      <w:bookmarkStart w:id="143" w:name="_Toc43122865"/>
      <w:r w:rsidRPr="00413272">
        <w:rPr>
          <w:rFonts w:ascii="Arial" w:hAnsi="Arial" w:cs="Arial"/>
          <w:sz w:val="24"/>
          <w:szCs w:val="24"/>
        </w:rPr>
        <w:t>9</w:t>
      </w:r>
      <w:r w:rsidR="00152A10" w:rsidRPr="00413272">
        <w:rPr>
          <w:rFonts w:ascii="Arial" w:hAnsi="Arial" w:cs="Arial"/>
          <w:sz w:val="24"/>
          <w:szCs w:val="24"/>
        </w:rPr>
        <w:t>.3</w:t>
      </w:r>
      <w:r w:rsidR="00EA6A17">
        <w:rPr>
          <w:rFonts w:ascii="Arial" w:hAnsi="Arial" w:cs="Arial"/>
          <w:sz w:val="24"/>
          <w:szCs w:val="24"/>
        </w:rPr>
        <w:tab/>
      </w:r>
      <w:r w:rsidR="00152A10" w:rsidRPr="00413272">
        <w:rPr>
          <w:rFonts w:ascii="Arial" w:hAnsi="Arial" w:cs="Arial"/>
          <w:sz w:val="24"/>
          <w:szCs w:val="24"/>
        </w:rPr>
        <w:t xml:space="preserve">Quality </w:t>
      </w:r>
      <w:r w:rsidR="00723180">
        <w:rPr>
          <w:rFonts w:ascii="Arial" w:hAnsi="Arial" w:cs="Arial"/>
          <w:sz w:val="24"/>
          <w:szCs w:val="24"/>
        </w:rPr>
        <w:t>i</w:t>
      </w:r>
      <w:r w:rsidR="00152A10" w:rsidRPr="00413272">
        <w:rPr>
          <w:rFonts w:ascii="Arial" w:hAnsi="Arial" w:cs="Arial"/>
          <w:sz w:val="24"/>
          <w:szCs w:val="24"/>
        </w:rPr>
        <w:t>mprovement and risk management systems</w:t>
      </w:r>
      <w:bookmarkEnd w:id="143"/>
    </w:p>
    <w:p w14:paraId="5E1A3D76" w14:textId="77777777" w:rsidR="00152A10" w:rsidRPr="00413272" w:rsidRDefault="00A468C8" w:rsidP="00853D3D">
      <w:pPr>
        <w:rPr>
          <w:rFonts w:ascii="Arial" w:hAnsi="Arial" w:cs="Arial"/>
          <w:sz w:val="24"/>
          <w:szCs w:val="24"/>
        </w:rPr>
      </w:pPr>
      <w:r w:rsidRPr="00413272">
        <w:rPr>
          <w:rFonts w:ascii="Arial" w:hAnsi="Arial" w:cs="Arial"/>
          <w:sz w:val="24"/>
          <w:szCs w:val="24"/>
        </w:rPr>
        <w:t xml:space="preserve">The Provider must have a documented quality improvement and risk management system in place that reflect continuous quality improvement principles. </w:t>
      </w:r>
      <w:r w:rsidR="0085322E" w:rsidRPr="00413272">
        <w:rPr>
          <w:rFonts w:ascii="Arial" w:hAnsi="Arial" w:cs="Arial"/>
          <w:sz w:val="24"/>
          <w:szCs w:val="24"/>
        </w:rPr>
        <w:t xml:space="preserve"> </w:t>
      </w:r>
    </w:p>
    <w:p w14:paraId="2FB4AEEF" w14:textId="77777777" w:rsidR="0085322E" w:rsidRPr="00413272" w:rsidRDefault="0085322E" w:rsidP="00413272">
      <w:pPr>
        <w:spacing w:after="120"/>
        <w:rPr>
          <w:rFonts w:ascii="Arial" w:hAnsi="Arial" w:cs="Arial"/>
          <w:sz w:val="24"/>
          <w:szCs w:val="24"/>
        </w:rPr>
      </w:pPr>
      <w:r w:rsidRPr="00413272">
        <w:rPr>
          <w:rFonts w:ascii="Arial" w:hAnsi="Arial" w:cs="Arial"/>
          <w:sz w:val="24"/>
          <w:szCs w:val="24"/>
        </w:rPr>
        <w:t xml:space="preserve">The quality of </w:t>
      </w:r>
      <w:r w:rsidR="00C87B13" w:rsidRPr="00413272">
        <w:rPr>
          <w:rFonts w:ascii="Arial" w:hAnsi="Arial" w:cs="Arial"/>
          <w:sz w:val="24"/>
          <w:szCs w:val="24"/>
        </w:rPr>
        <w:t>the P</w:t>
      </w:r>
      <w:r w:rsidRPr="00413272">
        <w:rPr>
          <w:rFonts w:ascii="Arial" w:hAnsi="Arial" w:cs="Arial"/>
          <w:sz w:val="24"/>
          <w:szCs w:val="24"/>
        </w:rPr>
        <w:t>rovider</w:t>
      </w:r>
      <w:r w:rsidR="002845E0" w:rsidRPr="00413272">
        <w:rPr>
          <w:rFonts w:ascii="Arial" w:hAnsi="Arial" w:cs="Arial"/>
          <w:sz w:val="24"/>
          <w:szCs w:val="24"/>
        </w:rPr>
        <w:t xml:space="preserve">’s </w:t>
      </w:r>
      <w:r w:rsidRPr="00413272">
        <w:rPr>
          <w:rFonts w:ascii="Arial" w:hAnsi="Arial" w:cs="Arial"/>
          <w:sz w:val="24"/>
          <w:szCs w:val="24"/>
        </w:rPr>
        <w:t>services will be measured as the extent to which they are:</w:t>
      </w:r>
    </w:p>
    <w:p w14:paraId="41A7E336" w14:textId="77777777" w:rsidR="0085322E" w:rsidRPr="00413272" w:rsidRDefault="0085322E" w:rsidP="000D0001">
      <w:pPr>
        <w:pStyle w:val="ListParagraph"/>
        <w:numPr>
          <w:ilvl w:val="0"/>
          <w:numId w:val="21"/>
        </w:numPr>
        <w:tabs>
          <w:tab w:val="left" w:pos="0"/>
        </w:tabs>
        <w:spacing w:after="120"/>
        <w:ind w:left="567" w:hanging="567"/>
        <w:contextualSpacing w:val="0"/>
        <w:rPr>
          <w:rFonts w:ascii="Arial" w:hAnsi="Arial" w:cs="Arial"/>
          <w:sz w:val="24"/>
          <w:szCs w:val="24"/>
        </w:rPr>
      </w:pPr>
      <w:r w:rsidRPr="00413272">
        <w:rPr>
          <w:rFonts w:ascii="Arial" w:hAnsi="Arial" w:cs="Arial"/>
          <w:sz w:val="24"/>
          <w:szCs w:val="24"/>
        </w:rPr>
        <w:t xml:space="preserve">delivered safely </w:t>
      </w:r>
    </w:p>
    <w:p w14:paraId="60C46708" w14:textId="77777777" w:rsidR="0085322E" w:rsidRPr="00413272" w:rsidRDefault="0085322E" w:rsidP="000D0001">
      <w:pPr>
        <w:pStyle w:val="ListParagraph"/>
        <w:numPr>
          <w:ilvl w:val="0"/>
          <w:numId w:val="21"/>
        </w:numPr>
        <w:tabs>
          <w:tab w:val="left" w:pos="0"/>
        </w:tabs>
        <w:spacing w:after="120"/>
        <w:ind w:left="567" w:hanging="567"/>
        <w:contextualSpacing w:val="0"/>
        <w:rPr>
          <w:rFonts w:ascii="Arial" w:hAnsi="Arial" w:cs="Arial"/>
          <w:sz w:val="24"/>
          <w:szCs w:val="24"/>
        </w:rPr>
      </w:pPr>
      <w:r w:rsidRPr="00413272">
        <w:rPr>
          <w:rFonts w:ascii="Arial" w:hAnsi="Arial" w:cs="Arial"/>
          <w:sz w:val="24"/>
          <w:szCs w:val="24"/>
        </w:rPr>
        <w:t>are highly effective</w:t>
      </w:r>
    </w:p>
    <w:p w14:paraId="69B184A1" w14:textId="77777777" w:rsidR="0085322E" w:rsidRPr="00413272" w:rsidRDefault="00C87B13" w:rsidP="000D0001">
      <w:pPr>
        <w:pStyle w:val="ListParagraph"/>
        <w:numPr>
          <w:ilvl w:val="0"/>
          <w:numId w:val="21"/>
        </w:numPr>
        <w:tabs>
          <w:tab w:val="left" w:pos="0"/>
        </w:tabs>
        <w:spacing w:after="120"/>
        <w:ind w:left="567" w:hanging="567"/>
        <w:contextualSpacing w:val="0"/>
        <w:rPr>
          <w:rFonts w:ascii="Arial" w:hAnsi="Arial" w:cs="Arial"/>
          <w:sz w:val="24"/>
          <w:szCs w:val="24"/>
        </w:rPr>
      </w:pPr>
      <w:r w:rsidRPr="00413272">
        <w:rPr>
          <w:rFonts w:ascii="Arial" w:hAnsi="Arial" w:cs="Arial"/>
          <w:sz w:val="24"/>
          <w:szCs w:val="24"/>
        </w:rPr>
        <w:t xml:space="preserve">client and whānau </w:t>
      </w:r>
      <w:r w:rsidR="0085322E" w:rsidRPr="00413272">
        <w:rPr>
          <w:rFonts w:ascii="Arial" w:hAnsi="Arial" w:cs="Arial"/>
          <w:sz w:val="24"/>
          <w:szCs w:val="24"/>
        </w:rPr>
        <w:t>centred</w:t>
      </w:r>
    </w:p>
    <w:p w14:paraId="5A3A15D0" w14:textId="77777777" w:rsidR="0085322E" w:rsidRPr="00413272" w:rsidRDefault="00721BF0" w:rsidP="000D0001">
      <w:pPr>
        <w:pStyle w:val="ListParagraph"/>
        <w:numPr>
          <w:ilvl w:val="0"/>
          <w:numId w:val="21"/>
        </w:numPr>
        <w:tabs>
          <w:tab w:val="left" w:pos="0"/>
        </w:tabs>
        <w:spacing w:after="120"/>
        <w:ind w:left="567" w:hanging="567"/>
        <w:contextualSpacing w:val="0"/>
        <w:rPr>
          <w:rFonts w:ascii="Arial" w:hAnsi="Arial" w:cs="Arial"/>
          <w:sz w:val="24"/>
          <w:szCs w:val="24"/>
        </w:rPr>
      </w:pPr>
      <w:r w:rsidRPr="00413272">
        <w:rPr>
          <w:rFonts w:ascii="Arial" w:hAnsi="Arial" w:cs="Arial"/>
          <w:sz w:val="24"/>
          <w:szCs w:val="24"/>
        </w:rPr>
        <w:t>d</w:t>
      </w:r>
      <w:r w:rsidR="0085322E" w:rsidRPr="00413272">
        <w:rPr>
          <w:rFonts w:ascii="Arial" w:hAnsi="Arial" w:cs="Arial"/>
          <w:sz w:val="24"/>
          <w:szCs w:val="24"/>
        </w:rPr>
        <w:t>elivered in timely way</w:t>
      </w:r>
    </w:p>
    <w:p w14:paraId="0163BA09" w14:textId="77777777" w:rsidR="0085322E" w:rsidRPr="00413272" w:rsidRDefault="00721BF0" w:rsidP="000D0001">
      <w:pPr>
        <w:pStyle w:val="ListParagraph"/>
        <w:numPr>
          <w:ilvl w:val="0"/>
          <w:numId w:val="21"/>
        </w:numPr>
        <w:tabs>
          <w:tab w:val="left" w:pos="0"/>
        </w:tabs>
        <w:spacing w:after="120"/>
        <w:ind w:left="567" w:hanging="567"/>
        <w:contextualSpacing w:val="0"/>
        <w:rPr>
          <w:rFonts w:ascii="Arial" w:hAnsi="Arial" w:cs="Arial"/>
          <w:sz w:val="24"/>
          <w:szCs w:val="24"/>
        </w:rPr>
      </w:pPr>
      <w:r w:rsidRPr="00413272">
        <w:rPr>
          <w:rFonts w:ascii="Arial" w:hAnsi="Arial" w:cs="Arial"/>
          <w:sz w:val="24"/>
          <w:szCs w:val="24"/>
        </w:rPr>
        <w:t>d</w:t>
      </w:r>
      <w:r w:rsidR="0085322E" w:rsidRPr="00413272">
        <w:rPr>
          <w:rFonts w:ascii="Arial" w:hAnsi="Arial" w:cs="Arial"/>
          <w:sz w:val="24"/>
          <w:szCs w:val="24"/>
        </w:rPr>
        <w:t>elivered flexibly and efficiently</w:t>
      </w:r>
      <w:r w:rsidRPr="00413272">
        <w:rPr>
          <w:rFonts w:ascii="Arial" w:hAnsi="Arial" w:cs="Arial"/>
          <w:sz w:val="24"/>
          <w:szCs w:val="24"/>
        </w:rPr>
        <w:t>.</w:t>
      </w:r>
    </w:p>
    <w:p w14:paraId="69E4AD34" w14:textId="77777777" w:rsidR="00D52EE2" w:rsidRPr="00413272" w:rsidRDefault="00A468C8" w:rsidP="00413272">
      <w:pPr>
        <w:spacing w:after="120"/>
        <w:rPr>
          <w:rFonts w:ascii="Arial" w:hAnsi="Arial" w:cs="Arial"/>
          <w:sz w:val="24"/>
          <w:szCs w:val="24"/>
        </w:rPr>
      </w:pPr>
      <w:r w:rsidRPr="00413272">
        <w:rPr>
          <w:rFonts w:ascii="Arial" w:hAnsi="Arial" w:cs="Arial"/>
          <w:sz w:val="24"/>
          <w:szCs w:val="24"/>
        </w:rPr>
        <w:t xml:space="preserve">The Provider must deliver </w:t>
      </w:r>
      <w:r w:rsidR="00152A10" w:rsidRPr="00413272">
        <w:rPr>
          <w:rFonts w:ascii="Arial" w:hAnsi="Arial" w:cs="Arial"/>
          <w:sz w:val="24"/>
          <w:szCs w:val="24"/>
        </w:rPr>
        <w:t>the service</w:t>
      </w:r>
      <w:r w:rsidR="005317B6" w:rsidRPr="00413272">
        <w:rPr>
          <w:rFonts w:ascii="Arial" w:hAnsi="Arial" w:cs="Arial"/>
          <w:sz w:val="24"/>
          <w:szCs w:val="24"/>
        </w:rPr>
        <w:t xml:space="preserve"> </w:t>
      </w:r>
      <w:r w:rsidR="00152A10" w:rsidRPr="00413272">
        <w:rPr>
          <w:rFonts w:ascii="Arial" w:hAnsi="Arial" w:cs="Arial"/>
          <w:sz w:val="24"/>
          <w:szCs w:val="24"/>
        </w:rPr>
        <w:t>in</w:t>
      </w:r>
      <w:r w:rsidRPr="00413272">
        <w:rPr>
          <w:rFonts w:ascii="Arial" w:hAnsi="Arial" w:cs="Arial"/>
          <w:sz w:val="24"/>
          <w:szCs w:val="24"/>
        </w:rPr>
        <w:t xml:space="preserve"> accordance with the outputs </w:t>
      </w:r>
      <w:r w:rsidR="00196FBD" w:rsidRPr="00413272">
        <w:rPr>
          <w:rFonts w:ascii="Arial" w:hAnsi="Arial" w:cs="Arial"/>
          <w:sz w:val="24"/>
          <w:szCs w:val="24"/>
        </w:rPr>
        <w:t xml:space="preserve">to achieve the expected </w:t>
      </w:r>
      <w:r w:rsidRPr="00413272">
        <w:rPr>
          <w:rFonts w:ascii="Arial" w:hAnsi="Arial" w:cs="Arial"/>
          <w:sz w:val="24"/>
          <w:szCs w:val="24"/>
        </w:rPr>
        <w:t xml:space="preserve">outcomes as set out in the </w:t>
      </w:r>
      <w:r w:rsidRPr="00413272">
        <w:rPr>
          <w:rFonts w:ascii="Arial" w:hAnsi="Arial" w:cs="Arial"/>
          <w:sz w:val="24"/>
          <w:szCs w:val="24"/>
          <w:shd w:val="clear" w:color="auto" w:fill="FFFFFF" w:themeFill="background1"/>
        </w:rPr>
        <w:t>table below</w:t>
      </w:r>
      <w:r w:rsidR="005317B6" w:rsidRPr="00413272">
        <w:rPr>
          <w:rFonts w:ascii="Arial" w:hAnsi="Arial" w:cs="Arial"/>
          <w:sz w:val="24"/>
          <w:szCs w:val="24"/>
          <w:shd w:val="clear" w:color="auto" w:fill="FFFFFF" w:themeFill="background1"/>
        </w:rPr>
        <w:t>.</w:t>
      </w:r>
    </w:p>
    <w:tbl>
      <w:tblPr>
        <w:tblW w:w="9634" w:type="dxa"/>
        <w:tblCellMar>
          <w:left w:w="0" w:type="dxa"/>
          <w:right w:w="0" w:type="dxa"/>
        </w:tblCellMar>
        <w:tblLook w:val="04A0" w:firstRow="1" w:lastRow="0" w:firstColumn="1" w:lastColumn="0" w:noHBand="0" w:noVBand="1"/>
      </w:tblPr>
      <w:tblGrid>
        <w:gridCol w:w="2082"/>
        <w:gridCol w:w="3016"/>
        <w:gridCol w:w="4536"/>
      </w:tblGrid>
      <w:tr w:rsidR="00CC5F8F" w:rsidRPr="00986409" w14:paraId="3D1D8FCC" w14:textId="77777777" w:rsidTr="00902A66">
        <w:trPr>
          <w:trHeight w:hRule="exact" w:val="588"/>
          <w:tblHeader/>
        </w:trPr>
        <w:tc>
          <w:tcPr>
            <w:tcW w:w="2082" w:type="dxa"/>
            <w:tcBorders>
              <w:top w:val="single" w:sz="8" w:space="0" w:color="auto"/>
              <w:left w:val="single" w:sz="4" w:space="0" w:color="auto"/>
              <w:bottom w:val="single" w:sz="4" w:space="0" w:color="auto"/>
              <w:right w:val="single" w:sz="8" w:space="0" w:color="auto"/>
            </w:tcBorders>
            <w:shd w:val="clear" w:color="auto" w:fill="D8D8D8" w:themeFill="background2"/>
          </w:tcPr>
          <w:p w14:paraId="04D59E1B" w14:textId="77777777" w:rsidR="00CC5F8F" w:rsidRPr="00413272" w:rsidRDefault="00C77A75" w:rsidP="000D0001">
            <w:pPr>
              <w:spacing w:before="120" w:after="120"/>
              <w:jc w:val="both"/>
              <w:rPr>
                <w:rFonts w:ascii="Arial" w:eastAsia="Calibri" w:hAnsi="Arial" w:cs="Arial"/>
                <w:b/>
                <w:bCs/>
                <w:color w:val="FFFFFF"/>
                <w:sz w:val="24"/>
                <w:szCs w:val="24"/>
                <w:lang w:eastAsia="en-NZ"/>
              </w:rPr>
            </w:pPr>
            <w:r w:rsidRPr="00413272">
              <w:rPr>
                <w:rFonts w:ascii="Arial" w:eastAsia="Calibri" w:hAnsi="Arial" w:cs="Arial"/>
                <w:b/>
                <w:bCs/>
                <w:sz w:val="24"/>
                <w:szCs w:val="24"/>
                <w:lang w:eastAsia="en-NZ"/>
              </w:rPr>
              <w:t xml:space="preserve">Quality </w:t>
            </w:r>
            <w:r w:rsidR="00721BF0" w:rsidRPr="00413272">
              <w:rPr>
                <w:rFonts w:ascii="Arial" w:eastAsia="Calibri" w:hAnsi="Arial" w:cs="Arial"/>
                <w:b/>
                <w:bCs/>
                <w:sz w:val="24"/>
                <w:szCs w:val="24"/>
                <w:lang w:eastAsia="en-NZ"/>
              </w:rPr>
              <w:t>Indicators</w:t>
            </w:r>
          </w:p>
        </w:tc>
        <w:tc>
          <w:tcPr>
            <w:tcW w:w="3016" w:type="dxa"/>
            <w:tcBorders>
              <w:top w:val="single" w:sz="8" w:space="0" w:color="auto"/>
              <w:left w:val="single" w:sz="4" w:space="0" w:color="auto"/>
              <w:bottom w:val="single" w:sz="4" w:space="0" w:color="auto"/>
              <w:right w:val="single" w:sz="8" w:space="0" w:color="auto"/>
            </w:tcBorders>
            <w:shd w:val="clear" w:color="auto" w:fill="D8D8D8" w:themeFill="background2"/>
            <w:tcMar>
              <w:top w:w="0" w:type="dxa"/>
              <w:left w:w="108" w:type="dxa"/>
              <w:bottom w:w="0" w:type="dxa"/>
              <w:right w:w="108" w:type="dxa"/>
            </w:tcMar>
            <w:hideMark/>
          </w:tcPr>
          <w:p w14:paraId="121F1434" w14:textId="77777777" w:rsidR="00CC5F8F" w:rsidRPr="00413272" w:rsidRDefault="00CC5F8F" w:rsidP="000D0001">
            <w:pPr>
              <w:spacing w:before="120" w:after="120"/>
              <w:jc w:val="both"/>
              <w:rPr>
                <w:rFonts w:ascii="Arial" w:eastAsia="Calibri" w:hAnsi="Arial" w:cs="Arial"/>
                <w:b/>
                <w:bCs/>
                <w:sz w:val="24"/>
                <w:szCs w:val="24"/>
                <w:lang w:eastAsia="en-NZ"/>
              </w:rPr>
            </w:pPr>
            <w:r w:rsidRPr="00413272">
              <w:rPr>
                <w:rFonts w:ascii="Arial" w:eastAsia="Calibri" w:hAnsi="Arial" w:cs="Arial"/>
                <w:b/>
                <w:bCs/>
                <w:sz w:val="24"/>
                <w:szCs w:val="24"/>
                <w:lang w:eastAsia="en-NZ"/>
              </w:rPr>
              <w:t>Service output</w:t>
            </w:r>
          </w:p>
          <w:p w14:paraId="4D56D0AD" w14:textId="77777777" w:rsidR="00CC5F8F" w:rsidRPr="00413272" w:rsidRDefault="00CC5F8F" w:rsidP="000D0001">
            <w:pPr>
              <w:spacing w:before="120" w:after="120"/>
              <w:jc w:val="both"/>
              <w:rPr>
                <w:rFonts w:ascii="Arial" w:eastAsia="Calibri" w:hAnsi="Arial" w:cs="Arial"/>
                <w:b/>
                <w:bCs/>
                <w:sz w:val="24"/>
                <w:szCs w:val="24"/>
              </w:rPr>
            </w:pPr>
            <w:r w:rsidRPr="00413272">
              <w:rPr>
                <w:rFonts w:ascii="Arial" w:eastAsia="Calibri" w:hAnsi="Arial" w:cs="Arial"/>
                <w:b/>
                <w:bCs/>
                <w:sz w:val="24"/>
                <w:szCs w:val="24"/>
                <w:lang w:eastAsia="en-NZ"/>
              </w:rPr>
              <w:t xml:space="preserve">  </w:t>
            </w:r>
          </w:p>
        </w:tc>
        <w:tc>
          <w:tcPr>
            <w:tcW w:w="4536" w:type="dxa"/>
            <w:tcBorders>
              <w:top w:val="single" w:sz="8" w:space="0" w:color="auto"/>
              <w:left w:val="nil"/>
              <w:bottom w:val="single" w:sz="4" w:space="0" w:color="auto"/>
              <w:right w:val="single" w:sz="4" w:space="0" w:color="auto"/>
            </w:tcBorders>
            <w:shd w:val="clear" w:color="auto" w:fill="D8D8D8" w:themeFill="background2"/>
            <w:tcMar>
              <w:top w:w="0" w:type="dxa"/>
              <w:left w:w="108" w:type="dxa"/>
              <w:bottom w:w="0" w:type="dxa"/>
              <w:right w:w="108" w:type="dxa"/>
            </w:tcMar>
            <w:hideMark/>
          </w:tcPr>
          <w:p w14:paraId="1690691F" w14:textId="062F97C1" w:rsidR="00CC5F8F" w:rsidRPr="00413272" w:rsidRDefault="003F2C81" w:rsidP="000D0001">
            <w:pPr>
              <w:keepNext/>
              <w:spacing w:before="120" w:after="120"/>
              <w:contextualSpacing/>
              <w:rPr>
                <w:rFonts w:ascii="Arial" w:eastAsia="Calibri" w:hAnsi="Arial" w:cs="Arial"/>
                <w:b/>
                <w:sz w:val="24"/>
                <w:szCs w:val="24"/>
              </w:rPr>
            </w:pPr>
            <w:r w:rsidRPr="00413272">
              <w:rPr>
                <w:rFonts w:ascii="Arial" w:eastAsia="Calibri" w:hAnsi="Arial" w:cs="Arial"/>
                <w:b/>
                <w:sz w:val="24"/>
                <w:szCs w:val="24"/>
              </w:rPr>
              <w:t>Expected</w:t>
            </w:r>
            <w:r w:rsidR="00CC5F8F" w:rsidRPr="00413272">
              <w:rPr>
                <w:rFonts w:ascii="Arial" w:eastAsia="Calibri" w:hAnsi="Arial" w:cs="Arial"/>
                <w:b/>
                <w:sz w:val="24"/>
                <w:szCs w:val="24"/>
              </w:rPr>
              <w:t xml:space="preserve"> </w:t>
            </w:r>
            <w:r w:rsidRPr="00413272">
              <w:rPr>
                <w:rFonts w:ascii="Arial" w:eastAsia="Calibri" w:hAnsi="Arial" w:cs="Arial"/>
                <w:b/>
                <w:sz w:val="24"/>
                <w:szCs w:val="24"/>
              </w:rPr>
              <w:t xml:space="preserve">qualitative and quantitative </w:t>
            </w:r>
            <w:r w:rsidR="00CC5F8F" w:rsidRPr="00413272">
              <w:rPr>
                <w:rFonts w:ascii="Arial" w:eastAsia="Calibri" w:hAnsi="Arial" w:cs="Arial"/>
                <w:b/>
                <w:sz w:val="24"/>
                <w:szCs w:val="24"/>
              </w:rPr>
              <w:t>outcomes</w:t>
            </w:r>
            <w:r w:rsidR="00E6579F">
              <w:rPr>
                <w:rFonts w:ascii="Arial" w:eastAsia="Calibri" w:hAnsi="Arial" w:cs="Arial"/>
                <w:b/>
                <w:sz w:val="24"/>
                <w:szCs w:val="24"/>
              </w:rPr>
              <w:t>:</w:t>
            </w:r>
          </w:p>
        </w:tc>
      </w:tr>
      <w:tr w:rsidR="00CC5F8F" w:rsidRPr="00986409" w14:paraId="35BAFE8F" w14:textId="77777777" w:rsidTr="00902A66">
        <w:trPr>
          <w:trHeight w:val="4300"/>
        </w:trPr>
        <w:tc>
          <w:tcPr>
            <w:tcW w:w="2082" w:type="dxa"/>
            <w:tcBorders>
              <w:top w:val="single" w:sz="4" w:space="0" w:color="auto"/>
              <w:left w:val="single" w:sz="4" w:space="0" w:color="auto"/>
              <w:bottom w:val="single" w:sz="4" w:space="0" w:color="auto"/>
              <w:right w:val="single" w:sz="4" w:space="0" w:color="auto"/>
            </w:tcBorders>
          </w:tcPr>
          <w:p w14:paraId="32224E2A" w14:textId="77777777" w:rsidR="00CC5F8F" w:rsidRPr="00413272" w:rsidRDefault="00CC5F8F" w:rsidP="002845E0">
            <w:pPr>
              <w:rPr>
                <w:rFonts w:ascii="Arial" w:eastAsia="Calibri" w:hAnsi="Arial" w:cs="Arial"/>
                <w:b/>
                <w:bCs/>
                <w:sz w:val="24"/>
                <w:szCs w:val="24"/>
                <w:lang w:eastAsia="en-NZ"/>
              </w:rPr>
            </w:pPr>
            <w:r w:rsidRPr="00413272">
              <w:rPr>
                <w:rFonts w:ascii="Arial" w:eastAsia="Calibri" w:hAnsi="Arial" w:cs="Arial"/>
                <w:b/>
                <w:bCs/>
                <w:sz w:val="24"/>
                <w:szCs w:val="24"/>
                <w:lang w:eastAsia="en-NZ"/>
              </w:rPr>
              <w:t xml:space="preserve">Quality and safety </w:t>
            </w:r>
          </w:p>
          <w:p w14:paraId="691D7EEA" w14:textId="77777777" w:rsidR="00CC5F8F" w:rsidRPr="00413272" w:rsidRDefault="00CC5F8F" w:rsidP="002845E0">
            <w:pPr>
              <w:ind w:left="147"/>
              <w:rPr>
                <w:rFonts w:ascii="Arial" w:eastAsia="Calibri" w:hAnsi="Arial" w:cs="Arial"/>
                <w:b/>
                <w:bCs/>
                <w:sz w:val="24"/>
                <w:szCs w:val="24"/>
                <w:lang w:eastAsia="en-NZ"/>
              </w:rPr>
            </w:pPr>
          </w:p>
        </w:tc>
        <w:tc>
          <w:tcPr>
            <w:tcW w:w="3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AD929" w14:textId="77777777" w:rsidR="00CC5F8F" w:rsidRPr="00413272" w:rsidRDefault="00CC5F8F" w:rsidP="002845E0">
            <w:pPr>
              <w:spacing w:after="120"/>
              <w:rPr>
                <w:rFonts w:ascii="Arial" w:eastAsia="Calibri" w:hAnsi="Arial" w:cs="Arial"/>
                <w:bCs/>
                <w:sz w:val="24"/>
                <w:szCs w:val="24"/>
                <w:lang w:eastAsia="en-NZ"/>
              </w:rPr>
            </w:pPr>
            <w:r w:rsidRPr="00413272">
              <w:rPr>
                <w:rFonts w:ascii="Arial" w:eastAsia="Calibri" w:hAnsi="Arial" w:cs="Arial"/>
                <w:bCs/>
                <w:sz w:val="24"/>
                <w:szCs w:val="24"/>
                <w:lang w:eastAsia="en-NZ"/>
              </w:rPr>
              <w:t xml:space="preserve">Complaints management system </w:t>
            </w:r>
            <w:r w:rsidR="008819A7" w:rsidRPr="00413272">
              <w:rPr>
                <w:rFonts w:ascii="Arial" w:eastAsia="Calibri" w:hAnsi="Arial" w:cs="Arial"/>
                <w:bCs/>
                <w:sz w:val="24"/>
                <w:szCs w:val="24"/>
                <w:lang w:eastAsia="en-NZ"/>
              </w:rPr>
              <w:t>that aligns with</w:t>
            </w:r>
            <w:r w:rsidR="008819A7" w:rsidRPr="00413272">
              <w:rPr>
                <w:rFonts w:ascii="Arial" w:hAnsi="Arial" w:cs="Arial"/>
                <w:sz w:val="24"/>
                <w:szCs w:val="24"/>
              </w:rPr>
              <w:t xml:space="preserve"> </w:t>
            </w:r>
            <w:r w:rsidR="008819A7" w:rsidRPr="00413272">
              <w:rPr>
                <w:rFonts w:ascii="Arial" w:eastAsia="Calibri" w:hAnsi="Arial" w:cs="Arial"/>
                <w:bCs/>
                <w:sz w:val="24"/>
                <w:szCs w:val="24"/>
                <w:lang w:eastAsia="en-NZ"/>
              </w:rPr>
              <w:t>the agreed Complaints Categorisation (2015)</w:t>
            </w:r>
            <w:r w:rsidR="008819A7" w:rsidRPr="00413272">
              <w:rPr>
                <w:rStyle w:val="FootnoteReference"/>
                <w:rFonts w:ascii="Arial" w:eastAsia="Calibri" w:hAnsi="Arial" w:cs="Arial"/>
                <w:bCs/>
                <w:sz w:val="24"/>
                <w:szCs w:val="24"/>
                <w:lang w:eastAsia="en-NZ"/>
              </w:rPr>
              <w:footnoteReference w:id="17"/>
            </w:r>
            <w:r w:rsidR="008819A7" w:rsidRPr="00413272">
              <w:rPr>
                <w:rFonts w:ascii="Arial" w:eastAsia="Calibri" w:hAnsi="Arial" w:cs="Arial"/>
                <w:bCs/>
                <w:sz w:val="24"/>
                <w:szCs w:val="24"/>
                <w:lang w:eastAsia="en-NZ"/>
              </w:rPr>
              <w:t xml:space="preserve"> </w:t>
            </w:r>
          </w:p>
          <w:p w14:paraId="6E89C0ED"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Sector standard compliance maintained.</w:t>
            </w:r>
          </w:p>
          <w:p w14:paraId="35BB256E"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Adverse and sentinel events are measured.</w:t>
            </w:r>
          </w:p>
          <w:p w14:paraId="6797C500" w14:textId="77777777" w:rsidR="00CC5F8F" w:rsidRPr="00413272" w:rsidRDefault="00CC5F8F" w:rsidP="002845E0">
            <w:pPr>
              <w:spacing w:after="120"/>
              <w:rPr>
                <w:rFonts w:ascii="Arial" w:hAnsi="Arial" w:cs="Arial"/>
                <w:bCs/>
                <w:sz w:val="24"/>
                <w:szCs w:val="24"/>
                <w:lang w:eastAsia="en-NZ"/>
              </w:rPr>
            </w:pPr>
            <w:r w:rsidRPr="00413272">
              <w:rPr>
                <w:rFonts w:ascii="Arial" w:hAnsi="Arial" w:cs="Arial"/>
                <w:bCs/>
                <w:sz w:val="24"/>
                <w:szCs w:val="24"/>
                <w:lang w:eastAsia="en-NZ"/>
              </w:rPr>
              <w:t>Professional Body standard requirements are met</w:t>
            </w:r>
            <w:r w:rsidR="0086350C" w:rsidRPr="00413272">
              <w:rPr>
                <w:rFonts w:ascii="Arial" w:hAnsi="Arial" w:cs="Arial"/>
                <w:bCs/>
                <w:sz w:val="24"/>
                <w:szCs w:val="24"/>
                <w:lang w:eastAsia="en-NZ"/>
              </w:rPr>
              <w:t>.</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D7B40" w14:textId="6ADD6D40" w:rsidR="00BB61D3" w:rsidRPr="00413272" w:rsidRDefault="00E6579F" w:rsidP="00413272">
            <w:pPr>
              <w:pStyle w:val="ListParagraph"/>
              <w:numPr>
                <w:ilvl w:val="0"/>
                <w:numId w:val="30"/>
              </w:numPr>
              <w:ind w:left="357" w:hanging="357"/>
              <w:rPr>
                <w:rFonts w:ascii="Arial" w:hAnsi="Arial" w:cs="Arial"/>
                <w:sz w:val="24"/>
                <w:szCs w:val="24"/>
              </w:rPr>
            </w:pPr>
            <w:r>
              <w:rPr>
                <w:rFonts w:ascii="Arial" w:eastAsia="Calibri" w:hAnsi="Arial" w:cs="Arial"/>
                <w:sz w:val="24"/>
                <w:szCs w:val="24"/>
              </w:rPr>
              <w:t>a</w:t>
            </w:r>
            <w:r w:rsidR="00BB61D3" w:rsidRPr="00413272">
              <w:rPr>
                <w:rFonts w:ascii="Arial" w:eastAsia="Calibri" w:hAnsi="Arial" w:cs="Arial"/>
                <w:sz w:val="24"/>
                <w:szCs w:val="24"/>
              </w:rPr>
              <w:t>s per the Health and Disability Requirements.</w:t>
            </w:r>
          </w:p>
          <w:p w14:paraId="371E0F75" w14:textId="4BB5270B" w:rsidR="00BB61D3" w:rsidRPr="00413272" w:rsidRDefault="00E6579F" w:rsidP="00413272">
            <w:pPr>
              <w:pStyle w:val="ListParagraph"/>
              <w:numPr>
                <w:ilvl w:val="0"/>
                <w:numId w:val="30"/>
              </w:numPr>
              <w:ind w:left="357" w:hanging="357"/>
              <w:rPr>
                <w:rFonts w:ascii="Arial" w:hAnsi="Arial" w:cs="Arial"/>
                <w:sz w:val="24"/>
                <w:szCs w:val="24"/>
              </w:rPr>
            </w:pPr>
            <w:r>
              <w:rPr>
                <w:rFonts w:ascii="Arial" w:eastAsia="Calibri" w:hAnsi="Arial" w:cs="Arial"/>
                <w:sz w:val="24"/>
                <w:szCs w:val="24"/>
              </w:rPr>
              <w:t>p</w:t>
            </w:r>
            <w:r w:rsidR="00CC5F8F" w:rsidRPr="00413272">
              <w:rPr>
                <w:rFonts w:ascii="Arial" w:eastAsia="Calibri" w:hAnsi="Arial" w:cs="Arial"/>
                <w:sz w:val="24"/>
                <w:szCs w:val="24"/>
              </w:rPr>
              <w:t>roactive management of complaints, including providing an update to those involved in making the complaint when the complaint is resolved.</w:t>
            </w:r>
          </w:p>
          <w:p w14:paraId="1743C0BE" w14:textId="77777777" w:rsidR="00BB61D3" w:rsidRPr="00413272" w:rsidRDefault="00CC5F8F" w:rsidP="00413272">
            <w:pPr>
              <w:pStyle w:val="ListParagraph"/>
              <w:numPr>
                <w:ilvl w:val="0"/>
                <w:numId w:val="30"/>
              </w:numPr>
              <w:ind w:left="357" w:hanging="357"/>
              <w:rPr>
                <w:rFonts w:ascii="Arial" w:hAnsi="Arial" w:cs="Arial"/>
                <w:sz w:val="24"/>
                <w:szCs w:val="24"/>
              </w:rPr>
            </w:pPr>
            <w:proofErr w:type="spellStart"/>
            <w:r w:rsidRPr="00413272">
              <w:rPr>
                <w:rFonts w:ascii="Arial" w:eastAsia="Calibri" w:hAnsi="Arial" w:cs="Arial"/>
                <w:sz w:val="24"/>
                <w:szCs w:val="24"/>
              </w:rPr>
              <w:t>interRAI</w:t>
            </w:r>
            <w:proofErr w:type="spellEnd"/>
            <w:r w:rsidRPr="00413272">
              <w:rPr>
                <w:rFonts w:ascii="Arial" w:eastAsia="Calibri" w:hAnsi="Arial" w:cs="Arial"/>
                <w:sz w:val="24"/>
                <w:szCs w:val="24"/>
              </w:rPr>
              <w:t xml:space="preserve"> </w:t>
            </w:r>
            <w:r w:rsidR="00196FBD" w:rsidRPr="00413272">
              <w:rPr>
                <w:rFonts w:ascii="Arial" w:eastAsia="Calibri" w:hAnsi="Arial" w:cs="Arial"/>
                <w:sz w:val="24"/>
                <w:szCs w:val="24"/>
              </w:rPr>
              <w:t xml:space="preserve">assessment </w:t>
            </w:r>
            <w:r w:rsidR="003F2C81" w:rsidRPr="00413272">
              <w:rPr>
                <w:rFonts w:ascii="Arial" w:eastAsia="Calibri" w:hAnsi="Arial" w:cs="Arial"/>
                <w:sz w:val="24"/>
                <w:szCs w:val="24"/>
              </w:rPr>
              <w:t xml:space="preserve">competency </w:t>
            </w:r>
            <w:r w:rsidR="00196FBD" w:rsidRPr="00413272">
              <w:rPr>
                <w:rFonts w:ascii="Arial" w:eastAsia="Calibri" w:hAnsi="Arial" w:cs="Arial"/>
                <w:sz w:val="24"/>
                <w:szCs w:val="24"/>
              </w:rPr>
              <w:t>achieved and retained.</w:t>
            </w:r>
          </w:p>
          <w:p w14:paraId="1D45E635" w14:textId="7FA7B612" w:rsidR="00E350EB" w:rsidRPr="00413272" w:rsidRDefault="00E6579F" w:rsidP="00413272">
            <w:pPr>
              <w:pStyle w:val="ListParagraph"/>
              <w:numPr>
                <w:ilvl w:val="0"/>
                <w:numId w:val="30"/>
              </w:numPr>
              <w:ind w:left="357" w:hanging="357"/>
              <w:rPr>
                <w:rFonts w:ascii="Arial" w:hAnsi="Arial" w:cs="Arial"/>
                <w:sz w:val="24"/>
                <w:szCs w:val="24"/>
              </w:rPr>
            </w:pPr>
            <w:r>
              <w:rPr>
                <w:rFonts w:ascii="Arial" w:eastAsia="Calibri" w:hAnsi="Arial" w:cs="Arial"/>
                <w:sz w:val="24"/>
                <w:szCs w:val="24"/>
              </w:rPr>
              <w:t>c</w:t>
            </w:r>
            <w:r w:rsidR="00CC5F8F" w:rsidRPr="00413272">
              <w:rPr>
                <w:rFonts w:ascii="Arial" w:eastAsia="Calibri" w:hAnsi="Arial" w:cs="Arial"/>
                <w:sz w:val="24"/>
                <w:szCs w:val="24"/>
              </w:rPr>
              <w:t>ontinued certification against sector standards.</w:t>
            </w:r>
          </w:p>
          <w:p w14:paraId="1D9D470A" w14:textId="1703C033" w:rsidR="00CC5F8F" w:rsidRPr="00413272" w:rsidRDefault="00E6579F" w:rsidP="00413272">
            <w:pPr>
              <w:pStyle w:val="ListParagraph"/>
              <w:numPr>
                <w:ilvl w:val="0"/>
                <w:numId w:val="30"/>
              </w:numPr>
              <w:spacing w:after="120"/>
              <w:ind w:left="357" w:hanging="357"/>
              <w:contextualSpacing w:val="0"/>
              <w:rPr>
                <w:rFonts w:ascii="Arial" w:hAnsi="Arial" w:cs="Arial"/>
                <w:sz w:val="24"/>
                <w:szCs w:val="24"/>
              </w:rPr>
            </w:pPr>
            <w:r>
              <w:rPr>
                <w:rFonts w:ascii="Arial" w:hAnsi="Arial" w:cs="Arial"/>
                <w:sz w:val="24"/>
                <w:szCs w:val="24"/>
              </w:rPr>
              <w:t>a</w:t>
            </w:r>
            <w:r w:rsidR="00CC5F8F" w:rsidRPr="00413272">
              <w:rPr>
                <w:rFonts w:ascii="Arial" w:hAnsi="Arial" w:cs="Arial"/>
                <w:sz w:val="24"/>
                <w:szCs w:val="24"/>
              </w:rPr>
              <w:t>ll professional staff are supported to meet professional body requirements for practice and maintain an annual practicing certificate</w:t>
            </w:r>
            <w:r w:rsidR="0086350C" w:rsidRPr="00413272">
              <w:rPr>
                <w:rFonts w:ascii="Arial" w:hAnsi="Arial" w:cs="Arial"/>
                <w:sz w:val="24"/>
                <w:szCs w:val="24"/>
              </w:rPr>
              <w:t>.</w:t>
            </w:r>
          </w:p>
        </w:tc>
      </w:tr>
      <w:tr w:rsidR="00CC5F8F" w:rsidRPr="00986409" w14:paraId="24740376" w14:textId="77777777" w:rsidTr="00902A66">
        <w:trPr>
          <w:trHeight w:val="410"/>
        </w:trPr>
        <w:tc>
          <w:tcPr>
            <w:tcW w:w="2082" w:type="dxa"/>
            <w:tcBorders>
              <w:top w:val="single" w:sz="4" w:space="0" w:color="auto"/>
              <w:left w:val="single" w:sz="4" w:space="0" w:color="auto"/>
              <w:bottom w:val="single" w:sz="4" w:space="0" w:color="auto"/>
              <w:right w:val="single" w:sz="4" w:space="0" w:color="auto"/>
            </w:tcBorders>
          </w:tcPr>
          <w:p w14:paraId="61C48911" w14:textId="77777777" w:rsidR="00CC5F8F" w:rsidRPr="00413272" w:rsidRDefault="00721BF0" w:rsidP="002845E0">
            <w:pPr>
              <w:ind w:left="147"/>
              <w:rPr>
                <w:rFonts w:ascii="Arial" w:hAnsi="Arial" w:cs="Arial"/>
                <w:b/>
                <w:bCs/>
                <w:sz w:val="24"/>
                <w:szCs w:val="24"/>
                <w:lang w:eastAsia="en-NZ"/>
              </w:rPr>
            </w:pPr>
            <w:r w:rsidRPr="00413272">
              <w:rPr>
                <w:rFonts w:ascii="Arial" w:eastAsia="Calibri" w:hAnsi="Arial" w:cs="Arial"/>
                <w:b/>
                <w:bCs/>
                <w:sz w:val="24"/>
                <w:szCs w:val="24"/>
                <w:lang w:eastAsia="en-NZ"/>
              </w:rPr>
              <w:t>C</w:t>
            </w:r>
            <w:r w:rsidR="00B40C49" w:rsidRPr="00413272">
              <w:rPr>
                <w:rFonts w:ascii="Arial" w:eastAsia="Calibri" w:hAnsi="Arial" w:cs="Arial"/>
                <w:b/>
                <w:bCs/>
                <w:sz w:val="24"/>
                <w:szCs w:val="24"/>
                <w:lang w:eastAsia="en-NZ"/>
              </w:rPr>
              <w:t>lient</w:t>
            </w:r>
            <w:r w:rsidR="00CC5F8F" w:rsidRPr="00413272">
              <w:rPr>
                <w:rFonts w:ascii="Arial" w:eastAsia="Calibri" w:hAnsi="Arial" w:cs="Arial"/>
                <w:b/>
                <w:bCs/>
                <w:sz w:val="24"/>
                <w:szCs w:val="24"/>
                <w:lang w:eastAsia="en-NZ"/>
              </w:rPr>
              <w:t xml:space="preserve"> </w:t>
            </w:r>
            <w:r w:rsidR="000B06AB">
              <w:rPr>
                <w:rFonts w:ascii="Arial" w:eastAsia="Calibri" w:hAnsi="Arial" w:cs="Arial"/>
                <w:b/>
                <w:bCs/>
                <w:sz w:val="24"/>
                <w:szCs w:val="24"/>
                <w:lang w:eastAsia="en-NZ"/>
              </w:rPr>
              <w:t>e</w:t>
            </w:r>
            <w:r w:rsidR="00CC5F8F" w:rsidRPr="00413272">
              <w:rPr>
                <w:rFonts w:ascii="Arial" w:eastAsia="Calibri" w:hAnsi="Arial" w:cs="Arial"/>
                <w:b/>
                <w:bCs/>
                <w:sz w:val="24"/>
                <w:szCs w:val="24"/>
                <w:lang w:eastAsia="en-NZ"/>
              </w:rPr>
              <w:t>xperience</w:t>
            </w:r>
          </w:p>
        </w:tc>
        <w:tc>
          <w:tcPr>
            <w:tcW w:w="30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CB3834"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 xml:space="preserve">Restorative and maintenance HCSS for </w:t>
            </w:r>
            <w:r w:rsidRPr="00413272">
              <w:rPr>
                <w:rFonts w:ascii="Arial" w:eastAsia="Calibri" w:hAnsi="Arial" w:cs="Arial"/>
                <w:bCs/>
                <w:sz w:val="24"/>
                <w:szCs w:val="24"/>
                <w:lang w:eastAsia="en-NZ"/>
              </w:rPr>
              <w:lastRenderedPageBreak/>
              <w:t xml:space="preserve">complex and non-complex </w:t>
            </w:r>
            <w:r w:rsidR="00B40C49" w:rsidRPr="00413272">
              <w:rPr>
                <w:rFonts w:ascii="Arial" w:eastAsia="Calibri" w:hAnsi="Arial" w:cs="Arial"/>
                <w:bCs/>
                <w:sz w:val="24"/>
                <w:szCs w:val="24"/>
                <w:lang w:eastAsia="en-NZ"/>
              </w:rPr>
              <w:t>client</w:t>
            </w:r>
            <w:r w:rsidRPr="00413272">
              <w:rPr>
                <w:rFonts w:ascii="Arial" w:eastAsia="Calibri" w:hAnsi="Arial" w:cs="Arial"/>
                <w:bCs/>
                <w:sz w:val="24"/>
                <w:szCs w:val="24"/>
                <w:lang w:eastAsia="en-NZ"/>
              </w:rPr>
              <w:t>s.</w:t>
            </w:r>
          </w:p>
          <w:p w14:paraId="4E37F35D" w14:textId="77777777" w:rsidR="008819A7" w:rsidRPr="00413272" w:rsidRDefault="00CC5F8F" w:rsidP="00413272">
            <w:pPr>
              <w:spacing w:after="120"/>
              <w:rPr>
                <w:rFonts w:ascii="Arial" w:eastAsia="Calibri" w:hAnsi="Arial" w:cs="Arial"/>
                <w:bCs/>
                <w:sz w:val="24"/>
                <w:szCs w:val="24"/>
                <w:lang w:eastAsia="en-NZ"/>
              </w:rPr>
            </w:pPr>
            <w:proofErr w:type="spellStart"/>
            <w:r w:rsidRPr="00413272">
              <w:rPr>
                <w:rFonts w:ascii="Arial" w:eastAsia="Calibri" w:hAnsi="Arial" w:cs="Arial"/>
                <w:bCs/>
                <w:sz w:val="24"/>
                <w:szCs w:val="24"/>
                <w:lang w:eastAsia="en-NZ"/>
              </w:rPr>
              <w:t>interRAI</w:t>
            </w:r>
            <w:proofErr w:type="spellEnd"/>
            <w:r w:rsidRPr="00413272">
              <w:rPr>
                <w:rFonts w:ascii="Arial" w:eastAsia="Calibri" w:hAnsi="Arial" w:cs="Arial"/>
                <w:bCs/>
                <w:sz w:val="24"/>
                <w:szCs w:val="24"/>
                <w:lang w:eastAsia="en-NZ"/>
              </w:rPr>
              <w:t xml:space="preserve"> assessment</w:t>
            </w:r>
            <w:r w:rsidR="00F04748" w:rsidRPr="00413272">
              <w:rPr>
                <w:rFonts w:ascii="Arial" w:eastAsia="Calibri" w:hAnsi="Arial" w:cs="Arial"/>
                <w:bCs/>
                <w:sz w:val="24"/>
                <w:szCs w:val="24"/>
                <w:lang w:eastAsia="en-NZ"/>
              </w:rPr>
              <w:t>s completed</w:t>
            </w:r>
            <w:r w:rsidRPr="00413272">
              <w:rPr>
                <w:rFonts w:ascii="Arial" w:eastAsia="Calibri" w:hAnsi="Arial" w:cs="Arial"/>
                <w:bCs/>
                <w:sz w:val="24"/>
                <w:szCs w:val="24"/>
                <w:lang w:eastAsia="en-NZ"/>
              </w:rPr>
              <w:t xml:space="preserve">. </w:t>
            </w:r>
          </w:p>
          <w:p w14:paraId="538013C5" w14:textId="77777777" w:rsidR="008819A7" w:rsidRPr="00413272" w:rsidRDefault="008819A7" w:rsidP="00413272">
            <w:pPr>
              <w:spacing w:after="120"/>
              <w:rPr>
                <w:rFonts w:ascii="Arial" w:eastAsia="Calibri" w:hAnsi="Arial" w:cs="Arial"/>
                <w:bCs/>
                <w:sz w:val="24"/>
                <w:szCs w:val="24"/>
                <w:lang w:eastAsia="en-NZ"/>
              </w:rPr>
            </w:pPr>
            <w:r w:rsidRPr="00413272">
              <w:rPr>
                <w:rFonts w:ascii="Arial" w:eastAsia="Calibri" w:hAnsi="Arial" w:cs="Arial"/>
                <w:bCs/>
                <w:sz w:val="24"/>
                <w:szCs w:val="24"/>
                <w:lang w:eastAsia="en-NZ"/>
              </w:rPr>
              <w:t>Adherence to Medication Management guidelines</w:t>
            </w:r>
            <w:r w:rsidRPr="00413272">
              <w:rPr>
                <w:rStyle w:val="FootnoteReference"/>
                <w:rFonts w:ascii="Arial" w:eastAsia="Calibri" w:hAnsi="Arial" w:cs="Arial"/>
                <w:bCs/>
                <w:sz w:val="24"/>
                <w:szCs w:val="24"/>
                <w:lang w:eastAsia="en-NZ"/>
              </w:rPr>
              <w:footnoteReference w:id="18"/>
            </w:r>
            <w:r w:rsidR="00A34BAC">
              <w:rPr>
                <w:rFonts w:ascii="Arial" w:eastAsia="Calibri" w:hAnsi="Arial" w:cs="Arial"/>
                <w:bCs/>
                <w:sz w:val="24"/>
                <w:szCs w:val="24"/>
                <w:lang w:eastAsia="en-NZ"/>
              </w:rPr>
              <w:t>.</w:t>
            </w:r>
          </w:p>
          <w:p w14:paraId="7383565D" w14:textId="77777777" w:rsidR="00CC5F8F" w:rsidRPr="00413272" w:rsidRDefault="00CC5F8F">
            <w:pPr>
              <w:spacing w:after="120"/>
              <w:rPr>
                <w:rFonts w:ascii="Arial" w:eastAsia="Calibri" w:hAnsi="Arial" w:cs="Arial"/>
                <w:bCs/>
                <w:sz w:val="24"/>
                <w:szCs w:val="24"/>
                <w:lang w:eastAsia="en-NZ"/>
              </w:rPr>
            </w:pPr>
            <w:r w:rsidRPr="00413272">
              <w:rPr>
                <w:rFonts w:ascii="Arial" w:eastAsia="Calibri" w:hAnsi="Arial" w:cs="Arial"/>
                <w:bCs/>
                <w:sz w:val="24"/>
                <w:szCs w:val="24"/>
                <w:lang w:eastAsia="en-NZ"/>
              </w:rPr>
              <w:t>Communication management systems.</w:t>
            </w:r>
          </w:p>
          <w:p w14:paraId="109519E9" w14:textId="77777777" w:rsidR="00CC5F8F" w:rsidRPr="00413272" w:rsidRDefault="00CC5F8F" w:rsidP="002845E0">
            <w:pPr>
              <w:spacing w:after="120"/>
              <w:rPr>
                <w:rFonts w:ascii="Arial" w:hAnsi="Arial" w:cs="Arial"/>
                <w:bCs/>
                <w:sz w:val="24"/>
                <w:szCs w:val="24"/>
                <w:lang w:eastAsia="en-NZ"/>
              </w:rPr>
            </w:pPr>
            <w:r w:rsidRPr="00413272">
              <w:rPr>
                <w:rFonts w:ascii="Arial" w:hAnsi="Arial" w:cs="Arial"/>
                <w:bCs/>
                <w:sz w:val="24"/>
                <w:szCs w:val="24"/>
                <w:lang w:eastAsia="en-NZ"/>
              </w:rPr>
              <w:t xml:space="preserve">Measurement of </w:t>
            </w:r>
            <w:r w:rsidR="00B40C49" w:rsidRPr="00413272">
              <w:rPr>
                <w:rFonts w:ascii="Arial" w:hAnsi="Arial" w:cs="Arial"/>
                <w:bCs/>
                <w:sz w:val="24"/>
                <w:szCs w:val="24"/>
                <w:lang w:eastAsia="en-NZ"/>
              </w:rPr>
              <w:t>client</w:t>
            </w:r>
            <w:r w:rsidRPr="00413272">
              <w:rPr>
                <w:rFonts w:ascii="Arial" w:hAnsi="Arial" w:cs="Arial"/>
                <w:bCs/>
                <w:sz w:val="24"/>
                <w:szCs w:val="24"/>
                <w:lang w:eastAsia="en-NZ"/>
              </w:rPr>
              <w:t xml:space="preserve"> experience</w:t>
            </w:r>
            <w:r w:rsidR="00A34BAC">
              <w:rPr>
                <w:rFonts w:ascii="Arial" w:hAnsi="Arial" w:cs="Arial"/>
                <w:bCs/>
                <w:sz w:val="24"/>
                <w:szCs w:val="24"/>
                <w:lang w:eastAsia="en-NZ"/>
              </w:rPr>
              <w:t>.</w:t>
            </w:r>
          </w:p>
        </w:tc>
        <w:tc>
          <w:tcPr>
            <w:tcW w:w="4536"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430FB751" w14:textId="40B7A588" w:rsidR="00CC5F8F" w:rsidRPr="00413272" w:rsidRDefault="00E6579F" w:rsidP="00413272">
            <w:pPr>
              <w:numPr>
                <w:ilvl w:val="0"/>
                <w:numId w:val="31"/>
              </w:numPr>
              <w:shd w:val="clear" w:color="auto" w:fill="FFFFFF" w:themeFill="background1"/>
              <w:spacing w:after="0"/>
              <w:ind w:left="357" w:hanging="357"/>
              <w:contextualSpacing/>
              <w:rPr>
                <w:rFonts w:ascii="Arial" w:hAnsi="Arial" w:cs="Arial"/>
                <w:sz w:val="24"/>
                <w:szCs w:val="24"/>
              </w:rPr>
            </w:pPr>
            <w:r>
              <w:rPr>
                <w:rFonts w:ascii="Arial" w:eastAsia="Calibri" w:hAnsi="Arial" w:cs="Arial"/>
                <w:sz w:val="24"/>
                <w:szCs w:val="24"/>
              </w:rPr>
              <w:lastRenderedPageBreak/>
              <w:t>r</w:t>
            </w:r>
            <w:r w:rsidR="00CC5F8F" w:rsidRPr="00413272">
              <w:rPr>
                <w:rFonts w:ascii="Arial" w:eastAsia="Calibri" w:hAnsi="Arial" w:cs="Arial"/>
                <w:sz w:val="24"/>
                <w:szCs w:val="24"/>
              </w:rPr>
              <w:t>educed duplication of assessment for people with non-complex needs.</w:t>
            </w:r>
          </w:p>
          <w:p w14:paraId="4CF876B1" w14:textId="60562BDE" w:rsidR="00BB61D3" w:rsidRPr="00413272" w:rsidRDefault="00E6579F" w:rsidP="00413272">
            <w:pPr>
              <w:numPr>
                <w:ilvl w:val="0"/>
                <w:numId w:val="31"/>
              </w:numPr>
              <w:shd w:val="clear" w:color="auto" w:fill="FFFFFF" w:themeFill="background1"/>
              <w:spacing w:after="0"/>
              <w:ind w:left="357" w:hanging="357"/>
              <w:contextualSpacing/>
              <w:rPr>
                <w:rFonts w:ascii="Arial" w:hAnsi="Arial" w:cs="Arial"/>
                <w:sz w:val="24"/>
                <w:szCs w:val="24"/>
              </w:rPr>
            </w:pPr>
            <w:r>
              <w:rPr>
                <w:rFonts w:ascii="Arial" w:hAnsi="Arial" w:cs="Arial"/>
                <w:sz w:val="24"/>
                <w:szCs w:val="24"/>
              </w:rPr>
              <w:lastRenderedPageBreak/>
              <w:t>s</w:t>
            </w:r>
            <w:r w:rsidR="00BB61D3" w:rsidRPr="00413272">
              <w:rPr>
                <w:rFonts w:ascii="Arial" w:hAnsi="Arial" w:cs="Arial"/>
                <w:sz w:val="24"/>
                <w:szCs w:val="24"/>
              </w:rPr>
              <w:t>ame Provider where</w:t>
            </w:r>
            <w:r w:rsidR="003F2C81" w:rsidRPr="00413272">
              <w:rPr>
                <w:rFonts w:ascii="Arial" w:hAnsi="Arial" w:cs="Arial"/>
                <w:sz w:val="24"/>
                <w:szCs w:val="24"/>
              </w:rPr>
              <w:t xml:space="preserve"> possible when</w:t>
            </w:r>
            <w:r w:rsidR="00BB61D3" w:rsidRPr="00413272">
              <w:rPr>
                <w:rFonts w:ascii="Arial" w:hAnsi="Arial" w:cs="Arial"/>
                <w:sz w:val="24"/>
                <w:szCs w:val="24"/>
              </w:rPr>
              <w:t xml:space="preserve"> dual care arrangements </w:t>
            </w:r>
            <w:r w:rsidR="003F2C81" w:rsidRPr="00413272">
              <w:rPr>
                <w:rFonts w:ascii="Arial" w:hAnsi="Arial" w:cs="Arial"/>
                <w:sz w:val="24"/>
                <w:szCs w:val="24"/>
              </w:rPr>
              <w:t>exist</w:t>
            </w:r>
            <w:r w:rsidR="00BB61D3" w:rsidRPr="00413272">
              <w:rPr>
                <w:rFonts w:ascii="Arial" w:hAnsi="Arial" w:cs="Arial"/>
                <w:sz w:val="24"/>
                <w:szCs w:val="24"/>
              </w:rPr>
              <w:t xml:space="preserve"> (</w:t>
            </w:r>
            <w:proofErr w:type="spellStart"/>
            <w:r w:rsidR="006C03B4">
              <w:rPr>
                <w:rFonts w:ascii="Arial" w:hAnsi="Arial" w:cs="Arial"/>
                <w:sz w:val="24"/>
                <w:szCs w:val="24"/>
              </w:rPr>
              <w:t>eg</w:t>
            </w:r>
            <w:proofErr w:type="spellEnd"/>
            <w:r w:rsidR="00BB61D3" w:rsidRPr="00413272">
              <w:rPr>
                <w:rFonts w:ascii="Arial" w:hAnsi="Arial" w:cs="Arial"/>
                <w:sz w:val="24"/>
                <w:szCs w:val="24"/>
              </w:rPr>
              <w:t xml:space="preserve"> A</w:t>
            </w:r>
            <w:r w:rsidR="00C737A2" w:rsidRPr="00413272">
              <w:rPr>
                <w:rFonts w:ascii="Arial" w:hAnsi="Arial" w:cs="Arial"/>
                <w:sz w:val="24"/>
                <w:szCs w:val="24"/>
              </w:rPr>
              <w:t>ccident Compensation Corporation</w:t>
            </w:r>
            <w:r w:rsidR="00BB61D3" w:rsidRPr="00413272">
              <w:rPr>
                <w:rFonts w:ascii="Arial" w:hAnsi="Arial" w:cs="Arial"/>
                <w:sz w:val="24"/>
                <w:szCs w:val="24"/>
              </w:rPr>
              <w:t>)</w:t>
            </w:r>
            <w:r w:rsidR="006C03B4">
              <w:rPr>
                <w:rFonts w:ascii="Arial" w:hAnsi="Arial" w:cs="Arial"/>
                <w:sz w:val="24"/>
                <w:szCs w:val="24"/>
              </w:rPr>
              <w:t>.</w:t>
            </w:r>
          </w:p>
          <w:p w14:paraId="72EE3D17" w14:textId="64DDDF34" w:rsidR="00CC5F8F" w:rsidRPr="00413272" w:rsidRDefault="00E6579F" w:rsidP="00413272">
            <w:pPr>
              <w:numPr>
                <w:ilvl w:val="0"/>
                <w:numId w:val="31"/>
              </w:numPr>
              <w:spacing w:after="0"/>
              <w:ind w:left="357" w:hanging="357"/>
              <w:contextualSpacing/>
              <w:rPr>
                <w:rFonts w:ascii="Arial" w:hAnsi="Arial" w:cs="Arial"/>
                <w:sz w:val="24"/>
                <w:szCs w:val="24"/>
              </w:rPr>
            </w:pPr>
            <w:r>
              <w:rPr>
                <w:rFonts w:ascii="Arial" w:eastAsia="Calibri" w:hAnsi="Arial" w:cs="Arial"/>
                <w:sz w:val="24"/>
                <w:szCs w:val="24"/>
              </w:rPr>
              <w:t>p</w:t>
            </w:r>
            <w:r w:rsidR="00CC5F8F" w:rsidRPr="00413272">
              <w:rPr>
                <w:rFonts w:ascii="Arial" w:eastAsia="Calibri" w:hAnsi="Arial" w:cs="Arial"/>
                <w:sz w:val="24"/>
                <w:szCs w:val="24"/>
              </w:rPr>
              <w:t xml:space="preserve">ositive changes in </w:t>
            </w:r>
            <w:r w:rsidR="00E350EB" w:rsidRPr="00413272">
              <w:rPr>
                <w:rFonts w:ascii="Arial" w:eastAsia="Calibri" w:hAnsi="Arial" w:cs="Arial"/>
                <w:sz w:val="24"/>
                <w:szCs w:val="24"/>
              </w:rPr>
              <w:t>c</w:t>
            </w:r>
            <w:r w:rsidR="00CC5F8F" w:rsidRPr="00413272">
              <w:rPr>
                <w:rFonts w:ascii="Arial" w:eastAsia="Calibri" w:hAnsi="Arial" w:cs="Arial"/>
                <w:sz w:val="24"/>
                <w:szCs w:val="24"/>
              </w:rPr>
              <w:t xml:space="preserve">asemix over time for some reversible non-complex </w:t>
            </w:r>
            <w:r w:rsidR="00B40C49" w:rsidRPr="00413272">
              <w:rPr>
                <w:rFonts w:ascii="Arial" w:eastAsia="Calibri" w:hAnsi="Arial" w:cs="Arial"/>
                <w:sz w:val="24"/>
                <w:szCs w:val="24"/>
              </w:rPr>
              <w:t>client</w:t>
            </w:r>
            <w:r w:rsidR="00CC5F8F" w:rsidRPr="00413272">
              <w:rPr>
                <w:rFonts w:ascii="Arial" w:eastAsia="Calibri" w:hAnsi="Arial" w:cs="Arial"/>
                <w:sz w:val="24"/>
                <w:szCs w:val="24"/>
              </w:rPr>
              <w:t>s.</w:t>
            </w:r>
          </w:p>
          <w:p w14:paraId="38AA7E90" w14:textId="19E0EE62" w:rsidR="00CC5F8F" w:rsidRPr="00413272" w:rsidRDefault="00E6579F" w:rsidP="00413272">
            <w:pPr>
              <w:numPr>
                <w:ilvl w:val="0"/>
                <w:numId w:val="31"/>
              </w:numPr>
              <w:spacing w:after="0"/>
              <w:ind w:left="357" w:hanging="357"/>
              <w:contextualSpacing/>
              <w:rPr>
                <w:rFonts w:ascii="Arial" w:hAnsi="Arial" w:cs="Arial"/>
                <w:sz w:val="24"/>
                <w:szCs w:val="24"/>
              </w:rPr>
            </w:pPr>
            <w:r>
              <w:rPr>
                <w:rFonts w:ascii="Arial" w:eastAsia="Calibri" w:hAnsi="Arial" w:cs="Arial"/>
                <w:sz w:val="24"/>
                <w:szCs w:val="24"/>
              </w:rPr>
              <w:t>c</w:t>
            </w:r>
            <w:r w:rsidR="00B40C49" w:rsidRPr="00413272">
              <w:rPr>
                <w:rFonts w:ascii="Arial" w:eastAsia="Calibri" w:hAnsi="Arial" w:cs="Arial"/>
                <w:sz w:val="24"/>
                <w:szCs w:val="24"/>
              </w:rPr>
              <w:t>lient</w:t>
            </w:r>
            <w:r w:rsidR="00CC5F8F" w:rsidRPr="00413272">
              <w:rPr>
                <w:rFonts w:ascii="Arial" w:eastAsia="Calibri" w:hAnsi="Arial" w:cs="Arial"/>
                <w:sz w:val="24"/>
                <w:szCs w:val="24"/>
              </w:rPr>
              <w:t xml:space="preserve"> satisfied with ability to communicate with you in a timely way.</w:t>
            </w:r>
          </w:p>
          <w:p w14:paraId="7FC620AB" w14:textId="6525E6DD" w:rsidR="00CC5F8F" w:rsidRPr="00413272" w:rsidRDefault="00E6579F" w:rsidP="00413272">
            <w:pPr>
              <w:numPr>
                <w:ilvl w:val="0"/>
                <w:numId w:val="31"/>
              </w:numPr>
              <w:spacing w:after="0"/>
              <w:ind w:left="357" w:hanging="357"/>
              <w:contextualSpacing/>
              <w:rPr>
                <w:rFonts w:ascii="Arial" w:hAnsi="Arial" w:cs="Arial"/>
                <w:sz w:val="24"/>
                <w:szCs w:val="24"/>
              </w:rPr>
            </w:pPr>
            <w:r>
              <w:rPr>
                <w:rFonts w:ascii="Arial" w:eastAsia="Calibri" w:hAnsi="Arial" w:cs="Arial"/>
                <w:sz w:val="24"/>
                <w:szCs w:val="24"/>
              </w:rPr>
              <w:t>s</w:t>
            </w:r>
            <w:r w:rsidR="00CC5F8F" w:rsidRPr="00413272">
              <w:rPr>
                <w:rFonts w:ascii="Arial" w:eastAsia="Calibri" w:hAnsi="Arial" w:cs="Arial"/>
                <w:sz w:val="24"/>
                <w:szCs w:val="24"/>
              </w:rPr>
              <w:t xml:space="preserve">ervice delivery responsive and appropriate for </w:t>
            </w:r>
            <w:r w:rsidR="00B40C49" w:rsidRPr="00413272">
              <w:rPr>
                <w:rFonts w:ascii="Arial" w:eastAsia="Calibri" w:hAnsi="Arial" w:cs="Arial"/>
                <w:sz w:val="24"/>
                <w:szCs w:val="24"/>
              </w:rPr>
              <w:t>client</w:t>
            </w:r>
            <w:r w:rsidR="00CC5F8F" w:rsidRPr="00413272">
              <w:rPr>
                <w:rFonts w:ascii="Arial" w:eastAsia="Calibri" w:hAnsi="Arial" w:cs="Arial"/>
                <w:sz w:val="24"/>
                <w:szCs w:val="24"/>
              </w:rPr>
              <w:t xml:space="preserve"> need.</w:t>
            </w:r>
          </w:p>
          <w:p w14:paraId="6EE02F76" w14:textId="7A1699A4" w:rsidR="00EB0E55" w:rsidRPr="00413272" w:rsidRDefault="00E6579F" w:rsidP="00413272">
            <w:pPr>
              <w:numPr>
                <w:ilvl w:val="0"/>
                <w:numId w:val="31"/>
              </w:numPr>
              <w:spacing w:after="0"/>
              <w:ind w:left="357" w:hanging="357"/>
              <w:contextualSpacing/>
              <w:rPr>
                <w:rFonts w:ascii="Arial" w:hAnsi="Arial" w:cs="Arial"/>
                <w:sz w:val="24"/>
                <w:szCs w:val="24"/>
              </w:rPr>
            </w:pPr>
            <w:r>
              <w:rPr>
                <w:rFonts w:ascii="Arial" w:hAnsi="Arial" w:cs="Arial"/>
                <w:sz w:val="24"/>
                <w:szCs w:val="24"/>
              </w:rPr>
              <w:t>w</w:t>
            </w:r>
            <w:r w:rsidR="00EB0E55" w:rsidRPr="00413272">
              <w:rPr>
                <w:rFonts w:ascii="Arial" w:hAnsi="Arial" w:cs="Arial"/>
                <w:sz w:val="24"/>
                <w:szCs w:val="24"/>
              </w:rPr>
              <w:t>here specific times requested by the client cannot be staffed, the nearest possible service time is agreed with the client.</w:t>
            </w:r>
          </w:p>
          <w:p w14:paraId="2989BF13" w14:textId="39E30CC1" w:rsidR="006C03B4" w:rsidRPr="00413272" w:rsidRDefault="00E6579F" w:rsidP="00413272">
            <w:pPr>
              <w:numPr>
                <w:ilvl w:val="0"/>
                <w:numId w:val="31"/>
              </w:numPr>
              <w:spacing w:after="120"/>
              <w:ind w:left="357" w:hanging="357"/>
              <w:rPr>
                <w:rFonts w:ascii="Arial" w:hAnsi="Arial" w:cs="Arial"/>
                <w:sz w:val="24"/>
                <w:szCs w:val="24"/>
              </w:rPr>
            </w:pPr>
            <w:r>
              <w:rPr>
                <w:rFonts w:ascii="Arial" w:hAnsi="Arial" w:cs="Arial"/>
                <w:sz w:val="24"/>
                <w:szCs w:val="24"/>
              </w:rPr>
              <w:t>c</w:t>
            </w:r>
            <w:r w:rsidR="00B40C49" w:rsidRPr="00413272">
              <w:rPr>
                <w:rFonts w:ascii="Arial" w:hAnsi="Arial" w:cs="Arial"/>
                <w:sz w:val="24"/>
                <w:szCs w:val="24"/>
              </w:rPr>
              <w:t>lient</w:t>
            </w:r>
            <w:r w:rsidR="00CC5F8F" w:rsidRPr="00413272">
              <w:rPr>
                <w:rFonts w:ascii="Arial" w:hAnsi="Arial" w:cs="Arial"/>
                <w:sz w:val="24"/>
                <w:szCs w:val="24"/>
              </w:rPr>
              <w:t xml:space="preserve"> experience survey</w:t>
            </w:r>
            <w:r w:rsidR="00C77A75" w:rsidRPr="00413272">
              <w:rPr>
                <w:rFonts w:ascii="Arial" w:hAnsi="Arial" w:cs="Arial"/>
                <w:sz w:val="24"/>
                <w:szCs w:val="24"/>
              </w:rPr>
              <w:t>.</w:t>
            </w:r>
          </w:p>
        </w:tc>
      </w:tr>
      <w:tr w:rsidR="00CC5F8F" w:rsidRPr="00986409" w14:paraId="29340A87" w14:textId="77777777" w:rsidTr="00902A66">
        <w:trPr>
          <w:trHeight w:val="1730"/>
        </w:trPr>
        <w:tc>
          <w:tcPr>
            <w:tcW w:w="2082" w:type="dxa"/>
            <w:tcBorders>
              <w:top w:val="single" w:sz="4" w:space="0" w:color="auto"/>
              <w:left w:val="single" w:sz="4" w:space="0" w:color="auto"/>
              <w:bottom w:val="single" w:sz="8" w:space="0" w:color="auto"/>
              <w:right w:val="single" w:sz="4" w:space="0" w:color="auto"/>
            </w:tcBorders>
          </w:tcPr>
          <w:p w14:paraId="11B58B41" w14:textId="77777777" w:rsidR="00CC5F8F" w:rsidRPr="00413272" w:rsidRDefault="00CC5F8F" w:rsidP="002845E0">
            <w:pPr>
              <w:ind w:left="147"/>
              <w:rPr>
                <w:rFonts w:ascii="Arial" w:hAnsi="Arial" w:cs="Arial"/>
                <w:b/>
                <w:bCs/>
                <w:sz w:val="24"/>
                <w:szCs w:val="24"/>
                <w:lang w:eastAsia="en-NZ"/>
              </w:rPr>
            </w:pPr>
            <w:r w:rsidRPr="00413272">
              <w:rPr>
                <w:rFonts w:ascii="Arial" w:eastAsia="Calibri" w:hAnsi="Arial" w:cs="Arial"/>
                <w:b/>
                <w:bCs/>
                <w:sz w:val="24"/>
                <w:szCs w:val="24"/>
                <w:lang w:eastAsia="en-NZ"/>
              </w:rPr>
              <w:lastRenderedPageBreak/>
              <w:t xml:space="preserve">Referrer </w:t>
            </w:r>
            <w:r w:rsidR="000B06AB">
              <w:rPr>
                <w:rFonts w:ascii="Arial" w:eastAsia="Calibri" w:hAnsi="Arial" w:cs="Arial"/>
                <w:b/>
                <w:bCs/>
                <w:sz w:val="24"/>
                <w:szCs w:val="24"/>
                <w:lang w:eastAsia="en-NZ"/>
              </w:rPr>
              <w:t>e</w:t>
            </w:r>
            <w:r w:rsidRPr="00413272">
              <w:rPr>
                <w:rFonts w:ascii="Arial" w:eastAsia="Calibri" w:hAnsi="Arial" w:cs="Arial"/>
                <w:b/>
                <w:bCs/>
                <w:sz w:val="24"/>
                <w:szCs w:val="24"/>
                <w:lang w:eastAsia="en-NZ"/>
              </w:rPr>
              <w:t>xperience</w:t>
            </w:r>
          </w:p>
          <w:p w14:paraId="7CABF7BA" w14:textId="77777777" w:rsidR="00CC5F8F" w:rsidRPr="00413272" w:rsidRDefault="00CC5F8F" w:rsidP="002845E0">
            <w:pPr>
              <w:ind w:left="147"/>
              <w:rPr>
                <w:rFonts w:ascii="Arial" w:eastAsia="Calibri" w:hAnsi="Arial" w:cs="Arial"/>
                <w:b/>
                <w:bCs/>
                <w:sz w:val="24"/>
                <w:szCs w:val="24"/>
                <w:lang w:eastAsia="en-NZ"/>
              </w:rPr>
            </w:pPr>
          </w:p>
        </w:tc>
        <w:tc>
          <w:tcPr>
            <w:tcW w:w="301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C4BA6D5"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 xml:space="preserve">Communication systems that enable effective and direct communication. </w:t>
            </w:r>
          </w:p>
          <w:p w14:paraId="2D4C3AC8"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 xml:space="preserve">Proactive collaboration in health system integration and </w:t>
            </w:r>
            <w:r w:rsidR="00C737A2" w:rsidRPr="00413272">
              <w:rPr>
                <w:rFonts w:ascii="Arial" w:eastAsia="Calibri" w:hAnsi="Arial" w:cs="Arial"/>
                <w:bCs/>
                <w:sz w:val="24"/>
                <w:szCs w:val="24"/>
                <w:lang w:eastAsia="en-NZ"/>
              </w:rPr>
              <w:t xml:space="preserve">Non-Government Organisation </w:t>
            </w:r>
            <w:r w:rsidRPr="00413272">
              <w:rPr>
                <w:rFonts w:ascii="Arial" w:eastAsia="Calibri" w:hAnsi="Arial" w:cs="Arial"/>
                <w:bCs/>
                <w:sz w:val="24"/>
                <w:szCs w:val="24"/>
                <w:lang w:eastAsia="en-NZ"/>
              </w:rPr>
              <w:t>forums.</w:t>
            </w:r>
          </w:p>
        </w:tc>
        <w:tc>
          <w:tcPr>
            <w:tcW w:w="453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077D8CE" w14:textId="566D1883" w:rsidR="00CC5F8F" w:rsidRPr="00413272" w:rsidRDefault="00E6579F" w:rsidP="00413272">
            <w:pPr>
              <w:pStyle w:val="ListParagraph"/>
              <w:numPr>
                <w:ilvl w:val="0"/>
                <w:numId w:val="32"/>
              </w:numPr>
              <w:spacing w:after="0"/>
              <w:ind w:left="357" w:hanging="357"/>
              <w:rPr>
                <w:rFonts w:ascii="Arial" w:hAnsi="Arial" w:cs="Arial"/>
                <w:sz w:val="24"/>
                <w:szCs w:val="24"/>
              </w:rPr>
            </w:pPr>
            <w:r>
              <w:rPr>
                <w:rFonts w:ascii="Arial" w:eastAsia="Calibri" w:hAnsi="Arial" w:cs="Arial"/>
                <w:sz w:val="24"/>
                <w:szCs w:val="24"/>
              </w:rPr>
              <w:t>r</w:t>
            </w:r>
            <w:r w:rsidR="00CC5F8F" w:rsidRPr="00413272">
              <w:rPr>
                <w:rFonts w:ascii="Arial" w:eastAsia="Calibri" w:hAnsi="Arial" w:cs="Arial"/>
                <w:sz w:val="24"/>
                <w:szCs w:val="24"/>
              </w:rPr>
              <w:t>eferrers satisfaction with communication and responsiveness of contact with the Provider</w:t>
            </w:r>
            <w:r w:rsidR="000B06AB">
              <w:rPr>
                <w:rFonts w:ascii="Arial" w:eastAsia="Calibri" w:hAnsi="Arial" w:cs="Arial"/>
                <w:sz w:val="24"/>
                <w:szCs w:val="24"/>
              </w:rPr>
              <w:t>.</w:t>
            </w:r>
          </w:p>
          <w:p w14:paraId="70C541FB" w14:textId="32522F9C" w:rsidR="00CC5F8F" w:rsidRPr="00413272" w:rsidRDefault="00E6579F" w:rsidP="00413272">
            <w:pPr>
              <w:pStyle w:val="ListParagraph"/>
              <w:numPr>
                <w:ilvl w:val="0"/>
                <w:numId w:val="32"/>
              </w:numPr>
              <w:spacing w:after="0"/>
              <w:ind w:left="357" w:hanging="357"/>
              <w:rPr>
                <w:rFonts w:ascii="Arial" w:hAnsi="Arial" w:cs="Arial"/>
                <w:sz w:val="24"/>
                <w:szCs w:val="24"/>
              </w:rPr>
            </w:pPr>
            <w:r>
              <w:rPr>
                <w:rFonts w:ascii="Arial" w:eastAsia="Calibri" w:hAnsi="Arial" w:cs="Arial"/>
                <w:sz w:val="24"/>
                <w:szCs w:val="24"/>
              </w:rPr>
              <w:t>e</w:t>
            </w:r>
            <w:r w:rsidR="00CC5F8F" w:rsidRPr="00413272">
              <w:rPr>
                <w:rFonts w:ascii="Arial" w:eastAsia="Calibri" w:hAnsi="Arial" w:cs="Arial"/>
                <w:sz w:val="24"/>
                <w:szCs w:val="24"/>
              </w:rPr>
              <w:t xml:space="preserve">scalation of issues to the Provider </w:t>
            </w:r>
            <w:r w:rsidR="003A149E" w:rsidRPr="00413272">
              <w:rPr>
                <w:rFonts w:ascii="Arial" w:eastAsia="Calibri" w:hAnsi="Arial" w:cs="Arial"/>
                <w:sz w:val="24"/>
                <w:szCs w:val="24"/>
              </w:rPr>
              <w:t>is</w:t>
            </w:r>
            <w:r w:rsidR="00CC5F8F" w:rsidRPr="00413272">
              <w:rPr>
                <w:rFonts w:ascii="Arial" w:eastAsia="Calibri" w:hAnsi="Arial" w:cs="Arial"/>
                <w:sz w:val="24"/>
                <w:szCs w:val="24"/>
              </w:rPr>
              <w:t xml:space="preserve"> be transparent, with documented outcomes.</w:t>
            </w:r>
          </w:p>
          <w:p w14:paraId="5A8130A5" w14:textId="15F93B3B" w:rsidR="00CC5F8F" w:rsidRPr="00413272" w:rsidRDefault="00E6579F" w:rsidP="00413272">
            <w:pPr>
              <w:pStyle w:val="ListParagraph"/>
              <w:numPr>
                <w:ilvl w:val="0"/>
                <w:numId w:val="32"/>
              </w:numPr>
              <w:spacing w:after="0"/>
              <w:ind w:left="357" w:hanging="357"/>
              <w:rPr>
                <w:rFonts w:ascii="Arial" w:hAnsi="Arial" w:cs="Arial"/>
                <w:sz w:val="24"/>
                <w:szCs w:val="24"/>
              </w:rPr>
            </w:pPr>
            <w:r>
              <w:rPr>
                <w:rFonts w:ascii="Arial" w:eastAsia="Calibri" w:hAnsi="Arial" w:cs="Arial"/>
                <w:sz w:val="24"/>
                <w:szCs w:val="24"/>
              </w:rPr>
              <w:t>c</w:t>
            </w:r>
            <w:r w:rsidR="00CC5F8F" w:rsidRPr="00413272">
              <w:rPr>
                <w:rFonts w:ascii="Arial" w:eastAsia="Calibri" w:hAnsi="Arial" w:cs="Arial"/>
                <w:sz w:val="24"/>
                <w:szCs w:val="24"/>
              </w:rPr>
              <w:t>ommunication occur</w:t>
            </w:r>
            <w:r w:rsidR="003A149E" w:rsidRPr="00413272">
              <w:rPr>
                <w:rFonts w:ascii="Arial" w:eastAsia="Calibri" w:hAnsi="Arial" w:cs="Arial"/>
                <w:sz w:val="24"/>
                <w:szCs w:val="24"/>
              </w:rPr>
              <w:t>s</w:t>
            </w:r>
            <w:r w:rsidR="00CC5F8F" w:rsidRPr="00413272">
              <w:rPr>
                <w:rFonts w:ascii="Arial" w:eastAsia="Calibri" w:hAnsi="Arial" w:cs="Arial"/>
                <w:sz w:val="24"/>
                <w:szCs w:val="24"/>
              </w:rPr>
              <w:t xml:space="preserve"> regularly </w:t>
            </w:r>
            <w:r w:rsidR="003F2C81" w:rsidRPr="00413272">
              <w:rPr>
                <w:rFonts w:ascii="Arial" w:eastAsia="Calibri" w:hAnsi="Arial" w:cs="Arial"/>
                <w:sz w:val="24"/>
                <w:szCs w:val="24"/>
              </w:rPr>
              <w:t xml:space="preserve">and as required </w:t>
            </w:r>
            <w:r w:rsidR="00CC5F8F" w:rsidRPr="00413272">
              <w:rPr>
                <w:rFonts w:ascii="Arial" w:eastAsia="Calibri" w:hAnsi="Arial" w:cs="Arial"/>
                <w:sz w:val="24"/>
                <w:szCs w:val="24"/>
              </w:rPr>
              <w:t>with referrers</w:t>
            </w:r>
            <w:r w:rsidR="003F2C81" w:rsidRPr="00413272">
              <w:rPr>
                <w:rFonts w:ascii="Arial" w:eastAsia="Calibri" w:hAnsi="Arial" w:cs="Arial"/>
                <w:sz w:val="24"/>
                <w:szCs w:val="24"/>
              </w:rPr>
              <w:t xml:space="preserve">, primary care and </w:t>
            </w:r>
            <w:r w:rsidR="00CC5F8F" w:rsidRPr="00413272">
              <w:rPr>
                <w:rFonts w:ascii="Arial" w:eastAsia="Calibri" w:hAnsi="Arial" w:cs="Arial"/>
                <w:sz w:val="24"/>
                <w:szCs w:val="24"/>
              </w:rPr>
              <w:t xml:space="preserve">consumer advocacy groups. </w:t>
            </w:r>
          </w:p>
        </w:tc>
      </w:tr>
      <w:tr w:rsidR="00CC5F8F" w:rsidRPr="00986409" w14:paraId="1130548D" w14:textId="77777777" w:rsidTr="00902A66">
        <w:trPr>
          <w:trHeight w:val="1201"/>
        </w:trPr>
        <w:tc>
          <w:tcPr>
            <w:tcW w:w="2082" w:type="dxa"/>
            <w:tcBorders>
              <w:top w:val="single" w:sz="8" w:space="0" w:color="auto"/>
              <w:left w:val="single" w:sz="4" w:space="0" w:color="auto"/>
              <w:bottom w:val="single" w:sz="4" w:space="0" w:color="auto"/>
              <w:right w:val="single" w:sz="4" w:space="0" w:color="auto"/>
            </w:tcBorders>
          </w:tcPr>
          <w:p w14:paraId="4C8495B0" w14:textId="77777777" w:rsidR="00CC5F8F" w:rsidRPr="00413272" w:rsidRDefault="00CC5F8F" w:rsidP="002845E0">
            <w:pPr>
              <w:ind w:left="147" w:right="141"/>
              <w:rPr>
                <w:rFonts w:ascii="Arial" w:hAnsi="Arial" w:cs="Arial"/>
                <w:b/>
                <w:bCs/>
                <w:sz w:val="24"/>
                <w:szCs w:val="24"/>
                <w:lang w:eastAsia="en-NZ"/>
              </w:rPr>
            </w:pPr>
            <w:r w:rsidRPr="00413272">
              <w:rPr>
                <w:rFonts w:ascii="Arial" w:eastAsia="Calibri" w:hAnsi="Arial" w:cs="Arial"/>
                <w:b/>
                <w:bCs/>
                <w:sz w:val="24"/>
                <w:szCs w:val="24"/>
                <w:lang w:eastAsia="en-NZ"/>
              </w:rPr>
              <w:t xml:space="preserve">Best </w:t>
            </w:r>
            <w:r w:rsidR="00721BF0" w:rsidRPr="00413272">
              <w:rPr>
                <w:rFonts w:ascii="Arial" w:eastAsia="Calibri" w:hAnsi="Arial" w:cs="Arial"/>
                <w:b/>
                <w:bCs/>
                <w:sz w:val="24"/>
                <w:szCs w:val="24"/>
                <w:lang w:eastAsia="en-NZ"/>
              </w:rPr>
              <w:t>v</w:t>
            </w:r>
            <w:r w:rsidRPr="00413272">
              <w:rPr>
                <w:rFonts w:ascii="Arial" w:eastAsia="Calibri" w:hAnsi="Arial" w:cs="Arial"/>
                <w:b/>
                <w:bCs/>
                <w:sz w:val="24"/>
                <w:szCs w:val="24"/>
                <w:lang w:eastAsia="en-NZ"/>
              </w:rPr>
              <w:t>alue from resources</w:t>
            </w:r>
          </w:p>
        </w:tc>
        <w:tc>
          <w:tcPr>
            <w:tcW w:w="301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56F6711" w14:textId="77777777" w:rsidR="00CC5F8F" w:rsidRPr="00413272" w:rsidRDefault="00721BF0"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C</w:t>
            </w:r>
            <w:r w:rsidR="00B40C49" w:rsidRPr="00413272">
              <w:rPr>
                <w:rFonts w:ascii="Arial" w:eastAsia="Calibri" w:hAnsi="Arial" w:cs="Arial"/>
                <w:bCs/>
                <w:sz w:val="24"/>
                <w:szCs w:val="24"/>
                <w:lang w:eastAsia="en-NZ"/>
              </w:rPr>
              <w:t>lient</w:t>
            </w:r>
            <w:r w:rsidR="00CC5F8F" w:rsidRPr="00413272">
              <w:rPr>
                <w:rFonts w:ascii="Arial" w:eastAsia="Calibri" w:hAnsi="Arial" w:cs="Arial"/>
                <w:bCs/>
                <w:sz w:val="24"/>
                <w:szCs w:val="24"/>
                <w:lang w:eastAsia="en-NZ"/>
              </w:rPr>
              <w:t xml:space="preserve">s are supported to remain in their own home with </w:t>
            </w:r>
            <w:r w:rsidRPr="00413272">
              <w:rPr>
                <w:rFonts w:ascii="Arial" w:eastAsia="Calibri" w:hAnsi="Arial" w:cs="Arial"/>
                <w:sz w:val="24"/>
                <w:szCs w:val="24"/>
              </w:rPr>
              <w:t>HCSS</w:t>
            </w:r>
            <w:r w:rsidR="00CC5F8F" w:rsidRPr="00413272">
              <w:rPr>
                <w:rFonts w:ascii="Arial" w:eastAsia="Calibri" w:hAnsi="Arial" w:cs="Arial"/>
                <w:bCs/>
                <w:sz w:val="24"/>
                <w:szCs w:val="24"/>
                <w:lang w:eastAsia="en-NZ"/>
              </w:rPr>
              <w:t xml:space="preserve"> targeted to meet need.</w:t>
            </w:r>
          </w:p>
        </w:tc>
        <w:tc>
          <w:tcPr>
            <w:tcW w:w="453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DD1C0C1" w14:textId="15620BD2" w:rsidR="00CC5F8F" w:rsidRPr="00413272" w:rsidRDefault="00E6579F" w:rsidP="00413272">
            <w:pPr>
              <w:numPr>
                <w:ilvl w:val="0"/>
                <w:numId w:val="32"/>
              </w:numPr>
              <w:spacing w:after="0"/>
              <w:ind w:left="357" w:hanging="357"/>
              <w:contextualSpacing/>
              <w:rPr>
                <w:rFonts w:ascii="Arial" w:hAnsi="Arial" w:cs="Arial"/>
                <w:sz w:val="24"/>
                <w:szCs w:val="24"/>
              </w:rPr>
            </w:pPr>
            <w:r>
              <w:rPr>
                <w:rFonts w:ascii="Arial" w:eastAsia="Calibri" w:hAnsi="Arial" w:cs="Arial"/>
                <w:sz w:val="24"/>
                <w:szCs w:val="24"/>
              </w:rPr>
              <w:t>u</w:t>
            </w:r>
            <w:r w:rsidR="00CC5F8F" w:rsidRPr="00413272">
              <w:rPr>
                <w:rFonts w:ascii="Arial" w:eastAsia="Calibri" w:hAnsi="Arial" w:cs="Arial"/>
                <w:sz w:val="24"/>
                <w:szCs w:val="24"/>
              </w:rPr>
              <w:t xml:space="preserve">tilisation patterns reflect </w:t>
            </w:r>
            <w:r w:rsidR="00B40C49" w:rsidRPr="00413272">
              <w:rPr>
                <w:rFonts w:ascii="Arial" w:eastAsia="Calibri" w:hAnsi="Arial" w:cs="Arial"/>
                <w:sz w:val="24"/>
                <w:szCs w:val="24"/>
              </w:rPr>
              <w:t>client</w:t>
            </w:r>
            <w:r w:rsidR="00CC5F8F" w:rsidRPr="00413272">
              <w:rPr>
                <w:rFonts w:ascii="Arial" w:eastAsia="Calibri" w:hAnsi="Arial" w:cs="Arial"/>
                <w:sz w:val="24"/>
                <w:szCs w:val="24"/>
              </w:rPr>
              <w:t xml:space="preserve"> complexity.</w:t>
            </w:r>
          </w:p>
          <w:p w14:paraId="22DC9431" w14:textId="34D3BC14" w:rsidR="00CC5F8F" w:rsidRPr="00413272" w:rsidRDefault="00E6579F" w:rsidP="00413272">
            <w:pPr>
              <w:numPr>
                <w:ilvl w:val="0"/>
                <w:numId w:val="32"/>
              </w:numPr>
              <w:spacing w:after="0"/>
              <w:ind w:left="357" w:hanging="357"/>
              <w:contextualSpacing/>
              <w:rPr>
                <w:rFonts w:ascii="Arial" w:hAnsi="Arial" w:cs="Arial"/>
                <w:sz w:val="24"/>
                <w:szCs w:val="24"/>
              </w:rPr>
            </w:pPr>
            <w:r>
              <w:rPr>
                <w:rFonts w:ascii="Arial" w:eastAsia="Calibri" w:hAnsi="Arial" w:cs="Arial"/>
                <w:sz w:val="24"/>
                <w:szCs w:val="24"/>
              </w:rPr>
              <w:t>d</w:t>
            </w:r>
            <w:r w:rsidR="00CC5F8F" w:rsidRPr="00413272">
              <w:rPr>
                <w:rFonts w:ascii="Arial" w:eastAsia="Calibri" w:hAnsi="Arial" w:cs="Arial"/>
                <w:sz w:val="24"/>
                <w:szCs w:val="24"/>
              </w:rPr>
              <w:t>elivery of HCSS result</w:t>
            </w:r>
            <w:r w:rsidR="003A149E" w:rsidRPr="00413272">
              <w:rPr>
                <w:rFonts w:ascii="Arial" w:eastAsia="Calibri" w:hAnsi="Arial" w:cs="Arial"/>
                <w:sz w:val="24"/>
                <w:szCs w:val="24"/>
              </w:rPr>
              <w:t>s</w:t>
            </w:r>
            <w:r w:rsidR="00CC5F8F" w:rsidRPr="00413272">
              <w:rPr>
                <w:rFonts w:ascii="Arial" w:eastAsia="Calibri" w:hAnsi="Arial" w:cs="Arial"/>
                <w:sz w:val="24"/>
                <w:szCs w:val="24"/>
              </w:rPr>
              <w:t xml:space="preserve"> in people staying in their own homes longer.</w:t>
            </w:r>
          </w:p>
          <w:p w14:paraId="032DDAD2" w14:textId="46B3761C" w:rsidR="0053763C" w:rsidRPr="00413272" w:rsidRDefault="0053763C" w:rsidP="00413272">
            <w:pPr>
              <w:numPr>
                <w:ilvl w:val="0"/>
                <w:numId w:val="32"/>
              </w:numPr>
              <w:spacing w:after="0"/>
              <w:ind w:left="357" w:hanging="357"/>
              <w:contextualSpacing/>
              <w:rPr>
                <w:rFonts w:ascii="Arial" w:hAnsi="Arial" w:cs="Arial"/>
                <w:sz w:val="24"/>
                <w:szCs w:val="24"/>
              </w:rPr>
            </w:pPr>
            <w:proofErr w:type="spellStart"/>
            <w:r w:rsidRPr="00413272">
              <w:rPr>
                <w:rFonts w:ascii="Arial" w:hAnsi="Arial" w:cs="Arial"/>
                <w:sz w:val="24"/>
                <w:szCs w:val="24"/>
              </w:rPr>
              <w:t>interRAI</w:t>
            </w:r>
            <w:proofErr w:type="spellEnd"/>
            <w:r w:rsidRPr="00413272">
              <w:rPr>
                <w:rFonts w:ascii="Arial" w:hAnsi="Arial" w:cs="Arial"/>
                <w:sz w:val="24"/>
                <w:szCs w:val="24"/>
              </w:rPr>
              <w:t xml:space="preserve"> CAPs show improvements over time</w:t>
            </w:r>
            <w:r w:rsidR="00E350EB" w:rsidRPr="00413272">
              <w:rPr>
                <w:rFonts w:ascii="Arial" w:hAnsi="Arial" w:cs="Arial"/>
                <w:sz w:val="24"/>
                <w:szCs w:val="24"/>
              </w:rPr>
              <w:t xml:space="preserve"> </w:t>
            </w:r>
            <w:r w:rsidRPr="00413272">
              <w:rPr>
                <w:rFonts w:ascii="Arial" w:hAnsi="Arial" w:cs="Arial"/>
                <w:sz w:val="24"/>
                <w:szCs w:val="24"/>
              </w:rPr>
              <w:t>(</w:t>
            </w:r>
            <w:r w:rsidR="00E350EB" w:rsidRPr="00413272">
              <w:rPr>
                <w:rFonts w:ascii="Arial" w:hAnsi="Arial" w:cs="Arial"/>
                <w:sz w:val="24"/>
                <w:szCs w:val="24"/>
              </w:rPr>
              <w:t xml:space="preserve">see </w:t>
            </w:r>
            <w:r w:rsidR="0032323D" w:rsidRPr="00413272">
              <w:rPr>
                <w:rFonts w:ascii="Arial" w:hAnsi="Arial" w:cs="Arial"/>
                <w:sz w:val="24"/>
                <w:szCs w:val="24"/>
              </w:rPr>
              <w:t xml:space="preserve">HCSS </w:t>
            </w:r>
            <w:r w:rsidR="00C37F02">
              <w:rPr>
                <w:rFonts w:ascii="Arial" w:hAnsi="Arial" w:cs="Arial"/>
                <w:sz w:val="24"/>
                <w:szCs w:val="24"/>
              </w:rPr>
              <w:t>Operations</w:t>
            </w:r>
            <w:r w:rsidR="0032323D" w:rsidRPr="00413272">
              <w:rPr>
                <w:rFonts w:ascii="Arial" w:hAnsi="Arial" w:cs="Arial"/>
                <w:sz w:val="24"/>
                <w:szCs w:val="24"/>
              </w:rPr>
              <w:t xml:space="preserve"> Manual</w:t>
            </w:r>
            <w:r w:rsidR="00E350EB" w:rsidRPr="00413272">
              <w:rPr>
                <w:rFonts w:ascii="Arial" w:hAnsi="Arial" w:cs="Arial"/>
                <w:sz w:val="24"/>
                <w:szCs w:val="24"/>
              </w:rPr>
              <w:t>)</w:t>
            </w:r>
            <w:r w:rsidR="000B06AB">
              <w:rPr>
                <w:rFonts w:ascii="Arial" w:hAnsi="Arial" w:cs="Arial"/>
                <w:sz w:val="24"/>
                <w:szCs w:val="24"/>
              </w:rPr>
              <w:t>.</w:t>
            </w:r>
          </w:p>
        </w:tc>
      </w:tr>
      <w:tr w:rsidR="00CC5F8F" w:rsidRPr="00986409" w14:paraId="5C7963AB" w14:textId="77777777" w:rsidTr="00902A66">
        <w:trPr>
          <w:trHeight w:val="851"/>
        </w:trPr>
        <w:tc>
          <w:tcPr>
            <w:tcW w:w="2082" w:type="dxa"/>
            <w:tcBorders>
              <w:top w:val="single" w:sz="4" w:space="0" w:color="auto"/>
              <w:left w:val="single" w:sz="4" w:space="0" w:color="auto"/>
              <w:bottom w:val="single" w:sz="4" w:space="0" w:color="auto"/>
              <w:right w:val="single" w:sz="4" w:space="0" w:color="auto"/>
            </w:tcBorders>
          </w:tcPr>
          <w:p w14:paraId="062869CA" w14:textId="77777777" w:rsidR="00CC5F8F" w:rsidRPr="00413272" w:rsidRDefault="00CC5F8F" w:rsidP="002845E0">
            <w:pPr>
              <w:ind w:left="147"/>
              <w:rPr>
                <w:rFonts w:ascii="Arial" w:hAnsi="Arial" w:cs="Arial"/>
                <w:b/>
                <w:bCs/>
                <w:sz w:val="24"/>
                <w:szCs w:val="24"/>
                <w:lang w:eastAsia="en-NZ"/>
              </w:rPr>
            </w:pPr>
            <w:r w:rsidRPr="00413272">
              <w:rPr>
                <w:rFonts w:ascii="Arial" w:eastAsia="Calibri" w:hAnsi="Arial" w:cs="Arial"/>
                <w:b/>
                <w:bCs/>
                <w:sz w:val="24"/>
                <w:szCs w:val="24"/>
                <w:lang w:eastAsia="en-NZ"/>
              </w:rPr>
              <w:t>Equity</w:t>
            </w:r>
          </w:p>
        </w:tc>
        <w:tc>
          <w:tcPr>
            <w:tcW w:w="3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F1637"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 xml:space="preserve">Service is appropriate for all </w:t>
            </w:r>
            <w:r w:rsidR="00D21FFA" w:rsidRPr="00413272">
              <w:rPr>
                <w:rFonts w:ascii="Arial" w:eastAsia="Calibri" w:hAnsi="Arial" w:cs="Arial"/>
                <w:bCs/>
                <w:sz w:val="24"/>
                <w:szCs w:val="24"/>
                <w:lang w:eastAsia="en-NZ"/>
              </w:rPr>
              <w:t>ethnicity</w:t>
            </w:r>
            <w:r w:rsidRPr="00413272">
              <w:rPr>
                <w:rFonts w:ascii="Arial" w:eastAsia="Calibri" w:hAnsi="Arial" w:cs="Arial"/>
                <w:bCs/>
                <w:sz w:val="24"/>
                <w:szCs w:val="24"/>
                <w:lang w:eastAsia="en-NZ"/>
              </w:rPr>
              <w:t xml:space="preserve"> groups.</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41FC9" w14:textId="4FDEE3BD" w:rsidR="00CC5F8F" w:rsidRPr="00413272" w:rsidRDefault="00E6579F" w:rsidP="00413272">
            <w:pPr>
              <w:numPr>
                <w:ilvl w:val="0"/>
                <w:numId w:val="32"/>
              </w:numPr>
              <w:spacing w:after="0"/>
              <w:ind w:left="357" w:hanging="357"/>
              <w:contextualSpacing/>
              <w:rPr>
                <w:rFonts w:ascii="Arial" w:hAnsi="Arial" w:cs="Arial"/>
                <w:sz w:val="24"/>
                <w:szCs w:val="24"/>
              </w:rPr>
            </w:pPr>
            <w:r>
              <w:rPr>
                <w:rFonts w:ascii="Arial" w:eastAsia="Calibri" w:hAnsi="Arial" w:cs="Arial"/>
                <w:sz w:val="24"/>
                <w:szCs w:val="24"/>
              </w:rPr>
              <w:t>c</w:t>
            </w:r>
            <w:r w:rsidR="00B40C49" w:rsidRPr="00413272">
              <w:rPr>
                <w:rFonts w:ascii="Arial" w:eastAsia="Calibri" w:hAnsi="Arial" w:cs="Arial"/>
                <w:sz w:val="24"/>
                <w:szCs w:val="24"/>
              </w:rPr>
              <w:t>lient</w:t>
            </w:r>
            <w:r w:rsidR="00CC5F8F" w:rsidRPr="00413272">
              <w:rPr>
                <w:rFonts w:ascii="Arial" w:eastAsia="Calibri" w:hAnsi="Arial" w:cs="Arial"/>
                <w:sz w:val="24"/>
                <w:szCs w:val="24"/>
              </w:rPr>
              <w:t xml:space="preserve"> diversity reflects population diversity. </w:t>
            </w:r>
          </w:p>
          <w:p w14:paraId="283439C3" w14:textId="2B4D4F10" w:rsidR="00D52EE2" w:rsidRPr="00413272" w:rsidRDefault="00E6579F" w:rsidP="00413272">
            <w:pPr>
              <w:numPr>
                <w:ilvl w:val="0"/>
                <w:numId w:val="32"/>
              </w:numPr>
              <w:spacing w:after="0"/>
              <w:ind w:left="357" w:hanging="357"/>
              <w:contextualSpacing/>
              <w:rPr>
                <w:rFonts w:ascii="Arial" w:hAnsi="Arial" w:cs="Arial"/>
                <w:sz w:val="24"/>
                <w:szCs w:val="24"/>
              </w:rPr>
            </w:pPr>
            <w:r>
              <w:rPr>
                <w:rFonts w:ascii="Arial" w:hAnsi="Arial" w:cs="Arial"/>
                <w:sz w:val="24"/>
                <w:szCs w:val="24"/>
              </w:rPr>
              <w:t>w</w:t>
            </w:r>
            <w:r w:rsidR="00D52EE2" w:rsidRPr="00413272">
              <w:rPr>
                <w:rFonts w:ascii="Arial" w:hAnsi="Arial" w:cs="Arial"/>
                <w:sz w:val="24"/>
                <w:szCs w:val="24"/>
              </w:rPr>
              <w:t>orkforce reflects population diversity</w:t>
            </w:r>
            <w:r w:rsidR="000B06AB">
              <w:rPr>
                <w:rFonts w:ascii="Arial" w:hAnsi="Arial" w:cs="Arial"/>
                <w:sz w:val="24"/>
                <w:szCs w:val="24"/>
              </w:rPr>
              <w:t>.</w:t>
            </w:r>
          </w:p>
          <w:p w14:paraId="7698BC36" w14:textId="583CB089" w:rsidR="00CC5F8F" w:rsidRPr="00413272" w:rsidRDefault="00E6579F" w:rsidP="00413272">
            <w:pPr>
              <w:numPr>
                <w:ilvl w:val="0"/>
                <w:numId w:val="32"/>
              </w:numPr>
              <w:spacing w:after="0"/>
              <w:ind w:left="357" w:hanging="357"/>
              <w:contextualSpacing/>
              <w:rPr>
                <w:rFonts w:ascii="Arial" w:hAnsi="Arial" w:cs="Arial"/>
                <w:sz w:val="24"/>
                <w:szCs w:val="24"/>
              </w:rPr>
            </w:pPr>
            <w:r>
              <w:rPr>
                <w:rFonts w:ascii="Arial" w:eastAsia="Calibri" w:hAnsi="Arial" w:cs="Arial"/>
                <w:sz w:val="24"/>
                <w:szCs w:val="24"/>
              </w:rPr>
              <w:t>o</w:t>
            </w:r>
            <w:r w:rsidR="00CC5F8F" w:rsidRPr="00413272">
              <w:rPr>
                <w:rFonts w:ascii="Arial" w:eastAsia="Calibri" w:hAnsi="Arial" w:cs="Arial"/>
                <w:sz w:val="24"/>
                <w:szCs w:val="24"/>
              </w:rPr>
              <w:t xml:space="preserve">utcomes for </w:t>
            </w:r>
            <w:r w:rsidR="00B40C49" w:rsidRPr="00413272">
              <w:rPr>
                <w:rFonts w:ascii="Arial" w:eastAsia="Calibri" w:hAnsi="Arial" w:cs="Arial"/>
                <w:sz w:val="24"/>
                <w:szCs w:val="24"/>
              </w:rPr>
              <w:t>client</w:t>
            </w:r>
            <w:r w:rsidR="00CC5F8F" w:rsidRPr="00413272">
              <w:rPr>
                <w:rFonts w:ascii="Arial" w:eastAsia="Calibri" w:hAnsi="Arial" w:cs="Arial"/>
                <w:sz w:val="24"/>
                <w:szCs w:val="24"/>
              </w:rPr>
              <w:t xml:space="preserve">s are </w:t>
            </w:r>
            <w:r w:rsidR="00C77A75" w:rsidRPr="00413272">
              <w:rPr>
                <w:rFonts w:ascii="Arial" w:eastAsia="Calibri" w:hAnsi="Arial" w:cs="Arial"/>
                <w:sz w:val="24"/>
                <w:szCs w:val="24"/>
              </w:rPr>
              <w:t xml:space="preserve">fair and </w:t>
            </w:r>
            <w:r w:rsidR="00CC5F8F" w:rsidRPr="00413272">
              <w:rPr>
                <w:rFonts w:ascii="Arial" w:eastAsia="Calibri" w:hAnsi="Arial" w:cs="Arial"/>
                <w:sz w:val="24"/>
                <w:szCs w:val="24"/>
              </w:rPr>
              <w:t>equitable</w:t>
            </w:r>
            <w:r w:rsidR="00172138" w:rsidRPr="00413272">
              <w:rPr>
                <w:rFonts w:ascii="Arial" w:eastAsia="Calibri" w:hAnsi="Arial" w:cs="Arial"/>
                <w:sz w:val="24"/>
                <w:szCs w:val="24"/>
              </w:rPr>
              <w:t xml:space="preserve"> </w:t>
            </w:r>
            <w:r w:rsidR="00CC5F8F" w:rsidRPr="00413272">
              <w:rPr>
                <w:rFonts w:ascii="Arial" w:eastAsia="Calibri" w:hAnsi="Arial" w:cs="Arial"/>
                <w:sz w:val="24"/>
                <w:szCs w:val="24"/>
              </w:rPr>
              <w:t xml:space="preserve">across </w:t>
            </w:r>
            <w:r w:rsidR="00C77A75" w:rsidRPr="00413272">
              <w:rPr>
                <w:rFonts w:ascii="Arial" w:eastAsia="Calibri" w:hAnsi="Arial" w:cs="Arial"/>
                <w:sz w:val="24"/>
                <w:szCs w:val="24"/>
              </w:rPr>
              <w:t>ethnic</w:t>
            </w:r>
            <w:r w:rsidR="00CC5F8F" w:rsidRPr="00413272">
              <w:rPr>
                <w:rFonts w:ascii="Arial" w:eastAsia="Calibri" w:hAnsi="Arial" w:cs="Arial"/>
                <w:sz w:val="24"/>
                <w:szCs w:val="24"/>
              </w:rPr>
              <w:t xml:space="preserve"> groups.</w:t>
            </w:r>
          </w:p>
        </w:tc>
      </w:tr>
      <w:tr w:rsidR="00CC5F8F" w:rsidRPr="00986409" w14:paraId="620971B8" w14:textId="77777777" w:rsidTr="00902A66">
        <w:trPr>
          <w:trHeight w:val="1729"/>
        </w:trPr>
        <w:tc>
          <w:tcPr>
            <w:tcW w:w="2082" w:type="dxa"/>
            <w:tcBorders>
              <w:top w:val="single" w:sz="4" w:space="0" w:color="auto"/>
              <w:left w:val="single" w:sz="4" w:space="0" w:color="auto"/>
              <w:bottom w:val="single" w:sz="4" w:space="0" w:color="auto"/>
              <w:right w:val="single" w:sz="4" w:space="0" w:color="auto"/>
            </w:tcBorders>
          </w:tcPr>
          <w:p w14:paraId="37F1814C" w14:textId="77777777" w:rsidR="00CC5F8F" w:rsidRPr="00413272" w:rsidRDefault="00CC5F8F" w:rsidP="002845E0">
            <w:pPr>
              <w:ind w:left="147"/>
              <w:rPr>
                <w:rFonts w:ascii="Arial" w:hAnsi="Arial" w:cs="Arial"/>
                <w:b/>
                <w:bCs/>
                <w:sz w:val="24"/>
                <w:szCs w:val="24"/>
                <w:lang w:eastAsia="en-NZ"/>
              </w:rPr>
            </w:pPr>
            <w:r w:rsidRPr="00413272">
              <w:rPr>
                <w:rFonts w:ascii="Arial" w:eastAsia="Calibri" w:hAnsi="Arial" w:cs="Arial"/>
                <w:b/>
                <w:bCs/>
                <w:sz w:val="24"/>
                <w:szCs w:val="24"/>
                <w:lang w:eastAsia="en-NZ"/>
              </w:rPr>
              <w:lastRenderedPageBreak/>
              <w:t>Integration</w:t>
            </w:r>
          </w:p>
          <w:p w14:paraId="46FA02D9" w14:textId="77777777" w:rsidR="00CC5F8F" w:rsidRPr="00413272" w:rsidRDefault="00CC5F8F" w:rsidP="002845E0">
            <w:pPr>
              <w:ind w:left="147"/>
              <w:rPr>
                <w:rFonts w:ascii="Arial" w:eastAsia="Calibri" w:hAnsi="Arial" w:cs="Arial"/>
                <w:b/>
                <w:bCs/>
                <w:sz w:val="24"/>
                <w:szCs w:val="24"/>
                <w:lang w:eastAsia="en-NZ"/>
              </w:rPr>
            </w:pPr>
          </w:p>
        </w:tc>
        <w:tc>
          <w:tcPr>
            <w:tcW w:w="3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C0831"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 xml:space="preserve">Service Provider actively participates in health system integration management. </w:t>
            </w:r>
          </w:p>
          <w:p w14:paraId="7FE2EC9B"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Active collaboration and problem-solving regarding IT integration.</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BE7FA" w14:textId="77777777" w:rsidR="00CC5F8F" w:rsidRPr="00413272" w:rsidRDefault="00CC5F8F" w:rsidP="00413272">
            <w:pPr>
              <w:numPr>
                <w:ilvl w:val="0"/>
                <w:numId w:val="32"/>
              </w:numPr>
              <w:spacing w:after="0"/>
              <w:ind w:left="357" w:hanging="357"/>
              <w:contextualSpacing/>
              <w:rPr>
                <w:rFonts w:ascii="Arial" w:eastAsia="Calibri" w:hAnsi="Arial" w:cs="Arial"/>
                <w:sz w:val="24"/>
                <w:szCs w:val="24"/>
              </w:rPr>
            </w:pPr>
            <w:r w:rsidRPr="00413272">
              <w:rPr>
                <w:rFonts w:ascii="Arial" w:eastAsia="Calibri" w:hAnsi="Arial" w:cs="Arial"/>
                <w:sz w:val="24"/>
                <w:szCs w:val="24"/>
              </w:rPr>
              <w:t>HCSS participation in discharge planning.</w:t>
            </w:r>
          </w:p>
          <w:p w14:paraId="5B1F38D0" w14:textId="6DB1C76E" w:rsidR="00CC5F8F" w:rsidRPr="00413272" w:rsidRDefault="00E6579F" w:rsidP="00413272">
            <w:pPr>
              <w:numPr>
                <w:ilvl w:val="0"/>
                <w:numId w:val="32"/>
              </w:numPr>
              <w:spacing w:after="0"/>
              <w:ind w:left="357" w:hanging="357"/>
              <w:contextualSpacing/>
              <w:rPr>
                <w:rFonts w:ascii="Arial" w:eastAsia="Calibri" w:hAnsi="Arial" w:cs="Arial"/>
                <w:sz w:val="24"/>
                <w:szCs w:val="24"/>
              </w:rPr>
            </w:pPr>
            <w:r>
              <w:rPr>
                <w:rFonts w:ascii="Arial" w:eastAsia="Calibri" w:hAnsi="Arial" w:cs="Arial"/>
                <w:sz w:val="24"/>
                <w:szCs w:val="24"/>
              </w:rPr>
              <w:t>e</w:t>
            </w:r>
            <w:r w:rsidR="00CC5F8F" w:rsidRPr="00413272">
              <w:rPr>
                <w:rFonts w:ascii="Arial" w:eastAsia="Calibri" w:hAnsi="Arial" w:cs="Arial"/>
                <w:sz w:val="24"/>
                <w:szCs w:val="24"/>
              </w:rPr>
              <w:t>ngagement in health system integration development.</w:t>
            </w:r>
          </w:p>
          <w:p w14:paraId="57D358FB" w14:textId="6DC3055E" w:rsidR="00CC5F8F" w:rsidRPr="00413272" w:rsidRDefault="00E6579F" w:rsidP="00413272">
            <w:pPr>
              <w:numPr>
                <w:ilvl w:val="0"/>
                <w:numId w:val="32"/>
              </w:numPr>
              <w:spacing w:after="0"/>
              <w:ind w:left="357" w:hanging="357"/>
              <w:contextualSpacing/>
              <w:rPr>
                <w:rFonts w:ascii="Arial" w:hAnsi="Arial" w:cs="Arial"/>
                <w:sz w:val="24"/>
                <w:szCs w:val="24"/>
              </w:rPr>
            </w:pPr>
            <w:r>
              <w:rPr>
                <w:rFonts w:ascii="Arial" w:eastAsia="Calibri" w:hAnsi="Arial" w:cs="Arial"/>
                <w:sz w:val="24"/>
                <w:szCs w:val="24"/>
              </w:rPr>
              <w:t>c</w:t>
            </w:r>
            <w:r w:rsidR="00B40C49" w:rsidRPr="00413272">
              <w:rPr>
                <w:rFonts w:ascii="Arial" w:eastAsia="Calibri" w:hAnsi="Arial" w:cs="Arial"/>
                <w:sz w:val="24"/>
                <w:szCs w:val="24"/>
              </w:rPr>
              <w:t>lient</w:t>
            </w:r>
            <w:r w:rsidR="00CC5F8F" w:rsidRPr="00413272">
              <w:rPr>
                <w:rFonts w:ascii="Arial" w:eastAsia="Calibri" w:hAnsi="Arial" w:cs="Arial"/>
                <w:sz w:val="24"/>
                <w:szCs w:val="24"/>
              </w:rPr>
              <w:t xml:space="preserve"> information appropriately shared and available for primary care Providers to access.</w:t>
            </w:r>
          </w:p>
        </w:tc>
      </w:tr>
      <w:tr w:rsidR="00CC5F8F" w:rsidRPr="00986409" w14:paraId="114FDBB9" w14:textId="77777777" w:rsidTr="00902A66">
        <w:trPr>
          <w:trHeight w:val="1709"/>
        </w:trPr>
        <w:tc>
          <w:tcPr>
            <w:tcW w:w="2082" w:type="dxa"/>
            <w:tcBorders>
              <w:top w:val="single" w:sz="4" w:space="0" w:color="auto"/>
              <w:left w:val="single" w:sz="4" w:space="0" w:color="auto"/>
              <w:bottom w:val="single" w:sz="4" w:space="0" w:color="auto"/>
              <w:right w:val="single" w:sz="4" w:space="0" w:color="auto"/>
            </w:tcBorders>
          </w:tcPr>
          <w:p w14:paraId="1F5C8633" w14:textId="77777777" w:rsidR="00CC5F8F" w:rsidRPr="00413272" w:rsidRDefault="00CC5F8F" w:rsidP="002845E0">
            <w:pPr>
              <w:ind w:left="147"/>
              <w:rPr>
                <w:rFonts w:ascii="Arial" w:hAnsi="Arial" w:cs="Arial"/>
                <w:b/>
                <w:bCs/>
                <w:sz w:val="24"/>
                <w:szCs w:val="24"/>
                <w:lang w:eastAsia="en-NZ"/>
              </w:rPr>
            </w:pPr>
            <w:r w:rsidRPr="00413272">
              <w:rPr>
                <w:rFonts w:ascii="Arial" w:eastAsia="Calibri" w:hAnsi="Arial" w:cs="Arial"/>
                <w:b/>
                <w:bCs/>
                <w:sz w:val="24"/>
                <w:szCs w:val="24"/>
                <w:lang w:eastAsia="en-NZ"/>
              </w:rPr>
              <w:t>Workforce sustainability</w:t>
            </w:r>
          </w:p>
          <w:p w14:paraId="3B950AA6" w14:textId="77777777" w:rsidR="00CC5F8F" w:rsidRPr="00413272" w:rsidRDefault="00CC5F8F" w:rsidP="002845E0">
            <w:pPr>
              <w:ind w:left="147"/>
              <w:rPr>
                <w:rFonts w:ascii="Arial" w:eastAsia="Calibri" w:hAnsi="Arial" w:cs="Arial"/>
                <w:b/>
                <w:bCs/>
                <w:sz w:val="24"/>
                <w:szCs w:val="24"/>
                <w:lang w:eastAsia="en-NZ"/>
              </w:rPr>
            </w:pPr>
          </w:p>
        </w:tc>
        <w:tc>
          <w:tcPr>
            <w:tcW w:w="3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65E04"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Staff training in Career Force Level 2</w:t>
            </w:r>
            <w:r w:rsidR="00E350EB" w:rsidRPr="00413272">
              <w:rPr>
                <w:rFonts w:ascii="Arial" w:eastAsia="Calibri" w:hAnsi="Arial" w:cs="Arial"/>
                <w:bCs/>
                <w:sz w:val="24"/>
                <w:szCs w:val="24"/>
                <w:lang w:eastAsia="en-NZ"/>
              </w:rPr>
              <w:t>,</w:t>
            </w:r>
            <w:r w:rsidRPr="00413272">
              <w:rPr>
                <w:rFonts w:ascii="Arial" w:eastAsia="Calibri" w:hAnsi="Arial" w:cs="Arial"/>
                <w:bCs/>
                <w:sz w:val="24"/>
                <w:szCs w:val="24"/>
                <w:lang w:eastAsia="en-NZ"/>
              </w:rPr>
              <w:t xml:space="preserve"> 3</w:t>
            </w:r>
            <w:r w:rsidR="00E350EB" w:rsidRPr="00413272">
              <w:rPr>
                <w:rFonts w:ascii="Arial" w:eastAsia="Calibri" w:hAnsi="Arial" w:cs="Arial"/>
                <w:bCs/>
                <w:sz w:val="24"/>
                <w:szCs w:val="24"/>
                <w:lang w:eastAsia="en-NZ"/>
              </w:rPr>
              <w:t xml:space="preserve"> and 4</w:t>
            </w:r>
            <w:r w:rsidRPr="00413272">
              <w:rPr>
                <w:rFonts w:ascii="Arial" w:eastAsia="Calibri" w:hAnsi="Arial" w:cs="Arial"/>
                <w:bCs/>
                <w:sz w:val="24"/>
                <w:szCs w:val="24"/>
                <w:lang w:eastAsia="en-NZ"/>
              </w:rPr>
              <w:t>.</w:t>
            </w:r>
          </w:p>
          <w:p w14:paraId="5811A5E1" w14:textId="77777777" w:rsidR="00CC5F8F" w:rsidRPr="00413272" w:rsidRDefault="00CC5F8F" w:rsidP="002845E0">
            <w:pPr>
              <w:spacing w:after="120"/>
              <w:rPr>
                <w:rFonts w:ascii="Arial" w:hAnsi="Arial" w:cs="Arial"/>
                <w:bCs/>
                <w:sz w:val="24"/>
                <w:szCs w:val="24"/>
                <w:lang w:eastAsia="en-NZ"/>
              </w:rPr>
            </w:pPr>
            <w:r w:rsidRPr="00413272">
              <w:rPr>
                <w:rFonts w:ascii="Arial" w:eastAsia="Calibri" w:hAnsi="Arial" w:cs="Arial"/>
                <w:bCs/>
                <w:sz w:val="24"/>
                <w:szCs w:val="24"/>
                <w:lang w:eastAsia="en-NZ"/>
              </w:rPr>
              <w:t xml:space="preserve">Workforce planning anticipates and responds to risk of insufficient workforce to deliver as </w:t>
            </w:r>
            <w:r w:rsidR="002845E0" w:rsidRPr="00413272">
              <w:rPr>
                <w:rFonts w:ascii="Arial" w:eastAsia="Calibri" w:hAnsi="Arial" w:cs="Arial"/>
                <w:sz w:val="24"/>
                <w:szCs w:val="24"/>
              </w:rPr>
              <w:t>HCSS</w:t>
            </w:r>
            <w:r w:rsidRPr="00413272">
              <w:rPr>
                <w:rFonts w:ascii="Arial" w:eastAsia="Calibri" w:hAnsi="Arial" w:cs="Arial"/>
                <w:bCs/>
                <w:sz w:val="24"/>
                <w:szCs w:val="24"/>
                <w:lang w:eastAsia="en-NZ"/>
              </w:rPr>
              <w:t xml:space="preserve"> requirements demand.</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58E31" w14:textId="36248ECE" w:rsidR="00CC5F8F" w:rsidRPr="00413272" w:rsidRDefault="00E6579F" w:rsidP="00413272">
            <w:pPr>
              <w:numPr>
                <w:ilvl w:val="0"/>
                <w:numId w:val="32"/>
              </w:numPr>
              <w:ind w:left="357" w:hanging="357"/>
              <w:contextualSpacing/>
              <w:rPr>
                <w:rFonts w:ascii="Arial" w:hAnsi="Arial" w:cs="Arial"/>
                <w:sz w:val="24"/>
                <w:szCs w:val="24"/>
              </w:rPr>
            </w:pPr>
            <w:r>
              <w:rPr>
                <w:rFonts w:ascii="Arial" w:eastAsia="Calibri" w:hAnsi="Arial" w:cs="Arial"/>
                <w:sz w:val="24"/>
                <w:szCs w:val="24"/>
              </w:rPr>
              <w:t>t</w:t>
            </w:r>
            <w:r w:rsidR="00CC5F8F" w:rsidRPr="00413272">
              <w:rPr>
                <w:rFonts w:ascii="Arial" w:eastAsia="Calibri" w:hAnsi="Arial" w:cs="Arial"/>
                <w:sz w:val="24"/>
                <w:szCs w:val="24"/>
              </w:rPr>
              <w:t>raining levels are achieved to required standard.</w:t>
            </w:r>
          </w:p>
          <w:p w14:paraId="2DFCC565" w14:textId="3970C439" w:rsidR="00CC5F8F" w:rsidRPr="00413272" w:rsidRDefault="00E6579F" w:rsidP="00413272">
            <w:pPr>
              <w:numPr>
                <w:ilvl w:val="0"/>
                <w:numId w:val="32"/>
              </w:numPr>
              <w:ind w:left="357" w:hanging="357"/>
              <w:contextualSpacing/>
              <w:rPr>
                <w:rFonts w:ascii="Arial" w:hAnsi="Arial" w:cs="Arial"/>
                <w:sz w:val="24"/>
                <w:szCs w:val="24"/>
              </w:rPr>
            </w:pPr>
            <w:r>
              <w:rPr>
                <w:rFonts w:ascii="Arial" w:eastAsia="Calibri" w:hAnsi="Arial" w:cs="Arial"/>
                <w:sz w:val="24"/>
                <w:szCs w:val="24"/>
              </w:rPr>
              <w:t>s</w:t>
            </w:r>
            <w:r w:rsidR="00CC5F8F" w:rsidRPr="00413272">
              <w:rPr>
                <w:rFonts w:ascii="Arial" w:eastAsia="Calibri" w:hAnsi="Arial" w:cs="Arial"/>
                <w:sz w:val="24"/>
                <w:szCs w:val="24"/>
              </w:rPr>
              <w:t xml:space="preserve">taff turnover </w:t>
            </w:r>
            <w:r w:rsidR="003F2C81" w:rsidRPr="00413272">
              <w:rPr>
                <w:rFonts w:ascii="Arial" w:eastAsia="Calibri" w:hAnsi="Arial" w:cs="Arial"/>
                <w:sz w:val="24"/>
                <w:szCs w:val="24"/>
              </w:rPr>
              <w:t>is monitored and reduced where possible</w:t>
            </w:r>
            <w:r w:rsidR="00CC5F8F" w:rsidRPr="00413272">
              <w:rPr>
                <w:rFonts w:ascii="Arial" w:eastAsia="Calibri" w:hAnsi="Arial" w:cs="Arial"/>
                <w:sz w:val="24"/>
                <w:szCs w:val="24"/>
              </w:rPr>
              <w:t>.</w:t>
            </w:r>
          </w:p>
          <w:p w14:paraId="4BCCF7EB" w14:textId="547E04C7" w:rsidR="00CC5F8F" w:rsidRPr="00413272" w:rsidRDefault="00EB0E55" w:rsidP="00E6579F">
            <w:pPr>
              <w:numPr>
                <w:ilvl w:val="0"/>
                <w:numId w:val="32"/>
              </w:numPr>
              <w:ind w:left="357" w:hanging="357"/>
              <w:contextualSpacing/>
              <w:rPr>
                <w:rFonts w:ascii="Arial" w:hAnsi="Arial" w:cs="Arial"/>
                <w:sz w:val="24"/>
                <w:szCs w:val="24"/>
              </w:rPr>
            </w:pPr>
            <w:r w:rsidRPr="00413272">
              <w:rPr>
                <w:rFonts w:ascii="Arial" w:hAnsi="Arial" w:cs="Arial"/>
                <w:sz w:val="24"/>
                <w:szCs w:val="24"/>
              </w:rPr>
              <w:t>RHPs are engaged in peer review</w:t>
            </w:r>
            <w:r w:rsidR="008F7286">
              <w:rPr>
                <w:rFonts w:ascii="Arial" w:hAnsi="Arial" w:cs="Arial"/>
                <w:sz w:val="24"/>
                <w:szCs w:val="24"/>
              </w:rPr>
              <w:t>.</w:t>
            </w:r>
          </w:p>
        </w:tc>
      </w:tr>
      <w:tr w:rsidR="00CC5F8F" w:rsidRPr="00986409" w14:paraId="0B9AA481" w14:textId="77777777" w:rsidTr="00902A66">
        <w:trPr>
          <w:trHeight w:val="1159"/>
        </w:trPr>
        <w:tc>
          <w:tcPr>
            <w:tcW w:w="2082" w:type="dxa"/>
            <w:tcBorders>
              <w:top w:val="single" w:sz="4" w:space="0" w:color="auto"/>
              <w:left w:val="single" w:sz="4" w:space="0" w:color="auto"/>
              <w:bottom w:val="single" w:sz="4" w:space="0" w:color="auto"/>
              <w:right w:val="single" w:sz="4" w:space="0" w:color="auto"/>
            </w:tcBorders>
          </w:tcPr>
          <w:p w14:paraId="3FAD0A85" w14:textId="77777777" w:rsidR="00CC5F8F" w:rsidRPr="00413272" w:rsidRDefault="00CC5F8F" w:rsidP="002845E0">
            <w:pPr>
              <w:ind w:left="147"/>
              <w:rPr>
                <w:rFonts w:ascii="Arial" w:eastAsia="Calibri" w:hAnsi="Arial" w:cs="Arial"/>
                <w:b/>
                <w:bCs/>
                <w:sz w:val="24"/>
                <w:szCs w:val="24"/>
                <w:lang w:eastAsia="en-NZ"/>
              </w:rPr>
            </w:pPr>
            <w:r w:rsidRPr="00413272">
              <w:rPr>
                <w:rFonts w:ascii="Arial" w:eastAsia="Calibri" w:hAnsi="Arial" w:cs="Arial"/>
                <w:b/>
                <w:bCs/>
                <w:sz w:val="24"/>
                <w:szCs w:val="24"/>
                <w:lang w:eastAsia="en-NZ"/>
              </w:rPr>
              <w:t>Natural supports</w:t>
            </w:r>
          </w:p>
          <w:p w14:paraId="6C7960A3" w14:textId="77777777" w:rsidR="00CC5F8F" w:rsidRPr="00413272" w:rsidRDefault="00CC5F8F" w:rsidP="002845E0">
            <w:pPr>
              <w:ind w:left="147"/>
              <w:rPr>
                <w:rFonts w:ascii="Arial" w:eastAsia="Calibri" w:hAnsi="Arial" w:cs="Arial"/>
                <w:b/>
                <w:bCs/>
                <w:sz w:val="24"/>
                <w:szCs w:val="24"/>
                <w:lang w:eastAsia="en-NZ"/>
              </w:rPr>
            </w:pPr>
          </w:p>
        </w:tc>
        <w:tc>
          <w:tcPr>
            <w:tcW w:w="3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D42A2" w14:textId="77777777" w:rsidR="00CC5F8F" w:rsidRPr="00413272" w:rsidRDefault="00CC5F8F" w:rsidP="002845E0">
            <w:pPr>
              <w:spacing w:after="120"/>
              <w:rPr>
                <w:rFonts w:ascii="Arial" w:eastAsia="Calibri" w:hAnsi="Arial" w:cs="Arial"/>
                <w:bCs/>
                <w:sz w:val="24"/>
                <w:szCs w:val="24"/>
                <w:lang w:eastAsia="en-NZ"/>
              </w:rPr>
            </w:pPr>
            <w:r w:rsidRPr="00413272">
              <w:rPr>
                <w:rFonts w:ascii="Arial" w:eastAsia="Calibri" w:hAnsi="Arial" w:cs="Arial"/>
                <w:bCs/>
                <w:sz w:val="24"/>
                <w:szCs w:val="24"/>
                <w:lang w:eastAsia="en-NZ"/>
              </w:rPr>
              <w:t xml:space="preserve">Presence in community facilitates </w:t>
            </w:r>
            <w:r w:rsidR="00B40C49" w:rsidRPr="00413272">
              <w:rPr>
                <w:rFonts w:ascii="Arial" w:eastAsia="Calibri" w:hAnsi="Arial" w:cs="Arial"/>
                <w:bCs/>
                <w:sz w:val="24"/>
                <w:szCs w:val="24"/>
                <w:lang w:eastAsia="en-NZ"/>
              </w:rPr>
              <w:t>client</w:t>
            </w:r>
            <w:r w:rsidRPr="00413272">
              <w:rPr>
                <w:rFonts w:ascii="Arial" w:eastAsia="Calibri" w:hAnsi="Arial" w:cs="Arial"/>
                <w:bCs/>
                <w:sz w:val="24"/>
                <w:szCs w:val="24"/>
                <w:lang w:eastAsia="en-NZ"/>
              </w:rPr>
              <w:t xml:space="preserve"> participation in local activities and interest groups</w:t>
            </w:r>
            <w:r w:rsidR="00721BF0" w:rsidRPr="00413272">
              <w:rPr>
                <w:rFonts w:ascii="Arial" w:eastAsia="Calibri" w:hAnsi="Arial" w:cs="Arial"/>
                <w:bCs/>
                <w:sz w:val="24"/>
                <w:szCs w:val="24"/>
                <w:lang w:eastAsia="en-NZ"/>
              </w:rPr>
              <w:t>.</w:t>
            </w:r>
          </w:p>
        </w:tc>
        <w:tc>
          <w:tcPr>
            <w:tcW w:w="453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6B71E63D" w14:textId="1AB4DBFA" w:rsidR="00CC5F8F" w:rsidRPr="00413272" w:rsidRDefault="00E6579F" w:rsidP="00413272">
            <w:pPr>
              <w:pStyle w:val="ListParagraph"/>
              <w:numPr>
                <w:ilvl w:val="0"/>
                <w:numId w:val="32"/>
              </w:numPr>
              <w:ind w:left="357" w:hanging="357"/>
              <w:rPr>
                <w:rFonts w:ascii="Arial" w:eastAsia="Calibri" w:hAnsi="Arial" w:cs="Arial"/>
                <w:sz w:val="24"/>
                <w:szCs w:val="24"/>
              </w:rPr>
            </w:pPr>
            <w:r>
              <w:rPr>
                <w:rFonts w:ascii="Arial" w:eastAsia="Calibri" w:hAnsi="Arial" w:cs="Arial"/>
                <w:sz w:val="24"/>
                <w:szCs w:val="24"/>
              </w:rPr>
              <w:t>i</w:t>
            </w:r>
            <w:r w:rsidR="00CD0ED8" w:rsidRPr="00413272">
              <w:rPr>
                <w:rFonts w:ascii="Arial" w:eastAsia="Calibri" w:hAnsi="Arial" w:cs="Arial"/>
                <w:sz w:val="24"/>
                <w:szCs w:val="24"/>
              </w:rPr>
              <w:t>ndividual s</w:t>
            </w:r>
            <w:r w:rsidR="00CC5F8F" w:rsidRPr="00413272">
              <w:rPr>
                <w:rFonts w:ascii="Arial" w:eastAsia="Calibri" w:hAnsi="Arial" w:cs="Arial"/>
                <w:sz w:val="24"/>
                <w:szCs w:val="24"/>
              </w:rPr>
              <w:t xml:space="preserve">upport plans detail how the </w:t>
            </w:r>
            <w:r w:rsidR="00B40C49" w:rsidRPr="00413272">
              <w:rPr>
                <w:rFonts w:ascii="Arial" w:eastAsia="Calibri" w:hAnsi="Arial" w:cs="Arial"/>
                <w:sz w:val="24"/>
                <w:szCs w:val="24"/>
              </w:rPr>
              <w:t>client</w:t>
            </w:r>
            <w:r w:rsidR="00CC5F8F" w:rsidRPr="00413272">
              <w:rPr>
                <w:rFonts w:ascii="Arial" w:eastAsia="Calibri" w:hAnsi="Arial" w:cs="Arial"/>
                <w:sz w:val="24"/>
                <w:szCs w:val="24"/>
              </w:rPr>
              <w:t xml:space="preserve"> uses available natural supports to achieve goals and social connectivity</w:t>
            </w:r>
            <w:r w:rsidR="00721BF0" w:rsidRPr="00413272">
              <w:rPr>
                <w:rFonts w:ascii="Arial" w:eastAsia="Calibri" w:hAnsi="Arial" w:cs="Arial"/>
                <w:sz w:val="24"/>
                <w:szCs w:val="24"/>
              </w:rPr>
              <w:t>.</w:t>
            </w:r>
          </w:p>
        </w:tc>
      </w:tr>
    </w:tbl>
    <w:p w14:paraId="46A5A388" w14:textId="109CA67F" w:rsidR="00060B6B" w:rsidRPr="00413272" w:rsidRDefault="00060B6B" w:rsidP="005D6437">
      <w:pPr>
        <w:numPr>
          <w:ilvl w:val="12"/>
          <w:numId w:val="5"/>
        </w:numPr>
        <w:tabs>
          <w:tab w:val="clear" w:pos="360"/>
          <w:tab w:val="left" w:pos="851"/>
        </w:tabs>
        <w:spacing w:before="120" w:after="120" w:line="240" w:lineRule="auto"/>
        <w:rPr>
          <w:rFonts w:ascii="Arial" w:hAnsi="Arial" w:cs="Arial"/>
          <w:sz w:val="24"/>
          <w:szCs w:val="24"/>
        </w:rPr>
      </w:pPr>
      <w:r w:rsidRPr="00413272">
        <w:rPr>
          <w:rFonts w:ascii="Arial" w:hAnsi="Arial" w:cs="Arial"/>
          <w:sz w:val="24"/>
          <w:szCs w:val="24"/>
        </w:rPr>
        <w:t>Further to this</w:t>
      </w:r>
      <w:r w:rsidR="00E6579F">
        <w:rPr>
          <w:rFonts w:ascii="Arial" w:hAnsi="Arial" w:cs="Arial"/>
          <w:sz w:val="24"/>
          <w:szCs w:val="24"/>
        </w:rPr>
        <w:t xml:space="preserve"> above</w:t>
      </w:r>
      <w:r w:rsidRPr="00413272">
        <w:rPr>
          <w:rFonts w:ascii="Arial" w:hAnsi="Arial" w:cs="Arial"/>
          <w:sz w:val="24"/>
          <w:szCs w:val="24"/>
        </w:rPr>
        <w:t>, the Providers continuous quality improvement strategy will involve a best practice approach to organisational management including consumer rights, entry to services, human resource management, exception reporting and complaints management, and service planning and delivery</w:t>
      </w:r>
      <w:r w:rsidR="00636E36" w:rsidRPr="00413272">
        <w:rPr>
          <w:rFonts w:ascii="Arial" w:hAnsi="Arial" w:cs="Arial"/>
          <w:sz w:val="24"/>
          <w:szCs w:val="24"/>
        </w:rPr>
        <w:t>.</w:t>
      </w:r>
      <w:r w:rsidRPr="00413272">
        <w:rPr>
          <w:rFonts w:ascii="Arial" w:hAnsi="Arial" w:cs="Arial"/>
          <w:sz w:val="24"/>
          <w:szCs w:val="24"/>
        </w:rPr>
        <w:t xml:space="preserve">  </w:t>
      </w:r>
    </w:p>
    <w:p w14:paraId="5B7F7ADC" w14:textId="77777777" w:rsidR="00ED2E90" w:rsidRPr="00413272" w:rsidRDefault="002845E0" w:rsidP="00471CF0">
      <w:pPr>
        <w:pStyle w:val="Heading1"/>
      </w:pPr>
      <w:bookmarkStart w:id="144" w:name="_Toc20743308"/>
      <w:bookmarkStart w:id="145" w:name="_Toc20753278"/>
      <w:bookmarkStart w:id="146" w:name="_Toc43122866"/>
      <w:bookmarkStart w:id="147" w:name="_Toc19519200"/>
      <w:bookmarkStart w:id="148" w:name="_Toc19524569"/>
      <w:bookmarkEnd w:id="144"/>
      <w:bookmarkEnd w:id="145"/>
      <w:r w:rsidRPr="00413272">
        <w:t>1</w:t>
      </w:r>
      <w:r w:rsidR="00DE1461" w:rsidRPr="00413272">
        <w:t>0</w:t>
      </w:r>
      <w:r w:rsidRPr="00413272">
        <w:tab/>
      </w:r>
      <w:r w:rsidR="00185781" w:rsidRPr="00413272">
        <w:t xml:space="preserve">Purchase </w:t>
      </w:r>
      <w:r w:rsidR="00ED2E90" w:rsidRPr="00413272">
        <w:t>U</w:t>
      </w:r>
      <w:r w:rsidR="00185781" w:rsidRPr="00413272">
        <w:t>nit Codes</w:t>
      </w:r>
      <w:bookmarkEnd w:id="146"/>
    </w:p>
    <w:p w14:paraId="44993DB0" w14:textId="77777777" w:rsidR="00ED2E90" w:rsidRPr="00413272" w:rsidRDefault="00ED2E90" w:rsidP="00ED2E90">
      <w:pPr>
        <w:spacing w:before="120"/>
        <w:rPr>
          <w:rFonts w:ascii="Arial" w:hAnsi="Arial" w:cs="Arial"/>
          <w:sz w:val="24"/>
          <w:szCs w:val="24"/>
        </w:rPr>
      </w:pPr>
      <w:bookmarkStart w:id="149" w:name="_Toc215319173"/>
      <w:bookmarkEnd w:id="147"/>
      <w:bookmarkEnd w:id="148"/>
      <w:r w:rsidRPr="00413272">
        <w:rPr>
          <w:rFonts w:ascii="Arial" w:hAnsi="Arial" w:cs="Arial"/>
          <w:sz w:val="24"/>
          <w:szCs w:val="24"/>
        </w:rPr>
        <w:t>Purchase Unit</w:t>
      </w:r>
      <w:r w:rsidR="00E350EB" w:rsidRPr="00413272">
        <w:rPr>
          <w:rFonts w:ascii="Arial" w:hAnsi="Arial" w:cs="Arial"/>
          <w:sz w:val="24"/>
          <w:szCs w:val="24"/>
        </w:rPr>
        <w:t xml:space="preserve"> (PU)</w:t>
      </w:r>
      <w:r w:rsidRPr="00413272">
        <w:rPr>
          <w:rFonts w:ascii="Arial" w:hAnsi="Arial" w:cs="Arial"/>
          <w:sz w:val="24"/>
          <w:szCs w:val="24"/>
        </w:rPr>
        <w:t xml:space="preserve"> </w:t>
      </w:r>
      <w:r w:rsidR="00413272">
        <w:rPr>
          <w:rFonts w:ascii="Arial" w:hAnsi="Arial" w:cs="Arial"/>
          <w:sz w:val="24"/>
          <w:szCs w:val="24"/>
        </w:rPr>
        <w:t xml:space="preserve">codes </w:t>
      </w:r>
      <w:r w:rsidRPr="00413272">
        <w:rPr>
          <w:rFonts w:ascii="Arial" w:hAnsi="Arial" w:cs="Arial"/>
          <w:sz w:val="24"/>
          <w:szCs w:val="24"/>
        </w:rPr>
        <w:t xml:space="preserve">are defined in the joint DHB and Ministry’s Nationwide Service Framework Purchase Unit Data Dictionary.  The following </w:t>
      </w:r>
      <w:r w:rsidR="00E350EB" w:rsidRPr="00413272">
        <w:rPr>
          <w:rFonts w:ascii="Arial" w:hAnsi="Arial" w:cs="Arial"/>
          <w:sz w:val="24"/>
          <w:szCs w:val="24"/>
        </w:rPr>
        <w:t>P</w:t>
      </w:r>
      <w:r w:rsidR="00413272">
        <w:rPr>
          <w:rFonts w:ascii="Arial" w:hAnsi="Arial" w:cs="Arial"/>
          <w:sz w:val="24"/>
          <w:szCs w:val="24"/>
        </w:rPr>
        <w:t>U</w:t>
      </w:r>
      <w:r w:rsidR="00E350EB" w:rsidRPr="00413272">
        <w:rPr>
          <w:rFonts w:ascii="Arial" w:hAnsi="Arial" w:cs="Arial"/>
          <w:sz w:val="24"/>
          <w:szCs w:val="24"/>
        </w:rPr>
        <w:t>s</w:t>
      </w:r>
      <w:r w:rsidRPr="00413272">
        <w:rPr>
          <w:rFonts w:ascii="Arial" w:hAnsi="Arial" w:cs="Arial"/>
          <w:sz w:val="24"/>
          <w:szCs w:val="24"/>
        </w:rPr>
        <w:t xml:space="preserve"> </w:t>
      </w:r>
      <w:r w:rsidR="00413272">
        <w:rPr>
          <w:rFonts w:ascii="Arial" w:hAnsi="Arial" w:cs="Arial"/>
          <w:sz w:val="24"/>
          <w:szCs w:val="24"/>
        </w:rPr>
        <w:t xml:space="preserve">codes </w:t>
      </w:r>
      <w:r w:rsidRPr="00413272">
        <w:rPr>
          <w:rFonts w:ascii="Arial" w:hAnsi="Arial" w:cs="Arial"/>
          <w:sz w:val="24"/>
          <w:szCs w:val="24"/>
        </w:rPr>
        <w:t>appl</w:t>
      </w:r>
      <w:r w:rsidR="00E350EB" w:rsidRPr="00413272">
        <w:rPr>
          <w:rFonts w:ascii="Arial" w:hAnsi="Arial" w:cs="Arial"/>
          <w:sz w:val="24"/>
          <w:szCs w:val="24"/>
        </w:rPr>
        <w:t>y</w:t>
      </w:r>
      <w:r w:rsidRPr="00413272">
        <w:rPr>
          <w:rFonts w:ascii="Arial" w:hAnsi="Arial" w:cs="Arial"/>
          <w:sz w:val="24"/>
          <w:szCs w:val="24"/>
        </w:rPr>
        <w:t xml:space="preserve"> to this Service.</w:t>
      </w:r>
      <w:bookmarkEnd w:id="149"/>
      <w:r w:rsidRPr="00413272">
        <w:rPr>
          <w:rFonts w:ascii="Arial" w:hAnsi="Arial" w:cs="Arial"/>
          <w:sz w:val="24"/>
          <w:szCs w:val="24"/>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985"/>
        <w:gridCol w:w="4961"/>
        <w:gridCol w:w="1417"/>
      </w:tblGrid>
      <w:tr w:rsidR="00AF2E9A" w:rsidRPr="00986409" w14:paraId="0125B22A" w14:textId="77777777" w:rsidTr="00942ED5">
        <w:trPr>
          <w:tblHeader/>
        </w:trPr>
        <w:tc>
          <w:tcPr>
            <w:tcW w:w="1305" w:type="dxa"/>
            <w:tcBorders>
              <w:top w:val="single" w:sz="4" w:space="0" w:color="auto"/>
              <w:left w:val="single" w:sz="4" w:space="0" w:color="auto"/>
              <w:bottom w:val="single" w:sz="4" w:space="0" w:color="auto"/>
              <w:right w:val="single" w:sz="4" w:space="0" w:color="auto"/>
            </w:tcBorders>
            <w:shd w:val="clear" w:color="auto" w:fill="D9D9D9"/>
            <w:hideMark/>
          </w:tcPr>
          <w:p w14:paraId="45E054C4" w14:textId="77777777" w:rsidR="00AF2E9A" w:rsidRPr="00413272" w:rsidRDefault="00AF2E9A">
            <w:pPr>
              <w:spacing w:before="120" w:after="120"/>
              <w:rPr>
                <w:rFonts w:ascii="Arial" w:hAnsi="Arial" w:cs="Arial"/>
                <w:b/>
                <w:sz w:val="24"/>
                <w:szCs w:val="24"/>
              </w:rPr>
            </w:pPr>
            <w:bookmarkStart w:id="150" w:name="_Hlk22206104"/>
            <w:r w:rsidRPr="00413272">
              <w:rPr>
                <w:rFonts w:ascii="Arial" w:hAnsi="Arial" w:cs="Arial"/>
                <w:b/>
                <w:sz w:val="24"/>
                <w:szCs w:val="24"/>
              </w:rPr>
              <w:t>PU Code</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A20B626" w14:textId="77777777" w:rsidR="00AF2E9A" w:rsidRPr="00413272" w:rsidRDefault="00AF2E9A">
            <w:pPr>
              <w:spacing w:before="120" w:after="120"/>
              <w:rPr>
                <w:rFonts w:ascii="Arial" w:hAnsi="Arial" w:cs="Arial"/>
                <w:b/>
                <w:sz w:val="24"/>
                <w:szCs w:val="24"/>
              </w:rPr>
            </w:pPr>
            <w:r w:rsidRPr="00413272">
              <w:rPr>
                <w:rFonts w:ascii="Arial" w:hAnsi="Arial" w:cs="Arial"/>
                <w:b/>
                <w:sz w:val="24"/>
                <w:szCs w:val="24"/>
              </w:rPr>
              <w:t>PU Description</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14:paraId="63F8AC90" w14:textId="77777777" w:rsidR="00AF2E9A" w:rsidRPr="00413272" w:rsidRDefault="00AF2E9A">
            <w:pPr>
              <w:spacing w:before="120" w:after="120"/>
              <w:rPr>
                <w:rFonts w:ascii="Arial" w:hAnsi="Arial" w:cs="Arial"/>
                <w:b/>
                <w:sz w:val="24"/>
                <w:szCs w:val="24"/>
              </w:rPr>
            </w:pPr>
            <w:r w:rsidRPr="00413272">
              <w:rPr>
                <w:rFonts w:ascii="Arial" w:hAnsi="Arial" w:cs="Arial"/>
                <w:b/>
                <w:sz w:val="24"/>
                <w:szCs w:val="24"/>
              </w:rPr>
              <w:t>PU Definition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6010B92" w14:textId="77777777" w:rsidR="00AF2E9A" w:rsidRPr="00413272" w:rsidRDefault="00AF2E9A">
            <w:pPr>
              <w:spacing w:before="120" w:after="120"/>
              <w:rPr>
                <w:rFonts w:ascii="Arial" w:hAnsi="Arial" w:cs="Arial"/>
                <w:b/>
                <w:sz w:val="24"/>
                <w:szCs w:val="24"/>
              </w:rPr>
            </w:pPr>
            <w:r w:rsidRPr="00413272">
              <w:rPr>
                <w:rFonts w:ascii="Arial" w:hAnsi="Arial" w:cs="Arial"/>
                <w:b/>
                <w:sz w:val="24"/>
                <w:szCs w:val="24"/>
              </w:rPr>
              <w:t>PU Unit of Measure</w:t>
            </w:r>
          </w:p>
        </w:tc>
      </w:tr>
      <w:tr w:rsidR="00AF2E9A" w:rsidRPr="00986409" w14:paraId="17CD4919" w14:textId="77777777" w:rsidTr="00942ED5">
        <w:trPr>
          <w:trHeight w:val="350"/>
        </w:trPr>
        <w:tc>
          <w:tcPr>
            <w:tcW w:w="1305" w:type="dxa"/>
            <w:tcBorders>
              <w:top w:val="single" w:sz="4" w:space="0" w:color="auto"/>
              <w:left w:val="single" w:sz="4" w:space="0" w:color="auto"/>
              <w:bottom w:val="single" w:sz="4" w:space="0" w:color="auto"/>
              <w:right w:val="single" w:sz="4" w:space="0" w:color="auto"/>
            </w:tcBorders>
          </w:tcPr>
          <w:p w14:paraId="1E30ABBC" w14:textId="77777777" w:rsidR="00AF2E9A" w:rsidRPr="00471CF0" w:rsidRDefault="00AF2E9A">
            <w:pPr>
              <w:ind w:left="284" w:hanging="284"/>
              <w:rPr>
                <w:rFonts w:ascii="Arial" w:hAnsi="Arial" w:cs="Arial"/>
              </w:rPr>
            </w:pPr>
            <w:r w:rsidRPr="00471CF0">
              <w:rPr>
                <w:rFonts w:ascii="Arial" w:hAnsi="Arial" w:cs="Arial"/>
              </w:rPr>
              <w:t>HOP1009</w:t>
            </w:r>
          </w:p>
        </w:tc>
        <w:tc>
          <w:tcPr>
            <w:tcW w:w="1985" w:type="dxa"/>
            <w:tcBorders>
              <w:top w:val="single" w:sz="4" w:space="0" w:color="auto"/>
              <w:left w:val="single" w:sz="4" w:space="0" w:color="auto"/>
              <w:bottom w:val="single" w:sz="4" w:space="0" w:color="auto"/>
              <w:right w:val="single" w:sz="4" w:space="0" w:color="auto"/>
            </w:tcBorders>
          </w:tcPr>
          <w:p w14:paraId="4C3900CC" w14:textId="77777777" w:rsidR="00AF2E9A" w:rsidRPr="00471CF0" w:rsidRDefault="00AF2E9A" w:rsidP="005D6437">
            <w:pPr>
              <w:spacing w:after="120"/>
              <w:ind w:firstLine="34"/>
              <w:rPr>
                <w:rFonts w:ascii="Arial" w:hAnsi="Arial" w:cs="Arial"/>
              </w:rPr>
            </w:pPr>
            <w:r w:rsidRPr="00471CF0">
              <w:rPr>
                <w:rFonts w:ascii="Arial" w:hAnsi="Arial" w:cs="Arial"/>
              </w:rPr>
              <w:t>Household Support Services for People with Age Related Disability</w:t>
            </w:r>
          </w:p>
        </w:tc>
        <w:tc>
          <w:tcPr>
            <w:tcW w:w="4961" w:type="dxa"/>
            <w:tcBorders>
              <w:top w:val="single" w:sz="4" w:space="0" w:color="auto"/>
              <w:left w:val="single" w:sz="4" w:space="0" w:color="auto"/>
              <w:bottom w:val="single" w:sz="4" w:space="0" w:color="auto"/>
              <w:right w:val="single" w:sz="4" w:space="0" w:color="auto"/>
            </w:tcBorders>
          </w:tcPr>
          <w:p w14:paraId="41E06B9D" w14:textId="4EC5358A" w:rsidR="00AF2E9A" w:rsidRPr="00471CF0" w:rsidRDefault="00083E29" w:rsidP="005D6437">
            <w:pPr>
              <w:spacing w:after="120"/>
              <w:rPr>
                <w:rFonts w:ascii="Arial" w:hAnsi="Arial" w:cs="Arial"/>
              </w:rPr>
            </w:pPr>
            <w:r w:rsidRPr="00471CF0">
              <w:rPr>
                <w:rFonts w:ascii="Arial" w:hAnsi="Arial" w:cs="Arial"/>
              </w:rPr>
              <w:t xml:space="preserve">The service </w:t>
            </w:r>
            <w:proofErr w:type="gramStart"/>
            <w:r w:rsidRPr="00471CF0">
              <w:rPr>
                <w:rFonts w:ascii="Arial" w:hAnsi="Arial" w:cs="Arial"/>
              </w:rPr>
              <w:t>provides assistance</w:t>
            </w:r>
            <w:proofErr w:type="gramEnd"/>
            <w:r w:rsidRPr="00471CF0">
              <w:rPr>
                <w:rFonts w:ascii="Arial" w:hAnsi="Arial" w:cs="Arial"/>
              </w:rPr>
              <w:t xml:space="preserve"> with tasks normally performed in and around the home to enable eligible people with age related disability to remain in or to return to their own home / private accommodation in the community</w:t>
            </w:r>
            <w:r w:rsidR="00664EA6" w:rsidRPr="00471CF0">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598D2B91" w14:textId="77777777" w:rsidR="00AF2E9A" w:rsidRPr="00471CF0" w:rsidRDefault="00AF2E9A" w:rsidP="005D6437">
            <w:pPr>
              <w:spacing w:after="120"/>
              <w:rPr>
                <w:rFonts w:ascii="Arial" w:hAnsi="Arial" w:cs="Arial"/>
              </w:rPr>
            </w:pPr>
            <w:r w:rsidRPr="00471CF0">
              <w:rPr>
                <w:rFonts w:ascii="Arial" w:hAnsi="Arial" w:cs="Arial"/>
              </w:rPr>
              <w:t xml:space="preserve">Hour </w:t>
            </w:r>
          </w:p>
        </w:tc>
      </w:tr>
      <w:tr w:rsidR="00DB4146" w:rsidRPr="00986409" w14:paraId="12ECDB57" w14:textId="77777777" w:rsidTr="00942ED5">
        <w:trPr>
          <w:trHeight w:val="350"/>
        </w:trPr>
        <w:tc>
          <w:tcPr>
            <w:tcW w:w="1305" w:type="dxa"/>
            <w:tcBorders>
              <w:top w:val="single" w:sz="4" w:space="0" w:color="auto"/>
              <w:left w:val="single" w:sz="4" w:space="0" w:color="auto"/>
              <w:bottom w:val="single" w:sz="4" w:space="0" w:color="auto"/>
              <w:right w:val="single" w:sz="4" w:space="0" w:color="auto"/>
            </w:tcBorders>
          </w:tcPr>
          <w:p w14:paraId="3979FB61" w14:textId="77777777" w:rsidR="00DB4146" w:rsidRPr="00471CF0" w:rsidRDefault="00DB4146">
            <w:pPr>
              <w:ind w:left="284" w:hanging="284"/>
              <w:rPr>
                <w:rFonts w:ascii="Arial" w:hAnsi="Arial" w:cs="Arial"/>
              </w:rPr>
            </w:pPr>
            <w:r w:rsidRPr="00471CF0">
              <w:rPr>
                <w:rFonts w:ascii="Arial" w:hAnsi="Arial" w:cs="Arial"/>
              </w:rPr>
              <w:t>HOP1010</w:t>
            </w:r>
          </w:p>
        </w:tc>
        <w:tc>
          <w:tcPr>
            <w:tcW w:w="1985" w:type="dxa"/>
            <w:tcBorders>
              <w:top w:val="single" w:sz="4" w:space="0" w:color="auto"/>
              <w:left w:val="single" w:sz="4" w:space="0" w:color="auto"/>
              <w:bottom w:val="single" w:sz="4" w:space="0" w:color="auto"/>
              <w:right w:val="single" w:sz="4" w:space="0" w:color="auto"/>
            </w:tcBorders>
          </w:tcPr>
          <w:p w14:paraId="17AD9407" w14:textId="77777777" w:rsidR="00DB4146" w:rsidRPr="00471CF0" w:rsidRDefault="00DB4146" w:rsidP="005D6437">
            <w:pPr>
              <w:spacing w:after="120"/>
              <w:ind w:firstLine="34"/>
              <w:rPr>
                <w:rFonts w:ascii="Arial" w:hAnsi="Arial" w:cs="Arial"/>
              </w:rPr>
            </w:pPr>
            <w:r w:rsidRPr="00471CF0">
              <w:rPr>
                <w:rFonts w:ascii="Arial" w:hAnsi="Arial" w:cs="Arial"/>
              </w:rPr>
              <w:t>Personal Care Services for People with Age Related Disability</w:t>
            </w:r>
          </w:p>
        </w:tc>
        <w:tc>
          <w:tcPr>
            <w:tcW w:w="4961" w:type="dxa"/>
            <w:tcBorders>
              <w:top w:val="single" w:sz="4" w:space="0" w:color="auto"/>
              <w:left w:val="single" w:sz="4" w:space="0" w:color="auto"/>
              <w:bottom w:val="single" w:sz="4" w:space="0" w:color="auto"/>
              <w:right w:val="single" w:sz="4" w:space="0" w:color="auto"/>
            </w:tcBorders>
          </w:tcPr>
          <w:p w14:paraId="79149792" w14:textId="4DD9CFC5" w:rsidR="00DB4146" w:rsidRPr="00471CF0" w:rsidRDefault="00664EA6" w:rsidP="005D6437">
            <w:pPr>
              <w:spacing w:after="120"/>
              <w:rPr>
                <w:rFonts w:ascii="Arial" w:hAnsi="Arial" w:cs="Arial"/>
              </w:rPr>
            </w:pPr>
            <w:proofErr w:type="gramStart"/>
            <w:r w:rsidRPr="00471CF0">
              <w:rPr>
                <w:rFonts w:ascii="Arial" w:hAnsi="Arial" w:cs="Arial"/>
              </w:rPr>
              <w:t>Provides assistance</w:t>
            </w:r>
            <w:proofErr w:type="gramEnd"/>
            <w:r w:rsidRPr="00471CF0">
              <w:rPr>
                <w:rFonts w:ascii="Arial" w:hAnsi="Arial" w:cs="Arial"/>
              </w:rPr>
              <w:t xml:space="preserve"> with personal hygiene and the range of tasks required to support daily living to enable eligible people with age related disability to remain in or return to their own home / private accommodation in the community</w:t>
            </w:r>
            <w:r w:rsidR="00DB4146" w:rsidRPr="00471CF0">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Pr>
          <w:p w14:paraId="2607C3BC" w14:textId="77777777" w:rsidR="00DB4146" w:rsidRPr="00471CF0" w:rsidRDefault="00DB4146" w:rsidP="005D6437">
            <w:pPr>
              <w:spacing w:after="120"/>
              <w:rPr>
                <w:rFonts w:ascii="Arial" w:hAnsi="Arial" w:cs="Arial"/>
              </w:rPr>
            </w:pPr>
            <w:r w:rsidRPr="00471CF0">
              <w:rPr>
                <w:rFonts w:ascii="Arial" w:hAnsi="Arial" w:cs="Arial"/>
              </w:rPr>
              <w:t xml:space="preserve">Hour </w:t>
            </w:r>
          </w:p>
        </w:tc>
      </w:tr>
      <w:bookmarkEnd w:id="150"/>
    </w:tbl>
    <w:p w14:paraId="23A75C7E" w14:textId="77777777" w:rsidR="0081360F" w:rsidRDefault="0081360F" w:rsidP="006E1945">
      <w:pPr>
        <w:pStyle w:val="ListParagraph"/>
        <w:shd w:val="clear" w:color="auto" w:fill="FFFFFF" w:themeFill="background1"/>
        <w:spacing w:before="120" w:after="120"/>
        <w:ind w:left="0"/>
        <w:contextualSpacing w:val="0"/>
        <w:rPr>
          <w:rFonts w:ascii="Arial" w:hAnsi="Arial" w:cs="Arial"/>
          <w:sz w:val="24"/>
          <w:szCs w:val="24"/>
        </w:rPr>
      </w:pPr>
    </w:p>
    <w:tbl>
      <w:tblPr>
        <w:tblStyle w:val="TableGrid1"/>
        <w:tblW w:w="9781" w:type="dxa"/>
        <w:tblInd w:w="-34" w:type="dxa"/>
        <w:tblLayout w:type="fixed"/>
        <w:tblLook w:val="04A0" w:firstRow="1" w:lastRow="0" w:firstColumn="1" w:lastColumn="0" w:noHBand="0" w:noVBand="1"/>
      </w:tblPr>
      <w:tblGrid>
        <w:gridCol w:w="1985"/>
        <w:gridCol w:w="7796"/>
      </w:tblGrid>
      <w:tr w:rsidR="0081360F" w:rsidRPr="005A6E3C" w14:paraId="3F79BC6B" w14:textId="77777777" w:rsidTr="0081360F">
        <w:trPr>
          <w:trHeight w:val="343"/>
        </w:trPr>
        <w:tc>
          <w:tcPr>
            <w:tcW w:w="1985" w:type="dxa"/>
            <w:shd w:val="pct12" w:color="auto" w:fill="auto"/>
          </w:tcPr>
          <w:p w14:paraId="669416FA" w14:textId="77777777" w:rsidR="0081360F" w:rsidRPr="005A6E3C" w:rsidRDefault="0081360F" w:rsidP="0081360F">
            <w:pPr>
              <w:spacing w:before="120" w:after="120"/>
              <w:rPr>
                <w:rFonts w:cs="Arial"/>
                <w:b/>
                <w:sz w:val="22"/>
              </w:rPr>
            </w:pPr>
            <w:r w:rsidRPr="005A6E3C">
              <w:rPr>
                <w:rFonts w:cs="Arial"/>
                <w:b/>
                <w:sz w:val="22"/>
              </w:rPr>
              <w:lastRenderedPageBreak/>
              <w:t xml:space="preserve">Unit of </w:t>
            </w:r>
            <w:r>
              <w:rPr>
                <w:rFonts w:cs="Arial"/>
                <w:b/>
                <w:sz w:val="22"/>
              </w:rPr>
              <w:t>M</w:t>
            </w:r>
            <w:r w:rsidRPr="005A6E3C">
              <w:rPr>
                <w:rFonts w:cs="Arial"/>
                <w:b/>
                <w:sz w:val="22"/>
              </w:rPr>
              <w:t>easure</w:t>
            </w:r>
          </w:p>
        </w:tc>
        <w:tc>
          <w:tcPr>
            <w:tcW w:w="7796" w:type="dxa"/>
            <w:shd w:val="pct12" w:color="auto" w:fill="auto"/>
          </w:tcPr>
          <w:p w14:paraId="5A42606B" w14:textId="77777777" w:rsidR="0081360F" w:rsidRPr="005A6E3C" w:rsidRDefault="0081360F" w:rsidP="0081360F">
            <w:pPr>
              <w:spacing w:before="120" w:after="120"/>
              <w:rPr>
                <w:rFonts w:cs="Arial"/>
                <w:b/>
                <w:sz w:val="22"/>
              </w:rPr>
            </w:pPr>
            <w:r w:rsidRPr="005A6E3C">
              <w:rPr>
                <w:rFonts w:cs="Arial"/>
                <w:b/>
                <w:sz w:val="22"/>
              </w:rPr>
              <w:t xml:space="preserve">Unit of </w:t>
            </w:r>
            <w:r>
              <w:rPr>
                <w:rFonts w:cs="Arial"/>
                <w:b/>
                <w:sz w:val="22"/>
              </w:rPr>
              <w:t>M</w:t>
            </w:r>
            <w:r w:rsidRPr="005A6E3C">
              <w:rPr>
                <w:rFonts w:cs="Arial"/>
                <w:b/>
                <w:sz w:val="22"/>
              </w:rPr>
              <w:t xml:space="preserve">easure </w:t>
            </w:r>
            <w:r>
              <w:rPr>
                <w:rFonts w:cs="Arial"/>
                <w:b/>
                <w:sz w:val="22"/>
              </w:rPr>
              <w:t>D</w:t>
            </w:r>
            <w:r w:rsidRPr="005A6E3C">
              <w:rPr>
                <w:rFonts w:cs="Arial"/>
                <w:b/>
                <w:sz w:val="22"/>
              </w:rPr>
              <w:t>efinitions</w:t>
            </w:r>
          </w:p>
        </w:tc>
      </w:tr>
      <w:tr w:rsidR="0081360F" w:rsidRPr="005A6E3C" w14:paraId="22A3E820" w14:textId="77777777" w:rsidTr="0081360F">
        <w:trPr>
          <w:trHeight w:val="423"/>
        </w:trPr>
        <w:tc>
          <w:tcPr>
            <w:tcW w:w="1985" w:type="dxa"/>
          </w:tcPr>
          <w:p w14:paraId="3C3E1CA7" w14:textId="77777777" w:rsidR="0081360F" w:rsidRPr="005A6E3C" w:rsidRDefault="0081360F" w:rsidP="0081360F">
            <w:pPr>
              <w:spacing w:before="120" w:after="120"/>
              <w:rPr>
                <w:rFonts w:cs="Arial"/>
                <w:sz w:val="22"/>
              </w:rPr>
            </w:pPr>
            <w:r>
              <w:rPr>
                <w:rFonts w:cs="Arial"/>
                <w:sz w:val="22"/>
              </w:rPr>
              <w:t xml:space="preserve">Hour </w:t>
            </w:r>
          </w:p>
        </w:tc>
        <w:tc>
          <w:tcPr>
            <w:tcW w:w="7796" w:type="dxa"/>
          </w:tcPr>
          <w:p w14:paraId="35DE0CF5" w14:textId="77777777" w:rsidR="0081360F" w:rsidRPr="005A6E3C" w:rsidRDefault="0081360F" w:rsidP="0081360F">
            <w:pPr>
              <w:spacing w:before="120" w:after="120"/>
              <w:rPr>
                <w:rFonts w:cs="Arial"/>
                <w:sz w:val="22"/>
              </w:rPr>
            </w:pPr>
            <w:r w:rsidRPr="005A6E3C">
              <w:rPr>
                <w:rFonts w:cs="Arial"/>
                <w:sz w:val="22"/>
              </w:rPr>
              <w:t xml:space="preserve">Number of </w:t>
            </w:r>
            <w:r>
              <w:rPr>
                <w:rFonts w:cs="Arial"/>
                <w:sz w:val="22"/>
              </w:rPr>
              <w:t>hours</w:t>
            </w:r>
            <w:r w:rsidR="002B76BB">
              <w:rPr>
                <w:rFonts w:cs="Arial"/>
                <w:sz w:val="22"/>
              </w:rPr>
              <w:t xml:space="preserve"> provided.</w:t>
            </w:r>
          </w:p>
        </w:tc>
      </w:tr>
    </w:tbl>
    <w:p w14:paraId="5838EB5B" w14:textId="305C5334" w:rsidR="00185781" w:rsidRPr="00413272" w:rsidRDefault="00557DE1" w:rsidP="006E1945">
      <w:pPr>
        <w:pStyle w:val="ListParagraph"/>
        <w:shd w:val="clear" w:color="auto" w:fill="FFFFFF" w:themeFill="background1"/>
        <w:spacing w:before="120" w:after="120"/>
        <w:ind w:left="0"/>
        <w:contextualSpacing w:val="0"/>
        <w:rPr>
          <w:rFonts w:ascii="Arial" w:hAnsi="Arial" w:cs="Arial"/>
          <w:sz w:val="24"/>
          <w:szCs w:val="24"/>
        </w:rPr>
      </w:pPr>
      <w:r>
        <w:rPr>
          <w:rFonts w:ascii="Arial" w:hAnsi="Arial" w:cs="Arial"/>
          <w:sz w:val="24"/>
          <w:szCs w:val="24"/>
        </w:rPr>
        <w:t xml:space="preserve">NOTE: </w:t>
      </w:r>
      <w:r w:rsidR="00D21FFA" w:rsidRPr="00413272">
        <w:rPr>
          <w:rFonts w:ascii="Arial" w:hAnsi="Arial" w:cs="Arial"/>
          <w:sz w:val="24"/>
          <w:szCs w:val="24"/>
        </w:rPr>
        <w:t xml:space="preserve">The above </w:t>
      </w:r>
      <w:r w:rsidR="00E350EB" w:rsidRPr="00413272">
        <w:rPr>
          <w:rFonts w:ascii="Arial" w:hAnsi="Arial" w:cs="Arial"/>
          <w:sz w:val="24"/>
          <w:szCs w:val="24"/>
        </w:rPr>
        <w:t>P</w:t>
      </w:r>
      <w:r w:rsidR="005D0C02" w:rsidRPr="00413272">
        <w:rPr>
          <w:rFonts w:ascii="Arial" w:hAnsi="Arial" w:cs="Arial"/>
          <w:sz w:val="24"/>
          <w:szCs w:val="24"/>
        </w:rPr>
        <w:t>U</w:t>
      </w:r>
      <w:r w:rsidR="00E350EB" w:rsidRPr="00413272">
        <w:rPr>
          <w:rFonts w:ascii="Arial" w:hAnsi="Arial" w:cs="Arial"/>
          <w:sz w:val="24"/>
          <w:szCs w:val="24"/>
        </w:rPr>
        <w:t>s</w:t>
      </w:r>
      <w:r w:rsidR="00172138" w:rsidRPr="00413272">
        <w:rPr>
          <w:rFonts w:ascii="Arial" w:hAnsi="Arial" w:cs="Arial"/>
          <w:sz w:val="24"/>
          <w:szCs w:val="24"/>
        </w:rPr>
        <w:t xml:space="preserve"> </w:t>
      </w:r>
      <w:r w:rsidR="00D21FFA" w:rsidRPr="00413272">
        <w:rPr>
          <w:rFonts w:ascii="Arial" w:hAnsi="Arial" w:cs="Arial"/>
          <w:sz w:val="24"/>
          <w:szCs w:val="24"/>
        </w:rPr>
        <w:t xml:space="preserve">will be replaced by a new PU code(s) when all DHBs have transitioned to the </w:t>
      </w:r>
      <w:r w:rsidR="00E350EB" w:rsidRPr="00413272">
        <w:rPr>
          <w:rFonts w:ascii="Arial" w:hAnsi="Arial" w:cs="Arial"/>
          <w:sz w:val="24"/>
          <w:szCs w:val="24"/>
        </w:rPr>
        <w:t>c</w:t>
      </w:r>
      <w:r w:rsidR="00D21FFA" w:rsidRPr="00413272">
        <w:rPr>
          <w:rFonts w:ascii="Arial" w:hAnsi="Arial" w:cs="Arial"/>
          <w:sz w:val="24"/>
          <w:szCs w:val="24"/>
        </w:rPr>
        <w:t xml:space="preserve">asemix funded HCSS model described in Appendix One. This </w:t>
      </w:r>
      <w:r w:rsidR="005D6437">
        <w:rPr>
          <w:rFonts w:ascii="Arial" w:hAnsi="Arial" w:cs="Arial"/>
          <w:sz w:val="24"/>
          <w:szCs w:val="24"/>
        </w:rPr>
        <w:t xml:space="preserve">casemix </w:t>
      </w:r>
      <w:r w:rsidR="00D21FFA" w:rsidRPr="00413272">
        <w:rPr>
          <w:rFonts w:ascii="Arial" w:hAnsi="Arial" w:cs="Arial"/>
          <w:sz w:val="24"/>
          <w:szCs w:val="24"/>
        </w:rPr>
        <w:t xml:space="preserve">model does not require that services be purchased in hourly units of measure. </w:t>
      </w:r>
      <w:r w:rsidR="007268CF" w:rsidRPr="00413272">
        <w:rPr>
          <w:rFonts w:ascii="Arial" w:hAnsi="Arial" w:cs="Arial"/>
          <w:sz w:val="24"/>
          <w:szCs w:val="24"/>
        </w:rPr>
        <w:t xml:space="preserve"> </w:t>
      </w:r>
    </w:p>
    <w:p w14:paraId="1AA9DF0C" w14:textId="77777777" w:rsidR="00A33BE1" w:rsidRPr="006E1945" w:rsidRDefault="00F10711" w:rsidP="00471CF0">
      <w:pPr>
        <w:pStyle w:val="Heading1"/>
      </w:pPr>
      <w:bookmarkStart w:id="151" w:name="_Toc19519201"/>
      <w:bookmarkStart w:id="152" w:name="_Toc19524570"/>
      <w:bookmarkStart w:id="153" w:name="_Toc43122867"/>
      <w:r w:rsidRPr="006E1945">
        <w:t>1</w:t>
      </w:r>
      <w:r w:rsidR="00DE1461" w:rsidRPr="006E1945">
        <w:t>1</w:t>
      </w:r>
      <w:r w:rsidRPr="006E1945">
        <w:tab/>
      </w:r>
      <w:r w:rsidR="00A33BE1" w:rsidRPr="006E1945">
        <w:t xml:space="preserve">Reporting </w:t>
      </w:r>
      <w:r w:rsidR="00C50758" w:rsidRPr="006E1945">
        <w:t>and Monitoring</w:t>
      </w:r>
      <w:bookmarkEnd w:id="151"/>
      <w:bookmarkEnd w:id="152"/>
      <w:bookmarkEnd w:id="153"/>
    </w:p>
    <w:p w14:paraId="01DE92CD" w14:textId="77777777" w:rsidR="00D21FFA" w:rsidRPr="006E1945" w:rsidRDefault="002F0146" w:rsidP="006E1945">
      <w:pPr>
        <w:pStyle w:val="Heading2"/>
        <w:spacing w:after="120"/>
        <w:rPr>
          <w:rFonts w:ascii="Arial" w:hAnsi="Arial" w:cs="Arial"/>
          <w:b w:val="0"/>
          <w:sz w:val="24"/>
          <w:lang w:eastAsia="en-NZ"/>
        </w:rPr>
      </w:pPr>
      <w:bookmarkStart w:id="154" w:name="_Toc43122868"/>
      <w:r w:rsidRPr="006E1945">
        <w:rPr>
          <w:rFonts w:ascii="Arial" w:hAnsi="Arial" w:cs="Arial"/>
          <w:sz w:val="24"/>
          <w:lang w:eastAsia="en-NZ"/>
        </w:rPr>
        <w:t xml:space="preserve">11.1 </w:t>
      </w:r>
      <w:r>
        <w:rPr>
          <w:rFonts w:ascii="Arial" w:hAnsi="Arial" w:cs="Arial"/>
          <w:sz w:val="24"/>
          <w:lang w:eastAsia="en-NZ"/>
        </w:rPr>
        <w:tab/>
      </w:r>
      <w:r w:rsidR="00D21FFA" w:rsidRPr="006E1945">
        <w:rPr>
          <w:rFonts w:ascii="Arial" w:hAnsi="Arial" w:cs="Arial"/>
          <w:sz w:val="24"/>
          <w:lang w:eastAsia="en-NZ"/>
        </w:rPr>
        <w:t>Reporting to the Ministry of Health</w:t>
      </w:r>
      <w:bookmarkEnd w:id="154"/>
      <w:r w:rsidR="00D21FFA" w:rsidRPr="006E1945">
        <w:rPr>
          <w:rFonts w:ascii="Arial" w:hAnsi="Arial" w:cs="Arial"/>
          <w:sz w:val="24"/>
          <w:lang w:eastAsia="en-NZ"/>
        </w:rPr>
        <w:t xml:space="preserve"> </w:t>
      </w:r>
    </w:p>
    <w:p w14:paraId="52B261DE" w14:textId="77777777" w:rsidR="00D21FFA" w:rsidRPr="00C2287C" w:rsidRDefault="00D21FFA" w:rsidP="006E1945">
      <w:pPr>
        <w:shd w:val="clear" w:color="auto" w:fill="FFFFFF" w:themeFill="background1"/>
        <w:spacing w:after="120"/>
        <w:rPr>
          <w:rFonts w:ascii="Arial" w:hAnsi="Arial" w:cs="Arial"/>
          <w:sz w:val="24"/>
          <w:szCs w:val="24"/>
          <w:lang w:eastAsia="en-NZ"/>
        </w:rPr>
      </w:pPr>
      <w:r w:rsidRPr="006E1945">
        <w:rPr>
          <w:rFonts w:ascii="Arial" w:hAnsi="Arial" w:cs="Arial"/>
          <w:sz w:val="24"/>
          <w:szCs w:val="24"/>
          <w:shd w:val="clear" w:color="auto" w:fill="FFFFFF" w:themeFill="background1"/>
          <w:lang w:eastAsia="en-NZ"/>
        </w:rPr>
        <w:t xml:space="preserve">The Provider is required to report </w:t>
      </w:r>
      <w:r w:rsidR="00E350EB" w:rsidRPr="006E1945">
        <w:rPr>
          <w:rFonts w:ascii="Arial" w:hAnsi="Arial" w:cs="Arial"/>
          <w:sz w:val="24"/>
          <w:szCs w:val="24"/>
          <w:shd w:val="clear" w:color="auto" w:fill="FFFFFF" w:themeFill="background1"/>
          <w:lang w:eastAsia="en-NZ"/>
        </w:rPr>
        <w:t xml:space="preserve">detail about workforce for pay equity and paid family carers </w:t>
      </w:r>
      <w:r w:rsidRPr="006E1945">
        <w:rPr>
          <w:rFonts w:ascii="Arial" w:hAnsi="Arial" w:cs="Arial"/>
          <w:sz w:val="24"/>
          <w:szCs w:val="24"/>
          <w:shd w:val="clear" w:color="auto" w:fill="FFFFFF" w:themeFill="background1"/>
          <w:lang w:eastAsia="en-NZ"/>
        </w:rPr>
        <w:t xml:space="preserve">to the Ministry of Health </w:t>
      </w:r>
      <w:r w:rsidR="00DF5236" w:rsidRPr="006E1945">
        <w:rPr>
          <w:rFonts w:ascii="Arial" w:hAnsi="Arial" w:cs="Arial"/>
          <w:sz w:val="24"/>
          <w:szCs w:val="24"/>
          <w:shd w:val="clear" w:color="auto" w:fill="FFFFFF" w:themeFill="background1"/>
          <w:lang w:eastAsia="en-NZ"/>
        </w:rPr>
        <w:t>until July 2022</w:t>
      </w:r>
      <w:r w:rsidR="00E350EB" w:rsidRPr="006E1945">
        <w:rPr>
          <w:rFonts w:ascii="Arial" w:hAnsi="Arial" w:cs="Arial"/>
          <w:sz w:val="24"/>
          <w:szCs w:val="24"/>
          <w:shd w:val="clear" w:color="auto" w:fill="FFFFFF" w:themeFill="background1"/>
          <w:lang w:eastAsia="en-NZ"/>
        </w:rPr>
        <w:t>.</w:t>
      </w:r>
      <w:r w:rsidR="00DD1E2F" w:rsidRPr="006E1945">
        <w:rPr>
          <w:rFonts w:ascii="Arial" w:hAnsi="Arial" w:cs="Arial"/>
          <w:sz w:val="24"/>
          <w:szCs w:val="24"/>
          <w:shd w:val="clear" w:color="auto" w:fill="FFFFFF" w:themeFill="background1"/>
          <w:lang w:eastAsia="en-NZ"/>
        </w:rPr>
        <w:t xml:space="preserve"> </w:t>
      </w:r>
    </w:p>
    <w:p w14:paraId="20615F9D" w14:textId="77777777" w:rsidR="00D21FFA" w:rsidRPr="006E1945" w:rsidRDefault="002F0146" w:rsidP="006E1945">
      <w:pPr>
        <w:pStyle w:val="Heading2"/>
        <w:spacing w:after="120"/>
        <w:rPr>
          <w:rFonts w:ascii="Arial" w:hAnsi="Arial" w:cs="Arial"/>
          <w:b w:val="0"/>
          <w:sz w:val="24"/>
          <w:lang w:eastAsia="en-NZ"/>
        </w:rPr>
      </w:pPr>
      <w:bookmarkStart w:id="155" w:name="_Toc43122869"/>
      <w:r w:rsidRPr="006E1945">
        <w:rPr>
          <w:rFonts w:ascii="Arial" w:hAnsi="Arial" w:cs="Arial"/>
          <w:sz w:val="24"/>
          <w:lang w:eastAsia="en-NZ"/>
        </w:rPr>
        <w:t xml:space="preserve">11.2 </w:t>
      </w:r>
      <w:r>
        <w:rPr>
          <w:rFonts w:ascii="Arial" w:hAnsi="Arial" w:cs="Arial"/>
          <w:sz w:val="24"/>
          <w:lang w:eastAsia="en-NZ"/>
        </w:rPr>
        <w:tab/>
      </w:r>
      <w:r w:rsidR="00D21FFA" w:rsidRPr="006E1945">
        <w:rPr>
          <w:rFonts w:ascii="Arial" w:hAnsi="Arial" w:cs="Arial"/>
          <w:sz w:val="24"/>
          <w:lang w:eastAsia="en-NZ"/>
        </w:rPr>
        <w:t>Reporting to the DHB Funder</w:t>
      </w:r>
      <w:bookmarkEnd w:id="155"/>
    </w:p>
    <w:p w14:paraId="529DCBF9" w14:textId="77777777" w:rsidR="00D21FFA" w:rsidRPr="006E1945" w:rsidRDefault="00D21FFA">
      <w:pPr>
        <w:tabs>
          <w:tab w:val="left" w:pos="851"/>
        </w:tabs>
        <w:rPr>
          <w:rFonts w:ascii="Arial" w:hAnsi="Arial" w:cs="Arial"/>
          <w:sz w:val="24"/>
          <w:szCs w:val="24"/>
        </w:rPr>
      </w:pPr>
      <w:r w:rsidRPr="006E1945">
        <w:rPr>
          <w:rFonts w:ascii="Arial" w:hAnsi="Arial" w:cs="Arial"/>
          <w:sz w:val="24"/>
          <w:szCs w:val="24"/>
        </w:rPr>
        <w:t xml:space="preserve">All certification audit reports and associated progress reports will be provided to the DHB Funder as soon as finalised. </w:t>
      </w:r>
    </w:p>
    <w:p w14:paraId="0AA6E34E" w14:textId="3361D2C8" w:rsidR="00D21FFA" w:rsidRPr="006E1945" w:rsidRDefault="00D21FFA" w:rsidP="006E1945">
      <w:pPr>
        <w:rPr>
          <w:rFonts w:ascii="Arial" w:hAnsi="Arial" w:cs="Arial"/>
          <w:sz w:val="24"/>
          <w:szCs w:val="24"/>
          <w:lang w:eastAsia="en-NZ"/>
        </w:rPr>
      </w:pPr>
      <w:r w:rsidRPr="006E1945">
        <w:rPr>
          <w:rFonts w:ascii="Arial" w:hAnsi="Arial" w:cs="Arial"/>
          <w:sz w:val="24"/>
          <w:szCs w:val="24"/>
          <w:lang w:eastAsia="en-NZ"/>
        </w:rPr>
        <w:t xml:space="preserve">The Provider </w:t>
      </w:r>
      <w:r w:rsidR="00E350EB" w:rsidRPr="006E1945">
        <w:rPr>
          <w:rFonts w:ascii="Arial" w:hAnsi="Arial" w:cs="Arial"/>
          <w:sz w:val="24"/>
          <w:szCs w:val="24"/>
          <w:lang w:eastAsia="en-NZ"/>
        </w:rPr>
        <w:t xml:space="preserve">is </w:t>
      </w:r>
      <w:r w:rsidRPr="006E1945">
        <w:rPr>
          <w:rFonts w:ascii="Arial" w:hAnsi="Arial" w:cs="Arial"/>
          <w:sz w:val="24"/>
          <w:szCs w:val="24"/>
          <w:lang w:eastAsia="en-NZ"/>
        </w:rPr>
        <w:t>to complete monitoring, analysis and benchmarking activities working collaboratively with the DHB Funder to evaluate the service programme against whole of system measures</w:t>
      </w:r>
      <w:r w:rsidR="00B15535" w:rsidRPr="006E1945">
        <w:rPr>
          <w:rFonts w:ascii="Arial" w:hAnsi="Arial" w:cs="Arial"/>
          <w:sz w:val="24"/>
          <w:szCs w:val="24"/>
          <w:lang w:eastAsia="en-NZ"/>
        </w:rPr>
        <w:t xml:space="preserve"> as described in the National Framework for HCSS</w:t>
      </w:r>
      <w:r w:rsidRPr="006E1945">
        <w:rPr>
          <w:rFonts w:ascii="Arial" w:hAnsi="Arial" w:cs="Arial"/>
          <w:sz w:val="24"/>
          <w:szCs w:val="24"/>
          <w:lang w:eastAsia="en-NZ"/>
        </w:rPr>
        <w:t xml:space="preserve">. The detail of these arrangements will be agreed at a local level within the </w:t>
      </w:r>
      <w:r w:rsidR="00370125" w:rsidRPr="006E1945">
        <w:rPr>
          <w:rFonts w:ascii="Arial" w:hAnsi="Arial" w:cs="Arial"/>
          <w:sz w:val="24"/>
          <w:szCs w:val="24"/>
          <w:lang w:eastAsia="en-NZ"/>
        </w:rPr>
        <w:t>HCSS Integrated</w:t>
      </w:r>
      <w:r w:rsidR="003F2C81" w:rsidRPr="006E1945">
        <w:rPr>
          <w:rFonts w:ascii="Arial" w:hAnsi="Arial" w:cs="Arial"/>
          <w:sz w:val="24"/>
          <w:szCs w:val="24"/>
          <w:lang w:eastAsia="en-NZ"/>
        </w:rPr>
        <w:t xml:space="preserve"> Strat</w:t>
      </w:r>
      <w:r w:rsidR="00370125" w:rsidRPr="006E1945">
        <w:rPr>
          <w:rFonts w:ascii="Arial" w:hAnsi="Arial" w:cs="Arial"/>
          <w:sz w:val="24"/>
          <w:szCs w:val="24"/>
          <w:lang w:eastAsia="en-NZ"/>
        </w:rPr>
        <w:t>e</w:t>
      </w:r>
      <w:r w:rsidR="003F2C81" w:rsidRPr="006E1945">
        <w:rPr>
          <w:rFonts w:ascii="Arial" w:hAnsi="Arial" w:cs="Arial"/>
          <w:sz w:val="24"/>
          <w:szCs w:val="24"/>
          <w:lang w:eastAsia="en-NZ"/>
        </w:rPr>
        <w:t xml:space="preserve">gic Steering </w:t>
      </w:r>
      <w:r w:rsidRPr="006E1945">
        <w:rPr>
          <w:rFonts w:ascii="Arial" w:hAnsi="Arial" w:cs="Arial"/>
          <w:sz w:val="24"/>
          <w:szCs w:val="24"/>
          <w:lang w:eastAsia="en-NZ"/>
        </w:rPr>
        <w:t xml:space="preserve">Group. Guidance is provided in the </w:t>
      </w:r>
      <w:r w:rsidR="0032323D" w:rsidRPr="006E1945">
        <w:rPr>
          <w:rFonts w:ascii="Arial" w:hAnsi="Arial" w:cs="Arial"/>
          <w:sz w:val="24"/>
          <w:szCs w:val="24"/>
          <w:lang w:eastAsia="en-NZ"/>
        </w:rPr>
        <w:t xml:space="preserve">HCSS </w:t>
      </w:r>
      <w:r w:rsidR="00C37F02">
        <w:rPr>
          <w:rFonts w:ascii="Arial" w:hAnsi="Arial" w:cs="Arial"/>
          <w:sz w:val="24"/>
          <w:szCs w:val="24"/>
          <w:lang w:eastAsia="en-NZ"/>
        </w:rPr>
        <w:t>Operations</w:t>
      </w:r>
      <w:r w:rsidR="0032323D" w:rsidRPr="006E1945">
        <w:rPr>
          <w:rFonts w:ascii="Arial" w:hAnsi="Arial" w:cs="Arial"/>
          <w:sz w:val="24"/>
          <w:szCs w:val="24"/>
          <w:lang w:eastAsia="en-NZ"/>
        </w:rPr>
        <w:t xml:space="preserve"> Manual</w:t>
      </w:r>
      <w:r w:rsidRPr="006E1945">
        <w:rPr>
          <w:rFonts w:ascii="Arial" w:hAnsi="Arial" w:cs="Arial"/>
          <w:sz w:val="24"/>
          <w:szCs w:val="24"/>
          <w:lang w:eastAsia="en-NZ"/>
        </w:rPr>
        <w:t xml:space="preserve"> about the reporting required to support a continuous quality improvement approach.</w:t>
      </w:r>
    </w:p>
    <w:p w14:paraId="3F6AE4A1" w14:textId="045061F1" w:rsidR="00014EEF" w:rsidRDefault="00D21FFA" w:rsidP="006E1945">
      <w:pPr>
        <w:rPr>
          <w:rFonts w:ascii="Arial" w:hAnsi="Arial" w:cs="Arial"/>
          <w:sz w:val="24"/>
          <w:szCs w:val="24"/>
          <w:lang w:eastAsia="en-NZ"/>
        </w:rPr>
      </w:pPr>
      <w:r w:rsidRPr="006E1945">
        <w:rPr>
          <w:rFonts w:ascii="Arial" w:hAnsi="Arial" w:cs="Arial"/>
          <w:sz w:val="24"/>
          <w:szCs w:val="24"/>
          <w:lang w:eastAsia="en-NZ"/>
        </w:rPr>
        <w:t xml:space="preserve">The table below provides the </w:t>
      </w:r>
      <w:r w:rsidR="00660B6A" w:rsidRPr="006E1945">
        <w:rPr>
          <w:rFonts w:ascii="Arial" w:hAnsi="Arial" w:cs="Arial"/>
          <w:sz w:val="24"/>
          <w:szCs w:val="24"/>
          <w:lang w:eastAsia="en-NZ"/>
        </w:rPr>
        <w:t xml:space="preserve">reporting </w:t>
      </w:r>
      <w:r w:rsidRPr="006E1945">
        <w:rPr>
          <w:rFonts w:ascii="Arial" w:hAnsi="Arial" w:cs="Arial"/>
          <w:sz w:val="24"/>
          <w:szCs w:val="24"/>
          <w:lang w:eastAsia="en-NZ"/>
        </w:rPr>
        <w:t>required by DHB Funders to monitor and measure the performance of the service.  The Provider will provide the set of reporting information as requested by the DHB’s Contract Manager</w:t>
      </w:r>
      <w:r w:rsidR="000E2AF6" w:rsidRPr="006E1945">
        <w:rPr>
          <w:rFonts w:ascii="Arial" w:hAnsi="Arial" w:cs="Arial"/>
          <w:sz w:val="24"/>
          <w:szCs w:val="24"/>
          <w:lang w:eastAsia="en-NZ"/>
        </w:rPr>
        <w:t xml:space="preserve"> (</w:t>
      </w:r>
      <w:r w:rsidR="00033073">
        <w:rPr>
          <w:rFonts w:ascii="Arial" w:hAnsi="Arial" w:cs="Arial"/>
          <w:sz w:val="24"/>
          <w:szCs w:val="24"/>
          <w:lang w:eastAsia="en-NZ"/>
        </w:rPr>
        <w:t>a</w:t>
      </w:r>
      <w:r w:rsidR="003F2C81" w:rsidRPr="006E1945">
        <w:rPr>
          <w:rFonts w:ascii="Arial" w:hAnsi="Arial" w:cs="Arial"/>
          <w:sz w:val="24"/>
          <w:szCs w:val="24"/>
          <w:lang w:eastAsia="en-NZ"/>
        </w:rPr>
        <w:t xml:space="preserve"> reporting template and guidance is provided in the</w:t>
      </w:r>
      <w:r w:rsidR="000E2AF6" w:rsidRPr="006E1945">
        <w:rPr>
          <w:rFonts w:ascii="Arial" w:hAnsi="Arial" w:cs="Arial"/>
          <w:sz w:val="24"/>
          <w:szCs w:val="24"/>
          <w:lang w:eastAsia="en-NZ"/>
        </w:rPr>
        <w:t xml:space="preserve"> </w:t>
      </w:r>
      <w:r w:rsidR="0032323D" w:rsidRPr="006E1945">
        <w:rPr>
          <w:rFonts w:ascii="Arial" w:hAnsi="Arial" w:cs="Arial"/>
          <w:sz w:val="24"/>
          <w:szCs w:val="24"/>
          <w:lang w:eastAsia="en-NZ"/>
        </w:rPr>
        <w:t xml:space="preserve">HCSS </w:t>
      </w:r>
      <w:r w:rsidR="00C37F02">
        <w:rPr>
          <w:rFonts w:ascii="Arial" w:hAnsi="Arial" w:cs="Arial"/>
          <w:sz w:val="24"/>
          <w:szCs w:val="24"/>
          <w:lang w:eastAsia="en-NZ"/>
        </w:rPr>
        <w:t>Operations</w:t>
      </w:r>
      <w:r w:rsidR="0032323D" w:rsidRPr="006E1945">
        <w:rPr>
          <w:rFonts w:ascii="Arial" w:hAnsi="Arial" w:cs="Arial"/>
          <w:sz w:val="24"/>
          <w:szCs w:val="24"/>
          <w:lang w:eastAsia="en-NZ"/>
        </w:rPr>
        <w:t xml:space="preserve"> Manual</w:t>
      </w:r>
      <w:r w:rsidR="00033073">
        <w:rPr>
          <w:rFonts w:ascii="Arial" w:hAnsi="Arial" w:cs="Arial"/>
          <w:sz w:val="24"/>
          <w:szCs w:val="24"/>
          <w:lang w:eastAsia="en-NZ"/>
        </w:rPr>
        <w:t>).</w:t>
      </w:r>
    </w:p>
    <w:p w14:paraId="7C480C4B" w14:textId="73D6832A" w:rsidR="00557DE1" w:rsidRPr="00902A66" w:rsidRDefault="00557DE1" w:rsidP="00902A66">
      <w:pPr>
        <w:pStyle w:val="Heading4"/>
        <w:rPr>
          <w:rFonts w:ascii="Arial" w:hAnsi="Arial" w:cs="Arial"/>
          <w:b/>
          <w:color w:val="auto"/>
          <w:sz w:val="24"/>
          <w:szCs w:val="24"/>
          <w:lang w:val="en-US"/>
        </w:rPr>
      </w:pPr>
      <w:r w:rsidRPr="00902A66">
        <w:rPr>
          <w:rFonts w:ascii="Arial" w:hAnsi="Arial" w:cs="Arial"/>
          <w:b/>
          <w:color w:val="auto"/>
          <w:sz w:val="24"/>
          <w:szCs w:val="24"/>
          <w:lang w:val="en-US"/>
        </w:rPr>
        <w:t xml:space="preserve">Outcomes </w:t>
      </w:r>
      <w:r w:rsidR="00902A66" w:rsidRPr="00902A66">
        <w:rPr>
          <w:rFonts w:ascii="Arial" w:hAnsi="Arial" w:cs="Arial"/>
          <w:b/>
          <w:color w:val="auto"/>
          <w:sz w:val="24"/>
          <w:szCs w:val="24"/>
          <w:lang w:val="en-US"/>
        </w:rPr>
        <w:t>i</w:t>
      </w:r>
      <w:r w:rsidRPr="00902A66">
        <w:rPr>
          <w:rFonts w:ascii="Arial" w:hAnsi="Arial" w:cs="Arial"/>
          <w:b/>
          <w:color w:val="auto"/>
          <w:sz w:val="24"/>
          <w:szCs w:val="24"/>
          <w:lang w:val="en-US"/>
        </w:rPr>
        <w:t>ndicator definitions</w:t>
      </w:r>
      <w:r w:rsidR="006429D8" w:rsidRPr="00902A66">
        <w:rPr>
          <w:rFonts w:ascii="Arial" w:hAnsi="Arial" w:cs="Arial"/>
          <w:b/>
          <w:color w:val="auto"/>
          <w:sz w:val="24"/>
          <w:szCs w:val="24"/>
          <w:lang w:val="en-US"/>
        </w:rPr>
        <w:t xml:space="preserve"> and counting rules</w:t>
      </w:r>
    </w:p>
    <w:p w14:paraId="730C982C" w14:textId="0CC8A76C" w:rsidR="00557DE1" w:rsidRDefault="00557DE1" w:rsidP="00902A66">
      <w:pPr>
        <w:pStyle w:val="FootnoteText"/>
        <w:spacing w:before="120"/>
        <w:rPr>
          <w:rFonts w:ascii="Arial" w:hAnsi="Arial" w:cs="Arial"/>
          <w:sz w:val="24"/>
          <w:szCs w:val="24"/>
        </w:rPr>
      </w:pPr>
      <w:r w:rsidRPr="00557DE1">
        <w:rPr>
          <w:rFonts w:ascii="Arial" w:hAnsi="Arial" w:cs="Arial"/>
          <w:b/>
          <w:sz w:val="24"/>
          <w:szCs w:val="24"/>
        </w:rPr>
        <w:t>Missed Visit:</w:t>
      </w:r>
      <w:r w:rsidRPr="00557DE1">
        <w:rPr>
          <w:rFonts w:ascii="Arial" w:hAnsi="Arial" w:cs="Arial"/>
          <w:sz w:val="24"/>
          <w:szCs w:val="24"/>
        </w:rPr>
        <w:t xml:space="preserve"> The service cannot respond to meet the needs of a client: Include if: a support worker does not turn up, scheduling error, if a visit is rescheduled without agreement from client. Exclude: if Client is out at time of visit, client initiates or is comfortable with rescheduling agreed time in advance.</w:t>
      </w:r>
    </w:p>
    <w:p w14:paraId="4536C4CC" w14:textId="7BBB21C9" w:rsidR="00557DE1" w:rsidRPr="00557DE1" w:rsidRDefault="00557DE1" w:rsidP="00902A66">
      <w:pPr>
        <w:pStyle w:val="FootnoteText"/>
        <w:spacing w:before="120" w:after="120"/>
        <w:rPr>
          <w:rFonts w:ascii="Arial" w:hAnsi="Arial" w:cs="Arial"/>
          <w:sz w:val="24"/>
          <w:szCs w:val="24"/>
        </w:rPr>
      </w:pPr>
      <w:r w:rsidRPr="00557DE1">
        <w:rPr>
          <w:rFonts w:ascii="Arial" w:hAnsi="Arial" w:cs="Arial"/>
          <w:b/>
          <w:sz w:val="24"/>
          <w:szCs w:val="24"/>
        </w:rPr>
        <w:t>Proportion (%) of support workers trained:</w:t>
      </w:r>
      <w:r w:rsidRPr="00557DE1">
        <w:rPr>
          <w:rFonts w:ascii="Arial" w:hAnsi="Arial" w:cs="Arial"/>
          <w:sz w:val="24"/>
          <w:szCs w:val="24"/>
        </w:rPr>
        <w:t xml:space="preserve"> </w:t>
      </w:r>
      <w:r w:rsidR="006429D8" w:rsidRPr="006429D8">
        <w:rPr>
          <w:rFonts w:ascii="Arial" w:hAnsi="Arial" w:cs="Arial"/>
          <w:sz w:val="24"/>
          <w:szCs w:val="24"/>
        </w:rPr>
        <w:t>Number and percentage of staff by qualification level at end of quarter</w:t>
      </w:r>
      <w:r w:rsidRPr="00557DE1">
        <w:rPr>
          <w:rFonts w:ascii="Arial" w:hAnsi="Arial" w:cs="Arial"/>
          <w:sz w:val="24"/>
          <w:szCs w:val="24"/>
        </w:rPr>
        <w:t xml:space="preserve"> Support workers highest qualification should be included and counted only once</w:t>
      </w:r>
      <w:r w:rsidR="006429D8" w:rsidRPr="006429D8">
        <w:t xml:space="preserve"> </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4"/>
        <w:gridCol w:w="3217"/>
        <w:gridCol w:w="1190"/>
        <w:gridCol w:w="1477"/>
        <w:gridCol w:w="236"/>
      </w:tblGrid>
      <w:tr w:rsidR="00DF5236" w:rsidRPr="00986409" w14:paraId="572AB739" w14:textId="77777777" w:rsidTr="00E6579F">
        <w:trPr>
          <w:gridAfter w:val="1"/>
          <w:wAfter w:w="236" w:type="dxa"/>
          <w:trHeight w:val="600"/>
          <w:tblHeader/>
        </w:trPr>
        <w:tc>
          <w:tcPr>
            <w:tcW w:w="1725" w:type="dxa"/>
            <w:shd w:val="clear" w:color="auto" w:fill="D8D8D8" w:themeFill="background2"/>
            <w:hideMark/>
          </w:tcPr>
          <w:p w14:paraId="02D1BE4C" w14:textId="77777777" w:rsidR="005E33BD" w:rsidRPr="006E1945" w:rsidRDefault="005E33BD" w:rsidP="00853D3D">
            <w:pPr>
              <w:spacing w:after="0" w:line="240" w:lineRule="auto"/>
              <w:rPr>
                <w:rFonts w:ascii="Arial" w:eastAsia="Times New Roman" w:hAnsi="Arial" w:cs="Arial"/>
                <w:b/>
                <w:bCs/>
                <w:color w:val="000000"/>
                <w:sz w:val="24"/>
                <w:szCs w:val="24"/>
                <w:lang w:eastAsia="en-NZ"/>
              </w:rPr>
            </w:pPr>
            <w:bookmarkStart w:id="156" w:name="_Hlk22805887"/>
            <w:bookmarkStart w:id="157" w:name="_Toc19519202"/>
            <w:bookmarkStart w:id="158" w:name="_Toc19524571"/>
            <w:r w:rsidRPr="006E1945">
              <w:rPr>
                <w:rFonts w:ascii="Arial" w:eastAsia="Times New Roman" w:hAnsi="Arial" w:cs="Arial"/>
                <w:b/>
                <w:bCs/>
                <w:color w:val="000000"/>
                <w:sz w:val="24"/>
                <w:szCs w:val="24"/>
                <w:lang w:eastAsia="en-NZ"/>
              </w:rPr>
              <w:t>Objective</w:t>
            </w:r>
          </w:p>
        </w:tc>
        <w:tc>
          <w:tcPr>
            <w:tcW w:w="1884" w:type="dxa"/>
            <w:shd w:val="clear" w:color="auto" w:fill="D8D8D8" w:themeFill="background2"/>
            <w:hideMark/>
          </w:tcPr>
          <w:p w14:paraId="437E19DD" w14:textId="77777777" w:rsidR="005E33BD" w:rsidRPr="006E1945" w:rsidRDefault="00F00131" w:rsidP="00853D3D">
            <w:pPr>
              <w:spacing w:after="0" w:line="240" w:lineRule="auto"/>
              <w:rPr>
                <w:rFonts w:ascii="Arial" w:eastAsia="Times New Roman" w:hAnsi="Arial" w:cs="Arial"/>
                <w:b/>
                <w:bCs/>
                <w:color w:val="000000"/>
                <w:sz w:val="24"/>
                <w:szCs w:val="24"/>
                <w:lang w:eastAsia="en-NZ"/>
              </w:rPr>
            </w:pPr>
            <w:r w:rsidRPr="006E1945">
              <w:rPr>
                <w:rFonts w:ascii="Arial" w:eastAsia="Times New Roman" w:hAnsi="Arial" w:cs="Arial"/>
                <w:b/>
                <w:bCs/>
                <w:color w:val="000000"/>
                <w:sz w:val="24"/>
                <w:szCs w:val="24"/>
                <w:lang w:eastAsia="en-NZ"/>
              </w:rPr>
              <w:t>Method</w:t>
            </w:r>
          </w:p>
        </w:tc>
        <w:tc>
          <w:tcPr>
            <w:tcW w:w="3217" w:type="dxa"/>
            <w:shd w:val="clear" w:color="auto" w:fill="D8D8D8" w:themeFill="background2"/>
            <w:hideMark/>
          </w:tcPr>
          <w:p w14:paraId="57B30C3A" w14:textId="77777777" w:rsidR="005E33BD" w:rsidRPr="006E1945" w:rsidRDefault="005E33BD" w:rsidP="00853D3D">
            <w:pPr>
              <w:spacing w:after="0" w:line="240" w:lineRule="auto"/>
              <w:rPr>
                <w:rFonts w:ascii="Arial" w:eastAsia="Times New Roman" w:hAnsi="Arial" w:cs="Arial"/>
                <w:b/>
                <w:bCs/>
                <w:color w:val="000000"/>
                <w:sz w:val="24"/>
                <w:szCs w:val="24"/>
                <w:lang w:eastAsia="en-NZ"/>
              </w:rPr>
            </w:pPr>
            <w:r w:rsidRPr="006E1945">
              <w:rPr>
                <w:rFonts w:ascii="Arial" w:eastAsia="Times New Roman" w:hAnsi="Arial" w:cs="Arial"/>
                <w:b/>
                <w:bCs/>
                <w:color w:val="000000"/>
                <w:sz w:val="24"/>
                <w:szCs w:val="24"/>
                <w:lang w:eastAsia="en-NZ"/>
              </w:rPr>
              <w:t>Outcome indicator specification</w:t>
            </w:r>
          </w:p>
        </w:tc>
        <w:tc>
          <w:tcPr>
            <w:tcW w:w="0" w:type="auto"/>
            <w:shd w:val="clear" w:color="auto" w:fill="D8D8D8" w:themeFill="background2"/>
            <w:hideMark/>
          </w:tcPr>
          <w:p w14:paraId="0AE8EEDB" w14:textId="77777777" w:rsidR="005E33BD" w:rsidRPr="006E1945" w:rsidRDefault="004C4E7F" w:rsidP="00073E2E">
            <w:pPr>
              <w:spacing w:after="0" w:line="240" w:lineRule="auto"/>
              <w:rPr>
                <w:rFonts w:ascii="Arial" w:eastAsia="Times New Roman" w:hAnsi="Arial" w:cs="Arial"/>
                <w:b/>
                <w:bCs/>
                <w:color w:val="000000"/>
                <w:sz w:val="24"/>
                <w:szCs w:val="24"/>
                <w:lang w:eastAsia="en-NZ"/>
              </w:rPr>
            </w:pPr>
            <w:r w:rsidRPr="006E1945">
              <w:rPr>
                <w:rFonts w:ascii="Arial" w:eastAsia="Times New Roman" w:hAnsi="Arial" w:cs="Arial"/>
                <w:b/>
                <w:bCs/>
                <w:color w:val="000000"/>
                <w:sz w:val="24"/>
                <w:szCs w:val="24"/>
                <w:lang w:eastAsia="en-NZ"/>
              </w:rPr>
              <w:t>Report type</w:t>
            </w:r>
          </w:p>
        </w:tc>
        <w:tc>
          <w:tcPr>
            <w:tcW w:w="1477" w:type="dxa"/>
            <w:shd w:val="clear" w:color="auto" w:fill="D8D8D8" w:themeFill="background2"/>
            <w:hideMark/>
          </w:tcPr>
          <w:p w14:paraId="251FFC9C" w14:textId="4DFA4E87" w:rsidR="005E33BD" w:rsidRPr="006E1945" w:rsidRDefault="00571894" w:rsidP="00853D3D">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Frequency</w:t>
            </w:r>
          </w:p>
        </w:tc>
      </w:tr>
      <w:tr w:rsidR="009071ED" w:rsidRPr="00986409" w14:paraId="61D0BB87" w14:textId="77777777" w:rsidTr="006E1945">
        <w:trPr>
          <w:gridAfter w:val="1"/>
          <w:wAfter w:w="236" w:type="dxa"/>
          <w:trHeight w:val="828"/>
        </w:trPr>
        <w:tc>
          <w:tcPr>
            <w:tcW w:w="1725" w:type="dxa"/>
            <w:vMerge w:val="restart"/>
            <w:shd w:val="clear" w:color="auto" w:fill="auto"/>
            <w:hideMark/>
          </w:tcPr>
          <w:p w14:paraId="1CC3FBA6" w14:textId="77777777" w:rsidR="009071ED" w:rsidRPr="006E1945" w:rsidRDefault="006F0A52" w:rsidP="00853D3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Clients maintain or improve their independence</w:t>
            </w:r>
          </w:p>
        </w:tc>
        <w:tc>
          <w:tcPr>
            <w:tcW w:w="1884" w:type="dxa"/>
            <w:vMerge w:val="restart"/>
            <w:shd w:val="clear" w:color="auto" w:fill="auto"/>
            <w:hideMark/>
          </w:tcPr>
          <w:p w14:paraId="2599BF09" w14:textId="77777777" w:rsidR="009071ED" w:rsidRPr="006E1945" w:rsidRDefault="006F0A52" w:rsidP="00853D3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Service responsiveness meets requirements</w:t>
            </w:r>
          </w:p>
        </w:tc>
        <w:tc>
          <w:tcPr>
            <w:tcW w:w="3217" w:type="dxa"/>
            <w:tcBorders>
              <w:top w:val="nil"/>
              <w:right w:val="single" w:sz="4" w:space="0" w:color="auto"/>
            </w:tcBorders>
            <w:shd w:val="clear" w:color="auto" w:fill="auto"/>
            <w:hideMark/>
          </w:tcPr>
          <w:p w14:paraId="16428ACC" w14:textId="77777777" w:rsidR="009071ED" w:rsidRPr="006E1945" w:rsidRDefault="006F0A52" w:rsidP="00853D3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T</w:t>
            </w:r>
            <w:r w:rsidR="009071ED" w:rsidRPr="006E1945">
              <w:rPr>
                <w:rFonts w:ascii="Arial" w:eastAsia="Times New Roman" w:hAnsi="Arial" w:cs="Arial"/>
                <w:color w:val="000000"/>
                <w:sz w:val="24"/>
                <w:szCs w:val="24"/>
                <w:lang w:eastAsia="en-NZ"/>
              </w:rPr>
              <w:t xml:space="preserve">otal number of clients discharged to Aged Residential </w:t>
            </w:r>
            <w:r w:rsidR="00E350EB" w:rsidRPr="006E1945">
              <w:rPr>
                <w:rFonts w:ascii="Arial" w:eastAsia="Times New Roman" w:hAnsi="Arial" w:cs="Arial"/>
                <w:color w:val="000000"/>
                <w:sz w:val="24"/>
                <w:szCs w:val="24"/>
                <w:lang w:eastAsia="en-NZ"/>
              </w:rPr>
              <w:t>C</w:t>
            </w:r>
            <w:r w:rsidR="009071ED" w:rsidRPr="006E1945">
              <w:rPr>
                <w:rFonts w:ascii="Arial" w:eastAsia="Times New Roman" w:hAnsi="Arial" w:cs="Arial"/>
                <w:color w:val="000000"/>
                <w:sz w:val="24"/>
                <w:szCs w:val="24"/>
                <w:lang w:eastAsia="en-NZ"/>
              </w:rPr>
              <w:t>are</w:t>
            </w:r>
          </w:p>
        </w:tc>
        <w:tc>
          <w:tcPr>
            <w:tcW w:w="0" w:type="auto"/>
            <w:tcBorders>
              <w:top w:val="nil"/>
              <w:left w:val="single" w:sz="4" w:space="0" w:color="auto"/>
            </w:tcBorders>
            <w:shd w:val="clear" w:color="auto" w:fill="auto"/>
            <w:hideMark/>
          </w:tcPr>
          <w:p w14:paraId="11D37560" w14:textId="77777777" w:rsidR="009071ED" w:rsidRPr="006E1945" w:rsidRDefault="009071ED" w:rsidP="00853D3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Excel</w:t>
            </w:r>
          </w:p>
        </w:tc>
        <w:tc>
          <w:tcPr>
            <w:tcW w:w="1477" w:type="dxa"/>
            <w:tcBorders>
              <w:top w:val="nil"/>
            </w:tcBorders>
            <w:shd w:val="clear" w:color="auto" w:fill="auto"/>
            <w:hideMark/>
          </w:tcPr>
          <w:p w14:paraId="784A9F5D" w14:textId="77777777" w:rsidR="009071ED" w:rsidRPr="006E1945" w:rsidRDefault="009071ED" w:rsidP="00853D3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Monthly</w:t>
            </w:r>
          </w:p>
        </w:tc>
      </w:tr>
      <w:tr w:rsidR="00961CA9" w:rsidRPr="00986409" w14:paraId="7BB6E777" w14:textId="77777777" w:rsidTr="006E1945">
        <w:trPr>
          <w:gridAfter w:val="1"/>
          <w:wAfter w:w="236" w:type="dxa"/>
          <w:trHeight w:val="828"/>
        </w:trPr>
        <w:tc>
          <w:tcPr>
            <w:tcW w:w="1725" w:type="dxa"/>
            <w:vMerge/>
            <w:shd w:val="clear" w:color="auto" w:fill="auto"/>
          </w:tcPr>
          <w:p w14:paraId="1FB716EB" w14:textId="77777777" w:rsidR="00961CA9" w:rsidRPr="00664EA6" w:rsidRDefault="00961CA9"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4DF6E5ED" w14:textId="77777777" w:rsidR="00961CA9" w:rsidRPr="00664EA6" w:rsidRDefault="00961CA9" w:rsidP="00853D3D">
            <w:pPr>
              <w:spacing w:after="0" w:line="240" w:lineRule="auto"/>
              <w:rPr>
                <w:rFonts w:ascii="Arial" w:eastAsia="Times New Roman" w:hAnsi="Arial" w:cs="Arial"/>
                <w:color w:val="000000"/>
                <w:sz w:val="24"/>
                <w:szCs w:val="24"/>
                <w:lang w:eastAsia="en-NZ"/>
              </w:rPr>
            </w:pPr>
          </w:p>
        </w:tc>
        <w:tc>
          <w:tcPr>
            <w:tcW w:w="3217" w:type="dxa"/>
            <w:tcBorders>
              <w:top w:val="nil"/>
              <w:right w:val="single" w:sz="4" w:space="0" w:color="auto"/>
            </w:tcBorders>
            <w:shd w:val="clear" w:color="auto" w:fill="auto"/>
          </w:tcPr>
          <w:p w14:paraId="13DF838D" w14:textId="77777777" w:rsidR="00961CA9" w:rsidRPr="00664EA6" w:rsidRDefault="00961CA9"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Number and percentage of reviews completed of total due by casemix level</w:t>
            </w:r>
          </w:p>
        </w:tc>
        <w:tc>
          <w:tcPr>
            <w:tcW w:w="0" w:type="auto"/>
            <w:tcBorders>
              <w:top w:val="nil"/>
              <w:left w:val="single" w:sz="4" w:space="0" w:color="auto"/>
            </w:tcBorders>
            <w:shd w:val="clear" w:color="auto" w:fill="auto"/>
          </w:tcPr>
          <w:p w14:paraId="00C67285" w14:textId="77777777" w:rsidR="00961CA9" w:rsidRPr="00664EA6" w:rsidRDefault="00961CA9"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tcBorders>
              <w:top w:val="nil"/>
            </w:tcBorders>
            <w:shd w:val="clear" w:color="auto" w:fill="auto"/>
          </w:tcPr>
          <w:p w14:paraId="582417EE" w14:textId="77777777" w:rsidR="00961CA9" w:rsidRPr="00664EA6" w:rsidRDefault="00961CA9"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61CA9" w:rsidRPr="00986409" w14:paraId="62123449" w14:textId="77777777" w:rsidTr="00902A66">
        <w:trPr>
          <w:gridAfter w:val="1"/>
          <w:wAfter w:w="236" w:type="dxa"/>
          <w:trHeight w:val="538"/>
        </w:trPr>
        <w:tc>
          <w:tcPr>
            <w:tcW w:w="1725" w:type="dxa"/>
            <w:vMerge/>
            <w:shd w:val="clear" w:color="auto" w:fill="auto"/>
          </w:tcPr>
          <w:p w14:paraId="32DABC03" w14:textId="77777777" w:rsidR="00961CA9" w:rsidRPr="00664EA6" w:rsidRDefault="00961CA9"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0C6B9BA1" w14:textId="77777777" w:rsidR="00961CA9" w:rsidRPr="00664EA6" w:rsidRDefault="00961CA9" w:rsidP="00853D3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173E2F7B" w14:textId="60F0B819" w:rsidR="00961CA9" w:rsidRPr="00664EA6" w:rsidRDefault="00961CA9"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 xml:space="preserve">Number and percentage </w:t>
            </w:r>
            <w:r w:rsidR="00370125" w:rsidRPr="00664EA6">
              <w:rPr>
                <w:rFonts w:ascii="Arial" w:eastAsia="Times New Roman" w:hAnsi="Arial" w:cs="Arial"/>
                <w:color w:val="000000"/>
                <w:sz w:val="24"/>
                <w:szCs w:val="24"/>
                <w:lang w:eastAsia="en-NZ"/>
              </w:rPr>
              <w:t>by type</w:t>
            </w:r>
            <w:r w:rsidRPr="00664EA6">
              <w:rPr>
                <w:rFonts w:ascii="Arial" w:eastAsia="Times New Roman" w:hAnsi="Arial" w:cs="Arial"/>
                <w:color w:val="000000"/>
                <w:sz w:val="24"/>
                <w:szCs w:val="24"/>
                <w:lang w:eastAsia="en-NZ"/>
              </w:rPr>
              <w:t xml:space="preserve"> of assessment and reassessments completed </w:t>
            </w:r>
            <w:r w:rsidRPr="00664EA6">
              <w:rPr>
                <w:rFonts w:ascii="Arial" w:eastAsia="Times New Roman" w:hAnsi="Arial" w:cs="Arial"/>
                <w:color w:val="000000"/>
                <w:sz w:val="24"/>
                <w:szCs w:val="24"/>
                <w:lang w:eastAsia="en-NZ"/>
              </w:rPr>
              <w:lastRenderedPageBreak/>
              <w:t>(Ca or HC) of total due by casemix group</w:t>
            </w:r>
          </w:p>
        </w:tc>
        <w:tc>
          <w:tcPr>
            <w:tcW w:w="0" w:type="auto"/>
            <w:shd w:val="clear" w:color="auto" w:fill="auto"/>
          </w:tcPr>
          <w:p w14:paraId="47B039CE" w14:textId="77777777" w:rsidR="00961CA9" w:rsidRPr="00664EA6" w:rsidRDefault="00961CA9"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lastRenderedPageBreak/>
              <w:t>Excel</w:t>
            </w:r>
          </w:p>
        </w:tc>
        <w:tc>
          <w:tcPr>
            <w:tcW w:w="1477" w:type="dxa"/>
            <w:shd w:val="clear" w:color="auto" w:fill="auto"/>
          </w:tcPr>
          <w:p w14:paraId="4EA66F8C" w14:textId="77777777" w:rsidR="00961CA9" w:rsidRPr="00664EA6" w:rsidRDefault="00961CA9"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071ED" w:rsidRPr="00986409" w14:paraId="0CC3C2F5" w14:textId="77777777" w:rsidTr="006E1945">
        <w:trPr>
          <w:gridAfter w:val="1"/>
          <w:wAfter w:w="236" w:type="dxa"/>
          <w:trHeight w:val="614"/>
        </w:trPr>
        <w:tc>
          <w:tcPr>
            <w:tcW w:w="1725" w:type="dxa"/>
            <w:vMerge/>
            <w:shd w:val="clear" w:color="auto" w:fill="auto"/>
            <w:hideMark/>
          </w:tcPr>
          <w:p w14:paraId="6F6CB9F8"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hideMark/>
          </w:tcPr>
          <w:p w14:paraId="39275D0D"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3217" w:type="dxa"/>
            <w:shd w:val="clear" w:color="auto" w:fill="auto"/>
            <w:hideMark/>
          </w:tcPr>
          <w:p w14:paraId="36297C3D"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Total number of clients discharged to independence</w:t>
            </w:r>
          </w:p>
        </w:tc>
        <w:tc>
          <w:tcPr>
            <w:tcW w:w="0" w:type="auto"/>
            <w:shd w:val="clear" w:color="auto" w:fill="auto"/>
            <w:hideMark/>
          </w:tcPr>
          <w:p w14:paraId="708FF2B2"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hideMark/>
          </w:tcPr>
          <w:p w14:paraId="5D5E7BE4"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071ED" w:rsidRPr="00986409" w14:paraId="1D4AA375" w14:textId="77777777" w:rsidTr="006E1945">
        <w:trPr>
          <w:gridAfter w:val="1"/>
          <w:wAfter w:w="236" w:type="dxa"/>
          <w:trHeight w:val="688"/>
        </w:trPr>
        <w:tc>
          <w:tcPr>
            <w:tcW w:w="1725" w:type="dxa"/>
            <w:vMerge/>
            <w:shd w:val="clear" w:color="auto" w:fill="auto"/>
          </w:tcPr>
          <w:p w14:paraId="4D1ADE69"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1AD33ED5"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351E3F4E"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 xml:space="preserve">Total number of </w:t>
            </w:r>
            <w:r w:rsidR="00370125" w:rsidRPr="00664EA6">
              <w:rPr>
                <w:rFonts w:ascii="Arial" w:eastAsia="Times New Roman" w:hAnsi="Arial" w:cs="Arial"/>
                <w:color w:val="000000"/>
                <w:sz w:val="24"/>
                <w:szCs w:val="24"/>
                <w:lang w:eastAsia="en-NZ"/>
              </w:rPr>
              <w:t>clients discharged</w:t>
            </w:r>
            <w:r w:rsidRPr="00664EA6">
              <w:rPr>
                <w:rFonts w:ascii="Arial" w:eastAsia="Times New Roman" w:hAnsi="Arial" w:cs="Arial"/>
                <w:color w:val="000000"/>
                <w:sz w:val="24"/>
                <w:szCs w:val="24"/>
                <w:lang w:eastAsia="en-NZ"/>
              </w:rPr>
              <w:t xml:space="preserve"> because deceased</w:t>
            </w:r>
          </w:p>
        </w:tc>
        <w:tc>
          <w:tcPr>
            <w:tcW w:w="0" w:type="auto"/>
            <w:shd w:val="clear" w:color="auto" w:fill="auto"/>
          </w:tcPr>
          <w:p w14:paraId="646F6994"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21322F3B"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071ED" w:rsidRPr="00986409" w14:paraId="72764F6D" w14:textId="77777777" w:rsidTr="006E1945">
        <w:trPr>
          <w:gridAfter w:val="1"/>
          <w:wAfter w:w="236" w:type="dxa"/>
          <w:trHeight w:val="688"/>
        </w:trPr>
        <w:tc>
          <w:tcPr>
            <w:tcW w:w="1725" w:type="dxa"/>
            <w:vMerge/>
            <w:shd w:val="clear" w:color="auto" w:fill="auto"/>
          </w:tcPr>
          <w:p w14:paraId="536D7BBF"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2A3129BA"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3B1A8828"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Total number of clients discharged because changing domicile</w:t>
            </w:r>
          </w:p>
        </w:tc>
        <w:tc>
          <w:tcPr>
            <w:tcW w:w="0" w:type="auto"/>
            <w:shd w:val="clear" w:color="auto" w:fill="auto"/>
          </w:tcPr>
          <w:p w14:paraId="03E63A3B"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325498CA"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071ED" w:rsidRPr="00986409" w14:paraId="263D4F45" w14:textId="77777777" w:rsidTr="006E1945">
        <w:trPr>
          <w:gridAfter w:val="1"/>
          <w:wAfter w:w="236" w:type="dxa"/>
          <w:trHeight w:val="600"/>
        </w:trPr>
        <w:tc>
          <w:tcPr>
            <w:tcW w:w="1725" w:type="dxa"/>
            <w:vMerge/>
            <w:shd w:val="clear" w:color="auto" w:fill="auto"/>
            <w:hideMark/>
          </w:tcPr>
          <w:p w14:paraId="3FD204D4"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hideMark/>
          </w:tcPr>
          <w:p w14:paraId="77101925"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3217" w:type="dxa"/>
            <w:shd w:val="clear" w:color="auto" w:fill="auto"/>
            <w:hideMark/>
          </w:tcPr>
          <w:p w14:paraId="3FA1A25E"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 xml:space="preserve">Total number of </w:t>
            </w:r>
            <w:r w:rsidR="00370125" w:rsidRPr="00664EA6">
              <w:rPr>
                <w:rFonts w:ascii="Arial" w:eastAsia="Times New Roman" w:hAnsi="Arial" w:cs="Arial"/>
                <w:color w:val="000000"/>
                <w:sz w:val="24"/>
                <w:szCs w:val="24"/>
                <w:lang w:eastAsia="en-NZ"/>
              </w:rPr>
              <w:t>clients</w:t>
            </w:r>
            <w:r w:rsidRPr="00664EA6">
              <w:rPr>
                <w:rFonts w:ascii="Arial" w:eastAsia="Times New Roman" w:hAnsi="Arial" w:cs="Arial"/>
                <w:color w:val="000000"/>
                <w:sz w:val="24"/>
                <w:szCs w:val="24"/>
                <w:lang w:eastAsia="en-NZ"/>
              </w:rPr>
              <w:t xml:space="preserve"> discharged because have new natural supports in the home</w:t>
            </w:r>
          </w:p>
        </w:tc>
        <w:tc>
          <w:tcPr>
            <w:tcW w:w="0" w:type="auto"/>
            <w:shd w:val="clear" w:color="auto" w:fill="auto"/>
            <w:hideMark/>
          </w:tcPr>
          <w:p w14:paraId="36DEC8CA"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hideMark/>
          </w:tcPr>
          <w:p w14:paraId="1BC9C2A7" w14:textId="77777777" w:rsidR="009071ED" w:rsidRPr="00664EA6" w:rsidRDefault="009071ED"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071ED" w:rsidRPr="00986409" w14:paraId="40BBE7C6" w14:textId="77777777" w:rsidTr="006E1945">
        <w:trPr>
          <w:gridAfter w:val="1"/>
          <w:wAfter w:w="236" w:type="dxa"/>
          <w:trHeight w:val="600"/>
        </w:trPr>
        <w:tc>
          <w:tcPr>
            <w:tcW w:w="1725" w:type="dxa"/>
            <w:vMerge/>
            <w:shd w:val="clear" w:color="auto" w:fill="auto"/>
            <w:hideMark/>
          </w:tcPr>
          <w:p w14:paraId="1916D24D"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1884" w:type="dxa"/>
            <w:vMerge/>
            <w:shd w:val="clear" w:color="auto" w:fill="auto"/>
            <w:hideMark/>
          </w:tcPr>
          <w:p w14:paraId="1B8E8B59" w14:textId="77777777" w:rsidR="009071ED" w:rsidRPr="00664EA6" w:rsidRDefault="009071ED" w:rsidP="00853D3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468491B9" w14:textId="77777777" w:rsidR="009071ED" w:rsidRPr="00664EA6" w:rsidRDefault="00F42028"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 xml:space="preserve">Total number and percentage of </w:t>
            </w:r>
            <w:proofErr w:type="gramStart"/>
            <w:r w:rsidRPr="00664EA6">
              <w:rPr>
                <w:rFonts w:ascii="Arial" w:eastAsia="Times New Roman" w:hAnsi="Arial" w:cs="Arial"/>
                <w:color w:val="000000"/>
                <w:sz w:val="24"/>
                <w:szCs w:val="24"/>
                <w:lang w:eastAsia="en-NZ"/>
              </w:rPr>
              <w:t xml:space="preserve">high </w:t>
            </w:r>
            <w:r w:rsidR="00370125" w:rsidRPr="00664EA6">
              <w:rPr>
                <w:rFonts w:ascii="Arial" w:eastAsia="Times New Roman" w:hAnsi="Arial" w:cs="Arial"/>
                <w:color w:val="000000"/>
                <w:sz w:val="24"/>
                <w:szCs w:val="24"/>
                <w:lang w:eastAsia="en-NZ"/>
              </w:rPr>
              <w:t>risk</w:t>
            </w:r>
            <w:proofErr w:type="gramEnd"/>
            <w:r w:rsidR="00370125" w:rsidRPr="00664EA6">
              <w:rPr>
                <w:rFonts w:ascii="Arial" w:eastAsia="Times New Roman" w:hAnsi="Arial" w:cs="Arial"/>
                <w:color w:val="000000"/>
                <w:sz w:val="24"/>
                <w:szCs w:val="24"/>
                <w:lang w:eastAsia="en-NZ"/>
              </w:rPr>
              <w:t xml:space="preserve"> clients</w:t>
            </w:r>
            <w:r w:rsidRPr="00664EA6">
              <w:rPr>
                <w:rFonts w:ascii="Arial" w:eastAsia="Times New Roman" w:hAnsi="Arial" w:cs="Arial"/>
                <w:color w:val="000000"/>
                <w:sz w:val="24"/>
                <w:szCs w:val="24"/>
                <w:lang w:eastAsia="en-NZ"/>
              </w:rPr>
              <w:t xml:space="preserve"> have services implemented </w:t>
            </w:r>
            <w:r w:rsidR="00370125" w:rsidRPr="00664EA6">
              <w:rPr>
                <w:rFonts w:ascii="Arial" w:eastAsia="Times New Roman" w:hAnsi="Arial" w:cs="Arial"/>
                <w:color w:val="000000"/>
                <w:sz w:val="24"/>
                <w:szCs w:val="24"/>
                <w:lang w:eastAsia="en-NZ"/>
              </w:rPr>
              <w:t>within 24-hour</w:t>
            </w:r>
            <w:r w:rsidRPr="00664EA6">
              <w:rPr>
                <w:rFonts w:ascii="Arial" w:eastAsia="Times New Roman" w:hAnsi="Arial" w:cs="Arial"/>
                <w:color w:val="000000"/>
                <w:sz w:val="24"/>
                <w:szCs w:val="24"/>
                <w:lang w:eastAsia="en-NZ"/>
              </w:rPr>
              <w:t xml:space="preserve"> from </w:t>
            </w:r>
            <w:r w:rsidR="00370125" w:rsidRPr="00664EA6">
              <w:rPr>
                <w:rFonts w:ascii="Arial" w:eastAsia="Times New Roman" w:hAnsi="Arial" w:cs="Arial"/>
                <w:color w:val="000000"/>
                <w:sz w:val="24"/>
                <w:szCs w:val="24"/>
                <w:lang w:eastAsia="en-NZ"/>
              </w:rPr>
              <w:t>acceptance</w:t>
            </w:r>
            <w:r w:rsidRPr="00664EA6">
              <w:rPr>
                <w:rFonts w:ascii="Arial" w:eastAsia="Times New Roman" w:hAnsi="Arial" w:cs="Arial"/>
                <w:color w:val="000000"/>
                <w:sz w:val="24"/>
                <w:szCs w:val="24"/>
                <w:lang w:eastAsia="en-NZ"/>
              </w:rPr>
              <w:t xml:space="preserve"> of referral</w:t>
            </w:r>
          </w:p>
        </w:tc>
        <w:tc>
          <w:tcPr>
            <w:tcW w:w="0" w:type="auto"/>
            <w:shd w:val="clear" w:color="auto" w:fill="auto"/>
          </w:tcPr>
          <w:p w14:paraId="66D74F7B" w14:textId="77777777" w:rsidR="009071ED" w:rsidRPr="00664EA6" w:rsidRDefault="00F42028" w:rsidP="00853D3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6D110363" w14:textId="400CDEC1" w:rsidR="009071ED" w:rsidRPr="00664EA6" w:rsidRDefault="00902A66" w:rsidP="00853D3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M</w:t>
            </w:r>
            <w:r w:rsidR="00F42028" w:rsidRPr="00664EA6">
              <w:rPr>
                <w:rFonts w:ascii="Arial" w:eastAsia="Times New Roman" w:hAnsi="Arial" w:cs="Arial"/>
                <w:color w:val="000000"/>
                <w:sz w:val="24"/>
                <w:szCs w:val="24"/>
                <w:lang w:eastAsia="en-NZ"/>
              </w:rPr>
              <w:t>onthly</w:t>
            </w:r>
          </w:p>
        </w:tc>
      </w:tr>
      <w:tr w:rsidR="009071ED" w:rsidRPr="00986409" w14:paraId="3C7FA9D7" w14:textId="77777777" w:rsidTr="006E1945">
        <w:trPr>
          <w:gridAfter w:val="1"/>
          <w:wAfter w:w="236" w:type="dxa"/>
          <w:trHeight w:val="1200"/>
        </w:trPr>
        <w:tc>
          <w:tcPr>
            <w:tcW w:w="1725" w:type="dxa"/>
            <w:shd w:val="clear" w:color="auto" w:fill="auto"/>
            <w:hideMark/>
          </w:tcPr>
          <w:p w14:paraId="03B765AF" w14:textId="77777777" w:rsidR="009071ED" w:rsidRPr="006E1945" w:rsidRDefault="009071ED" w:rsidP="00DF5D82">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Clients have a positive experience and satisfied with service</w:t>
            </w:r>
          </w:p>
        </w:tc>
        <w:tc>
          <w:tcPr>
            <w:tcW w:w="1884" w:type="dxa"/>
            <w:shd w:val="clear" w:color="auto" w:fill="auto"/>
            <w:hideMark/>
          </w:tcPr>
          <w:p w14:paraId="2DC49A61" w14:textId="77777777" w:rsidR="009071ED" w:rsidRPr="006E1945" w:rsidRDefault="009071ED" w:rsidP="00DF5D82">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Client satisfaction survey</w:t>
            </w:r>
          </w:p>
        </w:tc>
        <w:tc>
          <w:tcPr>
            <w:tcW w:w="3217" w:type="dxa"/>
            <w:shd w:val="clear" w:color="auto" w:fill="auto"/>
          </w:tcPr>
          <w:p w14:paraId="6A6350BB" w14:textId="77777777" w:rsidR="009071ED" w:rsidRPr="006E1945" w:rsidRDefault="009071ED" w:rsidP="00DF5D82">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Number of surveys completed as proportion of total clients. Narrative of feedback received</w:t>
            </w:r>
            <w:r w:rsidR="005C770E" w:rsidRPr="006E1945">
              <w:rPr>
                <w:rFonts w:ascii="Arial" w:eastAsia="Times New Roman" w:hAnsi="Arial" w:cs="Arial"/>
                <w:color w:val="000000"/>
                <w:sz w:val="24"/>
                <w:szCs w:val="24"/>
                <w:lang w:eastAsia="en-NZ"/>
              </w:rPr>
              <w:t xml:space="preserve"> (</w:t>
            </w:r>
            <w:r w:rsidR="00B15535" w:rsidRPr="006E1945">
              <w:rPr>
                <w:rFonts w:ascii="Arial" w:eastAsia="Times New Roman" w:hAnsi="Arial" w:cs="Arial"/>
                <w:color w:val="000000"/>
                <w:sz w:val="24"/>
                <w:szCs w:val="24"/>
                <w:lang w:eastAsia="en-NZ"/>
              </w:rPr>
              <w:t>positive and negative)</w:t>
            </w:r>
            <w:r w:rsidRPr="006E1945">
              <w:rPr>
                <w:rFonts w:ascii="Arial" w:eastAsia="Times New Roman" w:hAnsi="Arial" w:cs="Arial"/>
                <w:color w:val="000000"/>
                <w:sz w:val="24"/>
                <w:szCs w:val="24"/>
                <w:lang w:eastAsia="en-NZ"/>
              </w:rPr>
              <w:t xml:space="preserve">, and corrective actions taken </w:t>
            </w:r>
            <w:r w:rsidR="00B15535" w:rsidRPr="006E1945">
              <w:rPr>
                <w:rFonts w:ascii="Arial" w:eastAsia="Times New Roman" w:hAnsi="Arial" w:cs="Arial"/>
                <w:color w:val="000000"/>
                <w:sz w:val="24"/>
                <w:szCs w:val="24"/>
                <w:lang w:eastAsia="en-NZ"/>
              </w:rPr>
              <w:t>where negative</w:t>
            </w:r>
            <w:r w:rsidRPr="006E1945">
              <w:rPr>
                <w:rFonts w:ascii="Arial" w:eastAsia="Times New Roman" w:hAnsi="Arial" w:cs="Arial"/>
                <w:color w:val="000000"/>
                <w:sz w:val="24"/>
                <w:szCs w:val="24"/>
                <w:lang w:eastAsia="en-NZ"/>
              </w:rPr>
              <w:t xml:space="preserve">  </w:t>
            </w:r>
          </w:p>
        </w:tc>
        <w:tc>
          <w:tcPr>
            <w:tcW w:w="0" w:type="auto"/>
            <w:shd w:val="clear" w:color="auto" w:fill="auto"/>
          </w:tcPr>
          <w:p w14:paraId="7F1CF96F" w14:textId="77777777" w:rsidR="00E350EB" w:rsidRPr="006E1945" w:rsidRDefault="009071ED" w:rsidP="00DF5D82">
            <w:pPr>
              <w:spacing w:after="0" w:line="240" w:lineRule="auto"/>
              <w:rPr>
                <w:rFonts w:ascii="Arial" w:eastAsia="Times New Roman" w:hAnsi="Arial" w:cs="Arial"/>
                <w:color w:val="000000"/>
                <w:sz w:val="24"/>
                <w:szCs w:val="24"/>
                <w:lang w:eastAsia="en-NZ"/>
              </w:rPr>
            </w:pPr>
            <w:r w:rsidRPr="006E1945">
              <w:rPr>
                <w:rFonts w:ascii="Arial" w:hAnsi="Arial" w:cs="Arial"/>
                <w:sz w:val="24"/>
                <w:szCs w:val="24"/>
              </w:rPr>
              <w:t>Excel</w:t>
            </w:r>
          </w:p>
          <w:p w14:paraId="159A1FEC" w14:textId="77777777" w:rsidR="00E350EB" w:rsidRPr="006E1945" w:rsidRDefault="00E350EB" w:rsidP="00E350EB">
            <w:pPr>
              <w:rPr>
                <w:rFonts w:ascii="Arial" w:eastAsia="Times New Roman" w:hAnsi="Arial" w:cs="Arial"/>
                <w:sz w:val="24"/>
                <w:szCs w:val="24"/>
                <w:lang w:eastAsia="en-NZ"/>
              </w:rPr>
            </w:pPr>
          </w:p>
          <w:p w14:paraId="54C7594E" w14:textId="77777777" w:rsidR="009071ED" w:rsidRPr="006E1945" w:rsidRDefault="00E350EB" w:rsidP="00E350EB">
            <w:pPr>
              <w:rPr>
                <w:rFonts w:ascii="Arial" w:eastAsia="Times New Roman" w:hAnsi="Arial" w:cs="Arial"/>
                <w:sz w:val="24"/>
                <w:szCs w:val="24"/>
                <w:lang w:eastAsia="en-NZ"/>
              </w:rPr>
            </w:pPr>
            <w:r w:rsidRPr="006E1945">
              <w:rPr>
                <w:rFonts w:ascii="Arial" w:eastAsia="Times New Roman" w:hAnsi="Arial" w:cs="Arial"/>
                <w:sz w:val="24"/>
                <w:szCs w:val="24"/>
                <w:lang w:eastAsia="en-NZ"/>
              </w:rPr>
              <w:t>Narrative</w:t>
            </w:r>
          </w:p>
        </w:tc>
        <w:tc>
          <w:tcPr>
            <w:tcW w:w="1477" w:type="dxa"/>
            <w:shd w:val="clear" w:color="auto" w:fill="auto"/>
          </w:tcPr>
          <w:p w14:paraId="7EB9E47E" w14:textId="77777777" w:rsidR="009071ED" w:rsidRPr="006E1945" w:rsidRDefault="009071ED" w:rsidP="00DF5D82">
            <w:pPr>
              <w:spacing w:after="0" w:line="240" w:lineRule="auto"/>
              <w:rPr>
                <w:rFonts w:ascii="Arial" w:eastAsia="Times New Roman" w:hAnsi="Arial" w:cs="Arial"/>
                <w:color w:val="000000"/>
                <w:sz w:val="24"/>
                <w:szCs w:val="24"/>
                <w:lang w:eastAsia="en-NZ"/>
              </w:rPr>
            </w:pPr>
            <w:r w:rsidRPr="006E1945">
              <w:rPr>
                <w:rFonts w:ascii="Arial" w:hAnsi="Arial" w:cs="Arial"/>
                <w:sz w:val="24"/>
                <w:szCs w:val="24"/>
              </w:rPr>
              <w:t>Quarterly</w:t>
            </w:r>
          </w:p>
        </w:tc>
      </w:tr>
      <w:tr w:rsidR="00784C8C" w:rsidRPr="00986409" w14:paraId="6E94016F" w14:textId="77777777" w:rsidTr="00902A66">
        <w:trPr>
          <w:gridAfter w:val="1"/>
          <w:wAfter w:w="236" w:type="dxa"/>
          <w:trHeight w:val="375"/>
        </w:trPr>
        <w:tc>
          <w:tcPr>
            <w:tcW w:w="1725" w:type="dxa"/>
            <w:vMerge w:val="restart"/>
            <w:shd w:val="clear" w:color="auto" w:fill="auto"/>
            <w:hideMark/>
          </w:tcPr>
          <w:p w14:paraId="08A35E86" w14:textId="77777777" w:rsidR="009071ED" w:rsidRPr="006E1945" w:rsidRDefault="009071ED" w:rsidP="009071E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Services are delivered when agreed and expected</w:t>
            </w:r>
          </w:p>
        </w:tc>
        <w:tc>
          <w:tcPr>
            <w:tcW w:w="1884" w:type="dxa"/>
            <w:vMerge w:val="restart"/>
            <w:shd w:val="clear" w:color="auto" w:fill="auto"/>
            <w:vAlign w:val="bottom"/>
          </w:tcPr>
          <w:p w14:paraId="7E6DDDBE" w14:textId="77777777" w:rsidR="009071ED" w:rsidRPr="006E1945" w:rsidRDefault="009071ED" w:rsidP="009071E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 xml:space="preserve">Service responsiveness meets requirements </w:t>
            </w:r>
            <w:r w:rsidR="003569F0" w:rsidRPr="006E1945">
              <w:rPr>
                <w:rFonts w:ascii="Arial" w:eastAsia="Times New Roman" w:hAnsi="Arial" w:cs="Arial"/>
                <w:color w:val="000000"/>
                <w:sz w:val="24"/>
                <w:szCs w:val="24"/>
                <w:lang w:eastAsia="en-NZ"/>
              </w:rPr>
              <w:t xml:space="preserve">of </w:t>
            </w:r>
            <w:r w:rsidRPr="006E1945">
              <w:rPr>
                <w:rFonts w:ascii="Arial" w:eastAsia="Times New Roman" w:hAnsi="Arial" w:cs="Arial"/>
                <w:color w:val="000000"/>
                <w:sz w:val="24"/>
                <w:szCs w:val="24"/>
                <w:lang w:eastAsia="en-NZ"/>
              </w:rPr>
              <w:t>6.3 of</w:t>
            </w:r>
            <w:r w:rsidR="003569F0" w:rsidRPr="006E1945">
              <w:rPr>
                <w:rFonts w:ascii="Arial" w:eastAsia="Times New Roman" w:hAnsi="Arial" w:cs="Arial"/>
                <w:color w:val="000000"/>
                <w:sz w:val="24"/>
                <w:szCs w:val="24"/>
                <w:lang w:eastAsia="en-NZ"/>
              </w:rPr>
              <w:t xml:space="preserve"> the</w:t>
            </w:r>
            <w:r w:rsidRPr="006E1945">
              <w:rPr>
                <w:rFonts w:ascii="Arial" w:eastAsia="Times New Roman" w:hAnsi="Arial" w:cs="Arial"/>
                <w:color w:val="000000"/>
                <w:sz w:val="24"/>
                <w:szCs w:val="24"/>
                <w:lang w:eastAsia="en-NZ"/>
              </w:rPr>
              <w:t xml:space="preserve"> service </w:t>
            </w:r>
            <w:proofErr w:type="gramStart"/>
            <w:r w:rsidRPr="006E1945">
              <w:rPr>
                <w:rFonts w:ascii="Arial" w:eastAsia="Times New Roman" w:hAnsi="Arial" w:cs="Arial"/>
                <w:color w:val="000000"/>
                <w:sz w:val="24"/>
                <w:szCs w:val="24"/>
                <w:lang w:eastAsia="en-NZ"/>
              </w:rPr>
              <w:t>specification</w:t>
            </w:r>
            <w:proofErr w:type="gramEnd"/>
          </w:p>
        </w:tc>
        <w:tc>
          <w:tcPr>
            <w:tcW w:w="3217" w:type="dxa"/>
            <w:shd w:val="clear" w:color="auto" w:fill="auto"/>
          </w:tcPr>
          <w:p w14:paraId="57E0C286" w14:textId="7CA9725D" w:rsidR="009071ED" w:rsidRPr="006E1945" w:rsidRDefault="009071ED" w:rsidP="009071ED">
            <w:pPr>
              <w:spacing w:after="0" w:line="240" w:lineRule="auto"/>
              <w:rPr>
                <w:rFonts w:ascii="Arial" w:eastAsia="Times New Roman" w:hAnsi="Arial" w:cs="Arial"/>
                <w:color w:val="000000"/>
                <w:sz w:val="24"/>
                <w:szCs w:val="24"/>
                <w:lang w:eastAsia="en-NZ"/>
              </w:rPr>
            </w:pPr>
            <w:r w:rsidRPr="006E1945">
              <w:rPr>
                <w:rFonts w:ascii="Arial" w:hAnsi="Arial" w:cs="Arial"/>
                <w:sz w:val="24"/>
                <w:szCs w:val="24"/>
              </w:rPr>
              <w:t xml:space="preserve">Number of missed visits </w:t>
            </w:r>
          </w:p>
        </w:tc>
        <w:tc>
          <w:tcPr>
            <w:tcW w:w="0" w:type="auto"/>
            <w:shd w:val="clear" w:color="auto" w:fill="auto"/>
          </w:tcPr>
          <w:p w14:paraId="64937C4C" w14:textId="77777777" w:rsidR="009071ED" w:rsidRPr="006E1945" w:rsidRDefault="009071ED" w:rsidP="009071E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Excel</w:t>
            </w:r>
          </w:p>
        </w:tc>
        <w:tc>
          <w:tcPr>
            <w:tcW w:w="1477" w:type="dxa"/>
            <w:shd w:val="clear" w:color="auto" w:fill="auto"/>
          </w:tcPr>
          <w:p w14:paraId="091465DA" w14:textId="77777777" w:rsidR="009071ED" w:rsidRPr="006E1945" w:rsidRDefault="009071ED" w:rsidP="009071ED">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Monthly</w:t>
            </w:r>
          </w:p>
        </w:tc>
      </w:tr>
      <w:tr w:rsidR="00D153FC" w:rsidRPr="00986409" w14:paraId="1FF9B2B3" w14:textId="77777777" w:rsidTr="006E1945">
        <w:trPr>
          <w:gridAfter w:val="1"/>
          <w:wAfter w:w="236" w:type="dxa"/>
          <w:trHeight w:val="600"/>
        </w:trPr>
        <w:tc>
          <w:tcPr>
            <w:tcW w:w="1725" w:type="dxa"/>
            <w:vMerge/>
            <w:shd w:val="clear" w:color="auto" w:fill="auto"/>
          </w:tcPr>
          <w:p w14:paraId="3F07E3BA" w14:textId="77777777" w:rsidR="00D153FC" w:rsidRPr="00664EA6" w:rsidRDefault="00D153FC" w:rsidP="00D153FC">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2CB83FB2" w14:textId="77777777" w:rsidR="00D153FC" w:rsidRPr="00664EA6" w:rsidRDefault="00D153FC" w:rsidP="00D153FC">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3370636F" w14:textId="77777777" w:rsidR="00D153FC" w:rsidRPr="00664EA6" w:rsidRDefault="00D153FC" w:rsidP="00D153FC">
            <w:pPr>
              <w:spacing w:after="0"/>
              <w:rPr>
                <w:rFonts w:ascii="Arial" w:eastAsia="Times New Roman" w:hAnsi="Arial" w:cs="Arial"/>
                <w:sz w:val="24"/>
                <w:szCs w:val="24"/>
                <w:lang w:eastAsia="en-NZ"/>
              </w:rPr>
            </w:pPr>
            <w:r w:rsidRPr="00664EA6">
              <w:rPr>
                <w:rFonts w:ascii="Arial" w:hAnsi="Arial" w:cs="Arial"/>
                <w:sz w:val="24"/>
                <w:szCs w:val="24"/>
              </w:rPr>
              <w:t>Percentage of missed visits as proportion of total visits</w:t>
            </w:r>
          </w:p>
        </w:tc>
        <w:tc>
          <w:tcPr>
            <w:tcW w:w="0" w:type="auto"/>
            <w:shd w:val="clear" w:color="auto" w:fill="auto"/>
          </w:tcPr>
          <w:p w14:paraId="79A37602" w14:textId="77777777" w:rsidR="00D153FC" w:rsidRPr="00664EA6" w:rsidRDefault="00D153FC" w:rsidP="00D153FC">
            <w:pPr>
              <w:spacing w:after="0" w:line="240" w:lineRule="auto"/>
              <w:rPr>
                <w:rFonts w:ascii="Arial" w:eastAsia="Times New Roman" w:hAnsi="Arial" w:cs="Arial"/>
                <w:color w:val="000000"/>
                <w:sz w:val="24"/>
                <w:szCs w:val="24"/>
                <w:lang w:eastAsia="en-NZ"/>
              </w:rPr>
            </w:pPr>
            <w:r w:rsidRPr="00664EA6">
              <w:rPr>
                <w:rFonts w:ascii="Arial" w:hAnsi="Arial" w:cs="Arial"/>
                <w:sz w:val="24"/>
                <w:szCs w:val="24"/>
              </w:rPr>
              <w:t>Excel</w:t>
            </w:r>
          </w:p>
        </w:tc>
        <w:tc>
          <w:tcPr>
            <w:tcW w:w="1477" w:type="dxa"/>
            <w:shd w:val="clear" w:color="auto" w:fill="auto"/>
          </w:tcPr>
          <w:p w14:paraId="0EF31F05" w14:textId="77777777" w:rsidR="00D153FC" w:rsidRPr="00664EA6" w:rsidRDefault="00D153FC" w:rsidP="00D153FC">
            <w:pPr>
              <w:spacing w:after="0" w:line="240" w:lineRule="auto"/>
              <w:rPr>
                <w:rFonts w:ascii="Arial" w:eastAsia="Times New Roman" w:hAnsi="Arial" w:cs="Arial"/>
                <w:color w:val="000000"/>
                <w:sz w:val="24"/>
                <w:szCs w:val="24"/>
                <w:lang w:eastAsia="en-NZ"/>
              </w:rPr>
            </w:pPr>
            <w:r w:rsidRPr="00664EA6">
              <w:rPr>
                <w:rFonts w:ascii="Arial" w:hAnsi="Arial" w:cs="Arial"/>
                <w:sz w:val="24"/>
                <w:szCs w:val="24"/>
              </w:rPr>
              <w:t>Monthly</w:t>
            </w:r>
          </w:p>
        </w:tc>
      </w:tr>
      <w:tr w:rsidR="009071ED" w:rsidRPr="00986409" w14:paraId="1465BE4F" w14:textId="77777777" w:rsidTr="006E1945">
        <w:trPr>
          <w:gridAfter w:val="1"/>
          <w:wAfter w:w="236" w:type="dxa"/>
          <w:trHeight w:val="600"/>
        </w:trPr>
        <w:tc>
          <w:tcPr>
            <w:tcW w:w="1725" w:type="dxa"/>
            <w:vMerge/>
            <w:shd w:val="clear" w:color="auto" w:fill="auto"/>
            <w:hideMark/>
          </w:tcPr>
          <w:p w14:paraId="49493320" w14:textId="77777777" w:rsidR="009071ED" w:rsidRPr="00664EA6" w:rsidRDefault="009071ED" w:rsidP="009071ED">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183B3203" w14:textId="77777777" w:rsidR="009071ED" w:rsidRPr="00664EA6" w:rsidRDefault="009071ED" w:rsidP="009071E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31FA5955" w14:textId="77777777" w:rsidR="009071ED" w:rsidRPr="00664EA6" w:rsidRDefault="006C58E3" w:rsidP="009071ED">
            <w:pPr>
              <w:spacing w:after="0"/>
              <w:rPr>
                <w:rFonts w:ascii="Arial" w:eastAsia="Times New Roman" w:hAnsi="Arial" w:cs="Arial"/>
                <w:sz w:val="24"/>
                <w:szCs w:val="24"/>
                <w:lang w:eastAsia="en-NZ"/>
              </w:rPr>
            </w:pPr>
            <w:r w:rsidRPr="00664EA6">
              <w:rPr>
                <w:rFonts w:ascii="Arial" w:eastAsia="Times New Roman" w:hAnsi="Arial" w:cs="Arial"/>
                <w:sz w:val="24"/>
                <w:szCs w:val="24"/>
                <w:lang w:eastAsia="en-NZ"/>
              </w:rPr>
              <w:t>Number and</w:t>
            </w:r>
            <w:r w:rsidR="00D153FC" w:rsidRPr="00664EA6">
              <w:rPr>
                <w:rFonts w:ascii="Arial" w:eastAsia="Times New Roman" w:hAnsi="Arial" w:cs="Arial"/>
                <w:sz w:val="24"/>
                <w:szCs w:val="24"/>
                <w:lang w:eastAsia="en-NZ"/>
              </w:rPr>
              <w:t xml:space="preserve"> percentage of visits incurring exceptional travel funding</w:t>
            </w:r>
          </w:p>
        </w:tc>
        <w:tc>
          <w:tcPr>
            <w:tcW w:w="0" w:type="auto"/>
            <w:shd w:val="clear" w:color="auto" w:fill="auto"/>
          </w:tcPr>
          <w:p w14:paraId="6C41ED37" w14:textId="77777777" w:rsidR="009071ED" w:rsidRPr="00664EA6" w:rsidRDefault="00D153FC" w:rsidP="009071E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383640EE" w14:textId="77777777" w:rsidR="009071ED" w:rsidRPr="00664EA6" w:rsidRDefault="00D153FC" w:rsidP="009071E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Monthly</w:t>
            </w:r>
          </w:p>
        </w:tc>
      </w:tr>
      <w:tr w:rsidR="009071ED" w:rsidRPr="00986409" w14:paraId="747700DF" w14:textId="77777777" w:rsidTr="006E1945">
        <w:trPr>
          <w:trHeight w:val="714"/>
        </w:trPr>
        <w:tc>
          <w:tcPr>
            <w:tcW w:w="1725" w:type="dxa"/>
            <w:vMerge/>
            <w:shd w:val="clear" w:color="auto" w:fill="auto"/>
          </w:tcPr>
          <w:p w14:paraId="1E4299FE" w14:textId="77777777" w:rsidR="009071ED" w:rsidRPr="00664EA6" w:rsidRDefault="009071ED" w:rsidP="009071ED">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7C1A6F13" w14:textId="77777777" w:rsidR="009071ED" w:rsidRPr="00664EA6" w:rsidRDefault="009071ED" w:rsidP="009071E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1D2428E3" w14:textId="77777777" w:rsidR="009071ED" w:rsidRPr="00664EA6" w:rsidRDefault="00B15535" w:rsidP="009071ED">
            <w:pPr>
              <w:spacing w:after="0" w:line="240" w:lineRule="auto"/>
              <w:rPr>
                <w:rFonts w:ascii="Arial" w:eastAsia="Times New Roman" w:hAnsi="Arial" w:cs="Arial"/>
                <w:color w:val="000000"/>
                <w:sz w:val="24"/>
                <w:szCs w:val="24"/>
                <w:lang w:eastAsia="en-NZ"/>
              </w:rPr>
            </w:pPr>
            <w:r w:rsidRPr="00664EA6">
              <w:rPr>
                <w:rFonts w:ascii="Arial" w:hAnsi="Arial" w:cs="Arial"/>
                <w:sz w:val="24"/>
                <w:szCs w:val="24"/>
              </w:rPr>
              <w:t>Number of n</w:t>
            </w:r>
            <w:r w:rsidR="009071ED" w:rsidRPr="00664EA6">
              <w:rPr>
                <w:rFonts w:ascii="Arial" w:hAnsi="Arial" w:cs="Arial"/>
                <w:sz w:val="24"/>
                <w:szCs w:val="24"/>
              </w:rPr>
              <w:t xml:space="preserve">ew </w:t>
            </w:r>
            <w:proofErr w:type="gramStart"/>
            <w:r w:rsidR="009071ED" w:rsidRPr="00664EA6">
              <w:rPr>
                <w:rFonts w:ascii="Arial" w:hAnsi="Arial" w:cs="Arial"/>
                <w:sz w:val="24"/>
                <w:szCs w:val="24"/>
              </w:rPr>
              <w:t>staff</w:t>
            </w:r>
            <w:proofErr w:type="gramEnd"/>
            <w:r w:rsidR="009071ED" w:rsidRPr="00664EA6">
              <w:rPr>
                <w:rFonts w:ascii="Arial" w:hAnsi="Arial" w:cs="Arial"/>
                <w:sz w:val="24"/>
                <w:szCs w:val="24"/>
              </w:rPr>
              <w:t xml:space="preserve"> by designation within the quarter</w:t>
            </w:r>
          </w:p>
        </w:tc>
        <w:tc>
          <w:tcPr>
            <w:tcW w:w="0" w:type="auto"/>
            <w:shd w:val="clear" w:color="auto" w:fill="auto"/>
          </w:tcPr>
          <w:p w14:paraId="0F413F0B" w14:textId="77777777" w:rsidR="009071ED" w:rsidRPr="00664EA6" w:rsidRDefault="009071ED" w:rsidP="009071E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551C53C6" w14:textId="77777777" w:rsidR="009071ED" w:rsidRPr="00664EA6" w:rsidRDefault="009071ED" w:rsidP="009071E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Quarterly</w:t>
            </w:r>
          </w:p>
        </w:tc>
        <w:tc>
          <w:tcPr>
            <w:tcW w:w="236" w:type="dxa"/>
            <w:tcBorders>
              <w:top w:val="nil"/>
              <w:bottom w:val="nil"/>
              <w:right w:val="nil"/>
            </w:tcBorders>
            <w:shd w:val="clear" w:color="auto" w:fill="auto"/>
          </w:tcPr>
          <w:p w14:paraId="3AC6B769" w14:textId="77777777" w:rsidR="009071ED" w:rsidRPr="006E1945" w:rsidRDefault="009071ED" w:rsidP="009071ED">
            <w:pPr>
              <w:rPr>
                <w:rFonts w:ascii="Arial" w:hAnsi="Arial" w:cs="Arial"/>
                <w:sz w:val="24"/>
                <w:szCs w:val="24"/>
              </w:rPr>
            </w:pPr>
          </w:p>
        </w:tc>
      </w:tr>
      <w:tr w:rsidR="009071ED" w:rsidRPr="00986409" w14:paraId="145FE705" w14:textId="77777777" w:rsidTr="006E1945">
        <w:trPr>
          <w:gridAfter w:val="1"/>
          <w:wAfter w:w="236" w:type="dxa"/>
          <w:trHeight w:val="600"/>
        </w:trPr>
        <w:tc>
          <w:tcPr>
            <w:tcW w:w="1725" w:type="dxa"/>
            <w:vMerge/>
            <w:shd w:val="clear" w:color="auto" w:fill="auto"/>
            <w:hideMark/>
          </w:tcPr>
          <w:p w14:paraId="14696107" w14:textId="77777777" w:rsidR="009071ED" w:rsidRPr="00664EA6" w:rsidRDefault="009071ED" w:rsidP="009071ED">
            <w:pPr>
              <w:spacing w:after="0" w:line="240" w:lineRule="auto"/>
              <w:rPr>
                <w:rFonts w:ascii="Arial" w:eastAsia="Times New Roman" w:hAnsi="Arial" w:cs="Arial"/>
                <w:color w:val="000000"/>
                <w:sz w:val="24"/>
                <w:szCs w:val="24"/>
                <w:lang w:eastAsia="en-NZ"/>
              </w:rPr>
            </w:pPr>
          </w:p>
        </w:tc>
        <w:tc>
          <w:tcPr>
            <w:tcW w:w="1884" w:type="dxa"/>
            <w:vMerge/>
            <w:shd w:val="clear" w:color="auto" w:fill="auto"/>
            <w:hideMark/>
          </w:tcPr>
          <w:p w14:paraId="29BC0051" w14:textId="77777777" w:rsidR="009071ED" w:rsidRPr="00664EA6" w:rsidRDefault="009071ED" w:rsidP="009071ED">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2C64F4CD" w14:textId="77777777" w:rsidR="009071ED" w:rsidRPr="00664EA6" w:rsidRDefault="009071ED" w:rsidP="009071ED">
            <w:pPr>
              <w:spacing w:after="0" w:line="240" w:lineRule="auto"/>
              <w:rPr>
                <w:rFonts w:ascii="Arial" w:eastAsia="Times New Roman" w:hAnsi="Arial" w:cs="Arial"/>
                <w:color w:val="000000"/>
                <w:sz w:val="24"/>
                <w:szCs w:val="24"/>
                <w:lang w:eastAsia="en-NZ"/>
              </w:rPr>
            </w:pPr>
            <w:r w:rsidRPr="00664EA6">
              <w:rPr>
                <w:rFonts w:ascii="Arial" w:hAnsi="Arial" w:cs="Arial"/>
                <w:sz w:val="24"/>
                <w:szCs w:val="24"/>
              </w:rPr>
              <w:t>Number and percentage of staff by ethnicity as a proportion of total staff</w:t>
            </w:r>
            <w:r w:rsidR="003C103A" w:rsidRPr="00664EA6">
              <w:rPr>
                <w:rFonts w:ascii="Arial" w:hAnsi="Arial" w:cs="Arial"/>
                <w:sz w:val="24"/>
                <w:szCs w:val="24"/>
              </w:rPr>
              <w:t xml:space="preserve"> (if small numbers consider </w:t>
            </w:r>
            <w:r w:rsidR="00370125" w:rsidRPr="00664EA6">
              <w:rPr>
                <w:rFonts w:ascii="Arial" w:hAnsi="Arial" w:cs="Arial"/>
                <w:sz w:val="24"/>
                <w:szCs w:val="24"/>
              </w:rPr>
              <w:t>identifiability</w:t>
            </w:r>
            <w:r w:rsidR="003C103A" w:rsidRPr="00664EA6">
              <w:rPr>
                <w:rFonts w:ascii="Arial" w:hAnsi="Arial" w:cs="Arial"/>
                <w:sz w:val="24"/>
                <w:szCs w:val="24"/>
              </w:rPr>
              <w:t xml:space="preserve"> of data)</w:t>
            </w:r>
          </w:p>
        </w:tc>
        <w:tc>
          <w:tcPr>
            <w:tcW w:w="0" w:type="auto"/>
            <w:shd w:val="clear" w:color="auto" w:fill="auto"/>
          </w:tcPr>
          <w:p w14:paraId="381019FD" w14:textId="77777777" w:rsidR="009071ED" w:rsidRPr="00664EA6" w:rsidRDefault="009071ED" w:rsidP="009071E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5CC1DD9E" w14:textId="77777777" w:rsidR="009071ED" w:rsidRPr="00664EA6" w:rsidRDefault="009071ED" w:rsidP="009071ED">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Quarterly</w:t>
            </w:r>
          </w:p>
        </w:tc>
      </w:tr>
      <w:tr w:rsidR="006D082E" w:rsidRPr="00986409" w14:paraId="76B7FD06" w14:textId="77777777" w:rsidTr="006E1945">
        <w:trPr>
          <w:gridAfter w:val="1"/>
          <w:wAfter w:w="236" w:type="dxa"/>
          <w:trHeight w:val="568"/>
        </w:trPr>
        <w:tc>
          <w:tcPr>
            <w:tcW w:w="1725" w:type="dxa"/>
            <w:vMerge/>
            <w:shd w:val="clear" w:color="auto" w:fill="auto"/>
          </w:tcPr>
          <w:p w14:paraId="3E2E5E84" w14:textId="77777777" w:rsidR="006D082E" w:rsidRPr="00664EA6" w:rsidRDefault="006D082E" w:rsidP="00D21FFA">
            <w:pPr>
              <w:spacing w:after="0" w:line="240" w:lineRule="auto"/>
              <w:rPr>
                <w:rFonts w:ascii="Arial" w:eastAsia="Times New Roman" w:hAnsi="Arial" w:cs="Arial"/>
                <w:color w:val="000000"/>
                <w:sz w:val="24"/>
                <w:szCs w:val="24"/>
                <w:lang w:eastAsia="en-NZ"/>
              </w:rPr>
            </w:pPr>
          </w:p>
        </w:tc>
        <w:tc>
          <w:tcPr>
            <w:tcW w:w="1884" w:type="dxa"/>
            <w:vMerge/>
            <w:shd w:val="clear" w:color="auto" w:fill="auto"/>
          </w:tcPr>
          <w:p w14:paraId="13ECD488" w14:textId="77777777" w:rsidR="006D082E" w:rsidRPr="00664EA6" w:rsidRDefault="006D082E" w:rsidP="00D21FFA">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7FA2326E" w14:textId="77777777" w:rsidR="006D082E" w:rsidRPr="00664EA6" w:rsidRDefault="006D082E" w:rsidP="00D21FFA">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Number and percentage of total support worker staff on guaranteed hours</w:t>
            </w:r>
          </w:p>
        </w:tc>
        <w:tc>
          <w:tcPr>
            <w:tcW w:w="0" w:type="auto"/>
            <w:shd w:val="clear" w:color="auto" w:fill="auto"/>
          </w:tcPr>
          <w:p w14:paraId="0C759BAD" w14:textId="77777777" w:rsidR="006D082E" w:rsidRPr="00664EA6" w:rsidRDefault="006D082E" w:rsidP="00D21FFA">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Excel</w:t>
            </w:r>
          </w:p>
        </w:tc>
        <w:tc>
          <w:tcPr>
            <w:tcW w:w="1477" w:type="dxa"/>
            <w:shd w:val="clear" w:color="auto" w:fill="auto"/>
          </w:tcPr>
          <w:p w14:paraId="16E1FD1D" w14:textId="77777777" w:rsidR="006D082E" w:rsidRPr="00664EA6" w:rsidRDefault="006D082E" w:rsidP="00D21FFA">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Quarterly</w:t>
            </w:r>
          </w:p>
        </w:tc>
      </w:tr>
      <w:tr w:rsidR="009071ED" w:rsidRPr="00986409" w14:paraId="61B88D6F" w14:textId="77777777" w:rsidTr="006E1945">
        <w:trPr>
          <w:gridAfter w:val="1"/>
          <w:wAfter w:w="236" w:type="dxa"/>
          <w:trHeight w:val="568"/>
        </w:trPr>
        <w:tc>
          <w:tcPr>
            <w:tcW w:w="1725" w:type="dxa"/>
            <w:vMerge/>
            <w:shd w:val="clear" w:color="auto" w:fill="auto"/>
            <w:hideMark/>
          </w:tcPr>
          <w:p w14:paraId="0B72D7ED" w14:textId="77777777" w:rsidR="009071ED" w:rsidRPr="00664EA6" w:rsidRDefault="009071ED" w:rsidP="00D21FFA">
            <w:pPr>
              <w:spacing w:after="0" w:line="240" w:lineRule="auto"/>
              <w:rPr>
                <w:rFonts w:ascii="Arial" w:eastAsia="Times New Roman" w:hAnsi="Arial" w:cs="Arial"/>
                <w:color w:val="000000"/>
                <w:sz w:val="24"/>
                <w:szCs w:val="24"/>
                <w:lang w:eastAsia="en-NZ"/>
              </w:rPr>
            </w:pPr>
          </w:p>
        </w:tc>
        <w:tc>
          <w:tcPr>
            <w:tcW w:w="1884" w:type="dxa"/>
            <w:vMerge/>
            <w:shd w:val="clear" w:color="auto" w:fill="auto"/>
            <w:hideMark/>
          </w:tcPr>
          <w:p w14:paraId="4FD2659B" w14:textId="77777777" w:rsidR="009071ED" w:rsidRPr="00664EA6" w:rsidRDefault="009071ED" w:rsidP="00D21FFA">
            <w:pPr>
              <w:spacing w:after="0" w:line="240" w:lineRule="auto"/>
              <w:rPr>
                <w:rFonts w:ascii="Arial" w:eastAsia="Times New Roman" w:hAnsi="Arial" w:cs="Arial"/>
                <w:color w:val="000000"/>
                <w:sz w:val="24"/>
                <w:szCs w:val="24"/>
                <w:lang w:eastAsia="en-NZ"/>
              </w:rPr>
            </w:pPr>
          </w:p>
        </w:tc>
        <w:tc>
          <w:tcPr>
            <w:tcW w:w="3217" w:type="dxa"/>
            <w:shd w:val="clear" w:color="auto" w:fill="auto"/>
          </w:tcPr>
          <w:p w14:paraId="5590C239" w14:textId="38E46B74" w:rsidR="009071ED" w:rsidRPr="006E1945" w:rsidRDefault="009071ED" w:rsidP="00D21FFA">
            <w:pPr>
              <w:spacing w:after="0" w:line="240" w:lineRule="auto"/>
              <w:rPr>
                <w:rFonts w:ascii="Arial" w:eastAsia="Times New Roman" w:hAnsi="Arial" w:cs="Arial"/>
                <w:color w:val="000000"/>
                <w:sz w:val="24"/>
                <w:szCs w:val="24"/>
                <w:lang w:eastAsia="en-NZ"/>
              </w:rPr>
            </w:pPr>
            <w:r w:rsidRPr="00664EA6">
              <w:rPr>
                <w:rFonts w:ascii="Arial" w:eastAsia="Times New Roman" w:hAnsi="Arial" w:cs="Arial"/>
                <w:color w:val="000000"/>
                <w:sz w:val="24"/>
                <w:szCs w:val="24"/>
                <w:lang w:eastAsia="en-NZ"/>
              </w:rPr>
              <w:t xml:space="preserve">Number and percentage of staff by </w:t>
            </w:r>
            <w:r w:rsidR="002A4CCF" w:rsidRPr="00664EA6">
              <w:rPr>
                <w:rFonts w:ascii="Arial" w:eastAsia="Times New Roman" w:hAnsi="Arial" w:cs="Arial"/>
                <w:color w:val="000000"/>
                <w:sz w:val="24"/>
                <w:szCs w:val="24"/>
                <w:lang w:eastAsia="en-NZ"/>
              </w:rPr>
              <w:t>qualification</w:t>
            </w:r>
            <w:r w:rsidRPr="00664EA6">
              <w:rPr>
                <w:rFonts w:ascii="Arial" w:eastAsia="Times New Roman" w:hAnsi="Arial" w:cs="Arial"/>
                <w:color w:val="000000"/>
                <w:sz w:val="24"/>
                <w:szCs w:val="24"/>
                <w:lang w:eastAsia="en-NZ"/>
              </w:rPr>
              <w:t xml:space="preserve"> level at end of quarter</w:t>
            </w:r>
          </w:p>
        </w:tc>
        <w:tc>
          <w:tcPr>
            <w:tcW w:w="0" w:type="auto"/>
            <w:shd w:val="clear" w:color="auto" w:fill="auto"/>
          </w:tcPr>
          <w:p w14:paraId="2D77F986" w14:textId="77777777" w:rsidR="009071ED" w:rsidRPr="006E1945" w:rsidRDefault="009071ED" w:rsidP="00D21FFA">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Excel</w:t>
            </w:r>
          </w:p>
        </w:tc>
        <w:tc>
          <w:tcPr>
            <w:tcW w:w="1477" w:type="dxa"/>
            <w:shd w:val="clear" w:color="auto" w:fill="auto"/>
          </w:tcPr>
          <w:p w14:paraId="6EAC43F9" w14:textId="77777777" w:rsidR="009071ED" w:rsidRPr="006E1945" w:rsidRDefault="009071ED" w:rsidP="00D21FFA">
            <w:pPr>
              <w:spacing w:after="0" w:line="240" w:lineRule="auto"/>
              <w:rPr>
                <w:rFonts w:ascii="Arial" w:eastAsia="Times New Roman" w:hAnsi="Arial" w:cs="Arial"/>
                <w:color w:val="000000"/>
                <w:sz w:val="24"/>
                <w:szCs w:val="24"/>
                <w:lang w:eastAsia="en-NZ"/>
              </w:rPr>
            </w:pPr>
            <w:r w:rsidRPr="006E1945">
              <w:rPr>
                <w:rFonts w:ascii="Arial" w:eastAsia="Times New Roman" w:hAnsi="Arial" w:cs="Arial"/>
                <w:color w:val="000000"/>
                <w:sz w:val="24"/>
                <w:szCs w:val="24"/>
                <w:lang w:eastAsia="en-NZ"/>
              </w:rPr>
              <w:t>Quarterly</w:t>
            </w:r>
          </w:p>
        </w:tc>
      </w:tr>
    </w:tbl>
    <w:p w14:paraId="0016BD69" w14:textId="634F391E" w:rsidR="00F65772" w:rsidRPr="006E1945" w:rsidRDefault="00483B14" w:rsidP="00471CF0">
      <w:pPr>
        <w:pStyle w:val="Heading1"/>
        <w:rPr>
          <w:lang w:val="en-US"/>
        </w:rPr>
      </w:pPr>
      <w:bookmarkStart w:id="159" w:name="_Toc43122870"/>
      <w:bookmarkEnd w:id="156"/>
      <w:r w:rsidRPr="006E1945">
        <w:rPr>
          <w:lang w:val="en-US"/>
        </w:rPr>
        <w:lastRenderedPageBreak/>
        <w:t>1</w:t>
      </w:r>
      <w:r w:rsidR="00DE1461" w:rsidRPr="006E1945">
        <w:rPr>
          <w:lang w:val="en-US"/>
        </w:rPr>
        <w:t>2</w:t>
      </w:r>
      <w:r w:rsidR="00684CBA" w:rsidRPr="006E1945">
        <w:rPr>
          <w:lang w:val="en-US"/>
        </w:rPr>
        <w:t>.</w:t>
      </w:r>
      <w:r w:rsidR="00454F18">
        <w:rPr>
          <w:lang w:val="en-US"/>
        </w:rPr>
        <w:tab/>
      </w:r>
      <w:r w:rsidR="007A0274" w:rsidRPr="006E1945">
        <w:rPr>
          <w:lang w:val="en-US"/>
        </w:rPr>
        <w:t xml:space="preserve">Technology </w:t>
      </w:r>
      <w:r w:rsidR="00071615" w:rsidRPr="006E1945">
        <w:rPr>
          <w:lang w:val="en-US"/>
        </w:rPr>
        <w:t>and</w:t>
      </w:r>
      <w:r w:rsidR="007A0274" w:rsidRPr="006E1945">
        <w:rPr>
          <w:lang w:val="en-US"/>
        </w:rPr>
        <w:t xml:space="preserve"> </w:t>
      </w:r>
      <w:r w:rsidR="00F65772" w:rsidRPr="006E1945">
        <w:rPr>
          <w:lang w:val="en-US"/>
        </w:rPr>
        <w:t>Data Requirements</w:t>
      </w:r>
      <w:bookmarkEnd w:id="157"/>
      <w:bookmarkEnd w:id="158"/>
      <w:bookmarkEnd w:id="159"/>
    </w:p>
    <w:p w14:paraId="036D0FB5" w14:textId="77777777" w:rsidR="00202A0B" w:rsidRPr="006E1945" w:rsidRDefault="00202A0B" w:rsidP="006E1945">
      <w:pPr>
        <w:pStyle w:val="Heading2"/>
        <w:spacing w:after="120"/>
        <w:rPr>
          <w:rFonts w:ascii="Arial" w:hAnsi="Arial" w:cs="Arial"/>
          <w:sz w:val="24"/>
          <w:szCs w:val="24"/>
        </w:rPr>
      </w:pPr>
      <w:bookmarkStart w:id="160" w:name="_Toc43122871"/>
      <w:r w:rsidRPr="006E1945">
        <w:rPr>
          <w:rFonts w:ascii="Arial" w:hAnsi="Arial" w:cs="Arial"/>
          <w:sz w:val="24"/>
          <w:szCs w:val="24"/>
        </w:rPr>
        <w:t>1</w:t>
      </w:r>
      <w:r w:rsidR="00DE1461" w:rsidRPr="006E1945">
        <w:rPr>
          <w:rFonts w:ascii="Arial" w:hAnsi="Arial" w:cs="Arial"/>
          <w:sz w:val="24"/>
          <w:szCs w:val="24"/>
        </w:rPr>
        <w:t>2</w:t>
      </w:r>
      <w:r w:rsidRPr="006E1945">
        <w:rPr>
          <w:rFonts w:ascii="Arial" w:hAnsi="Arial" w:cs="Arial"/>
          <w:sz w:val="24"/>
          <w:szCs w:val="24"/>
        </w:rPr>
        <w:t>.1</w:t>
      </w:r>
      <w:r w:rsidR="00454F18">
        <w:rPr>
          <w:rFonts w:ascii="Arial" w:hAnsi="Arial" w:cs="Arial"/>
          <w:sz w:val="24"/>
          <w:szCs w:val="24"/>
        </w:rPr>
        <w:tab/>
      </w:r>
      <w:r w:rsidRPr="006E1945">
        <w:rPr>
          <w:rFonts w:ascii="Arial" w:hAnsi="Arial" w:cs="Arial"/>
          <w:sz w:val="24"/>
          <w:szCs w:val="24"/>
        </w:rPr>
        <w:t>General</w:t>
      </w:r>
      <w:bookmarkEnd w:id="160"/>
    </w:p>
    <w:p w14:paraId="0A004CD4" w14:textId="77777777" w:rsidR="007A0274" w:rsidRPr="006E1945" w:rsidRDefault="007A0274" w:rsidP="006E1945">
      <w:pPr>
        <w:pStyle w:val="ListParagraph"/>
        <w:spacing w:after="120"/>
        <w:ind w:left="0" w:right="-612"/>
        <w:contextualSpacing w:val="0"/>
        <w:rPr>
          <w:rFonts w:ascii="Arial" w:eastAsia="Arial" w:hAnsi="Arial" w:cs="Arial"/>
          <w:color w:val="000000"/>
          <w:sz w:val="24"/>
          <w:szCs w:val="24"/>
        </w:rPr>
      </w:pPr>
      <w:r w:rsidRPr="006E1945">
        <w:rPr>
          <w:rFonts w:ascii="Arial" w:eastAsia="Arial" w:hAnsi="Arial" w:cs="Arial"/>
          <w:color w:val="000000"/>
          <w:sz w:val="24"/>
          <w:szCs w:val="24"/>
        </w:rPr>
        <w:t>The Service Provider’s I</w:t>
      </w:r>
      <w:r w:rsidR="00071615" w:rsidRPr="006E1945">
        <w:rPr>
          <w:rFonts w:ascii="Arial" w:eastAsia="Arial" w:hAnsi="Arial" w:cs="Arial"/>
          <w:color w:val="000000"/>
          <w:sz w:val="24"/>
          <w:szCs w:val="24"/>
        </w:rPr>
        <w:t xml:space="preserve">nformation </w:t>
      </w:r>
      <w:r w:rsidRPr="006E1945">
        <w:rPr>
          <w:rFonts w:ascii="Arial" w:eastAsia="Arial" w:hAnsi="Arial" w:cs="Arial"/>
          <w:color w:val="000000"/>
          <w:sz w:val="24"/>
          <w:szCs w:val="24"/>
        </w:rPr>
        <w:t>T</w:t>
      </w:r>
      <w:r w:rsidR="00071615" w:rsidRPr="006E1945">
        <w:rPr>
          <w:rFonts w:ascii="Arial" w:eastAsia="Arial" w:hAnsi="Arial" w:cs="Arial"/>
          <w:color w:val="000000"/>
          <w:sz w:val="24"/>
          <w:szCs w:val="24"/>
        </w:rPr>
        <w:t>echnology</w:t>
      </w:r>
      <w:r w:rsidRPr="006E1945">
        <w:rPr>
          <w:rFonts w:ascii="Arial" w:eastAsia="Arial" w:hAnsi="Arial" w:cs="Arial"/>
          <w:color w:val="000000"/>
          <w:sz w:val="24"/>
          <w:szCs w:val="24"/>
        </w:rPr>
        <w:t xml:space="preserve"> Systems will comply with the system requirements described in national and HISO </w:t>
      </w:r>
      <w:r w:rsidR="00CA3285" w:rsidRPr="006E1945">
        <w:rPr>
          <w:rFonts w:ascii="Arial" w:eastAsia="Arial" w:hAnsi="Arial" w:cs="Arial"/>
          <w:color w:val="000000"/>
          <w:sz w:val="24"/>
          <w:szCs w:val="24"/>
        </w:rPr>
        <w:t>Ethnicity Data Protocols (2017)</w:t>
      </w:r>
      <w:r w:rsidR="00CA3285" w:rsidRPr="006E1945">
        <w:rPr>
          <w:rStyle w:val="FootnoteReference"/>
          <w:rFonts w:ascii="Arial" w:eastAsia="Arial" w:hAnsi="Arial" w:cs="Arial"/>
          <w:color w:val="000000"/>
          <w:sz w:val="24"/>
          <w:szCs w:val="24"/>
        </w:rPr>
        <w:footnoteReference w:id="19"/>
      </w:r>
      <w:r w:rsidRPr="006E1945">
        <w:rPr>
          <w:rFonts w:ascii="Arial" w:eastAsia="Arial" w:hAnsi="Arial" w:cs="Arial"/>
          <w:color w:val="000000"/>
          <w:sz w:val="24"/>
          <w:szCs w:val="24"/>
        </w:rPr>
        <w:t>, including the Health Records NZS 8153:2002</w:t>
      </w:r>
      <w:r w:rsidR="003569F0" w:rsidRPr="006E1945">
        <w:rPr>
          <w:rFonts w:ascii="Arial" w:eastAsia="Arial" w:hAnsi="Arial" w:cs="Arial"/>
          <w:color w:val="000000"/>
          <w:sz w:val="24"/>
          <w:szCs w:val="24"/>
        </w:rPr>
        <w:t>.</w:t>
      </w:r>
      <w:r w:rsidRPr="006E1945">
        <w:rPr>
          <w:rFonts w:ascii="Arial" w:eastAsia="Arial" w:hAnsi="Arial" w:cs="Arial"/>
          <w:color w:val="000000"/>
          <w:sz w:val="24"/>
          <w:szCs w:val="24"/>
        </w:rPr>
        <w:t xml:space="preserve"> The Home and Community Support Sector Standard NZS 8158:2012</w:t>
      </w:r>
      <w:r w:rsidR="007B204D" w:rsidRPr="006E1945">
        <w:rPr>
          <w:rStyle w:val="FootnoteReference"/>
          <w:rFonts w:ascii="Arial" w:eastAsia="Arial" w:hAnsi="Arial" w:cs="Arial"/>
          <w:color w:val="000000"/>
          <w:sz w:val="24"/>
          <w:szCs w:val="24"/>
        </w:rPr>
        <w:footnoteReference w:id="20"/>
      </w:r>
      <w:r w:rsidRPr="006E1945">
        <w:rPr>
          <w:rFonts w:ascii="Arial" w:eastAsia="Arial" w:hAnsi="Arial" w:cs="Arial"/>
          <w:color w:val="000000"/>
          <w:sz w:val="24"/>
          <w:szCs w:val="24"/>
        </w:rPr>
        <w:t xml:space="preserve">, the Health Act 1956, the Health (Retention of Health Information) Regulations 1996 and the Health Information Privacy Code 1994.  The Service Provider’s IT Systems will support electronic information processing, interfaces and workflows specifically </w:t>
      </w:r>
      <w:proofErr w:type="spellStart"/>
      <w:r w:rsidRPr="006E1945">
        <w:rPr>
          <w:rFonts w:ascii="Arial" w:eastAsia="Arial" w:hAnsi="Arial" w:cs="Arial"/>
          <w:color w:val="000000"/>
          <w:sz w:val="24"/>
          <w:szCs w:val="24"/>
        </w:rPr>
        <w:t>interRAI</w:t>
      </w:r>
      <w:proofErr w:type="spellEnd"/>
      <w:r w:rsidRPr="006E1945">
        <w:rPr>
          <w:rFonts w:ascii="Arial" w:eastAsia="Arial" w:hAnsi="Arial" w:cs="Arial"/>
          <w:color w:val="000000"/>
          <w:sz w:val="24"/>
          <w:szCs w:val="24"/>
        </w:rPr>
        <w:t xml:space="preserve"> </w:t>
      </w:r>
      <w:r w:rsidR="00370125" w:rsidRPr="006E1945">
        <w:rPr>
          <w:rFonts w:ascii="Arial" w:eastAsia="Arial" w:hAnsi="Arial" w:cs="Arial"/>
          <w:color w:val="000000"/>
          <w:sz w:val="24"/>
          <w:szCs w:val="24"/>
        </w:rPr>
        <w:t xml:space="preserve">software. </w:t>
      </w:r>
    </w:p>
    <w:p w14:paraId="48901961" w14:textId="56E67E35" w:rsidR="00202A0B" w:rsidRPr="006E1945" w:rsidRDefault="00202A0B" w:rsidP="006E1945">
      <w:pPr>
        <w:pStyle w:val="Heading2"/>
        <w:spacing w:after="120"/>
        <w:rPr>
          <w:rFonts w:ascii="Arial" w:hAnsi="Arial" w:cs="Arial"/>
          <w:sz w:val="24"/>
          <w:szCs w:val="24"/>
        </w:rPr>
      </w:pPr>
      <w:bookmarkStart w:id="161" w:name="_Toc43122872"/>
      <w:r w:rsidRPr="006E1945">
        <w:rPr>
          <w:rFonts w:ascii="Arial" w:hAnsi="Arial" w:cs="Arial"/>
          <w:sz w:val="24"/>
          <w:szCs w:val="24"/>
        </w:rPr>
        <w:t>1</w:t>
      </w:r>
      <w:r w:rsidR="00DE1461" w:rsidRPr="006E1945">
        <w:rPr>
          <w:rFonts w:ascii="Arial" w:hAnsi="Arial" w:cs="Arial"/>
          <w:sz w:val="24"/>
          <w:szCs w:val="24"/>
        </w:rPr>
        <w:t>2</w:t>
      </w:r>
      <w:r w:rsidRPr="006E1945">
        <w:rPr>
          <w:rFonts w:ascii="Arial" w:hAnsi="Arial" w:cs="Arial"/>
          <w:sz w:val="24"/>
          <w:szCs w:val="24"/>
        </w:rPr>
        <w:t>.2</w:t>
      </w:r>
      <w:r w:rsidR="00DF2D10">
        <w:rPr>
          <w:rFonts w:ascii="Arial" w:hAnsi="Arial" w:cs="Arial"/>
          <w:sz w:val="24"/>
          <w:szCs w:val="24"/>
        </w:rPr>
        <w:tab/>
      </w:r>
      <w:r w:rsidRPr="006E1945">
        <w:rPr>
          <w:rFonts w:ascii="Arial" w:hAnsi="Arial" w:cs="Arial"/>
          <w:sz w:val="24"/>
          <w:szCs w:val="24"/>
        </w:rPr>
        <w:t xml:space="preserve">Data </w:t>
      </w:r>
      <w:r w:rsidR="00723180">
        <w:rPr>
          <w:rFonts w:ascii="Arial" w:hAnsi="Arial" w:cs="Arial"/>
          <w:sz w:val="24"/>
          <w:szCs w:val="24"/>
        </w:rPr>
        <w:t>s</w:t>
      </w:r>
      <w:r w:rsidRPr="006E1945">
        <w:rPr>
          <w:rFonts w:ascii="Arial" w:hAnsi="Arial" w:cs="Arial"/>
          <w:sz w:val="24"/>
          <w:szCs w:val="24"/>
        </w:rPr>
        <w:t>haring</w:t>
      </w:r>
      <w:bookmarkEnd w:id="161"/>
    </w:p>
    <w:p w14:paraId="5B2A8701" w14:textId="77777777" w:rsidR="007A0274" w:rsidRPr="006E1945" w:rsidRDefault="007A0274" w:rsidP="006E1945">
      <w:pPr>
        <w:pStyle w:val="ListParagraph"/>
        <w:spacing w:after="120"/>
        <w:ind w:left="0" w:right="-23"/>
        <w:contextualSpacing w:val="0"/>
        <w:rPr>
          <w:rFonts w:ascii="Arial" w:hAnsi="Arial" w:cs="Arial"/>
          <w:sz w:val="24"/>
          <w:szCs w:val="24"/>
        </w:rPr>
      </w:pPr>
      <w:r w:rsidRPr="006E1945">
        <w:rPr>
          <w:rFonts w:ascii="Arial" w:hAnsi="Arial" w:cs="Arial"/>
          <w:sz w:val="24"/>
          <w:szCs w:val="24"/>
        </w:rPr>
        <w:t xml:space="preserve">To support the objectives of service the DHB and Providers will work together with Primary </w:t>
      </w:r>
      <w:r w:rsidR="00D46933" w:rsidRPr="006E1945">
        <w:rPr>
          <w:rFonts w:ascii="Arial" w:hAnsi="Arial" w:cs="Arial"/>
          <w:sz w:val="24"/>
          <w:szCs w:val="24"/>
        </w:rPr>
        <w:t xml:space="preserve">Health </w:t>
      </w:r>
      <w:r w:rsidRPr="006E1945">
        <w:rPr>
          <w:rFonts w:ascii="Arial" w:hAnsi="Arial" w:cs="Arial"/>
          <w:sz w:val="24"/>
          <w:szCs w:val="24"/>
        </w:rPr>
        <w:t xml:space="preserve">Organisations and General Practices and other community-based providers towards identification and exploration of data sharing opportunities that will benefit the care and outcome of their </w:t>
      </w:r>
      <w:r w:rsidR="00B40C49" w:rsidRPr="006E1945">
        <w:rPr>
          <w:rFonts w:ascii="Arial" w:hAnsi="Arial" w:cs="Arial"/>
          <w:sz w:val="24"/>
          <w:szCs w:val="24"/>
        </w:rPr>
        <w:t>client</w:t>
      </w:r>
      <w:r w:rsidRPr="006E1945">
        <w:rPr>
          <w:rFonts w:ascii="Arial" w:hAnsi="Arial" w:cs="Arial"/>
          <w:sz w:val="24"/>
          <w:szCs w:val="24"/>
        </w:rPr>
        <w:t xml:space="preserve">s. </w:t>
      </w:r>
      <w:r w:rsidR="00D46933" w:rsidRPr="006E1945">
        <w:rPr>
          <w:rFonts w:ascii="Arial" w:hAnsi="Arial" w:cs="Arial"/>
          <w:sz w:val="24"/>
          <w:szCs w:val="24"/>
        </w:rPr>
        <w:t>In undertaking</w:t>
      </w:r>
      <w:r w:rsidR="009C1D8C" w:rsidRPr="006E1945">
        <w:rPr>
          <w:rFonts w:ascii="Arial" w:hAnsi="Arial" w:cs="Arial"/>
          <w:sz w:val="24"/>
          <w:szCs w:val="24"/>
        </w:rPr>
        <w:t xml:space="preserve"> any</w:t>
      </w:r>
      <w:r w:rsidRPr="006E1945">
        <w:rPr>
          <w:rFonts w:ascii="Arial" w:hAnsi="Arial" w:cs="Arial"/>
          <w:sz w:val="24"/>
          <w:szCs w:val="24"/>
        </w:rPr>
        <w:t xml:space="preserve"> such data sharing arrangements, they </w:t>
      </w:r>
      <w:r w:rsidR="00D46933" w:rsidRPr="006E1945">
        <w:rPr>
          <w:rFonts w:ascii="Arial" w:hAnsi="Arial" w:cs="Arial"/>
          <w:sz w:val="24"/>
          <w:szCs w:val="24"/>
        </w:rPr>
        <w:t>must be</w:t>
      </w:r>
      <w:r w:rsidRPr="006E1945">
        <w:rPr>
          <w:rFonts w:ascii="Arial" w:hAnsi="Arial" w:cs="Arial"/>
          <w:sz w:val="24"/>
          <w:szCs w:val="24"/>
        </w:rPr>
        <w:t xml:space="preserve"> cognisant of the confidential nature of </w:t>
      </w:r>
      <w:r w:rsidR="00B40C49" w:rsidRPr="006E1945">
        <w:rPr>
          <w:rFonts w:ascii="Arial" w:hAnsi="Arial" w:cs="Arial"/>
          <w:sz w:val="24"/>
          <w:szCs w:val="24"/>
        </w:rPr>
        <w:t>client</w:t>
      </w:r>
      <w:r w:rsidRPr="006E1945">
        <w:rPr>
          <w:rFonts w:ascii="Arial" w:hAnsi="Arial" w:cs="Arial"/>
          <w:sz w:val="24"/>
          <w:szCs w:val="24"/>
        </w:rPr>
        <w:t xml:space="preserve"> data and obligations to appropriately protect </w:t>
      </w:r>
      <w:r w:rsidR="00B40C49" w:rsidRPr="006E1945">
        <w:rPr>
          <w:rFonts w:ascii="Arial" w:hAnsi="Arial" w:cs="Arial"/>
          <w:sz w:val="24"/>
          <w:szCs w:val="24"/>
        </w:rPr>
        <w:t>client</w:t>
      </w:r>
      <w:r w:rsidRPr="006E1945">
        <w:rPr>
          <w:rFonts w:ascii="Arial" w:hAnsi="Arial" w:cs="Arial"/>
          <w:sz w:val="24"/>
          <w:szCs w:val="24"/>
        </w:rPr>
        <w:t>s’ rights to confidentiality.</w:t>
      </w:r>
    </w:p>
    <w:p w14:paraId="098A2727" w14:textId="638488A0" w:rsidR="00202A0B" w:rsidRPr="006E1945" w:rsidRDefault="00202A0B" w:rsidP="006E1945">
      <w:pPr>
        <w:pStyle w:val="Heading2"/>
        <w:spacing w:after="120"/>
        <w:rPr>
          <w:rFonts w:ascii="Arial" w:hAnsi="Arial" w:cs="Arial"/>
          <w:sz w:val="24"/>
          <w:szCs w:val="24"/>
        </w:rPr>
      </w:pPr>
      <w:bookmarkStart w:id="162" w:name="_Toc43122873"/>
      <w:r w:rsidRPr="006E1945">
        <w:rPr>
          <w:rFonts w:ascii="Arial" w:hAnsi="Arial" w:cs="Arial"/>
          <w:sz w:val="24"/>
          <w:szCs w:val="24"/>
        </w:rPr>
        <w:t>1</w:t>
      </w:r>
      <w:r w:rsidR="00DE1461" w:rsidRPr="006E1945">
        <w:rPr>
          <w:rFonts w:ascii="Arial" w:hAnsi="Arial" w:cs="Arial"/>
          <w:sz w:val="24"/>
          <w:szCs w:val="24"/>
        </w:rPr>
        <w:t>2</w:t>
      </w:r>
      <w:r w:rsidRPr="006E1945">
        <w:rPr>
          <w:rFonts w:ascii="Arial" w:hAnsi="Arial" w:cs="Arial"/>
          <w:sz w:val="24"/>
          <w:szCs w:val="24"/>
        </w:rPr>
        <w:t>.3</w:t>
      </w:r>
      <w:r w:rsidR="00DF2D10">
        <w:rPr>
          <w:rFonts w:ascii="Arial" w:hAnsi="Arial" w:cs="Arial"/>
          <w:sz w:val="24"/>
          <w:szCs w:val="24"/>
        </w:rPr>
        <w:tab/>
      </w:r>
      <w:r w:rsidRPr="006E1945">
        <w:rPr>
          <w:rFonts w:ascii="Arial" w:hAnsi="Arial" w:cs="Arial"/>
          <w:sz w:val="24"/>
          <w:szCs w:val="24"/>
        </w:rPr>
        <w:t xml:space="preserve">Data </w:t>
      </w:r>
      <w:r w:rsidR="00723180">
        <w:rPr>
          <w:rFonts w:ascii="Arial" w:hAnsi="Arial" w:cs="Arial"/>
          <w:sz w:val="24"/>
          <w:szCs w:val="24"/>
        </w:rPr>
        <w:t>c</w:t>
      </w:r>
      <w:r w:rsidRPr="006E1945">
        <w:rPr>
          <w:rFonts w:ascii="Arial" w:hAnsi="Arial" w:cs="Arial"/>
          <w:sz w:val="24"/>
          <w:szCs w:val="24"/>
        </w:rPr>
        <w:t>ollection</w:t>
      </w:r>
      <w:bookmarkEnd w:id="162"/>
    </w:p>
    <w:p w14:paraId="140CCB54" w14:textId="77777777" w:rsidR="00943EF1" w:rsidRPr="006E1945" w:rsidRDefault="001F4EF2" w:rsidP="00AF2E9A">
      <w:pPr>
        <w:pStyle w:val="ListParagraph"/>
        <w:ind w:left="0" w:right="-22"/>
        <w:contextualSpacing w:val="0"/>
        <w:rPr>
          <w:rFonts w:ascii="Arial" w:hAnsi="Arial" w:cs="Arial"/>
          <w:sz w:val="24"/>
          <w:szCs w:val="24"/>
        </w:rPr>
      </w:pPr>
      <w:r w:rsidRPr="006E1945">
        <w:rPr>
          <w:rFonts w:ascii="Arial" w:hAnsi="Arial" w:cs="Arial"/>
          <w:sz w:val="24"/>
          <w:szCs w:val="24"/>
        </w:rPr>
        <w:t xml:space="preserve">The Provider will use </w:t>
      </w:r>
      <w:r w:rsidR="007A0274" w:rsidRPr="006E1945">
        <w:rPr>
          <w:rFonts w:ascii="Arial" w:hAnsi="Arial" w:cs="Arial"/>
          <w:sz w:val="24"/>
          <w:szCs w:val="24"/>
        </w:rPr>
        <w:t xml:space="preserve">electronic information systems to </w:t>
      </w:r>
      <w:r w:rsidRPr="006E1945">
        <w:rPr>
          <w:rFonts w:ascii="Arial" w:hAnsi="Arial" w:cs="Arial"/>
          <w:sz w:val="24"/>
          <w:szCs w:val="24"/>
        </w:rPr>
        <w:t>collect</w:t>
      </w:r>
      <w:r w:rsidR="007A0274" w:rsidRPr="006E1945">
        <w:rPr>
          <w:rFonts w:ascii="Arial" w:hAnsi="Arial" w:cs="Arial"/>
          <w:sz w:val="24"/>
          <w:szCs w:val="24"/>
        </w:rPr>
        <w:t xml:space="preserve"> </w:t>
      </w:r>
      <w:r w:rsidRPr="006E1945">
        <w:rPr>
          <w:rFonts w:ascii="Arial" w:hAnsi="Arial" w:cs="Arial"/>
          <w:sz w:val="24"/>
          <w:szCs w:val="24"/>
        </w:rPr>
        <w:t xml:space="preserve">information as set out in the table below to demonstrate </w:t>
      </w:r>
      <w:r w:rsidR="007A0274" w:rsidRPr="006E1945">
        <w:rPr>
          <w:rFonts w:ascii="Arial" w:hAnsi="Arial" w:cs="Arial"/>
          <w:sz w:val="24"/>
          <w:szCs w:val="24"/>
        </w:rPr>
        <w:t>access</w:t>
      </w:r>
      <w:r w:rsidR="000E2AF6" w:rsidRPr="006E1945">
        <w:rPr>
          <w:rFonts w:ascii="Arial" w:hAnsi="Arial" w:cs="Arial"/>
          <w:sz w:val="24"/>
          <w:szCs w:val="24"/>
        </w:rPr>
        <w:t xml:space="preserve"> and ability</w:t>
      </w:r>
      <w:r w:rsidR="007A0274" w:rsidRPr="006E1945">
        <w:rPr>
          <w:rFonts w:ascii="Arial" w:hAnsi="Arial" w:cs="Arial"/>
          <w:sz w:val="24"/>
          <w:szCs w:val="24"/>
        </w:rPr>
        <w:t xml:space="preserve">, recording, reporting and </w:t>
      </w:r>
      <w:r w:rsidRPr="006E1945">
        <w:rPr>
          <w:rFonts w:ascii="Arial" w:hAnsi="Arial" w:cs="Arial"/>
          <w:sz w:val="24"/>
          <w:szCs w:val="24"/>
        </w:rPr>
        <w:t xml:space="preserve">facilitate </w:t>
      </w:r>
      <w:r w:rsidR="007A0274" w:rsidRPr="006E1945">
        <w:rPr>
          <w:rFonts w:ascii="Arial" w:hAnsi="Arial" w:cs="Arial"/>
          <w:sz w:val="24"/>
          <w:szCs w:val="24"/>
        </w:rPr>
        <w:t xml:space="preserve">sharing of demographic information, referral management, service review and service delivery data per </w:t>
      </w:r>
      <w:r w:rsidR="00B40C49" w:rsidRPr="006E1945">
        <w:rPr>
          <w:rFonts w:ascii="Arial" w:hAnsi="Arial" w:cs="Arial"/>
          <w:sz w:val="24"/>
          <w:szCs w:val="24"/>
        </w:rPr>
        <w:t>client</w:t>
      </w:r>
      <w:r w:rsidR="00BD0290" w:rsidRPr="006E1945">
        <w:rPr>
          <w:rFonts w:ascii="Arial" w:hAnsi="Arial" w:cs="Arial"/>
          <w:sz w:val="24"/>
          <w:szCs w:val="24"/>
        </w:rPr>
        <w:t>.</w:t>
      </w:r>
      <w:r w:rsidR="007A0274" w:rsidRPr="006E1945">
        <w:rPr>
          <w:rFonts w:ascii="Arial" w:hAnsi="Arial" w:cs="Arial"/>
          <w:sz w:val="24"/>
          <w:szCs w:val="24"/>
        </w:rPr>
        <w:t xml:space="preserve"> </w:t>
      </w:r>
      <w:r w:rsidRPr="006E1945">
        <w:rPr>
          <w:rFonts w:ascii="Arial" w:hAnsi="Arial" w:cs="Arial"/>
          <w:sz w:val="24"/>
          <w:szCs w:val="24"/>
        </w:rPr>
        <w:t xml:space="preserve"> </w:t>
      </w:r>
    </w:p>
    <w:tbl>
      <w:tblPr>
        <w:tblStyle w:val="TableGrid"/>
        <w:tblW w:w="9634" w:type="dxa"/>
        <w:tblLayout w:type="fixed"/>
        <w:tblLook w:val="04A0" w:firstRow="1" w:lastRow="0" w:firstColumn="1" w:lastColumn="0" w:noHBand="0" w:noVBand="1"/>
      </w:tblPr>
      <w:tblGrid>
        <w:gridCol w:w="3256"/>
        <w:gridCol w:w="3685"/>
        <w:gridCol w:w="2693"/>
      </w:tblGrid>
      <w:tr w:rsidR="003C103A" w:rsidRPr="00986409" w14:paraId="60BA003F" w14:textId="77777777" w:rsidTr="006E1945">
        <w:trPr>
          <w:tblHeader/>
        </w:trPr>
        <w:tc>
          <w:tcPr>
            <w:cnfStyle w:val="001000000000" w:firstRow="0" w:lastRow="0" w:firstColumn="1" w:lastColumn="0" w:oddVBand="0" w:evenVBand="0" w:oddHBand="0" w:evenHBand="0" w:firstRowFirstColumn="0" w:firstRowLastColumn="0" w:lastRowFirstColumn="0" w:lastRowLastColumn="0"/>
            <w:tcW w:w="3256" w:type="dxa"/>
            <w:shd w:val="clear" w:color="auto" w:fill="D8D8D8" w:themeFill="background2"/>
          </w:tcPr>
          <w:p w14:paraId="49E105EB" w14:textId="77777777" w:rsidR="003C103A" w:rsidRPr="005F1341" w:rsidRDefault="003C103A" w:rsidP="00E6579F">
            <w:pPr>
              <w:pStyle w:val="ListParagraph"/>
              <w:spacing w:before="120" w:after="120"/>
              <w:ind w:left="0"/>
              <w:rPr>
                <w:rFonts w:ascii="Arial" w:hAnsi="Arial" w:cs="Arial"/>
                <w:b w:val="0"/>
                <w:sz w:val="24"/>
                <w:szCs w:val="24"/>
              </w:rPr>
            </w:pPr>
            <w:bookmarkStart w:id="163" w:name="_Hlk22805477"/>
            <w:r w:rsidRPr="00986409">
              <w:rPr>
                <w:rFonts w:ascii="Arial" w:hAnsi="Arial" w:cs="Arial"/>
                <w:sz w:val="24"/>
                <w:szCs w:val="24"/>
              </w:rPr>
              <w:t>Client Information</w:t>
            </w:r>
          </w:p>
        </w:tc>
        <w:tc>
          <w:tcPr>
            <w:tcW w:w="3685" w:type="dxa"/>
            <w:shd w:val="clear" w:color="auto" w:fill="D8D8D8" w:themeFill="background2"/>
          </w:tcPr>
          <w:p w14:paraId="58ACEF3F" w14:textId="77777777" w:rsidR="003C103A" w:rsidRPr="00874DFB" w:rsidRDefault="003C103A" w:rsidP="00E6579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74DFB">
              <w:rPr>
                <w:rFonts w:ascii="Arial" w:hAnsi="Arial" w:cs="Arial"/>
                <w:b/>
                <w:sz w:val="24"/>
                <w:szCs w:val="24"/>
              </w:rPr>
              <w:t>Service Information</w:t>
            </w:r>
          </w:p>
        </w:tc>
        <w:tc>
          <w:tcPr>
            <w:tcW w:w="2693" w:type="dxa"/>
            <w:shd w:val="clear" w:color="auto" w:fill="D8D8D8" w:themeFill="background2"/>
          </w:tcPr>
          <w:p w14:paraId="7D632CC8" w14:textId="77777777" w:rsidR="003C103A" w:rsidRPr="00986409" w:rsidRDefault="003C103A" w:rsidP="00E6579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86409">
              <w:rPr>
                <w:rFonts w:ascii="Arial" w:hAnsi="Arial" w:cs="Arial"/>
                <w:b/>
                <w:sz w:val="24"/>
                <w:szCs w:val="24"/>
              </w:rPr>
              <w:t>Provider Information</w:t>
            </w:r>
          </w:p>
        </w:tc>
      </w:tr>
      <w:tr w:rsidR="003C103A" w:rsidRPr="00986409" w14:paraId="197350F6" w14:textId="77777777" w:rsidTr="006E1945">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5AA85A03"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Client NHI</w:t>
            </w:r>
          </w:p>
          <w:p w14:paraId="0791F8DD"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Client Name</w:t>
            </w:r>
          </w:p>
          <w:p w14:paraId="0604EC9D"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Client Date of Birth</w:t>
            </w:r>
          </w:p>
          <w:p w14:paraId="05F5EA9A"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Client Gender</w:t>
            </w:r>
          </w:p>
          <w:p w14:paraId="4635C5D3"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Client Ethnicity</w:t>
            </w:r>
          </w:p>
          <w:p w14:paraId="17F30C1E"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Contact Details</w:t>
            </w:r>
          </w:p>
          <w:p w14:paraId="622493EB"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Emergency Contact Details</w:t>
            </w:r>
          </w:p>
          <w:p w14:paraId="304B80FA" w14:textId="77777777" w:rsidR="003C103A" w:rsidRPr="006E1945" w:rsidRDefault="003C103A" w:rsidP="006F6DA9">
            <w:pPr>
              <w:autoSpaceDE w:val="0"/>
              <w:autoSpaceDN w:val="0"/>
              <w:adjustRightInd w:val="0"/>
              <w:spacing w:after="0"/>
              <w:rPr>
                <w:rFonts w:ascii="Arial" w:eastAsia="SymbolMT" w:hAnsi="Arial" w:cs="Arial"/>
                <w:sz w:val="24"/>
                <w:szCs w:val="24"/>
                <w:lang w:eastAsia="en-NZ"/>
              </w:rPr>
            </w:pPr>
            <w:r w:rsidRPr="006E1945">
              <w:rPr>
                <w:rFonts w:ascii="Arial" w:eastAsia="SymbolMT" w:hAnsi="Arial" w:cs="Arial"/>
                <w:sz w:val="24"/>
                <w:szCs w:val="24"/>
                <w:lang w:eastAsia="en-NZ"/>
              </w:rPr>
              <w:t xml:space="preserve">Next of Kin/Carer </w:t>
            </w:r>
          </w:p>
          <w:p w14:paraId="5B9FD228" w14:textId="77777777" w:rsidR="003C103A" w:rsidRPr="006E1945" w:rsidRDefault="003C103A" w:rsidP="003C103A">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Date of referral to service</w:t>
            </w:r>
          </w:p>
          <w:p w14:paraId="1D4E327B" w14:textId="77777777" w:rsidR="003C103A" w:rsidRPr="006E1945" w:rsidRDefault="003C103A" w:rsidP="003C103A">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Known previous medical history/ diagnosis</w:t>
            </w:r>
          </w:p>
          <w:p w14:paraId="5BF36C61" w14:textId="77777777" w:rsidR="003C103A" w:rsidRPr="006E1945" w:rsidRDefault="00B360E1" w:rsidP="003C103A">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A</w:t>
            </w:r>
            <w:r w:rsidR="003C103A" w:rsidRPr="006E1945">
              <w:rPr>
                <w:rFonts w:ascii="Arial" w:eastAsia="SymbolMT" w:hAnsi="Arial" w:cs="Arial"/>
                <w:sz w:val="24"/>
                <w:szCs w:val="24"/>
                <w:lang w:eastAsia="en-NZ"/>
              </w:rPr>
              <w:t>ccepted/rejected (case made active)</w:t>
            </w:r>
          </w:p>
          <w:p w14:paraId="24919AF5" w14:textId="77777777" w:rsidR="003C103A" w:rsidRPr="006E1945" w:rsidRDefault="00B360E1" w:rsidP="003C103A">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lastRenderedPageBreak/>
              <w:t>C</w:t>
            </w:r>
            <w:r w:rsidR="003C103A" w:rsidRPr="006E1945">
              <w:rPr>
                <w:rFonts w:ascii="Arial" w:eastAsia="SymbolMT" w:hAnsi="Arial" w:cs="Arial"/>
                <w:sz w:val="24"/>
                <w:szCs w:val="24"/>
                <w:lang w:eastAsia="en-NZ"/>
              </w:rPr>
              <w:t>lient</w:t>
            </w:r>
            <w:r w:rsidR="000D4422" w:rsidRPr="006E1945">
              <w:rPr>
                <w:rFonts w:ascii="Arial" w:eastAsia="SymbolMT" w:hAnsi="Arial" w:cs="Arial"/>
                <w:sz w:val="24"/>
                <w:szCs w:val="24"/>
                <w:lang w:eastAsia="en-NZ"/>
              </w:rPr>
              <w:t xml:space="preserve"> by</w:t>
            </w:r>
            <w:r w:rsidR="003C103A" w:rsidRPr="006E1945">
              <w:rPr>
                <w:rFonts w:ascii="Arial" w:eastAsia="SymbolMT" w:hAnsi="Arial" w:cs="Arial"/>
                <w:sz w:val="24"/>
                <w:szCs w:val="24"/>
                <w:lang w:eastAsia="en-NZ"/>
              </w:rPr>
              <w:t xml:space="preserve"> allocated casemix level</w:t>
            </w:r>
          </w:p>
          <w:p w14:paraId="00F27B0E"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Details including contact details</w:t>
            </w:r>
          </w:p>
          <w:p w14:paraId="71677796"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Residence Type Known Access/Safety Issues</w:t>
            </w:r>
          </w:p>
          <w:p w14:paraId="2963BBD7"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Preferred Language</w:t>
            </w:r>
          </w:p>
          <w:p w14:paraId="722A0058" w14:textId="77777777" w:rsidR="003C103A" w:rsidRPr="006E1945" w:rsidRDefault="003C103A" w:rsidP="006F6DA9">
            <w:pPr>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Iwi Affiliation</w:t>
            </w:r>
          </w:p>
          <w:p w14:paraId="505C169F"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 xml:space="preserve">Clients’ GP name, practice address, phone number. </w:t>
            </w:r>
          </w:p>
          <w:p w14:paraId="77DCA5E7" w14:textId="77777777" w:rsidR="003C103A" w:rsidRPr="006E1945" w:rsidRDefault="003C103A" w:rsidP="006F6DA9">
            <w:pPr>
              <w:autoSpaceDE w:val="0"/>
              <w:autoSpaceDN w:val="0"/>
              <w:adjustRightInd w:val="0"/>
              <w:spacing w:after="0"/>
              <w:rPr>
                <w:rFonts w:ascii="Arial" w:eastAsia="SymbolMT" w:hAnsi="Arial" w:cs="Arial"/>
                <w:b w:val="0"/>
                <w:sz w:val="24"/>
                <w:szCs w:val="24"/>
                <w:lang w:eastAsia="en-NZ"/>
              </w:rPr>
            </w:pPr>
            <w:r w:rsidRPr="006E1945">
              <w:rPr>
                <w:rFonts w:ascii="Arial" w:eastAsia="SymbolMT" w:hAnsi="Arial" w:cs="Arial"/>
                <w:sz w:val="24"/>
                <w:szCs w:val="24"/>
                <w:lang w:eastAsia="en-NZ"/>
              </w:rPr>
              <w:t>GPs’ PHO name and address.</w:t>
            </w:r>
          </w:p>
          <w:p w14:paraId="66D58E72" w14:textId="77777777" w:rsidR="003C103A" w:rsidRPr="006E1945" w:rsidRDefault="003C103A" w:rsidP="006F6DA9">
            <w:pPr>
              <w:spacing w:after="0"/>
              <w:rPr>
                <w:rFonts w:ascii="Arial" w:hAnsi="Arial" w:cs="Arial"/>
                <w:b w:val="0"/>
                <w:sz w:val="24"/>
                <w:szCs w:val="24"/>
              </w:rPr>
            </w:pPr>
            <w:r w:rsidRPr="006E1945">
              <w:rPr>
                <w:rFonts w:ascii="Arial" w:eastAsia="SymbolMT" w:hAnsi="Arial" w:cs="Arial"/>
                <w:sz w:val="24"/>
                <w:szCs w:val="24"/>
                <w:lang w:eastAsia="en-NZ"/>
              </w:rPr>
              <w:t>Client’s Pharmacy name and address</w:t>
            </w:r>
          </w:p>
        </w:tc>
        <w:tc>
          <w:tcPr>
            <w:tcW w:w="3685" w:type="dxa"/>
          </w:tcPr>
          <w:p w14:paraId="29C68B40" w14:textId="77777777" w:rsidR="003C103A" w:rsidRPr="006E1945" w:rsidRDefault="003C103A" w:rsidP="006F6DA9">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lastRenderedPageBreak/>
              <w:t>Assessor/reviewer name(s) and contact details by client</w:t>
            </w:r>
          </w:p>
          <w:p w14:paraId="40D8D5F0" w14:textId="77777777" w:rsidR="003C103A" w:rsidRPr="006E1945" w:rsidRDefault="003C103A" w:rsidP="006F6DA9">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Assessment/review information generated from NASC</w:t>
            </w:r>
          </w:p>
          <w:p w14:paraId="59944129"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Date referral accepted</w:t>
            </w:r>
          </w:p>
          <w:p w14:paraId="2794AE18"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 xml:space="preserve">Date of first </w:t>
            </w:r>
            <w:r w:rsidR="00370125" w:rsidRPr="006E1945">
              <w:rPr>
                <w:rFonts w:ascii="Arial" w:hAnsi="Arial" w:cs="Arial"/>
                <w:sz w:val="24"/>
                <w:szCs w:val="24"/>
                <w:lang w:eastAsia="en-NZ"/>
              </w:rPr>
              <w:t>visit</w:t>
            </w:r>
          </w:p>
          <w:p w14:paraId="0DE78D4A"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Date of client’s service(s) implemented</w:t>
            </w:r>
          </w:p>
          <w:p w14:paraId="0723F6B3"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Date client service(s) stopped (discharge) and reason (page 13)</w:t>
            </w:r>
          </w:p>
          <w:p w14:paraId="09BBE7F4"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Review dates by casemix</w:t>
            </w:r>
          </w:p>
          <w:p w14:paraId="08BE3497"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Reassessment dates by casemix</w:t>
            </w:r>
          </w:p>
          <w:p w14:paraId="03F43A22"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lastRenderedPageBreak/>
              <w:t>Date of discharge, reason and where to</w:t>
            </w:r>
          </w:p>
          <w:p w14:paraId="4B66E372"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Date of death</w:t>
            </w:r>
          </w:p>
          <w:p w14:paraId="453075FD"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 xml:space="preserve">Workforce training information. </w:t>
            </w:r>
          </w:p>
          <w:p w14:paraId="6F2B4220"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 xml:space="preserve">Contact with other agencies. </w:t>
            </w:r>
          </w:p>
          <w:p w14:paraId="6994AFF2" w14:textId="77777777" w:rsidR="003C103A" w:rsidRPr="006E1945" w:rsidRDefault="003C103A" w:rsidP="007B4540">
            <w:pPr>
              <w:autoSpaceDE w:val="0"/>
              <w:autoSpaceDN w:val="0"/>
              <w:adjustRightInd w:val="0"/>
              <w:spacing w:after="0"/>
              <w:ind w:left="37"/>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t>Missed visits (definition</w:t>
            </w:r>
            <w:r w:rsidR="0095745D" w:rsidRPr="006E1945">
              <w:rPr>
                <w:rFonts w:ascii="Arial" w:hAnsi="Arial" w:cs="Arial"/>
                <w:sz w:val="24"/>
                <w:szCs w:val="24"/>
                <w:lang w:eastAsia="en-NZ"/>
              </w:rPr>
              <w:t xml:space="preserve"> in footnote)</w:t>
            </w:r>
            <w:r w:rsidRPr="006E1945">
              <w:rPr>
                <w:rFonts w:ascii="Arial" w:hAnsi="Arial" w:cs="Arial"/>
                <w:sz w:val="24"/>
                <w:szCs w:val="24"/>
                <w:lang w:eastAsia="en-NZ"/>
              </w:rPr>
              <w:t xml:space="preserve"> </w:t>
            </w:r>
          </w:p>
          <w:p w14:paraId="082ECD87" w14:textId="77777777" w:rsidR="003C103A" w:rsidRPr="006E1945" w:rsidRDefault="003C103A" w:rsidP="009C67DD">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p>
        </w:tc>
        <w:tc>
          <w:tcPr>
            <w:tcW w:w="2693" w:type="dxa"/>
          </w:tcPr>
          <w:p w14:paraId="068F7C21" w14:textId="77777777" w:rsidR="003C103A" w:rsidRPr="006E1945" w:rsidRDefault="003C103A" w:rsidP="006F6DA9">
            <w:pPr>
              <w:autoSpaceDE w:val="0"/>
              <w:autoSpaceDN w:val="0"/>
              <w:adjustRightInd w:val="0"/>
              <w:spacing w:after="0"/>
              <w:ind w:left="34"/>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NZ"/>
              </w:rPr>
            </w:pPr>
            <w:r w:rsidRPr="006E1945">
              <w:rPr>
                <w:rFonts w:ascii="Arial" w:hAnsi="Arial" w:cs="Arial"/>
                <w:sz w:val="24"/>
                <w:szCs w:val="24"/>
                <w:lang w:eastAsia="en-NZ"/>
              </w:rPr>
              <w:lastRenderedPageBreak/>
              <w:t>Hours of service delivered by NHI</w:t>
            </w:r>
          </w:p>
          <w:p w14:paraId="4999A76C" w14:textId="77777777" w:rsidR="003C103A" w:rsidRPr="006E1945" w:rsidRDefault="003C103A" w:rsidP="006F6DA9">
            <w:pPr>
              <w:spacing w:after="0"/>
              <w:ind w:left="34"/>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26B8C53C" w14:textId="77777777" w:rsidR="003C103A" w:rsidRPr="006E1945" w:rsidRDefault="003C103A" w:rsidP="006F6DA9">
            <w:pPr>
              <w:spacing w:after="0"/>
              <w:ind w:left="34"/>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bookmarkEnd w:id="163"/>
    </w:tbl>
    <w:p w14:paraId="77F5AFC0" w14:textId="77777777" w:rsidR="005F2603" w:rsidRPr="006E1945" w:rsidRDefault="005F2603" w:rsidP="00853D3D">
      <w:pPr>
        <w:rPr>
          <w:rFonts w:ascii="Arial" w:hAnsi="Arial" w:cs="Arial"/>
          <w:b/>
          <w:sz w:val="24"/>
          <w:szCs w:val="24"/>
          <w:lang w:val="en-US" w:eastAsia="en-NZ"/>
        </w:rPr>
      </w:pPr>
    </w:p>
    <w:p w14:paraId="27645668" w14:textId="77777777" w:rsidR="00656BB6" w:rsidRPr="006E1945" w:rsidRDefault="00E13AFA" w:rsidP="00656BB6">
      <w:pPr>
        <w:rPr>
          <w:rFonts w:ascii="Arial" w:hAnsi="Arial" w:cs="Arial"/>
          <w:color w:val="1F497D"/>
          <w:sz w:val="24"/>
          <w:szCs w:val="24"/>
        </w:rPr>
      </w:pPr>
      <w:r w:rsidRPr="006E1945">
        <w:rPr>
          <w:rFonts w:ascii="Arial" w:hAnsi="Arial" w:cs="Arial"/>
          <w:b/>
          <w:sz w:val="24"/>
          <w:szCs w:val="24"/>
          <w:lang w:val="en-US" w:eastAsia="en-NZ"/>
        </w:rPr>
        <w:t>E</w:t>
      </w:r>
      <w:r w:rsidR="00656BB6" w:rsidRPr="006E1945">
        <w:rPr>
          <w:rFonts w:ascii="Arial" w:hAnsi="Arial" w:cs="Arial"/>
          <w:b/>
          <w:sz w:val="24"/>
          <w:szCs w:val="24"/>
          <w:lang w:val="en-US" w:eastAsia="en-NZ"/>
        </w:rPr>
        <w:t>NDS</w:t>
      </w:r>
      <w:r w:rsidR="00656BB6" w:rsidRPr="006E1945">
        <w:rPr>
          <w:rFonts w:ascii="Arial" w:hAnsi="Arial" w:cs="Arial"/>
          <w:color w:val="1F497D"/>
          <w:sz w:val="24"/>
          <w:szCs w:val="24"/>
        </w:rPr>
        <w:t xml:space="preserve"> </w:t>
      </w:r>
    </w:p>
    <w:p w14:paraId="4F539EC9" w14:textId="77777777" w:rsidR="000E6EF9" w:rsidRDefault="000E6EF9" w:rsidP="00C6167B">
      <w:pPr>
        <w:framePr w:w="11667" w:wrap="auto" w:hAnchor="text" w:x="993"/>
        <w:rPr>
          <w:rFonts w:ascii="Arial" w:hAnsi="Arial" w:cs="Arial"/>
          <w:b/>
          <w:lang w:val="en-US" w:eastAsia="en-NZ"/>
        </w:rPr>
      </w:pPr>
    </w:p>
    <w:p w14:paraId="55FF580A" w14:textId="77777777" w:rsidR="006E1945" w:rsidRPr="006E1945" w:rsidRDefault="006E1945" w:rsidP="006E1945">
      <w:pPr>
        <w:rPr>
          <w:rFonts w:ascii="Arial" w:hAnsi="Arial" w:cs="Arial"/>
          <w:lang w:val="en-US" w:eastAsia="en-NZ"/>
        </w:rPr>
      </w:pPr>
    </w:p>
    <w:p w14:paraId="3FE15B5D" w14:textId="5D939F16" w:rsidR="006E1945" w:rsidRPr="00664EA6" w:rsidRDefault="006E1945" w:rsidP="006E1945">
      <w:pPr>
        <w:tabs>
          <w:tab w:val="left" w:pos="5695"/>
        </w:tabs>
        <w:rPr>
          <w:rFonts w:ascii="Arial" w:hAnsi="Arial" w:cs="Arial"/>
          <w:lang w:val="en-US" w:eastAsia="en-NZ"/>
        </w:rPr>
        <w:sectPr w:rsidR="006E1945" w:rsidRPr="00664EA6" w:rsidSect="00AF42A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titlePg/>
          <w:docGrid w:linePitch="299"/>
        </w:sectPr>
      </w:pPr>
      <w:r>
        <w:rPr>
          <w:rFonts w:ascii="Arial" w:hAnsi="Arial" w:cs="Arial"/>
          <w:lang w:val="en-US" w:eastAsia="en-NZ"/>
        </w:rPr>
        <w:tab/>
      </w:r>
    </w:p>
    <w:p w14:paraId="437ACF8F" w14:textId="77777777" w:rsidR="00B87BB3" w:rsidRPr="006E1945" w:rsidRDefault="000E6EF9" w:rsidP="00471CF0">
      <w:pPr>
        <w:pStyle w:val="Heading1"/>
      </w:pPr>
      <w:bookmarkStart w:id="164" w:name="_Toc19519203"/>
      <w:bookmarkStart w:id="165" w:name="_Toc19524572"/>
      <w:bookmarkStart w:id="166" w:name="_Toc43122874"/>
      <w:r w:rsidRPr="006E1945">
        <w:lastRenderedPageBreak/>
        <w:t>A</w:t>
      </w:r>
      <w:r w:rsidR="007911CD" w:rsidRPr="006E1945">
        <w:t>ppendix 1: Casemix Algorithms</w:t>
      </w:r>
      <w:bookmarkEnd w:id="164"/>
      <w:bookmarkEnd w:id="165"/>
      <w:bookmarkEnd w:id="166"/>
      <w:r w:rsidR="00603EFB" w:rsidRPr="006E1945">
        <w:t xml:space="preserve"> </w:t>
      </w:r>
    </w:p>
    <w:p w14:paraId="59797372" w14:textId="77777777" w:rsidR="007911CD" w:rsidRPr="006E1945" w:rsidRDefault="007911CD" w:rsidP="006E1945">
      <w:pPr>
        <w:pStyle w:val="Heading2"/>
        <w:rPr>
          <w:rFonts w:ascii="Arial" w:hAnsi="Arial" w:cs="Arial"/>
        </w:rPr>
      </w:pPr>
      <w:bookmarkStart w:id="167" w:name="_Toc43122875"/>
      <w:r w:rsidRPr="006E1945">
        <w:rPr>
          <w:rFonts w:ascii="Arial" w:hAnsi="Arial" w:cs="Arial"/>
          <w:lang w:eastAsia="en-NZ"/>
        </w:rPr>
        <w:t xml:space="preserve">Non-Complex Algorithm </w:t>
      </w:r>
      <w:r w:rsidR="00603EFB" w:rsidRPr="006E1945">
        <w:rPr>
          <w:rFonts w:ascii="Arial" w:hAnsi="Arial" w:cs="Arial"/>
          <w:lang w:eastAsia="en-NZ"/>
        </w:rPr>
        <w:t>Utilising</w:t>
      </w:r>
      <w:r w:rsidRPr="006E1945">
        <w:rPr>
          <w:rFonts w:ascii="Arial" w:hAnsi="Arial" w:cs="Arial"/>
          <w:lang w:eastAsia="en-NZ"/>
        </w:rPr>
        <w:t xml:space="preserve"> the </w:t>
      </w:r>
      <w:proofErr w:type="spellStart"/>
      <w:r w:rsidRPr="006E1945">
        <w:rPr>
          <w:rFonts w:ascii="Arial" w:hAnsi="Arial" w:cs="Arial"/>
          <w:lang w:eastAsia="en-NZ"/>
        </w:rPr>
        <w:t>InterRAI</w:t>
      </w:r>
      <w:proofErr w:type="spellEnd"/>
      <w:r w:rsidRPr="006E1945">
        <w:rPr>
          <w:rFonts w:ascii="Arial" w:hAnsi="Arial" w:cs="Arial"/>
          <w:lang w:eastAsia="en-NZ"/>
        </w:rPr>
        <w:t xml:space="preserve"> Contact</w:t>
      </w:r>
      <w:r w:rsidR="00603EFB" w:rsidRPr="006E1945">
        <w:rPr>
          <w:rFonts w:ascii="Arial" w:hAnsi="Arial" w:cs="Arial"/>
          <w:lang w:eastAsia="en-NZ"/>
        </w:rPr>
        <w:t xml:space="preserve"> Assessment</w:t>
      </w:r>
      <w:r w:rsidRPr="006E1945">
        <w:rPr>
          <w:rFonts w:ascii="Arial" w:hAnsi="Arial" w:cs="Arial"/>
          <w:lang w:eastAsia="en-NZ"/>
        </w:rPr>
        <w:t xml:space="preserve"> Tool</w:t>
      </w:r>
      <w:bookmarkEnd w:id="167"/>
    </w:p>
    <w:p w14:paraId="234EB5BB" w14:textId="77777777" w:rsidR="00DE1461" w:rsidRPr="006E1945" w:rsidRDefault="00B87BB3" w:rsidP="001E065C">
      <w:pPr>
        <w:rPr>
          <w:rStyle w:val="Heading2Char"/>
          <w:rFonts w:ascii="Arial" w:eastAsiaTheme="minorEastAsia" w:hAnsi="Arial" w:cs="Arial"/>
          <w:b w:val="0"/>
          <w:color w:val="auto"/>
          <w:sz w:val="22"/>
          <w:szCs w:val="22"/>
        </w:rPr>
      </w:pPr>
      <w:r w:rsidRPr="006E1945">
        <w:rPr>
          <w:rFonts w:ascii="Arial" w:hAnsi="Arial" w:cs="Arial"/>
          <w:noProof/>
        </w:rPr>
        <w:drawing>
          <wp:inline distT="0" distB="0" distL="0" distR="0" wp14:anchorId="4AAD919F" wp14:editId="7FB86FA7">
            <wp:extent cx="8876872" cy="5306497"/>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9371" cy="5355814"/>
                    </a:xfrm>
                    <a:prstGeom prst="rect">
                      <a:avLst/>
                    </a:prstGeom>
                  </pic:spPr>
                </pic:pic>
              </a:graphicData>
            </a:graphic>
          </wp:inline>
        </w:drawing>
      </w:r>
    </w:p>
    <w:p w14:paraId="1D9E8E31" w14:textId="77777777" w:rsidR="007911CD" w:rsidRPr="006E1945" w:rsidRDefault="007911CD" w:rsidP="001E065C">
      <w:pPr>
        <w:rPr>
          <w:rFonts w:ascii="Arial" w:hAnsi="Arial" w:cs="Arial"/>
        </w:rPr>
      </w:pPr>
      <w:bookmarkStart w:id="168" w:name="_Toc43122876"/>
      <w:r w:rsidRPr="006E1945">
        <w:rPr>
          <w:rStyle w:val="Heading2Char"/>
          <w:rFonts w:ascii="Arial" w:hAnsi="Arial" w:cs="Arial"/>
        </w:rPr>
        <w:lastRenderedPageBreak/>
        <w:t xml:space="preserve">Complex Algorithm </w:t>
      </w:r>
      <w:r w:rsidR="00FE2487" w:rsidRPr="006E1945">
        <w:rPr>
          <w:rStyle w:val="Heading2Char"/>
          <w:rFonts w:ascii="Arial" w:hAnsi="Arial" w:cs="Arial"/>
        </w:rPr>
        <w:t>Utilising</w:t>
      </w:r>
      <w:r w:rsidRPr="006E1945">
        <w:rPr>
          <w:rStyle w:val="Heading2Char"/>
          <w:rFonts w:ascii="Arial" w:hAnsi="Arial" w:cs="Arial"/>
        </w:rPr>
        <w:t xml:space="preserve"> the </w:t>
      </w:r>
      <w:proofErr w:type="spellStart"/>
      <w:r w:rsidRPr="006E1945">
        <w:rPr>
          <w:rStyle w:val="Heading2Char"/>
          <w:rFonts w:ascii="Arial" w:hAnsi="Arial" w:cs="Arial"/>
        </w:rPr>
        <w:t>InterRAI</w:t>
      </w:r>
      <w:proofErr w:type="spellEnd"/>
      <w:r w:rsidRPr="006E1945">
        <w:rPr>
          <w:rStyle w:val="Heading2Char"/>
          <w:rFonts w:ascii="Arial" w:hAnsi="Arial" w:cs="Arial"/>
        </w:rPr>
        <w:t xml:space="preserve"> </w:t>
      </w:r>
      <w:r w:rsidR="00FE2487" w:rsidRPr="006E1945">
        <w:rPr>
          <w:rStyle w:val="Heading2Char"/>
          <w:rFonts w:ascii="Arial" w:hAnsi="Arial" w:cs="Arial"/>
        </w:rPr>
        <w:t xml:space="preserve">Home Care </w:t>
      </w:r>
      <w:r w:rsidR="00BF5C20" w:rsidRPr="006E1945">
        <w:rPr>
          <w:rStyle w:val="Heading2Char"/>
          <w:rFonts w:ascii="Arial" w:hAnsi="Arial" w:cs="Arial"/>
        </w:rPr>
        <w:t>Assessment</w:t>
      </w:r>
      <w:r w:rsidRPr="006E1945">
        <w:rPr>
          <w:rStyle w:val="Heading2Char"/>
          <w:rFonts w:ascii="Arial" w:hAnsi="Arial" w:cs="Arial"/>
        </w:rPr>
        <w:t xml:space="preserve"> Tool</w:t>
      </w:r>
      <w:bookmarkEnd w:id="168"/>
      <w:r w:rsidR="00FE2487" w:rsidRPr="006E1945">
        <w:rPr>
          <w:rFonts w:ascii="Arial" w:hAnsi="Arial" w:cs="Arial"/>
          <w:noProof/>
        </w:rPr>
        <w:t xml:space="preserve"> </w:t>
      </w:r>
      <w:r w:rsidR="00FE2487" w:rsidRPr="006E1945">
        <w:rPr>
          <w:rFonts w:ascii="Arial" w:hAnsi="Arial" w:cs="Arial"/>
          <w:noProof/>
        </w:rPr>
        <w:drawing>
          <wp:inline distT="0" distB="0" distL="0" distR="0" wp14:anchorId="61A05346" wp14:editId="5EA79D23">
            <wp:extent cx="9443037" cy="567133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69011" cy="5686934"/>
                    </a:xfrm>
                    <a:prstGeom prst="rect">
                      <a:avLst/>
                    </a:prstGeom>
                  </pic:spPr>
                </pic:pic>
              </a:graphicData>
            </a:graphic>
          </wp:inline>
        </w:drawing>
      </w:r>
      <w:r w:rsidR="00FE2487" w:rsidRPr="006E1945">
        <w:rPr>
          <w:rFonts w:ascii="Arial" w:hAnsi="Arial" w:cs="Arial"/>
          <w:noProof/>
          <w:lang w:eastAsia="en-NZ"/>
        </w:rPr>
        <w:t xml:space="preserve"> </w:t>
      </w:r>
    </w:p>
    <w:p w14:paraId="66C1BDAC" w14:textId="77777777" w:rsidR="007911CD" w:rsidRPr="006E1945" w:rsidRDefault="007911CD" w:rsidP="00471CF0">
      <w:pPr>
        <w:pStyle w:val="Heading1"/>
        <w:rPr>
          <w:rFonts w:eastAsiaTheme="minorHAnsi"/>
        </w:rPr>
      </w:pPr>
      <w:bookmarkStart w:id="169" w:name="_Toc19519204"/>
      <w:bookmarkStart w:id="170" w:name="_Toc19524573"/>
      <w:bookmarkStart w:id="171" w:name="_Toc43122877"/>
      <w:r w:rsidRPr="006E1945">
        <w:lastRenderedPageBreak/>
        <w:t>Appendix 2: Review and Assessment Regime</w:t>
      </w:r>
      <w:bookmarkEnd w:id="169"/>
      <w:bookmarkEnd w:id="170"/>
      <w:bookmarkEnd w:id="171"/>
      <w:r w:rsidRPr="006E1945">
        <w:t xml:space="preserve">  </w:t>
      </w:r>
    </w:p>
    <w:p w14:paraId="31966174" w14:textId="77777777" w:rsidR="007911CD" w:rsidRPr="006E1945" w:rsidRDefault="00ED768D" w:rsidP="00B71CB2">
      <w:pPr>
        <w:rPr>
          <w:rFonts w:ascii="Arial" w:hAnsi="Arial" w:cs="Arial"/>
          <w:noProof/>
        </w:rPr>
      </w:pPr>
      <w:r w:rsidRPr="006E1945">
        <w:rPr>
          <w:rFonts w:ascii="Arial" w:hAnsi="Arial" w:cs="Arial"/>
          <w:noProof/>
          <w:lang w:eastAsia="en-NZ"/>
        </w:rPr>
        <w:drawing>
          <wp:inline distT="0" distB="0" distL="0" distR="0" wp14:anchorId="5F443974" wp14:editId="575D0D00">
            <wp:extent cx="9410699" cy="507008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25516" cy="5078071"/>
                    </a:xfrm>
                    <a:prstGeom prst="rect">
                      <a:avLst/>
                    </a:prstGeom>
                  </pic:spPr>
                </pic:pic>
              </a:graphicData>
            </a:graphic>
          </wp:inline>
        </w:drawing>
      </w:r>
      <w:r w:rsidR="00CA0EAB" w:rsidRPr="006E1945">
        <w:rPr>
          <w:rFonts w:ascii="Arial" w:hAnsi="Arial" w:cs="Arial"/>
        </w:rPr>
        <w:t>H</w:t>
      </w:r>
      <w:r w:rsidR="007911CD" w:rsidRPr="006E1945">
        <w:rPr>
          <w:rFonts w:ascii="Arial" w:hAnsi="Arial" w:cs="Arial"/>
        </w:rPr>
        <w:t xml:space="preserve">igh Cost Intensive Support packages: </w:t>
      </w:r>
      <w:r w:rsidR="00B40C49" w:rsidRPr="006E1945">
        <w:rPr>
          <w:rFonts w:ascii="Arial" w:hAnsi="Arial" w:cs="Arial"/>
        </w:rPr>
        <w:t>client</w:t>
      </w:r>
      <w:r w:rsidR="007911CD" w:rsidRPr="006E1945">
        <w:rPr>
          <w:rFonts w:ascii="Arial" w:hAnsi="Arial" w:cs="Arial"/>
        </w:rPr>
        <w:t>s in any casemix group that require intensive support packages</w:t>
      </w:r>
      <w:r w:rsidR="00DE1461" w:rsidRPr="006E1945">
        <w:rPr>
          <w:rFonts w:ascii="Arial" w:hAnsi="Arial" w:cs="Arial"/>
        </w:rPr>
        <w:t xml:space="preserve"> o</w:t>
      </w:r>
      <w:r w:rsidR="007911CD" w:rsidRPr="006E1945">
        <w:rPr>
          <w:rFonts w:ascii="Arial" w:hAnsi="Arial" w:cs="Arial"/>
        </w:rPr>
        <w:t>ver 21 hours will have a</w:t>
      </w:r>
      <w:r w:rsidR="00A4000C" w:rsidRPr="006E1945">
        <w:rPr>
          <w:rFonts w:ascii="Arial" w:hAnsi="Arial" w:cs="Arial"/>
        </w:rPr>
        <w:t>n inter</w:t>
      </w:r>
      <w:r w:rsidR="007911CD" w:rsidRPr="006E1945">
        <w:rPr>
          <w:rFonts w:ascii="Arial" w:hAnsi="Arial" w:cs="Arial"/>
        </w:rPr>
        <w:t xml:space="preserve">disciplinary review arranged by the NASC. Review will occur monthly for unstable and three </w:t>
      </w:r>
      <w:proofErr w:type="gramStart"/>
      <w:r w:rsidR="007911CD" w:rsidRPr="006E1945">
        <w:rPr>
          <w:rFonts w:ascii="Arial" w:hAnsi="Arial" w:cs="Arial"/>
        </w:rPr>
        <w:t>monthly</w:t>
      </w:r>
      <w:proofErr w:type="gramEnd"/>
      <w:r w:rsidR="007911CD" w:rsidRPr="006E1945">
        <w:rPr>
          <w:rFonts w:ascii="Arial" w:hAnsi="Arial" w:cs="Arial"/>
        </w:rPr>
        <w:t xml:space="preserve"> for stable.   </w:t>
      </w:r>
    </w:p>
    <w:p w14:paraId="71255D2E" w14:textId="77777777" w:rsidR="000E6591" w:rsidRPr="006E1945" w:rsidRDefault="000E6591" w:rsidP="00471CF0">
      <w:pPr>
        <w:pStyle w:val="Heading1"/>
      </w:pPr>
      <w:bookmarkStart w:id="172" w:name="_Toc43122878"/>
      <w:r w:rsidRPr="006E1945">
        <w:lastRenderedPageBreak/>
        <w:t>Appendix 3:  Service Allocation Tool</w:t>
      </w:r>
      <w:bookmarkEnd w:id="172"/>
    </w:p>
    <w:tbl>
      <w:tblPr>
        <w:tblStyle w:val="TableGrid2"/>
        <w:tblW w:w="14596" w:type="dxa"/>
        <w:tblLook w:val="04A0" w:firstRow="1" w:lastRow="0" w:firstColumn="1" w:lastColumn="0" w:noHBand="0" w:noVBand="1"/>
      </w:tblPr>
      <w:tblGrid>
        <w:gridCol w:w="2085"/>
        <w:gridCol w:w="12511"/>
      </w:tblGrid>
      <w:tr w:rsidR="007911CD" w:rsidRPr="00986409" w14:paraId="05B85527"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EBF5CD" w:themeFill="accent1" w:themeFillTint="33"/>
          </w:tcPr>
          <w:p w14:paraId="417496D6" w14:textId="77777777" w:rsidR="007911CD" w:rsidRPr="006E1945" w:rsidRDefault="007911CD" w:rsidP="00853D3D">
            <w:pPr>
              <w:rPr>
                <w:rFonts w:ascii="Arial" w:hAnsi="Arial" w:cs="Arial"/>
              </w:rPr>
            </w:pPr>
            <w:r w:rsidRPr="006E1945">
              <w:rPr>
                <w:rFonts w:ascii="Arial" w:hAnsi="Arial" w:cs="Arial"/>
              </w:rPr>
              <w:t>Lead Issue</w:t>
            </w:r>
          </w:p>
        </w:tc>
        <w:tc>
          <w:tcPr>
            <w:tcW w:w="12511" w:type="dxa"/>
            <w:shd w:val="clear" w:color="auto" w:fill="EBF5CD" w:themeFill="accent1" w:themeFillTint="33"/>
          </w:tcPr>
          <w:p w14:paraId="30CB6397" w14:textId="77777777" w:rsidR="007911CD" w:rsidRPr="006E1945"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E1945">
              <w:rPr>
                <w:rFonts w:ascii="Arial" w:hAnsi="Arial" w:cs="Arial"/>
                <w:b/>
              </w:rPr>
              <w:t>Screening Question</w:t>
            </w:r>
          </w:p>
        </w:tc>
      </w:tr>
      <w:tr w:rsidR="007911CD" w:rsidRPr="00986409" w14:paraId="30BD26D3"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auto"/>
          </w:tcPr>
          <w:p w14:paraId="0BA75C9D" w14:textId="77777777" w:rsidR="007911CD" w:rsidRPr="00986409" w:rsidRDefault="007911CD" w:rsidP="00EE7F92">
            <w:pPr>
              <w:pStyle w:val="ListParagraph"/>
              <w:numPr>
                <w:ilvl w:val="0"/>
                <w:numId w:val="6"/>
              </w:numPr>
              <w:rPr>
                <w:rFonts w:ascii="Arial" w:hAnsi="Arial" w:cs="Arial"/>
              </w:rPr>
            </w:pPr>
            <w:r w:rsidRPr="00986409">
              <w:rPr>
                <w:rFonts w:ascii="Arial" w:hAnsi="Arial" w:cs="Arial"/>
                <w:iCs/>
              </w:rPr>
              <w:t>Cognitive impairment</w:t>
            </w:r>
          </w:p>
        </w:tc>
        <w:tc>
          <w:tcPr>
            <w:tcW w:w="12511" w:type="dxa"/>
          </w:tcPr>
          <w:p w14:paraId="2E98A34A" w14:textId="77777777" w:rsidR="007911CD" w:rsidRPr="00986409"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iCs/>
              </w:rPr>
              <w:t xml:space="preserve">Does the </w:t>
            </w:r>
            <w:r w:rsidR="00B40C49" w:rsidRPr="00874DFB">
              <w:rPr>
                <w:rFonts w:ascii="Arial" w:hAnsi="Arial" w:cs="Arial"/>
                <w:iCs/>
              </w:rPr>
              <w:t>client</w:t>
            </w:r>
            <w:r w:rsidRPr="00986409">
              <w:rPr>
                <w:rFonts w:ascii="Arial" w:hAnsi="Arial" w:cs="Arial"/>
                <w:iCs/>
              </w:rPr>
              <w:t xml:space="preserve"> have a cognitive impairment that affects their everyday life through a decreased ability to think, concentrate, remember ideas and make safe decisions?</w:t>
            </w:r>
          </w:p>
        </w:tc>
      </w:tr>
      <w:tr w:rsidR="007911CD" w:rsidRPr="00986409" w14:paraId="52CEC7C8"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auto"/>
          </w:tcPr>
          <w:p w14:paraId="6387376E" w14:textId="77777777" w:rsidR="007911CD" w:rsidRPr="00986409" w:rsidRDefault="007911CD" w:rsidP="00EE7F92">
            <w:pPr>
              <w:pStyle w:val="ListParagraph"/>
              <w:numPr>
                <w:ilvl w:val="0"/>
                <w:numId w:val="6"/>
              </w:numPr>
              <w:rPr>
                <w:rFonts w:ascii="Arial" w:hAnsi="Arial" w:cs="Arial"/>
              </w:rPr>
            </w:pPr>
            <w:r w:rsidRPr="00986409">
              <w:rPr>
                <w:rFonts w:ascii="Arial" w:hAnsi="Arial" w:cs="Arial"/>
                <w:color w:val="000000"/>
              </w:rPr>
              <w:t>Progressive neurological condition</w:t>
            </w:r>
          </w:p>
        </w:tc>
        <w:tc>
          <w:tcPr>
            <w:tcW w:w="12511" w:type="dxa"/>
          </w:tcPr>
          <w:p w14:paraId="55665B70" w14:textId="77777777" w:rsidR="007911CD" w:rsidRPr="00986409"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color w:val="000000"/>
              </w:rPr>
              <w:t xml:space="preserve">Does the </w:t>
            </w:r>
            <w:r w:rsidR="00B40C49" w:rsidRPr="00874DFB">
              <w:rPr>
                <w:rFonts w:ascii="Arial" w:hAnsi="Arial" w:cs="Arial"/>
                <w:color w:val="000000"/>
              </w:rPr>
              <w:t>client</w:t>
            </w:r>
            <w:r w:rsidRPr="00986409">
              <w:rPr>
                <w:rFonts w:ascii="Arial" w:hAnsi="Arial" w:cs="Arial"/>
                <w:color w:val="000000"/>
              </w:rPr>
              <w:t xml:space="preserve"> have a progressive neurological condition such as Parkinson’s Disease, Multiple Sclerosis or Huntington’s Disease that requires daily support?</w:t>
            </w:r>
          </w:p>
        </w:tc>
      </w:tr>
      <w:tr w:rsidR="007911CD" w:rsidRPr="00986409" w14:paraId="68B63775"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auto"/>
          </w:tcPr>
          <w:p w14:paraId="61D3134E" w14:textId="77777777" w:rsidR="007911CD" w:rsidRPr="00986409" w:rsidRDefault="007911CD" w:rsidP="00EE7F92">
            <w:pPr>
              <w:pStyle w:val="ListParagraph"/>
              <w:numPr>
                <w:ilvl w:val="0"/>
                <w:numId w:val="6"/>
              </w:numPr>
              <w:rPr>
                <w:rFonts w:ascii="Arial" w:hAnsi="Arial" w:cs="Arial"/>
              </w:rPr>
            </w:pPr>
            <w:r w:rsidRPr="00986409">
              <w:rPr>
                <w:rFonts w:ascii="Arial" w:hAnsi="Arial" w:cs="Arial"/>
                <w:iCs/>
              </w:rPr>
              <w:t>Carer stress</w:t>
            </w:r>
          </w:p>
        </w:tc>
        <w:tc>
          <w:tcPr>
            <w:tcW w:w="12511" w:type="dxa"/>
          </w:tcPr>
          <w:p w14:paraId="79987465" w14:textId="77777777" w:rsidR="007911CD" w:rsidRPr="00986409"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Is the </w:t>
            </w:r>
            <w:r w:rsidR="00B40C49" w:rsidRPr="00874DFB">
              <w:rPr>
                <w:rFonts w:ascii="Arial" w:hAnsi="Arial" w:cs="Arial"/>
              </w:rPr>
              <w:t>client</w:t>
            </w:r>
            <w:r w:rsidRPr="00986409">
              <w:rPr>
                <w:rFonts w:ascii="Arial" w:hAnsi="Arial" w:cs="Arial"/>
              </w:rPr>
              <w:t xml:space="preserve">’s carer unable to continue caring for the </w:t>
            </w:r>
            <w:r w:rsidR="00B40C49" w:rsidRPr="00986409">
              <w:rPr>
                <w:rFonts w:ascii="Arial" w:hAnsi="Arial" w:cs="Arial"/>
              </w:rPr>
              <w:t>client</w:t>
            </w:r>
            <w:r w:rsidRPr="00986409">
              <w:rPr>
                <w:rFonts w:ascii="Arial" w:hAnsi="Arial" w:cs="Arial"/>
              </w:rPr>
              <w:t xml:space="preserve"> or feeling overwhelmed or distressed and/or there is abuse and neglect concerns?</w:t>
            </w:r>
          </w:p>
        </w:tc>
      </w:tr>
      <w:tr w:rsidR="007911CD" w:rsidRPr="00986409" w14:paraId="3ABC6632"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auto"/>
          </w:tcPr>
          <w:p w14:paraId="317A6B95" w14:textId="77777777" w:rsidR="007911CD" w:rsidRPr="00986409" w:rsidRDefault="007911CD" w:rsidP="00EE7F92">
            <w:pPr>
              <w:pStyle w:val="ListParagraph"/>
              <w:numPr>
                <w:ilvl w:val="0"/>
                <w:numId w:val="6"/>
              </w:numPr>
              <w:rPr>
                <w:rFonts w:ascii="Arial" w:hAnsi="Arial" w:cs="Arial"/>
              </w:rPr>
            </w:pPr>
            <w:r w:rsidRPr="00986409">
              <w:rPr>
                <w:rFonts w:ascii="Arial" w:hAnsi="Arial" w:cs="Arial"/>
              </w:rPr>
              <w:t>Dressing</w:t>
            </w:r>
          </w:p>
        </w:tc>
        <w:tc>
          <w:tcPr>
            <w:tcW w:w="12511" w:type="dxa"/>
          </w:tcPr>
          <w:p w14:paraId="407DF212" w14:textId="77777777" w:rsidR="007911CD" w:rsidRPr="00986409"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color w:val="000000"/>
              </w:rPr>
              <w:t xml:space="preserve">Does the </w:t>
            </w:r>
            <w:r w:rsidR="00B40C49" w:rsidRPr="00874DFB">
              <w:rPr>
                <w:rFonts w:ascii="Arial" w:hAnsi="Arial" w:cs="Arial"/>
                <w:color w:val="000000"/>
              </w:rPr>
              <w:t>client</w:t>
            </w:r>
            <w:r w:rsidRPr="00986409">
              <w:rPr>
                <w:rFonts w:ascii="Arial" w:hAnsi="Arial" w:cs="Arial"/>
                <w:color w:val="000000"/>
              </w:rPr>
              <w:t xml:space="preserve"> require </w:t>
            </w:r>
            <w:r w:rsidRPr="00986409">
              <w:rPr>
                <w:rFonts w:ascii="Arial" w:hAnsi="Arial" w:cs="Arial"/>
                <w:bCs/>
                <w:iCs/>
                <w:color w:val="000000"/>
                <w:u w:val="single"/>
              </w:rPr>
              <w:t>ongoing/long-term</w:t>
            </w:r>
            <w:r w:rsidRPr="00986409">
              <w:rPr>
                <w:rFonts w:ascii="Arial" w:hAnsi="Arial" w:cs="Arial"/>
                <w:bCs/>
                <w:iCs/>
                <w:color w:val="000000"/>
              </w:rPr>
              <w:t xml:space="preserve"> </w:t>
            </w:r>
            <w:r w:rsidRPr="00986409">
              <w:rPr>
                <w:rFonts w:ascii="Arial" w:hAnsi="Arial" w:cs="Arial"/>
                <w:color w:val="000000"/>
              </w:rPr>
              <w:t xml:space="preserve">physical assistance with daily dressing of their </w:t>
            </w:r>
            <w:r w:rsidRPr="00986409">
              <w:rPr>
                <w:rFonts w:ascii="Arial" w:hAnsi="Arial" w:cs="Arial"/>
                <w:bCs/>
                <w:iCs/>
                <w:color w:val="000000"/>
                <w:u w:val="single"/>
              </w:rPr>
              <w:t>lower body</w:t>
            </w:r>
            <w:r w:rsidRPr="00986409">
              <w:rPr>
                <w:rFonts w:ascii="Arial" w:hAnsi="Arial" w:cs="Arial"/>
                <w:color w:val="000000"/>
                <w:u w:val="single"/>
              </w:rPr>
              <w:t>?</w:t>
            </w:r>
            <w:r w:rsidRPr="00986409">
              <w:rPr>
                <w:rFonts w:ascii="Arial" w:hAnsi="Arial" w:cs="Arial"/>
                <w:color w:val="000000"/>
              </w:rPr>
              <w:t xml:space="preserve"> (does not include application or removal of compression hosiery).</w:t>
            </w:r>
          </w:p>
        </w:tc>
      </w:tr>
      <w:tr w:rsidR="007911CD" w:rsidRPr="00986409" w14:paraId="0DE6A7B3"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auto"/>
          </w:tcPr>
          <w:p w14:paraId="68A954D8" w14:textId="77777777" w:rsidR="007911CD" w:rsidRPr="00986409" w:rsidRDefault="007911CD" w:rsidP="00EE7F92">
            <w:pPr>
              <w:pStyle w:val="ListParagraph"/>
              <w:numPr>
                <w:ilvl w:val="0"/>
                <w:numId w:val="6"/>
              </w:numPr>
              <w:rPr>
                <w:rFonts w:ascii="Arial" w:hAnsi="Arial" w:cs="Arial"/>
              </w:rPr>
            </w:pPr>
            <w:r w:rsidRPr="00986409">
              <w:rPr>
                <w:rFonts w:ascii="Arial" w:hAnsi="Arial" w:cs="Arial"/>
              </w:rPr>
              <w:t>Medication Management</w:t>
            </w:r>
          </w:p>
        </w:tc>
        <w:tc>
          <w:tcPr>
            <w:tcW w:w="12511" w:type="dxa"/>
          </w:tcPr>
          <w:p w14:paraId="4328C3A7" w14:textId="77777777" w:rsidR="007911CD" w:rsidRPr="00986409"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5F1341">
              <w:rPr>
                <w:rFonts w:ascii="Arial" w:hAnsi="Arial" w:cs="Arial"/>
                <w:color w:val="000000"/>
              </w:rPr>
              <w:t xml:space="preserve">Does the </w:t>
            </w:r>
            <w:r w:rsidR="00B40C49" w:rsidRPr="00874DFB">
              <w:rPr>
                <w:rFonts w:ascii="Arial" w:hAnsi="Arial" w:cs="Arial"/>
                <w:color w:val="000000"/>
              </w:rPr>
              <w:t>client</w:t>
            </w:r>
            <w:r w:rsidRPr="00986409">
              <w:rPr>
                <w:rFonts w:ascii="Arial" w:hAnsi="Arial" w:cs="Arial"/>
                <w:color w:val="000000"/>
              </w:rPr>
              <w:t xml:space="preserve"> require </w:t>
            </w:r>
            <w:r w:rsidRPr="00986409">
              <w:rPr>
                <w:rFonts w:ascii="Arial" w:hAnsi="Arial" w:cs="Arial"/>
                <w:bCs/>
                <w:iCs/>
                <w:color w:val="000000"/>
                <w:u w:val="single"/>
              </w:rPr>
              <w:t>ongoing/long-term</w:t>
            </w:r>
            <w:r w:rsidRPr="00986409">
              <w:rPr>
                <w:rFonts w:ascii="Arial" w:hAnsi="Arial" w:cs="Arial"/>
                <w:color w:val="000000"/>
              </w:rPr>
              <w:t xml:space="preserve"> verbal or physical assistance in managing their own medications?</w:t>
            </w:r>
          </w:p>
        </w:tc>
      </w:tr>
      <w:tr w:rsidR="007911CD" w:rsidRPr="00986409" w14:paraId="7B4C465A" w14:textId="77777777" w:rsidTr="00B71CB2">
        <w:tc>
          <w:tcPr>
            <w:cnfStyle w:val="001000000000" w:firstRow="0" w:lastRow="0" w:firstColumn="1" w:lastColumn="0" w:oddVBand="0" w:evenVBand="0" w:oddHBand="0" w:evenHBand="0" w:firstRowFirstColumn="0" w:firstRowLastColumn="0" w:lastRowFirstColumn="0" w:lastRowLastColumn="0"/>
            <w:tcW w:w="2085" w:type="dxa"/>
            <w:shd w:val="clear" w:color="auto" w:fill="auto"/>
          </w:tcPr>
          <w:p w14:paraId="64BC432F" w14:textId="77777777" w:rsidR="007911CD" w:rsidRPr="00986409" w:rsidRDefault="007911CD" w:rsidP="00EE7F92">
            <w:pPr>
              <w:pStyle w:val="ListParagraph"/>
              <w:numPr>
                <w:ilvl w:val="0"/>
                <w:numId w:val="6"/>
              </w:numPr>
              <w:rPr>
                <w:rFonts w:ascii="Arial" w:hAnsi="Arial" w:cs="Arial"/>
              </w:rPr>
            </w:pPr>
            <w:r w:rsidRPr="00986409">
              <w:rPr>
                <w:rFonts w:ascii="Arial" w:hAnsi="Arial" w:cs="Arial"/>
                <w:iCs/>
              </w:rPr>
              <w:t>Mood</w:t>
            </w:r>
          </w:p>
        </w:tc>
        <w:tc>
          <w:tcPr>
            <w:tcW w:w="12511" w:type="dxa"/>
          </w:tcPr>
          <w:p w14:paraId="256A5504" w14:textId="77777777" w:rsidR="007911CD" w:rsidRPr="00986409" w:rsidRDefault="007911CD" w:rsidP="00853D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bookmarkStart w:id="173" w:name="_Hlk16234038"/>
            <w:r w:rsidRPr="005F1341">
              <w:rPr>
                <w:rFonts w:ascii="Arial" w:hAnsi="Arial" w:cs="Arial"/>
                <w:color w:val="000000"/>
              </w:rPr>
              <w:t>D</w:t>
            </w:r>
            <w:r w:rsidRPr="00874DFB">
              <w:rPr>
                <w:rFonts w:ascii="Arial" w:hAnsi="Arial" w:cs="Arial"/>
                <w:color w:val="000000"/>
              </w:rPr>
              <w:t xml:space="preserve">oes the </w:t>
            </w:r>
            <w:r w:rsidR="00B40C49" w:rsidRPr="00986409">
              <w:rPr>
                <w:rFonts w:ascii="Arial" w:hAnsi="Arial" w:cs="Arial"/>
                <w:color w:val="000000"/>
              </w:rPr>
              <w:t>client</w:t>
            </w:r>
            <w:r w:rsidRPr="00986409">
              <w:rPr>
                <w:rFonts w:ascii="Arial" w:hAnsi="Arial" w:cs="Arial"/>
                <w:color w:val="000000"/>
              </w:rPr>
              <w:t xml:space="preserve"> have fluctuating anxiety, low mood, other mental illness or experience chronic pain that significantly impacts on daily living?</w:t>
            </w:r>
            <w:bookmarkEnd w:id="173"/>
          </w:p>
        </w:tc>
      </w:tr>
    </w:tbl>
    <w:p w14:paraId="3833EAF9" w14:textId="77777777" w:rsidR="00EB5F5D" w:rsidRPr="006E1945" w:rsidRDefault="00EE2DD8" w:rsidP="006E1945">
      <w:pPr>
        <w:spacing w:before="240" w:after="120"/>
        <w:rPr>
          <w:rFonts w:ascii="Arial" w:hAnsi="Arial" w:cs="Arial"/>
          <w:b/>
          <w:sz w:val="32"/>
        </w:rPr>
      </w:pPr>
      <w:r w:rsidRPr="006E1945">
        <w:rPr>
          <w:rFonts w:ascii="Arial" w:hAnsi="Arial" w:cs="Arial"/>
          <w:b/>
          <w:sz w:val="32"/>
        </w:rPr>
        <w:t>Appendix</w:t>
      </w:r>
      <w:r w:rsidR="00EB5F5D" w:rsidRPr="006E1945">
        <w:rPr>
          <w:rFonts w:ascii="Arial" w:hAnsi="Arial" w:cs="Arial"/>
          <w:b/>
          <w:sz w:val="32"/>
        </w:rPr>
        <w:t xml:space="preserve"> 4: </w:t>
      </w:r>
      <w:r w:rsidR="00370125" w:rsidRPr="006E1945">
        <w:rPr>
          <w:rFonts w:ascii="Arial" w:hAnsi="Arial" w:cs="Arial"/>
          <w:b/>
          <w:sz w:val="32"/>
        </w:rPr>
        <w:t>Contextual</w:t>
      </w:r>
      <w:r w:rsidR="00EB5F5D" w:rsidRPr="006E1945">
        <w:rPr>
          <w:rFonts w:ascii="Arial" w:hAnsi="Arial" w:cs="Arial"/>
          <w:b/>
          <w:sz w:val="32"/>
        </w:rPr>
        <w:t xml:space="preserve"> Risk Rating for Response Time</w:t>
      </w:r>
    </w:p>
    <w:p w14:paraId="3ACA2B19" w14:textId="77777777" w:rsidR="00EB5F5D" w:rsidRPr="006E1945" w:rsidRDefault="00D153FC" w:rsidP="00853D3D">
      <w:pPr>
        <w:rPr>
          <w:rFonts w:ascii="Arial" w:hAnsi="Arial" w:cs="Arial"/>
          <w:b/>
          <w:sz w:val="32"/>
        </w:rPr>
      </w:pPr>
      <w:r w:rsidRPr="006E1945">
        <w:rPr>
          <w:rFonts w:ascii="Arial" w:hAnsi="Arial" w:cs="Arial"/>
          <w:noProof/>
          <w:lang w:eastAsia="en-NZ"/>
        </w:rPr>
        <w:drawing>
          <wp:inline distT="0" distB="0" distL="0" distR="0" wp14:anchorId="27C8AE7D" wp14:editId="58DAC40E">
            <wp:extent cx="6286500" cy="2171700"/>
            <wp:effectExtent l="0" t="0" r="0" b="0"/>
            <wp:docPr id="3" name="Picture 3" descr="cid:image003.png@01D59A0C.1A425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9A0C.1A425E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286500" cy="2171700"/>
                    </a:xfrm>
                    <a:prstGeom prst="rect">
                      <a:avLst/>
                    </a:prstGeom>
                    <a:noFill/>
                    <a:ln>
                      <a:noFill/>
                    </a:ln>
                  </pic:spPr>
                </pic:pic>
              </a:graphicData>
            </a:graphic>
          </wp:inline>
        </w:drawing>
      </w:r>
    </w:p>
    <w:p w14:paraId="78E43359" w14:textId="77777777" w:rsidR="000E6EF9" w:rsidRPr="006E1945" w:rsidRDefault="000E6EF9" w:rsidP="00DC674C">
      <w:pPr>
        <w:pStyle w:val="Heading1"/>
      </w:pPr>
      <w:bookmarkStart w:id="174" w:name="_Toc19519207"/>
      <w:bookmarkStart w:id="175" w:name="_Toc19524576"/>
      <w:bookmarkStart w:id="176" w:name="_Toc19860185"/>
      <w:bookmarkStart w:id="177" w:name="_Toc43122879"/>
      <w:bookmarkStart w:id="178" w:name="_Hlk20985374"/>
      <w:r w:rsidRPr="006E1945">
        <w:lastRenderedPageBreak/>
        <w:t xml:space="preserve">Appendix </w:t>
      </w:r>
      <w:r w:rsidR="00EB5F5D" w:rsidRPr="006E1945">
        <w:t>5</w:t>
      </w:r>
      <w:r w:rsidRPr="006E1945">
        <w:t>: Key Terms and Processes</w:t>
      </w:r>
      <w:bookmarkEnd w:id="174"/>
      <w:bookmarkEnd w:id="175"/>
      <w:bookmarkEnd w:id="176"/>
      <w:bookmarkEnd w:id="177"/>
    </w:p>
    <w:tbl>
      <w:tblPr>
        <w:tblStyle w:val="TableGrid"/>
        <w:tblW w:w="14601" w:type="dxa"/>
        <w:tblInd w:w="-5" w:type="dxa"/>
        <w:tblLook w:val="04A0" w:firstRow="1" w:lastRow="0" w:firstColumn="1" w:lastColumn="0" w:noHBand="0" w:noVBand="1"/>
      </w:tblPr>
      <w:tblGrid>
        <w:gridCol w:w="2127"/>
        <w:gridCol w:w="12474"/>
      </w:tblGrid>
      <w:tr w:rsidR="000E6EF9" w:rsidRPr="00986409" w14:paraId="5CAA76B6" w14:textId="77777777" w:rsidTr="00C2396E">
        <w:trPr>
          <w:tblHeader/>
        </w:trPr>
        <w:tc>
          <w:tcPr>
            <w:cnfStyle w:val="001000000000" w:firstRow="0" w:lastRow="0" w:firstColumn="1" w:lastColumn="0" w:oddVBand="0" w:evenVBand="0" w:oddHBand="0" w:evenHBand="0" w:firstRowFirstColumn="0" w:firstRowLastColumn="0" w:lastRowFirstColumn="0" w:lastRowLastColumn="0"/>
            <w:tcW w:w="2127" w:type="dxa"/>
            <w:shd w:val="clear" w:color="auto" w:fill="EBF5CD" w:themeFill="accent1" w:themeFillTint="33"/>
          </w:tcPr>
          <w:bookmarkEnd w:id="178"/>
          <w:p w14:paraId="6592D24B" w14:textId="77777777" w:rsidR="000E6EF9" w:rsidRPr="005F1341" w:rsidRDefault="000E6EF9" w:rsidP="00853D3D">
            <w:pPr>
              <w:rPr>
                <w:rFonts w:ascii="Arial" w:hAnsi="Arial" w:cs="Arial"/>
                <w:b w:val="0"/>
                <w:sz w:val="24"/>
                <w:szCs w:val="24"/>
              </w:rPr>
            </w:pPr>
            <w:r w:rsidRPr="00986409">
              <w:rPr>
                <w:rFonts w:ascii="Arial" w:hAnsi="Arial" w:cs="Arial"/>
                <w:sz w:val="24"/>
                <w:szCs w:val="24"/>
              </w:rPr>
              <w:t xml:space="preserve">Service Term or </w:t>
            </w:r>
            <w:r w:rsidR="00674F02" w:rsidRPr="005F1341">
              <w:rPr>
                <w:rFonts w:ascii="Arial" w:hAnsi="Arial" w:cs="Arial"/>
                <w:sz w:val="24"/>
                <w:szCs w:val="24"/>
              </w:rPr>
              <w:t>P</w:t>
            </w:r>
            <w:r w:rsidRPr="005F1341">
              <w:rPr>
                <w:rFonts w:ascii="Arial" w:hAnsi="Arial" w:cs="Arial"/>
                <w:sz w:val="24"/>
                <w:szCs w:val="24"/>
              </w:rPr>
              <w:t>rocess</w:t>
            </w:r>
          </w:p>
        </w:tc>
        <w:tc>
          <w:tcPr>
            <w:tcW w:w="12474" w:type="dxa"/>
            <w:shd w:val="clear" w:color="auto" w:fill="EBF5CD" w:themeFill="accent1" w:themeFillTint="33"/>
          </w:tcPr>
          <w:p w14:paraId="4C9A75EA" w14:textId="77777777" w:rsidR="000E6EF9" w:rsidRPr="00874DFB"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74DFB">
              <w:rPr>
                <w:rFonts w:ascii="Arial" w:hAnsi="Arial" w:cs="Arial"/>
                <w:b/>
                <w:sz w:val="24"/>
                <w:szCs w:val="24"/>
              </w:rPr>
              <w:t>Definition or process description</w:t>
            </w:r>
          </w:p>
        </w:tc>
      </w:tr>
      <w:tr w:rsidR="000E6EF9" w:rsidRPr="00986409" w14:paraId="37D74C3E"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29902C1" w14:textId="77777777" w:rsidR="000E6EF9" w:rsidRPr="00986409" w:rsidRDefault="000E6EF9" w:rsidP="00853D3D">
            <w:pPr>
              <w:rPr>
                <w:rFonts w:ascii="Arial" w:hAnsi="Arial" w:cs="Arial"/>
                <w:b w:val="0"/>
                <w:lang w:eastAsia="en-NZ"/>
              </w:rPr>
            </w:pPr>
            <w:r w:rsidRPr="00986409">
              <w:rPr>
                <w:rFonts w:ascii="Arial" w:hAnsi="Arial" w:cs="Arial"/>
                <w:lang w:eastAsia="en-NZ"/>
              </w:rPr>
              <w:t>Person</w:t>
            </w:r>
          </w:p>
        </w:tc>
        <w:tc>
          <w:tcPr>
            <w:tcW w:w="12474" w:type="dxa"/>
          </w:tcPr>
          <w:p w14:paraId="130B6967"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5F1341">
              <w:rPr>
                <w:rFonts w:ascii="Arial" w:hAnsi="Arial" w:cs="Arial"/>
                <w:lang w:eastAsia="en-NZ"/>
              </w:rPr>
              <w:t xml:space="preserve">The use of the term “People” or “Person” refers to people living in the community who are referred to the NASC to </w:t>
            </w:r>
            <w:r w:rsidRPr="00874DFB">
              <w:rPr>
                <w:rFonts w:ascii="Arial" w:hAnsi="Arial" w:cs="Arial"/>
                <w:lang w:eastAsia="en-NZ"/>
              </w:rPr>
              <w:t>receive the services described in this specification.</w:t>
            </w:r>
          </w:p>
        </w:tc>
      </w:tr>
      <w:tr w:rsidR="000E6EF9" w:rsidRPr="00986409" w14:paraId="5A95B6D5"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994A65C" w14:textId="77777777" w:rsidR="000E6EF9" w:rsidRPr="005F1341" w:rsidRDefault="00674F02" w:rsidP="00853D3D">
            <w:pPr>
              <w:rPr>
                <w:rFonts w:ascii="Arial" w:hAnsi="Arial" w:cs="Arial"/>
                <w:b w:val="0"/>
                <w:lang w:eastAsia="en-NZ"/>
              </w:rPr>
            </w:pPr>
            <w:r w:rsidRPr="00986409">
              <w:rPr>
                <w:rFonts w:ascii="Arial" w:hAnsi="Arial" w:cs="Arial"/>
                <w:lang w:eastAsia="en-NZ"/>
              </w:rPr>
              <w:t>C</w:t>
            </w:r>
            <w:r w:rsidR="00B40C49" w:rsidRPr="00986409">
              <w:rPr>
                <w:rFonts w:ascii="Arial" w:hAnsi="Arial" w:cs="Arial"/>
                <w:lang w:eastAsia="en-NZ"/>
              </w:rPr>
              <w:t>lient</w:t>
            </w:r>
          </w:p>
        </w:tc>
        <w:tc>
          <w:tcPr>
            <w:tcW w:w="12474" w:type="dxa"/>
          </w:tcPr>
          <w:p w14:paraId="36BF0E55"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874DFB">
              <w:rPr>
                <w:rFonts w:ascii="Arial" w:hAnsi="Arial" w:cs="Arial"/>
                <w:lang w:eastAsia="en-NZ"/>
              </w:rPr>
              <w:t xml:space="preserve">The term </w:t>
            </w:r>
            <w:r w:rsidR="00B40C49" w:rsidRPr="00986409">
              <w:rPr>
                <w:rFonts w:ascii="Arial" w:hAnsi="Arial" w:cs="Arial"/>
                <w:lang w:eastAsia="en-NZ"/>
              </w:rPr>
              <w:t>client</w:t>
            </w:r>
            <w:r w:rsidRPr="00986409">
              <w:rPr>
                <w:rFonts w:ascii="Arial" w:hAnsi="Arial" w:cs="Arial"/>
                <w:lang w:eastAsia="en-NZ"/>
              </w:rPr>
              <w:t xml:space="preserve"> refers to a person who has </w:t>
            </w:r>
            <w:r w:rsidR="00674F02" w:rsidRPr="00986409">
              <w:rPr>
                <w:rFonts w:ascii="Arial" w:hAnsi="Arial" w:cs="Arial"/>
                <w:lang w:eastAsia="en-NZ"/>
              </w:rPr>
              <w:t xml:space="preserve">been </w:t>
            </w:r>
            <w:r w:rsidRPr="00986409">
              <w:rPr>
                <w:rFonts w:ascii="Arial" w:hAnsi="Arial" w:cs="Arial"/>
                <w:lang w:eastAsia="en-NZ"/>
              </w:rPr>
              <w:t>screened and is eligible to receive the services described in this specification.</w:t>
            </w:r>
            <w:r w:rsidR="000E6591" w:rsidRPr="00986409">
              <w:rPr>
                <w:rFonts w:ascii="Arial" w:hAnsi="Arial" w:cs="Arial"/>
                <w:lang w:eastAsia="en-NZ"/>
              </w:rPr>
              <w:t xml:space="preserve"> i.e.</w:t>
            </w:r>
            <w:r w:rsidR="00674F02" w:rsidRPr="00986409">
              <w:rPr>
                <w:rFonts w:ascii="Arial" w:hAnsi="Arial" w:cs="Arial"/>
                <w:lang w:eastAsia="en-NZ"/>
              </w:rPr>
              <w:t xml:space="preserve"> The Service User.</w:t>
            </w:r>
          </w:p>
        </w:tc>
      </w:tr>
      <w:tr w:rsidR="000E6EF9" w:rsidRPr="00986409" w14:paraId="42EFA691"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C93EF0F" w14:textId="77777777" w:rsidR="000E6EF9" w:rsidRPr="00986409" w:rsidRDefault="000E6EF9" w:rsidP="00853D3D">
            <w:pPr>
              <w:rPr>
                <w:rFonts w:ascii="Arial" w:hAnsi="Arial" w:cs="Arial"/>
                <w:b w:val="0"/>
                <w:lang w:eastAsia="en-NZ"/>
              </w:rPr>
            </w:pPr>
            <w:r w:rsidRPr="00986409">
              <w:rPr>
                <w:rFonts w:ascii="Arial" w:hAnsi="Arial" w:cs="Arial"/>
                <w:lang w:eastAsia="en-NZ"/>
              </w:rPr>
              <w:t xml:space="preserve">Referral </w:t>
            </w:r>
          </w:p>
        </w:tc>
        <w:tc>
          <w:tcPr>
            <w:tcW w:w="12474" w:type="dxa"/>
          </w:tcPr>
          <w:p w14:paraId="1246D896"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5F1341">
              <w:rPr>
                <w:rFonts w:ascii="Arial" w:hAnsi="Arial" w:cs="Arial"/>
                <w:lang w:eastAsia="en-NZ"/>
              </w:rPr>
              <w:t xml:space="preserve">A formal request to the </w:t>
            </w:r>
            <w:r w:rsidRPr="00874DFB">
              <w:rPr>
                <w:rFonts w:ascii="Arial" w:hAnsi="Arial" w:cs="Arial"/>
                <w:lang w:eastAsia="en-NZ"/>
              </w:rPr>
              <w:t>NASC to determine if a person is eligible for the services described in this specification.</w:t>
            </w:r>
          </w:p>
        </w:tc>
      </w:tr>
      <w:tr w:rsidR="00A1400B" w:rsidRPr="00986409" w14:paraId="644FBB24" w14:textId="77777777" w:rsidTr="00A1400B">
        <w:trPr>
          <w:trHeight w:val="38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ED5EBBA" w14:textId="77777777" w:rsidR="00A1400B" w:rsidRPr="00986409" w:rsidRDefault="00A1400B" w:rsidP="00853D3D">
            <w:pPr>
              <w:rPr>
                <w:rFonts w:ascii="Arial" w:hAnsi="Arial" w:cs="Arial"/>
                <w:lang w:eastAsia="en-NZ"/>
              </w:rPr>
            </w:pPr>
            <w:r w:rsidRPr="00986409">
              <w:rPr>
                <w:rFonts w:ascii="Arial" w:hAnsi="Arial" w:cs="Arial"/>
                <w:lang w:eastAsia="en-NZ"/>
              </w:rPr>
              <w:t>Initial Client Visit</w:t>
            </w:r>
          </w:p>
        </w:tc>
        <w:tc>
          <w:tcPr>
            <w:tcW w:w="12474" w:type="dxa"/>
          </w:tcPr>
          <w:p w14:paraId="6FC143B7" w14:textId="77777777" w:rsidR="00A1400B" w:rsidRPr="00986409" w:rsidRDefault="00A1400B" w:rsidP="00A1400B">
            <w:pPr>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5F1341">
              <w:rPr>
                <w:rFonts w:ascii="Arial" w:hAnsi="Arial" w:cs="Arial"/>
              </w:rPr>
              <w:t xml:space="preserve">The first face to face visit where assessment / plan of service </w:t>
            </w:r>
            <w:r w:rsidR="00370125" w:rsidRPr="00874DFB">
              <w:rPr>
                <w:rFonts w:ascii="Arial" w:hAnsi="Arial" w:cs="Arial"/>
              </w:rPr>
              <w:t>discussed,</w:t>
            </w:r>
            <w:r w:rsidRPr="00986409">
              <w:rPr>
                <w:rFonts w:ascii="Arial" w:hAnsi="Arial" w:cs="Arial"/>
              </w:rPr>
              <w:t xml:space="preserve"> and </w:t>
            </w:r>
            <w:r w:rsidR="00CD0ED8" w:rsidRPr="00986409">
              <w:rPr>
                <w:rFonts w:ascii="Arial" w:hAnsi="Arial" w:cs="Arial"/>
              </w:rPr>
              <w:t>individual support plan</w:t>
            </w:r>
            <w:r w:rsidRPr="00986409">
              <w:rPr>
                <w:rFonts w:ascii="Arial" w:hAnsi="Arial" w:cs="Arial"/>
              </w:rPr>
              <w:t xml:space="preserve"> agreed</w:t>
            </w:r>
          </w:p>
        </w:tc>
      </w:tr>
      <w:tr w:rsidR="000E6EF9" w:rsidRPr="00986409" w14:paraId="623AE1B4"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1CB3110" w14:textId="77777777" w:rsidR="000E6EF9" w:rsidRPr="00986409" w:rsidRDefault="000E6EF9" w:rsidP="00853D3D">
            <w:pPr>
              <w:rPr>
                <w:rFonts w:ascii="Arial" w:hAnsi="Arial" w:cs="Arial"/>
                <w:b w:val="0"/>
                <w:lang w:eastAsia="en-NZ"/>
              </w:rPr>
            </w:pPr>
          </w:p>
          <w:p w14:paraId="4B261C9C" w14:textId="77777777" w:rsidR="000E6EF9" w:rsidRPr="00874DFB" w:rsidRDefault="000E6EF9" w:rsidP="00853D3D">
            <w:pPr>
              <w:rPr>
                <w:rFonts w:ascii="Arial" w:hAnsi="Arial" w:cs="Arial"/>
                <w:b w:val="0"/>
              </w:rPr>
            </w:pPr>
            <w:r w:rsidRPr="005F1341">
              <w:rPr>
                <w:rFonts w:ascii="Arial" w:hAnsi="Arial" w:cs="Arial"/>
                <w:lang w:eastAsia="en-NZ"/>
              </w:rPr>
              <w:t>Clinical Assessor</w:t>
            </w:r>
          </w:p>
        </w:tc>
        <w:tc>
          <w:tcPr>
            <w:tcW w:w="12474" w:type="dxa"/>
          </w:tcPr>
          <w:p w14:paraId="102478CC" w14:textId="77777777" w:rsidR="000E6EF9" w:rsidRPr="00986409" w:rsidRDefault="004C739E" w:rsidP="00853D3D">
            <w:pPr>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986409">
              <w:rPr>
                <w:rFonts w:ascii="Arial" w:hAnsi="Arial" w:cs="Arial"/>
                <w:lang w:eastAsia="en-NZ"/>
              </w:rPr>
              <w:t>A</w:t>
            </w:r>
            <w:r w:rsidR="000E6EF9" w:rsidRPr="00986409">
              <w:rPr>
                <w:rFonts w:ascii="Arial" w:hAnsi="Arial" w:cs="Arial"/>
                <w:lang w:eastAsia="en-NZ"/>
              </w:rPr>
              <w:t xml:space="preserve"> registered health professional employed by either the Provider or the Needs Assessment Service Co-ordination Service organisation (NASC) that is responsible for completing the </w:t>
            </w:r>
            <w:proofErr w:type="spellStart"/>
            <w:r w:rsidR="000E6EF9" w:rsidRPr="00986409">
              <w:rPr>
                <w:rFonts w:ascii="Arial" w:hAnsi="Arial" w:cs="Arial"/>
                <w:lang w:eastAsia="en-NZ"/>
              </w:rPr>
              <w:t>interRAI</w:t>
            </w:r>
            <w:proofErr w:type="spellEnd"/>
            <w:r w:rsidR="000E6EF9" w:rsidRPr="00986409">
              <w:rPr>
                <w:rFonts w:ascii="Arial" w:hAnsi="Arial" w:cs="Arial"/>
                <w:lang w:eastAsia="en-NZ"/>
              </w:rPr>
              <w:t xml:space="preserve"> Contact or Homecare or other </w:t>
            </w:r>
            <w:proofErr w:type="spellStart"/>
            <w:r w:rsidR="000E6EF9" w:rsidRPr="00986409">
              <w:rPr>
                <w:rFonts w:ascii="Arial" w:hAnsi="Arial" w:cs="Arial"/>
                <w:lang w:eastAsia="en-NZ"/>
              </w:rPr>
              <w:t>interRAI</w:t>
            </w:r>
            <w:proofErr w:type="spellEnd"/>
            <w:r w:rsidR="000E6EF9" w:rsidRPr="00986409">
              <w:rPr>
                <w:rFonts w:ascii="Arial" w:hAnsi="Arial" w:cs="Arial"/>
                <w:lang w:eastAsia="en-NZ"/>
              </w:rPr>
              <w:t xml:space="preserve"> assessment.</w:t>
            </w:r>
          </w:p>
        </w:tc>
      </w:tr>
      <w:tr w:rsidR="000E6EF9" w:rsidRPr="00986409" w14:paraId="4881A0BA"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7F1AE0E" w14:textId="77777777" w:rsidR="000E6EF9" w:rsidRPr="00986409" w:rsidRDefault="000E6EF9" w:rsidP="00853D3D">
            <w:pPr>
              <w:rPr>
                <w:rFonts w:ascii="Arial" w:hAnsi="Arial" w:cs="Arial"/>
                <w:b w:val="0"/>
                <w:bCs/>
                <w:lang w:eastAsia="en-NZ"/>
              </w:rPr>
            </w:pPr>
          </w:p>
          <w:p w14:paraId="5DAF05A2" w14:textId="77777777" w:rsidR="000E6EF9" w:rsidRPr="00874DFB" w:rsidRDefault="000E6EF9" w:rsidP="00853D3D">
            <w:pPr>
              <w:rPr>
                <w:rFonts w:ascii="Arial" w:hAnsi="Arial" w:cs="Arial"/>
                <w:b w:val="0"/>
              </w:rPr>
            </w:pPr>
            <w:r w:rsidRPr="005F1341">
              <w:rPr>
                <w:rFonts w:ascii="Arial" w:hAnsi="Arial" w:cs="Arial"/>
                <w:bCs/>
                <w:lang w:eastAsia="en-NZ"/>
              </w:rPr>
              <w:t>SMART Goals</w:t>
            </w:r>
          </w:p>
        </w:tc>
        <w:tc>
          <w:tcPr>
            <w:tcW w:w="12474" w:type="dxa"/>
          </w:tcPr>
          <w:p w14:paraId="1E77FAAF" w14:textId="77777777" w:rsidR="000E6EF9" w:rsidRPr="00986409" w:rsidRDefault="000E6EF9" w:rsidP="00853D3D">
            <w:pPr>
              <w:pStyle w:val="NormalWeb"/>
              <w:shd w:val="clear" w:color="auto" w:fill="FFFFFF"/>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6409">
              <w:rPr>
                <w:rFonts w:ascii="Arial" w:hAnsi="Arial" w:cs="Arial"/>
                <w:bCs/>
                <w:sz w:val="22"/>
                <w:szCs w:val="22"/>
              </w:rPr>
              <w:t xml:space="preserve">An aspiration or target, or objective or future condition that the </w:t>
            </w:r>
            <w:r w:rsidR="00B40C49" w:rsidRPr="00986409">
              <w:rPr>
                <w:rFonts w:ascii="Arial" w:hAnsi="Arial" w:cs="Arial"/>
                <w:sz w:val="22"/>
                <w:szCs w:val="22"/>
                <w:lang w:eastAsia="ko-KR"/>
              </w:rPr>
              <w:t>client</w:t>
            </w:r>
            <w:r w:rsidRPr="00986409">
              <w:rPr>
                <w:rFonts w:ascii="Arial" w:hAnsi="Arial" w:cs="Arial"/>
                <w:sz w:val="22"/>
                <w:szCs w:val="22"/>
                <w:lang w:eastAsia="ko-KR"/>
              </w:rPr>
              <w:t xml:space="preserve"> </w:t>
            </w:r>
            <w:r w:rsidRPr="00986409">
              <w:rPr>
                <w:rFonts w:ascii="Arial" w:hAnsi="Arial" w:cs="Arial"/>
                <w:bCs/>
                <w:sz w:val="22"/>
                <w:szCs w:val="22"/>
              </w:rPr>
              <w:t>wishes to achieve to improve, maintain or prevent decline in functional ability, to improve social connectivity or achieve specific health outcomes (for example confidence in self-management of</w:t>
            </w:r>
            <w:r w:rsidRPr="00986409">
              <w:rPr>
                <w:rFonts w:ascii="Arial" w:hAnsi="Arial" w:cs="Arial"/>
                <w:sz w:val="22"/>
                <w:szCs w:val="22"/>
              </w:rPr>
              <w:t xml:space="preserve"> </w:t>
            </w:r>
            <w:r w:rsidRPr="00986409">
              <w:rPr>
                <w:rFonts w:ascii="Arial" w:hAnsi="Arial" w:cs="Arial"/>
                <w:bCs/>
                <w:sz w:val="22"/>
                <w:szCs w:val="22"/>
              </w:rPr>
              <w:t xml:space="preserve">long-term conditions). </w:t>
            </w:r>
            <w:r w:rsidRPr="00986409">
              <w:rPr>
                <w:rFonts w:ascii="Arial" w:hAnsi="Arial" w:cs="Arial"/>
                <w:sz w:val="22"/>
                <w:szCs w:val="22"/>
              </w:rPr>
              <w:t>Goals should be:</w:t>
            </w:r>
          </w:p>
          <w:p w14:paraId="7BD8D573" w14:textId="77777777" w:rsidR="000E6EF9" w:rsidRPr="00986409" w:rsidRDefault="000E6EF9" w:rsidP="003569F0">
            <w:pPr>
              <w:pStyle w:val="NormalWeb"/>
              <w:shd w:val="clear" w:color="auto" w:fill="FFFFFF"/>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6409">
              <w:rPr>
                <w:rStyle w:val="Strong"/>
                <w:rFonts w:ascii="Arial" w:hAnsi="Arial" w:cs="Arial"/>
                <w:sz w:val="22"/>
                <w:szCs w:val="22"/>
              </w:rPr>
              <w:t>S</w:t>
            </w:r>
            <w:r w:rsidRPr="00986409">
              <w:rPr>
                <w:rFonts w:ascii="Arial" w:hAnsi="Arial" w:cs="Arial"/>
                <w:sz w:val="22"/>
                <w:szCs w:val="22"/>
              </w:rPr>
              <w:t> </w:t>
            </w:r>
            <w:r w:rsidR="003569F0" w:rsidRPr="00986409">
              <w:rPr>
                <w:rFonts w:ascii="Arial" w:hAnsi="Arial" w:cs="Arial"/>
                <w:sz w:val="22"/>
                <w:szCs w:val="22"/>
              </w:rPr>
              <w:t>–</w:t>
            </w:r>
            <w:r w:rsidRPr="00986409">
              <w:rPr>
                <w:rFonts w:ascii="Arial" w:hAnsi="Arial" w:cs="Arial"/>
                <w:sz w:val="22"/>
                <w:szCs w:val="22"/>
              </w:rPr>
              <w:t xml:space="preserve"> specific</w:t>
            </w:r>
            <w:r w:rsidR="003569F0" w:rsidRPr="00986409">
              <w:rPr>
                <w:rFonts w:ascii="Arial" w:hAnsi="Arial" w:cs="Arial"/>
                <w:sz w:val="22"/>
                <w:szCs w:val="22"/>
              </w:rPr>
              <w:t xml:space="preserve">, </w:t>
            </w:r>
            <w:r w:rsidRPr="00986409">
              <w:rPr>
                <w:rStyle w:val="Strong"/>
                <w:rFonts w:ascii="Arial" w:hAnsi="Arial" w:cs="Arial"/>
                <w:sz w:val="22"/>
                <w:szCs w:val="22"/>
              </w:rPr>
              <w:t>M</w:t>
            </w:r>
            <w:r w:rsidRPr="00986409">
              <w:rPr>
                <w:rFonts w:ascii="Arial" w:hAnsi="Arial" w:cs="Arial"/>
                <w:sz w:val="22"/>
                <w:szCs w:val="22"/>
              </w:rPr>
              <w:t> </w:t>
            </w:r>
            <w:r w:rsidR="003569F0" w:rsidRPr="00986409">
              <w:rPr>
                <w:rFonts w:ascii="Arial" w:hAnsi="Arial" w:cs="Arial"/>
                <w:sz w:val="22"/>
                <w:szCs w:val="22"/>
              </w:rPr>
              <w:t>–</w:t>
            </w:r>
            <w:r w:rsidRPr="00986409">
              <w:rPr>
                <w:rFonts w:ascii="Arial" w:hAnsi="Arial" w:cs="Arial"/>
                <w:sz w:val="22"/>
                <w:szCs w:val="22"/>
              </w:rPr>
              <w:t xml:space="preserve"> measurable</w:t>
            </w:r>
            <w:r w:rsidR="003569F0" w:rsidRPr="00986409">
              <w:rPr>
                <w:rFonts w:ascii="Arial" w:hAnsi="Arial" w:cs="Arial"/>
                <w:sz w:val="22"/>
                <w:szCs w:val="22"/>
              </w:rPr>
              <w:t xml:space="preserve">, </w:t>
            </w:r>
            <w:r w:rsidRPr="00986409">
              <w:rPr>
                <w:rStyle w:val="Strong"/>
                <w:rFonts w:ascii="Arial" w:hAnsi="Arial" w:cs="Arial"/>
                <w:sz w:val="22"/>
                <w:szCs w:val="22"/>
              </w:rPr>
              <w:t>A</w:t>
            </w:r>
            <w:r w:rsidRPr="00986409">
              <w:rPr>
                <w:rFonts w:ascii="Arial" w:hAnsi="Arial" w:cs="Arial"/>
                <w:sz w:val="22"/>
                <w:szCs w:val="22"/>
              </w:rPr>
              <w:t> </w:t>
            </w:r>
            <w:r w:rsidR="00BE1DB3" w:rsidRPr="00986409">
              <w:rPr>
                <w:rFonts w:ascii="Arial" w:hAnsi="Arial" w:cs="Arial"/>
                <w:sz w:val="22"/>
                <w:szCs w:val="22"/>
              </w:rPr>
              <w:t>–</w:t>
            </w:r>
            <w:r w:rsidRPr="00986409">
              <w:rPr>
                <w:rFonts w:ascii="Arial" w:hAnsi="Arial" w:cs="Arial"/>
                <w:sz w:val="22"/>
                <w:szCs w:val="22"/>
              </w:rPr>
              <w:t xml:space="preserve"> agreed upon</w:t>
            </w:r>
            <w:r w:rsidR="003569F0" w:rsidRPr="00986409">
              <w:rPr>
                <w:rFonts w:ascii="Arial" w:hAnsi="Arial" w:cs="Arial"/>
                <w:sz w:val="22"/>
                <w:szCs w:val="22"/>
              </w:rPr>
              <w:t xml:space="preserve">, </w:t>
            </w:r>
            <w:r w:rsidRPr="00986409">
              <w:rPr>
                <w:rStyle w:val="Strong"/>
                <w:rFonts w:ascii="Arial" w:hAnsi="Arial" w:cs="Arial"/>
                <w:sz w:val="22"/>
                <w:szCs w:val="22"/>
              </w:rPr>
              <w:t>R</w:t>
            </w:r>
            <w:r w:rsidRPr="00986409">
              <w:rPr>
                <w:rFonts w:ascii="Arial" w:hAnsi="Arial" w:cs="Arial"/>
                <w:sz w:val="22"/>
                <w:szCs w:val="22"/>
              </w:rPr>
              <w:t> </w:t>
            </w:r>
            <w:r w:rsidR="003569F0" w:rsidRPr="00986409">
              <w:rPr>
                <w:rFonts w:ascii="Arial" w:hAnsi="Arial" w:cs="Arial"/>
                <w:sz w:val="22"/>
                <w:szCs w:val="22"/>
              </w:rPr>
              <w:t>–</w:t>
            </w:r>
            <w:r w:rsidRPr="00986409">
              <w:rPr>
                <w:rFonts w:ascii="Arial" w:hAnsi="Arial" w:cs="Arial"/>
                <w:sz w:val="22"/>
                <w:szCs w:val="22"/>
              </w:rPr>
              <w:t xml:space="preserve"> realistic</w:t>
            </w:r>
            <w:r w:rsidR="003569F0" w:rsidRPr="00986409">
              <w:rPr>
                <w:rFonts w:ascii="Arial" w:hAnsi="Arial" w:cs="Arial"/>
                <w:sz w:val="22"/>
                <w:szCs w:val="22"/>
              </w:rPr>
              <w:t xml:space="preserve">, </w:t>
            </w:r>
            <w:r w:rsidRPr="00986409">
              <w:rPr>
                <w:rStyle w:val="Strong"/>
                <w:rFonts w:ascii="Arial" w:hAnsi="Arial" w:cs="Arial"/>
                <w:sz w:val="22"/>
                <w:szCs w:val="22"/>
              </w:rPr>
              <w:t>T</w:t>
            </w:r>
            <w:r w:rsidRPr="00986409">
              <w:rPr>
                <w:rFonts w:ascii="Arial" w:hAnsi="Arial" w:cs="Arial"/>
                <w:sz w:val="22"/>
                <w:szCs w:val="22"/>
              </w:rPr>
              <w:t> </w:t>
            </w:r>
            <w:r w:rsidR="00BE1DB3" w:rsidRPr="00986409">
              <w:rPr>
                <w:rFonts w:ascii="Arial" w:hAnsi="Arial" w:cs="Arial"/>
                <w:sz w:val="22"/>
                <w:szCs w:val="22"/>
              </w:rPr>
              <w:t>–</w:t>
            </w:r>
            <w:r w:rsidRPr="00986409">
              <w:rPr>
                <w:rFonts w:ascii="Arial" w:hAnsi="Arial" w:cs="Arial"/>
                <w:sz w:val="22"/>
                <w:szCs w:val="22"/>
              </w:rPr>
              <w:t xml:space="preserve"> time-based</w:t>
            </w:r>
          </w:p>
        </w:tc>
      </w:tr>
      <w:tr w:rsidR="000E6EF9" w:rsidRPr="00986409" w14:paraId="3D687888"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FFFD477" w14:textId="77777777" w:rsidR="000E6EF9" w:rsidRPr="00986409" w:rsidRDefault="000E6EF9" w:rsidP="00853D3D">
            <w:pPr>
              <w:rPr>
                <w:rFonts w:ascii="Arial" w:hAnsi="Arial" w:cs="Arial"/>
                <w:b w:val="0"/>
              </w:rPr>
            </w:pPr>
            <w:r w:rsidRPr="00986409">
              <w:rPr>
                <w:rFonts w:ascii="Arial" w:hAnsi="Arial" w:cs="Arial"/>
              </w:rPr>
              <w:t>Service Allocation Tool</w:t>
            </w:r>
          </w:p>
        </w:tc>
        <w:tc>
          <w:tcPr>
            <w:tcW w:w="12474" w:type="dxa"/>
          </w:tcPr>
          <w:p w14:paraId="0486AB5B"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Also abbreviated to ‘SAT’. It is a screening tool that comprises five questions to determine </w:t>
            </w:r>
            <w:r w:rsidR="00B40C49" w:rsidRPr="00874DFB">
              <w:rPr>
                <w:rFonts w:ascii="Arial" w:hAnsi="Arial" w:cs="Arial"/>
              </w:rPr>
              <w:t>client</w:t>
            </w:r>
            <w:r w:rsidRPr="00986409">
              <w:rPr>
                <w:rFonts w:ascii="Arial" w:hAnsi="Arial" w:cs="Arial"/>
              </w:rPr>
              <w:t xml:space="preserve"> complexity and service level access.</w:t>
            </w:r>
          </w:p>
        </w:tc>
      </w:tr>
      <w:tr w:rsidR="000E6EF9" w:rsidRPr="00986409" w14:paraId="74E21775"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BE4D544" w14:textId="77777777" w:rsidR="000E6EF9" w:rsidRPr="00986409" w:rsidRDefault="000E6EF9" w:rsidP="00853D3D">
            <w:pPr>
              <w:rPr>
                <w:rFonts w:ascii="Arial" w:hAnsi="Arial" w:cs="Arial"/>
                <w:b w:val="0"/>
              </w:rPr>
            </w:pPr>
            <w:r w:rsidRPr="00986409">
              <w:rPr>
                <w:rFonts w:ascii="Arial" w:hAnsi="Arial" w:cs="Arial"/>
              </w:rPr>
              <w:t>Casemix</w:t>
            </w:r>
          </w:p>
        </w:tc>
        <w:tc>
          <w:tcPr>
            <w:tcW w:w="12474" w:type="dxa"/>
          </w:tcPr>
          <w:p w14:paraId="44D68611"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This is a system that classifies people into groups with similar levels of a</w:t>
            </w:r>
            <w:r w:rsidRPr="00874DFB">
              <w:rPr>
                <w:rFonts w:ascii="Arial" w:hAnsi="Arial" w:cs="Arial"/>
              </w:rPr>
              <w:t>ssessed need and resource utilisat</w:t>
            </w:r>
            <w:r w:rsidRPr="00986409">
              <w:rPr>
                <w:rFonts w:ascii="Arial" w:hAnsi="Arial" w:cs="Arial"/>
              </w:rPr>
              <w:t>ion.</w:t>
            </w:r>
          </w:p>
        </w:tc>
      </w:tr>
      <w:tr w:rsidR="000E6EF9" w:rsidRPr="00986409" w14:paraId="053D2902"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0AAE92E" w14:textId="77777777" w:rsidR="000E6EF9" w:rsidRPr="00986409" w:rsidRDefault="000E6EF9" w:rsidP="00853D3D">
            <w:pPr>
              <w:rPr>
                <w:rFonts w:ascii="Arial" w:hAnsi="Arial" w:cs="Arial"/>
                <w:b w:val="0"/>
              </w:rPr>
            </w:pPr>
            <w:r w:rsidRPr="00986409">
              <w:rPr>
                <w:rFonts w:ascii="Arial" w:hAnsi="Arial" w:cs="Arial"/>
              </w:rPr>
              <w:t>Casemix allocation</w:t>
            </w:r>
          </w:p>
        </w:tc>
        <w:tc>
          <w:tcPr>
            <w:tcW w:w="12474" w:type="dxa"/>
          </w:tcPr>
          <w:p w14:paraId="57C03EFC"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The process by which </w:t>
            </w:r>
            <w:r w:rsidR="00194378" w:rsidRPr="00874DFB">
              <w:rPr>
                <w:rFonts w:ascii="Arial" w:hAnsi="Arial" w:cs="Arial"/>
              </w:rPr>
              <w:t>clinical assessors</w:t>
            </w:r>
            <w:r w:rsidRPr="00986409">
              <w:rPr>
                <w:rFonts w:ascii="Arial" w:hAnsi="Arial" w:cs="Arial"/>
              </w:rPr>
              <w:t xml:space="preserve"> determine which case mix group a </w:t>
            </w:r>
            <w:r w:rsidR="00B40C49" w:rsidRPr="00986409">
              <w:rPr>
                <w:rFonts w:ascii="Arial" w:hAnsi="Arial" w:cs="Arial"/>
              </w:rPr>
              <w:t>client</w:t>
            </w:r>
            <w:r w:rsidRPr="00986409">
              <w:rPr>
                <w:rFonts w:ascii="Arial" w:hAnsi="Arial" w:cs="Arial"/>
              </w:rPr>
              <w:t xml:space="preserve"> belongs to, based on the outcomes of either the Contact or Home Care Assessment.</w:t>
            </w:r>
          </w:p>
        </w:tc>
      </w:tr>
      <w:tr w:rsidR="000E6EF9" w:rsidRPr="00986409" w14:paraId="79F8C3BD"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65AF4F1" w14:textId="77777777" w:rsidR="000E6EF9" w:rsidRPr="00986409" w:rsidRDefault="000E6EF9" w:rsidP="00853D3D">
            <w:pPr>
              <w:rPr>
                <w:rFonts w:ascii="Arial" w:hAnsi="Arial" w:cs="Arial"/>
                <w:b w:val="0"/>
              </w:rPr>
            </w:pPr>
            <w:proofErr w:type="spellStart"/>
            <w:r w:rsidRPr="00986409">
              <w:rPr>
                <w:rFonts w:ascii="Arial" w:hAnsi="Arial" w:cs="Arial"/>
              </w:rPr>
              <w:t>interRAI</w:t>
            </w:r>
            <w:proofErr w:type="spellEnd"/>
            <w:r w:rsidRPr="00986409">
              <w:rPr>
                <w:rFonts w:ascii="Arial" w:hAnsi="Arial" w:cs="Arial"/>
              </w:rPr>
              <w:t xml:space="preserve"> Assessment</w:t>
            </w:r>
          </w:p>
        </w:tc>
        <w:tc>
          <w:tcPr>
            <w:tcW w:w="12474" w:type="dxa"/>
          </w:tcPr>
          <w:p w14:paraId="3A737268"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A comprehensive</w:t>
            </w:r>
            <w:r w:rsidRPr="00874DFB">
              <w:rPr>
                <w:rFonts w:ascii="Arial" w:hAnsi="Arial" w:cs="Arial"/>
              </w:rPr>
              <w:t xml:space="preserve"> clinical assessment, which focuse</w:t>
            </w:r>
            <w:r w:rsidRPr="00986409">
              <w:rPr>
                <w:rFonts w:ascii="Arial" w:hAnsi="Arial" w:cs="Arial"/>
              </w:rPr>
              <w:t xml:space="preserve">s on a person’s level of functional ability. It is specifically designed to show the assessor opportunities for improvement and/or any risks to the person’s health, which then forms the basis of a care plan. The </w:t>
            </w:r>
            <w:proofErr w:type="spellStart"/>
            <w:r w:rsidRPr="00986409">
              <w:rPr>
                <w:rFonts w:ascii="Arial" w:hAnsi="Arial" w:cs="Arial"/>
              </w:rPr>
              <w:t>interRAI</w:t>
            </w:r>
            <w:proofErr w:type="spellEnd"/>
            <w:r w:rsidRPr="00986409">
              <w:rPr>
                <w:rFonts w:ascii="Arial" w:hAnsi="Arial" w:cs="Arial"/>
              </w:rPr>
              <w:t xml:space="preserve"> assessment tools used within this service are the Contact and Home Care assessments.</w:t>
            </w:r>
          </w:p>
        </w:tc>
      </w:tr>
      <w:tr w:rsidR="000E6EF9" w:rsidRPr="00986409" w14:paraId="3114F83E"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77A2032" w14:textId="77777777" w:rsidR="000E6EF9" w:rsidRPr="00986409" w:rsidRDefault="000E6EF9" w:rsidP="00853D3D">
            <w:pPr>
              <w:rPr>
                <w:rFonts w:ascii="Arial" w:hAnsi="Arial" w:cs="Arial"/>
                <w:b w:val="0"/>
              </w:rPr>
            </w:pPr>
            <w:r w:rsidRPr="00986409">
              <w:rPr>
                <w:rFonts w:ascii="Arial" w:hAnsi="Arial" w:cs="Arial"/>
              </w:rPr>
              <w:t>Re-assessment</w:t>
            </w:r>
          </w:p>
        </w:tc>
        <w:tc>
          <w:tcPr>
            <w:tcW w:w="12474" w:type="dxa"/>
          </w:tcPr>
          <w:p w14:paraId="033205CB"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Provider and NASC assessors are required to complete repeat assessments of </w:t>
            </w:r>
            <w:r w:rsidR="00B40C49" w:rsidRPr="00874DFB">
              <w:rPr>
                <w:rFonts w:ascii="Arial" w:hAnsi="Arial" w:cs="Arial"/>
              </w:rPr>
              <w:t>client</w:t>
            </w:r>
            <w:r w:rsidRPr="00986409">
              <w:rPr>
                <w:rFonts w:ascii="Arial" w:hAnsi="Arial" w:cs="Arial"/>
              </w:rPr>
              <w:t xml:space="preserve">s as clinically indicated or </w:t>
            </w:r>
            <w:r w:rsidR="00194378" w:rsidRPr="00986409">
              <w:rPr>
                <w:rFonts w:ascii="Arial" w:hAnsi="Arial" w:cs="Arial"/>
              </w:rPr>
              <w:t>as set out in the Review and Reassessment regime (pg</w:t>
            </w:r>
            <w:r w:rsidRPr="00986409">
              <w:rPr>
                <w:rFonts w:ascii="Arial" w:hAnsi="Arial" w:cs="Arial"/>
              </w:rPr>
              <w:t>.</w:t>
            </w:r>
            <w:r w:rsidR="00194378" w:rsidRPr="00986409">
              <w:rPr>
                <w:rFonts w:ascii="Arial" w:hAnsi="Arial" w:cs="Arial"/>
              </w:rPr>
              <w:t xml:space="preserve"> 25)</w:t>
            </w:r>
          </w:p>
        </w:tc>
      </w:tr>
      <w:tr w:rsidR="000E6EF9" w:rsidRPr="00986409" w14:paraId="369572B5"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C841E8C" w14:textId="77777777" w:rsidR="000E6EF9" w:rsidRPr="00986409" w:rsidRDefault="000E6EF9" w:rsidP="00853D3D">
            <w:pPr>
              <w:rPr>
                <w:rFonts w:ascii="Arial" w:hAnsi="Arial" w:cs="Arial"/>
                <w:b w:val="0"/>
              </w:rPr>
            </w:pPr>
            <w:bookmarkStart w:id="179" w:name="_Hlk18916774"/>
            <w:r w:rsidRPr="00986409">
              <w:rPr>
                <w:rFonts w:ascii="Arial" w:hAnsi="Arial" w:cs="Arial"/>
              </w:rPr>
              <w:t>Care plan</w:t>
            </w:r>
          </w:p>
        </w:tc>
        <w:tc>
          <w:tcPr>
            <w:tcW w:w="12474" w:type="dxa"/>
          </w:tcPr>
          <w:p w14:paraId="439497EF"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This is the process that responds to the completed assessment findings (such as ‘CAPs’ ‘CHESS’ and ‘</w:t>
            </w:r>
            <w:proofErr w:type="spellStart"/>
            <w:r w:rsidRPr="005F1341">
              <w:rPr>
                <w:rFonts w:ascii="Arial" w:hAnsi="Arial" w:cs="Arial"/>
              </w:rPr>
              <w:t>MAPle</w:t>
            </w:r>
            <w:proofErr w:type="spellEnd"/>
            <w:r w:rsidRPr="005F1341">
              <w:rPr>
                <w:rFonts w:ascii="Arial" w:hAnsi="Arial" w:cs="Arial"/>
              </w:rPr>
              <w:t xml:space="preserve">’ ‘Outcome Scores’) by developing an appropriate plan of care. </w:t>
            </w:r>
            <w:r w:rsidR="00B40BB5" w:rsidRPr="00874DFB">
              <w:rPr>
                <w:rFonts w:ascii="Arial" w:hAnsi="Arial" w:cs="Arial"/>
              </w:rPr>
              <w:t xml:space="preserve"> The Care Plan is generated using the </w:t>
            </w:r>
            <w:proofErr w:type="spellStart"/>
            <w:r w:rsidR="00B40BB5" w:rsidRPr="00874DFB">
              <w:rPr>
                <w:rFonts w:ascii="Arial" w:hAnsi="Arial" w:cs="Arial"/>
              </w:rPr>
              <w:t>interRAI</w:t>
            </w:r>
            <w:proofErr w:type="spellEnd"/>
            <w:r w:rsidR="00B40BB5" w:rsidRPr="00874DFB">
              <w:rPr>
                <w:rFonts w:ascii="Arial" w:hAnsi="Arial" w:cs="Arial"/>
              </w:rPr>
              <w:t xml:space="preserve"> software at the com</w:t>
            </w:r>
            <w:r w:rsidR="00B40BB5" w:rsidRPr="00986409">
              <w:rPr>
                <w:rFonts w:ascii="Arial" w:hAnsi="Arial" w:cs="Arial"/>
              </w:rPr>
              <w:t xml:space="preserve">pletion of an </w:t>
            </w:r>
            <w:proofErr w:type="spellStart"/>
            <w:r w:rsidR="00B40BB5" w:rsidRPr="00986409">
              <w:rPr>
                <w:rFonts w:ascii="Arial" w:hAnsi="Arial" w:cs="Arial"/>
              </w:rPr>
              <w:t>InterRAI</w:t>
            </w:r>
            <w:proofErr w:type="spellEnd"/>
            <w:r w:rsidR="00B40BB5" w:rsidRPr="00986409">
              <w:rPr>
                <w:rFonts w:ascii="Arial" w:hAnsi="Arial" w:cs="Arial"/>
              </w:rPr>
              <w:t xml:space="preserve"> and the</w:t>
            </w:r>
            <w:r w:rsidRPr="00986409">
              <w:rPr>
                <w:rFonts w:ascii="Arial" w:hAnsi="Arial" w:cs="Arial"/>
              </w:rPr>
              <w:t xml:space="preserve"> information in the care plan is used by the Provider to develop a service plan.</w:t>
            </w:r>
          </w:p>
        </w:tc>
      </w:tr>
      <w:tr w:rsidR="008431FA" w:rsidRPr="00986409" w14:paraId="183864A0"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E5E5D27" w14:textId="77777777" w:rsidR="008431FA" w:rsidRPr="00874DFB" w:rsidRDefault="00A1400B" w:rsidP="00853D3D">
            <w:pPr>
              <w:rPr>
                <w:rFonts w:ascii="Arial" w:hAnsi="Arial" w:cs="Arial"/>
              </w:rPr>
            </w:pPr>
            <w:r w:rsidRPr="00986409">
              <w:rPr>
                <w:rFonts w:ascii="Arial" w:hAnsi="Arial" w:cs="Arial"/>
              </w:rPr>
              <w:lastRenderedPageBreak/>
              <w:t xml:space="preserve">Service </w:t>
            </w:r>
            <w:r w:rsidR="007D28FF" w:rsidRPr="005F1341">
              <w:rPr>
                <w:rFonts w:ascii="Arial" w:hAnsi="Arial" w:cs="Arial"/>
              </w:rPr>
              <w:t>Implementation</w:t>
            </w:r>
          </w:p>
        </w:tc>
        <w:tc>
          <w:tcPr>
            <w:tcW w:w="12474" w:type="dxa"/>
          </w:tcPr>
          <w:p w14:paraId="25285B04" w14:textId="77777777" w:rsidR="008431FA" w:rsidRPr="00986409" w:rsidRDefault="007D28FF"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The first day that the support service is delivered into the home of a client by a support worker implementing the </w:t>
            </w:r>
            <w:r w:rsidR="00370125" w:rsidRPr="00986409">
              <w:rPr>
                <w:rFonts w:ascii="Arial" w:hAnsi="Arial" w:cs="Arial"/>
              </w:rPr>
              <w:t>requirements</w:t>
            </w:r>
            <w:r w:rsidRPr="00986409">
              <w:rPr>
                <w:rFonts w:ascii="Arial" w:hAnsi="Arial" w:cs="Arial"/>
              </w:rPr>
              <w:t xml:space="preserve"> of the </w:t>
            </w:r>
            <w:r w:rsidR="00CD0ED8" w:rsidRPr="00986409">
              <w:rPr>
                <w:rFonts w:ascii="Arial" w:hAnsi="Arial" w:cs="Arial"/>
              </w:rPr>
              <w:t>individual support plan</w:t>
            </w:r>
            <w:r w:rsidRPr="00986409">
              <w:rPr>
                <w:rFonts w:ascii="Arial" w:hAnsi="Arial" w:cs="Arial"/>
              </w:rPr>
              <w:t>.</w:t>
            </w:r>
          </w:p>
        </w:tc>
      </w:tr>
      <w:tr w:rsidR="00BE1DB3" w:rsidRPr="00986409" w14:paraId="42D74EC5"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678FC22" w14:textId="77777777" w:rsidR="00BE1DB3" w:rsidRPr="00986409" w:rsidRDefault="00BE1DB3" w:rsidP="00853D3D">
            <w:pPr>
              <w:rPr>
                <w:rFonts w:ascii="Arial" w:hAnsi="Arial" w:cs="Arial"/>
              </w:rPr>
            </w:pPr>
            <w:r w:rsidRPr="00986409">
              <w:rPr>
                <w:rFonts w:ascii="Arial" w:hAnsi="Arial" w:cs="Arial"/>
              </w:rPr>
              <w:t>Natural Supports</w:t>
            </w:r>
          </w:p>
        </w:tc>
        <w:tc>
          <w:tcPr>
            <w:tcW w:w="12474" w:type="dxa"/>
          </w:tcPr>
          <w:p w14:paraId="2A6D6C0F" w14:textId="77777777" w:rsidR="00BE1DB3" w:rsidRPr="00986409" w:rsidRDefault="00BE1DB3"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lang w:val="en-US"/>
              </w:rPr>
              <w:t xml:space="preserve">the resources inherent in </w:t>
            </w:r>
            <w:r w:rsidRPr="00874DFB">
              <w:rPr>
                <w:rFonts w:ascii="Arial" w:hAnsi="Arial" w:cs="Arial"/>
                <w:lang w:val="en-US"/>
              </w:rPr>
              <w:t xml:space="preserve">the </w:t>
            </w:r>
            <w:r w:rsidRPr="00986409">
              <w:rPr>
                <w:rFonts w:ascii="Arial" w:hAnsi="Arial" w:cs="Arial"/>
                <w:lang w:val="en-US"/>
              </w:rPr>
              <w:t xml:space="preserve">community, including personal associations and relationships, that enhance the wellbeing and security of clients. Natural supports usually involve family members, friends, </w:t>
            </w:r>
            <w:proofErr w:type="spellStart"/>
            <w:r w:rsidRPr="00986409">
              <w:rPr>
                <w:rFonts w:ascii="Arial" w:hAnsi="Arial" w:cs="Arial"/>
                <w:lang w:val="en-US"/>
              </w:rPr>
              <w:t>neighbours</w:t>
            </w:r>
            <w:proofErr w:type="spellEnd"/>
            <w:r w:rsidRPr="00986409">
              <w:rPr>
                <w:rFonts w:ascii="Arial" w:hAnsi="Arial" w:cs="Arial"/>
                <w:lang w:val="en-US"/>
              </w:rPr>
              <w:t xml:space="preserve"> and acquaintances. Some clients have few natural supports and may need support to develop these connections</w:t>
            </w:r>
            <w:r w:rsidRPr="006E1945">
              <w:rPr>
                <w:rFonts w:ascii="Arial" w:hAnsi="Arial" w:cs="Arial"/>
                <w:lang w:val="en-US"/>
              </w:rPr>
              <w:t>.</w:t>
            </w:r>
          </w:p>
        </w:tc>
      </w:tr>
      <w:bookmarkEnd w:id="179"/>
      <w:tr w:rsidR="000E6EF9" w:rsidRPr="00986409" w14:paraId="17E26C73"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8F5B4CE" w14:textId="77777777" w:rsidR="000E6EF9" w:rsidRPr="00986409" w:rsidRDefault="00CD0ED8" w:rsidP="00853D3D">
            <w:pPr>
              <w:rPr>
                <w:rFonts w:ascii="Arial" w:hAnsi="Arial" w:cs="Arial"/>
                <w:b w:val="0"/>
              </w:rPr>
            </w:pPr>
            <w:r w:rsidRPr="00986409">
              <w:rPr>
                <w:rFonts w:ascii="Arial" w:hAnsi="Arial" w:cs="Arial"/>
              </w:rPr>
              <w:t>Individual Support Plan</w:t>
            </w:r>
          </w:p>
        </w:tc>
        <w:tc>
          <w:tcPr>
            <w:tcW w:w="12474" w:type="dxa"/>
          </w:tcPr>
          <w:p w14:paraId="6526297C"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The Providers develop </w:t>
            </w:r>
            <w:r w:rsidR="00B40C49" w:rsidRPr="00874DFB">
              <w:rPr>
                <w:rFonts w:ascii="Arial" w:hAnsi="Arial" w:cs="Arial"/>
              </w:rPr>
              <w:t>client</w:t>
            </w:r>
            <w:r w:rsidR="004C739E" w:rsidRPr="00986409">
              <w:rPr>
                <w:rFonts w:ascii="Arial" w:hAnsi="Arial" w:cs="Arial"/>
              </w:rPr>
              <w:t xml:space="preserve"> centred goal-based </w:t>
            </w:r>
            <w:r w:rsidR="00B562C1" w:rsidRPr="00986409">
              <w:rPr>
                <w:rFonts w:ascii="Arial" w:hAnsi="Arial" w:cs="Arial"/>
              </w:rPr>
              <w:t xml:space="preserve">individual support </w:t>
            </w:r>
            <w:r w:rsidR="004C739E" w:rsidRPr="00986409">
              <w:rPr>
                <w:rFonts w:ascii="Arial" w:hAnsi="Arial" w:cs="Arial"/>
              </w:rPr>
              <w:t xml:space="preserve">plans </w:t>
            </w:r>
            <w:r w:rsidRPr="00986409">
              <w:rPr>
                <w:rFonts w:ascii="Arial" w:hAnsi="Arial" w:cs="Arial"/>
              </w:rPr>
              <w:t xml:space="preserve">in partnership with </w:t>
            </w:r>
            <w:r w:rsidR="00B40C49" w:rsidRPr="00986409">
              <w:rPr>
                <w:rFonts w:ascii="Arial" w:hAnsi="Arial" w:cs="Arial"/>
              </w:rPr>
              <w:t>client</w:t>
            </w:r>
            <w:r w:rsidRPr="00986409">
              <w:rPr>
                <w:rFonts w:ascii="Arial" w:hAnsi="Arial" w:cs="Arial"/>
              </w:rPr>
              <w:t xml:space="preserve">s.  The purpose of </w:t>
            </w:r>
            <w:r w:rsidR="00370125" w:rsidRPr="00986409">
              <w:rPr>
                <w:rFonts w:ascii="Arial" w:hAnsi="Arial" w:cs="Arial"/>
              </w:rPr>
              <w:t>the Individual</w:t>
            </w:r>
            <w:r w:rsidR="00192CF9" w:rsidRPr="00986409">
              <w:rPr>
                <w:rFonts w:ascii="Arial" w:hAnsi="Arial" w:cs="Arial"/>
              </w:rPr>
              <w:t xml:space="preserve"> support plan</w:t>
            </w:r>
            <w:r w:rsidR="00B562C1" w:rsidRPr="00986409">
              <w:rPr>
                <w:rFonts w:ascii="Arial" w:hAnsi="Arial" w:cs="Arial"/>
              </w:rPr>
              <w:t xml:space="preserve"> </w:t>
            </w:r>
            <w:r w:rsidRPr="00986409">
              <w:rPr>
                <w:rFonts w:ascii="Arial" w:hAnsi="Arial" w:cs="Arial"/>
              </w:rPr>
              <w:t>is to provide clear guidance to support staff about:</w:t>
            </w:r>
          </w:p>
          <w:p w14:paraId="04127469" w14:textId="77777777" w:rsidR="000E6EF9" w:rsidRPr="00986409" w:rsidRDefault="000E6EF9" w:rsidP="00EE7F92">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activities they need to complete to support </w:t>
            </w:r>
            <w:r w:rsidR="00B40C49" w:rsidRPr="00986409">
              <w:rPr>
                <w:rFonts w:ascii="Arial" w:hAnsi="Arial" w:cs="Arial"/>
              </w:rPr>
              <w:t>client</w:t>
            </w:r>
            <w:r w:rsidRPr="00986409">
              <w:rPr>
                <w:rFonts w:ascii="Arial" w:hAnsi="Arial" w:cs="Arial"/>
              </w:rPr>
              <w:t>s to achieve set goals</w:t>
            </w:r>
          </w:p>
          <w:p w14:paraId="53088502" w14:textId="77777777" w:rsidR="000E6EF9" w:rsidRPr="00986409" w:rsidRDefault="000E6EF9" w:rsidP="00EE7F92">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what needs to be escalated to the attention of the </w:t>
            </w:r>
            <w:r w:rsidR="002830B9" w:rsidRPr="00986409">
              <w:rPr>
                <w:rFonts w:ascii="Arial" w:hAnsi="Arial" w:cs="Arial"/>
              </w:rPr>
              <w:t>RHP</w:t>
            </w:r>
          </w:p>
          <w:p w14:paraId="08E385A8" w14:textId="77777777" w:rsidR="000E6EF9" w:rsidRPr="00986409" w:rsidRDefault="000E6EF9" w:rsidP="00EE7F92">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the estimated time it should take for them to complete the activities of the </w:t>
            </w:r>
            <w:r w:rsidR="00B562C1" w:rsidRPr="00986409">
              <w:rPr>
                <w:rFonts w:ascii="Arial" w:hAnsi="Arial" w:cs="Arial"/>
              </w:rPr>
              <w:t xml:space="preserve">individual </w:t>
            </w:r>
            <w:r w:rsidRPr="00986409">
              <w:rPr>
                <w:rFonts w:ascii="Arial" w:hAnsi="Arial" w:cs="Arial"/>
              </w:rPr>
              <w:t>support plan and expected time between reviews.</w:t>
            </w:r>
          </w:p>
          <w:p w14:paraId="1B8B2F09" w14:textId="77777777" w:rsidR="004C739E" w:rsidRPr="00986409" w:rsidRDefault="004C739E" w:rsidP="00EE7F92">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hazards </w:t>
            </w:r>
            <w:r w:rsidR="002830B9" w:rsidRPr="00986409">
              <w:rPr>
                <w:rFonts w:ascii="Arial" w:hAnsi="Arial" w:cs="Arial"/>
              </w:rPr>
              <w:t xml:space="preserve">are identified </w:t>
            </w:r>
            <w:r w:rsidRPr="00986409">
              <w:rPr>
                <w:rFonts w:ascii="Arial" w:hAnsi="Arial" w:cs="Arial"/>
              </w:rPr>
              <w:t>and describe how they are mitigated</w:t>
            </w:r>
          </w:p>
          <w:p w14:paraId="45983E2B" w14:textId="77777777" w:rsidR="004C739E" w:rsidRPr="00986409" w:rsidRDefault="002830B9" w:rsidP="00EE7F92">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t</w:t>
            </w:r>
            <w:r w:rsidR="004C739E" w:rsidRPr="00986409">
              <w:rPr>
                <w:rFonts w:ascii="Arial" w:hAnsi="Arial" w:cs="Arial"/>
              </w:rPr>
              <w:t>he contingency plan in the case of emergencies</w:t>
            </w:r>
          </w:p>
          <w:p w14:paraId="7C95BF8D"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The </w:t>
            </w:r>
            <w:r w:rsidR="00B562C1" w:rsidRPr="00986409">
              <w:rPr>
                <w:rFonts w:ascii="Arial" w:hAnsi="Arial" w:cs="Arial"/>
              </w:rPr>
              <w:t>support</w:t>
            </w:r>
            <w:r w:rsidRPr="00986409">
              <w:rPr>
                <w:rFonts w:ascii="Arial" w:hAnsi="Arial" w:cs="Arial"/>
              </w:rPr>
              <w:t xml:space="preserve"> plan is owned by the </w:t>
            </w:r>
            <w:r w:rsidR="00B40C49" w:rsidRPr="00986409">
              <w:rPr>
                <w:rFonts w:ascii="Arial" w:hAnsi="Arial" w:cs="Arial"/>
              </w:rPr>
              <w:t>client</w:t>
            </w:r>
            <w:r w:rsidR="004C739E" w:rsidRPr="00986409">
              <w:rPr>
                <w:rFonts w:ascii="Arial" w:hAnsi="Arial" w:cs="Arial"/>
              </w:rPr>
              <w:t>,</w:t>
            </w:r>
            <w:r w:rsidRPr="00986409">
              <w:rPr>
                <w:rFonts w:ascii="Arial" w:hAnsi="Arial" w:cs="Arial"/>
              </w:rPr>
              <w:t xml:space="preserve"> </w:t>
            </w:r>
            <w:r w:rsidR="004C739E" w:rsidRPr="00986409">
              <w:rPr>
                <w:rFonts w:ascii="Arial" w:hAnsi="Arial" w:cs="Arial"/>
              </w:rPr>
              <w:t>can be made available to be shared with the</w:t>
            </w:r>
            <w:r w:rsidRPr="00986409">
              <w:rPr>
                <w:rFonts w:ascii="Arial" w:hAnsi="Arial" w:cs="Arial"/>
              </w:rPr>
              <w:t xml:space="preserve"> wider support team.</w:t>
            </w:r>
          </w:p>
        </w:tc>
      </w:tr>
      <w:tr w:rsidR="000E6EF9" w:rsidRPr="00986409" w14:paraId="55C822BC"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46744BA" w14:textId="77777777" w:rsidR="000E6EF9" w:rsidRPr="00986409" w:rsidRDefault="000E6EF9" w:rsidP="00853D3D">
            <w:pPr>
              <w:rPr>
                <w:rFonts w:ascii="Arial" w:hAnsi="Arial" w:cs="Arial"/>
                <w:b w:val="0"/>
              </w:rPr>
            </w:pPr>
            <w:r w:rsidRPr="00986409">
              <w:rPr>
                <w:rFonts w:ascii="Arial" w:hAnsi="Arial" w:cs="Arial"/>
              </w:rPr>
              <w:t>Household management</w:t>
            </w:r>
          </w:p>
        </w:tc>
        <w:tc>
          <w:tcPr>
            <w:tcW w:w="12474" w:type="dxa"/>
          </w:tcPr>
          <w:p w14:paraId="68C48250"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The activities required to maintain the living environment as ‘safe and sanitary’.  This could include but not limited to vacuuming, </w:t>
            </w:r>
            <w:r w:rsidRPr="00874DFB">
              <w:rPr>
                <w:rFonts w:ascii="Arial" w:hAnsi="Arial" w:cs="Arial"/>
              </w:rPr>
              <w:t>cleaning of bathroom and kitchen areas, changi</w:t>
            </w:r>
            <w:r w:rsidRPr="00986409">
              <w:rPr>
                <w:rFonts w:ascii="Arial" w:hAnsi="Arial" w:cs="Arial"/>
              </w:rPr>
              <w:t>ng of bed linen and support with laundry.  This does not include, cleaning of windows, high cleaning, outdoor maintenance, cleaning of any additional rooms, dusting, cleaning of ornaments and additional cleaning considered beyond that required to maintain ‘safe and sanitary’ living conditions.</w:t>
            </w:r>
          </w:p>
        </w:tc>
      </w:tr>
      <w:tr w:rsidR="000E6EF9" w:rsidRPr="00986409" w14:paraId="027196C6"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9E960CF" w14:textId="77777777" w:rsidR="000E6EF9" w:rsidRPr="00986409" w:rsidRDefault="000E6EF9" w:rsidP="00853D3D">
            <w:pPr>
              <w:rPr>
                <w:rFonts w:ascii="Arial" w:hAnsi="Arial" w:cs="Arial"/>
                <w:b w:val="0"/>
              </w:rPr>
            </w:pPr>
            <w:r w:rsidRPr="00986409">
              <w:rPr>
                <w:rFonts w:ascii="Arial" w:hAnsi="Arial" w:cs="Arial"/>
              </w:rPr>
              <w:t>Personal Care</w:t>
            </w:r>
          </w:p>
        </w:tc>
        <w:tc>
          <w:tcPr>
            <w:tcW w:w="12474" w:type="dxa"/>
          </w:tcPr>
          <w:p w14:paraId="0933CF3A" w14:textId="77777777" w:rsidR="000E6EF9" w:rsidRPr="00874DFB"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Activities of Personal Care include: </w:t>
            </w:r>
          </w:p>
          <w:p w14:paraId="23A19872" w14:textId="77777777" w:rsidR="000E6EF9" w:rsidRPr="00986409" w:rsidRDefault="000E6EF9" w:rsidP="00EE7F92">
            <w:pPr>
              <w:numPr>
                <w:ilvl w:val="0"/>
                <w:numId w:val="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support with bathing or showering</w:t>
            </w:r>
          </w:p>
          <w:p w14:paraId="096225FC" w14:textId="77777777" w:rsidR="000E6EF9" w:rsidRPr="00986409" w:rsidRDefault="000E6EF9" w:rsidP="00EE7F92">
            <w:pPr>
              <w:numPr>
                <w:ilvl w:val="0"/>
                <w:numId w:val="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support with personal grooming, for example shaving, brushing teeth</w:t>
            </w:r>
          </w:p>
          <w:p w14:paraId="1557DC7D" w14:textId="77777777" w:rsidR="000E6EF9" w:rsidRPr="00986409" w:rsidRDefault="000E6EF9" w:rsidP="00EE7F92">
            <w:pPr>
              <w:numPr>
                <w:ilvl w:val="0"/>
                <w:numId w:val="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support with toilet access and use</w:t>
            </w:r>
          </w:p>
          <w:p w14:paraId="66B253C4" w14:textId="77777777" w:rsidR="000E6EF9" w:rsidRPr="00986409" w:rsidRDefault="000E6EF9" w:rsidP="00EE7F92">
            <w:pPr>
              <w:numPr>
                <w:ilvl w:val="0"/>
                <w:numId w:val="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support with transfers, in accordance with manual handling guidelines</w:t>
            </w:r>
          </w:p>
          <w:p w14:paraId="6244746C" w14:textId="77777777" w:rsidR="000E6EF9" w:rsidRPr="00986409" w:rsidRDefault="000E6EF9" w:rsidP="00EE7F92">
            <w:pPr>
              <w:numPr>
                <w:ilvl w:val="0"/>
                <w:numId w:val="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support with dressing and undressing</w:t>
            </w:r>
          </w:p>
          <w:p w14:paraId="7733347D" w14:textId="77777777" w:rsidR="000E6EF9" w:rsidRPr="00986409" w:rsidRDefault="000E6EF9" w:rsidP="00EE7F92">
            <w:pPr>
              <w:numPr>
                <w:ilvl w:val="0"/>
                <w:numId w:val="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support with application of creams and lotions, following guidelines where applicable.</w:t>
            </w:r>
          </w:p>
        </w:tc>
      </w:tr>
      <w:tr w:rsidR="000E6EF9" w:rsidRPr="00986409" w14:paraId="7A988AA1"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AB1EB0B" w14:textId="77777777" w:rsidR="000E6EF9" w:rsidRPr="00986409" w:rsidRDefault="000E6EF9" w:rsidP="00853D3D">
            <w:pPr>
              <w:rPr>
                <w:rFonts w:ascii="Arial" w:hAnsi="Arial" w:cs="Arial"/>
                <w:b w:val="0"/>
              </w:rPr>
            </w:pPr>
            <w:r w:rsidRPr="00986409">
              <w:rPr>
                <w:rFonts w:ascii="Arial" w:hAnsi="Arial" w:cs="Arial"/>
              </w:rPr>
              <w:t>Stop and Watch</w:t>
            </w:r>
          </w:p>
        </w:tc>
        <w:tc>
          <w:tcPr>
            <w:tcW w:w="12474" w:type="dxa"/>
          </w:tcPr>
          <w:p w14:paraId="7692D8EA" w14:textId="63DC7312"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An early warning communicat</w:t>
            </w:r>
            <w:r w:rsidRPr="00874DFB">
              <w:rPr>
                <w:rFonts w:ascii="Arial" w:hAnsi="Arial" w:cs="Arial"/>
              </w:rPr>
              <w:t>ion tool that support workers and/or wh</w:t>
            </w:r>
            <w:r w:rsidRPr="00986409">
              <w:rPr>
                <w:rFonts w:ascii="Arial" w:hAnsi="Arial" w:cs="Arial"/>
              </w:rPr>
              <w:t>ānau can use to alert the service co-ordinator if they notice something different in a resident’s daily care routine.</w:t>
            </w:r>
          </w:p>
        </w:tc>
      </w:tr>
      <w:tr w:rsidR="000E6EF9" w:rsidRPr="00986409" w14:paraId="2115C129"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90B4BFB" w14:textId="77777777" w:rsidR="000E6EF9" w:rsidRPr="00986409" w:rsidRDefault="000E6EF9" w:rsidP="00853D3D">
            <w:pPr>
              <w:rPr>
                <w:rFonts w:ascii="Arial" w:hAnsi="Arial" w:cs="Arial"/>
                <w:b w:val="0"/>
              </w:rPr>
            </w:pPr>
            <w:r w:rsidRPr="00986409">
              <w:rPr>
                <w:rFonts w:ascii="Arial" w:hAnsi="Arial" w:cs="Arial"/>
              </w:rPr>
              <w:lastRenderedPageBreak/>
              <w:t>Flexible service delivery</w:t>
            </w:r>
          </w:p>
        </w:tc>
        <w:tc>
          <w:tcPr>
            <w:tcW w:w="12474" w:type="dxa"/>
          </w:tcPr>
          <w:p w14:paraId="516EC203"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Services are planned in such a way that enables flexible service </w:t>
            </w:r>
            <w:r w:rsidRPr="00874DFB">
              <w:rPr>
                <w:rFonts w:ascii="Arial" w:hAnsi="Arial" w:cs="Arial"/>
              </w:rPr>
              <w:t xml:space="preserve">delivery. Support can be increased if the </w:t>
            </w:r>
            <w:r w:rsidR="00B40C49" w:rsidRPr="00986409">
              <w:rPr>
                <w:rFonts w:ascii="Arial" w:hAnsi="Arial" w:cs="Arial"/>
              </w:rPr>
              <w:t>client</w:t>
            </w:r>
            <w:r w:rsidRPr="00986409">
              <w:rPr>
                <w:rFonts w:ascii="Arial" w:hAnsi="Arial" w:cs="Arial"/>
              </w:rPr>
              <w:t xml:space="preserve"> is temporarily unwell or reduced if they regain functional ability. A </w:t>
            </w:r>
            <w:r w:rsidR="00B40C49" w:rsidRPr="00986409">
              <w:rPr>
                <w:rFonts w:ascii="Arial" w:hAnsi="Arial" w:cs="Arial"/>
              </w:rPr>
              <w:t>client</w:t>
            </w:r>
            <w:r w:rsidRPr="00986409">
              <w:rPr>
                <w:rFonts w:ascii="Arial" w:hAnsi="Arial" w:cs="Arial"/>
              </w:rPr>
              <w:t xml:space="preserve"> does not need to be reassessed or have a change in </w:t>
            </w:r>
            <w:r w:rsidR="00674F02" w:rsidRPr="00986409">
              <w:rPr>
                <w:rFonts w:ascii="Arial" w:hAnsi="Arial" w:cs="Arial"/>
              </w:rPr>
              <w:t>C</w:t>
            </w:r>
            <w:r w:rsidRPr="00986409">
              <w:rPr>
                <w:rFonts w:ascii="Arial" w:hAnsi="Arial" w:cs="Arial"/>
              </w:rPr>
              <w:t>asemix allocation because of the short-term nature of the flex.</w:t>
            </w:r>
          </w:p>
        </w:tc>
      </w:tr>
      <w:tr w:rsidR="000E6EF9" w:rsidRPr="00986409" w14:paraId="0F4406FC"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AA01417" w14:textId="77777777" w:rsidR="000E6EF9" w:rsidRPr="00874DFB" w:rsidRDefault="00674F02" w:rsidP="00853D3D">
            <w:pPr>
              <w:rPr>
                <w:rFonts w:ascii="Arial" w:hAnsi="Arial" w:cs="Arial"/>
                <w:b w:val="0"/>
              </w:rPr>
            </w:pPr>
            <w:bookmarkStart w:id="180" w:name="_Hlk21944622"/>
            <w:r w:rsidRPr="00986409">
              <w:rPr>
                <w:rFonts w:ascii="Arial" w:hAnsi="Arial" w:cs="Arial"/>
              </w:rPr>
              <w:t>C</w:t>
            </w:r>
            <w:r w:rsidR="00B40C49" w:rsidRPr="00986409">
              <w:rPr>
                <w:rFonts w:ascii="Arial" w:hAnsi="Arial" w:cs="Arial"/>
              </w:rPr>
              <w:t>lient</w:t>
            </w:r>
            <w:r w:rsidR="000E6EF9" w:rsidRPr="005F1341">
              <w:rPr>
                <w:rFonts w:ascii="Arial" w:hAnsi="Arial" w:cs="Arial"/>
              </w:rPr>
              <w:t xml:space="preserve"> service review</w:t>
            </w:r>
          </w:p>
        </w:tc>
        <w:tc>
          <w:tcPr>
            <w:tcW w:w="12474" w:type="dxa"/>
          </w:tcPr>
          <w:p w14:paraId="4A2F9A29"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Reviews are scheduled when the </w:t>
            </w:r>
            <w:r w:rsidR="00B562C1" w:rsidRPr="00986409">
              <w:rPr>
                <w:rFonts w:ascii="Arial" w:hAnsi="Arial" w:cs="Arial"/>
              </w:rPr>
              <w:t>individual support plan</w:t>
            </w:r>
            <w:r w:rsidRPr="00986409">
              <w:rPr>
                <w:rFonts w:ascii="Arial" w:hAnsi="Arial" w:cs="Arial"/>
              </w:rPr>
              <w:t xml:space="preserve"> is developed. The purpose of the review is to evaluate and measure </w:t>
            </w:r>
            <w:r w:rsidR="00B40C49" w:rsidRPr="00986409">
              <w:rPr>
                <w:rFonts w:ascii="Arial" w:hAnsi="Arial" w:cs="Arial"/>
              </w:rPr>
              <w:t>client</w:t>
            </w:r>
            <w:r w:rsidRPr="00986409">
              <w:rPr>
                <w:rFonts w:ascii="Arial" w:hAnsi="Arial" w:cs="Arial"/>
              </w:rPr>
              <w:t xml:space="preserve"> progress against SMART goals, observe if there are any clinical indications for a further assessment or greater </w:t>
            </w:r>
            <w:r w:rsidR="0026604F" w:rsidRPr="00986409">
              <w:rPr>
                <w:rFonts w:ascii="Arial" w:hAnsi="Arial" w:cs="Arial"/>
              </w:rPr>
              <w:t xml:space="preserve">Interdisciplinary </w:t>
            </w:r>
            <w:r w:rsidRPr="00986409">
              <w:rPr>
                <w:rFonts w:ascii="Arial" w:hAnsi="Arial" w:cs="Arial"/>
              </w:rPr>
              <w:t xml:space="preserve">team input.  The outcome of a review may require the </w:t>
            </w:r>
            <w:r w:rsidR="00B562C1" w:rsidRPr="00986409">
              <w:rPr>
                <w:rFonts w:ascii="Arial" w:hAnsi="Arial" w:cs="Arial"/>
              </w:rPr>
              <w:t>individual support plan</w:t>
            </w:r>
            <w:r w:rsidRPr="00986409">
              <w:rPr>
                <w:rFonts w:ascii="Arial" w:hAnsi="Arial" w:cs="Arial"/>
              </w:rPr>
              <w:t xml:space="preserve"> to be modified or redeveloped. </w:t>
            </w:r>
          </w:p>
          <w:p w14:paraId="1F39EEA3"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Following a review, the service allocation may:</w:t>
            </w:r>
          </w:p>
          <w:p w14:paraId="0C84B198" w14:textId="77777777" w:rsidR="000E6EF9" w:rsidRPr="00986409" w:rsidRDefault="000E6EF9" w:rsidP="00EE7F92">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remain the same with same service allocation</w:t>
            </w:r>
          </w:p>
          <w:p w14:paraId="599DC78B" w14:textId="77777777" w:rsidR="000E6EF9" w:rsidRPr="00986409" w:rsidRDefault="000E6EF9" w:rsidP="00EE7F92">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remain the same but with a change to the mix of services</w:t>
            </w:r>
          </w:p>
          <w:p w14:paraId="14FD0999" w14:textId="77777777" w:rsidR="000E6EF9" w:rsidRPr="00986409" w:rsidRDefault="000E6EF9" w:rsidP="00EE7F92">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be decreased with a decrease in service time and support activities provided</w:t>
            </w:r>
          </w:p>
          <w:p w14:paraId="4A65EDDA" w14:textId="77777777" w:rsidR="000E6EF9" w:rsidRPr="00986409" w:rsidRDefault="000E6EF9" w:rsidP="00EE7F92">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be increased with an increase in resource allocation</w:t>
            </w:r>
          </w:p>
          <w:p w14:paraId="436291AC" w14:textId="77777777" w:rsidR="000E6EF9" w:rsidRPr="00986409" w:rsidRDefault="000E6EF9" w:rsidP="00EE7F92">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be discontinued with Provider initiating a formal discharge process</w:t>
            </w:r>
          </w:p>
          <w:p w14:paraId="377B4648" w14:textId="77777777" w:rsidR="000E6EF9" w:rsidRPr="00986409" w:rsidRDefault="000E6EF9" w:rsidP="00EE7F92">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be insufficient, indicating there is a need for a re-assessment. The Provider will flex the service as appropriate to ensure the </w:t>
            </w:r>
            <w:r w:rsidR="00B40C49" w:rsidRPr="00986409">
              <w:rPr>
                <w:rFonts w:ascii="Arial" w:hAnsi="Arial" w:cs="Arial"/>
              </w:rPr>
              <w:t>client</w:t>
            </w:r>
            <w:r w:rsidRPr="00986409">
              <w:rPr>
                <w:rFonts w:ascii="Arial" w:hAnsi="Arial" w:cs="Arial"/>
              </w:rPr>
              <w:t xml:space="preserve"> is safe and supported until the reassessment occurs. </w:t>
            </w:r>
          </w:p>
        </w:tc>
      </w:tr>
      <w:bookmarkEnd w:id="180"/>
      <w:tr w:rsidR="000E6EF9" w:rsidRPr="00986409" w14:paraId="34EBBFC6"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FCCA852" w14:textId="77777777" w:rsidR="000E6EF9" w:rsidRPr="005F1341" w:rsidRDefault="000E6EF9" w:rsidP="00853D3D">
            <w:pPr>
              <w:rPr>
                <w:rFonts w:ascii="Arial" w:hAnsi="Arial" w:cs="Arial"/>
                <w:b w:val="0"/>
              </w:rPr>
            </w:pPr>
            <w:r w:rsidRPr="00986409">
              <w:rPr>
                <w:rFonts w:ascii="Arial" w:hAnsi="Arial" w:cs="Arial"/>
              </w:rPr>
              <w:t>Needs Assessment and Service Co-ordination</w:t>
            </w:r>
            <w:r w:rsidR="00B23D51" w:rsidRPr="00986409">
              <w:rPr>
                <w:rFonts w:ascii="Arial" w:hAnsi="Arial" w:cs="Arial"/>
              </w:rPr>
              <w:t xml:space="preserve"> (DHB NASC)</w:t>
            </w:r>
          </w:p>
        </w:tc>
        <w:tc>
          <w:tcPr>
            <w:tcW w:w="12474" w:type="dxa"/>
          </w:tcPr>
          <w:p w14:paraId="2962232A"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74DFB">
              <w:rPr>
                <w:rFonts w:ascii="Arial" w:hAnsi="Arial" w:cs="Arial"/>
              </w:rPr>
              <w:t>These organisations are funded by DHBs.</w:t>
            </w:r>
            <w:r w:rsidRPr="00986409">
              <w:rPr>
                <w:rFonts w:ascii="Arial" w:hAnsi="Arial" w:cs="Arial"/>
              </w:rPr>
              <w:t xml:space="preserve">  Their roles are to determine service eligibility, assess the person’s support needs, make service allocations and co-ordinate support services to meet those needs. NASC co-ordinate such services, but do not themselves provide the services. They manage referrals to Providers, other </w:t>
            </w:r>
            <w:r w:rsidR="0026604F" w:rsidRPr="00986409">
              <w:rPr>
                <w:rFonts w:ascii="Arial" w:hAnsi="Arial" w:cs="Arial"/>
              </w:rPr>
              <w:t xml:space="preserve">Interdisciplinary </w:t>
            </w:r>
            <w:r w:rsidRPr="00986409">
              <w:rPr>
                <w:rFonts w:ascii="Arial" w:hAnsi="Arial" w:cs="Arial"/>
              </w:rPr>
              <w:t>team members including primary care.</w:t>
            </w:r>
          </w:p>
        </w:tc>
      </w:tr>
      <w:tr w:rsidR="000E6EF9" w:rsidRPr="00986409" w14:paraId="58A8A371"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328EDA3" w14:textId="77777777" w:rsidR="000E6EF9" w:rsidRPr="00986409" w:rsidRDefault="000E6EF9" w:rsidP="00853D3D">
            <w:pPr>
              <w:rPr>
                <w:rFonts w:ascii="Arial" w:hAnsi="Arial" w:cs="Arial"/>
                <w:b w:val="0"/>
              </w:rPr>
            </w:pPr>
            <w:r w:rsidRPr="00986409">
              <w:rPr>
                <w:rFonts w:ascii="Arial" w:hAnsi="Arial" w:cs="Arial"/>
              </w:rPr>
              <w:t>Case management</w:t>
            </w:r>
          </w:p>
        </w:tc>
        <w:tc>
          <w:tcPr>
            <w:tcW w:w="12474" w:type="dxa"/>
          </w:tcPr>
          <w:p w14:paraId="643176D5" w14:textId="1B376A29" w:rsidR="000E6EF9" w:rsidRPr="00986409" w:rsidRDefault="007D6626" w:rsidP="007D66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eastAsiaTheme="minorHAnsi" w:hAnsi="Arial" w:cs="Arial"/>
              </w:rPr>
              <w:t xml:space="preserve">Case management is a client and whānau centred collaborative process of </w:t>
            </w:r>
            <w:r w:rsidRPr="00874DFB">
              <w:rPr>
                <w:rFonts w:ascii="Arial" w:eastAsia="Times New Roman" w:hAnsi="Arial" w:cs="Arial"/>
                <w:lang w:eastAsia="en-NZ"/>
              </w:rPr>
              <w:t>assessment, planning, coordination, evaluation and advocacy that sees the client’s w</w:t>
            </w:r>
            <w:r w:rsidRPr="00986409">
              <w:rPr>
                <w:rFonts w:ascii="Arial" w:eastAsia="Times New Roman" w:hAnsi="Arial" w:cs="Arial"/>
                <w:lang w:eastAsia="en-NZ"/>
              </w:rPr>
              <w:t xml:space="preserve">ider health and social sector team take an integrated approach to service delivery.  A designated lead RHP who understands the client’s wider health and social needs is nominated by the clients integrated healthcare team and acts as the key point of contact to facilitate the client/whānau to navigate </w:t>
            </w:r>
            <w:r w:rsidR="00370125" w:rsidRPr="00986409">
              <w:rPr>
                <w:rFonts w:ascii="Arial" w:eastAsia="Times New Roman" w:hAnsi="Arial" w:cs="Arial"/>
                <w:lang w:eastAsia="en-NZ"/>
              </w:rPr>
              <w:t>the wider</w:t>
            </w:r>
            <w:r w:rsidRPr="00986409">
              <w:rPr>
                <w:rFonts w:ascii="Arial" w:eastAsia="Times New Roman" w:hAnsi="Arial" w:cs="Arial"/>
                <w:lang w:eastAsia="en-NZ"/>
              </w:rPr>
              <w:t xml:space="preserve"> healthcare team.</w:t>
            </w:r>
            <w:r w:rsidRPr="00986409">
              <w:rPr>
                <w:rFonts w:ascii="Arial" w:eastAsiaTheme="minorHAnsi" w:hAnsi="Arial" w:cs="Arial"/>
              </w:rPr>
              <w:t xml:space="preserve">  The lead RHP may be, but is not limited to, a </w:t>
            </w:r>
            <w:r w:rsidR="004E202F">
              <w:rPr>
                <w:rFonts w:ascii="Arial" w:eastAsiaTheme="minorHAnsi" w:hAnsi="Arial" w:cs="Arial"/>
              </w:rPr>
              <w:t>P</w:t>
            </w:r>
            <w:r w:rsidRPr="00986409">
              <w:rPr>
                <w:rFonts w:ascii="Arial" w:eastAsiaTheme="minorHAnsi" w:hAnsi="Arial" w:cs="Arial"/>
              </w:rPr>
              <w:t>rovider RHP, NASC assessor, primary care nurse or dementia navigator.</w:t>
            </w:r>
          </w:p>
        </w:tc>
      </w:tr>
      <w:tr w:rsidR="000E6EF9" w:rsidRPr="00986409" w14:paraId="07D05879" w14:textId="77777777" w:rsidTr="00C2396E">
        <w:trPr>
          <w:trHeight w:val="2043"/>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8930CA0" w14:textId="77777777" w:rsidR="000E6EF9" w:rsidRPr="00986409" w:rsidRDefault="000E6EF9" w:rsidP="00853D3D">
            <w:pPr>
              <w:rPr>
                <w:rFonts w:ascii="Arial" w:hAnsi="Arial" w:cs="Arial"/>
                <w:b w:val="0"/>
              </w:rPr>
            </w:pPr>
            <w:r w:rsidRPr="00986409">
              <w:rPr>
                <w:rFonts w:ascii="Arial" w:hAnsi="Arial" w:cs="Arial"/>
              </w:rPr>
              <w:lastRenderedPageBreak/>
              <w:t>Service coordination</w:t>
            </w:r>
          </w:p>
          <w:p w14:paraId="1C584984" w14:textId="77777777" w:rsidR="000E6EF9" w:rsidRPr="00874DFB" w:rsidRDefault="000E6EF9" w:rsidP="00853D3D">
            <w:pPr>
              <w:rPr>
                <w:rFonts w:ascii="Arial" w:hAnsi="Arial" w:cs="Arial"/>
                <w:b w:val="0"/>
                <w:color w:val="FF0000"/>
                <w:highlight w:val="yellow"/>
              </w:rPr>
            </w:pPr>
            <w:r w:rsidRPr="005F1341">
              <w:rPr>
                <w:rFonts w:ascii="Arial" w:hAnsi="Arial" w:cs="Arial"/>
              </w:rPr>
              <w:t>(NASC)</w:t>
            </w:r>
          </w:p>
        </w:tc>
        <w:tc>
          <w:tcPr>
            <w:tcW w:w="12474" w:type="dxa"/>
          </w:tcPr>
          <w:p w14:paraId="02091C4E" w14:textId="77777777" w:rsidR="009727C4" w:rsidRPr="00986409" w:rsidRDefault="009727C4" w:rsidP="00853D3D">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Service coordination is about planning a person’s care based on their goals and support needs and sharing information with everyone who helps to care for the person. It is performed collaboratively with a person and their </w:t>
            </w:r>
            <w:r w:rsidR="00273CC9" w:rsidRPr="00986409">
              <w:rPr>
                <w:rFonts w:ascii="Arial" w:hAnsi="Arial" w:cs="Arial"/>
              </w:rPr>
              <w:t>whānau</w:t>
            </w:r>
            <w:r w:rsidRPr="00986409">
              <w:rPr>
                <w:rFonts w:ascii="Arial" w:hAnsi="Arial" w:cs="Arial"/>
              </w:rPr>
              <w:t xml:space="preserve"> and likely includes </w:t>
            </w:r>
            <w:proofErr w:type="gramStart"/>
            <w:r w:rsidRPr="00986409">
              <w:rPr>
                <w:rFonts w:ascii="Arial" w:hAnsi="Arial" w:cs="Arial"/>
              </w:rPr>
              <w:t>all of</w:t>
            </w:r>
            <w:proofErr w:type="gramEnd"/>
            <w:r w:rsidRPr="00986409">
              <w:rPr>
                <w:rFonts w:ascii="Arial" w:hAnsi="Arial" w:cs="Arial"/>
              </w:rPr>
              <w:t xml:space="preserve"> the following:</w:t>
            </w:r>
          </w:p>
          <w:p w14:paraId="328F9D86" w14:textId="77777777" w:rsidR="009727C4" w:rsidRPr="00986409" w:rsidRDefault="009727C4" w:rsidP="00EE7F92">
            <w:pPr>
              <w:pStyle w:val="ListParagraph"/>
              <w:numPr>
                <w:ilvl w:val="0"/>
                <w:numId w:val="10"/>
              </w:numPr>
              <w:autoSpaceDE w:val="0"/>
              <w:autoSpaceDN w:val="0"/>
              <w:spacing w:after="0"/>
              <w:ind w:left="422"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educating and supporting the person and their carer</w:t>
            </w:r>
          </w:p>
          <w:p w14:paraId="4A9AF892" w14:textId="77777777" w:rsidR="009727C4" w:rsidRPr="00986409" w:rsidRDefault="009727C4" w:rsidP="00EE7F92">
            <w:pPr>
              <w:pStyle w:val="ListParagraph"/>
              <w:numPr>
                <w:ilvl w:val="0"/>
                <w:numId w:val="10"/>
              </w:numPr>
              <w:autoSpaceDE w:val="0"/>
              <w:autoSpaceDN w:val="0"/>
              <w:spacing w:after="0"/>
              <w:ind w:left="422"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helping the person access community care and support services</w:t>
            </w:r>
          </w:p>
          <w:p w14:paraId="363ED02E" w14:textId="77777777" w:rsidR="009727C4" w:rsidRPr="00986409" w:rsidRDefault="009727C4" w:rsidP="00EE7F92">
            <w:pPr>
              <w:pStyle w:val="ListParagraph"/>
              <w:numPr>
                <w:ilvl w:val="0"/>
                <w:numId w:val="10"/>
              </w:numPr>
              <w:autoSpaceDE w:val="0"/>
              <w:autoSpaceDN w:val="0"/>
              <w:spacing w:after="0"/>
              <w:ind w:left="422"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talking with health and community care providers</w:t>
            </w:r>
          </w:p>
          <w:p w14:paraId="22C55811" w14:textId="77777777" w:rsidR="000E6EF9" w:rsidRPr="00986409" w:rsidRDefault="009727C4" w:rsidP="00EE7F92">
            <w:pPr>
              <w:pStyle w:val="ListParagraph"/>
              <w:numPr>
                <w:ilvl w:val="0"/>
                <w:numId w:val="10"/>
              </w:numPr>
              <w:autoSpaceDE w:val="0"/>
              <w:autoSpaceDN w:val="0"/>
              <w:spacing w:after="0"/>
              <w:ind w:left="422"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planning what services might be needed in the future</w:t>
            </w:r>
          </w:p>
        </w:tc>
      </w:tr>
      <w:tr w:rsidR="000E6EF9" w:rsidRPr="00986409" w14:paraId="2B83349B"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14:paraId="5EDEDAB2" w14:textId="77777777" w:rsidR="000E6EF9" w:rsidRPr="00986409" w:rsidRDefault="000E6EF9" w:rsidP="00853D3D">
            <w:pPr>
              <w:rPr>
                <w:rFonts w:ascii="Arial" w:hAnsi="Arial" w:cs="Arial"/>
                <w:b w:val="0"/>
              </w:rPr>
            </w:pPr>
            <w:r w:rsidRPr="00986409">
              <w:rPr>
                <w:rFonts w:ascii="Arial" w:hAnsi="Arial" w:cs="Arial"/>
              </w:rPr>
              <w:t>Service co-ordinator (Provider)</w:t>
            </w:r>
          </w:p>
        </w:tc>
        <w:tc>
          <w:tcPr>
            <w:tcW w:w="12474" w:type="dxa"/>
            <w:shd w:val="clear" w:color="auto" w:fill="FFFFFF" w:themeFill="background1"/>
          </w:tcPr>
          <w:p w14:paraId="2678B61B" w14:textId="77777777" w:rsidR="004C739E" w:rsidRPr="00986409" w:rsidRDefault="000E6EF9" w:rsidP="004D6512">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Service co-ordinat</w:t>
            </w:r>
            <w:r w:rsidR="004C739E" w:rsidRPr="00874DFB">
              <w:rPr>
                <w:rFonts w:ascii="Arial" w:hAnsi="Arial" w:cs="Arial"/>
              </w:rPr>
              <w:t>ion activi</w:t>
            </w:r>
            <w:r w:rsidR="004C739E" w:rsidRPr="00986409">
              <w:rPr>
                <w:rFonts w:ascii="Arial" w:hAnsi="Arial" w:cs="Arial"/>
              </w:rPr>
              <w:t xml:space="preserve">ties carried out by </w:t>
            </w:r>
            <w:r w:rsidRPr="00986409">
              <w:rPr>
                <w:rFonts w:ascii="Arial" w:hAnsi="Arial" w:cs="Arial"/>
              </w:rPr>
              <w:t xml:space="preserve">Provider </w:t>
            </w:r>
            <w:r w:rsidR="00B40BB5" w:rsidRPr="00986409">
              <w:rPr>
                <w:rFonts w:ascii="Arial" w:hAnsi="Arial" w:cs="Arial"/>
              </w:rPr>
              <w:t>staff including</w:t>
            </w:r>
            <w:r w:rsidR="004C739E" w:rsidRPr="00986409">
              <w:rPr>
                <w:rFonts w:ascii="Arial" w:hAnsi="Arial" w:cs="Arial"/>
              </w:rPr>
              <w:t xml:space="preserve"> </w:t>
            </w:r>
          </w:p>
          <w:p w14:paraId="7FEF02AC" w14:textId="77777777" w:rsidR="004C739E" w:rsidRPr="00986409" w:rsidRDefault="000E6EF9"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matching support staff with required competency and level of training to meet the complexity needs of the </w:t>
            </w:r>
            <w:r w:rsidR="00B40C49" w:rsidRPr="00986409">
              <w:rPr>
                <w:rFonts w:ascii="Arial" w:hAnsi="Arial" w:cs="Arial"/>
              </w:rPr>
              <w:t>client</w:t>
            </w:r>
            <w:r w:rsidR="004C739E" w:rsidRPr="00986409">
              <w:rPr>
                <w:rFonts w:ascii="Arial" w:hAnsi="Arial" w:cs="Arial"/>
              </w:rPr>
              <w:t>;</w:t>
            </w:r>
            <w:r w:rsidRPr="00986409">
              <w:rPr>
                <w:rFonts w:ascii="Arial" w:hAnsi="Arial" w:cs="Arial"/>
              </w:rPr>
              <w:t xml:space="preserve">   </w:t>
            </w:r>
          </w:p>
          <w:p w14:paraId="0F466AA9" w14:textId="77777777" w:rsidR="004C739E" w:rsidRPr="00986409" w:rsidRDefault="004C739E"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Acting as a conduit </w:t>
            </w:r>
            <w:r w:rsidR="000E6EF9" w:rsidRPr="00986409">
              <w:rPr>
                <w:rFonts w:ascii="Arial" w:hAnsi="Arial" w:cs="Arial"/>
              </w:rPr>
              <w:t xml:space="preserve">between </w:t>
            </w:r>
            <w:r w:rsidR="00B40C49" w:rsidRPr="00986409">
              <w:rPr>
                <w:rFonts w:ascii="Arial" w:hAnsi="Arial" w:cs="Arial"/>
              </w:rPr>
              <w:t>client</w:t>
            </w:r>
            <w:r w:rsidR="000E6EF9" w:rsidRPr="00986409">
              <w:rPr>
                <w:rFonts w:ascii="Arial" w:hAnsi="Arial" w:cs="Arial"/>
              </w:rPr>
              <w:t>s, support staff, registered health professionals and external agencies</w:t>
            </w:r>
            <w:r w:rsidRPr="00986409">
              <w:rPr>
                <w:rFonts w:ascii="Arial" w:hAnsi="Arial" w:cs="Arial"/>
              </w:rPr>
              <w:t>;</w:t>
            </w:r>
            <w:r w:rsidR="000E6EF9" w:rsidRPr="00986409">
              <w:rPr>
                <w:rFonts w:ascii="Arial" w:hAnsi="Arial" w:cs="Arial"/>
              </w:rPr>
              <w:t xml:space="preserve"> </w:t>
            </w:r>
          </w:p>
          <w:p w14:paraId="1B7697B5" w14:textId="77777777" w:rsidR="004C739E" w:rsidRPr="00986409" w:rsidRDefault="004C739E"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Completing activities of </w:t>
            </w:r>
            <w:r w:rsidR="00B40C49" w:rsidRPr="00986409">
              <w:rPr>
                <w:rFonts w:ascii="Arial" w:hAnsi="Arial" w:cs="Arial"/>
              </w:rPr>
              <w:t>client</w:t>
            </w:r>
            <w:r w:rsidR="000E6EF9" w:rsidRPr="00986409">
              <w:rPr>
                <w:rFonts w:ascii="Arial" w:hAnsi="Arial" w:cs="Arial"/>
              </w:rPr>
              <w:t xml:space="preserve"> case management</w:t>
            </w:r>
            <w:r w:rsidRPr="00986409">
              <w:rPr>
                <w:rFonts w:ascii="Arial" w:hAnsi="Arial" w:cs="Arial"/>
              </w:rPr>
              <w:t>;</w:t>
            </w:r>
          </w:p>
          <w:p w14:paraId="2FA6CB14" w14:textId="77777777" w:rsidR="00B40BB5" w:rsidRPr="00986409" w:rsidRDefault="00B40BB5"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A</w:t>
            </w:r>
            <w:r w:rsidR="000E6EF9" w:rsidRPr="00986409">
              <w:rPr>
                <w:rFonts w:ascii="Arial" w:hAnsi="Arial" w:cs="Arial"/>
              </w:rPr>
              <w:t xml:space="preserve">ssisting in the recruitment, employment, management and training of support workers, </w:t>
            </w:r>
          </w:p>
          <w:p w14:paraId="2CC98D51" w14:textId="77777777" w:rsidR="00B40BB5" w:rsidRPr="00986409" w:rsidRDefault="000E6EF9"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rostering and scheduling staff</w:t>
            </w:r>
            <w:r w:rsidR="00B40BB5" w:rsidRPr="00986409">
              <w:rPr>
                <w:rFonts w:ascii="Arial" w:hAnsi="Arial" w:cs="Arial"/>
              </w:rPr>
              <w:t>;</w:t>
            </w:r>
            <w:r w:rsidRPr="00986409">
              <w:rPr>
                <w:rFonts w:ascii="Arial" w:hAnsi="Arial" w:cs="Arial"/>
              </w:rPr>
              <w:t xml:space="preserve"> </w:t>
            </w:r>
          </w:p>
          <w:p w14:paraId="4B3F281A" w14:textId="77777777" w:rsidR="00B40BB5" w:rsidRPr="00986409" w:rsidRDefault="000E6EF9"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developing and maintaining relationships with referring agencies, and </w:t>
            </w:r>
          </w:p>
          <w:p w14:paraId="50F258D1" w14:textId="77777777" w:rsidR="000E6EF9" w:rsidRPr="00986409" w:rsidRDefault="000E6EF9" w:rsidP="00EE7F92">
            <w:pPr>
              <w:pStyle w:val="ListParagraph"/>
              <w:numPr>
                <w:ilvl w:val="0"/>
                <w:numId w:val="11"/>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monitoring and reviewing the quality of service provision including completion of some </w:t>
            </w:r>
            <w:r w:rsidR="00B40C49" w:rsidRPr="00986409">
              <w:rPr>
                <w:rFonts w:ascii="Arial" w:hAnsi="Arial" w:cs="Arial"/>
              </w:rPr>
              <w:t>client</w:t>
            </w:r>
            <w:r w:rsidRPr="00986409">
              <w:rPr>
                <w:rFonts w:ascii="Arial" w:hAnsi="Arial" w:cs="Arial"/>
              </w:rPr>
              <w:t xml:space="preserve"> reviews.</w:t>
            </w:r>
          </w:p>
          <w:p w14:paraId="7C462EED" w14:textId="77777777" w:rsidR="00B40BB5" w:rsidRPr="00986409" w:rsidRDefault="00B40BB5"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These activities are incorporated into staff roles so that services can be delivered efficiently to optimise resource utilisation and to ensure enough service flexibility to address regional needs (</w:t>
            </w:r>
            <w:r w:rsidR="00DC21F4" w:rsidRPr="00986409">
              <w:rPr>
                <w:rFonts w:ascii="Arial" w:hAnsi="Arial" w:cs="Arial"/>
              </w:rPr>
              <w:t>for example</w:t>
            </w:r>
            <w:r w:rsidRPr="00986409">
              <w:rPr>
                <w:rFonts w:ascii="Arial" w:hAnsi="Arial" w:cs="Arial"/>
              </w:rPr>
              <w:t>. rurality)</w:t>
            </w:r>
          </w:p>
        </w:tc>
      </w:tr>
      <w:tr w:rsidR="000E6EF9" w:rsidRPr="00986409" w14:paraId="2C03DB37"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385F78C" w14:textId="77777777" w:rsidR="000E6EF9" w:rsidRPr="00986409" w:rsidRDefault="000E6EF9" w:rsidP="00853D3D">
            <w:pPr>
              <w:rPr>
                <w:rFonts w:ascii="Arial" w:hAnsi="Arial" w:cs="Arial"/>
                <w:b w:val="0"/>
              </w:rPr>
            </w:pPr>
            <w:r w:rsidRPr="00986409">
              <w:rPr>
                <w:rFonts w:ascii="Arial" w:hAnsi="Arial" w:cs="Arial"/>
              </w:rPr>
              <w:t>Registered Health Professional</w:t>
            </w:r>
          </w:p>
        </w:tc>
        <w:tc>
          <w:tcPr>
            <w:tcW w:w="12474" w:type="dxa"/>
          </w:tcPr>
          <w:p w14:paraId="25769C83" w14:textId="77777777" w:rsidR="000E6EF9" w:rsidRPr="00986409" w:rsidRDefault="000E6EF9" w:rsidP="004D6512">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The Health Practitioners Competence Assurance Act 2003 (the Act) provides a framework f</w:t>
            </w:r>
            <w:r w:rsidRPr="00874DFB">
              <w:rPr>
                <w:rFonts w:ascii="Arial" w:hAnsi="Arial" w:cs="Arial"/>
              </w:rPr>
              <w:t xml:space="preserve">or the regulation of health practitioners to protect the public where </w:t>
            </w:r>
            <w:r w:rsidRPr="00986409">
              <w:rPr>
                <w:rFonts w:ascii="Arial" w:hAnsi="Arial" w:cs="Arial"/>
              </w:rPr>
              <w:t xml:space="preserve">there is a risk of harm from professional practice. </w:t>
            </w:r>
            <w:r w:rsidR="00063E87" w:rsidRPr="00986409">
              <w:rPr>
                <w:rFonts w:ascii="Arial" w:hAnsi="Arial" w:cs="Arial"/>
              </w:rPr>
              <w:t>Registered</w:t>
            </w:r>
            <w:r w:rsidRPr="00986409">
              <w:rPr>
                <w:rFonts w:ascii="Arial" w:hAnsi="Arial" w:cs="Arial"/>
              </w:rPr>
              <w:t xml:space="preserve"> health professionals</w:t>
            </w:r>
            <w:r w:rsidR="00A91B61" w:rsidRPr="00986409">
              <w:rPr>
                <w:rFonts w:ascii="Arial" w:hAnsi="Arial" w:cs="Arial"/>
              </w:rPr>
              <w:t xml:space="preserve"> (RHP)</w:t>
            </w:r>
            <w:r w:rsidRPr="00986409">
              <w:rPr>
                <w:rFonts w:ascii="Arial" w:hAnsi="Arial" w:cs="Arial"/>
              </w:rPr>
              <w:t xml:space="preserve"> may include, physiotherapists, occupational therapists, registered nurses and social workers. </w:t>
            </w:r>
          </w:p>
          <w:p w14:paraId="525F2195" w14:textId="77777777" w:rsidR="00194378" w:rsidRPr="00986409" w:rsidRDefault="000E6EF9" w:rsidP="004D6512">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In this service the RHP is responsible for delivering services on behalf of a service Provider.  This includes the provision of direct care or support services to the </w:t>
            </w:r>
            <w:r w:rsidR="00B40C49" w:rsidRPr="00986409">
              <w:rPr>
                <w:rFonts w:ascii="Arial" w:hAnsi="Arial" w:cs="Arial"/>
              </w:rPr>
              <w:t>client</w:t>
            </w:r>
            <w:r w:rsidRPr="00986409">
              <w:rPr>
                <w:rFonts w:ascii="Arial" w:hAnsi="Arial" w:cs="Arial"/>
              </w:rPr>
              <w:t xml:space="preserve"> and covers all staff who are employed or contracted.  Activities completed by the</w:t>
            </w:r>
            <w:r w:rsidR="00194378" w:rsidRPr="00986409">
              <w:rPr>
                <w:rFonts w:ascii="Arial" w:hAnsi="Arial" w:cs="Arial"/>
              </w:rPr>
              <w:t xml:space="preserve"> provider</w:t>
            </w:r>
            <w:r w:rsidRPr="00986409">
              <w:rPr>
                <w:rFonts w:ascii="Arial" w:hAnsi="Arial" w:cs="Arial"/>
              </w:rPr>
              <w:t xml:space="preserve"> RHP</w:t>
            </w:r>
            <w:r w:rsidR="00194378" w:rsidRPr="00986409">
              <w:rPr>
                <w:rFonts w:ascii="Arial" w:hAnsi="Arial" w:cs="Arial"/>
              </w:rPr>
              <w:t xml:space="preserve"> may</w:t>
            </w:r>
            <w:r w:rsidRPr="00986409">
              <w:rPr>
                <w:rFonts w:ascii="Arial" w:hAnsi="Arial" w:cs="Arial"/>
              </w:rPr>
              <w:t xml:space="preserve"> include</w:t>
            </w:r>
            <w:r w:rsidR="00194378" w:rsidRPr="00986409">
              <w:rPr>
                <w:rFonts w:ascii="Arial" w:hAnsi="Arial" w:cs="Arial"/>
              </w:rPr>
              <w:t>:</w:t>
            </w:r>
          </w:p>
          <w:p w14:paraId="269842B9" w14:textId="77777777" w:rsidR="00194378" w:rsidRPr="00986409" w:rsidRDefault="000E6EF9" w:rsidP="00EE7F92">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interRAI assessments, </w:t>
            </w:r>
          </w:p>
          <w:p w14:paraId="3A4474C5" w14:textId="77777777" w:rsidR="00194378" w:rsidRPr="00986409" w:rsidRDefault="00194378" w:rsidP="00EE7F92">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case management including facilitating an integrated approach to client support from primary and secondary care.  </w:t>
            </w:r>
          </w:p>
          <w:p w14:paraId="6F4080EE" w14:textId="77777777" w:rsidR="00194378" w:rsidRPr="00986409" w:rsidRDefault="000E6EF9" w:rsidP="00EE7F92">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 xml:space="preserve">writing and review of support services and </w:t>
            </w:r>
            <w:r w:rsidR="00B562C1" w:rsidRPr="00986409">
              <w:rPr>
                <w:rFonts w:ascii="Arial" w:hAnsi="Arial" w:cs="Arial"/>
              </w:rPr>
              <w:t>individual support</w:t>
            </w:r>
            <w:r w:rsidRPr="00986409">
              <w:rPr>
                <w:rFonts w:ascii="Arial" w:hAnsi="Arial" w:cs="Arial"/>
              </w:rPr>
              <w:t xml:space="preserve"> plans, </w:t>
            </w:r>
          </w:p>
          <w:p w14:paraId="189F22B9" w14:textId="77777777" w:rsidR="000E6EF9" w:rsidRPr="00986409" w:rsidRDefault="00194378" w:rsidP="00EE7F92">
            <w:pPr>
              <w:pStyle w:val="ListParagraph"/>
              <w:numPr>
                <w:ilvl w:val="0"/>
                <w:numId w:val="1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Arial" w:hAnsi="Arial" w:cs="Arial"/>
              </w:rPr>
            </w:pPr>
            <w:r w:rsidRPr="00986409">
              <w:rPr>
                <w:rFonts w:ascii="Arial" w:hAnsi="Arial" w:cs="Arial"/>
              </w:rPr>
              <w:t>direction, delegation and supervision of non-regulated staff</w:t>
            </w:r>
            <w:r w:rsidR="00674F02" w:rsidRPr="00986409">
              <w:rPr>
                <w:rFonts w:ascii="Arial" w:hAnsi="Arial" w:cs="Arial"/>
              </w:rPr>
              <w:t>.</w:t>
            </w:r>
          </w:p>
        </w:tc>
      </w:tr>
      <w:tr w:rsidR="000E6EF9" w:rsidRPr="00986409" w14:paraId="2363AC94"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AFD95D0" w14:textId="77777777" w:rsidR="000E6EF9" w:rsidRPr="00986409" w:rsidRDefault="000E6EF9" w:rsidP="00853D3D">
            <w:pPr>
              <w:rPr>
                <w:rFonts w:ascii="Arial" w:hAnsi="Arial" w:cs="Arial"/>
                <w:b w:val="0"/>
              </w:rPr>
            </w:pPr>
            <w:r w:rsidRPr="00986409">
              <w:rPr>
                <w:rFonts w:ascii="Arial" w:hAnsi="Arial" w:cs="Arial"/>
              </w:rPr>
              <w:t>Support Worker</w:t>
            </w:r>
          </w:p>
        </w:tc>
        <w:tc>
          <w:tcPr>
            <w:tcW w:w="12474" w:type="dxa"/>
          </w:tcPr>
          <w:p w14:paraId="5D691551"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Provider staff </w:t>
            </w:r>
            <w:r w:rsidRPr="00874DFB">
              <w:rPr>
                <w:rFonts w:ascii="Arial" w:hAnsi="Arial" w:cs="Arial"/>
              </w:rPr>
              <w:t xml:space="preserve">who help patients at home with tasks such as showering and dressing, housework such as cleaning, ironing, meal preparation and assistance, medication oversight and supporting </w:t>
            </w:r>
            <w:r w:rsidR="00B40C49" w:rsidRPr="00986409">
              <w:rPr>
                <w:rFonts w:ascii="Arial" w:hAnsi="Arial" w:cs="Arial"/>
              </w:rPr>
              <w:t>client</w:t>
            </w:r>
            <w:r w:rsidRPr="00986409">
              <w:rPr>
                <w:rFonts w:ascii="Arial" w:hAnsi="Arial" w:cs="Arial"/>
              </w:rPr>
              <w:t>s with rehabilitation in areas supporting strength and balance and walking exercises, and attendance at social groups.</w:t>
            </w:r>
          </w:p>
        </w:tc>
      </w:tr>
      <w:tr w:rsidR="0026604F" w:rsidRPr="00986409" w14:paraId="72C049A7"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1E06FAD" w14:textId="77777777" w:rsidR="0026604F" w:rsidRPr="00986409" w:rsidRDefault="0026604F" w:rsidP="00853D3D">
            <w:pPr>
              <w:rPr>
                <w:rFonts w:ascii="Arial" w:hAnsi="Arial" w:cs="Arial"/>
              </w:rPr>
            </w:pPr>
            <w:r w:rsidRPr="00986409">
              <w:rPr>
                <w:rFonts w:ascii="Arial" w:hAnsi="Arial" w:cs="Arial"/>
              </w:rPr>
              <w:lastRenderedPageBreak/>
              <w:t>Interdisciplinary Team (IDT)</w:t>
            </w:r>
          </w:p>
        </w:tc>
        <w:tc>
          <w:tcPr>
            <w:tcW w:w="12474" w:type="dxa"/>
            <w:shd w:val="clear" w:color="auto" w:fill="FFFFFF" w:themeFill="background1"/>
          </w:tcPr>
          <w:p w14:paraId="5A290561" w14:textId="46F7E223" w:rsidR="0026604F" w:rsidRPr="00986409" w:rsidRDefault="00C01953"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181" w:name="_Hlk20142074"/>
            <w:r w:rsidRPr="005F1341">
              <w:rPr>
                <w:rFonts w:ascii="Arial" w:hAnsi="Arial" w:cs="Arial"/>
              </w:rPr>
              <w:t>A team of health professionals from different disciplines and work places work together with the client, to unde</w:t>
            </w:r>
            <w:r w:rsidRPr="00874DFB">
              <w:rPr>
                <w:rFonts w:ascii="Arial" w:hAnsi="Arial" w:cs="Arial"/>
              </w:rPr>
              <w:t xml:space="preserve">rtake assessments, </w:t>
            </w:r>
            <w:r w:rsidR="001B3051" w:rsidRPr="00986409">
              <w:rPr>
                <w:rFonts w:ascii="Arial" w:hAnsi="Arial" w:cs="Arial"/>
              </w:rPr>
              <w:t xml:space="preserve">diagnosis, and plan </w:t>
            </w:r>
            <w:r w:rsidRPr="00986409">
              <w:rPr>
                <w:rFonts w:ascii="Arial" w:hAnsi="Arial" w:cs="Arial"/>
              </w:rPr>
              <w:t>intervention</w:t>
            </w:r>
            <w:r w:rsidR="001B3051" w:rsidRPr="00986409">
              <w:rPr>
                <w:rFonts w:ascii="Arial" w:hAnsi="Arial" w:cs="Arial"/>
              </w:rPr>
              <w:t>s through</w:t>
            </w:r>
            <w:r w:rsidRPr="00986409">
              <w:rPr>
                <w:rFonts w:ascii="Arial" w:hAnsi="Arial" w:cs="Arial"/>
              </w:rPr>
              <w:t xml:space="preserve"> goal-setting and the creation of a</w:t>
            </w:r>
            <w:r w:rsidR="00B562C1" w:rsidRPr="00986409">
              <w:rPr>
                <w:rFonts w:ascii="Arial" w:hAnsi="Arial" w:cs="Arial"/>
              </w:rPr>
              <w:t>n</w:t>
            </w:r>
            <w:r w:rsidRPr="00986409">
              <w:rPr>
                <w:rFonts w:ascii="Arial" w:hAnsi="Arial" w:cs="Arial"/>
              </w:rPr>
              <w:t xml:space="preserve"> </w:t>
            </w:r>
            <w:r w:rsidR="00B562C1" w:rsidRPr="00986409">
              <w:rPr>
                <w:rFonts w:ascii="Arial" w:hAnsi="Arial" w:cs="Arial"/>
              </w:rPr>
              <w:t>individual support</w:t>
            </w:r>
            <w:r w:rsidRPr="00986409">
              <w:rPr>
                <w:rFonts w:ascii="Arial" w:hAnsi="Arial" w:cs="Arial"/>
              </w:rPr>
              <w:t xml:space="preserve"> plan. The client and their wh</w:t>
            </w:r>
            <w:r w:rsidR="00674F02" w:rsidRPr="00986409">
              <w:rPr>
                <w:rFonts w:ascii="Arial" w:hAnsi="Arial" w:cs="Arial"/>
              </w:rPr>
              <w:t>ā</w:t>
            </w:r>
            <w:r w:rsidRPr="00986409">
              <w:rPr>
                <w:rFonts w:ascii="Arial" w:hAnsi="Arial" w:cs="Arial"/>
              </w:rPr>
              <w:t>nau and carers are involved in discussions as appropriate.</w:t>
            </w:r>
            <w:bookmarkEnd w:id="181"/>
          </w:p>
        </w:tc>
      </w:tr>
      <w:tr w:rsidR="000E6EF9" w:rsidRPr="00986409" w14:paraId="4EF9DA21"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5D68FB1" w14:textId="77777777" w:rsidR="000E6EF9" w:rsidRPr="00986409" w:rsidRDefault="000E6EF9" w:rsidP="00853D3D">
            <w:pPr>
              <w:rPr>
                <w:rFonts w:ascii="Arial" w:hAnsi="Arial" w:cs="Arial"/>
                <w:b w:val="0"/>
              </w:rPr>
            </w:pPr>
            <w:r w:rsidRPr="00986409">
              <w:rPr>
                <w:rFonts w:ascii="Arial" w:hAnsi="Arial" w:cs="Arial"/>
              </w:rPr>
              <w:t>Medication Support</w:t>
            </w:r>
          </w:p>
        </w:tc>
        <w:tc>
          <w:tcPr>
            <w:tcW w:w="12474" w:type="dxa"/>
          </w:tcPr>
          <w:p w14:paraId="2353553D" w14:textId="77777777"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Provider support worker staff assist and/or prompt a </w:t>
            </w:r>
            <w:r w:rsidR="00B40C49" w:rsidRPr="00874DFB">
              <w:rPr>
                <w:rFonts w:ascii="Arial" w:hAnsi="Arial" w:cs="Arial"/>
              </w:rPr>
              <w:t>client</w:t>
            </w:r>
            <w:r w:rsidRPr="00986409">
              <w:rPr>
                <w:rFonts w:ascii="Arial" w:hAnsi="Arial" w:cs="Arial"/>
              </w:rPr>
              <w:t xml:space="preserve"> to self-administer medicines as prescribed and as documented in the </w:t>
            </w:r>
            <w:r w:rsidR="00B562C1" w:rsidRPr="00986409">
              <w:rPr>
                <w:rFonts w:ascii="Arial" w:hAnsi="Arial" w:cs="Arial"/>
              </w:rPr>
              <w:t>individual support plan</w:t>
            </w:r>
            <w:r w:rsidRPr="00986409">
              <w:rPr>
                <w:rFonts w:ascii="Arial" w:hAnsi="Arial" w:cs="Arial"/>
              </w:rPr>
              <w:t xml:space="preserve">. </w:t>
            </w:r>
          </w:p>
        </w:tc>
      </w:tr>
      <w:tr w:rsidR="000E6EF9" w:rsidRPr="00986409" w14:paraId="0DE6396C"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231FD14" w14:textId="77777777" w:rsidR="000E6EF9" w:rsidRPr="00986409" w:rsidRDefault="000E6EF9" w:rsidP="00853D3D">
            <w:pPr>
              <w:rPr>
                <w:rFonts w:ascii="Arial" w:hAnsi="Arial" w:cs="Arial"/>
                <w:b w:val="0"/>
              </w:rPr>
            </w:pPr>
            <w:r w:rsidRPr="00986409">
              <w:rPr>
                <w:rFonts w:ascii="Arial" w:hAnsi="Arial" w:cs="Arial"/>
              </w:rPr>
              <w:t>Medication Administration</w:t>
            </w:r>
          </w:p>
        </w:tc>
        <w:tc>
          <w:tcPr>
            <w:tcW w:w="12474" w:type="dxa"/>
          </w:tcPr>
          <w:p w14:paraId="32C6C0FB" w14:textId="2EAB2811" w:rsidR="000E6EF9" w:rsidRPr="00986409" w:rsidRDefault="000E6EF9"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The Provider has determined that the </w:t>
            </w:r>
            <w:r w:rsidR="00B40C49" w:rsidRPr="00874DFB">
              <w:rPr>
                <w:rFonts w:ascii="Arial" w:hAnsi="Arial" w:cs="Arial"/>
              </w:rPr>
              <w:t>client</w:t>
            </w:r>
            <w:r w:rsidRPr="00986409">
              <w:rPr>
                <w:rFonts w:ascii="Arial" w:hAnsi="Arial" w:cs="Arial"/>
              </w:rPr>
              <w:t xml:space="preserve"> is unable to safely administer their own medication and does not have reliable whānau support to assist them. The support staff physically assists the </w:t>
            </w:r>
            <w:r w:rsidR="00B40C49" w:rsidRPr="00986409">
              <w:rPr>
                <w:rFonts w:ascii="Arial" w:hAnsi="Arial" w:cs="Arial"/>
              </w:rPr>
              <w:t>client</w:t>
            </w:r>
            <w:r w:rsidRPr="00986409">
              <w:rPr>
                <w:rFonts w:ascii="Arial" w:hAnsi="Arial" w:cs="Arial"/>
              </w:rPr>
              <w:t xml:space="preserve"> to safely administer medication as per the </w:t>
            </w:r>
            <w:r w:rsidR="00B562C1" w:rsidRPr="00986409">
              <w:rPr>
                <w:rFonts w:ascii="Arial" w:hAnsi="Arial" w:cs="Arial"/>
              </w:rPr>
              <w:t xml:space="preserve">individual support plan </w:t>
            </w:r>
            <w:r w:rsidRPr="00986409">
              <w:rPr>
                <w:rFonts w:ascii="Arial" w:hAnsi="Arial" w:cs="Arial"/>
              </w:rPr>
              <w:t xml:space="preserve">developed by the </w:t>
            </w:r>
            <w:r w:rsidR="00674F02" w:rsidRPr="00986409">
              <w:rPr>
                <w:rFonts w:ascii="Arial" w:hAnsi="Arial" w:cs="Arial"/>
              </w:rPr>
              <w:t>R</w:t>
            </w:r>
            <w:r w:rsidRPr="00986409">
              <w:rPr>
                <w:rFonts w:ascii="Arial" w:hAnsi="Arial" w:cs="Arial"/>
              </w:rPr>
              <w:t xml:space="preserve">egistered </w:t>
            </w:r>
            <w:r w:rsidR="00674F02" w:rsidRPr="00986409">
              <w:rPr>
                <w:rFonts w:ascii="Arial" w:hAnsi="Arial" w:cs="Arial"/>
              </w:rPr>
              <w:t>N</w:t>
            </w:r>
            <w:r w:rsidRPr="00986409">
              <w:rPr>
                <w:rFonts w:ascii="Arial" w:hAnsi="Arial" w:cs="Arial"/>
              </w:rPr>
              <w:t>urse</w:t>
            </w:r>
            <w:r w:rsidRPr="00986409">
              <w:rPr>
                <w:rStyle w:val="FootnoteReference"/>
                <w:rFonts w:ascii="Arial" w:hAnsi="Arial" w:cs="Arial"/>
              </w:rPr>
              <w:footnoteReference w:id="21"/>
            </w:r>
            <w:r w:rsidRPr="00986409">
              <w:rPr>
                <w:rFonts w:ascii="Arial" w:hAnsi="Arial" w:cs="Arial"/>
              </w:rPr>
              <w:t>.</w:t>
            </w:r>
          </w:p>
        </w:tc>
      </w:tr>
      <w:tr w:rsidR="000E6EF9" w:rsidRPr="00986409" w14:paraId="02250536"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435AEB6" w14:textId="77777777" w:rsidR="000E6EF9" w:rsidRPr="00986409" w:rsidRDefault="000E6EF9" w:rsidP="00853D3D">
            <w:pPr>
              <w:rPr>
                <w:rFonts w:ascii="Arial" w:hAnsi="Arial" w:cs="Arial"/>
                <w:b w:val="0"/>
              </w:rPr>
            </w:pPr>
            <w:r w:rsidRPr="00986409">
              <w:rPr>
                <w:rFonts w:ascii="Arial" w:hAnsi="Arial" w:cs="Arial"/>
              </w:rPr>
              <w:t>Risk assessment</w:t>
            </w:r>
          </w:p>
        </w:tc>
        <w:tc>
          <w:tcPr>
            <w:tcW w:w="12474" w:type="dxa"/>
          </w:tcPr>
          <w:p w14:paraId="2A7C6B16" w14:textId="77777777" w:rsidR="000E6EF9" w:rsidRPr="00986409" w:rsidRDefault="009727C4"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Process undertake to determine the level of risk associated with support provision. </w:t>
            </w:r>
            <w:r w:rsidR="002F1F32" w:rsidRPr="00874DFB">
              <w:rPr>
                <w:rFonts w:ascii="Arial" w:hAnsi="Arial" w:cs="Arial"/>
              </w:rPr>
              <w:t>A</w:t>
            </w:r>
            <w:r w:rsidRPr="00986409">
              <w:rPr>
                <w:rFonts w:ascii="Arial" w:hAnsi="Arial" w:cs="Arial"/>
              </w:rPr>
              <w:t xml:space="preserve"> Risk Assessment Framework supports</w:t>
            </w:r>
            <w:r w:rsidR="00480490" w:rsidRPr="00986409">
              <w:rPr>
                <w:rFonts w:ascii="Arial" w:hAnsi="Arial" w:cs="Arial"/>
              </w:rPr>
              <w:t xml:space="preserve"> DHB </w:t>
            </w:r>
            <w:r w:rsidR="006609D1" w:rsidRPr="00986409">
              <w:rPr>
                <w:rFonts w:ascii="Arial" w:hAnsi="Arial" w:cs="Arial"/>
              </w:rPr>
              <w:t xml:space="preserve">NASC </w:t>
            </w:r>
            <w:r w:rsidR="00480490" w:rsidRPr="00986409">
              <w:rPr>
                <w:rFonts w:ascii="Arial" w:hAnsi="Arial" w:cs="Arial"/>
              </w:rPr>
              <w:t>and</w:t>
            </w:r>
            <w:r w:rsidRPr="00986409">
              <w:rPr>
                <w:rFonts w:ascii="Arial" w:hAnsi="Arial" w:cs="Arial"/>
              </w:rPr>
              <w:t xml:space="preserve"> </w:t>
            </w:r>
            <w:r w:rsidR="006609D1" w:rsidRPr="00986409">
              <w:rPr>
                <w:rFonts w:ascii="Arial" w:hAnsi="Arial" w:cs="Arial"/>
              </w:rPr>
              <w:t xml:space="preserve">contracted </w:t>
            </w:r>
            <w:r w:rsidRPr="00986409">
              <w:rPr>
                <w:rFonts w:ascii="Arial" w:hAnsi="Arial" w:cs="Arial"/>
              </w:rPr>
              <w:t xml:space="preserve">Providers with this process. </w:t>
            </w:r>
            <w:r w:rsidR="00480490" w:rsidRPr="00986409">
              <w:rPr>
                <w:rFonts w:ascii="Arial" w:hAnsi="Arial" w:cs="Arial"/>
              </w:rPr>
              <w:t xml:space="preserve"> The risk framework can be found in the Tier </w:t>
            </w:r>
            <w:r w:rsidR="00674F02" w:rsidRPr="00986409">
              <w:rPr>
                <w:rFonts w:ascii="Arial" w:hAnsi="Arial" w:cs="Arial"/>
              </w:rPr>
              <w:t>O</w:t>
            </w:r>
            <w:r w:rsidR="00480490" w:rsidRPr="00986409">
              <w:rPr>
                <w:rFonts w:ascii="Arial" w:hAnsi="Arial" w:cs="Arial"/>
              </w:rPr>
              <w:t xml:space="preserve">ne </w:t>
            </w:r>
            <w:r w:rsidR="006609D1" w:rsidRPr="00986409">
              <w:rPr>
                <w:rFonts w:ascii="Arial" w:hAnsi="Arial" w:cs="Arial"/>
              </w:rPr>
              <w:t xml:space="preserve">Community Health, Transitional and Support Services (DHB funded) service specification.  </w:t>
            </w:r>
          </w:p>
        </w:tc>
      </w:tr>
      <w:tr w:rsidR="00063E87" w:rsidRPr="00986409" w14:paraId="54B963C7" w14:textId="77777777" w:rsidTr="00C2396E">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1459067" w14:textId="77777777" w:rsidR="00063E87" w:rsidRPr="00986409" w:rsidRDefault="004731C7" w:rsidP="00853D3D">
            <w:pPr>
              <w:rPr>
                <w:rFonts w:ascii="Arial" w:hAnsi="Arial" w:cs="Arial"/>
              </w:rPr>
            </w:pPr>
            <w:r w:rsidRPr="00986409">
              <w:rPr>
                <w:rFonts w:ascii="Arial" w:hAnsi="Arial" w:cs="Arial"/>
              </w:rPr>
              <w:t>Integrated Management Framework</w:t>
            </w:r>
          </w:p>
        </w:tc>
        <w:tc>
          <w:tcPr>
            <w:tcW w:w="12474" w:type="dxa"/>
            <w:shd w:val="clear" w:color="auto" w:fill="FFFFFF" w:themeFill="background1"/>
          </w:tcPr>
          <w:p w14:paraId="44C1AA91" w14:textId="2C7430BA" w:rsidR="00063E87" w:rsidRPr="00986409" w:rsidRDefault="00063E87" w:rsidP="00853D3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341">
              <w:rPr>
                <w:rFonts w:ascii="Arial" w:hAnsi="Arial" w:cs="Arial"/>
              </w:rPr>
              <w:t xml:space="preserve">HCSS </w:t>
            </w:r>
            <w:r w:rsidRPr="00874DFB">
              <w:rPr>
                <w:rFonts w:ascii="Arial" w:hAnsi="Arial" w:cs="Arial"/>
              </w:rPr>
              <w:t xml:space="preserve">services are required to operate </w:t>
            </w:r>
            <w:r w:rsidR="004731C7" w:rsidRPr="00986409">
              <w:rPr>
                <w:rFonts w:ascii="Arial" w:hAnsi="Arial" w:cs="Arial"/>
              </w:rPr>
              <w:t xml:space="preserve">integrated management framework </w:t>
            </w:r>
            <w:r w:rsidR="00C752D8" w:rsidRPr="00986409">
              <w:rPr>
                <w:rFonts w:ascii="Arial" w:hAnsi="Arial" w:cs="Arial"/>
              </w:rPr>
              <w:t xml:space="preserve">composing of </w:t>
            </w:r>
            <w:r w:rsidR="004731C7" w:rsidRPr="00986409">
              <w:rPr>
                <w:rFonts w:ascii="Arial" w:hAnsi="Arial" w:cs="Arial"/>
              </w:rPr>
              <w:t xml:space="preserve">strategic and operational integrated management groups </w:t>
            </w:r>
            <w:r w:rsidR="00C752D8" w:rsidRPr="00986409">
              <w:rPr>
                <w:rFonts w:ascii="Arial" w:hAnsi="Arial" w:cs="Arial"/>
              </w:rPr>
              <w:t>consisting or</w:t>
            </w:r>
            <w:r w:rsidRPr="00986409">
              <w:rPr>
                <w:rFonts w:ascii="Arial" w:hAnsi="Arial" w:cs="Arial"/>
              </w:rPr>
              <w:t xml:space="preserve"> representative</w:t>
            </w:r>
            <w:r w:rsidR="00C752D8" w:rsidRPr="00986409">
              <w:rPr>
                <w:rFonts w:ascii="Arial" w:hAnsi="Arial" w:cs="Arial"/>
              </w:rPr>
              <w:t>s</w:t>
            </w:r>
            <w:r w:rsidRPr="00986409">
              <w:rPr>
                <w:rFonts w:ascii="Arial" w:hAnsi="Arial" w:cs="Arial"/>
              </w:rPr>
              <w:t xml:space="preserve"> from contracted providers, allied health, </w:t>
            </w:r>
            <w:r w:rsidR="00FD1CD7" w:rsidRPr="00986409">
              <w:rPr>
                <w:rFonts w:ascii="Arial" w:hAnsi="Arial" w:cs="Arial"/>
              </w:rPr>
              <w:t xml:space="preserve">primary health care </w:t>
            </w:r>
            <w:r w:rsidRPr="00986409">
              <w:rPr>
                <w:rFonts w:ascii="Arial" w:hAnsi="Arial" w:cs="Arial"/>
              </w:rPr>
              <w:t>NASC and DHB</w:t>
            </w:r>
            <w:r w:rsidR="00FE2487" w:rsidRPr="00986409">
              <w:rPr>
                <w:rFonts w:ascii="Arial" w:hAnsi="Arial" w:cs="Arial"/>
              </w:rPr>
              <w:t xml:space="preserve"> HCSS</w:t>
            </w:r>
            <w:r w:rsidRPr="00986409">
              <w:rPr>
                <w:rFonts w:ascii="Arial" w:hAnsi="Arial" w:cs="Arial"/>
              </w:rPr>
              <w:t xml:space="preserve"> </w:t>
            </w:r>
            <w:r w:rsidR="00480490" w:rsidRPr="00986409">
              <w:rPr>
                <w:rFonts w:ascii="Arial" w:hAnsi="Arial" w:cs="Arial"/>
              </w:rPr>
              <w:t>contract</w:t>
            </w:r>
            <w:r w:rsidRPr="00986409">
              <w:rPr>
                <w:rFonts w:ascii="Arial" w:hAnsi="Arial" w:cs="Arial"/>
              </w:rPr>
              <w:t xml:space="preserve"> </w:t>
            </w:r>
            <w:r w:rsidR="00480490" w:rsidRPr="00986409">
              <w:rPr>
                <w:rFonts w:ascii="Arial" w:hAnsi="Arial" w:cs="Arial"/>
              </w:rPr>
              <w:t>m</w:t>
            </w:r>
            <w:r w:rsidRPr="00986409">
              <w:rPr>
                <w:rFonts w:ascii="Arial" w:hAnsi="Arial" w:cs="Arial"/>
              </w:rPr>
              <w:t xml:space="preserve">anagers. </w:t>
            </w:r>
            <w:r w:rsidR="008832AD" w:rsidRPr="00986409">
              <w:rPr>
                <w:rFonts w:ascii="Arial" w:hAnsi="Arial" w:cs="Arial"/>
              </w:rPr>
              <w:t xml:space="preserve">More detail is provided in the </w:t>
            </w:r>
            <w:r w:rsidR="00C37F02">
              <w:rPr>
                <w:rFonts w:ascii="Arial" w:hAnsi="Arial" w:cs="Arial"/>
              </w:rPr>
              <w:t>HCSS Operations Manual</w:t>
            </w:r>
            <w:r w:rsidR="008832AD" w:rsidRPr="00986409">
              <w:rPr>
                <w:rFonts w:ascii="Arial" w:hAnsi="Arial" w:cs="Arial"/>
              </w:rPr>
              <w:t xml:space="preserve">. </w:t>
            </w:r>
          </w:p>
        </w:tc>
      </w:tr>
    </w:tbl>
    <w:p w14:paraId="6735A0BB" w14:textId="77777777" w:rsidR="000E6EF9" w:rsidRPr="006E1945" w:rsidRDefault="000E6EF9" w:rsidP="00853D3D">
      <w:pPr>
        <w:keepNext/>
        <w:keepLines/>
        <w:jc w:val="both"/>
        <w:outlineLvl w:val="1"/>
        <w:rPr>
          <w:rFonts w:ascii="Arial" w:eastAsia="Arial" w:hAnsi="Arial" w:cs="Arial"/>
          <w:b/>
          <w:szCs w:val="26"/>
        </w:rPr>
      </w:pPr>
    </w:p>
    <w:p w14:paraId="0F64252A" w14:textId="77777777" w:rsidR="00DB5C40" w:rsidRPr="006E1945" w:rsidRDefault="00DB5C40" w:rsidP="00853D3D">
      <w:pPr>
        <w:rPr>
          <w:rFonts w:ascii="Arial" w:hAnsi="Arial" w:cs="Arial"/>
          <w:b/>
          <w:lang w:val="en-US" w:eastAsia="en-NZ"/>
        </w:rPr>
      </w:pPr>
    </w:p>
    <w:sectPr w:rsidR="00DB5C40" w:rsidRPr="006E1945" w:rsidSect="00B87BB3">
      <w:footerReference w:type="default" r:id="rId2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4B7E" w14:textId="77777777" w:rsidR="0030621F" w:rsidRDefault="0030621F" w:rsidP="00D91180">
      <w:pPr>
        <w:spacing w:after="0" w:line="240" w:lineRule="auto"/>
      </w:pPr>
      <w:r>
        <w:separator/>
      </w:r>
    </w:p>
    <w:p w14:paraId="0AF3DCF2" w14:textId="77777777" w:rsidR="0030621F" w:rsidRDefault="0030621F"/>
    <w:p w14:paraId="486FDDEB" w14:textId="77777777" w:rsidR="0030621F" w:rsidRDefault="0030621F"/>
  </w:endnote>
  <w:endnote w:type="continuationSeparator" w:id="0">
    <w:p w14:paraId="7A16B85E" w14:textId="77777777" w:rsidR="0030621F" w:rsidRDefault="0030621F" w:rsidP="00D91180">
      <w:pPr>
        <w:spacing w:after="0" w:line="240" w:lineRule="auto"/>
      </w:pPr>
      <w:r>
        <w:continuationSeparator/>
      </w:r>
    </w:p>
    <w:p w14:paraId="54ABEDC0" w14:textId="77777777" w:rsidR="0030621F" w:rsidRDefault="0030621F"/>
    <w:p w14:paraId="62CCC57A" w14:textId="77777777" w:rsidR="0030621F" w:rsidRDefault="0030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D891" w14:textId="77777777" w:rsidR="00F20935" w:rsidRDefault="00F20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3EDD" w14:textId="77777777" w:rsidR="00670041" w:rsidRPr="00A828F2" w:rsidRDefault="00670041" w:rsidP="001E7E19">
    <w:pPr>
      <w:pStyle w:val="NoSpacing"/>
      <w:pBdr>
        <w:top w:val="single" w:sz="4" w:space="1" w:color="auto"/>
      </w:pBdr>
      <w:rPr>
        <w:rFonts w:ascii="Arial" w:hAnsi="Arial" w:cs="Arial"/>
        <w:color w:val="595959" w:themeColor="text1" w:themeTint="A6"/>
        <w:sz w:val="20"/>
        <w:szCs w:val="20"/>
      </w:rPr>
    </w:pPr>
    <w:r w:rsidRPr="00A828F2">
      <w:rPr>
        <w:rFonts w:ascii="Arial" w:hAnsi="Arial" w:cs="Arial"/>
        <w:color w:val="595959" w:themeColor="text1" w:themeTint="A6"/>
        <w:sz w:val="20"/>
        <w:szCs w:val="20"/>
      </w:rPr>
      <w:t xml:space="preserve">Tier Two Home and Community Support Service Specification </w:t>
    </w:r>
  </w:p>
  <w:p w14:paraId="6EB97175" w14:textId="6A3D4AB3" w:rsidR="00670041" w:rsidRPr="00A828F2" w:rsidRDefault="00670041">
    <w:pPr>
      <w:pStyle w:val="Footer"/>
      <w:rPr>
        <w:sz w:val="20"/>
        <w:szCs w:val="20"/>
      </w:rPr>
    </w:pPr>
    <w:r w:rsidRPr="00A828F2">
      <w:rPr>
        <w:rFonts w:ascii="Arial" w:hAnsi="Arial" w:cs="Arial"/>
        <w:color w:val="595959" w:themeColor="text1" w:themeTint="A6"/>
        <w:sz w:val="20"/>
        <w:szCs w:val="20"/>
      </w:rPr>
      <w:t xml:space="preserve">Nationwide Service Framework </w:t>
    </w:r>
    <w:r w:rsidR="00F20935">
      <w:rPr>
        <w:rFonts w:ascii="Arial" w:hAnsi="Arial" w:cs="Arial"/>
        <w:color w:val="595959" w:themeColor="text1" w:themeTint="A6"/>
        <w:sz w:val="20"/>
        <w:szCs w:val="20"/>
      </w:rPr>
      <w:t xml:space="preserve">August </w:t>
    </w:r>
    <w:r>
      <w:rPr>
        <w:rFonts w:ascii="Arial" w:hAnsi="Arial" w:cs="Arial"/>
        <w:color w:val="595959" w:themeColor="text1" w:themeTint="A6"/>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5DA5" w14:textId="77777777" w:rsidR="00670041" w:rsidRDefault="00670041" w:rsidP="00EE079C">
    <w:pPr>
      <w:pStyle w:val="NoSpacing"/>
      <w:pBdr>
        <w:top w:val="single" w:sz="4" w:space="1" w:color="auto"/>
      </w:pBdr>
      <w:rPr>
        <w:rFonts w:ascii="Arial" w:hAnsi="Arial" w:cs="Arial"/>
        <w:color w:val="595959" w:themeColor="text1" w:themeTint="A6"/>
        <w:sz w:val="18"/>
        <w:szCs w:val="18"/>
      </w:rPr>
    </w:pPr>
    <w:r w:rsidRPr="00474E80">
      <w:rPr>
        <w:rFonts w:ascii="Arial" w:hAnsi="Arial" w:cs="Arial"/>
        <w:color w:val="595959" w:themeColor="text1" w:themeTint="A6"/>
        <w:sz w:val="18"/>
        <w:szCs w:val="18"/>
      </w:rPr>
      <w:t xml:space="preserve">Tier Two Home and Community Support Service Specification </w:t>
    </w:r>
  </w:p>
  <w:p w14:paraId="7EF856A2" w14:textId="6F13D02F" w:rsidR="00670041" w:rsidRDefault="00670041" w:rsidP="00EE079C">
    <w:pPr>
      <w:pStyle w:val="Footer"/>
    </w:pPr>
    <w:r w:rsidRPr="001E7E19">
      <w:rPr>
        <w:rFonts w:ascii="Arial" w:hAnsi="Arial" w:cs="Arial"/>
        <w:color w:val="595959" w:themeColor="text1" w:themeTint="A6"/>
        <w:sz w:val="18"/>
        <w:szCs w:val="18"/>
      </w:rPr>
      <w:t xml:space="preserve">Nationwide Service Framework </w:t>
    </w:r>
    <w:r w:rsidR="000F69EE">
      <w:rPr>
        <w:rFonts w:ascii="Arial" w:hAnsi="Arial" w:cs="Arial"/>
        <w:color w:val="595959" w:themeColor="text1" w:themeTint="A6"/>
        <w:sz w:val="18"/>
        <w:szCs w:val="18"/>
      </w:rPr>
      <w:t>June</w:t>
    </w:r>
    <w:r>
      <w:rPr>
        <w:rFonts w:ascii="Arial" w:hAnsi="Arial" w:cs="Arial"/>
        <w:color w:val="595959" w:themeColor="text1" w:themeTint="A6"/>
        <w:sz w:val="18"/>
        <w:szCs w:val="18"/>
      </w:rPr>
      <w:t xml:space="preserve"> 2020</w:t>
    </w:r>
  </w:p>
  <w:p w14:paraId="182080F0" w14:textId="77777777" w:rsidR="00670041" w:rsidRDefault="00670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9AE2" w14:textId="77777777" w:rsidR="00670041" w:rsidRPr="00E6579F" w:rsidRDefault="00670041" w:rsidP="00990064">
    <w:pPr>
      <w:pStyle w:val="Footer"/>
      <w:pBdr>
        <w:top w:val="single" w:sz="4" w:space="1" w:color="auto"/>
      </w:pBdr>
    </w:pPr>
    <w:r w:rsidRPr="00E6579F">
      <w:t xml:space="preserve">Tier Two Home and Community Support Service Specification </w:t>
    </w:r>
  </w:p>
  <w:p w14:paraId="53E789B8" w14:textId="18D38295" w:rsidR="00670041" w:rsidRPr="00E6579F" w:rsidRDefault="00670041" w:rsidP="00990064">
    <w:pPr>
      <w:pStyle w:val="Footer"/>
    </w:pPr>
    <w:r w:rsidRPr="00E6579F">
      <w:t>Nationwide Service Framework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CA3B" w14:textId="77777777" w:rsidR="0030621F" w:rsidRDefault="0030621F" w:rsidP="00D91180">
      <w:pPr>
        <w:spacing w:after="0" w:line="240" w:lineRule="auto"/>
      </w:pPr>
      <w:r>
        <w:separator/>
      </w:r>
    </w:p>
    <w:p w14:paraId="159AF095" w14:textId="77777777" w:rsidR="0030621F" w:rsidRDefault="0030621F"/>
    <w:p w14:paraId="740C51FA" w14:textId="77777777" w:rsidR="0030621F" w:rsidRDefault="0030621F"/>
  </w:footnote>
  <w:footnote w:type="continuationSeparator" w:id="0">
    <w:p w14:paraId="1CF03E3D" w14:textId="77777777" w:rsidR="0030621F" w:rsidRDefault="0030621F" w:rsidP="00D91180">
      <w:pPr>
        <w:spacing w:after="0" w:line="240" w:lineRule="auto"/>
      </w:pPr>
      <w:r>
        <w:continuationSeparator/>
      </w:r>
    </w:p>
    <w:p w14:paraId="479070BE" w14:textId="77777777" w:rsidR="0030621F" w:rsidRDefault="0030621F"/>
    <w:p w14:paraId="0B4206EA" w14:textId="77777777" w:rsidR="0030621F" w:rsidRDefault="0030621F"/>
  </w:footnote>
  <w:footnote w:id="1">
    <w:p w14:paraId="024F22A9" w14:textId="77777777" w:rsidR="00670041" w:rsidRPr="00E1186D" w:rsidRDefault="00670041" w:rsidP="00970580">
      <w:pPr>
        <w:pStyle w:val="FootnoteText"/>
        <w:ind w:right="-613"/>
        <w:rPr>
          <w:rFonts w:ascii="Arial" w:hAnsi="Arial" w:cs="Arial"/>
        </w:rPr>
      </w:pPr>
      <w:r w:rsidRPr="00E1186D">
        <w:rPr>
          <w:rStyle w:val="FootnoteReference"/>
          <w:rFonts w:ascii="Arial" w:hAnsi="Arial" w:cs="Arial"/>
        </w:rPr>
        <w:footnoteRef/>
      </w:r>
      <w:r w:rsidRPr="00E1186D">
        <w:rPr>
          <w:rFonts w:ascii="Arial" w:hAnsi="Arial" w:cs="Arial"/>
        </w:rPr>
        <w:t xml:space="preserve"> www://nsfl.health.govt.nz/service-specifications/current-service-specifications/community-health-transitional-and-support</w:t>
      </w:r>
    </w:p>
  </w:footnote>
  <w:footnote w:id="2">
    <w:p w14:paraId="30F14D3E" w14:textId="04E049D9" w:rsidR="00670041" w:rsidRPr="001E206B" w:rsidRDefault="00670041" w:rsidP="001E206B">
      <w:pPr>
        <w:pStyle w:val="FootnoteText"/>
        <w:rPr>
          <w:rFonts w:ascii="Arial" w:hAnsi="Arial" w:cs="Arial"/>
        </w:rPr>
      </w:pPr>
      <w:r w:rsidRPr="00E1186D">
        <w:rPr>
          <w:rStyle w:val="FootnoteReference"/>
          <w:rFonts w:ascii="Arial" w:hAnsi="Arial" w:cs="Arial"/>
        </w:rPr>
        <w:footnoteRef/>
      </w:r>
      <w:r w:rsidRPr="00E1186D">
        <w:rPr>
          <w:rFonts w:ascii="Arial" w:hAnsi="Arial" w:cs="Arial"/>
        </w:rPr>
        <w:t xml:space="preserve"> National Framework for Home and Community Support Services (HCSS) Ministry of Health August 20</w:t>
      </w:r>
      <w:r w:rsidR="0044417E">
        <w:rPr>
          <w:rFonts w:ascii="Arial" w:hAnsi="Arial" w:cs="Arial"/>
        </w:rPr>
        <w:t>20</w:t>
      </w:r>
      <w:r w:rsidRPr="00E1186D">
        <w:rPr>
          <w:rFonts w:ascii="Arial" w:hAnsi="Arial" w:cs="Arial"/>
        </w:rPr>
        <w:t xml:space="preserve">. </w:t>
      </w:r>
      <w:r w:rsidR="0044417E" w:rsidRPr="0044417E">
        <w:rPr>
          <w:rFonts w:ascii="Arial" w:hAnsi="Arial" w:cs="Arial"/>
        </w:rPr>
        <w:t>www.health.govt.nz/publication/national-framework-home-and-community-support-services-hcss</w:t>
      </w:r>
    </w:p>
  </w:footnote>
  <w:footnote w:id="3">
    <w:p w14:paraId="5FEDE6E4" w14:textId="7A486AE4" w:rsidR="00670041" w:rsidRPr="000D0001" w:rsidRDefault="00670041">
      <w:pPr>
        <w:pStyle w:val="FootnoteText"/>
        <w:rPr>
          <w:rFonts w:ascii="Arial" w:hAnsi="Arial" w:cs="Arial"/>
        </w:rPr>
      </w:pPr>
      <w:r w:rsidRPr="000D0001">
        <w:rPr>
          <w:rStyle w:val="FootnoteReference"/>
        </w:rPr>
        <w:footnoteRef/>
      </w:r>
      <w:r w:rsidRPr="000D0001">
        <w:rPr>
          <w:rStyle w:val="FootnoteReference"/>
        </w:rPr>
        <w:t xml:space="preserve"> </w:t>
      </w:r>
      <w:r w:rsidRPr="000D0001">
        <w:rPr>
          <w:rFonts w:ascii="Arial" w:hAnsi="Arial" w:cs="Arial"/>
        </w:rPr>
        <w:t>www.health.govt.nz/publication/new-zealand-health-strategy-2016</w:t>
      </w:r>
    </w:p>
  </w:footnote>
  <w:footnote w:id="4">
    <w:p w14:paraId="6D58F449" w14:textId="5C3CD940" w:rsidR="00670041" w:rsidRPr="000D0001" w:rsidRDefault="00670041">
      <w:pPr>
        <w:pStyle w:val="FootnoteText"/>
        <w:rPr>
          <w:rFonts w:ascii="Arial" w:hAnsi="Arial" w:cs="Arial"/>
        </w:rPr>
      </w:pPr>
      <w:r w:rsidRPr="000D0001">
        <w:rPr>
          <w:rStyle w:val="FootnoteReference"/>
        </w:rPr>
        <w:footnoteRef/>
      </w:r>
      <w:r w:rsidRPr="000D0001">
        <w:rPr>
          <w:rStyle w:val="FootnoteReference"/>
        </w:rPr>
        <w:t xml:space="preserve"> </w:t>
      </w:r>
      <w:r w:rsidRPr="000D0001">
        <w:rPr>
          <w:rFonts w:ascii="Arial" w:hAnsi="Arial" w:cs="Arial"/>
        </w:rPr>
        <w:t>www.health.govt.nz/our-work/life-stages/health-older-people/healthy-ageing-strategy-update</w:t>
      </w:r>
    </w:p>
  </w:footnote>
  <w:footnote w:id="5">
    <w:p w14:paraId="74EB3169" w14:textId="55CC68A9" w:rsidR="00670041" w:rsidRPr="000D0001" w:rsidRDefault="00670041">
      <w:pPr>
        <w:pStyle w:val="FootnoteText"/>
        <w:rPr>
          <w:rFonts w:ascii="Arial" w:hAnsi="Arial" w:cs="Arial"/>
        </w:rPr>
      </w:pPr>
      <w:r w:rsidRPr="000D0001">
        <w:rPr>
          <w:rStyle w:val="FootnoteReference"/>
        </w:rPr>
        <w:footnoteRef/>
      </w:r>
      <w:r w:rsidRPr="000D0001">
        <w:rPr>
          <w:rFonts w:ascii="Arial" w:hAnsi="Arial" w:cs="Arial"/>
        </w:rPr>
        <w:t xml:space="preserve"> www.health.govt.nz/our-work/populations/maori-health/he-korowai-oranga</w:t>
      </w:r>
    </w:p>
  </w:footnote>
  <w:footnote w:id="6">
    <w:p w14:paraId="76BF793E" w14:textId="25962F27" w:rsidR="00670041" w:rsidRPr="000D0001" w:rsidRDefault="00670041">
      <w:pPr>
        <w:pStyle w:val="FootnoteText"/>
        <w:rPr>
          <w:rFonts w:ascii="Arial" w:hAnsi="Arial" w:cs="Arial"/>
        </w:rPr>
      </w:pPr>
      <w:r w:rsidRPr="000D0001">
        <w:rPr>
          <w:rStyle w:val="FootnoteReference"/>
          <w:rFonts w:ascii="Arial" w:hAnsi="Arial" w:cs="Arial"/>
        </w:rPr>
        <w:footnoteRef/>
      </w:r>
      <w:r w:rsidRPr="000D0001">
        <w:rPr>
          <w:rFonts w:ascii="Arial" w:hAnsi="Arial" w:cs="Arial"/>
        </w:rPr>
        <w:t xml:space="preserve"> www.health.govt.nz/publication/new-zealand-framework-dementia-care</w:t>
      </w:r>
    </w:p>
  </w:footnote>
  <w:footnote w:id="7">
    <w:p w14:paraId="3FAF8698" w14:textId="69D3BC1A" w:rsidR="00670041" w:rsidRPr="000D0001" w:rsidRDefault="00670041">
      <w:pPr>
        <w:pStyle w:val="FootnoteText"/>
        <w:rPr>
          <w:rFonts w:ascii="Arial" w:hAnsi="Arial" w:cs="Arial"/>
        </w:rPr>
      </w:pPr>
      <w:r w:rsidRPr="000D0001">
        <w:rPr>
          <w:rStyle w:val="FootnoteReference"/>
          <w:rFonts w:ascii="Arial" w:hAnsi="Arial" w:cs="Arial"/>
        </w:rPr>
        <w:footnoteRef/>
      </w:r>
      <w:r w:rsidRPr="000D0001">
        <w:rPr>
          <w:rFonts w:ascii="Arial" w:hAnsi="Arial" w:cs="Arial"/>
        </w:rPr>
        <w:t xml:space="preserve"> www.msd.govt.nz/about-msd-and-our-work/work-programmes/policy-development/carers-strategy/index.html</w:t>
      </w:r>
    </w:p>
  </w:footnote>
  <w:footnote w:id="8">
    <w:p w14:paraId="0A22633A" w14:textId="650B8491" w:rsidR="00670041" w:rsidRDefault="00670041">
      <w:pPr>
        <w:pStyle w:val="FootnoteText"/>
      </w:pPr>
      <w:r w:rsidRPr="000D0001">
        <w:rPr>
          <w:rStyle w:val="FootnoteReference"/>
          <w:rFonts w:ascii="Arial" w:hAnsi="Arial" w:cs="Arial"/>
        </w:rPr>
        <w:footnoteRef/>
      </w:r>
      <w:r w:rsidRPr="000D0001">
        <w:rPr>
          <w:rFonts w:ascii="Arial" w:hAnsi="Arial" w:cs="Arial"/>
        </w:rPr>
        <w:t xml:space="preserve"> www.health.govt.nz/publication/te-ara-whakapiri-principles-and-guidance-last-days-life</w:t>
      </w:r>
    </w:p>
  </w:footnote>
  <w:footnote w:id="9">
    <w:p w14:paraId="342CFE92" w14:textId="0BD7DD75" w:rsidR="00670041" w:rsidRPr="00ED1232" w:rsidRDefault="00670041" w:rsidP="00970580">
      <w:pPr>
        <w:pStyle w:val="FootnoteText"/>
        <w:ind w:right="-613"/>
        <w:rPr>
          <w:lang w:val="en-US"/>
        </w:rPr>
      </w:pPr>
      <w:r>
        <w:rPr>
          <w:rStyle w:val="FootnoteReference"/>
        </w:rPr>
        <w:footnoteRef/>
      </w:r>
      <w:r>
        <w:t xml:space="preserve"> </w:t>
      </w:r>
      <w:r w:rsidRPr="00A828F2">
        <w:rPr>
          <w:rFonts w:ascii="Arial" w:hAnsi="Arial" w:cs="Arial"/>
        </w:rPr>
        <w:t xml:space="preserve">Disability: The Ministry of Health’s definition of ‘person with a disability’ for the purpose of accessing funded disability support services Service Coverage Schedule www/nsfl.health.govt.nz/accountability/service-coverage-schedule is </w:t>
      </w:r>
      <w:r>
        <w:rPr>
          <w:rFonts w:ascii="Arial" w:hAnsi="Arial" w:cs="Arial"/>
        </w:rPr>
        <w:t>‘</w:t>
      </w:r>
      <w:r w:rsidRPr="00A828F2">
        <w:rPr>
          <w:rFonts w:ascii="Arial" w:hAnsi="Arial" w:cs="Arial"/>
        </w:rPr>
        <w:t>a reduction in independent function to the extent that a person has been assessed as requiring support services due to an age related or a personal health condition’. These responsibilities are split between DHBs and the Ministry of Health.  Funders also have specific criteria that determine eligibility for specific supports.</w:t>
      </w:r>
    </w:p>
  </w:footnote>
  <w:footnote w:id="10">
    <w:p w14:paraId="3D2EF69D" w14:textId="07795A48" w:rsidR="00670041" w:rsidRPr="000D0001" w:rsidRDefault="00670041" w:rsidP="00855E2B">
      <w:pPr>
        <w:pStyle w:val="FootnoteText"/>
        <w:rPr>
          <w:rFonts w:ascii="Arial" w:hAnsi="Arial" w:cs="Arial"/>
          <w:lang w:val="en-US"/>
        </w:rPr>
      </w:pPr>
      <w:r w:rsidRPr="000D0001">
        <w:rPr>
          <w:rStyle w:val="FootnoteReference"/>
          <w:rFonts w:ascii="Arial" w:hAnsi="Arial" w:cs="Arial"/>
        </w:rPr>
        <w:footnoteRef/>
      </w:r>
      <w:r w:rsidRPr="000D0001">
        <w:rPr>
          <w:rFonts w:ascii="Arial" w:hAnsi="Arial" w:cs="Arial"/>
        </w:rPr>
        <w:t xml:space="preserve"> SMART GOALS  S- specific, M - measurable, A - agreed upon, R - realistic, T - time-bound.</w:t>
      </w:r>
    </w:p>
  </w:footnote>
  <w:footnote w:id="11">
    <w:p w14:paraId="4DB7BB21" w14:textId="7E64CB91" w:rsidR="00670041" w:rsidRPr="00A828F2" w:rsidRDefault="00670041" w:rsidP="00083E29">
      <w:pPr>
        <w:pStyle w:val="FootnoteText"/>
        <w:tabs>
          <w:tab w:val="right" w:pos="9638"/>
        </w:tabs>
        <w:rPr>
          <w:rFonts w:ascii="Arial" w:hAnsi="Arial" w:cs="Arial"/>
          <w:lang w:val="en-US"/>
        </w:rPr>
      </w:pPr>
      <w:r w:rsidRPr="00A828F2">
        <w:rPr>
          <w:rStyle w:val="FootnoteReference"/>
          <w:rFonts w:ascii="Arial" w:hAnsi="Arial" w:cs="Arial"/>
        </w:rPr>
        <w:footnoteRef/>
      </w:r>
      <w:r w:rsidRPr="00A828F2">
        <w:rPr>
          <w:rFonts w:ascii="Arial" w:hAnsi="Arial" w:cs="Arial"/>
        </w:rPr>
        <w:t xml:space="preserve"> </w:t>
      </w:r>
      <w:hyperlink r:id="rId1" w:history="1">
        <w:r w:rsidRPr="00855E2B">
          <w:rPr>
            <w:rStyle w:val="Hyperlink"/>
            <w:rFonts w:ascii="Arial" w:hAnsi="Arial" w:cs="Arial"/>
          </w:rPr>
          <w:t>www.hqsc.govt.nz/assets/ACP/PR/ACP_Plan_print_.pdf</w:t>
        </w:r>
      </w:hyperlink>
      <w:r w:rsidRPr="00A828F2">
        <w:rPr>
          <w:rFonts w:ascii="Arial" w:hAnsi="Arial" w:cs="Arial"/>
        </w:rPr>
        <w:t xml:space="preserve"> </w:t>
      </w:r>
      <w:r>
        <w:rPr>
          <w:rFonts w:ascii="Arial" w:hAnsi="Arial" w:cs="Arial"/>
        </w:rPr>
        <w:tab/>
      </w:r>
    </w:p>
  </w:footnote>
  <w:footnote w:id="12">
    <w:p w14:paraId="1C92AF84" w14:textId="3604988C" w:rsidR="00670041" w:rsidRPr="00A828F2" w:rsidRDefault="00670041">
      <w:pPr>
        <w:pStyle w:val="FootnoteText"/>
        <w:rPr>
          <w:rFonts w:ascii="Arial" w:hAnsi="Arial" w:cs="Arial"/>
          <w:lang w:val="en-US"/>
        </w:rPr>
      </w:pPr>
      <w:r w:rsidRPr="00A828F2">
        <w:rPr>
          <w:rStyle w:val="FootnoteReference"/>
          <w:rFonts w:ascii="Arial" w:hAnsi="Arial" w:cs="Arial"/>
        </w:rPr>
        <w:footnoteRef/>
      </w:r>
      <w:r w:rsidRPr="00A828F2">
        <w:rPr>
          <w:rFonts w:ascii="Arial" w:hAnsi="Arial" w:cs="Arial"/>
        </w:rPr>
        <w:t xml:space="preserve"> </w:t>
      </w:r>
      <w:hyperlink r:id="rId2" w:history="1">
        <w:r w:rsidRPr="00855E2B">
          <w:rPr>
            <w:rStyle w:val="Hyperlink"/>
            <w:rFonts w:ascii="Arial" w:hAnsi="Arial" w:cs="Arial"/>
          </w:rPr>
          <w:t>www.livestronger.org.nz/</w:t>
        </w:r>
      </w:hyperlink>
      <w:r w:rsidRPr="00A828F2">
        <w:rPr>
          <w:rFonts w:ascii="Arial" w:hAnsi="Arial" w:cs="Arial"/>
        </w:rPr>
        <w:t xml:space="preserve"> </w:t>
      </w:r>
    </w:p>
  </w:footnote>
  <w:footnote w:id="13">
    <w:p w14:paraId="42641C37" w14:textId="29555086" w:rsidR="00670041" w:rsidRPr="00137E12" w:rsidRDefault="00670041">
      <w:pPr>
        <w:pStyle w:val="FootnoteText"/>
        <w:rPr>
          <w:lang w:val="en-US"/>
        </w:rPr>
      </w:pPr>
      <w:r w:rsidRPr="00A828F2">
        <w:rPr>
          <w:rStyle w:val="FootnoteReference"/>
          <w:rFonts w:ascii="Arial" w:hAnsi="Arial" w:cs="Arial"/>
        </w:rPr>
        <w:footnoteRef/>
      </w:r>
      <w:hyperlink r:id="rId3" w:history="1">
        <w:r w:rsidRPr="00855E2B">
          <w:rPr>
            <w:rStyle w:val="Hyperlink"/>
            <w:rFonts w:ascii="Arial" w:hAnsi="Arial" w:cs="Arial"/>
          </w:rPr>
          <w:t xml:space="preserve"> www.dementia.nz/files/infosheet/about_dementia_3_info_for_family_nz.pdf</w:t>
        </w:r>
      </w:hyperlink>
      <w:r w:rsidRPr="00A828F2">
        <w:rPr>
          <w:rFonts w:ascii="Arial" w:hAnsi="Arial" w:cs="Arial"/>
        </w:rPr>
        <w:t xml:space="preserve">  </w:t>
      </w:r>
    </w:p>
  </w:footnote>
  <w:footnote w:id="14">
    <w:p w14:paraId="159B4BD7" w14:textId="6C18B66B" w:rsidR="00670041" w:rsidRPr="000D0001" w:rsidRDefault="00670041">
      <w:pPr>
        <w:pStyle w:val="FootnoteText"/>
        <w:rPr>
          <w:rFonts w:ascii="Arial" w:hAnsi="Arial" w:cs="Arial"/>
          <w:lang w:val="en-US"/>
        </w:rPr>
      </w:pPr>
      <w:r w:rsidRPr="000D0001">
        <w:rPr>
          <w:rStyle w:val="FootnoteReference"/>
          <w:rFonts w:ascii="Arial" w:hAnsi="Arial" w:cs="Arial"/>
        </w:rPr>
        <w:footnoteRef/>
      </w:r>
      <w:r>
        <w:rPr>
          <w:rFonts w:ascii="Arial" w:hAnsi="Arial" w:cs="Arial"/>
        </w:rPr>
        <w:t xml:space="preserve"> Refer to relevant service specifications </w:t>
      </w:r>
      <w:r w:rsidRPr="000D0001">
        <w:rPr>
          <w:rFonts w:ascii="Arial" w:hAnsi="Arial" w:cs="Arial"/>
        </w:rPr>
        <w:t xml:space="preserve">nsfl.health.govt.nz/service-specifications/current-service-specifications/community-health-transitional-and-support </w:t>
      </w:r>
    </w:p>
  </w:footnote>
  <w:footnote w:id="15">
    <w:p w14:paraId="01B93321" w14:textId="56F673CA" w:rsidR="00670041" w:rsidRPr="00774DB8" w:rsidRDefault="00670041">
      <w:pPr>
        <w:pStyle w:val="FootnoteText"/>
        <w:rPr>
          <w:lang w:val="en-US"/>
        </w:rPr>
      </w:pPr>
      <w:r>
        <w:rPr>
          <w:rStyle w:val="FootnoteReference"/>
        </w:rPr>
        <w:footnoteRef/>
      </w:r>
      <w:r>
        <w:t xml:space="preserve"> </w:t>
      </w:r>
      <w:hyperlink r:id="rId4" w:history="1">
        <w:r w:rsidRPr="00DC674C">
          <w:rPr>
            <w:rStyle w:val="Hyperlink"/>
            <w:rFonts w:ascii="Arial" w:hAnsi="Arial" w:cs="Arial"/>
          </w:rPr>
          <w:t>www.legislation.govt.nz/act/public/2017/0024/28.0/DLM7269154.html</w:t>
        </w:r>
      </w:hyperlink>
      <w:r>
        <w:t xml:space="preserve"> </w:t>
      </w:r>
    </w:p>
  </w:footnote>
  <w:footnote w:id="16">
    <w:p w14:paraId="38EB190F" w14:textId="77777777" w:rsidR="00670041" w:rsidRPr="007E45D6" w:rsidRDefault="00670041">
      <w:pPr>
        <w:pStyle w:val="FootnoteText"/>
        <w:rPr>
          <w:lang w:val="en-US"/>
        </w:rPr>
      </w:pPr>
      <w:r>
        <w:rPr>
          <w:rStyle w:val="FootnoteReference"/>
        </w:rPr>
        <w:footnoteRef/>
      </w:r>
      <w:r>
        <w:t xml:space="preserve"> </w:t>
      </w:r>
      <w:r w:rsidRPr="00DC674C">
        <w:rPr>
          <w:rFonts w:ascii="Arial" w:hAnsi="Arial" w:cs="Arial"/>
        </w:rPr>
        <w:t>Wellington Region Emergency Management Office (WREMO) www://wremo.nz/</w:t>
      </w:r>
    </w:p>
  </w:footnote>
  <w:footnote w:id="17">
    <w:p w14:paraId="2E2D2467" w14:textId="77777777" w:rsidR="00670041" w:rsidRDefault="00670041">
      <w:pPr>
        <w:pStyle w:val="FootnoteText"/>
      </w:pPr>
    </w:p>
    <w:p w14:paraId="14DA46A2" w14:textId="159A8C95" w:rsidR="00670041" w:rsidRPr="008819A7" w:rsidRDefault="00670041">
      <w:pPr>
        <w:pStyle w:val="FootnoteText"/>
        <w:rPr>
          <w:lang w:val="en-US"/>
        </w:rPr>
      </w:pPr>
      <w:r>
        <w:rPr>
          <w:rStyle w:val="FootnoteReference"/>
        </w:rPr>
        <w:footnoteRef/>
      </w:r>
      <w:r>
        <w:t xml:space="preserve"> </w:t>
      </w:r>
      <w:hyperlink r:id="rId5" w:history="1">
        <w:r w:rsidRPr="00E6579F">
          <w:rPr>
            <w:rStyle w:val="Hyperlink"/>
            <w:rFonts w:ascii="Arial" w:hAnsi="Arial" w:cs="Arial"/>
          </w:rPr>
          <w:t>www.hcha.org.nz/news/complaints-categorisation-guidance-available</w:t>
        </w:r>
      </w:hyperlink>
      <w:r w:rsidRPr="00E6579F">
        <w:rPr>
          <w:rFonts w:ascii="Arial" w:hAnsi="Arial" w:cs="Arial"/>
        </w:rPr>
        <w:t>.</w:t>
      </w:r>
      <w:r>
        <w:t xml:space="preserve"> </w:t>
      </w:r>
    </w:p>
  </w:footnote>
  <w:footnote w:id="18">
    <w:p w14:paraId="14D465B5" w14:textId="12DEE7D1" w:rsidR="00670041" w:rsidRPr="008819A7" w:rsidRDefault="00670041">
      <w:pPr>
        <w:pStyle w:val="FootnoteText"/>
        <w:rPr>
          <w:lang w:val="en-US"/>
        </w:rPr>
      </w:pPr>
      <w:r>
        <w:rPr>
          <w:rStyle w:val="FootnoteReference"/>
        </w:rPr>
        <w:footnoteRef/>
      </w:r>
      <w:r>
        <w:t xml:space="preserve"> </w:t>
      </w:r>
      <w:hyperlink r:id="rId6" w:history="1">
        <w:r w:rsidRPr="00E6579F">
          <w:rPr>
            <w:rStyle w:val="Hyperlink"/>
            <w:rFonts w:ascii="Arial" w:hAnsi="Arial" w:cs="Arial"/>
          </w:rPr>
          <w:t>www.health.govt.nz/publication/medication-guidelines-home-and-community-support-services-sector</w:t>
        </w:r>
      </w:hyperlink>
      <w:r>
        <w:t xml:space="preserve"> </w:t>
      </w:r>
    </w:p>
  </w:footnote>
  <w:footnote w:id="19">
    <w:p w14:paraId="4439D55C" w14:textId="744F8AF0" w:rsidR="00670041" w:rsidRPr="00CA3285" w:rsidRDefault="00670041">
      <w:pPr>
        <w:pStyle w:val="FootnoteText"/>
        <w:rPr>
          <w:lang w:val="en-US"/>
        </w:rPr>
      </w:pPr>
      <w:r w:rsidRPr="00E6579F">
        <w:rPr>
          <w:rStyle w:val="FootnoteReference"/>
          <w:rFonts w:ascii="Arial" w:hAnsi="Arial" w:cs="Arial"/>
        </w:rPr>
        <w:footnoteRef/>
      </w:r>
      <w:r w:rsidRPr="00E6579F">
        <w:rPr>
          <w:rFonts w:ascii="Arial" w:hAnsi="Arial" w:cs="Arial"/>
        </w:rPr>
        <w:t xml:space="preserve"> </w:t>
      </w:r>
      <w:hyperlink r:id="rId7" w:history="1">
        <w:r w:rsidRPr="00E6579F">
          <w:rPr>
            <w:rStyle w:val="Hyperlink"/>
            <w:rFonts w:ascii="Arial" w:hAnsi="Arial" w:cs="Arial"/>
          </w:rPr>
          <w:t>www.health.govt.nz/publication/hiso-100012017-ethnicity-data-protocols</w:t>
        </w:r>
      </w:hyperlink>
      <w:r>
        <w:t xml:space="preserve"> </w:t>
      </w:r>
    </w:p>
  </w:footnote>
  <w:footnote w:id="20">
    <w:p w14:paraId="1923330C" w14:textId="1E230ABE" w:rsidR="00670041" w:rsidRPr="007B204D" w:rsidRDefault="00670041">
      <w:pPr>
        <w:pStyle w:val="FootnoteText"/>
        <w:rPr>
          <w:lang w:val="en-US"/>
        </w:rPr>
      </w:pPr>
      <w:r>
        <w:rPr>
          <w:rStyle w:val="FootnoteReference"/>
        </w:rPr>
        <w:footnoteRef/>
      </w:r>
      <w:r>
        <w:t xml:space="preserve"> </w:t>
      </w:r>
      <w:hyperlink r:id="rId8" w:history="1">
        <w:r w:rsidRPr="00571894">
          <w:rPr>
            <w:rStyle w:val="Hyperlink"/>
            <w:rFonts w:ascii="Arial" w:hAnsi="Arial" w:cs="Arial"/>
          </w:rPr>
          <w:t>www.health.govt.nz/publication/auditing-requirements-home-and-community-support-sector-standard-nzs-81582012</w:t>
        </w:r>
      </w:hyperlink>
    </w:p>
  </w:footnote>
  <w:footnote w:id="21">
    <w:p w14:paraId="766A0422" w14:textId="77777777" w:rsidR="00670041" w:rsidRPr="000E5569" w:rsidRDefault="00670041" w:rsidP="000E6EF9">
      <w:pPr>
        <w:pStyle w:val="FootnoteText"/>
        <w:rPr>
          <w:lang w:val="en-US"/>
        </w:rPr>
      </w:pPr>
      <w:r>
        <w:rPr>
          <w:rStyle w:val="FootnoteReference"/>
        </w:rPr>
        <w:footnoteRef/>
      </w:r>
      <w:r>
        <w:t xml:space="preserve"> Draft </w:t>
      </w:r>
      <w:r w:rsidRPr="000E5569">
        <w:t>Medication Guidelines for the HCSS Sector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2391" w14:textId="77777777" w:rsidR="00F20935" w:rsidRDefault="00F2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CDCB" w14:textId="3D26FA6D" w:rsidR="00670041" w:rsidRDefault="003E2092">
    <w:pPr>
      <w:pStyle w:val="Header"/>
      <w:jc w:val="right"/>
    </w:pPr>
    <w:sdt>
      <w:sdtPr>
        <w:id w:val="1203747629"/>
        <w:docPartObj>
          <w:docPartGallery w:val="Page Numbers (Top of Page)"/>
          <w:docPartUnique/>
        </w:docPartObj>
      </w:sdtPr>
      <w:sdtEndPr>
        <w:rPr>
          <w:noProof/>
        </w:rPr>
      </w:sdtEndPr>
      <w:sdtContent>
        <w:r w:rsidR="00670041">
          <w:fldChar w:fldCharType="begin"/>
        </w:r>
        <w:r w:rsidR="00670041">
          <w:instrText xml:space="preserve"> PAGE   \* MERGEFORMAT </w:instrText>
        </w:r>
        <w:r w:rsidR="00670041">
          <w:fldChar w:fldCharType="separate"/>
        </w:r>
        <w:r w:rsidR="00670041">
          <w:rPr>
            <w:noProof/>
          </w:rPr>
          <w:t>9</w:t>
        </w:r>
        <w:r w:rsidR="00670041">
          <w:rPr>
            <w:noProof/>
          </w:rPr>
          <w:fldChar w:fldCharType="end"/>
        </w:r>
      </w:sdtContent>
    </w:sdt>
  </w:p>
  <w:p w14:paraId="55F8A14A" w14:textId="77777777" w:rsidR="00670041" w:rsidRDefault="00670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4C8E" w14:textId="77777777" w:rsidR="00670041" w:rsidRDefault="00670041">
    <w:pPr>
      <w:pStyle w:val="Header"/>
      <w:jc w:val="right"/>
    </w:pPr>
  </w:p>
  <w:p w14:paraId="31579FD4" w14:textId="77777777" w:rsidR="00670041" w:rsidRDefault="0067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CB3"/>
    <w:multiLevelType w:val="hybridMultilevel"/>
    <w:tmpl w:val="C32E3C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086A05FD"/>
    <w:multiLevelType w:val="hybridMultilevel"/>
    <w:tmpl w:val="5630E91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8F378FA"/>
    <w:multiLevelType w:val="singleLevel"/>
    <w:tmpl w:val="90D2315A"/>
    <w:lvl w:ilvl="0">
      <w:start w:val="1"/>
      <w:numFmt w:val="bullet"/>
      <w:pStyle w:val="indentplus"/>
      <w:lvlText w:val=""/>
      <w:lvlJc w:val="left"/>
      <w:pPr>
        <w:tabs>
          <w:tab w:val="num" w:pos="360"/>
        </w:tabs>
        <w:ind w:left="360" w:hanging="360"/>
      </w:pPr>
      <w:rPr>
        <w:rFonts w:ascii="Wingdings" w:hAnsi="Wingdings" w:hint="default"/>
      </w:rPr>
    </w:lvl>
  </w:abstractNum>
  <w:abstractNum w:abstractNumId="4" w15:restartNumberingAfterBreak="0">
    <w:nsid w:val="0A5045F0"/>
    <w:multiLevelType w:val="hybridMultilevel"/>
    <w:tmpl w:val="B6160A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D8D0118"/>
    <w:multiLevelType w:val="hybridMultilevel"/>
    <w:tmpl w:val="DDAEEC86"/>
    <w:lvl w:ilvl="0" w:tplc="FFFFFFFF">
      <w:start w:val="1"/>
      <w:numFmt w:val="bullet"/>
      <w:lvlText w:val=""/>
      <w:lvlJc w:val="left"/>
      <w:pPr>
        <w:ind w:left="360" w:hanging="360"/>
      </w:pPr>
      <w:rPr>
        <w:rFonts w:ascii="Symbol" w:hAnsi="Symbol" w:hint="default"/>
        <w:i w:val="0"/>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71B1759"/>
    <w:multiLevelType w:val="hybridMultilevel"/>
    <w:tmpl w:val="E4CE4B90"/>
    <w:lvl w:ilvl="0" w:tplc="569C2DE4">
      <w:start w:val="1"/>
      <w:numFmt w:val="lowerLetter"/>
      <w:lvlText w:val="%1."/>
      <w:lvlJc w:val="left"/>
      <w:pPr>
        <w:tabs>
          <w:tab w:val="num" w:pos="360"/>
        </w:tabs>
        <w:ind w:left="360" w:hanging="360"/>
      </w:pPr>
      <w:rPr>
        <w:rFonts w:hint="default"/>
        <w:sz w:val="22"/>
      </w:rPr>
    </w:lvl>
    <w:lvl w:ilvl="1" w:tplc="0C090001">
      <w:start w:val="1"/>
      <w:numFmt w:val="bullet"/>
      <w:lvlText w:val=""/>
      <w:lvlJc w:val="left"/>
      <w:pPr>
        <w:tabs>
          <w:tab w:val="num" w:pos="1080"/>
        </w:tabs>
        <w:ind w:left="1080" w:hanging="360"/>
      </w:pPr>
      <w:rPr>
        <w:rFonts w:ascii="Symbol" w:hAnsi="Symbol" w:hint="default"/>
      </w:rPr>
    </w:lvl>
    <w:lvl w:ilvl="2" w:tplc="3872C916">
      <w:start w:val="4"/>
      <w:numFmt w:val="bullet"/>
      <w:lvlText w:val="•"/>
      <w:lvlJc w:val="left"/>
      <w:pPr>
        <w:ind w:left="1980" w:hanging="360"/>
      </w:pPr>
      <w:rPr>
        <w:rFonts w:ascii="Calibri" w:eastAsia="Times New Roman" w:hAnsi="Calibri" w:cs="Calibri"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C383F4C"/>
    <w:multiLevelType w:val="multilevel"/>
    <w:tmpl w:val="D15C39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791A6F"/>
    <w:multiLevelType w:val="hybridMultilevel"/>
    <w:tmpl w:val="EE04A65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1CC3449"/>
    <w:multiLevelType w:val="hybridMultilevel"/>
    <w:tmpl w:val="EF08B79A"/>
    <w:lvl w:ilvl="0" w:tplc="09FE9A06">
      <w:start w:val="1"/>
      <w:numFmt w:val="lowerLetter"/>
      <w:lvlText w:val="%1."/>
      <w:lvlJc w:val="left"/>
      <w:pPr>
        <w:tabs>
          <w:tab w:val="num" w:pos="1800"/>
        </w:tabs>
        <w:ind w:left="1800" w:hanging="360"/>
      </w:pPr>
      <w:rPr>
        <w:rFonts w:hint="default"/>
        <w:sz w:val="22"/>
      </w:rPr>
    </w:lvl>
    <w:lvl w:ilvl="1" w:tplc="0C090001">
      <w:start w:val="1"/>
      <w:numFmt w:val="bullet"/>
      <w:lvlText w:val=""/>
      <w:lvlJc w:val="left"/>
      <w:pPr>
        <w:tabs>
          <w:tab w:val="num" w:pos="2520"/>
        </w:tabs>
        <w:ind w:left="2520" w:hanging="360"/>
      </w:pPr>
      <w:rPr>
        <w:rFonts w:ascii="Symbol" w:hAnsi="Symbol" w:hint="default"/>
      </w:rPr>
    </w:lvl>
    <w:lvl w:ilvl="2" w:tplc="3872C916">
      <w:start w:val="4"/>
      <w:numFmt w:val="bullet"/>
      <w:lvlText w:val="•"/>
      <w:lvlJc w:val="left"/>
      <w:pPr>
        <w:ind w:left="3420" w:hanging="360"/>
      </w:pPr>
      <w:rPr>
        <w:rFonts w:ascii="Calibri" w:eastAsia="Times New Roman" w:hAnsi="Calibri" w:cs="Calibri" w:hint="default"/>
      </w:r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29695983"/>
    <w:multiLevelType w:val="hybridMultilevel"/>
    <w:tmpl w:val="6478C32E"/>
    <w:lvl w:ilvl="0" w:tplc="14090001">
      <w:start w:val="1"/>
      <w:numFmt w:val="bullet"/>
      <w:lvlText w:val=""/>
      <w:lvlJc w:val="left"/>
      <w:pPr>
        <w:ind w:left="397" w:hanging="360"/>
      </w:pPr>
      <w:rPr>
        <w:rFonts w:ascii="Symbol" w:hAnsi="Symbol" w:hint="default"/>
      </w:rPr>
    </w:lvl>
    <w:lvl w:ilvl="1" w:tplc="14090003" w:tentative="1">
      <w:start w:val="1"/>
      <w:numFmt w:val="bullet"/>
      <w:lvlText w:val="o"/>
      <w:lvlJc w:val="left"/>
      <w:pPr>
        <w:ind w:left="1117" w:hanging="360"/>
      </w:pPr>
      <w:rPr>
        <w:rFonts w:ascii="Courier New" w:hAnsi="Courier New" w:cs="Courier New" w:hint="default"/>
      </w:rPr>
    </w:lvl>
    <w:lvl w:ilvl="2" w:tplc="14090005" w:tentative="1">
      <w:start w:val="1"/>
      <w:numFmt w:val="bullet"/>
      <w:lvlText w:val=""/>
      <w:lvlJc w:val="left"/>
      <w:pPr>
        <w:ind w:left="1837" w:hanging="360"/>
      </w:pPr>
      <w:rPr>
        <w:rFonts w:ascii="Wingdings" w:hAnsi="Wingdings" w:hint="default"/>
      </w:rPr>
    </w:lvl>
    <w:lvl w:ilvl="3" w:tplc="14090001" w:tentative="1">
      <w:start w:val="1"/>
      <w:numFmt w:val="bullet"/>
      <w:lvlText w:val=""/>
      <w:lvlJc w:val="left"/>
      <w:pPr>
        <w:ind w:left="2557" w:hanging="360"/>
      </w:pPr>
      <w:rPr>
        <w:rFonts w:ascii="Symbol" w:hAnsi="Symbol" w:hint="default"/>
      </w:rPr>
    </w:lvl>
    <w:lvl w:ilvl="4" w:tplc="14090003" w:tentative="1">
      <w:start w:val="1"/>
      <w:numFmt w:val="bullet"/>
      <w:lvlText w:val="o"/>
      <w:lvlJc w:val="left"/>
      <w:pPr>
        <w:ind w:left="3277" w:hanging="360"/>
      </w:pPr>
      <w:rPr>
        <w:rFonts w:ascii="Courier New" w:hAnsi="Courier New" w:cs="Courier New" w:hint="default"/>
      </w:rPr>
    </w:lvl>
    <w:lvl w:ilvl="5" w:tplc="14090005" w:tentative="1">
      <w:start w:val="1"/>
      <w:numFmt w:val="bullet"/>
      <w:lvlText w:val=""/>
      <w:lvlJc w:val="left"/>
      <w:pPr>
        <w:ind w:left="3997" w:hanging="360"/>
      </w:pPr>
      <w:rPr>
        <w:rFonts w:ascii="Wingdings" w:hAnsi="Wingdings" w:hint="default"/>
      </w:rPr>
    </w:lvl>
    <w:lvl w:ilvl="6" w:tplc="14090001" w:tentative="1">
      <w:start w:val="1"/>
      <w:numFmt w:val="bullet"/>
      <w:lvlText w:val=""/>
      <w:lvlJc w:val="left"/>
      <w:pPr>
        <w:ind w:left="4717" w:hanging="360"/>
      </w:pPr>
      <w:rPr>
        <w:rFonts w:ascii="Symbol" w:hAnsi="Symbol" w:hint="default"/>
      </w:rPr>
    </w:lvl>
    <w:lvl w:ilvl="7" w:tplc="14090003" w:tentative="1">
      <w:start w:val="1"/>
      <w:numFmt w:val="bullet"/>
      <w:lvlText w:val="o"/>
      <w:lvlJc w:val="left"/>
      <w:pPr>
        <w:ind w:left="5437" w:hanging="360"/>
      </w:pPr>
      <w:rPr>
        <w:rFonts w:ascii="Courier New" w:hAnsi="Courier New" w:cs="Courier New" w:hint="default"/>
      </w:rPr>
    </w:lvl>
    <w:lvl w:ilvl="8" w:tplc="14090005" w:tentative="1">
      <w:start w:val="1"/>
      <w:numFmt w:val="bullet"/>
      <w:lvlText w:val=""/>
      <w:lvlJc w:val="left"/>
      <w:pPr>
        <w:ind w:left="6157" w:hanging="360"/>
      </w:pPr>
      <w:rPr>
        <w:rFonts w:ascii="Wingdings" w:hAnsi="Wingdings" w:hint="default"/>
      </w:rPr>
    </w:lvl>
  </w:abstractNum>
  <w:abstractNum w:abstractNumId="11" w15:restartNumberingAfterBreak="0">
    <w:nsid w:val="33270C13"/>
    <w:multiLevelType w:val="hybridMultilevel"/>
    <w:tmpl w:val="D904F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C223783"/>
    <w:multiLevelType w:val="hybridMultilevel"/>
    <w:tmpl w:val="6F207B8C"/>
    <w:lvl w:ilvl="0" w:tplc="FFFFFFFF">
      <w:start w:val="1"/>
      <w:numFmt w:val="bullet"/>
      <w:lvlText w:val=""/>
      <w:lvlJc w:val="left"/>
      <w:pPr>
        <w:ind w:left="227" w:hanging="227"/>
      </w:pPr>
      <w:rPr>
        <w:rFonts w:ascii="Symbol" w:hAnsi="Symbol" w:hint="default"/>
        <w:i w:val="0"/>
        <w:color w:val="000000" w:themeColor="text1"/>
      </w:rPr>
    </w:lvl>
    <w:lvl w:ilvl="1" w:tplc="14090003">
      <w:start w:val="1"/>
      <w:numFmt w:val="bullet"/>
      <w:lvlText w:val="o"/>
      <w:lvlJc w:val="left"/>
      <w:pPr>
        <w:ind w:left="1327" w:hanging="360"/>
      </w:pPr>
      <w:rPr>
        <w:rFonts w:ascii="Courier New" w:hAnsi="Courier New" w:cs="Courier New" w:hint="default"/>
      </w:rPr>
    </w:lvl>
    <w:lvl w:ilvl="2" w:tplc="14090005" w:tentative="1">
      <w:start w:val="1"/>
      <w:numFmt w:val="bullet"/>
      <w:lvlText w:val=""/>
      <w:lvlJc w:val="left"/>
      <w:pPr>
        <w:ind w:left="2047" w:hanging="360"/>
      </w:pPr>
      <w:rPr>
        <w:rFonts w:ascii="Wingdings" w:hAnsi="Wingdings" w:hint="default"/>
      </w:rPr>
    </w:lvl>
    <w:lvl w:ilvl="3" w:tplc="14090001" w:tentative="1">
      <w:start w:val="1"/>
      <w:numFmt w:val="bullet"/>
      <w:lvlText w:val=""/>
      <w:lvlJc w:val="left"/>
      <w:pPr>
        <w:ind w:left="2767" w:hanging="360"/>
      </w:pPr>
      <w:rPr>
        <w:rFonts w:ascii="Symbol" w:hAnsi="Symbol" w:hint="default"/>
      </w:rPr>
    </w:lvl>
    <w:lvl w:ilvl="4" w:tplc="14090003" w:tentative="1">
      <w:start w:val="1"/>
      <w:numFmt w:val="bullet"/>
      <w:lvlText w:val="o"/>
      <w:lvlJc w:val="left"/>
      <w:pPr>
        <w:ind w:left="3487" w:hanging="360"/>
      </w:pPr>
      <w:rPr>
        <w:rFonts w:ascii="Courier New" w:hAnsi="Courier New" w:cs="Courier New" w:hint="default"/>
      </w:rPr>
    </w:lvl>
    <w:lvl w:ilvl="5" w:tplc="14090005" w:tentative="1">
      <w:start w:val="1"/>
      <w:numFmt w:val="bullet"/>
      <w:lvlText w:val=""/>
      <w:lvlJc w:val="left"/>
      <w:pPr>
        <w:ind w:left="4207" w:hanging="360"/>
      </w:pPr>
      <w:rPr>
        <w:rFonts w:ascii="Wingdings" w:hAnsi="Wingdings" w:hint="default"/>
      </w:rPr>
    </w:lvl>
    <w:lvl w:ilvl="6" w:tplc="14090001" w:tentative="1">
      <w:start w:val="1"/>
      <w:numFmt w:val="bullet"/>
      <w:lvlText w:val=""/>
      <w:lvlJc w:val="left"/>
      <w:pPr>
        <w:ind w:left="4927" w:hanging="360"/>
      </w:pPr>
      <w:rPr>
        <w:rFonts w:ascii="Symbol" w:hAnsi="Symbol" w:hint="default"/>
      </w:rPr>
    </w:lvl>
    <w:lvl w:ilvl="7" w:tplc="14090003" w:tentative="1">
      <w:start w:val="1"/>
      <w:numFmt w:val="bullet"/>
      <w:lvlText w:val="o"/>
      <w:lvlJc w:val="left"/>
      <w:pPr>
        <w:ind w:left="5647" w:hanging="360"/>
      </w:pPr>
      <w:rPr>
        <w:rFonts w:ascii="Courier New" w:hAnsi="Courier New" w:cs="Courier New" w:hint="default"/>
      </w:rPr>
    </w:lvl>
    <w:lvl w:ilvl="8" w:tplc="14090005" w:tentative="1">
      <w:start w:val="1"/>
      <w:numFmt w:val="bullet"/>
      <w:lvlText w:val=""/>
      <w:lvlJc w:val="left"/>
      <w:pPr>
        <w:ind w:left="6367" w:hanging="360"/>
      </w:pPr>
      <w:rPr>
        <w:rFonts w:ascii="Wingdings" w:hAnsi="Wingdings" w:hint="default"/>
      </w:rPr>
    </w:lvl>
  </w:abstractNum>
  <w:abstractNum w:abstractNumId="13" w15:restartNumberingAfterBreak="0">
    <w:nsid w:val="3CF96BA1"/>
    <w:multiLevelType w:val="hybridMultilevel"/>
    <w:tmpl w:val="8FFC1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AA242E"/>
    <w:multiLevelType w:val="hybridMultilevel"/>
    <w:tmpl w:val="F72CE3BA"/>
    <w:lvl w:ilvl="0" w:tplc="D91ED854">
      <w:start w:val="1"/>
      <w:numFmt w:val="lowerLetter"/>
      <w:lvlText w:val="%1."/>
      <w:lvlJc w:val="left"/>
      <w:pPr>
        <w:tabs>
          <w:tab w:val="num" w:pos="1434"/>
        </w:tabs>
        <w:ind w:left="1434" w:hanging="360"/>
      </w:pPr>
      <w:rPr>
        <w:rFonts w:hint="default"/>
        <w:sz w:val="22"/>
      </w:rPr>
    </w:lvl>
    <w:lvl w:ilvl="1" w:tplc="0C090001">
      <w:start w:val="1"/>
      <w:numFmt w:val="bullet"/>
      <w:lvlText w:val=""/>
      <w:lvlJc w:val="left"/>
      <w:pPr>
        <w:tabs>
          <w:tab w:val="num" w:pos="2154"/>
        </w:tabs>
        <w:ind w:left="2154" w:hanging="360"/>
      </w:pPr>
      <w:rPr>
        <w:rFonts w:ascii="Symbol" w:hAnsi="Symbol" w:hint="default"/>
      </w:rPr>
    </w:lvl>
    <w:lvl w:ilvl="2" w:tplc="3872C916">
      <w:start w:val="4"/>
      <w:numFmt w:val="bullet"/>
      <w:lvlText w:val="•"/>
      <w:lvlJc w:val="left"/>
      <w:pPr>
        <w:ind w:left="3054" w:hanging="360"/>
      </w:pPr>
      <w:rPr>
        <w:rFonts w:ascii="Calibri" w:eastAsia="Times New Roman" w:hAnsi="Calibri" w:cs="Calibri" w:hint="default"/>
      </w:rPr>
    </w:lvl>
    <w:lvl w:ilvl="3" w:tplc="0C09000F">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abstractNum w:abstractNumId="15" w15:restartNumberingAfterBreak="0">
    <w:nsid w:val="452F6AA0"/>
    <w:multiLevelType w:val="hybridMultilevel"/>
    <w:tmpl w:val="7BA85D0C"/>
    <w:lvl w:ilvl="0" w:tplc="FFFFFFFF">
      <w:start w:val="1"/>
      <w:numFmt w:val="bullet"/>
      <w:lvlText w:val=""/>
      <w:lvlJc w:val="left"/>
      <w:pPr>
        <w:tabs>
          <w:tab w:val="num" w:pos="479"/>
        </w:tabs>
        <w:ind w:left="479" w:hanging="360"/>
      </w:pPr>
      <w:rPr>
        <w:rFonts w:ascii="Symbol" w:hAnsi="Symbol" w:hint="default"/>
        <w:i w:val="0"/>
        <w:color w:val="000000" w:themeColor="text1"/>
        <w:sz w:val="22"/>
      </w:rPr>
    </w:lvl>
    <w:lvl w:ilvl="1" w:tplc="0C090001">
      <w:start w:val="1"/>
      <w:numFmt w:val="bullet"/>
      <w:lvlText w:val=""/>
      <w:lvlJc w:val="left"/>
      <w:pPr>
        <w:tabs>
          <w:tab w:val="num" w:pos="1199"/>
        </w:tabs>
        <w:ind w:left="1199" w:hanging="360"/>
      </w:pPr>
      <w:rPr>
        <w:rFonts w:ascii="Symbol" w:hAnsi="Symbol" w:hint="default"/>
      </w:rPr>
    </w:lvl>
    <w:lvl w:ilvl="2" w:tplc="3872C916">
      <w:start w:val="4"/>
      <w:numFmt w:val="bullet"/>
      <w:lvlText w:val="•"/>
      <w:lvlJc w:val="left"/>
      <w:pPr>
        <w:ind w:left="2099" w:hanging="360"/>
      </w:pPr>
      <w:rPr>
        <w:rFonts w:ascii="Calibri" w:eastAsia="Times New Roman" w:hAnsi="Calibri" w:cs="Calibri" w:hint="default"/>
      </w:rPr>
    </w:lvl>
    <w:lvl w:ilvl="3" w:tplc="0C09000F">
      <w:start w:val="1"/>
      <w:numFmt w:val="decimal"/>
      <w:lvlText w:val="%4."/>
      <w:lvlJc w:val="left"/>
      <w:pPr>
        <w:tabs>
          <w:tab w:val="num" w:pos="2639"/>
        </w:tabs>
        <w:ind w:left="2639" w:hanging="360"/>
      </w:pPr>
    </w:lvl>
    <w:lvl w:ilvl="4" w:tplc="0C090019" w:tentative="1">
      <w:start w:val="1"/>
      <w:numFmt w:val="lowerLetter"/>
      <w:lvlText w:val="%5."/>
      <w:lvlJc w:val="left"/>
      <w:pPr>
        <w:tabs>
          <w:tab w:val="num" w:pos="3359"/>
        </w:tabs>
        <w:ind w:left="3359" w:hanging="360"/>
      </w:pPr>
    </w:lvl>
    <w:lvl w:ilvl="5" w:tplc="0C09001B" w:tentative="1">
      <w:start w:val="1"/>
      <w:numFmt w:val="lowerRoman"/>
      <w:lvlText w:val="%6."/>
      <w:lvlJc w:val="right"/>
      <w:pPr>
        <w:tabs>
          <w:tab w:val="num" w:pos="4079"/>
        </w:tabs>
        <w:ind w:left="4079" w:hanging="180"/>
      </w:pPr>
    </w:lvl>
    <w:lvl w:ilvl="6" w:tplc="0C09000F" w:tentative="1">
      <w:start w:val="1"/>
      <w:numFmt w:val="decimal"/>
      <w:lvlText w:val="%7."/>
      <w:lvlJc w:val="left"/>
      <w:pPr>
        <w:tabs>
          <w:tab w:val="num" w:pos="4799"/>
        </w:tabs>
        <w:ind w:left="4799" w:hanging="360"/>
      </w:pPr>
    </w:lvl>
    <w:lvl w:ilvl="7" w:tplc="0C090019" w:tentative="1">
      <w:start w:val="1"/>
      <w:numFmt w:val="lowerLetter"/>
      <w:lvlText w:val="%8."/>
      <w:lvlJc w:val="left"/>
      <w:pPr>
        <w:tabs>
          <w:tab w:val="num" w:pos="5519"/>
        </w:tabs>
        <w:ind w:left="5519" w:hanging="360"/>
      </w:pPr>
    </w:lvl>
    <w:lvl w:ilvl="8" w:tplc="0C09001B" w:tentative="1">
      <w:start w:val="1"/>
      <w:numFmt w:val="lowerRoman"/>
      <w:lvlText w:val="%9."/>
      <w:lvlJc w:val="right"/>
      <w:pPr>
        <w:tabs>
          <w:tab w:val="num" w:pos="6239"/>
        </w:tabs>
        <w:ind w:left="6239" w:hanging="180"/>
      </w:pPr>
    </w:lvl>
  </w:abstractNum>
  <w:abstractNum w:abstractNumId="16" w15:restartNumberingAfterBreak="0">
    <w:nsid w:val="47BA6B34"/>
    <w:multiLevelType w:val="hybridMultilevel"/>
    <w:tmpl w:val="88ACD1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BEC66DB"/>
    <w:multiLevelType w:val="hybridMultilevel"/>
    <w:tmpl w:val="4C04C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C1D4AD1"/>
    <w:multiLevelType w:val="hybridMultilevel"/>
    <w:tmpl w:val="9054492E"/>
    <w:lvl w:ilvl="0" w:tplc="EBC20D62">
      <w:start w:val="1"/>
      <w:numFmt w:val="lowerLetter"/>
      <w:lvlText w:val="%1."/>
      <w:lvlJc w:val="left"/>
      <w:pPr>
        <w:tabs>
          <w:tab w:val="num" w:pos="1800"/>
        </w:tabs>
        <w:ind w:left="1800" w:hanging="360"/>
      </w:pPr>
      <w:rPr>
        <w:rFonts w:hint="default"/>
        <w:sz w:val="22"/>
      </w:rPr>
    </w:lvl>
    <w:lvl w:ilvl="1" w:tplc="0C090001">
      <w:start w:val="1"/>
      <w:numFmt w:val="bullet"/>
      <w:lvlText w:val=""/>
      <w:lvlJc w:val="left"/>
      <w:pPr>
        <w:tabs>
          <w:tab w:val="num" w:pos="2520"/>
        </w:tabs>
        <w:ind w:left="2520" w:hanging="360"/>
      </w:pPr>
      <w:rPr>
        <w:rFonts w:ascii="Symbol" w:hAnsi="Symbol" w:hint="default"/>
      </w:rPr>
    </w:lvl>
    <w:lvl w:ilvl="2" w:tplc="3872C916">
      <w:start w:val="4"/>
      <w:numFmt w:val="bullet"/>
      <w:lvlText w:val="•"/>
      <w:lvlJc w:val="left"/>
      <w:pPr>
        <w:ind w:left="3420" w:hanging="360"/>
      </w:pPr>
      <w:rPr>
        <w:rFonts w:ascii="Calibri" w:eastAsia="Times New Roman" w:hAnsi="Calibri" w:cs="Calibri" w:hint="default"/>
      </w:r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9" w15:restartNumberingAfterBreak="0">
    <w:nsid w:val="4F2B77D3"/>
    <w:multiLevelType w:val="hybridMultilevel"/>
    <w:tmpl w:val="53764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1D0488"/>
    <w:multiLevelType w:val="hybridMultilevel"/>
    <w:tmpl w:val="2CD2D44C"/>
    <w:lvl w:ilvl="0" w:tplc="14090019">
      <w:start w:val="1"/>
      <w:numFmt w:val="lowerLetter"/>
      <w:lvlText w:val="%1."/>
      <w:lvlJc w:val="left"/>
      <w:pPr>
        <w:ind w:left="601" w:hanging="360"/>
      </w:pPr>
    </w:lvl>
    <w:lvl w:ilvl="1" w:tplc="14090019" w:tentative="1">
      <w:start w:val="1"/>
      <w:numFmt w:val="lowerLetter"/>
      <w:lvlText w:val="%2."/>
      <w:lvlJc w:val="left"/>
      <w:pPr>
        <w:ind w:left="1321" w:hanging="360"/>
      </w:pPr>
    </w:lvl>
    <w:lvl w:ilvl="2" w:tplc="1409001B" w:tentative="1">
      <w:start w:val="1"/>
      <w:numFmt w:val="lowerRoman"/>
      <w:lvlText w:val="%3."/>
      <w:lvlJc w:val="right"/>
      <w:pPr>
        <w:ind w:left="2041" w:hanging="180"/>
      </w:pPr>
    </w:lvl>
    <w:lvl w:ilvl="3" w:tplc="1409000F" w:tentative="1">
      <w:start w:val="1"/>
      <w:numFmt w:val="decimal"/>
      <w:lvlText w:val="%4."/>
      <w:lvlJc w:val="left"/>
      <w:pPr>
        <w:ind w:left="2761" w:hanging="360"/>
      </w:pPr>
    </w:lvl>
    <w:lvl w:ilvl="4" w:tplc="14090019" w:tentative="1">
      <w:start w:val="1"/>
      <w:numFmt w:val="lowerLetter"/>
      <w:lvlText w:val="%5."/>
      <w:lvlJc w:val="left"/>
      <w:pPr>
        <w:ind w:left="3481" w:hanging="360"/>
      </w:pPr>
    </w:lvl>
    <w:lvl w:ilvl="5" w:tplc="1409001B" w:tentative="1">
      <w:start w:val="1"/>
      <w:numFmt w:val="lowerRoman"/>
      <w:lvlText w:val="%6."/>
      <w:lvlJc w:val="right"/>
      <w:pPr>
        <w:ind w:left="4201" w:hanging="180"/>
      </w:pPr>
    </w:lvl>
    <w:lvl w:ilvl="6" w:tplc="1409000F" w:tentative="1">
      <w:start w:val="1"/>
      <w:numFmt w:val="decimal"/>
      <w:lvlText w:val="%7."/>
      <w:lvlJc w:val="left"/>
      <w:pPr>
        <w:ind w:left="4921" w:hanging="360"/>
      </w:pPr>
    </w:lvl>
    <w:lvl w:ilvl="7" w:tplc="14090019" w:tentative="1">
      <w:start w:val="1"/>
      <w:numFmt w:val="lowerLetter"/>
      <w:lvlText w:val="%8."/>
      <w:lvlJc w:val="left"/>
      <w:pPr>
        <w:ind w:left="5641" w:hanging="360"/>
      </w:pPr>
    </w:lvl>
    <w:lvl w:ilvl="8" w:tplc="1409001B" w:tentative="1">
      <w:start w:val="1"/>
      <w:numFmt w:val="lowerRoman"/>
      <w:lvlText w:val="%9."/>
      <w:lvlJc w:val="right"/>
      <w:pPr>
        <w:ind w:left="6361" w:hanging="180"/>
      </w:pPr>
    </w:lvl>
  </w:abstractNum>
  <w:abstractNum w:abstractNumId="21"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220C7D"/>
    <w:multiLevelType w:val="hybridMultilevel"/>
    <w:tmpl w:val="720235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C294D4F"/>
    <w:multiLevelType w:val="hybridMultilevel"/>
    <w:tmpl w:val="0EDA2EA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5E5C49B7"/>
    <w:multiLevelType w:val="hybridMultilevel"/>
    <w:tmpl w:val="72BAC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14B52C7"/>
    <w:multiLevelType w:val="hybridMultilevel"/>
    <w:tmpl w:val="C0D8B094"/>
    <w:lvl w:ilvl="0" w:tplc="14090001">
      <w:start w:val="1"/>
      <w:numFmt w:val="bullet"/>
      <w:lvlText w:val=""/>
      <w:lvlJc w:val="left"/>
      <w:pPr>
        <w:tabs>
          <w:tab w:val="num" w:pos="1800"/>
        </w:tabs>
        <w:ind w:left="1800" w:hanging="360"/>
      </w:pPr>
      <w:rPr>
        <w:rFonts w:ascii="Symbol" w:hAnsi="Symbol" w:hint="default"/>
        <w:sz w:val="22"/>
      </w:rPr>
    </w:lvl>
    <w:lvl w:ilvl="1" w:tplc="0C090001">
      <w:start w:val="1"/>
      <w:numFmt w:val="bullet"/>
      <w:lvlText w:val=""/>
      <w:lvlJc w:val="left"/>
      <w:pPr>
        <w:tabs>
          <w:tab w:val="num" w:pos="2520"/>
        </w:tabs>
        <w:ind w:left="2520" w:hanging="360"/>
      </w:pPr>
      <w:rPr>
        <w:rFonts w:ascii="Symbol" w:hAnsi="Symbol" w:hint="default"/>
      </w:rPr>
    </w:lvl>
    <w:lvl w:ilvl="2" w:tplc="3872C916">
      <w:start w:val="4"/>
      <w:numFmt w:val="bullet"/>
      <w:lvlText w:val="•"/>
      <w:lvlJc w:val="left"/>
      <w:pPr>
        <w:ind w:left="3420" w:hanging="360"/>
      </w:pPr>
      <w:rPr>
        <w:rFonts w:ascii="Calibri" w:eastAsia="Times New Roman" w:hAnsi="Calibri" w:cs="Calibri" w:hint="default"/>
      </w:r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6" w15:restartNumberingAfterBreak="0">
    <w:nsid w:val="61FC3FD1"/>
    <w:multiLevelType w:val="hybridMultilevel"/>
    <w:tmpl w:val="A09AC1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4362ECB"/>
    <w:multiLevelType w:val="multilevel"/>
    <w:tmpl w:val="126C05FC"/>
    <w:lvl w:ilvl="0">
      <w:start w:val="1"/>
      <w:numFmt w:val="bullet"/>
      <w:pStyle w:val="yeloowbul"/>
      <w:lvlText w:val=""/>
      <w:lvlJc w:val="left"/>
      <w:pPr>
        <w:tabs>
          <w:tab w:val="num" w:pos="942"/>
        </w:tabs>
        <w:ind w:left="639" w:hanging="57"/>
      </w:pPr>
      <w:rPr>
        <w:rFonts w:ascii="Symbol" w:hAnsi="Symbol" w:hint="default"/>
      </w:rPr>
    </w:lvl>
    <w:lvl w:ilvl="1">
      <w:start w:val="14"/>
      <w:numFmt w:val="decimal"/>
      <w:lvlText w:val="%2"/>
      <w:lvlJc w:val="left"/>
      <w:pPr>
        <w:ind w:left="2022" w:hanging="360"/>
      </w:pPr>
      <w:rPr>
        <w:rFonts w:hint="default"/>
      </w:rPr>
    </w:lvl>
    <w:lvl w:ilvl="2">
      <w:start w:val="13"/>
      <w:numFmt w:val="decimal"/>
      <w:lvlText w:val="%3."/>
      <w:lvlJc w:val="left"/>
      <w:pPr>
        <w:ind w:left="2802" w:hanging="420"/>
      </w:pPr>
      <w:rPr>
        <w:rFonts w:hint="default"/>
      </w:rPr>
    </w:lvl>
    <w:lvl w:ilvl="3" w:tentative="1">
      <w:start w:val="1"/>
      <w:numFmt w:val="bullet"/>
      <w:lvlText w:val=""/>
      <w:lvlJc w:val="left"/>
      <w:pPr>
        <w:tabs>
          <w:tab w:val="num" w:pos="3462"/>
        </w:tabs>
        <w:ind w:left="3462" w:hanging="360"/>
      </w:pPr>
      <w:rPr>
        <w:rFonts w:ascii="Symbol" w:hAnsi="Symbol" w:hint="default"/>
      </w:rPr>
    </w:lvl>
    <w:lvl w:ilvl="4" w:tentative="1">
      <w:start w:val="1"/>
      <w:numFmt w:val="bullet"/>
      <w:lvlText w:val="o"/>
      <w:lvlJc w:val="left"/>
      <w:pPr>
        <w:tabs>
          <w:tab w:val="num" w:pos="4182"/>
        </w:tabs>
        <w:ind w:left="4182" w:hanging="360"/>
      </w:pPr>
      <w:rPr>
        <w:rFonts w:ascii="Courier New" w:hAnsi="Courier New" w:hint="default"/>
      </w:rPr>
    </w:lvl>
    <w:lvl w:ilvl="5" w:tentative="1">
      <w:start w:val="1"/>
      <w:numFmt w:val="bullet"/>
      <w:lvlText w:val=""/>
      <w:lvlJc w:val="left"/>
      <w:pPr>
        <w:tabs>
          <w:tab w:val="num" w:pos="4902"/>
        </w:tabs>
        <w:ind w:left="4902" w:hanging="360"/>
      </w:pPr>
      <w:rPr>
        <w:rFonts w:ascii="Wingdings" w:hAnsi="Wingdings" w:hint="default"/>
      </w:rPr>
    </w:lvl>
    <w:lvl w:ilvl="6" w:tentative="1">
      <w:start w:val="1"/>
      <w:numFmt w:val="bullet"/>
      <w:lvlText w:val=""/>
      <w:lvlJc w:val="left"/>
      <w:pPr>
        <w:tabs>
          <w:tab w:val="num" w:pos="5622"/>
        </w:tabs>
        <w:ind w:left="5622" w:hanging="360"/>
      </w:pPr>
      <w:rPr>
        <w:rFonts w:ascii="Symbol" w:hAnsi="Symbol" w:hint="default"/>
      </w:rPr>
    </w:lvl>
    <w:lvl w:ilvl="7" w:tentative="1">
      <w:start w:val="1"/>
      <w:numFmt w:val="bullet"/>
      <w:lvlText w:val="o"/>
      <w:lvlJc w:val="left"/>
      <w:pPr>
        <w:tabs>
          <w:tab w:val="num" w:pos="6342"/>
        </w:tabs>
        <w:ind w:left="6342" w:hanging="360"/>
      </w:pPr>
      <w:rPr>
        <w:rFonts w:ascii="Courier New" w:hAnsi="Courier New" w:hint="default"/>
      </w:rPr>
    </w:lvl>
    <w:lvl w:ilvl="8" w:tentative="1">
      <w:start w:val="1"/>
      <w:numFmt w:val="bullet"/>
      <w:lvlText w:val=""/>
      <w:lvlJc w:val="left"/>
      <w:pPr>
        <w:tabs>
          <w:tab w:val="num" w:pos="7062"/>
        </w:tabs>
        <w:ind w:left="7062" w:hanging="360"/>
      </w:pPr>
      <w:rPr>
        <w:rFonts w:ascii="Wingdings" w:hAnsi="Wingdings" w:hint="default"/>
      </w:rPr>
    </w:lvl>
  </w:abstractNum>
  <w:abstractNum w:abstractNumId="28" w15:restartNumberingAfterBreak="0">
    <w:nsid w:val="682A534A"/>
    <w:multiLevelType w:val="hybridMultilevel"/>
    <w:tmpl w:val="20BAD840"/>
    <w:lvl w:ilvl="0" w:tplc="C2D28AF8">
      <w:start w:val="1"/>
      <w:numFmt w:val="lowerLetter"/>
      <w:lvlText w:val="%1."/>
      <w:lvlJc w:val="left"/>
      <w:pPr>
        <w:tabs>
          <w:tab w:val="num" w:pos="1800"/>
        </w:tabs>
        <w:ind w:left="1800" w:hanging="360"/>
      </w:pPr>
      <w:rPr>
        <w:rFonts w:hint="default"/>
        <w:sz w:val="22"/>
        <w:szCs w:val="24"/>
      </w:rPr>
    </w:lvl>
    <w:lvl w:ilvl="1" w:tplc="0C090001">
      <w:start w:val="1"/>
      <w:numFmt w:val="bullet"/>
      <w:lvlText w:val=""/>
      <w:lvlJc w:val="left"/>
      <w:pPr>
        <w:tabs>
          <w:tab w:val="num" w:pos="2520"/>
        </w:tabs>
        <w:ind w:left="2520" w:hanging="360"/>
      </w:pPr>
      <w:rPr>
        <w:rFonts w:ascii="Symbol" w:hAnsi="Symbol" w:hint="default"/>
      </w:rPr>
    </w:lvl>
    <w:lvl w:ilvl="2" w:tplc="3872C916">
      <w:start w:val="4"/>
      <w:numFmt w:val="bullet"/>
      <w:lvlText w:val="•"/>
      <w:lvlJc w:val="left"/>
      <w:pPr>
        <w:ind w:left="3420" w:hanging="360"/>
      </w:pPr>
      <w:rPr>
        <w:rFonts w:ascii="Calibri" w:eastAsia="Times New Roman" w:hAnsi="Calibri" w:cs="Calibri" w:hint="default"/>
      </w:r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9" w15:restartNumberingAfterBreak="0">
    <w:nsid w:val="68723AE8"/>
    <w:multiLevelType w:val="hybridMultilevel"/>
    <w:tmpl w:val="06042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3B0B56"/>
    <w:multiLevelType w:val="hybridMultilevel"/>
    <w:tmpl w:val="3CD297B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B430586"/>
    <w:multiLevelType w:val="hybridMultilevel"/>
    <w:tmpl w:val="516051B6"/>
    <w:lvl w:ilvl="0" w:tplc="4DD2C814">
      <w:start w:val="1"/>
      <w:numFmt w:val="lowerLetter"/>
      <w:lvlText w:val="%1."/>
      <w:lvlJc w:val="left"/>
      <w:pPr>
        <w:tabs>
          <w:tab w:val="num" w:pos="479"/>
        </w:tabs>
        <w:ind w:left="479" w:hanging="360"/>
      </w:pPr>
      <w:rPr>
        <w:rFonts w:hint="default"/>
        <w:sz w:val="22"/>
      </w:rPr>
    </w:lvl>
    <w:lvl w:ilvl="1" w:tplc="0C090001">
      <w:start w:val="1"/>
      <w:numFmt w:val="bullet"/>
      <w:lvlText w:val=""/>
      <w:lvlJc w:val="left"/>
      <w:pPr>
        <w:tabs>
          <w:tab w:val="num" w:pos="1199"/>
        </w:tabs>
        <w:ind w:left="1199" w:hanging="360"/>
      </w:pPr>
      <w:rPr>
        <w:rFonts w:ascii="Symbol" w:hAnsi="Symbol" w:hint="default"/>
      </w:rPr>
    </w:lvl>
    <w:lvl w:ilvl="2" w:tplc="3872C916">
      <w:start w:val="4"/>
      <w:numFmt w:val="bullet"/>
      <w:lvlText w:val="•"/>
      <w:lvlJc w:val="left"/>
      <w:pPr>
        <w:ind w:left="2099" w:hanging="360"/>
      </w:pPr>
      <w:rPr>
        <w:rFonts w:ascii="Calibri" w:eastAsia="Times New Roman" w:hAnsi="Calibri" w:cs="Calibri" w:hint="default"/>
      </w:rPr>
    </w:lvl>
    <w:lvl w:ilvl="3" w:tplc="0C09000F">
      <w:start w:val="1"/>
      <w:numFmt w:val="decimal"/>
      <w:lvlText w:val="%4."/>
      <w:lvlJc w:val="left"/>
      <w:pPr>
        <w:tabs>
          <w:tab w:val="num" w:pos="2639"/>
        </w:tabs>
        <w:ind w:left="2639" w:hanging="360"/>
      </w:pPr>
    </w:lvl>
    <w:lvl w:ilvl="4" w:tplc="0C090019" w:tentative="1">
      <w:start w:val="1"/>
      <w:numFmt w:val="lowerLetter"/>
      <w:lvlText w:val="%5."/>
      <w:lvlJc w:val="left"/>
      <w:pPr>
        <w:tabs>
          <w:tab w:val="num" w:pos="3359"/>
        </w:tabs>
        <w:ind w:left="3359" w:hanging="360"/>
      </w:pPr>
    </w:lvl>
    <w:lvl w:ilvl="5" w:tplc="0C09001B" w:tentative="1">
      <w:start w:val="1"/>
      <w:numFmt w:val="lowerRoman"/>
      <w:lvlText w:val="%6."/>
      <w:lvlJc w:val="right"/>
      <w:pPr>
        <w:tabs>
          <w:tab w:val="num" w:pos="4079"/>
        </w:tabs>
        <w:ind w:left="4079" w:hanging="180"/>
      </w:pPr>
    </w:lvl>
    <w:lvl w:ilvl="6" w:tplc="0C09000F" w:tentative="1">
      <w:start w:val="1"/>
      <w:numFmt w:val="decimal"/>
      <w:lvlText w:val="%7."/>
      <w:lvlJc w:val="left"/>
      <w:pPr>
        <w:tabs>
          <w:tab w:val="num" w:pos="4799"/>
        </w:tabs>
        <w:ind w:left="4799" w:hanging="360"/>
      </w:pPr>
    </w:lvl>
    <w:lvl w:ilvl="7" w:tplc="0C090019" w:tentative="1">
      <w:start w:val="1"/>
      <w:numFmt w:val="lowerLetter"/>
      <w:lvlText w:val="%8."/>
      <w:lvlJc w:val="left"/>
      <w:pPr>
        <w:tabs>
          <w:tab w:val="num" w:pos="5519"/>
        </w:tabs>
        <w:ind w:left="5519" w:hanging="360"/>
      </w:pPr>
    </w:lvl>
    <w:lvl w:ilvl="8" w:tplc="0C09001B" w:tentative="1">
      <w:start w:val="1"/>
      <w:numFmt w:val="lowerRoman"/>
      <w:lvlText w:val="%9."/>
      <w:lvlJc w:val="right"/>
      <w:pPr>
        <w:tabs>
          <w:tab w:val="num" w:pos="6239"/>
        </w:tabs>
        <w:ind w:left="6239" w:hanging="180"/>
      </w:pPr>
    </w:lvl>
  </w:abstractNum>
  <w:abstractNum w:abstractNumId="32" w15:restartNumberingAfterBreak="0">
    <w:nsid w:val="7BD86D7F"/>
    <w:multiLevelType w:val="hybridMultilevel"/>
    <w:tmpl w:val="E0D4C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2"/>
  </w:num>
  <w:num w:numId="4">
    <w:abstractNumId w:val="16"/>
  </w:num>
  <w:num w:numId="5">
    <w:abstractNumId w:val="27"/>
  </w:num>
  <w:num w:numId="6">
    <w:abstractNumId w:val="26"/>
  </w:num>
  <w:num w:numId="7">
    <w:abstractNumId w:val="7"/>
  </w:num>
  <w:num w:numId="8">
    <w:abstractNumId w:val="13"/>
  </w:num>
  <w:num w:numId="9">
    <w:abstractNumId w:val="24"/>
  </w:num>
  <w:num w:numId="10">
    <w:abstractNumId w:val="32"/>
  </w:num>
  <w:num w:numId="11">
    <w:abstractNumId w:val="0"/>
  </w:num>
  <w:num w:numId="12">
    <w:abstractNumId w:val="3"/>
  </w:num>
  <w:num w:numId="13">
    <w:abstractNumId w:val="17"/>
  </w:num>
  <w:num w:numId="14">
    <w:abstractNumId w:val="31"/>
  </w:num>
  <w:num w:numId="15">
    <w:abstractNumId w:val="18"/>
  </w:num>
  <w:num w:numId="16">
    <w:abstractNumId w:val="20"/>
  </w:num>
  <w:num w:numId="17">
    <w:abstractNumId w:val="9"/>
  </w:num>
  <w:num w:numId="18">
    <w:abstractNumId w:val="14"/>
  </w:num>
  <w:num w:numId="19">
    <w:abstractNumId w:val="6"/>
  </w:num>
  <w:num w:numId="20">
    <w:abstractNumId w:val="28"/>
  </w:num>
  <w:num w:numId="21">
    <w:abstractNumId w:val="5"/>
  </w:num>
  <w:num w:numId="22">
    <w:abstractNumId w:val="8"/>
  </w:num>
  <w:num w:numId="23">
    <w:abstractNumId w:val="2"/>
  </w:num>
  <w:num w:numId="24">
    <w:abstractNumId w:val="11"/>
  </w:num>
  <w:num w:numId="25">
    <w:abstractNumId w:val="22"/>
  </w:num>
  <w:num w:numId="26">
    <w:abstractNumId w:val="4"/>
  </w:num>
  <w:num w:numId="27">
    <w:abstractNumId w:val="10"/>
  </w:num>
  <w:num w:numId="28">
    <w:abstractNumId w:val="30"/>
  </w:num>
  <w:num w:numId="29">
    <w:abstractNumId w:val="19"/>
  </w:num>
  <w:num w:numId="30">
    <w:abstractNumId w:val="15"/>
  </w:num>
  <w:num w:numId="31">
    <w:abstractNumId w:val="25"/>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8B"/>
    <w:rsid w:val="00000F0B"/>
    <w:rsid w:val="00001B8A"/>
    <w:rsid w:val="0000290B"/>
    <w:rsid w:val="0000419C"/>
    <w:rsid w:val="00005195"/>
    <w:rsid w:val="00005835"/>
    <w:rsid w:val="00014EEF"/>
    <w:rsid w:val="00020074"/>
    <w:rsid w:val="00023943"/>
    <w:rsid w:val="00023F28"/>
    <w:rsid w:val="000246EB"/>
    <w:rsid w:val="00030EDA"/>
    <w:rsid w:val="00032BAD"/>
    <w:rsid w:val="00033073"/>
    <w:rsid w:val="00035AF8"/>
    <w:rsid w:val="00036504"/>
    <w:rsid w:val="000369FB"/>
    <w:rsid w:val="000378F8"/>
    <w:rsid w:val="00042885"/>
    <w:rsid w:val="0004664A"/>
    <w:rsid w:val="00047D04"/>
    <w:rsid w:val="00052010"/>
    <w:rsid w:val="000520B5"/>
    <w:rsid w:val="00052A46"/>
    <w:rsid w:val="00053E09"/>
    <w:rsid w:val="00054B6D"/>
    <w:rsid w:val="000565BE"/>
    <w:rsid w:val="00057C03"/>
    <w:rsid w:val="00060B6B"/>
    <w:rsid w:val="00063E87"/>
    <w:rsid w:val="00065384"/>
    <w:rsid w:val="00066969"/>
    <w:rsid w:val="00070F6F"/>
    <w:rsid w:val="00071615"/>
    <w:rsid w:val="0007180E"/>
    <w:rsid w:val="00073E2E"/>
    <w:rsid w:val="000743D5"/>
    <w:rsid w:val="000743F7"/>
    <w:rsid w:val="00074CF6"/>
    <w:rsid w:val="00075067"/>
    <w:rsid w:val="0008067D"/>
    <w:rsid w:val="000809FA"/>
    <w:rsid w:val="00083E29"/>
    <w:rsid w:val="00083F29"/>
    <w:rsid w:val="00084275"/>
    <w:rsid w:val="00092115"/>
    <w:rsid w:val="00092DDF"/>
    <w:rsid w:val="00093275"/>
    <w:rsid w:val="000A0219"/>
    <w:rsid w:val="000A0BA4"/>
    <w:rsid w:val="000A1409"/>
    <w:rsid w:val="000A6A14"/>
    <w:rsid w:val="000A6C1B"/>
    <w:rsid w:val="000B06AB"/>
    <w:rsid w:val="000B0B2F"/>
    <w:rsid w:val="000B1548"/>
    <w:rsid w:val="000B40B1"/>
    <w:rsid w:val="000B425F"/>
    <w:rsid w:val="000B4C51"/>
    <w:rsid w:val="000B4D24"/>
    <w:rsid w:val="000B6535"/>
    <w:rsid w:val="000C1352"/>
    <w:rsid w:val="000C3993"/>
    <w:rsid w:val="000C4450"/>
    <w:rsid w:val="000C644F"/>
    <w:rsid w:val="000C779E"/>
    <w:rsid w:val="000C7D5E"/>
    <w:rsid w:val="000D0001"/>
    <w:rsid w:val="000D0E5C"/>
    <w:rsid w:val="000D4422"/>
    <w:rsid w:val="000D454C"/>
    <w:rsid w:val="000E2AF6"/>
    <w:rsid w:val="000E2C5B"/>
    <w:rsid w:val="000E6591"/>
    <w:rsid w:val="000E6EF9"/>
    <w:rsid w:val="000E7FDE"/>
    <w:rsid w:val="000F69EE"/>
    <w:rsid w:val="001012A0"/>
    <w:rsid w:val="00103DD3"/>
    <w:rsid w:val="00104038"/>
    <w:rsid w:val="0010591C"/>
    <w:rsid w:val="00107A26"/>
    <w:rsid w:val="00114CC1"/>
    <w:rsid w:val="00120404"/>
    <w:rsid w:val="00120EA3"/>
    <w:rsid w:val="00122920"/>
    <w:rsid w:val="001237C1"/>
    <w:rsid w:val="001239C6"/>
    <w:rsid w:val="00131407"/>
    <w:rsid w:val="00134273"/>
    <w:rsid w:val="00137E12"/>
    <w:rsid w:val="0014144A"/>
    <w:rsid w:val="00141617"/>
    <w:rsid w:val="00141F06"/>
    <w:rsid w:val="001429EB"/>
    <w:rsid w:val="00147A85"/>
    <w:rsid w:val="00152A10"/>
    <w:rsid w:val="00152C6E"/>
    <w:rsid w:val="001535F3"/>
    <w:rsid w:val="00154AD4"/>
    <w:rsid w:val="00155183"/>
    <w:rsid w:val="00166738"/>
    <w:rsid w:val="001705F8"/>
    <w:rsid w:val="00171560"/>
    <w:rsid w:val="00172138"/>
    <w:rsid w:val="00180D23"/>
    <w:rsid w:val="00182A72"/>
    <w:rsid w:val="00183477"/>
    <w:rsid w:val="00184295"/>
    <w:rsid w:val="00185781"/>
    <w:rsid w:val="00192CF9"/>
    <w:rsid w:val="00194378"/>
    <w:rsid w:val="00196FBD"/>
    <w:rsid w:val="00197441"/>
    <w:rsid w:val="001A0BB1"/>
    <w:rsid w:val="001A0F9E"/>
    <w:rsid w:val="001A220F"/>
    <w:rsid w:val="001A4422"/>
    <w:rsid w:val="001A4580"/>
    <w:rsid w:val="001A6B51"/>
    <w:rsid w:val="001A76F4"/>
    <w:rsid w:val="001B3051"/>
    <w:rsid w:val="001B447D"/>
    <w:rsid w:val="001B547A"/>
    <w:rsid w:val="001B6BD0"/>
    <w:rsid w:val="001C0133"/>
    <w:rsid w:val="001C39C2"/>
    <w:rsid w:val="001C7B33"/>
    <w:rsid w:val="001D0347"/>
    <w:rsid w:val="001D390F"/>
    <w:rsid w:val="001E065C"/>
    <w:rsid w:val="001E206B"/>
    <w:rsid w:val="001E2EC5"/>
    <w:rsid w:val="001E44CA"/>
    <w:rsid w:val="001E7E19"/>
    <w:rsid w:val="001F18FA"/>
    <w:rsid w:val="001F1C7F"/>
    <w:rsid w:val="001F2779"/>
    <w:rsid w:val="001F376F"/>
    <w:rsid w:val="001F4781"/>
    <w:rsid w:val="001F4EF2"/>
    <w:rsid w:val="0020067D"/>
    <w:rsid w:val="00202A0B"/>
    <w:rsid w:val="0020392B"/>
    <w:rsid w:val="0021090D"/>
    <w:rsid w:val="00211F0F"/>
    <w:rsid w:val="00211FEA"/>
    <w:rsid w:val="00213449"/>
    <w:rsid w:val="00214C44"/>
    <w:rsid w:val="00215E2F"/>
    <w:rsid w:val="002233E9"/>
    <w:rsid w:val="002267C3"/>
    <w:rsid w:val="00232398"/>
    <w:rsid w:val="00232BB3"/>
    <w:rsid w:val="00233349"/>
    <w:rsid w:val="0024055A"/>
    <w:rsid w:val="002414F8"/>
    <w:rsid w:val="00242836"/>
    <w:rsid w:val="002428C7"/>
    <w:rsid w:val="00242CAC"/>
    <w:rsid w:val="00243283"/>
    <w:rsid w:val="00246A37"/>
    <w:rsid w:val="0024778C"/>
    <w:rsid w:val="002505DB"/>
    <w:rsid w:val="00252F0C"/>
    <w:rsid w:val="00254466"/>
    <w:rsid w:val="00255E41"/>
    <w:rsid w:val="0025679D"/>
    <w:rsid w:val="00256B90"/>
    <w:rsid w:val="0026604F"/>
    <w:rsid w:val="00267905"/>
    <w:rsid w:val="00271CAB"/>
    <w:rsid w:val="00273CC9"/>
    <w:rsid w:val="00277710"/>
    <w:rsid w:val="00282AC8"/>
    <w:rsid w:val="002830B9"/>
    <w:rsid w:val="002845E0"/>
    <w:rsid w:val="00291E15"/>
    <w:rsid w:val="00293853"/>
    <w:rsid w:val="002943B4"/>
    <w:rsid w:val="00295DEF"/>
    <w:rsid w:val="00297182"/>
    <w:rsid w:val="00297B61"/>
    <w:rsid w:val="002A08F9"/>
    <w:rsid w:val="002A0AB2"/>
    <w:rsid w:val="002A4CCF"/>
    <w:rsid w:val="002A7B75"/>
    <w:rsid w:val="002B2B7F"/>
    <w:rsid w:val="002B3642"/>
    <w:rsid w:val="002B56CC"/>
    <w:rsid w:val="002B73F3"/>
    <w:rsid w:val="002B76BB"/>
    <w:rsid w:val="002C1C55"/>
    <w:rsid w:val="002C2D90"/>
    <w:rsid w:val="002D3F6A"/>
    <w:rsid w:val="002D5530"/>
    <w:rsid w:val="002E11A0"/>
    <w:rsid w:val="002E51C2"/>
    <w:rsid w:val="002E5335"/>
    <w:rsid w:val="002E6FAC"/>
    <w:rsid w:val="002F0146"/>
    <w:rsid w:val="002F13F8"/>
    <w:rsid w:val="002F1F32"/>
    <w:rsid w:val="002F296B"/>
    <w:rsid w:val="002F2EB2"/>
    <w:rsid w:val="002F5FD4"/>
    <w:rsid w:val="002F7CF1"/>
    <w:rsid w:val="0030037D"/>
    <w:rsid w:val="00302DAF"/>
    <w:rsid w:val="003038CE"/>
    <w:rsid w:val="003060EC"/>
    <w:rsid w:val="0030621F"/>
    <w:rsid w:val="00306803"/>
    <w:rsid w:val="00310331"/>
    <w:rsid w:val="003123D5"/>
    <w:rsid w:val="00313082"/>
    <w:rsid w:val="003146BF"/>
    <w:rsid w:val="00316DEA"/>
    <w:rsid w:val="00321598"/>
    <w:rsid w:val="00321A00"/>
    <w:rsid w:val="00321C8A"/>
    <w:rsid w:val="003226C8"/>
    <w:rsid w:val="0032323D"/>
    <w:rsid w:val="003272BE"/>
    <w:rsid w:val="00327E1F"/>
    <w:rsid w:val="00332DC8"/>
    <w:rsid w:val="00346DAE"/>
    <w:rsid w:val="00352435"/>
    <w:rsid w:val="00354507"/>
    <w:rsid w:val="003546D4"/>
    <w:rsid w:val="003560A8"/>
    <w:rsid w:val="003569F0"/>
    <w:rsid w:val="003614F2"/>
    <w:rsid w:val="00362BFD"/>
    <w:rsid w:val="00370125"/>
    <w:rsid w:val="00372AF5"/>
    <w:rsid w:val="003756FC"/>
    <w:rsid w:val="0038241F"/>
    <w:rsid w:val="00383B57"/>
    <w:rsid w:val="00384EB7"/>
    <w:rsid w:val="003854B4"/>
    <w:rsid w:val="00387CC1"/>
    <w:rsid w:val="00393AD5"/>
    <w:rsid w:val="003951D3"/>
    <w:rsid w:val="00396C41"/>
    <w:rsid w:val="003A07D0"/>
    <w:rsid w:val="003A149E"/>
    <w:rsid w:val="003A41AD"/>
    <w:rsid w:val="003A473F"/>
    <w:rsid w:val="003A55D5"/>
    <w:rsid w:val="003A588A"/>
    <w:rsid w:val="003A6031"/>
    <w:rsid w:val="003A6EC4"/>
    <w:rsid w:val="003B1F51"/>
    <w:rsid w:val="003B2189"/>
    <w:rsid w:val="003B46CF"/>
    <w:rsid w:val="003B4BA1"/>
    <w:rsid w:val="003B779F"/>
    <w:rsid w:val="003C0B84"/>
    <w:rsid w:val="003C103A"/>
    <w:rsid w:val="003C1E94"/>
    <w:rsid w:val="003C40D8"/>
    <w:rsid w:val="003C5E38"/>
    <w:rsid w:val="003D22B1"/>
    <w:rsid w:val="003D2A6A"/>
    <w:rsid w:val="003D310F"/>
    <w:rsid w:val="003D4DE0"/>
    <w:rsid w:val="003D6DD7"/>
    <w:rsid w:val="003D73D0"/>
    <w:rsid w:val="003D7925"/>
    <w:rsid w:val="003E09F5"/>
    <w:rsid w:val="003E2092"/>
    <w:rsid w:val="003E6128"/>
    <w:rsid w:val="003F2C81"/>
    <w:rsid w:val="003F3D65"/>
    <w:rsid w:val="003F4D7C"/>
    <w:rsid w:val="003F56AE"/>
    <w:rsid w:val="003F5E8B"/>
    <w:rsid w:val="003F72C5"/>
    <w:rsid w:val="00401FE3"/>
    <w:rsid w:val="004022FA"/>
    <w:rsid w:val="00403A61"/>
    <w:rsid w:val="0040714C"/>
    <w:rsid w:val="00410ABA"/>
    <w:rsid w:val="0041191E"/>
    <w:rsid w:val="00411D90"/>
    <w:rsid w:val="00412716"/>
    <w:rsid w:val="00413272"/>
    <w:rsid w:val="00416D06"/>
    <w:rsid w:val="004178C6"/>
    <w:rsid w:val="004235F0"/>
    <w:rsid w:val="00424576"/>
    <w:rsid w:val="0042458C"/>
    <w:rsid w:val="004265BC"/>
    <w:rsid w:val="004309E6"/>
    <w:rsid w:val="00430C86"/>
    <w:rsid w:val="0043230B"/>
    <w:rsid w:val="00433242"/>
    <w:rsid w:val="004369C2"/>
    <w:rsid w:val="0043774B"/>
    <w:rsid w:val="00437DF6"/>
    <w:rsid w:val="00437FE5"/>
    <w:rsid w:val="00440993"/>
    <w:rsid w:val="004424EA"/>
    <w:rsid w:val="0044417E"/>
    <w:rsid w:val="0044440C"/>
    <w:rsid w:val="004451CA"/>
    <w:rsid w:val="00445C2D"/>
    <w:rsid w:val="00447C18"/>
    <w:rsid w:val="00454F18"/>
    <w:rsid w:val="0045538C"/>
    <w:rsid w:val="00456392"/>
    <w:rsid w:val="004568E9"/>
    <w:rsid w:val="00460EAC"/>
    <w:rsid w:val="004610E5"/>
    <w:rsid w:val="004624C4"/>
    <w:rsid w:val="00464883"/>
    <w:rsid w:val="004652D3"/>
    <w:rsid w:val="00466F61"/>
    <w:rsid w:val="004700BD"/>
    <w:rsid w:val="00470336"/>
    <w:rsid w:val="004707C1"/>
    <w:rsid w:val="00470B4F"/>
    <w:rsid w:val="00471CF0"/>
    <w:rsid w:val="004722B3"/>
    <w:rsid w:val="004731C7"/>
    <w:rsid w:val="0047337D"/>
    <w:rsid w:val="00474C8A"/>
    <w:rsid w:val="00474E80"/>
    <w:rsid w:val="00474F3A"/>
    <w:rsid w:val="004761BB"/>
    <w:rsid w:val="00476972"/>
    <w:rsid w:val="00480490"/>
    <w:rsid w:val="00481E3B"/>
    <w:rsid w:val="00483B14"/>
    <w:rsid w:val="004859A5"/>
    <w:rsid w:val="00490C46"/>
    <w:rsid w:val="00491A7F"/>
    <w:rsid w:val="00493F4B"/>
    <w:rsid w:val="00496DB9"/>
    <w:rsid w:val="004A01D9"/>
    <w:rsid w:val="004A508E"/>
    <w:rsid w:val="004A51FB"/>
    <w:rsid w:val="004B08C6"/>
    <w:rsid w:val="004B550F"/>
    <w:rsid w:val="004B72A2"/>
    <w:rsid w:val="004B7FF0"/>
    <w:rsid w:val="004C0BA2"/>
    <w:rsid w:val="004C13E7"/>
    <w:rsid w:val="004C1E3F"/>
    <w:rsid w:val="004C32A2"/>
    <w:rsid w:val="004C3891"/>
    <w:rsid w:val="004C4E7F"/>
    <w:rsid w:val="004C5668"/>
    <w:rsid w:val="004C6987"/>
    <w:rsid w:val="004C739E"/>
    <w:rsid w:val="004D212C"/>
    <w:rsid w:val="004D21BC"/>
    <w:rsid w:val="004D6512"/>
    <w:rsid w:val="004E1BB0"/>
    <w:rsid w:val="004E202F"/>
    <w:rsid w:val="004E413A"/>
    <w:rsid w:val="004E65EA"/>
    <w:rsid w:val="004E66C9"/>
    <w:rsid w:val="004F2D18"/>
    <w:rsid w:val="004F3BB5"/>
    <w:rsid w:val="0050169F"/>
    <w:rsid w:val="005047F3"/>
    <w:rsid w:val="005108FF"/>
    <w:rsid w:val="00511CFF"/>
    <w:rsid w:val="005143B7"/>
    <w:rsid w:val="005170F5"/>
    <w:rsid w:val="00517E50"/>
    <w:rsid w:val="005203DF"/>
    <w:rsid w:val="005212CC"/>
    <w:rsid w:val="005235BB"/>
    <w:rsid w:val="005243EF"/>
    <w:rsid w:val="0052581B"/>
    <w:rsid w:val="00527E54"/>
    <w:rsid w:val="005309CF"/>
    <w:rsid w:val="005317B6"/>
    <w:rsid w:val="0053763C"/>
    <w:rsid w:val="00541712"/>
    <w:rsid w:val="00541769"/>
    <w:rsid w:val="00542E7B"/>
    <w:rsid w:val="00545EC4"/>
    <w:rsid w:val="00546C90"/>
    <w:rsid w:val="00551ADE"/>
    <w:rsid w:val="00553AE3"/>
    <w:rsid w:val="00557DE1"/>
    <w:rsid w:val="00563A57"/>
    <w:rsid w:val="00563C74"/>
    <w:rsid w:val="00564E21"/>
    <w:rsid w:val="00571894"/>
    <w:rsid w:val="00573794"/>
    <w:rsid w:val="00576A8C"/>
    <w:rsid w:val="0058478B"/>
    <w:rsid w:val="00584A98"/>
    <w:rsid w:val="00585766"/>
    <w:rsid w:val="0059076A"/>
    <w:rsid w:val="0059222C"/>
    <w:rsid w:val="00592356"/>
    <w:rsid w:val="005925AF"/>
    <w:rsid w:val="005927EB"/>
    <w:rsid w:val="0059629D"/>
    <w:rsid w:val="00596AD4"/>
    <w:rsid w:val="005A28A4"/>
    <w:rsid w:val="005B05B6"/>
    <w:rsid w:val="005B25F1"/>
    <w:rsid w:val="005B279C"/>
    <w:rsid w:val="005B4FCC"/>
    <w:rsid w:val="005B61FB"/>
    <w:rsid w:val="005B7681"/>
    <w:rsid w:val="005C3849"/>
    <w:rsid w:val="005C4ADA"/>
    <w:rsid w:val="005C65F4"/>
    <w:rsid w:val="005C672C"/>
    <w:rsid w:val="005C770E"/>
    <w:rsid w:val="005D0C02"/>
    <w:rsid w:val="005D1C5D"/>
    <w:rsid w:val="005D2518"/>
    <w:rsid w:val="005D60E4"/>
    <w:rsid w:val="005D6385"/>
    <w:rsid w:val="005D6437"/>
    <w:rsid w:val="005D680B"/>
    <w:rsid w:val="005E0B19"/>
    <w:rsid w:val="005E0DAA"/>
    <w:rsid w:val="005E1B53"/>
    <w:rsid w:val="005E33BD"/>
    <w:rsid w:val="005E46E6"/>
    <w:rsid w:val="005E69D1"/>
    <w:rsid w:val="005E6D19"/>
    <w:rsid w:val="005E77E6"/>
    <w:rsid w:val="005E77F1"/>
    <w:rsid w:val="005F1341"/>
    <w:rsid w:val="005F24F4"/>
    <w:rsid w:val="005F2603"/>
    <w:rsid w:val="005F2C53"/>
    <w:rsid w:val="00600F36"/>
    <w:rsid w:val="00603EFB"/>
    <w:rsid w:val="00605F80"/>
    <w:rsid w:val="0060736C"/>
    <w:rsid w:val="006079E3"/>
    <w:rsid w:val="0061021A"/>
    <w:rsid w:val="006153E2"/>
    <w:rsid w:val="006214B1"/>
    <w:rsid w:val="00627F15"/>
    <w:rsid w:val="00633FF7"/>
    <w:rsid w:val="00636E36"/>
    <w:rsid w:val="006400D7"/>
    <w:rsid w:val="00641FD1"/>
    <w:rsid w:val="00642380"/>
    <w:rsid w:val="006429D8"/>
    <w:rsid w:val="00643133"/>
    <w:rsid w:val="00643B2D"/>
    <w:rsid w:val="00646693"/>
    <w:rsid w:val="00647097"/>
    <w:rsid w:val="006535A3"/>
    <w:rsid w:val="00654C59"/>
    <w:rsid w:val="006551EA"/>
    <w:rsid w:val="00655DE5"/>
    <w:rsid w:val="00656BB6"/>
    <w:rsid w:val="006575A1"/>
    <w:rsid w:val="006609D1"/>
    <w:rsid w:val="00660B6A"/>
    <w:rsid w:val="00660BC0"/>
    <w:rsid w:val="006617A6"/>
    <w:rsid w:val="006646E4"/>
    <w:rsid w:val="00664EA6"/>
    <w:rsid w:val="00665C46"/>
    <w:rsid w:val="00667D8B"/>
    <w:rsid w:val="00670041"/>
    <w:rsid w:val="0067105A"/>
    <w:rsid w:val="006744A3"/>
    <w:rsid w:val="00674F02"/>
    <w:rsid w:val="00675DDA"/>
    <w:rsid w:val="006806C0"/>
    <w:rsid w:val="0068487D"/>
    <w:rsid w:val="00684CBA"/>
    <w:rsid w:val="00685B53"/>
    <w:rsid w:val="006901FD"/>
    <w:rsid w:val="006907AD"/>
    <w:rsid w:val="006924CD"/>
    <w:rsid w:val="006927EC"/>
    <w:rsid w:val="006946F3"/>
    <w:rsid w:val="00694AA9"/>
    <w:rsid w:val="006954D3"/>
    <w:rsid w:val="006A03DB"/>
    <w:rsid w:val="006A09DA"/>
    <w:rsid w:val="006A10AE"/>
    <w:rsid w:val="006A746A"/>
    <w:rsid w:val="006A7D92"/>
    <w:rsid w:val="006B10E2"/>
    <w:rsid w:val="006B4033"/>
    <w:rsid w:val="006B4B7E"/>
    <w:rsid w:val="006B553D"/>
    <w:rsid w:val="006B7868"/>
    <w:rsid w:val="006C03B4"/>
    <w:rsid w:val="006C3252"/>
    <w:rsid w:val="006C58E3"/>
    <w:rsid w:val="006C7B8D"/>
    <w:rsid w:val="006C7EC7"/>
    <w:rsid w:val="006D082E"/>
    <w:rsid w:val="006D0AED"/>
    <w:rsid w:val="006D1F9E"/>
    <w:rsid w:val="006D39C2"/>
    <w:rsid w:val="006D46E2"/>
    <w:rsid w:val="006D4AA5"/>
    <w:rsid w:val="006E1008"/>
    <w:rsid w:val="006E1945"/>
    <w:rsid w:val="006E5997"/>
    <w:rsid w:val="006F087C"/>
    <w:rsid w:val="006F0A52"/>
    <w:rsid w:val="006F6DA9"/>
    <w:rsid w:val="006F7262"/>
    <w:rsid w:val="0070661C"/>
    <w:rsid w:val="00706A2E"/>
    <w:rsid w:val="00707FB6"/>
    <w:rsid w:val="007130C3"/>
    <w:rsid w:val="00713FE6"/>
    <w:rsid w:val="007203CB"/>
    <w:rsid w:val="00720BD3"/>
    <w:rsid w:val="00721BF0"/>
    <w:rsid w:val="00723180"/>
    <w:rsid w:val="00724973"/>
    <w:rsid w:val="007268CF"/>
    <w:rsid w:val="00727894"/>
    <w:rsid w:val="00730CBD"/>
    <w:rsid w:val="007343D9"/>
    <w:rsid w:val="00735CF0"/>
    <w:rsid w:val="00737976"/>
    <w:rsid w:val="00737C02"/>
    <w:rsid w:val="00737CE9"/>
    <w:rsid w:val="00743733"/>
    <w:rsid w:val="00747360"/>
    <w:rsid w:val="00750F29"/>
    <w:rsid w:val="00751041"/>
    <w:rsid w:val="00753422"/>
    <w:rsid w:val="00753BFC"/>
    <w:rsid w:val="007548B4"/>
    <w:rsid w:val="007563AE"/>
    <w:rsid w:val="00756B27"/>
    <w:rsid w:val="007626DA"/>
    <w:rsid w:val="00762972"/>
    <w:rsid w:val="00763E11"/>
    <w:rsid w:val="00765E19"/>
    <w:rsid w:val="00765E7F"/>
    <w:rsid w:val="00766D1F"/>
    <w:rsid w:val="00767724"/>
    <w:rsid w:val="00770185"/>
    <w:rsid w:val="007701F7"/>
    <w:rsid w:val="00772152"/>
    <w:rsid w:val="00773CAA"/>
    <w:rsid w:val="0077469D"/>
    <w:rsid w:val="00774DB8"/>
    <w:rsid w:val="007802C0"/>
    <w:rsid w:val="00784C8C"/>
    <w:rsid w:val="00785544"/>
    <w:rsid w:val="00790B08"/>
    <w:rsid w:val="007911CD"/>
    <w:rsid w:val="00791880"/>
    <w:rsid w:val="00794623"/>
    <w:rsid w:val="00795DC2"/>
    <w:rsid w:val="00796887"/>
    <w:rsid w:val="007A0274"/>
    <w:rsid w:val="007A33C7"/>
    <w:rsid w:val="007B1A70"/>
    <w:rsid w:val="007B204D"/>
    <w:rsid w:val="007B3271"/>
    <w:rsid w:val="007B3446"/>
    <w:rsid w:val="007B4540"/>
    <w:rsid w:val="007B5CE7"/>
    <w:rsid w:val="007B6690"/>
    <w:rsid w:val="007B6943"/>
    <w:rsid w:val="007B695B"/>
    <w:rsid w:val="007C3A19"/>
    <w:rsid w:val="007C3FCF"/>
    <w:rsid w:val="007C7693"/>
    <w:rsid w:val="007D28FF"/>
    <w:rsid w:val="007D3E8D"/>
    <w:rsid w:val="007D4918"/>
    <w:rsid w:val="007D6626"/>
    <w:rsid w:val="007D67D2"/>
    <w:rsid w:val="007D687C"/>
    <w:rsid w:val="007D7E62"/>
    <w:rsid w:val="007E45D6"/>
    <w:rsid w:val="007E7CCC"/>
    <w:rsid w:val="007F18B1"/>
    <w:rsid w:val="007F1B9F"/>
    <w:rsid w:val="007F2E65"/>
    <w:rsid w:val="00801977"/>
    <w:rsid w:val="0080464D"/>
    <w:rsid w:val="008079F4"/>
    <w:rsid w:val="008115FD"/>
    <w:rsid w:val="0081360F"/>
    <w:rsid w:val="00815EC2"/>
    <w:rsid w:val="00821EDC"/>
    <w:rsid w:val="008265E8"/>
    <w:rsid w:val="00836C8B"/>
    <w:rsid w:val="00837049"/>
    <w:rsid w:val="0083719A"/>
    <w:rsid w:val="00837A08"/>
    <w:rsid w:val="008431FA"/>
    <w:rsid w:val="00846442"/>
    <w:rsid w:val="00851659"/>
    <w:rsid w:val="00852C13"/>
    <w:rsid w:val="0085322E"/>
    <w:rsid w:val="00853D3D"/>
    <w:rsid w:val="008541A5"/>
    <w:rsid w:val="00855A0E"/>
    <w:rsid w:val="00855E2B"/>
    <w:rsid w:val="0085604D"/>
    <w:rsid w:val="008567B8"/>
    <w:rsid w:val="00860CE4"/>
    <w:rsid w:val="0086350C"/>
    <w:rsid w:val="00863F55"/>
    <w:rsid w:val="00864387"/>
    <w:rsid w:val="008703F0"/>
    <w:rsid w:val="008730CC"/>
    <w:rsid w:val="00874DFB"/>
    <w:rsid w:val="00876702"/>
    <w:rsid w:val="00876726"/>
    <w:rsid w:val="00880D02"/>
    <w:rsid w:val="008819A7"/>
    <w:rsid w:val="00882C6F"/>
    <w:rsid w:val="008832AD"/>
    <w:rsid w:val="00883D73"/>
    <w:rsid w:val="008859C8"/>
    <w:rsid w:val="00886758"/>
    <w:rsid w:val="00886FAB"/>
    <w:rsid w:val="00890176"/>
    <w:rsid w:val="008922C6"/>
    <w:rsid w:val="008932C0"/>
    <w:rsid w:val="00893A09"/>
    <w:rsid w:val="00893EC3"/>
    <w:rsid w:val="00894435"/>
    <w:rsid w:val="00895E54"/>
    <w:rsid w:val="008965DF"/>
    <w:rsid w:val="0089764E"/>
    <w:rsid w:val="008A1131"/>
    <w:rsid w:val="008A1F15"/>
    <w:rsid w:val="008A3303"/>
    <w:rsid w:val="008A5777"/>
    <w:rsid w:val="008A69FF"/>
    <w:rsid w:val="008B06B3"/>
    <w:rsid w:val="008B647A"/>
    <w:rsid w:val="008B7335"/>
    <w:rsid w:val="008B77F8"/>
    <w:rsid w:val="008C090D"/>
    <w:rsid w:val="008C1D77"/>
    <w:rsid w:val="008C3659"/>
    <w:rsid w:val="008C36E4"/>
    <w:rsid w:val="008C44AC"/>
    <w:rsid w:val="008C5DD1"/>
    <w:rsid w:val="008C6AF3"/>
    <w:rsid w:val="008D096D"/>
    <w:rsid w:val="008D0BAC"/>
    <w:rsid w:val="008D31F3"/>
    <w:rsid w:val="008D3562"/>
    <w:rsid w:val="008D37A9"/>
    <w:rsid w:val="008D5777"/>
    <w:rsid w:val="008E0C85"/>
    <w:rsid w:val="008E0ED4"/>
    <w:rsid w:val="008E19B9"/>
    <w:rsid w:val="008E7170"/>
    <w:rsid w:val="008F0CBA"/>
    <w:rsid w:val="008F1208"/>
    <w:rsid w:val="008F1453"/>
    <w:rsid w:val="008F1FF1"/>
    <w:rsid w:val="008F27E3"/>
    <w:rsid w:val="008F2F37"/>
    <w:rsid w:val="008F2FC1"/>
    <w:rsid w:val="008F546D"/>
    <w:rsid w:val="008F5ADF"/>
    <w:rsid w:val="008F7286"/>
    <w:rsid w:val="008F78A9"/>
    <w:rsid w:val="00900115"/>
    <w:rsid w:val="00900277"/>
    <w:rsid w:val="009017E2"/>
    <w:rsid w:val="00902A66"/>
    <w:rsid w:val="00903A78"/>
    <w:rsid w:val="009071ED"/>
    <w:rsid w:val="00911804"/>
    <w:rsid w:val="00911C52"/>
    <w:rsid w:val="00912CDA"/>
    <w:rsid w:val="00915BD1"/>
    <w:rsid w:val="00920C00"/>
    <w:rsid w:val="0092298A"/>
    <w:rsid w:val="00923242"/>
    <w:rsid w:val="009260EA"/>
    <w:rsid w:val="009263B7"/>
    <w:rsid w:val="00926906"/>
    <w:rsid w:val="009300CB"/>
    <w:rsid w:val="00930402"/>
    <w:rsid w:val="0093165D"/>
    <w:rsid w:val="00942ED5"/>
    <w:rsid w:val="00943EF1"/>
    <w:rsid w:val="00947EA3"/>
    <w:rsid w:val="0095745D"/>
    <w:rsid w:val="00960596"/>
    <w:rsid w:val="00961747"/>
    <w:rsid w:val="00961CA9"/>
    <w:rsid w:val="00962A3B"/>
    <w:rsid w:val="00970580"/>
    <w:rsid w:val="009727C4"/>
    <w:rsid w:val="009749D0"/>
    <w:rsid w:val="00983684"/>
    <w:rsid w:val="00984AAB"/>
    <w:rsid w:val="00986132"/>
    <w:rsid w:val="00986409"/>
    <w:rsid w:val="00990064"/>
    <w:rsid w:val="009941B8"/>
    <w:rsid w:val="009942E8"/>
    <w:rsid w:val="00997063"/>
    <w:rsid w:val="009A1D91"/>
    <w:rsid w:val="009A49DE"/>
    <w:rsid w:val="009A64E5"/>
    <w:rsid w:val="009B0531"/>
    <w:rsid w:val="009B40B8"/>
    <w:rsid w:val="009C1D8C"/>
    <w:rsid w:val="009C61EB"/>
    <w:rsid w:val="009C647E"/>
    <w:rsid w:val="009C67DD"/>
    <w:rsid w:val="009C73EA"/>
    <w:rsid w:val="009D2D9C"/>
    <w:rsid w:val="009D3BF9"/>
    <w:rsid w:val="009D4FC4"/>
    <w:rsid w:val="009D7FF6"/>
    <w:rsid w:val="009E11D4"/>
    <w:rsid w:val="009E4C30"/>
    <w:rsid w:val="009E7E69"/>
    <w:rsid w:val="009F11C2"/>
    <w:rsid w:val="009F128F"/>
    <w:rsid w:val="009F2050"/>
    <w:rsid w:val="009F2155"/>
    <w:rsid w:val="009F448E"/>
    <w:rsid w:val="009F4A17"/>
    <w:rsid w:val="009F4C9A"/>
    <w:rsid w:val="009F6581"/>
    <w:rsid w:val="009F65B4"/>
    <w:rsid w:val="00A000FC"/>
    <w:rsid w:val="00A0106B"/>
    <w:rsid w:val="00A031AE"/>
    <w:rsid w:val="00A03383"/>
    <w:rsid w:val="00A05A2C"/>
    <w:rsid w:val="00A0758D"/>
    <w:rsid w:val="00A10918"/>
    <w:rsid w:val="00A116CC"/>
    <w:rsid w:val="00A11F78"/>
    <w:rsid w:val="00A1368E"/>
    <w:rsid w:val="00A1400B"/>
    <w:rsid w:val="00A14BAA"/>
    <w:rsid w:val="00A14E8F"/>
    <w:rsid w:val="00A1656C"/>
    <w:rsid w:val="00A23D10"/>
    <w:rsid w:val="00A25721"/>
    <w:rsid w:val="00A26383"/>
    <w:rsid w:val="00A308F2"/>
    <w:rsid w:val="00A318B9"/>
    <w:rsid w:val="00A32594"/>
    <w:rsid w:val="00A33BE1"/>
    <w:rsid w:val="00A34471"/>
    <w:rsid w:val="00A34AF8"/>
    <w:rsid w:val="00A34BAC"/>
    <w:rsid w:val="00A4000C"/>
    <w:rsid w:val="00A4094D"/>
    <w:rsid w:val="00A426F0"/>
    <w:rsid w:val="00A44FD8"/>
    <w:rsid w:val="00A456EA"/>
    <w:rsid w:val="00A468C8"/>
    <w:rsid w:val="00A540D7"/>
    <w:rsid w:val="00A54A02"/>
    <w:rsid w:val="00A56249"/>
    <w:rsid w:val="00A572E9"/>
    <w:rsid w:val="00A60FD8"/>
    <w:rsid w:val="00A61E89"/>
    <w:rsid w:val="00A643BE"/>
    <w:rsid w:val="00A64B2D"/>
    <w:rsid w:val="00A65D62"/>
    <w:rsid w:val="00A7175B"/>
    <w:rsid w:val="00A76117"/>
    <w:rsid w:val="00A77156"/>
    <w:rsid w:val="00A77681"/>
    <w:rsid w:val="00A80F74"/>
    <w:rsid w:val="00A821F6"/>
    <w:rsid w:val="00A828F2"/>
    <w:rsid w:val="00A856AF"/>
    <w:rsid w:val="00A86F06"/>
    <w:rsid w:val="00A9159F"/>
    <w:rsid w:val="00A91B61"/>
    <w:rsid w:val="00A946CB"/>
    <w:rsid w:val="00A96DC0"/>
    <w:rsid w:val="00AA01CD"/>
    <w:rsid w:val="00AA0C2A"/>
    <w:rsid w:val="00AA2A96"/>
    <w:rsid w:val="00AA48CC"/>
    <w:rsid w:val="00AA7681"/>
    <w:rsid w:val="00AA7DE0"/>
    <w:rsid w:val="00AB279D"/>
    <w:rsid w:val="00AB352C"/>
    <w:rsid w:val="00AB5485"/>
    <w:rsid w:val="00AB7347"/>
    <w:rsid w:val="00AB7695"/>
    <w:rsid w:val="00AB7F03"/>
    <w:rsid w:val="00AC085D"/>
    <w:rsid w:val="00AC0B87"/>
    <w:rsid w:val="00AC1046"/>
    <w:rsid w:val="00AC476C"/>
    <w:rsid w:val="00AC5D20"/>
    <w:rsid w:val="00AC7F64"/>
    <w:rsid w:val="00AD176C"/>
    <w:rsid w:val="00AD2CBC"/>
    <w:rsid w:val="00AD2E29"/>
    <w:rsid w:val="00AD4271"/>
    <w:rsid w:val="00AD4FB3"/>
    <w:rsid w:val="00AD7327"/>
    <w:rsid w:val="00AE0A69"/>
    <w:rsid w:val="00AE0CCE"/>
    <w:rsid w:val="00AE2C52"/>
    <w:rsid w:val="00AE776C"/>
    <w:rsid w:val="00AF0FA0"/>
    <w:rsid w:val="00AF1019"/>
    <w:rsid w:val="00AF2E9A"/>
    <w:rsid w:val="00AF3364"/>
    <w:rsid w:val="00AF42AC"/>
    <w:rsid w:val="00AF5A54"/>
    <w:rsid w:val="00AF6DD9"/>
    <w:rsid w:val="00B0299B"/>
    <w:rsid w:val="00B0431B"/>
    <w:rsid w:val="00B05F99"/>
    <w:rsid w:val="00B108A7"/>
    <w:rsid w:val="00B15535"/>
    <w:rsid w:val="00B156C4"/>
    <w:rsid w:val="00B20E44"/>
    <w:rsid w:val="00B23D51"/>
    <w:rsid w:val="00B265DA"/>
    <w:rsid w:val="00B2685A"/>
    <w:rsid w:val="00B273CE"/>
    <w:rsid w:val="00B3113A"/>
    <w:rsid w:val="00B31188"/>
    <w:rsid w:val="00B3141E"/>
    <w:rsid w:val="00B33090"/>
    <w:rsid w:val="00B360E1"/>
    <w:rsid w:val="00B3720D"/>
    <w:rsid w:val="00B37719"/>
    <w:rsid w:val="00B40BB5"/>
    <w:rsid w:val="00B40C49"/>
    <w:rsid w:val="00B4507E"/>
    <w:rsid w:val="00B46B51"/>
    <w:rsid w:val="00B477FF"/>
    <w:rsid w:val="00B47A09"/>
    <w:rsid w:val="00B51715"/>
    <w:rsid w:val="00B52339"/>
    <w:rsid w:val="00B562C1"/>
    <w:rsid w:val="00B57406"/>
    <w:rsid w:val="00B7123D"/>
    <w:rsid w:val="00B71CB2"/>
    <w:rsid w:val="00B76F7C"/>
    <w:rsid w:val="00B77455"/>
    <w:rsid w:val="00B80E68"/>
    <w:rsid w:val="00B82982"/>
    <w:rsid w:val="00B859CD"/>
    <w:rsid w:val="00B85F45"/>
    <w:rsid w:val="00B87BB3"/>
    <w:rsid w:val="00B92D48"/>
    <w:rsid w:val="00B9335D"/>
    <w:rsid w:val="00BA0822"/>
    <w:rsid w:val="00BA0DA9"/>
    <w:rsid w:val="00BA3110"/>
    <w:rsid w:val="00BA4943"/>
    <w:rsid w:val="00BA5CF4"/>
    <w:rsid w:val="00BB0036"/>
    <w:rsid w:val="00BB5BE4"/>
    <w:rsid w:val="00BB61D3"/>
    <w:rsid w:val="00BC1125"/>
    <w:rsid w:val="00BD0290"/>
    <w:rsid w:val="00BD044B"/>
    <w:rsid w:val="00BD0B4C"/>
    <w:rsid w:val="00BD0CCE"/>
    <w:rsid w:val="00BD16FD"/>
    <w:rsid w:val="00BD1B7E"/>
    <w:rsid w:val="00BD3C60"/>
    <w:rsid w:val="00BD4366"/>
    <w:rsid w:val="00BD4530"/>
    <w:rsid w:val="00BD479A"/>
    <w:rsid w:val="00BD5A8F"/>
    <w:rsid w:val="00BE14A0"/>
    <w:rsid w:val="00BE1DB3"/>
    <w:rsid w:val="00BE288D"/>
    <w:rsid w:val="00BE5FCA"/>
    <w:rsid w:val="00BE6302"/>
    <w:rsid w:val="00BE7025"/>
    <w:rsid w:val="00BE729B"/>
    <w:rsid w:val="00BF20F0"/>
    <w:rsid w:val="00BF5C20"/>
    <w:rsid w:val="00BF5F03"/>
    <w:rsid w:val="00C01953"/>
    <w:rsid w:val="00C01E81"/>
    <w:rsid w:val="00C02CC3"/>
    <w:rsid w:val="00C02E46"/>
    <w:rsid w:val="00C0370B"/>
    <w:rsid w:val="00C03CFB"/>
    <w:rsid w:val="00C04643"/>
    <w:rsid w:val="00C04B4D"/>
    <w:rsid w:val="00C052D5"/>
    <w:rsid w:val="00C074F5"/>
    <w:rsid w:val="00C11057"/>
    <w:rsid w:val="00C13276"/>
    <w:rsid w:val="00C1413B"/>
    <w:rsid w:val="00C2048B"/>
    <w:rsid w:val="00C20B0F"/>
    <w:rsid w:val="00C2287C"/>
    <w:rsid w:val="00C2396E"/>
    <w:rsid w:val="00C23A42"/>
    <w:rsid w:val="00C23C75"/>
    <w:rsid w:val="00C266D0"/>
    <w:rsid w:val="00C31536"/>
    <w:rsid w:val="00C31B77"/>
    <w:rsid w:val="00C33044"/>
    <w:rsid w:val="00C37C60"/>
    <w:rsid w:val="00C37F02"/>
    <w:rsid w:val="00C435FC"/>
    <w:rsid w:val="00C47402"/>
    <w:rsid w:val="00C50623"/>
    <w:rsid w:val="00C50758"/>
    <w:rsid w:val="00C534EA"/>
    <w:rsid w:val="00C53AD2"/>
    <w:rsid w:val="00C53B9E"/>
    <w:rsid w:val="00C54D00"/>
    <w:rsid w:val="00C55091"/>
    <w:rsid w:val="00C6167B"/>
    <w:rsid w:val="00C620BD"/>
    <w:rsid w:val="00C643A0"/>
    <w:rsid w:val="00C671FB"/>
    <w:rsid w:val="00C67BD2"/>
    <w:rsid w:val="00C737A2"/>
    <w:rsid w:val="00C752D8"/>
    <w:rsid w:val="00C773D8"/>
    <w:rsid w:val="00C77A75"/>
    <w:rsid w:val="00C77BD8"/>
    <w:rsid w:val="00C81603"/>
    <w:rsid w:val="00C81AD9"/>
    <w:rsid w:val="00C87B13"/>
    <w:rsid w:val="00C919EC"/>
    <w:rsid w:val="00CA0BAE"/>
    <w:rsid w:val="00CA0EAB"/>
    <w:rsid w:val="00CA3285"/>
    <w:rsid w:val="00CA4868"/>
    <w:rsid w:val="00CA4C04"/>
    <w:rsid w:val="00CA7151"/>
    <w:rsid w:val="00CB0ACD"/>
    <w:rsid w:val="00CB1293"/>
    <w:rsid w:val="00CB6A83"/>
    <w:rsid w:val="00CB7DFD"/>
    <w:rsid w:val="00CC1BB3"/>
    <w:rsid w:val="00CC1BD7"/>
    <w:rsid w:val="00CC5F8F"/>
    <w:rsid w:val="00CC7811"/>
    <w:rsid w:val="00CC7837"/>
    <w:rsid w:val="00CD0ED8"/>
    <w:rsid w:val="00CD20D0"/>
    <w:rsid w:val="00CD7521"/>
    <w:rsid w:val="00CE73C8"/>
    <w:rsid w:val="00CF0000"/>
    <w:rsid w:val="00CF0465"/>
    <w:rsid w:val="00CF09FD"/>
    <w:rsid w:val="00CF0EC4"/>
    <w:rsid w:val="00CF3B99"/>
    <w:rsid w:val="00CF779A"/>
    <w:rsid w:val="00D01141"/>
    <w:rsid w:val="00D029AE"/>
    <w:rsid w:val="00D03AAA"/>
    <w:rsid w:val="00D05548"/>
    <w:rsid w:val="00D12EC7"/>
    <w:rsid w:val="00D138F0"/>
    <w:rsid w:val="00D153FC"/>
    <w:rsid w:val="00D15903"/>
    <w:rsid w:val="00D21FFA"/>
    <w:rsid w:val="00D22DA2"/>
    <w:rsid w:val="00D243A5"/>
    <w:rsid w:val="00D300AE"/>
    <w:rsid w:val="00D31E56"/>
    <w:rsid w:val="00D32F2F"/>
    <w:rsid w:val="00D32F6B"/>
    <w:rsid w:val="00D35664"/>
    <w:rsid w:val="00D363B0"/>
    <w:rsid w:val="00D374DF"/>
    <w:rsid w:val="00D41CD2"/>
    <w:rsid w:val="00D426FC"/>
    <w:rsid w:val="00D43081"/>
    <w:rsid w:val="00D46933"/>
    <w:rsid w:val="00D46C96"/>
    <w:rsid w:val="00D505D3"/>
    <w:rsid w:val="00D509D6"/>
    <w:rsid w:val="00D511A9"/>
    <w:rsid w:val="00D529CC"/>
    <w:rsid w:val="00D52EE2"/>
    <w:rsid w:val="00D535D0"/>
    <w:rsid w:val="00D579EC"/>
    <w:rsid w:val="00D62CD7"/>
    <w:rsid w:val="00D704F4"/>
    <w:rsid w:val="00D7185C"/>
    <w:rsid w:val="00D733B3"/>
    <w:rsid w:val="00D73963"/>
    <w:rsid w:val="00D7425F"/>
    <w:rsid w:val="00D7486A"/>
    <w:rsid w:val="00D75BC1"/>
    <w:rsid w:val="00D75FB3"/>
    <w:rsid w:val="00D80710"/>
    <w:rsid w:val="00D8382A"/>
    <w:rsid w:val="00D83F34"/>
    <w:rsid w:val="00D8570B"/>
    <w:rsid w:val="00D85AC5"/>
    <w:rsid w:val="00D8626E"/>
    <w:rsid w:val="00D86AF7"/>
    <w:rsid w:val="00D901C8"/>
    <w:rsid w:val="00D91180"/>
    <w:rsid w:val="00D926D8"/>
    <w:rsid w:val="00D9648E"/>
    <w:rsid w:val="00DA2B1B"/>
    <w:rsid w:val="00DA3D72"/>
    <w:rsid w:val="00DA489B"/>
    <w:rsid w:val="00DA4DEB"/>
    <w:rsid w:val="00DA56A8"/>
    <w:rsid w:val="00DA5DD1"/>
    <w:rsid w:val="00DA6385"/>
    <w:rsid w:val="00DB3FC6"/>
    <w:rsid w:val="00DB4146"/>
    <w:rsid w:val="00DB5C40"/>
    <w:rsid w:val="00DB7456"/>
    <w:rsid w:val="00DB7F8C"/>
    <w:rsid w:val="00DC21F4"/>
    <w:rsid w:val="00DC2EAD"/>
    <w:rsid w:val="00DC41AE"/>
    <w:rsid w:val="00DC4E39"/>
    <w:rsid w:val="00DC674C"/>
    <w:rsid w:val="00DC736E"/>
    <w:rsid w:val="00DD1135"/>
    <w:rsid w:val="00DD1E2F"/>
    <w:rsid w:val="00DD24F9"/>
    <w:rsid w:val="00DD5770"/>
    <w:rsid w:val="00DE0D4A"/>
    <w:rsid w:val="00DE0D78"/>
    <w:rsid w:val="00DE1461"/>
    <w:rsid w:val="00DE21BB"/>
    <w:rsid w:val="00DF2D10"/>
    <w:rsid w:val="00DF5100"/>
    <w:rsid w:val="00DF5236"/>
    <w:rsid w:val="00DF590B"/>
    <w:rsid w:val="00DF5D82"/>
    <w:rsid w:val="00E0080E"/>
    <w:rsid w:val="00E01A07"/>
    <w:rsid w:val="00E04ECA"/>
    <w:rsid w:val="00E04F4B"/>
    <w:rsid w:val="00E07B06"/>
    <w:rsid w:val="00E10AF2"/>
    <w:rsid w:val="00E10FAF"/>
    <w:rsid w:val="00E1186D"/>
    <w:rsid w:val="00E130CD"/>
    <w:rsid w:val="00E13AFA"/>
    <w:rsid w:val="00E20D0A"/>
    <w:rsid w:val="00E22F3C"/>
    <w:rsid w:val="00E23752"/>
    <w:rsid w:val="00E3278C"/>
    <w:rsid w:val="00E33533"/>
    <w:rsid w:val="00E350EB"/>
    <w:rsid w:val="00E37822"/>
    <w:rsid w:val="00E4774E"/>
    <w:rsid w:val="00E47AF4"/>
    <w:rsid w:val="00E5185B"/>
    <w:rsid w:val="00E53A38"/>
    <w:rsid w:val="00E56896"/>
    <w:rsid w:val="00E57955"/>
    <w:rsid w:val="00E57BA5"/>
    <w:rsid w:val="00E606F8"/>
    <w:rsid w:val="00E623CF"/>
    <w:rsid w:val="00E634D7"/>
    <w:rsid w:val="00E6579F"/>
    <w:rsid w:val="00E679E7"/>
    <w:rsid w:val="00E77B61"/>
    <w:rsid w:val="00E825FF"/>
    <w:rsid w:val="00E82F7C"/>
    <w:rsid w:val="00E83394"/>
    <w:rsid w:val="00E83898"/>
    <w:rsid w:val="00E85834"/>
    <w:rsid w:val="00E86128"/>
    <w:rsid w:val="00E87B44"/>
    <w:rsid w:val="00E90760"/>
    <w:rsid w:val="00E925D6"/>
    <w:rsid w:val="00E92F53"/>
    <w:rsid w:val="00E9345C"/>
    <w:rsid w:val="00E936F4"/>
    <w:rsid w:val="00E942BA"/>
    <w:rsid w:val="00E94B54"/>
    <w:rsid w:val="00E96A2E"/>
    <w:rsid w:val="00E96B8A"/>
    <w:rsid w:val="00EA1343"/>
    <w:rsid w:val="00EA3D65"/>
    <w:rsid w:val="00EA54DC"/>
    <w:rsid w:val="00EA578D"/>
    <w:rsid w:val="00EA6A17"/>
    <w:rsid w:val="00EA799A"/>
    <w:rsid w:val="00EB0E55"/>
    <w:rsid w:val="00EB244E"/>
    <w:rsid w:val="00EB3580"/>
    <w:rsid w:val="00EB4912"/>
    <w:rsid w:val="00EB5443"/>
    <w:rsid w:val="00EB5F5D"/>
    <w:rsid w:val="00EC18E7"/>
    <w:rsid w:val="00EC305C"/>
    <w:rsid w:val="00EC35BE"/>
    <w:rsid w:val="00EC478D"/>
    <w:rsid w:val="00EC5A55"/>
    <w:rsid w:val="00EC5C63"/>
    <w:rsid w:val="00EC6565"/>
    <w:rsid w:val="00EC7467"/>
    <w:rsid w:val="00EC7822"/>
    <w:rsid w:val="00EC7AEB"/>
    <w:rsid w:val="00ED1232"/>
    <w:rsid w:val="00ED2CEB"/>
    <w:rsid w:val="00ED2E90"/>
    <w:rsid w:val="00ED70DE"/>
    <w:rsid w:val="00ED768D"/>
    <w:rsid w:val="00EE079C"/>
    <w:rsid w:val="00EE0943"/>
    <w:rsid w:val="00EE10AD"/>
    <w:rsid w:val="00EE2DD8"/>
    <w:rsid w:val="00EE4908"/>
    <w:rsid w:val="00EE7F92"/>
    <w:rsid w:val="00EF3A30"/>
    <w:rsid w:val="00EF5393"/>
    <w:rsid w:val="00EF6103"/>
    <w:rsid w:val="00EF6443"/>
    <w:rsid w:val="00EF7C77"/>
    <w:rsid w:val="00F00131"/>
    <w:rsid w:val="00F00313"/>
    <w:rsid w:val="00F0060A"/>
    <w:rsid w:val="00F04748"/>
    <w:rsid w:val="00F0719A"/>
    <w:rsid w:val="00F07247"/>
    <w:rsid w:val="00F076A5"/>
    <w:rsid w:val="00F10711"/>
    <w:rsid w:val="00F168AC"/>
    <w:rsid w:val="00F17B34"/>
    <w:rsid w:val="00F20935"/>
    <w:rsid w:val="00F20F8A"/>
    <w:rsid w:val="00F2257F"/>
    <w:rsid w:val="00F235C6"/>
    <w:rsid w:val="00F2404E"/>
    <w:rsid w:val="00F24630"/>
    <w:rsid w:val="00F246BA"/>
    <w:rsid w:val="00F24E84"/>
    <w:rsid w:val="00F252C7"/>
    <w:rsid w:val="00F26086"/>
    <w:rsid w:val="00F3034F"/>
    <w:rsid w:val="00F3083D"/>
    <w:rsid w:val="00F3105B"/>
    <w:rsid w:val="00F3111E"/>
    <w:rsid w:val="00F31367"/>
    <w:rsid w:val="00F31414"/>
    <w:rsid w:val="00F315E7"/>
    <w:rsid w:val="00F33096"/>
    <w:rsid w:val="00F33E56"/>
    <w:rsid w:val="00F342A8"/>
    <w:rsid w:val="00F41714"/>
    <w:rsid w:val="00F42028"/>
    <w:rsid w:val="00F4471D"/>
    <w:rsid w:val="00F448F4"/>
    <w:rsid w:val="00F504CB"/>
    <w:rsid w:val="00F5323C"/>
    <w:rsid w:val="00F60F8B"/>
    <w:rsid w:val="00F65772"/>
    <w:rsid w:val="00F71F86"/>
    <w:rsid w:val="00F80A93"/>
    <w:rsid w:val="00F817FB"/>
    <w:rsid w:val="00F81B1A"/>
    <w:rsid w:val="00F84E3E"/>
    <w:rsid w:val="00F864F8"/>
    <w:rsid w:val="00F86736"/>
    <w:rsid w:val="00F936EF"/>
    <w:rsid w:val="00F94090"/>
    <w:rsid w:val="00F9455E"/>
    <w:rsid w:val="00F964B6"/>
    <w:rsid w:val="00F976B1"/>
    <w:rsid w:val="00FA63BF"/>
    <w:rsid w:val="00FB45DE"/>
    <w:rsid w:val="00FB765D"/>
    <w:rsid w:val="00FB7A5C"/>
    <w:rsid w:val="00FC0924"/>
    <w:rsid w:val="00FC1EA4"/>
    <w:rsid w:val="00FC1F25"/>
    <w:rsid w:val="00FC3020"/>
    <w:rsid w:val="00FC4C26"/>
    <w:rsid w:val="00FC5DC9"/>
    <w:rsid w:val="00FD1463"/>
    <w:rsid w:val="00FD1CD7"/>
    <w:rsid w:val="00FD268A"/>
    <w:rsid w:val="00FD53D0"/>
    <w:rsid w:val="00FD6130"/>
    <w:rsid w:val="00FD7C13"/>
    <w:rsid w:val="00FE2487"/>
    <w:rsid w:val="00FE28A2"/>
    <w:rsid w:val="00FE3913"/>
    <w:rsid w:val="00FE5CEE"/>
    <w:rsid w:val="00FE606D"/>
    <w:rsid w:val="00FE6ABC"/>
    <w:rsid w:val="00FF237C"/>
    <w:rsid w:val="00FF5C9A"/>
    <w:rsid w:val="00FF72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C6EE6"/>
  <w15:chartTrackingRefBased/>
  <w15:docId w15:val="{D7C73C87-9C23-4D78-B64B-2CF2B556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uiPriority="9" w:qFormat="1"/>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uiPriority="5"/>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semiHidden="1" w:uiPriority="6" w:unhideWhenUsed="1"/>
    <w:lsdException w:name="Date" w:locked="0" w:semiHidden="1" w:uiPriority="5"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iPriority="0"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uiPriority="31" w:qFormat="1"/>
    <w:lsdException w:name="Intense Reference" w:locked="0" w:semiHidden="1"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F9455E"/>
  </w:style>
  <w:style w:type="paragraph" w:styleId="Heading1">
    <w:name w:val="heading 1"/>
    <w:basedOn w:val="Normal"/>
    <w:next w:val="Normal"/>
    <w:link w:val="Heading1Char"/>
    <w:uiPriority w:val="9"/>
    <w:qFormat/>
    <w:locked/>
    <w:rsid w:val="00DC674C"/>
    <w:pPr>
      <w:keepNext/>
      <w:keepLines/>
      <w:spacing w:before="240" w:after="120"/>
      <w:outlineLvl w:val="0"/>
    </w:pPr>
    <w:rPr>
      <w:rFonts w:ascii="Arial" w:eastAsiaTheme="majorEastAsia" w:hAnsi="Arial" w:cs="Arial"/>
      <w:b/>
      <w:color w:val="262626" w:themeColor="text1" w:themeTint="D9"/>
      <w:sz w:val="24"/>
      <w:szCs w:val="24"/>
    </w:rPr>
  </w:style>
  <w:style w:type="paragraph" w:styleId="Heading2">
    <w:name w:val="heading 2"/>
    <w:basedOn w:val="Normal"/>
    <w:next w:val="Normal"/>
    <w:link w:val="Heading2Char"/>
    <w:uiPriority w:val="9"/>
    <w:unhideWhenUsed/>
    <w:qFormat/>
    <w:locked/>
    <w:rsid w:val="0042458C"/>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F9455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F9455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F9455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9455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455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455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9455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58C"/>
    <w:rPr>
      <w:rFonts w:asciiTheme="majorHAnsi" w:eastAsiaTheme="majorEastAsia" w:hAnsiTheme="majorHAnsi" w:cstheme="majorBidi"/>
      <w:b/>
      <w:color w:val="262626" w:themeColor="text1" w:themeTint="D9"/>
      <w:sz w:val="28"/>
      <w:szCs w:val="28"/>
    </w:rPr>
  </w:style>
  <w:style w:type="table" w:styleId="TableGrid">
    <w:name w:val="Table Grid"/>
    <w:basedOn w:val="TableNormal"/>
    <w:uiPriority w:val="39"/>
    <w:locked/>
    <w:rsid w:val="00E96A2E"/>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paragraph" w:styleId="ListParagraph">
    <w:name w:val="List Paragraph"/>
    <w:aliases w:val="Bullet Normal,AP Bullet Normal,Normal text,List Paragraph1"/>
    <w:basedOn w:val="Normal"/>
    <w:link w:val="ListParagraphChar"/>
    <w:uiPriority w:val="34"/>
    <w:qFormat/>
    <w:rsid w:val="00E96A2E"/>
    <w:pPr>
      <w:ind w:left="720"/>
      <w:contextualSpacing/>
    </w:pPr>
  </w:style>
  <w:style w:type="character" w:customStyle="1" w:styleId="Heading1Char">
    <w:name w:val="Heading 1 Char"/>
    <w:basedOn w:val="DefaultParagraphFont"/>
    <w:link w:val="Heading1"/>
    <w:uiPriority w:val="9"/>
    <w:rsid w:val="00DC674C"/>
    <w:rPr>
      <w:rFonts w:ascii="Arial" w:eastAsiaTheme="majorEastAsia" w:hAnsi="Arial" w:cs="Arial"/>
      <w:b/>
      <w:color w:val="262626" w:themeColor="text1" w:themeTint="D9"/>
      <w:sz w:val="24"/>
      <w:szCs w:val="24"/>
    </w:rPr>
  </w:style>
  <w:style w:type="character" w:customStyle="1" w:styleId="Heading3Char">
    <w:name w:val="Heading 3 Char"/>
    <w:basedOn w:val="DefaultParagraphFont"/>
    <w:link w:val="Heading3"/>
    <w:uiPriority w:val="9"/>
    <w:rsid w:val="00F9455E"/>
    <w:rPr>
      <w:rFonts w:asciiTheme="majorHAnsi" w:eastAsiaTheme="majorEastAsia" w:hAnsiTheme="majorHAnsi" w:cstheme="majorBidi"/>
      <w:color w:val="0D0D0D" w:themeColor="text1" w:themeTint="F2"/>
      <w:sz w:val="24"/>
      <w:szCs w:val="24"/>
    </w:rPr>
  </w:style>
  <w:style w:type="paragraph" w:styleId="CommentText">
    <w:name w:val="annotation text"/>
    <w:basedOn w:val="Normal"/>
    <w:link w:val="CommentTextChar"/>
    <w:unhideWhenUsed/>
    <w:rsid w:val="00E96A2E"/>
    <w:pPr>
      <w:spacing w:after="120" w:line="240" w:lineRule="auto"/>
    </w:pPr>
    <w:rPr>
      <w:sz w:val="20"/>
      <w:szCs w:val="20"/>
    </w:rPr>
  </w:style>
  <w:style w:type="character" w:customStyle="1" w:styleId="CommentTextChar">
    <w:name w:val="Comment Text Char"/>
    <w:basedOn w:val="DefaultParagraphFont"/>
    <w:link w:val="CommentText"/>
    <w:rsid w:val="00E96A2E"/>
    <w:rPr>
      <w:sz w:val="20"/>
      <w:szCs w:val="20"/>
    </w:rPr>
  </w:style>
  <w:style w:type="character" w:customStyle="1" w:styleId="ListParagraphChar">
    <w:name w:val="List Paragraph Char"/>
    <w:aliases w:val="Bullet Normal Char,AP Bullet Normal Char,Normal text Char,List Paragraph1 Char"/>
    <w:basedOn w:val="DefaultParagraphFont"/>
    <w:link w:val="ListParagraph"/>
    <w:uiPriority w:val="34"/>
    <w:locked/>
    <w:rsid w:val="00E96A2E"/>
  </w:style>
  <w:style w:type="paragraph" w:styleId="BalloonText">
    <w:name w:val="Balloon Text"/>
    <w:basedOn w:val="Normal"/>
    <w:link w:val="BalloonTextChar"/>
    <w:uiPriority w:val="99"/>
    <w:semiHidden/>
    <w:unhideWhenUsed/>
    <w:rsid w:val="00E9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2E"/>
    <w:rPr>
      <w:rFonts w:ascii="Segoe UI" w:hAnsi="Segoe UI" w:cs="Segoe UI"/>
      <w:sz w:val="18"/>
      <w:szCs w:val="18"/>
    </w:rPr>
  </w:style>
  <w:style w:type="paragraph" w:styleId="FootnoteText">
    <w:name w:val="footnote text"/>
    <w:basedOn w:val="Normal"/>
    <w:link w:val="FootnoteTextChar"/>
    <w:unhideWhenUsed/>
    <w:rsid w:val="00E96A2E"/>
    <w:pPr>
      <w:spacing w:after="0" w:line="240" w:lineRule="auto"/>
    </w:pPr>
    <w:rPr>
      <w:sz w:val="20"/>
      <w:szCs w:val="20"/>
    </w:rPr>
  </w:style>
  <w:style w:type="character" w:customStyle="1" w:styleId="FootnoteTextChar">
    <w:name w:val="Footnote Text Char"/>
    <w:basedOn w:val="DefaultParagraphFont"/>
    <w:link w:val="FootnoteText"/>
    <w:rsid w:val="00E96A2E"/>
    <w:rPr>
      <w:sz w:val="20"/>
      <w:szCs w:val="20"/>
    </w:rPr>
  </w:style>
  <w:style w:type="character" w:styleId="FootnoteReference">
    <w:name w:val="footnote reference"/>
    <w:aliases w:val="fr"/>
    <w:basedOn w:val="DefaultParagraphFont"/>
    <w:unhideWhenUsed/>
    <w:rsid w:val="00E96A2E"/>
    <w:rPr>
      <w:vertAlign w:val="superscript"/>
    </w:rPr>
  </w:style>
  <w:style w:type="paragraph" w:styleId="Header">
    <w:name w:val="header"/>
    <w:basedOn w:val="Normal"/>
    <w:link w:val="HeaderChar"/>
    <w:uiPriority w:val="99"/>
    <w:rsid w:val="00E96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A2E"/>
  </w:style>
  <w:style w:type="paragraph" w:styleId="Footer">
    <w:name w:val="footer"/>
    <w:basedOn w:val="Normal"/>
    <w:link w:val="FooterChar"/>
    <w:uiPriority w:val="99"/>
    <w:rsid w:val="00E96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A2E"/>
  </w:style>
  <w:style w:type="paragraph" w:styleId="NormalWeb">
    <w:name w:val="Normal (Web)"/>
    <w:basedOn w:val="Normal"/>
    <w:uiPriority w:val="99"/>
    <w:unhideWhenUsed/>
    <w:rsid w:val="00E96A2E"/>
    <w:pPr>
      <w:spacing w:before="100" w:beforeAutospacing="1" w:after="100" w:afterAutospacing="1" w:line="240" w:lineRule="auto"/>
    </w:pPr>
    <w:rPr>
      <w:rFonts w:ascii="Times New Roman" w:hAnsi="Times New Roman" w:cs="Times New Roman"/>
      <w:sz w:val="24"/>
      <w:szCs w:val="24"/>
      <w:lang w:eastAsia="en-NZ"/>
    </w:rPr>
  </w:style>
  <w:style w:type="table" w:styleId="LightList-Accent1">
    <w:name w:val="Light List Accent 1"/>
    <w:basedOn w:val="TableNormal"/>
    <w:uiPriority w:val="61"/>
    <w:locked/>
    <w:rsid w:val="00E96A2E"/>
    <w:pPr>
      <w:spacing w:after="0" w:line="240" w:lineRule="auto"/>
    </w:pPr>
    <w:rPr>
      <w:rFonts w:ascii="Arial"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uiPriority w:val="10"/>
    <w:qFormat/>
    <w:locked/>
    <w:rsid w:val="00F9455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9455E"/>
    <w:rPr>
      <w:rFonts w:asciiTheme="majorHAnsi" w:eastAsiaTheme="majorEastAsia" w:hAnsiTheme="majorHAnsi" w:cstheme="majorBidi"/>
      <w:spacing w:val="-10"/>
      <w:sz w:val="56"/>
      <w:szCs w:val="56"/>
    </w:rPr>
  </w:style>
  <w:style w:type="paragraph" w:customStyle="1" w:styleId="Titlesubheading">
    <w:name w:val="Title subheading"/>
    <w:basedOn w:val="Normal"/>
    <w:link w:val="TitlesubheadingChar"/>
    <w:uiPriority w:val="2"/>
    <w:locked/>
    <w:rsid w:val="00E96A2E"/>
    <w:pPr>
      <w:jc w:val="right"/>
    </w:pPr>
    <w:rPr>
      <w:sz w:val="52"/>
      <w:szCs w:val="96"/>
    </w:rPr>
  </w:style>
  <w:style w:type="paragraph" w:customStyle="1" w:styleId="Bullets">
    <w:name w:val="Bullets"/>
    <w:basedOn w:val="ListParagraph"/>
    <w:link w:val="BulletsChar"/>
    <w:uiPriority w:val="5"/>
    <w:locked/>
    <w:rsid w:val="00E96A2E"/>
    <w:pPr>
      <w:numPr>
        <w:numId w:val="1"/>
      </w:numPr>
    </w:pPr>
  </w:style>
  <w:style w:type="character" w:customStyle="1" w:styleId="TitlesubheadingChar">
    <w:name w:val="Title subheading Char"/>
    <w:basedOn w:val="DefaultParagraphFont"/>
    <w:link w:val="Titlesubheading"/>
    <w:uiPriority w:val="2"/>
    <w:rsid w:val="00E96A2E"/>
    <w:rPr>
      <w:sz w:val="52"/>
      <w:szCs w:val="96"/>
    </w:rPr>
  </w:style>
  <w:style w:type="table" w:styleId="ListTable4-Accent6">
    <w:name w:val="List Table 4 Accent 6"/>
    <w:basedOn w:val="TableNormal"/>
    <w:uiPriority w:val="49"/>
    <w:locked/>
    <w:rsid w:val="00E96A2E"/>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uiPriority w:val="5"/>
    <w:rsid w:val="00E96A2E"/>
  </w:style>
  <w:style w:type="table" w:styleId="GridTable4-Accent6">
    <w:name w:val="Grid Table 4 Accent 6"/>
    <w:basedOn w:val="TableNormal"/>
    <w:uiPriority w:val="49"/>
    <w:locked/>
    <w:rsid w:val="00E96A2E"/>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uiPriority w:val="3"/>
    <w:locked/>
    <w:rsid w:val="00E96A2E"/>
    <w:pPr>
      <w:numPr>
        <w:numId w:val="0"/>
      </w:numPr>
      <w:spacing w:before="160"/>
    </w:pPr>
    <w:rPr>
      <w:b/>
      <w:color w:val="000000" w:themeColor="text1"/>
      <w:sz w:val="24"/>
    </w:rPr>
  </w:style>
  <w:style w:type="character" w:customStyle="1" w:styleId="SubheadingChar">
    <w:name w:val="Subheading Char"/>
    <w:basedOn w:val="BulletsChar"/>
    <w:link w:val="Subheading"/>
    <w:uiPriority w:val="3"/>
    <w:rsid w:val="00E96A2E"/>
    <w:rPr>
      <w:b/>
      <w:color w:val="000000" w:themeColor="text1"/>
      <w:sz w:val="24"/>
    </w:rPr>
  </w:style>
  <w:style w:type="table" w:styleId="GridTable4-Accent4">
    <w:name w:val="Grid Table 4 Accent 4"/>
    <w:basedOn w:val="TableNormal"/>
    <w:uiPriority w:val="49"/>
    <w:locked/>
    <w:rsid w:val="00E96A2E"/>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E96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uiPriority w:val="9"/>
    <w:locked/>
    <w:rsid w:val="00E96A2E"/>
    <w:pPr>
      <w:spacing w:after="0" w:line="240" w:lineRule="auto"/>
    </w:pPr>
    <w:rPr>
      <w:b/>
      <w:bCs/>
      <w:color w:val="FFFFFF" w:themeColor="background1"/>
    </w:rPr>
  </w:style>
  <w:style w:type="table" w:customStyle="1" w:styleId="TAStableBLUE">
    <w:name w:val="TAS table BLUE"/>
    <w:basedOn w:val="TableNormal"/>
    <w:uiPriority w:val="99"/>
    <w:locked/>
    <w:rsid w:val="00E96A2E"/>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uiPriority w:val="9"/>
    <w:rsid w:val="00E96A2E"/>
    <w:rPr>
      <w:b/>
      <w:bCs/>
      <w:color w:val="FFFFFF" w:themeColor="background1"/>
    </w:rPr>
  </w:style>
  <w:style w:type="table" w:customStyle="1" w:styleId="TASGreen">
    <w:name w:val="TAS Green"/>
    <w:basedOn w:val="TAStableBLUE"/>
    <w:uiPriority w:val="99"/>
    <w:locked/>
    <w:rsid w:val="00E9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uiPriority w:val="8"/>
    <w:locked/>
    <w:rsid w:val="00E96A2E"/>
    <w:rPr>
      <w:bCs w:val="0"/>
    </w:rPr>
  </w:style>
  <w:style w:type="character" w:customStyle="1" w:styleId="Columnheading-BlackChar">
    <w:name w:val="Column heading - Black Char"/>
    <w:basedOn w:val="Columnheading-WhiteChar"/>
    <w:link w:val="Columnheading-Black"/>
    <w:uiPriority w:val="8"/>
    <w:rsid w:val="00E96A2E"/>
    <w:rPr>
      <w:b/>
      <w:bCs w:val="0"/>
      <w:color w:val="FFFFFF" w:themeColor="background1"/>
    </w:rPr>
  </w:style>
  <w:style w:type="table" w:customStyle="1" w:styleId="TASGrey">
    <w:name w:val="TAS Grey"/>
    <w:basedOn w:val="TASGreen"/>
    <w:uiPriority w:val="99"/>
    <w:locked/>
    <w:rsid w:val="00E96A2E"/>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0"/>
    <w:locked/>
    <w:rsid w:val="00E96A2E"/>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0"/>
    <w:rsid w:val="00E96A2E"/>
    <w:rPr>
      <w:color w:val="000000" w:themeColor="text1"/>
      <w:sz w:val="18"/>
    </w:rPr>
  </w:style>
  <w:style w:type="paragraph" w:styleId="Date">
    <w:name w:val="Date"/>
    <w:basedOn w:val="Normal"/>
    <w:next w:val="Normal"/>
    <w:link w:val="DateChar"/>
    <w:uiPriority w:val="6"/>
    <w:rsid w:val="00E96A2E"/>
    <w:pPr>
      <w:spacing w:after="540" w:line="240" w:lineRule="auto"/>
    </w:pPr>
    <w:rPr>
      <w:rFonts w:eastAsia="Times New Roman"/>
      <w:color w:val="000000" w:themeColor="text1"/>
      <w:szCs w:val="20"/>
      <w:lang w:eastAsia="en-NZ"/>
    </w:rPr>
  </w:style>
  <w:style w:type="character" w:customStyle="1" w:styleId="DateChar">
    <w:name w:val="Date Char"/>
    <w:basedOn w:val="DefaultParagraphFont"/>
    <w:link w:val="Date"/>
    <w:uiPriority w:val="6"/>
    <w:rsid w:val="00E96A2E"/>
    <w:rPr>
      <w:rFonts w:eastAsia="Times New Roman"/>
      <w:color w:val="000000" w:themeColor="text1"/>
      <w:szCs w:val="20"/>
      <w:lang w:eastAsia="en-NZ"/>
    </w:rPr>
  </w:style>
  <w:style w:type="character" w:styleId="IntenseEmphasis">
    <w:name w:val="Intense Emphasis"/>
    <w:basedOn w:val="DefaultParagraphFont"/>
    <w:uiPriority w:val="21"/>
    <w:qFormat/>
    <w:rsid w:val="00F9455E"/>
    <w:rPr>
      <w:b/>
      <w:bCs/>
      <w:i/>
      <w:iCs/>
      <w:color w:val="auto"/>
    </w:rPr>
  </w:style>
  <w:style w:type="paragraph" w:styleId="IntenseQuote">
    <w:name w:val="Intense Quote"/>
    <w:basedOn w:val="Normal"/>
    <w:next w:val="Normal"/>
    <w:link w:val="IntenseQuoteChar"/>
    <w:uiPriority w:val="30"/>
    <w:qFormat/>
    <w:rsid w:val="00F9455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9455E"/>
    <w:rPr>
      <w:i/>
      <w:iCs/>
      <w:color w:val="404040" w:themeColor="text1" w:themeTint="BF"/>
    </w:rPr>
  </w:style>
  <w:style w:type="character" w:styleId="IntenseReference">
    <w:name w:val="Intense Reference"/>
    <w:basedOn w:val="DefaultParagraphFont"/>
    <w:uiPriority w:val="32"/>
    <w:qFormat/>
    <w:rsid w:val="00F9455E"/>
    <w:rPr>
      <w:b/>
      <w:bCs/>
      <w:smallCaps/>
      <w:color w:val="404040" w:themeColor="text1" w:themeTint="BF"/>
      <w:spacing w:val="5"/>
    </w:rPr>
  </w:style>
  <w:style w:type="table" w:styleId="PlainTable1">
    <w:name w:val="Plain Table 1"/>
    <w:basedOn w:val="TableNormal"/>
    <w:uiPriority w:val="41"/>
    <w:locked/>
    <w:rsid w:val="00E96A2E"/>
    <w:pPr>
      <w:spacing w:before="60"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paragraph" w:customStyle="1" w:styleId="Recipient">
    <w:name w:val="Recipient"/>
    <w:basedOn w:val="Normal"/>
    <w:uiPriority w:val="6"/>
    <w:rsid w:val="00E96A2E"/>
    <w:pPr>
      <w:spacing w:after="260" w:line="240" w:lineRule="auto"/>
      <w:contextualSpacing/>
    </w:pPr>
    <w:rPr>
      <w:rFonts w:eastAsia="Times New Roman"/>
      <w:color w:val="000000" w:themeColor="text1"/>
      <w:szCs w:val="20"/>
      <w:lang w:eastAsia="en-NZ"/>
    </w:rPr>
  </w:style>
  <w:style w:type="paragraph" w:styleId="Salutation">
    <w:name w:val="Salutation"/>
    <w:basedOn w:val="Normal"/>
    <w:next w:val="Normal"/>
    <w:link w:val="SalutationChar"/>
    <w:uiPriority w:val="7"/>
    <w:rsid w:val="00E96A2E"/>
    <w:pPr>
      <w:spacing w:before="520" w:after="280" w:line="240" w:lineRule="auto"/>
    </w:pPr>
    <w:rPr>
      <w:rFonts w:eastAsia="Times New Roman"/>
      <w:color w:val="000000" w:themeColor="text1"/>
      <w:szCs w:val="20"/>
      <w:lang w:eastAsia="en-NZ"/>
    </w:rPr>
  </w:style>
  <w:style w:type="character" w:customStyle="1" w:styleId="SalutationChar">
    <w:name w:val="Salutation Char"/>
    <w:basedOn w:val="DefaultParagraphFont"/>
    <w:link w:val="Salutation"/>
    <w:uiPriority w:val="7"/>
    <w:rsid w:val="00E96A2E"/>
    <w:rPr>
      <w:rFonts w:eastAsia="Times New Roman"/>
      <w:color w:val="000000" w:themeColor="text1"/>
      <w:szCs w:val="20"/>
      <w:lang w:eastAsia="en-NZ"/>
    </w:rPr>
  </w:style>
  <w:style w:type="paragraph" w:customStyle="1" w:styleId="SignOff">
    <w:name w:val="Sign Off"/>
    <w:basedOn w:val="Normal"/>
    <w:uiPriority w:val="6"/>
    <w:rsid w:val="00E96A2E"/>
    <w:pPr>
      <w:spacing w:before="240" w:after="260" w:line="240" w:lineRule="auto"/>
      <w:contextualSpacing/>
    </w:pPr>
    <w:rPr>
      <w:rFonts w:eastAsia="Times New Roman"/>
      <w:color w:val="000000" w:themeColor="text1"/>
      <w:szCs w:val="20"/>
      <w:lang w:eastAsia="en-NZ"/>
    </w:rPr>
  </w:style>
  <w:style w:type="paragraph" w:customStyle="1" w:styleId="Subject">
    <w:name w:val="Subject"/>
    <w:basedOn w:val="Normal"/>
    <w:uiPriority w:val="7"/>
    <w:rsid w:val="00E96A2E"/>
    <w:pPr>
      <w:spacing w:before="280" w:after="280" w:line="240" w:lineRule="auto"/>
    </w:pPr>
    <w:rPr>
      <w:rFonts w:eastAsia="Times New Roman"/>
      <w:b/>
      <w:caps/>
      <w:color w:val="000000" w:themeColor="text1"/>
      <w:szCs w:val="20"/>
      <w:lang w:eastAsia="en-NZ"/>
    </w:rPr>
  </w:style>
  <w:style w:type="table" w:styleId="TableGridLight">
    <w:name w:val="Grid Table Light"/>
    <w:basedOn w:val="TableNormal"/>
    <w:uiPriority w:val="40"/>
    <w:locked/>
    <w:rsid w:val="00E96A2E"/>
    <w:pPr>
      <w:spacing w:before="60" w:after="60" w:line="240" w:lineRule="auto"/>
    </w:pPr>
    <w:tblPr/>
    <w:tcPr>
      <w:shd w:val="clear" w:color="auto" w:fill="auto"/>
    </w:tcPr>
    <w:tblStylePr w:type="firstCol">
      <w:rPr>
        <w:rFonts w:asciiTheme="minorHAnsi" w:hAnsiTheme="minorHAnsi"/>
        <w:b/>
        <w:sz w:val="22"/>
      </w:rPr>
    </w:tblStylePr>
  </w:style>
  <w:style w:type="paragraph" w:customStyle="1" w:styleId="L1Numbering">
    <w:name w:val="L1 Numbering"/>
    <w:basedOn w:val="ListParagraph"/>
    <w:semiHidden/>
    <w:rsid w:val="00E96A2E"/>
    <w:pPr>
      <w:numPr>
        <w:numId w:val="2"/>
      </w:numPr>
      <w:tabs>
        <w:tab w:val="num" w:pos="360"/>
      </w:tabs>
      <w:spacing w:after="240" w:line="240" w:lineRule="auto"/>
      <w:contextualSpacing w:val="0"/>
    </w:pPr>
    <w:rPr>
      <w:rFonts w:cs="Times New Roman"/>
      <w:noProof/>
      <w:color w:val="000000" w:themeColor="text1"/>
    </w:rPr>
  </w:style>
  <w:style w:type="character" w:customStyle="1" w:styleId="Heading4Char">
    <w:name w:val="Heading 4 Char"/>
    <w:basedOn w:val="DefaultParagraphFont"/>
    <w:link w:val="Heading4"/>
    <w:uiPriority w:val="9"/>
    <w:rsid w:val="00F9455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F9455E"/>
    <w:rPr>
      <w:rFonts w:asciiTheme="majorHAnsi" w:eastAsiaTheme="majorEastAsia" w:hAnsiTheme="majorHAnsi" w:cstheme="majorBidi"/>
      <w:color w:val="404040" w:themeColor="text1" w:themeTint="BF"/>
    </w:rPr>
  </w:style>
  <w:style w:type="character" w:styleId="BookTitle">
    <w:name w:val="Book Title"/>
    <w:basedOn w:val="DefaultParagraphFont"/>
    <w:uiPriority w:val="33"/>
    <w:qFormat/>
    <w:rsid w:val="00F9455E"/>
    <w:rPr>
      <w:b/>
      <w:bCs/>
      <w:i/>
      <w:iCs/>
      <w:spacing w:val="5"/>
    </w:rPr>
  </w:style>
  <w:style w:type="character" w:styleId="Emphasis">
    <w:name w:val="Emphasis"/>
    <w:basedOn w:val="DefaultParagraphFont"/>
    <w:uiPriority w:val="20"/>
    <w:qFormat/>
    <w:rsid w:val="00F9455E"/>
    <w:rPr>
      <w:i/>
      <w:iCs/>
      <w:color w:val="auto"/>
    </w:rPr>
  </w:style>
  <w:style w:type="character" w:styleId="Strong">
    <w:name w:val="Strong"/>
    <w:basedOn w:val="DefaultParagraphFont"/>
    <w:uiPriority w:val="22"/>
    <w:qFormat/>
    <w:rsid w:val="00F9455E"/>
    <w:rPr>
      <w:b/>
      <w:bCs/>
      <w:color w:val="auto"/>
    </w:rPr>
  </w:style>
  <w:style w:type="character" w:styleId="SubtleEmphasis">
    <w:name w:val="Subtle Emphasis"/>
    <w:basedOn w:val="DefaultParagraphFont"/>
    <w:uiPriority w:val="19"/>
    <w:qFormat/>
    <w:rsid w:val="00F9455E"/>
    <w:rPr>
      <w:i/>
      <w:iCs/>
      <w:color w:val="404040" w:themeColor="text1" w:themeTint="BF"/>
    </w:rPr>
  </w:style>
  <w:style w:type="character" w:styleId="SubtleReference">
    <w:name w:val="Subtle Reference"/>
    <w:basedOn w:val="DefaultParagraphFont"/>
    <w:uiPriority w:val="31"/>
    <w:qFormat/>
    <w:rsid w:val="00F9455E"/>
    <w:rPr>
      <w:smallCaps/>
      <w:color w:val="404040" w:themeColor="text1" w:themeTint="BF"/>
    </w:rPr>
  </w:style>
  <w:style w:type="paragraph" w:styleId="NoSpacing">
    <w:name w:val="No Spacing"/>
    <w:link w:val="NoSpacingChar"/>
    <w:uiPriority w:val="1"/>
    <w:qFormat/>
    <w:locked/>
    <w:rsid w:val="00F9455E"/>
    <w:pPr>
      <w:spacing w:after="0" w:line="240" w:lineRule="auto"/>
    </w:pPr>
  </w:style>
  <w:style w:type="character" w:customStyle="1" w:styleId="NoSpacingChar">
    <w:name w:val="No Spacing Char"/>
    <w:basedOn w:val="DefaultParagraphFont"/>
    <w:link w:val="NoSpacing"/>
    <w:uiPriority w:val="1"/>
    <w:rsid w:val="0058478B"/>
  </w:style>
  <w:style w:type="character" w:styleId="CommentReference">
    <w:name w:val="annotation reference"/>
    <w:uiPriority w:val="99"/>
    <w:semiHidden/>
    <w:rsid w:val="0058478B"/>
    <w:rPr>
      <w:sz w:val="16"/>
      <w:szCs w:val="16"/>
    </w:rPr>
  </w:style>
  <w:style w:type="paragraph" w:styleId="PlainText">
    <w:name w:val="Plain Text"/>
    <w:basedOn w:val="Normal"/>
    <w:link w:val="PlainTextChar"/>
    <w:rsid w:val="0058478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8478B"/>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643B2D"/>
    <w:pPr>
      <w:numPr>
        <w:ilvl w:val="12"/>
      </w:numPr>
      <w:tabs>
        <w:tab w:val="left" w:pos="851"/>
      </w:tabs>
      <w:spacing w:after="0" w:line="240" w:lineRule="auto"/>
      <w:ind w:left="851"/>
      <w:jc w:val="both"/>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643B2D"/>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643B2D"/>
    <w:pPr>
      <w:spacing w:after="120"/>
    </w:pPr>
  </w:style>
  <w:style w:type="character" w:customStyle="1" w:styleId="BodyTextChar">
    <w:name w:val="Body Text Char"/>
    <w:basedOn w:val="DefaultParagraphFont"/>
    <w:link w:val="BodyText"/>
    <w:uiPriority w:val="99"/>
    <w:semiHidden/>
    <w:rsid w:val="00643B2D"/>
  </w:style>
  <w:style w:type="paragraph" w:styleId="CommentSubject">
    <w:name w:val="annotation subject"/>
    <w:basedOn w:val="CommentText"/>
    <w:next w:val="CommentText"/>
    <w:link w:val="CommentSubjectChar"/>
    <w:uiPriority w:val="99"/>
    <w:semiHidden/>
    <w:unhideWhenUsed/>
    <w:rsid w:val="00876726"/>
    <w:pPr>
      <w:spacing w:after="160"/>
    </w:pPr>
    <w:rPr>
      <w:b/>
      <w:bCs/>
    </w:rPr>
  </w:style>
  <w:style w:type="character" w:customStyle="1" w:styleId="CommentSubjectChar">
    <w:name w:val="Comment Subject Char"/>
    <w:basedOn w:val="CommentTextChar"/>
    <w:link w:val="CommentSubject"/>
    <w:uiPriority w:val="99"/>
    <w:semiHidden/>
    <w:rsid w:val="00876726"/>
    <w:rPr>
      <w:b/>
      <w:bCs/>
      <w:sz w:val="20"/>
      <w:szCs w:val="20"/>
    </w:rPr>
  </w:style>
  <w:style w:type="character" w:styleId="Hyperlink">
    <w:name w:val="Hyperlink"/>
    <w:basedOn w:val="DefaultParagraphFont"/>
    <w:uiPriority w:val="99"/>
    <w:unhideWhenUsed/>
    <w:rsid w:val="00AF6DD9"/>
    <w:rPr>
      <w:color w:val="0000FF"/>
      <w:u w:val="single"/>
    </w:rPr>
  </w:style>
  <w:style w:type="paragraph" w:customStyle="1" w:styleId="yeloowbul">
    <w:name w:val="yeloowbul"/>
    <w:basedOn w:val="Normal"/>
    <w:rsid w:val="00060B6B"/>
    <w:pPr>
      <w:numPr>
        <w:numId w:val="5"/>
      </w:numPr>
      <w:shd w:val="clear" w:color="auto" w:fill="FFFF00"/>
      <w:spacing w:after="0" w:line="240" w:lineRule="auto"/>
      <w:ind w:left="993" w:hanging="348"/>
      <w:jc w:val="both"/>
    </w:pPr>
    <w:rPr>
      <w:rFonts w:ascii="Arial Mäori" w:eastAsia="Times New Roman" w:hAnsi="Arial Mäori" w:cs="Times New Roman"/>
      <w:snapToGrid w:val="0"/>
      <w:color w:val="000000"/>
      <w:sz w:val="20"/>
      <w:szCs w:val="20"/>
      <w:lang w:val="en-GB" w:eastAsia="en-GB"/>
    </w:rPr>
  </w:style>
  <w:style w:type="table" w:customStyle="1" w:styleId="TableGrid2">
    <w:name w:val="Table Grid2"/>
    <w:basedOn w:val="TableNormal"/>
    <w:next w:val="TableGrid"/>
    <w:uiPriority w:val="39"/>
    <w:locked/>
    <w:rsid w:val="007911CD"/>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character" w:customStyle="1" w:styleId="HHLBodyTextChar">
    <w:name w:val="HHL Body Text Char"/>
    <w:basedOn w:val="DefaultParagraphFont"/>
    <w:link w:val="HHLBodyText"/>
    <w:locked/>
    <w:rsid w:val="007911CD"/>
    <w:rPr>
      <w:rFonts w:ascii="Arial" w:eastAsiaTheme="minorEastAsia" w:hAnsi="Arial" w:cs="Arial"/>
      <w:szCs w:val="24"/>
      <w:lang w:val="en-US"/>
    </w:rPr>
  </w:style>
  <w:style w:type="paragraph" w:customStyle="1" w:styleId="HHLBodyText">
    <w:name w:val="HHL Body Text"/>
    <w:basedOn w:val="Normal"/>
    <w:link w:val="HHLBodyTextChar"/>
    <w:rsid w:val="007911CD"/>
    <w:pPr>
      <w:spacing w:before="120" w:after="120" w:line="276" w:lineRule="auto"/>
      <w:jc w:val="both"/>
    </w:pPr>
    <w:rPr>
      <w:rFonts w:ascii="Arial" w:hAnsi="Arial" w:cs="Arial"/>
      <w:szCs w:val="24"/>
      <w:lang w:val="en-US"/>
    </w:rPr>
  </w:style>
  <w:style w:type="paragraph" w:customStyle="1" w:styleId="Default">
    <w:name w:val="Default"/>
    <w:rsid w:val="005D1C5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819A7"/>
    <w:rPr>
      <w:color w:val="605E5C"/>
      <w:shd w:val="clear" w:color="auto" w:fill="E1DFDD"/>
    </w:rPr>
  </w:style>
  <w:style w:type="paragraph" w:styleId="TOCHeading">
    <w:name w:val="TOC Heading"/>
    <w:basedOn w:val="Heading1"/>
    <w:next w:val="Normal"/>
    <w:uiPriority w:val="39"/>
    <w:unhideWhenUsed/>
    <w:qFormat/>
    <w:rsid w:val="00F9455E"/>
    <w:pPr>
      <w:outlineLvl w:val="9"/>
    </w:pPr>
  </w:style>
  <w:style w:type="paragraph" w:styleId="TOC1">
    <w:name w:val="toc 1"/>
    <w:basedOn w:val="Normal"/>
    <w:next w:val="Normal"/>
    <w:autoRedefine/>
    <w:uiPriority w:val="39"/>
    <w:unhideWhenUsed/>
    <w:rsid w:val="007268CF"/>
    <w:pPr>
      <w:tabs>
        <w:tab w:val="left" w:pos="880"/>
        <w:tab w:val="right" w:leader="dot" w:pos="9016"/>
      </w:tabs>
      <w:spacing w:after="100"/>
      <w:jc w:val="both"/>
    </w:pPr>
  </w:style>
  <w:style w:type="paragraph" w:styleId="TOC2">
    <w:name w:val="toc 2"/>
    <w:basedOn w:val="Normal"/>
    <w:next w:val="Normal"/>
    <w:autoRedefine/>
    <w:uiPriority w:val="39"/>
    <w:unhideWhenUsed/>
    <w:rsid w:val="00092115"/>
    <w:pPr>
      <w:tabs>
        <w:tab w:val="left" w:pos="880"/>
        <w:tab w:val="right" w:leader="dot" w:pos="9016"/>
      </w:tabs>
      <w:spacing w:after="100"/>
      <w:ind w:left="220"/>
    </w:pPr>
    <w:rPr>
      <w:noProof/>
    </w:rPr>
  </w:style>
  <w:style w:type="paragraph" w:styleId="TOC3">
    <w:name w:val="toc 3"/>
    <w:basedOn w:val="Normal"/>
    <w:next w:val="Normal"/>
    <w:autoRedefine/>
    <w:uiPriority w:val="39"/>
    <w:unhideWhenUsed/>
    <w:rsid w:val="00242836"/>
    <w:pPr>
      <w:tabs>
        <w:tab w:val="left" w:pos="1320"/>
        <w:tab w:val="right" w:leader="dot" w:pos="9072"/>
      </w:tabs>
      <w:spacing w:after="100"/>
      <w:ind w:left="440" w:right="566"/>
    </w:pPr>
  </w:style>
  <w:style w:type="paragraph" w:styleId="BodyTextIndent3">
    <w:name w:val="Body Text Indent 3"/>
    <w:basedOn w:val="Normal"/>
    <w:link w:val="BodyTextIndent3Char"/>
    <w:uiPriority w:val="99"/>
    <w:semiHidden/>
    <w:unhideWhenUsed/>
    <w:rsid w:val="009F4C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4C9A"/>
    <w:rPr>
      <w:sz w:val="16"/>
      <w:szCs w:val="16"/>
    </w:rPr>
  </w:style>
  <w:style w:type="paragraph" w:customStyle="1" w:styleId="indentplus">
    <w:name w:val="indentplus"/>
    <w:basedOn w:val="Normal"/>
    <w:rsid w:val="009F4C9A"/>
    <w:pPr>
      <w:numPr>
        <w:numId w:val="12"/>
      </w:numPr>
      <w:tabs>
        <w:tab w:val="left" w:pos="399"/>
      </w:tabs>
      <w:spacing w:after="0" w:line="240" w:lineRule="auto"/>
      <w:ind w:left="3876" w:hanging="3876"/>
    </w:pPr>
    <w:rPr>
      <w:rFonts w:ascii="Arial" w:eastAsia="Times New Roman" w:hAnsi="Arial" w:cs="Times New Roman"/>
      <w:sz w:val="20"/>
      <w:szCs w:val="20"/>
      <w:lang w:val="en-GB" w:eastAsia="en-GB"/>
    </w:rPr>
  </w:style>
  <w:style w:type="paragraph" w:customStyle="1" w:styleId="BulletPoints">
    <w:name w:val="Bullet Points"/>
    <w:basedOn w:val="Normal"/>
    <w:rsid w:val="009F4C9A"/>
    <w:pPr>
      <w:spacing w:after="0" w:line="240" w:lineRule="auto"/>
      <w:ind w:left="720" w:hanging="720"/>
    </w:pPr>
    <w:rPr>
      <w:rFonts w:ascii="Times New Roman" w:eastAsia="Times New Roman" w:hAnsi="Times New Roman" w:cs="Times New Roman"/>
      <w:sz w:val="24"/>
      <w:szCs w:val="20"/>
      <w:lang w:val="en-AU" w:eastAsia="en-GB"/>
    </w:rPr>
  </w:style>
  <w:style w:type="character" w:styleId="UnresolvedMention">
    <w:name w:val="Unresolved Mention"/>
    <w:basedOn w:val="DefaultParagraphFont"/>
    <w:uiPriority w:val="99"/>
    <w:semiHidden/>
    <w:unhideWhenUsed/>
    <w:rsid w:val="008703F0"/>
    <w:rPr>
      <w:color w:val="605E5C"/>
      <w:shd w:val="clear" w:color="auto" w:fill="E1DFDD"/>
    </w:rPr>
  </w:style>
  <w:style w:type="character" w:customStyle="1" w:styleId="Heading6Char">
    <w:name w:val="Heading 6 Char"/>
    <w:basedOn w:val="DefaultParagraphFont"/>
    <w:link w:val="Heading6"/>
    <w:uiPriority w:val="9"/>
    <w:semiHidden/>
    <w:rsid w:val="00F9455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945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455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9455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9455E"/>
    <w:pPr>
      <w:spacing w:after="200" w:line="240" w:lineRule="auto"/>
    </w:pPr>
    <w:rPr>
      <w:i/>
      <w:iCs/>
      <w:color w:val="92B523" w:themeColor="text2"/>
      <w:sz w:val="18"/>
      <w:szCs w:val="18"/>
    </w:rPr>
  </w:style>
  <w:style w:type="paragraph" w:styleId="Subtitle">
    <w:name w:val="Subtitle"/>
    <w:basedOn w:val="Normal"/>
    <w:next w:val="Normal"/>
    <w:link w:val="SubtitleChar"/>
    <w:uiPriority w:val="11"/>
    <w:qFormat/>
    <w:locked/>
    <w:rsid w:val="00F9455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9455E"/>
    <w:rPr>
      <w:color w:val="5A5A5A" w:themeColor="text1" w:themeTint="A5"/>
      <w:spacing w:val="15"/>
    </w:rPr>
  </w:style>
  <w:style w:type="paragraph" w:styleId="Quote">
    <w:name w:val="Quote"/>
    <w:basedOn w:val="Normal"/>
    <w:next w:val="Normal"/>
    <w:link w:val="QuoteChar"/>
    <w:uiPriority w:val="29"/>
    <w:qFormat/>
    <w:rsid w:val="00F9455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9455E"/>
    <w:rPr>
      <w:i/>
      <w:iCs/>
      <w:color w:val="404040" w:themeColor="text1" w:themeTint="BF"/>
    </w:rPr>
  </w:style>
  <w:style w:type="table" w:customStyle="1" w:styleId="TableGrid1">
    <w:name w:val="Table Grid1"/>
    <w:basedOn w:val="TableNormal"/>
    <w:next w:val="TableGrid"/>
    <w:uiPriority w:val="59"/>
    <w:rsid w:val="0081360F"/>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1523">
      <w:bodyDiv w:val="1"/>
      <w:marLeft w:val="0"/>
      <w:marRight w:val="0"/>
      <w:marTop w:val="0"/>
      <w:marBottom w:val="0"/>
      <w:divBdr>
        <w:top w:val="none" w:sz="0" w:space="0" w:color="auto"/>
        <w:left w:val="none" w:sz="0" w:space="0" w:color="auto"/>
        <w:bottom w:val="none" w:sz="0" w:space="0" w:color="auto"/>
        <w:right w:val="none" w:sz="0" w:space="0" w:color="auto"/>
      </w:divBdr>
    </w:div>
    <w:div w:id="45953719">
      <w:bodyDiv w:val="1"/>
      <w:marLeft w:val="0"/>
      <w:marRight w:val="0"/>
      <w:marTop w:val="0"/>
      <w:marBottom w:val="0"/>
      <w:divBdr>
        <w:top w:val="none" w:sz="0" w:space="0" w:color="auto"/>
        <w:left w:val="none" w:sz="0" w:space="0" w:color="auto"/>
        <w:bottom w:val="none" w:sz="0" w:space="0" w:color="auto"/>
        <w:right w:val="none" w:sz="0" w:space="0" w:color="auto"/>
      </w:divBdr>
    </w:div>
    <w:div w:id="51854836">
      <w:bodyDiv w:val="1"/>
      <w:marLeft w:val="0"/>
      <w:marRight w:val="0"/>
      <w:marTop w:val="0"/>
      <w:marBottom w:val="0"/>
      <w:divBdr>
        <w:top w:val="none" w:sz="0" w:space="0" w:color="auto"/>
        <w:left w:val="none" w:sz="0" w:space="0" w:color="auto"/>
        <w:bottom w:val="none" w:sz="0" w:space="0" w:color="auto"/>
        <w:right w:val="none" w:sz="0" w:space="0" w:color="auto"/>
      </w:divBdr>
    </w:div>
    <w:div w:id="103379878">
      <w:bodyDiv w:val="1"/>
      <w:marLeft w:val="0"/>
      <w:marRight w:val="0"/>
      <w:marTop w:val="0"/>
      <w:marBottom w:val="0"/>
      <w:divBdr>
        <w:top w:val="none" w:sz="0" w:space="0" w:color="auto"/>
        <w:left w:val="none" w:sz="0" w:space="0" w:color="auto"/>
        <w:bottom w:val="none" w:sz="0" w:space="0" w:color="auto"/>
        <w:right w:val="none" w:sz="0" w:space="0" w:color="auto"/>
      </w:divBdr>
    </w:div>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282545305">
      <w:bodyDiv w:val="1"/>
      <w:marLeft w:val="0"/>
      <w:marRight w:val="0"/>
      <w:marTop w:val="0"/>
      <w:marBottom w:val="0"/>
      <w:divBdr>
        <w:top w:val="none" w:sz="0" w:space="0" w:color="auto"/>
        <w:left w:val="none" w:sz="0" w:space="0" w:color="auto"/>
        <w:bottom w:val="none" w:sz="0" w:space="0" w:color="auto"/>
        <w:right w:val="none" w:sz="0" w:space="0" w:color="auto"/>
      </w:divBdr>
    </w:div>
    <w:div w:id="333849258">
      <w:bodyDiv w:val="1"/>
      <w:marLeft w:val="0"/>
      <w:marRight w:val="0"/>
      <w:marTop w:val="0"/>
      <w:marBottom w:val="0"/>
      <w:divBdr>
        <w:top w:val="none" w:sz="0" w:space="0" w:color="auto"/>
        <w:left w:val="none" w:sz="0" w:space="0" w:color="auto"/>
        <w:bottom w:val="none" w:sz="0" w:space="0" w:color="auto"/>
        <w:right w:val="none" w:sz="0" w:space="0" w:color="auto"/>
      </w:divBdr>
    </w:div>
    <w:div w:id="339241720">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37996888">
      <w:bodyDiv w:val="1"/>
      <w:marLeft w:val="0"/>
      <w:marRight w:val="0"/>
      <w:marTop w:val="0"/>
      <w:marBottom w:val="0"/>
      <w:divBdr>
        <w:top w:val="none" w:sz="0" w:space="0" w:color="auto"/>
        <w:left w:val="none" w:sz="0" w:space="0" w:color="auto"/>
        <w:bottom w:val="none" w:sz="0" w:space="0" w:color="auto"/>
        <w:right w:val="none" w:sz="0" w:space="0" w:color="auto"/>
      </w:divBdr>
    </w:div>
    <w:div w:id="667488139">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989792203">
      <w:bodyDiv w:val="1"/>
      <w:marLeft w:val="0"/>
      <w:marRight w:val="0"/>
      <w:marTop w:val="0"/>
      <w:marBottom w:val="0"/>
      <w:divBdr>
        <w:top w:val="none" w:sz="0" w:space="0" w:color="auto"/>
        <w:left w:val="none" w:sz="0" w:space="0" w:color="auto"/>
        <w:bottom w:val="none" w:sz="0" w:space="0" w:color="auto"/>
        <w:right w:val="none" w:sz="0" w:space="0" w:color="auto"/>
      </w:divBdr>
    </w:div>
    <w:div w:id="1021082999">
      <w:bodyDiv w:val="1"/>
      <w:marLeft w:val="0"/>
      <w:marRight w:val="0"/>
      <w:marTop w:val="0"/>
      <w:marBottom w:val="0"/>
      <w:divBdr>
        <w:top w:val="none" w:sz="0" w:space="0" w:color="auto"/>
        <w:left w:val="none" w:sz="0" w:space="0" w:color="auto"/>
        <w:bottom w:val="none" w:sz="0" w:space="0" w:color="auto"/>
        <w:right w:val="none" w:sz="0" w:space="0" w:color="auto"/>
      </w:divBdr>
    </w:div>
    <w:div w:id="1025324580">
      <w:bodyDiv w:val="1"/>
      <w:marLeft w:val="0"/>
      <w:marRight w:val="0"/>
      <w:marTop w:val="0"/>
      <w:marBottom w:val="0"/>
      <w:divBdr>
        <w:top w:val="none" w:sz="0" w:space="0" w:color="auto"/>
        <w:left w:val="none" w:sz="0" w:space="0" w:color="auto"/>
        <w:bottom w:val="none" w:sz="0" w:space="0" w:color="auto"/>
        <w:right w:val="none" w:sz="0" w:space="0" w:color="auto"/>
      </w:divBdr>
    </w:div>
    <w:div w:id="1026713413">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06734911">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192378706">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224213697">
      <w:bodyDiv w:val="1"/>
      <w:marLeft w:val="0"/>
      <w:marRight w:val="0"/>
      <w:marTop w:val="0"/>
      <w:marBottom w:val="0"/>
      <w:divBdr>
        <w:top w:val="none" w:sz="0" w:space="0" w:color="auto"/>
        <w:left w:val="none" w:sz="0" w:space="0" w:color="auto"/>
        <w:bottom w:val="none" w:sz="0" w:space="0" w:color="auto"/>
        <w:right w:val="none" w:sz="0" w:space="0" w:color="auto"/>
      </w:divBdr>
    </w:div>
    <w:div w:id="1316376775">
      <w:bodyDiv w:val="1"/>
      <w:marLeft w:val="0"/>
      <w:marRight w:val="0"/>
      <w:marTop w:val="0"/>
      <w:marBottom w:val="0"/>
      <w:divBdr>
        <w:top w:val="none" w:sz="0" w:space="0" w:color="auto"/>
        <w:left w:val="none" w:sz="0" w:space="0" w:color="auto"/>
        <w:bottom w:val="none" w:sz="0" w:space="0" w:color="auto"/>
        <w:right w:val="none" w:sz="0" w:space="0" w:color="auto"/>
      </w:divBdr>
      <w:divsChild>
        <w:div w:id="2071154896">
          <w:marLeft w:val="0"/>
          <w:marRight w:val="0"/>
          <w:marTop w:val="0"/>
          <w:marBottom w:val="0"/>
          <w:divBdr>
            <w:top w:val="none" w:sz="0" w:space="0" w:color="auto"/>
            <w:left w:val="none" w:sz="0" w:space="0" w:color="auto"/>
            <w:bottom w:val="none" w:sz="0" w:space="0" w:color="auto"/>
            <w:right w:val="none" w:sz="0" w:space="0" w:color="auto"/>
          </w:divBdr>
          <w:divsChild>
            <w:div w:id="398133849">
              <w:marLeft w:val="0"/>
              <w:marRight w:val="0"/>
              <w:marTop w:val="0"/>
              <w:marBottom w:val="0"/>
              <w:divBdr>
                <w:top w:val="none" w:sz="0" w:space="0" w:color="E1E1E1"/>
                <w:left w:val="none" w:sz="0" w:space="0" w:color="E1E1E1"/>
                <w:bottom w:val="none" w:sz="0" w:space="0" w:color="E1E1E1"/>
                <w:right w:val="none" w:sz="0" w:space="0" w:color="E1E1E1"/>
              </w:divBdr>
              <w:divsChild>
                <w:div w:id="1106464397">
                  <w:marLeft w:val="0"/>
                  <w:marRight w:val="0"/>
                  <w:marTop w:val="0"/>
                  <w:marBottom w:val="0"/>
                  <w:divBdr>
                    <w:top w:val="none" w:sz="0" w:space="0" w:color="auto"/>
                    <w:left w:val="none" w:sz="0" w:space="0" w:color="auto"/>
                    <w:bottom w:val="none" w:sz="0" w:space="0" w:color="auto"/>
                    <w:right w:val="none" w:sz="0" w:space="0" w:color="auto"/>
                  </w:divBdr>
                  <w:divsChild>
                    <w:div w:id="789322225">
                      <w:marLeft w:val="0"/>
                      <w:marRight w:val="0"/>
                      <w:marTop w:val="0"/>
                      <w:marBottom w:val="0"/>
                      <w:divBdr>
                        <w:top w:val="none" w:sz="0" w:space="0" w:color="auto"/>
                        <w:left w:val="none" w:sz="0" w:space="0" w:color="auto"/>
                        <w:bottom w:val="none" w:sz="0" w:space="0" w:color="auto"/>
                        <w:right w:val="none" w:sz="0" w:space="0" w:color="auto"/>
                      </w:divBdr>
                      <w:divsChild>
                        <w:div w:id="1101798093">
                          <w:marLeft w:val="0"/>
                          <w:marRight w:val="0"/>
                          <w:marTop w:val="0"/>
                          <w:marBottom w:val="0"/>
                          <w:divBdr>
                            <w:top w:val="none" w:sz="0" w:space="0" w:color="auto"/>
                            <w:left w:val="none" w:sz="0" w:space="0" w:color="auto"/>
                            <w:bottom w:val="none" w:sz="0" w:space="0" w:color="auto"/>
                            <w:right w:val="none" w:sz="0" w:space="0" w:color="auto"/>
                          </w:divBdr>
                          <w:divsChild>
                            <w:div w:id="1388802695">
                              <w:marLeft w:val="0"/>
                              <w:marRight w:val="0"/>
                              <w:marTop w:val="0"/>
                              <w:marBottom w:val="0"/>
                              <w:divBdr>
                                <w:top w:val="none" w:sz="0" w:space="0" w:color="auto"/>
                                <w:left w:val="none" w:sz="0" w:space="0" w:color="auto"/>
                                <w:bottom w:val="none" w:sz="0" w:space="0" w:color="auto"/>
                                <w:right w:val="none" w:sz="0" w:space="0" w:color="auto"/>
                              </w:divBdr>
                              <w:divsChild>
                                <w:div w:id="1770732233">
                                  <w:marLeft w:val="0"/>
                                  <w:marRight w:val="0"/>
                                  <w:marTop w:val="0"/>
                                  <w:marBottom w:val="0"/>
                                  <w:divBdr>
                                    <w:top w:val="none" w:sz="0" w:space="0" w:color="auto"/>
                                    <w:left w:val="none" w:sz="0" w:space="0" w:color="auto"/>
                                    <w:bottom w:val="none" w:sz="0" w:space="0" w:color="auto"/>
                                    <w:right w:val="none" w:sz="0" w:space="0" w:color="auto"/>
                                  </w:divBdr>
                                  <w:divsChild>
                                    <w:div w:id="1602301671">
                                      <w:marLeft w:val="0"/>
                                      <w:marRight w:val="0"/>
                                      <w:marTop w:val="0"/>
                                      <w:marBottom w:val="0"/>
                                      <w:divBdr>
                                        <w:top w:val="none" w:sz="0" w:space="0" w:color="auto"/>
                                        <w:left w:val="none" w:sz="0" w:space="0" w:color="auto"/>
                                        <w:bottom w:val="none" w:sz="0" w:space="0" w:color="auto"/>
                                        <w:right w:val="none" w:sz="0" w:space="0" w:color="auto"/>
                                      </w:divBdr>
                                      <w:divsChild>
                                        <w:div w:id="912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579830554">
      <w:bodyDiv w:val="1"/>
      <w:marLeft w:val="0"/>
      <w:marRight w:val="0"/>
      <w:marTop w:val="0"/>
      <w:marBottom w:val="0"/>
      <w:divBdr>
        <w:top w:val="none" w:sz="0" w:space="0" w:color="auto"/>
        <w:left w:val="none" w:sz="0" w:space="0" w:color="auto"/>
        <w:bottom w:val="none" w:sz="0" w:space="0" w:color="auto"/>
        <w:right w:val="none" w:sz="0" w:space="0" w:color="auto"/>
      </w:divBdr>
    </w:div>
    <w:div w:id="1652442080">
      <w:bodyDiv w:val="1"/>
      <w:marLeft w:val="0"/>
      <w:marRight w:val="0"/>
      <w:marTop w:val="0"/>
      <w:marBottom w:val="0"/>
      <w:divBdr>
        <w:top w:val="none" w:sz="0" w:space="0" w:color="auto"/>
        <w:left w:val="none" w:sz="0" w:space="0" w:color="auto"/>
        <w:bottom w:val="none" w:sz="0" w:space="0" w:color="auto"/>
        <w:right w:val="none" w:sz="0" w:space="0" w:color="auto"/>
      </w:divBdr>
    </w:div>
    <w:div w:id="1654480596">
      <w:bodyDiv w:val="1"/>
      <w:marLeft w:val="0"/>
      <w:marRight w:val="0"/>
      <w:marTop w:val="0"/>
      <w:marBottom w:val="0"/>
      <w:divBdr>
        <w:top w:val="none" w:sz="0" w:space="0" w:color="auto"/>
        <w:left w:val="none" w:sz="0" w:space="0" w:color="auto"/>
        <w:bottom w:val="none" w:sz="0" w:space="0" w:color="auto"/>
        <w:right w:val="none" w:sz="0" w:space="0" w:color="auto"/>
      </w:divBdr>
    </w:div>
    <w:div w:id="1745104007">
      <w:bodyDiv w:val="1"/>
      <w:marLeft w:val="0"/>
      <w:marRight w:val="0"/>
      <w:marTop w:val="0"/>
      <w:marBottom w:val="0"/>
      <w:divBdr>
        <w:top w:val="none" w:sz="0" w:space="0" w:color="auto"/>
        <w:left w:val="none" w:sz="0" w:space="0" w:color="auto"/>
        <w:bottom w:val="none" w:sz="0" w:space="0" w:color="auto"/>
        <w:right w:val="none" w:sz="0" w:space="0" w:color="auto"/>
      </w:divBdr>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1914701901">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 w:id="2065912660">
      <w:bodyDiv w:val="1"/>
      <w:marLeft w:val="0"/>
      <w:marRight w:val="0"/>
      <w:marTop w:val="0"/>
      <w:marBottom w:val="0"/>
      <w:divBdr>
        <w:top w:val="none" w:sz="0" w:space="0" w:color="auto"/>
        <w:left w:val="none" w:sz="0" w:space="0" w:color="auto"/>
        <w:bottom w:val="none" w:sz="0" w:space="0" w:color="auto"/>
        <w:right w:val="none" w:sz="0" w:space="0" w:color="auto"/>
      </w:divBdr>
    </w:div>
    <w:div w:id="20884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cid:image003.png@01D59A0C.1A425EE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nsfl.health.govt.nz"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nsfl@health.govt.nz" TargetMode="Externa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file:///C:\Users\phanning.tas\AppData\Local\Microsoft\Windows\INetCache\Content.Outlook\H49VLJ4Y\www.health.govt.nz\publication\auditing-requirements-home-and-community-support-sector-standard-nzs-81582012" TargetMode="External"/><Relationship Id="rId3" Type="http://schemas.openxmlformats.org/officeDocument/2006/relationships/hyperlink" Target="file:///C:\Users\phanning.tas\AppData\Local\Microsoft\Windows\INetCache\Content.Outlook\H49VLJ4Y\www.dementia.nz\files\infosheet\about_dementia_3_info_for_family_nz.pdf" TargetMode="External"/><Relationship Id="rId7" Type="http://schemas.openxmlformats.org/officeDocument/2006/relationships/hyperlink" Target="file:///C:\Users\phanning.tas\AppData\Local\Microsoft\Windows\INetCache\Content.Outlook\H49VLJ4Y\www.health.govt.nz\publication\hiso-100012017-ethnicity-data-protocols" TargetMode="External"/><Relationship Id="rId2" Type="http://schemas.openxmlformats.org/officeDocument/2006/relationships/hyperlink" Target="file:///C:\Users\phanning.tas\AppData\Local\Microsoft\Windows\INetCache\Content.Outlook\H49VLJ4Y\www.livestronger.org.nz\" TargetMode="External"/><Relationship Id="rId1" Type="http://schemas.openxmlformats.org/officeDocument/2006/relationships/hyperlink" Target="file:///C:\Users\phanning.tas\AppData\Local\Microsoft\Windows\INetCache\Content.Outlook\H49VLJ4Y\www.hqsc.govt.nz\assets\ACP\PR\ACP_Plan_print_.pdf" TargetMode="External"/><Relationship Id="rId6" Type="http://schemas.openxmlformats.org/officeDocument/2006/relationships/hyperlink" Target="file:///C:\Users\JCraven\AppData\Local\Temp\notesEE1E3E\www.health.govt.nz\publication\medication-guidelines-home-and-community-support-services-sector" TargetMode="External"/><Relationship Id="rId5" Type="http://schemas.openxmlformats.org/officeDocument/2006/relationships/hyperlink" Target="http://www.hcha.org.nz/news/complaints-categorisation-guidance-available" TargetMode="External"/><Relationship Id="rId4" Type="http://schemas.openxmlformats.org/officeDocument/2006/relationships/hyperlink" Target="file:///C:\Users\phanning.tas\AppData\Local\Microsoft\Windows\INetCache\Content.Outlook\H49VLJ4Y\www.legislation.govt.nz\act\public\2017\0024\28.0\DLM7269154.html" TargetMode="Externa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538E-B5F5-4A38-BDCE-A78BB7DD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9410</Words>
  <Characters>53639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NATIONAL Home &amp; Community Support Service  
Specification</vt:lpstr>
    </vt:vector>
  </TitlesOfParts>
  <Company>Technical Advisory Services</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Home &amp; Community Support Service  
Specification</dc:title>
  <dc:subject>Tier Two</dc:subject>
  <dc:creator>Version 1.1 after Strawman</dc:creator>
  <cp:keywords/>
  <dc:description/>
  <cp:lastModifiedBy>Jane Craven</cp:lastModifiedBy>
  <cp:revision>2</cp:revision>
  <cp:lastPrinted>2019-11-13T20:27:00Z</cp:lastPrinted>
  <dcterms:created xsi:type="dcterms:W3CDTF">2020-09-02T03:54:00Z</dcterms:created>
  <dcterms:modified xsi:type="dcterms:W3CDTF">2020-09-02T03:54:00Z</dcterms:modified>
</cp:coreProperties>
</file>