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E393" w14:textId="6ADA9A48" w:rsidR="002B205D" w:rsidRDefault="002B205D" w:rsidP="002B205D">
      <w:pPr>
        <w:rPr>
          <w:rFonts w:eastAsia="Times New Roman"/>
        </w:rPr>
      </w:pPr>
      <w:r>
        <w:rPr>
          <w:rFonts w:eastAsia="Times New Roman"/>
        </w:rPr>
        <w:t> </w:t>
      </w:r>
      <w:r>
        <w:rPr>
          <w:rFonts w:ascii="Aptos" w:eastAsia="Times New Roman" w:hAnsi="Aptos"/>
          <w:noProof/>
          <w:color w:val="000000"/>
          <w:sz w:val="24"/>
          <w:szCs w:val="24"/>
        </w:rPr>
        <w:drawing>
          <wp:inline distT="0" distB="0" distL="0" distR="0" wp14:anchorId="015DD1D2" wp14:editId="10A6D233">
            <wp:extent cx="5731510" cy="1162685"/>
            <wp:effectExtent l="0" t="0" r="2540" b="0"/>
            <wp:docPr id="7704627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62685"/>
                    </a:xfrm>
                    <a:prstGeom prst="rect">
                      <a:avLst/>
                    </a:prstGeom>
                    <a:noFill/>
                    <a:ln>
                      <a:noFill/>
                    </a:ln>
                  </pic:spPr>
                </pic:pic>
              </a:graphicData>
            </a:graphic>
          </wp:inline>
        </w:drawing>
      </w:r>
    </w:p>
    <w:tbl>
      <w:tblPr>
        <w:tblW w:w="12184" w:type="dxa"/>
        <w:jc w:val="center"/>
        <w:tblLook w:val="04A0" w:firstRow="1" w:lastRow="0" w:firstColumn="1" w:lastColumn="0" w:noHBand="0" w:noVBand="1"/>
      </w:tblPr>
      <w:tblGrid>
        <w:gridCol w:w="266"/>
        <w:gridCol w:w="11640"/>
        <w:gridCol w:w="278"/>
      </w:tblGrid>
      <w:tr w:rsidR="002B205D" w14:paraId="22823A89" w14:textId="77777777" w:rsidTr="002B205D">
        <w:trPr>
          <w:jc w:val="center"/>
        </w:trPr>
        <w:tc>
          <w:tcPr>
            <w:tcW w:w="12184" w:type="dxa"/>
            <w:gridSpan w:val="3"/>
            <w:tcBorders>
              <w:top w:val="single" w:sz="8" w:space="0" w:color="E7E6E6"/>
              <w:left w:val="single" w:sz="8" w:space="0" w:color="E7E6E6"/>
              <w:bottom w:val="nil"/>
              <w:right w:val="single" w:sz="8" w:space="0" w:color="E7E6E6"/>
            </w:tcBorders>
            <w:tcMar>
              <w:top w:w="142" w:type="dxa"/>
              <w:left w:w="108" w:type="dxa"/>
              <w:bottom w:w="142" w:type="dxa"/>
              <w:right w:w="108" w:type="dxa"/>
            </w:tcMar>
            <w:hideMark/>
          </w:tcPr>
          <w:p w14:paraId="075D5493" w14:textId="77777777" w:rsidR="002B205D" w:rsidRDefault="002B205D">
            <w:pPr>
              <w:rPr>
                <w:rFonts w:eastAsia="Times New Roman"/>
              </w:rPr>
            </w:pPr>
          </w:p>
        </w:tc>
      </w:tr>
      <w:tr w:rsidR="002B205D" w14:paraId="33DF8826" w14:textId="77777777" w:rsidTr="002B205D">
        <w:trPr>
          <w:jc w:val="center"/>
        </w:trPr>
        <w:tc>
          <w:tcPr>
            <w:tcW w:w="266" w:type="dxa"/>
            <w:tcBorders>
              <w:top w:val="nil"/>
              <w:left w:val="single" w:sz="8" w:space="0" w:color="E7E6E6"/>
              <w:bottom w:val="single" w:sz="8" w:space="0" w:color="E7E6E6"/>
              <w:right w:val="nil"/>
            </w:tcBorders>
            <w:tcMar>
              <w:top w:w="142" w:type="dxa"/>
              <w:left w:w="108" w:type="dxa"/>
              <w:bottom w:w="142" w:type="dxa"/>
              <w:right w:w="108" w:type="dxa"/>
            </w:tcMar>
            <w:hideMark/>
          </w:tcPr>
          <w:p w14:paraId="790C56E8" w14:textId="77777777" w:rsidR="002B205D" w:rsidRDefault="002B205D">
            <w:pPr>
              <w:pStyle w:val="NormalWeb"/>
            </w:pPr>
            <w:r>
              <w:rPr>
                <w:color w:val="000000"/>
                <w:sz w:val="20"/>
                <w:szCs w:val="20"/>
              </w:rPr>
              <w:t> </w:t>
            </w:r>
          </w:p>
        </w:tc>
        <w:tc>
          <w:tcPr>
            <w:tcW w:w="11640" w:type="dxa"/>
            <w:tcBorders>
              <w:top w:val="nil"/>
              <w:left w:val="nil"/>
              <w:bottom w:val="single" w:sz="8" w:space="0" w:color="E7E6E6"/>
              <w:right w:val="nil"/>
            </w:tcBorders>
            <w:tcMar>
              <w:top w:w="142" w:type="dxa"/>
              <w:left w:w="108" w:type="dxa"/>
              <w:bottom w:w="142" w:type="dxa"/>
              <w:right w:w="108" w:type="dxa"/>
            </w:tcMar>
            <w:hideMark/>
          </w:tcPr>
          <w:tbl>
            <w:tblPr>
              <w:tblW w:w="0" w:type="auto"/>
              <w:tblLook w:val="04A0" w:firstRow="1" w:lastRow="0" w:firstColumn="1" w:lastColumn="0" w:noHBand="0" w:noVBand="1"/>
            </w:tblPr>
            <w:tblGrid>
              <w:gridCol w:w="2895"/>
              <w:gridCol w:w="8505"/>
            </w:tblGrid>
            <w:tr w:rsidR="002B205D" w14:paraId="36F99AE6" w14:textId="77777777">
              <w:trPr>
                <w:trHeight w:val="3583"/>
              </w:trPr>
              <w:tc>
                <w:tcPr>
                  <w:tcW w:w="2895" w:type="dxa"/>
                  <w:hideMark/>
                </w:tcPr>
                <w:p w14:paraId="696F0AE0" w14:textId="660CE24F" w:rsidR="002B205D" w:rsidRDefault="002B205D">
                  <w:pPr>
                    <w:rPr>
                      <w:rFonts w:eastAsia="Times New Roman"/>
                    </w:rPr>
                  </w:pPr>
                  <w:r>
                    <w:rPr>
                      <w:rFonts w:ascii="Aptos" w:eastAsia="Times New Roman" w:hAnsi="Aptos"/>
                      <w:noProof/>
                      <w:color w:val="000000"/>
                      <w:sz w:val="24"/>
                      <w:szCs w:val="24"/>
                    </w:rPr>
                    <w:drawing>
                      <wp:inline distT="0" distB="0" distL="0" distR="0" wp14:anchorId="07472967" wp14:editId="44EA27FD">
                        <wp:extent cx="1574800" cy="1936750"/>
                        <wp:effectExtent l="0" t="0" r="6350" b="6350"/>
                        <wp:docPr id="16829343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image_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0" cy="1936750"/>
                                </a:xfrm>
                                <a:prstGeom prst="rect">
                                  <a:avLst/>
                                </a:prstGeom>
                                <a:noFill/>
                                <a:ln>
                                  <a:noFill/>
                                </a:ln>
                              </pic:spPr>
                            </pic:pic>
                          </a:graphicData>
                        </a:graphic>
                      </wp:inline>
                    </w:drawing>
                  </w:r>
                </w:p>
              </w:tc>
              <w:tc>
                <w:tcPr>
                  <w:tcW w:w="8505" w:type="dxa"/>
                  <w:hideMark/>
                </w:tcPr>
                <w:p w14:paraId="6401124F" w14:textId="77777777" w:rsidR="002B205D" w:rsidRDefault="002B205D">
                  <w:pPr>
                    <w:pStyle w:val="NormalWeb"/>
                  </w:pPr>
                  <w:r>
                    <w:rPr>
                      <w:rFonts w:ascii="Poppins" w:hAnsi="Poppins" w:cs="Poppins"/>
                      <w:b/>
                      <w:bCs/>
                      <w:color w:val="30A1AC"/>
                      <w:sz w:val="28"/>
                      <w:szCs w:val="28"/>
                    </w:rPr>
                    <w:t>Kia ora tātou</w:t>
                  </w:r>
                </w:p>
                <w:p w14:paraId="18283FDC" w14:textId="77777777" w:rsidR="002B205D" w:rsidRDefault="002B205D">
                  <w:pPr>
                    <w:pStyle w:val="NormalWeb"/>
                  </w:pPr>
                  <w:r>
                    <w:rPr>
                      <w:rFonts w:ascii="Arial" w:hAnsi="Arial" w:cs="Arial"/>
                      <w:color w:val="000000"/>
                    </w:rPr>
                    <w:t> </w:t>
                  </w:r>
                </w:p>
                <w:p w14:paraId="5B26A89F" w14:textId="77777777" w:rsidR="002B205D" w:rsidRDefault="002B205D">
                  <w:pPr>
                    <w:pStyle w:val="elementtoproof"/>
                  </w:pPr>
                  <w:r>
                    <w:rPr>
                      <w:rFonts w:ascii="Arial" w:hAnsi="Arial" w:cs="Arial"/>
                      <w:color w:val="000000"/>
                    </w:rPr>
                    <w:t xml:space="preserve">These regular pānui aim to keep everyone with an interest in the </w:t>
                  </w:r>
                  <w:hyperlink r:id="rId7" w:history="1">
                    <w:r>
                      <w:rPr>
                        <w:rStyle w:val="Hyperlink"/>
                        <w:rFonts w:ascii="Arial" w:hAnsi="Arial" w:cs="Arial"/>
                      </w:rPr>
                      <w:t>Hira Programme</w:t>
                    </w:r>
                  </w:hyperlink>
                  <w:r>
                    <w:rPr>
                      <w:rFonts w:ascii="Arial" w:hAnsi="Arial" w:cs="Arial"/>
                      <w:color w:val="000000"/>
                    </w:rPr>
                    <w:t> up-to-date on our latest programme activities. This includes healthcare consumers, whānau and communities, health professionals and providers, digital health suppliers, and others with an interest in digital health.</w:t>
                  </w:r>
                </w:p>
                <w:p w14:paraId="751FC376" w14:textId="77777777" w:rsidR="002B205D" w:rsidRDefault="002B205D">
                  <w:pPr>
                    <w:pStyle w:val="NormalWeb"/>
                  </w:pPr>
                  <w:r>
                    <w:rPr>
                      <w:rFonts w:ascii="Arial" w:hAnsi="Arial" w:cs="Arial"/>
                      <w:color w:val="000000"/>
                    </w:rPr>
                    <w:t> </w:t>
                  </w:r>
                </w:p>
                <w:p w14:paraId="5E9A6EB1" w14:textId="77777777" w:rsidR="002B205D" w:rsidRDefault="002B205D">
                  <w:pPr>
                    <w:pStyle w:val="NormalWeb"/>
                  </w:pPr>
                  <w:r>
                    <w:rPr>
                      <w:rFonts w:ascii="Arial" w:hAnsi="Arial" w:cs="Arial"/>
                      <w:color w:val="000000"/>
                    </w:rPr>
                    <w:t>Thank you to the many groups and individuals who are so generous with their time, support, and advice as we continue towards our goal of empowering people to see, manage, and contribute to their health and wellbeing information.</w:t>
                  </w:r>
                </w:p>
                <w:p w14:paraId="65955AA2" w14:textId="77777777" w:rsidR="002B205D" w:rsidRDefault="002B205D">
                  <w:pPr>
                    <w:pStyle w:val="NormalWeb"/>
                  </w:pPr>
                  <w:r>
                    <w:rPr>
                      <w:rFonts w:ascii="Poppins" w:hAnsi="Poppins" w:cs="Poppins"/>
                      <w:color w:val="000000"/>
                      <w:sz w:val="10"/>
                      <w:szCs w:val="10"/>
                    </w:rPr>
                    <w:t> </w:t>
                  </w:r>
                </w:p>
                <w:p w14:paraId="2DC2ECFE" w14:textId="77777777" w:rsidR="002B205D" w:rsidRDefault="002B205D">
                  <w:pPr>
                    <w:pStyle w:val="NormalWeb"/>
                  </w:pPr>
                  <w:r>
                    <w:rPr>
                      <w:rFonts w:ascii="Arial" w:hAnsi="Arial" w:cs="Arial"/>
                      <w:color w:val="000000"/>
                    </w:rPr>
                    <w:t>Ngā mihi nui</w:t>
                  </w:r>
                </w:p>
                <w:p w14:paraId="2A0A9495" w14:textId="77777777" w:rsidR="002B205D" w:rsidRDefault="002B205D">
                  <w:pPr>
                    <w:pStyle w:val="NormalWeb"/>
                  </w:pPr>
                  <w:r>
                    <w:rPr>
                      <w:rFonts w:ascii="Arial" w:hAnsi="Arial" w:cs="Arial"/>
                      <w:color w:val="000000"/>
                    </w:rPr>
                    <w:t> </w:t>
                  </w:r>
                </w:p>
                <w:p w14:paraId="72F2D677" w14:textId="77777777" w:rsidR="002B205D" w:rsidRDefault="002B205D">
                  <w:pPr>
                    <w:pStyle w:val="NormalWeb"/>
                  </w:pPr>
                  <w:r>
                    <w:rPr>
                      <w:rFonts w:ascii="Arial" w:hAnsi="Arial" w:cs="Arial"/>
                      <w:color w:val="000000"/>
                    </w:rPr>
                    <w:t>Gerard Keenan</w:t>
                  </w:r>
                </w:p>
                <w:p w14:paraId="691A983A" w14:textId="77777777" w:rsidR="002B205D" w:rsidRDefault="002B205D">
                  <w:pPr>
                    <w:pStyle w:val="NormalWeb"/>
                  </w:pPr>
                  <w:r>
                    <w:rPr>
                      <w:rFonts w:ascii="Arial" w:hAnsi="Arial" w:cs="Arial"/>
                      <w:color w:val="000000"/>
                    </w:rPr>
                    <w:t>Director Hira Programme and Technology Enablers</w:t>
                  </w:r>
                </w:p>
                <w:p w14:paraId="3C4ED2CB" w14:textId="77777777" w:rsidR="002B205D" w:rsidRDefault="002B205D">
                  <w:pPr>
                    <w:pStyle w:val="NormalWeb"/>
                  </w:pPr>
                  <w:r>
                    <w:rPr>
                      <w:rFonts w:ascii="Poppins" w:hAnsi="Poppins" w:cs="Poppins"/>
                      <w:color w:val="000000"/>
                      <w:sz w:val="10"/>
                      <w:szCs w:val="10"/>
                    </w:rPr>
                    <w:t> </w:t>
                  </w:r>
                </w:p>
              </w:tc>
            </w:tr>
          </w:tbl>
          <w:p w14:paraId="20B84BA3" w14:textId="77777777" w:rsidR="002B205D" w:rsidRDefault="002B205D">
            <w:pPr>
              <w:rPr>
                <w:rFonts w:ascii="Times New Roman" w:eastAsia="Times New Roman" w:hAnsi="Times New Roman" w:cs="Times New Roman"/>
                <w:sz w:val="20"/>
                <w:szCs w:val="20"/>
              </w:rPr>
            </w:pPr>
          </w:p>
        </w:tc>
        <w:tc>
          <w:tcPr>
            <w:tcW w:w="278" w:type="dxa"/>
            <w:tcBorders>
              <w:top w:val="nil"/>
              <w:left w:val="nil"/>
              <w:bottom w:val="single" w:sz="8" w:space="0" w:color="E7E6E6"/>
              <w:right w:val="single" w:sz="8" w:space="0" w:color="E7E6E6"/>
            </w:tcBorders>
            <w:tcMar>
              <w:top w:w="142" w:type="dxa"/>
              <w:left w:w="108" w:type="dxa"/>
              <w:bottom w:w="142" w:type="dxa"/>
              <w:right w:w="108" w:type="dxa"/>
            </w:tcMar>
            <w:hideMark/>
          </w:tcPr>
          <w:p w14:paraId="593A7D23" w14:textId="77777777" w:rsidR="002B205D" w:rsidRDefault="002B205D">
            <w:pPr>
              <w:pStyle w:val="NormalWeb"/>
            </w:pPr>
            <w:r>
              <w:rPr>
                <w:rFonts w:ascii="Arial" w:hAnsi="Arial" w:cs="Arial"/>
                <w:color w:val="000000"/>
                <w:sz w:val="20"/>
                <w:szCs w:val="20"/>
              </w:rPr>
              <w:t> </w:t>
            </w:r>
          </w:p>
        </w:tc>
      </w:tr>
      <w:tr w:rsidR="002B205D" w14:paraId="66A9D107" w14:textId="77777777" w:rsidTr="002B205D">
        <w:trPr>
          <w:jc w:val="center"/>
        </w:trPr>
        <w:tc>
          <w:tcPr>
            <w:tcW w:w="266" w:type="dxa"/>
            <w:tcBorders>
              <w:top w:val="nil"/>
              <w:left w:val="single" w:sz="8" w:space="0" w:color="E7E6E6"/>
              <w:bottom w:val="single" w:sz="8" w:space="0" w:color="E7E6E6"/>
              <w:right w:val="nil"/>
            </w:tcBorders>
            <w:tcMar>
              <w:top w:w="142" w:type="dxa"/>
              <w:left w:w="108" w:type="dxa"/>
              <w:bottom w:w="142" w:type="dxa"/>
              <w:right w:w="108" w:type="dxa"/>
            </w:tcMar>
            <w:hideMark/>
          </w:tcPr>
          <w:p w14:paraId="2176EAE1" w14:textId="77777777" w:rsidR="002B205D" w:rsidRDefault="002B205D">
            <w:pPr>
              <w:pStyle w:val="NormalWeb"/>
            </w:pPr>
            <w:r>
              <w:rPr>
                <w:color w:val="000000"/>
                <w:sz w:val="20"/>
                <w:szCs w:val="20"/>
              </w:rPr>
              <w:t> </w:t>
            </w:r>
          </w:p>
        </w:tc>
        <w:tc>
          <w:tcPr>
            <w:tcW w:w="11640" w:type="dxa"/>
            <w:tcBorders>
              <w:top w:val="nil"/>
              <w:left w:val="nil"/>
              <w:bottom w:val="single" w:sz="8" w:space="0" w:color="E7E6E6"/>
              <w:right w:val="nil"/>
            </w:tcBorders>
            <w:tcMar>
              <w:top w:w="142" w:type="dxa"/>
              <w:left w:w="108" w:type="dxa"/>
              <w:bottom w:w="142" w:type="dxa"/>
              <w:right w:w="108" w:type="dxa"/>
            </w:tcMar>
            <w:hideMark/>
          </w:tcPr>
          <w:tbl>
            <w:tblPr>
              <w:tblW w:w="0" w:type="auto"/>
              <w:tblLook w:val="04A0" w:firstRow="1" w:lastRow="0" w:firstColumn="1" w:lastColumn="0" w:noHBand="0" w:noVBand="1"/>
            </w:tblPr>
            <w:tblGrid>
              <w:gridCol w:w="11405"/>
            </w:tblGrid>
            <w:tr w:rsidR="002B205D" w14:paraId="76F73E19" w14:textId="77777777">
              <w:tc>
                <w:tcPr>
                  <w:tcW w:w="11405" w:type="dxa"/>
                  <w:hideMark/>
                </w:tcPr>
                <w:p w14:paraId="6A1D81BE" w14:textId="77777777" w:rsidR="002B205D" w:rsidRDefault="002B205D">
                  <w:pPr>
                    <w:pStyle w:val="Heading1"/>
                    <w:spacing w:before="11" w:beforeAutospacing="0" w:after="240" w:afterAutospacing="0" w:line="309" w:lineRule="atLeast"/>
                    <w:ind w:left="22"/>
                    <w:rPr>
                      <w:rFonts w:ascii="Arial" w:eastAsia="Times New Roman" w:hAnsi="Arial" w:cs="Arial"/>
                      <w:color w:val="0C818F"/>
                      <w:sz w:val="27"/>
                      <w:szCs w:val="27"/>
                    </w:rPr>
                  </w:pPr>
                  <w:r>
                    <w:rPr>
                      <w:rFonts w:ascii="Poppins" w:eastAsia="Times New Roman" w:hAnsi="Poppins" w:cs="Poppins"/>
                      <w:color w:val="0C818F"/>
                      <w:sz w:val="28"/>
                      <w:szCs w:val="28"/>
                    </w:rPr>
                    <w:t>What we are delivering</w:t>
                  </w:r>
                </w:p>
                <w:p w14:paraId="09074538" w14:textId="4DD6A0AD" w:rsidR="002B205D" w:rsidRDefault="002B205D">
                  <w:pPr>
                    <w:rPr>
                      <w:rFonts w:eastAsia="Times New Roman"/>
                    </w:rPr>
                  </w:pPr>
                  <w:r>
                    <w:rPr>
                      <w:rFonts w:ascii="Poppins" w:eastAsia="Times New Roman" w:hAnsi="Poppins" w:cs="Poppins"/>
                      <w:noProof/>
                      <w:color w:val="30A1AC"/>
                      <w:sz w:val="28"/>
                      <w:szCs w:val="28"/>
                    </w:rPr>
                    <w:drawing>
                      <wp:inline distT="0" distB="0" distL="0" distR="0" wp14:anchorId="500C0C2A" wp14:editId="538C70F7">
                        <wp:extent cx="3162300" cy="2343150"/>
                        <wp:effectExtent l="0" t="0" r="0" b="0"/>
                        <wp:docPr id="3269394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image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343150"/>
                                </a:xfrm>
                                <a:prstGeom prst="rect">
                                  <a:avLst/>
                                </a:prstGeom>
                                <a:noFill/>
                                <a:ln>
                                  <a:noFill/>
                                </a:ln>
                              </pic:spPr>
                            </pic:pic>
                          </a:graphicData>
                        </a:graphic>
                      </wp:inline>
                    </w:drawing>
                  </w:r>
                  <w:r>
                    <w:rPr>
                      <w:rFonts w:ascii="Poppins" w:eastAsia="Times New Roman" w:hAnsi="Poppins" w:cs="Poppins"/>
                      <w:noProof/>
                      <w:color w:val="000000"/>
                      <w:sz w:val="28"/>
                      <w:szCs w:val="28"/>
                    </w:rPr>
                    <w:drawing>
                      <wp:inline distT="0" distB="0" distL="0" distR="0" wp14:anchorId="793B91FD" wp14:editId="08F19DD7">
                        <wp:extent cx="1981200" cy="2063750"/>
                        <wp:effectExtent l="0" t="0" r="0" b="0"/>
                        <wp:docPr id="8766341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image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063750"/>
                                </a:xfrm>
                                <a:prstGeom prst="rect">
                                  <a:avLst/>
                                </a:prstGeom>
                                <a:noFill/>
                                <a:ln>
                                  <a:noFill/>
                                </a:ln>
                              </pic:spPr>
                            </pic:pic>
                          </a:graphicData>
                        </a:graphic>
                      </wp:inline>
                    </w:drawing>
                  </w:r>
                </w:p>
              </w:tc>
            </w:tr>
          </w:tbl>
          <w:p w14:paraId="06162D3C" w14:textId="77777777" w:rsidR="002B205D" w:rsidRDefault="002B205D">
            <w:pPr>
              <w:rPr>
                <w:rFonts w:ascii="Times New Roman" w:eastAsia="Times New Roman" w:hAnsi="Times New Roman" w:cs="Times New Roman"/>
                <w:sz w:val="20"/>
                <w:szCs w:val="20"/>
              </w:rPr>
            </w:pPr>
          </w:p>
        </w:tc>
        <w:tc>
          <w:tcPr>
            <w:tcW w:w="278" w:type="dxa"/>
            <w:tcBorders>
              <w:top w:val="nil"/>
              <w:left w:val="nil"/>
              <w:bottom w:val="single" w:sz="8" w:space="0" w:color="E7E6E6"/>
              <w:right w:val="single" w:sz="8" w:space="0" w:color="E7E6E6"/>
            </w:tcBorders>
            <w:tcMar>
              <w:top w:w="142" w:type="dxa"/>
              <w:left w:w="108" w:type="dxa"/>
              <w:bottom w:w="142" w:type="dxa"/>
              <w:right w:w="108" w:type="dxa"/>
            </w:tcMar>
            <w:hideMark/>
          </w:tcPr>
          <w:p w14:paraId="1BD21CDB" w14:textId="77777777" w:rsidR="002B205D" w:rsidRDefault="002B205D">
            <w:pPr>
              <w:pStyle w:val="NormalWeb"/>
            </w:pPr>
            <w:r>
              <w:rPr>
                <w:rFonts w:ascii="Arial" w:hAnsi="Arial" w:cs="Arial"/>
                <w:color w:val="000000"/>
                <w:sz w:val="20"/>
                <w:szCs w:val="20"/>
              </w:rPr>
              <w:t> </w:t>
            </w:r>
          </w:p>
        </w:tc>
      </w:tr>
      <w:tr w:rsidR="002B205D" w14:paraId="5AFEDD57" w14:textId="77777777" w:rsidTr="002B205D">
        <w:trPr>
          <w:jc w:val="center"/>
        </w:trPr>
        <w:tc>
          <w:tcPr>
            <w:tcW w:w="266" w:type="dxa"/>
            <w:tcBorders>
              <w:top w:val="nil"/>
              <w:left w:val="single" w:sz="8" w:space="0" w:color="E7E6E6"/>
              <w:bottom w:val="single" w:sz="8" w:space="0" w:color="E7E6E6"/>
              <w:right w:val="nil"/>
            </w:tcBorders>
            <w:tcMar>
              <w:top w:w="142" w:type="dxa"/>
              <w:left w:w="108" w:type="dxa"/>
              <w:bottom w:w="142" w:type="dxa"/>
              <w:right w:w="108" w:type="dxa"/>
            </w:tcMar>
            <w:hideMark/>
          </w:tcPr>
          <w:p w14:paraId="1BC4E0B9" w14:textId="77777777" w:rsidR="002B205D" w:rsidRDefault="002B205D">
            <w:pPr>
              <w:pStyle w:val="NormalWeb"/>
            </w:pPr>
            <w:r>
              <w:rPr>
                <w:color w:val="000000"/>
                <w:sz w:val="20"/>
                <w:szCs w:val="20"/>
              </w:rPr>
              <w:lastRenderedPageBreak/>
              <w:t> </w:t>
            </w:r>
          </w:p>
        </w:tc>
        <w:tc>
          <w:tcPr>
            <w:tcW w:w="11640" w:type="dxa"/>
            <w:tcBorders>
              <w:top w:val="nil"/>
              <w:left w:val="nil"/>
              <w:bottom w:val="single" w:sz="8" w:space="0" w:color="E7E6E6"/>
              <w:right w:val="nil"/>
            </w:tcBorders>
            <w:tcMar>
              <w:top w:w="142" w:type="dxa"/>
              <w:left w:w="108" w:type="dxa"/>
              <w:bottom w:w="142" w:type="dxa"/>
              <w:right w:w="108" w:type="dxa"/>
            </w:tcMar>
            <w:hideMark/>
          </w:tcPr>
          <w:tbl>
            <w:tblPr>
              <w:tblW w:w="11035" w:type="dxa"/>
              <w:tblLook w:val="04A0" w:firstRow="1" w:lastRow="0" w:firstColumn="1" w:lastColumn="0" w:noHBand="0" w:noVBand="1"/>
            </w:tblPr>
            <w:tblGrid>
              <w:gridCol w:w="11035"/>
            </w:tblGrid>
            <w:tr w:rsidR="002B205D" w14:paraId="40817F5C" w14:textId="77777777" w:rsidTr="00877AD0">
              <w:trPr>
                <w:trHeight w:val="2561"/>
              </w:trPr>
              <w:tc>
                <w:tcPr>
                  <w:tcW w:w="11035" w:type="dxa"/>
                  <w:hideMark/>
                </w:tcPr>
                <w:p w14:paraId="34EB6F56" w14:textId="77777777" w:rsidR="002B205D" w:rsidRDefault="002B205D">
                  <w:pPr>
                    <w:pStyle w:val="Heading1"/>
                    <w:spacing w:before="11" w:beforeAutospacing="0" w:after="240" w:afterAutospacing="0" w:line="309" w:lineRule="atLeast"/>
                    <w:ind w:left="22"/>
                    <w:rPr>
                      <w:rFonts w:ascii="Arial" w:eastAsia="Times New Roman" w:hAnsi="Arial" w:cs="Arial"/>
                      <w:color w:val="0C818F"/>
                      <w:sz w:val="27"/>
                      <w:szCs w:val="27"/>
                    </w:rPr>
                  </w:pPr>
                  <w:r>
                    <w:rPr>
                      <w:rFonts w:ascii="Poppins" w:eastAsia="Times New Roman" w:hAnsi="Poppins" w:cs="Poppins"/>
                      <w:color w:val="30A1AC"/>
                      <w:sz w:val="28"/>
                      <w:szCs w:val="28"/>
                    </w:rPr>
                    <w:t>In this issue</w:t>
                  </w:r>
                </w:p>
                <w:p w14:paraId="471AFEFF" w14:textId="77777777" w:rsidR="002B205D" w:rsidRDefault="002B205D">
                  <w:pPr>
                    <w:numPr>
                      <w:ilvl w:val="0"/>
                      <w:numId w:val="1"/>
                    </w:numPr>
                    <w:rPr>
                      <w:rFonts w:ascii="Aptos" w:eastAsia="Times New Roman" w:hAnsi="Aptos"/>
                      <w:color w:val="000000"/>
                      <w:sz w:val="24"/>
                      <w:szCs w:val="24"/>
                    </w:rPr>
                  </w:pPr>
                  <w:r>
                    <w:rPr>
                      <w:rFonts w:ascii="Arial" w:eastAsia="Times New Roman" w:hAnsi="Arial" w:cs="Arial"/>
                      <w:color w:val="000000"/>
                    </w:rPr>
                    <w:t>March 2024 ‘Ring of FHIR’ Connectathon</w:t>
                  </w:r>
                </w:p>
                <w:p w14:paraId="71B564C9" w14:textId="77777777" w:rsidR="002B205D" w:rsidRDefault="002B205D">
                  <w:pPr>
                    <w:numPr>
                      <w:ilvl w:val="0"/>
                      <w:numId w:val="1"/>
                    </w:numPr>
                    <w:rPr>
                      <w:rFonts w:eastAsia="Times New Roman"/>
                      <w:color w:val="000000"/>
                    </w:rPr>
                  </w:pPr>
                  <w:r>
                    <w:rPr>
                      <w:rFonts w:ascii="Arial" w:eastAsia="Times New Roman" w:hAnsi="Arial" w:cs="Arial"/>
                      <w:color w:val="000000"/>
                    </w:rPr>
                    <w:t>Progress updates</w:t>
                  </w:r>
                </w:p>
                <w:p w14:paraId="56E85F4A" w14:textId="77777777" w:rsidR="002B205D" w:rsidRDefault="002B205D">
                  <w:pPr>
                    <w:numPr>
                      <w:ilvl w:val="0"/>
                      <w:numId w:val="1"/>
                    </w:numPr>
                    <w:rPr>
                      <w:rFonts w:eastAsia="Times New Roman"/>
                      <w:color w:val="000000"/>
                    </w:rPr>
                  </w:pPr>
                  <w:r>
                    <w:rPr>
                      <w:rFonts w:ascii="Arial" w:eastAsia="Times New Roman" w:hAnsi="Arial" w:cs="Arial"/>
                      <w:color w:val="000000"/>
                    </w:rPr>
                    <w:t xml:space="preserve">Survey to help understand FHIR training </w:t>
                  </w:r>
                  <w:proofErr w:type="gramStart"/>
                  <w:r>
                    <w:rPr>
                      <w:rFonts w:ascii="Arial" w:eastAsia="Times New Roman" w:hAnsi="Arial" w:cs="Arial"/>
                      <w:color w:val="000000"/>
                    </w:rPr>
                    <w:t>needs</w:t>
                  </w:r>
                  <w:proofErr w:type="gramEnd"/>
                </w:p>
                <w:p w14:paraId="2B9C85DB" w14:textId="77777777" w:rsidR="002B205D" w:rsidRDefault="002B205D">
                  <w:pPr>
                    <w:numPr>
                      <w:ilvl w:val="0"/>
                      <w:numId w:val="1"/>
                    </w:numPr>
                    <w:rPr>
                      <w:rFonts w:eastAsia="Times New Roman"/>
                      <w:color w:val="000000"/>
                    </w:rPr>
                  </w:pPr>
                  <w:r>
                    <w:rPr>
                      <w:rFonts w:ascii="Arial" w:eastAsia="Times New Roman" w:hAnsi="Arial" w:cs="Arial"/>
                      <w:color w:val="000000"/>
                    </w:rPr>
                    <w:t xml:space="preserve">API technical standards community </w:t>
                  </w:r>
                  <w:proofErr w:type="gramStart"/>
                  <w:r>
                    <w:rPr>
                      <w:rFonts w:ascii="Arial" w:eastAsia="Times New Roman" w:hAnsi="Arial" w:cs="Arial"/>
                      <w:color w:val="000000"/>
                    </w:rPr>
                    <w:t>established</w:t>
                  </w:r>
                  <w:proofErr w:type="gramEnd"/>
                </w:p>
                <w:p w14:paraId="2EC7F295" w14:textId="77777777" w:rsidR="002B205D" w:rsidRDefault="002B205D">
                  <w:pPr>
                    <w:numPr>
                      <w:ilvl w:val="0"/>
                      <w:numId w:val="1"/>
                    </w:numPr>
                    <w:rPr>
                      <w:rFonts w:eastAsia="Times New Roman"/>
                      <w:color w:val="000000"/>
                    </w:rPr>
                  </w:pPr>
                  <w:r>
                    <w:rPr>
                      <w:rFonts w:ascii="Arial" w:eastAsia="Times New Roman" w:hAnsi="Arial" w:cs="Arial"/>
                      <w:color w:val="000000"/>
                    </w:rPr>
                    <w:t>New Zealand Patient Summary</w:t>
                  </w:r>
                </w:p>
                <w:p w14:paraId="6AEDD140" w14:textId="47B217AB" w:rsidR="002B205D" w:rsidRDefault="002B205D" w:rsidP="00877AD0">
                  <w:pPr>
                    <w:pStyle w:val="NormalWeb"/>
                    <w:ind w:left="360"/>
                    <w:rPr>
                      <w:rFonts w:ascii="Arial" w:eastAsia="Times New Roman" w:hAnsi="Arial" w:cs="Arial"/>
                      <w:color w:val="0C818F"/>
                      <w:sz w:val="27"/>
                      <w:szCs w:val="27"/>
                    </w:rPr>
                  </w:pPr>
                  <w:r>
                    <w:rPr>
                      <w:rFonts w:ascii="Arial" w:hAnsi="Arial" w:cs="Arial"/>
                      <w:color w:val="000000"/>
                    </w:rPr>
                    <w:t> </w:t>
                  </w:r>
                </w:p>
              </w:tc>
            </w:tr>
            <w:tr w:rsidR="002B205D" w14:paraId="45F914A7" w14:textId="77777777">
              <w:trPr>
                <w:trHeight w:val="8768"/>
              </w:trPr>
              <w:tc>
                <w:tcPr>
                  <w:tcW w:w="11035" w:type="dxa"/>
                </w:tcPr>
                <w:p w14:paraId="31FD53CA" w14:textId="77777777" w:rsidR="002B205D" w:rsidRDefault="002B205D">
                  <w:pPr>
                    <w:pStyle w:val="Heading1"/>
                    <w:spacing w:before="11" w:beforeAutospacing="0" w:after="240" w:afterAutospacing="0" w:line="309" w:lineRule="atLeast"/>
                    <w:ind w:left="22"/>
                    <w:rPr>
                      <w:rFonts w:ascii="Arial" w:eastAsia="Times New Roman" w:hAnsi="Arial" w:cs="Arial"/>
                      <w:color w:val="0C818F"/>
                      <w:sz w:val="27"/>
                      <w:szCs w:val="27"/>
                    </w:rPr>
                  </w:pPr>
                  <w:r>
                    <w:rPr>
                      <w:rFonts w:ascii="Poppins" w:eastAsia="Times New Roman" w:hAnsi="Poppins" w:cs="Poppins"/>
                      <w:color w:val="30A1AC"/>
                      <w:sz w:val="28"/>
                      <w:szCs w:val="28"/>
                    </w:rPr>
                    <w:t>March 2024 ‘Ring of FHIR’ Connectathon</w:t>
                  </w:r>
                </w:p>
                <w:p w14:paraId="5E844AB7" w14:textId="31383F0B" w:rsidR="002B205D" w:rsidRDefault="002B205D">
                  <w:pPr>
                    <w:pStyle w:val="NormalWeb"/>
                  </w:pPr>
                  <w:r>
                    <w:rPr>
                      <w:rFonts w:ascii="Arial" w:hAnsi="Arial" w:cs="Arial"/>
                      <w:noProof/>
                      <w:color w:val="000000"/>
                      <w:shd w:val="clear" w:color="auto" w:fill="FFFFFF"/>
                    </w:rPr>
                    <w:drawing>
                      <wp:inline distT="0" distB="0" distL="0" distR="0" wp14:anchorId="7D5CA0A0" wp14:editId="34BC2730">
                        <wp:extent cx="2838450" cy="1435100"/>
                        <wp:effectExtent l="0" t="0" r="0" b="0"/>
                        <wp:docPr id="3758559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image_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435100"/>
                                </a:xfrm>
                                <a:prstGeom prst="rect">
                                  <a:avLst/>
                                </a:prstGeom>
                                <a:noFill/>
                                <a:ln>
                                  <a:noFill/>
                                </a:ln>
                              </pic:spPr>
                            </pic:pic>
                          </a:graphicData>
                        </a:graphic>
                      </wp:inline>
                    </w:drawing>
                  </w:r>
                </w:p>
                <w:p w14:paraId="1433429F" w14:textId="77777777" w:rsidR="002B205D" w:rsidRDefault="002B205D">
                  <w:pPr>
                    <w:pStyle w:val="NormalWeb"/>
                  </w:pPr>
                </w:p>
                <w:p w14:paraId="0D8F9612" w14:textId="77777777" w:rsidR="002B205D" w:rsidRDefault="002B205D">
                  <w:pPr>
                    <w:pStyle w:val="elementtoproof"/>
                  </w:pPr>
                  <w:r>
                    <w:rPr>
                      <w:rFonts w:ascii="Arial" w:hAnsi="Arial" w:cs="Arial"/>
                      <w:color w:val="000000"/>
                      <w:shd w:val="clear" w:color="auto" w:fill="FFFFFF"/>
                    </w:rPr>
                    <w:t>A Connectathon</w:t>
                  </w:r>
                  <w:r>
                    <w:rPr>
                      <w:color w:val="000000"/>
                      <w:shd w:val="clear" w:color="auto" w:fill="FFFFFF"/>
                    </w:rPr>
                    <w:t xml:space="preserve"> </w:t>
                  </w:r>
                  <w:r>
                    <w:rPr>
                      <w:rFonts w:ascii="Arial" w:hAnsi="Arial" w:cs="Arial"/>
                      <w:color w:val="000000"/>
                      <w:shd w:val="clear" w:color="auto" w:fill="FFFFFF"/>
                    </w:rPr>
                    <w:t xml:space="preserve">being run by Health New Zealand | </w:t>
                  </w:r>
                  <w:r>
                    <w:rPr>
                      <w:rFonts w:ascii="Arial" w:hAnsi="Arial" w:cs="Arial"/>
                      <w:color w:val="000000"/>
                    </w:rPr>
                    <w:t>Te Whatu Ora, HISO and HL7NZ in Auckland from 20-22 March 2024 is now fully subscribed. The Connectathon will run in parallel to a companion event in Australia.</w:t>
                  </w:r>
                </w:p>
                <w:p w14:paraId="587CEEE1" w14:textId="77777777" w:rsidR="002B205D" w:rsidRDefault="002B205D">
                  <w:pPr>
                    <w:pStyle w:val="NormalWeb"/>
                  </w:pPr>
                  <w:r>
                    <w:rPr>
                      <w:rFonts w:ascii="Arial" w:hAnsi="Arial" w:cs="Arial"/>
                      <w:color w:val="000000"/>
                    </w:rPr>
                    <w:t> </w:t>
                  </w:r>
                </w:p>
                <w:p w14:paraId="4BE50C5F" w14:textId="77777777" w:rsidR="002B205D" w:rsidRDefault="002B205D">
                  <w:pPr>
                    <w:pStyle w:val="NormalWeb"/>
                  </w:pPr>
                  <w:r>
                    <w:rPr>
                      <w:rFonts w:ascii="Arial" w:hAnsi="Arial" w:cs="Arial"/>
                      <w:color w:val="000000"/>
                      <w:shd w:val="clear" w:color="auto" w:fill="FFFFFF"/>
                    </w:rPr>
                    <w:t xml:space="preserve">The March event follows the success of the “IPS-athon”, </w:t>
                  </w:r>
                  <w:r>
                    <w:rPr>
                      <w:rFonts w:ascii="Arial" w:hAnsi="Arial" w:cs="Arial"/>
                      <w:color w:val="000000"/>
                    </w:rPr>
                    <w:t xml:space="preserve">focused on the International Patient Summary (IPS), at </w:t>
                  </w:r>
                  <w:r>
                    <w:rPr>
                      <w:rFonts w:ascii="Arial" w:hAnsi="Arial" w:cs="Arial"/>
                      <w:color w:val="000000"/>
                      <w:shd w:val="clear" w:color="auto" w:fill="FFFFFF"/>
                    </w:rPr>
                    <w:t>Digital Health Week 2023. The Connectathon will continue</w:t>
                  </w:r>
                  <w:r>
                    <w:rPr>
                      <w:rFonts w:ascii="Arial" w:hAnsi="Arial" w:cs="Arial"/>
                      <w:color w:val="000000"/>
                    </w:rPr>
                    <w:t> work on adapting the IPS to our unique cultural and health system settings to build a New Zealand Patient Summary (NZPS) that enables consumers to tell their health story in digital form and vastly improves continuity of care.</w:t>
                  </w:r>
                </w:p>
                <w:p w14:paraId="2D188229" w14:textId="77777777" w:rsidR="002B205D" w:rsidRDefault="002B205D">
                  <w:pPr>
                    <w:pStyle w:val="NormalWeb"/>
                    <w:rPr>
                      <w:rFonts w:ascii="Times New Roman" w:hAnsi="Times New Roman" w:cs="Times New Roman"/>
                      <w:sz w:val="24"/>
                      <w:szCs w:val="24"/>
                    </w:rPr>
                  </w:pPr>
                  <w:r>
                    <w:rPr>
                      <w:rFonts w:ascii="Arial" w:hAnsi="Arial" w:cs="Arial"/>
                      <w:color w:val="000000"/>
                    </w:rPr>
                    <w:t> </w:t>
                  </w:r>
                </w:p>
                <w:p w14:paraId="20463D15" w14:textId="77777777" w:rsidR="002B205D" w:rsidRDefault="002B205D">
                  <w:pPr>
                    <w:pStyle w:val="NormalWeb"/>
                    <w:rPr>
                      <w:rFonts w:ascii="Times New Roman" w:hAnsi="Times New Roman" w:cs="Times New Roman"/>
                      <w:sz w:val="24"/>
                      <w:szCs w:val="24"/>
                    </w:rPr>
                  </w:pPr>
                  <w:r>
                    <w:rPr>
                      <w:rFonts w:ascii="Arial" w:hAnsi="Arial" w:cs="Arial"/>
                      <w:color w:val="000000"/>
                    </w:rPr>
                    <w:t>The event will take place in two parts.</w:t>
                  </w:r>
                </w:p>
                <w:p w14:paraId="41A20E78" w14:textId="77777777" w:rsidR="002B205D" w:rsidRDefault="002B205D">
                  <w:pPr>
                    <w:pStyle w:val="NormalWeb"/>
                    <w:rPr>
                      <w:rFonts w:ascii="Times New Roman" w:hAnsi="Times New Roman" w:cs="Times New Roman"/>
                      <w:sz w:val="24"/>
                      <w:szCs w:val="24"/>
                    </w:rPr>
                  </w:pPr>
                  <w:r>
                    <w:rPr>
                      <w:rFonts w:ascii="Times New Roman" w:hAnsi="Times New Roman" w:cs="Times New Roman"/>
                      <w:color w:val="000000"/>
                      <w:sz w:val="24"/>
                      <w:szCs w:val="24"/>
                    </w:rPr>
                    <w:t> </w:t>
                  </w:r>
                </w:p>
                <w:p w14:paraId="0111E225" w14:textId="77777777" w:rsidR="002B205D" w:rsidRDefault="002B205D">
                  <w:pPr>
                    <w:numPr>
                      <w:ilvl w:val="0"/>
                      <w:numId w:val="2"/>
                    </w:numPr>
                    <w:rPr>
                      <w:rFonts w:ascii="Aptos" w:eastAsia="Times New Roman" w:hAnsi="Aptos"/>
                      <w:color w:val="000000"/>
                      <w:sz w:val="24"/>
                      <w:szCs w:val="24"/>
                    </w:rPr>
                  </w:pPr>
                  <w:r>
                    <w:rPr>
                      <w:rFonts w:ascii="Arial" w:eastAsia="Times New Roman" w:hAnsi="Arial" w:cs="Arial"/>
                      <w:b/>
                      <w:bCs/>
                      <w:color w:val="000000"/>
                    </w:rPr>
                    <w:t xml:space="preserve">Symposium, 20 March: </w:t>
                  </w:r>
                  <w:r>
                    <w:rPr>
                      <w:rFonts w:ascii="Arial" w:eastAsia="Times New Roman" w:hAnsi="Arial" w:cs="Arial"/>
                      <w:color w:val="000000"/>
                    </w:rPr>
                    <w:t>Digital health leaders in New Zealand, Australia and the Pacific will share the importance of standardisation with FHIR</w:t>
                  </w:r>
                  <w:r>
                    <w:rPr>
                      <w:rFonts w:ascii="Arial" w:eastAsia="Times New Roman" w:hAnsi="Arial" w:cs="Arial"/>
                      <w:color w:val="030303"/>
                      <w:shd w:val="clear" w:color="auto" w:fill="FFFFFF"/>
                    </w:rPr>
                    <w:t>®</w:t>
                  </w:r>
                  <w:r>
                    <w:rPr>
                      <w:rFonts w:ascii="Arial" w:eastAsia="Times New Roman" w:hAnsi="Arial" w:cs="Arial"/>
                      <w:color w:val="000000"/>
                    </w:rPr>
                    <w:t>, SNOMED and IPS to the digital health ecosystem we’re building. Our experts will explore models for increased collaboration across the region and focus on improved health equity through digital transformation.</w:t>
                  </w:r>
                </w:p>
                <w:p w14:paraId="261D6309" w14:textId="77777777" w:rsidR="002B205D" w:rsidRDefault="002B205D">
                  <w:pPr>
                    <w:numPr>
                      <w:ilvl w:val="0"/>
                      <w:numId w:val="2"/>
                    </w:numPr>
                    <w:rPr>
                      <w:rFonts w:ascii="Times New Roman" w:eastAsia="Times New Roman" w:hAnsi="Times New Roman" w:cs="Times New Roman"/>
                      <w:color w:val="000000"/>
                      <w:sz w:val="24"/>
                      <w:szCs w:val="24"/>
                    </w:rPr>
                  </w:pPr>
                  <w:r>
                    <w:rPr>
                      <w:rFonts w:ascii="Arial" w:eastAsia="Times New Roman" w:hAnsi="Arial" w:cs="Arial"/>
                      <w:b/>
                      <w:bCs/>
                      <w:color w:val="000000"/>
                    </w:rPr>
                    <w:t xml:space="preserve">Connectathon, 21-22 March: </w:t>
                  </w:r>
                  <w:r>
                    <w:rPr>
                      <w:rFonts w:ascii="Arial" w:eastAsia="Times New Roman" w:hAnsi="Arial" w:cs="Arial"/>
                      <w:color w:val="000000"/>
                    </w:rPr>
                    <w:t>Participants will choose from several topic-focused tracks – either to further develop and prove the NZPS FHIR specification, develop product integrations with our marketplace APIs or develop interactive applications with FHIR questionnaires. There is also an education track that will explore the FHIR NZ Base.</w:t>
                  </w:r>
                </w:p>
                <w:p w14:paraId="339832A2" w14:textId="77777777" w:rsidR="002B205D" w:rsidRDefault="002B205D">
                  <w:pPr>
                    <w:pStyle w:val="NormalWeb"/>
                    <w:ind w:left="600"/>
                    <w:rPr>
                      <w:rFonts w:ascii="Arial" w:hAnsi="Arial" w:cs="Arial"/>
                      <w:color w:val="030303"/>
                      <w:shd w:val="clear" w:color="auto" w:fill="FFFFFF"/>
                    </w:rPr>
                  </w:pPr>
                </w:p>
                <w:p w14:paraId="506D0F96" w14:textId="1D49CF08" w:rsidR="002B205D" w:rsidRDefault="002B205D" w:rsidP="002B205D">
                  <w:pPr>
                    <w:pStyle w:val="NormalWeb"/>
                    <w:rPr>
                      <w:rFonts w:ascii="Times New Roman" w:hAnsi="Times New Roman" w:cs="Times New Roman"/>
                      <w:sz w:val="24"/>
                      <w:szCs w:val="24"/>
                    </w:rPr>
                  </w:pPr>
                  <w:r>
                    <w:rPr>
                      <w:rFonts w:ascii="Arial" w:hAnsi="Arial" w:cs="Arial"/>
                      <w:color w:val="030303"/>
                      <w:shd w:val="clear" w:color="auto" w:fill="FFFFFF"/>
                    </w:rPr>
                    <w:t xml:space="preserve">The Connectathon is for health software developers, service designers, clinicians and anyone interested in the digitalisation of our health system. </w:t>
                  </w:r>
                  <w:r>
                    <w:rPr>
                      <w:rFonts w:ascii="Arial" w:hAnsi="Arial" w:cs="Arial"/>
                      <w:color w:val="000000"/>
                    </w:rPr>
                    <w:t>Expert track leads will help guide each participant to the tracks that match their professional interests and skill level. A review of the Connectathon will feature in the next issue of the Hira Programme Update.</w:t>
                  </w:r>
                </w:p>
                <w:p w14:paraId="02FBBF21" w14:textId="77777777" w:rsidR="002B205D" w:rsidRDefault="002B205D">
                  <w:pPr>
                    <w:pStyle w:val="NormalWeb"/>
                    <w:rPr>
                      <w:rFonts w:ascii="Times New Roman" w:hAnsi="Times New Roman" w:cs="Times New Roman"/>
                      <w:sz w:val="24"/>
                      <w:szCs w:val="24"/>
                    </w:rPr>
                  </w:pPr>
                  <w:r>
                    <w:rPr>
                      <w:rFonts w:ascii="Arial" w:hAnsi="Arial" w:cs="Arial"/>
                      <w:color w:val="000000"/>
                    </w:rPr>
                    <w:t> </w:t>
                  </w:r>
                </w:p>
                <w:p w14:paraId="0EE017AE" w14:textId="77777777" w:rsidR="002B205D" w:rsidRDefault="002B205D">
                  <w:pPr>
                    <w:pStyle w:val="NormalWeb"/>
                    <w:rPr>
                      <w:rFonts w:ascii="Times New Roman" w:hAnsi="Times New Roman" w:cs="Times New Roman"/>
                      <w:sz w:val="24"/>
                      <w:szCs w:val="24"/>
                    </w:rPr>
                  </w:pPr>
                  <w:r>
                    <w:rPr>
                      <w:rFonts w:ascii="Arial" w:hAnsi="Arial" w:cs="Arial"/>
                      <w:color w:val="000000"/>
                    </w:rPr>
                    <w:t>Future Connectathons are also being planned, and details will be available over coming months.</w:t>
                  </w:r>
                </w:p>
              </w:tc>
            </w:tr>
          </w:tbl>
          <w:p w14:paraId="7F9A1C1D" w14:textId="77777777" w:rsidR="002B205D" w:rsidRDefault="002B205D">
            <w:pPr>
              <w:rPr>
                <w:rFonts w:ascii="Times New Roman" w:eastAsia="Times New Roman" w:hAnsi="Times New Roman" w:cs="Times New Roman"/>
                <w:sz w:val="20"/>
                <w:szCs w:val="20"/>
              </w:rPr>
            </w:pPr>
          </w:p>
        </w:tc>
        <w:tc>
          <w:tcPr>
            <w:tcW w:w="278" w:type="dxa"/>
            <w:tcBorders>
              <w:top w:val="nil"/>
              <w:left w:val="nil"/>
              <w:bottom w:val="single" w:sz="8" w:space="0" w:color="E7E6E6"/>
              <w:right w:val="single" w:sz="8" w:space="0" w:color="E7E6E6"/>
            </w:tcBorders>
            <w:tcMar>
              <w:top w:w="142" w:type="dxa"/>
              <w:left w:w="108" w:type="dxa"/>
              <w:bottom w:w="142" w:type="dxa"/>
              <w:right w:w="108" w:type="dxa"/>
            </w:tcMar>
            <w:hideMark/>
          </w:tcPr>
          <w:p w14:paraId="56356F62" w14:textId="77777777" w:rsidR="002B205D" w:rsidRDefault="002B205D">
            <w:pPr>
              <w:pStyle w:val="NormalWeb"/>
            </w:pPr>
            <w:r>
              <w:rPr>
                <w:rFonts w:ascii="Arial" w:hAnsi="Arial" w:cs="Arial"/>
                <w:color w:val="000000"/>
                <w:sz w:val="20"/>
                <w:szCs w:val="20"/>
              </w:rPr>
              <w:t> </w:t>
            </w:r>
          </w:p>
        </w:tc>
      </w:tr>
      <w:tr w:rsidR="002B205D" w14:paraId="6C42BFFA" w14:textId="77777777" w:rsidTr="002B205D">
        <w:trPr>
          <w:jc w:val="center"/>
        </w:trPr>
        <w:tc>
          <w:tcPr>
            <w:tcW w:w="266" w:type="dxa"/>
            <w:tcBorders>
              <w:top w:val="nil"/>
              <w:left w:val="single" w:sz="8" w:space="0" w:color="E7E6E6"/>
              <w:bottom w:val="nil"/>
              <w:right w:val="nil"/>
            </w:tcBorders>
            <w:tcMar>
              <w:top w:w="142" w:type="dxa"/>
              <w:left w:w="108" w:type="dxa"/>
              <w:bottom w:w="142" w:type="dxa"/>
              <w:right w:w="108" w:type="dxa"/>
            </w:tcMar>
            <w:hideMark/>
          </w:tcPr>
          <w:p w14:paraId="7E7E2B2B" w14:textId="77777777" w:rsidR="002B205D" w:rsidRDefault="002B205D">
            <w:pPr>
              <w:pStyle w:val="NormalWeb"/>
            </w:pPr>
            <w:r>
              <w:rPr>
                <w:color w:val="000000"/>
              </w:rPr>
              <w:t> </w:t>
            </w:r>
          </w:p>
        </w:tc>
        <w:tc>
          <w:tcPr>
            <w:tcW w:w="11640" w:type="dxa"/>
            <w:tcMar>
              <w:top w:w="142" w:type="dxa"/>
              <w:left w:w="108" w:type="dxa"/>
              <w:bottom w:w="142" w:type="dxa"/>
              <w:right w:w="108" w:type="dxa"/>
            </w:tcMar>
            <w:hideMark/>
          </w:tcPr>
          <w:tbl>
            <w:tblPr>
              <w:tblW w:w="0" w:type="auto"/>
              <w:tblLook w:val="04A0" w:firstRow="1" w:lastRow="0" w:firstColumn="1" w:lastColumn="0" w:noHBand="0" w:noVBand="1"/>
            </w:tblPr>
            <w:tblGrid>
              <w:gridCol w:w="11404"/>
            </w:tblGrid>
            <w:tr w:rsidR="002B205D" w14:paraId="6584087D" w14:textId="77777777">
              <w:tc>
                <w:tcPr>
                  <w:tcW w:w="11404" w:type="dxa"/>
                  <w:hideMark/>
                </w:tcPr>
                <w:p w14:paraId="494B0549" w14:textId="77777777" w:rsidR="002B205D" w:rsidRDefault="002B205D">
                  <w:pPr>
                    <w:pStyle w:val="Heading1"/>
                    <w:spacing w:before="11" w:beforeAutospacing="0" w:after="240" w:afterAutospacing="0" w:line="309" w:lineRule="atLeast"/>
                    <w:ind w:left="22"/>
                    <w:rPr>
                      <w:rFonts w:ascii="Arial" w:eastAsia="Times New Roman" w:hAnsi="Arial" w:cs="Arial"/>
                      <w:color w:val="0C818F"/>
                      <w:sz w:val="27"/>
                      <w:szCs w:val="27"/>
                    </w:rPr>
                  </w:pPr>
                  <w:r>
                    <w:rPr>
                      <w:rFonts w:ascii="Poppins" w:eastAsia="Times New Roman" w:hAnsi="Poppins" w:cs="Poppins"/>
                      <w:color w:val="30A1AC"/>
                      <w:sz w:val="28"/>
                      <w:szCs w:val="28"/>
                    </w:rPr>
                    <w:t>Progress updates</w:t>
                  </w:r>
                </w:p>
                <w:p w14:paraId="5E169450" w14:textId="77777777" w:rsidR="002B205D" w:rsidRDefault="002B205D">
                  <w:pPr>
                    <w:numPr>
                      <w:ilvl w:val="0"/>
                      <w:numId w:val="3"/>
                    </w:numPr>
                    <w:rPr>
                      <w:rFonts w:ascii="Aptos" w:eastAsia="Times New Roman" w:hAnsi="Aptos"/>
                      <w:color w:val="000000"/>
                      <w:sz w:val="24"/>
                      <w:szCs w:val="24"/>
                    </w:rPr>
                  </w:pPr>
                  <w:r>
                    <w:rPr>
                      <w:rFonts w:ascii="Arial" w:eastAsia="Times New Roman" w:hAnsi="Arial" w:cs="Arial"/>
                      <w:color w:val="000000"/>
                    </w:rPr>
                    <w:t xml:space="preserve">The first iteration of </w:t>
                  </w:r>
                  <w:r>
                    <w:rPr>
                      <w:rFonts w:ascii="Arial" w:eastAsia="Times New Roman" w:hAnsi="Arial" w:cs="Arial"/>
                      <w:b/>
                      <w:bCs/>
                      <w:color w:val="000000"/>
                    </w:rPr>
                    <w:t>My Health Record</w:t>
                  </w:r>
                  <w:r>
                    <w:rPr>
                      <w:rFonts w:ascii="Arial" w:eastAsia="Times New Roman" w:hAnsi="Arial" w:cs="Arial"/>
                      <w:color w:val="000000"/>
                    </w:rPr>
                    <w:t xml:space="preserve"> was launched on 6 December 2023. A secure website giving people access to their immunisation records, My Health Record is enabled by the interoperability being put </w:t>
                  </w:r>
                  <w:r>
                    <w:rPr>
                      <w:rFonts w:ascii="Arial" w:eastAsia="Times New Roman" w:hAnsi="Arial" w:cs="Arial"/>
                      <w:color w:val="000000"/>
                    </w:rPr>
                    <w:lastRenderedPageBreak/>
                    <w:t>in place by the Hira Programme. My Health Record is the first step to giving New Zealanders access their own health information online. Over time, more information will be available, such as current and past medications, lab results, and community services and high use card entitlements.</w:t>
                  </w:r>
                </w:p>
                <w:p w14:paraId="2344B641" w14:textId="77777777" w:rsidR="002B205D" w:rsidRDefault="002B205D">
                  <w:pPr>
                    <w:numPr>
                      <w:ilvl w:val="0"/>
                      <w:numId w:val="3"/>
                    </w:numPr>
                    <w:rPr>
                      <w:rFonts w:eastAsia="Times New Roman"/>
                      <w:color w:val="000000"/>
                    </w:rPr>
                  </w:pPr>
                  <w:r>
                    <w:rPr>
                      <w:rFonts w:ascii="Arial" w:eastAsia="Times New Roman" w:hAnsi="Arial" w:cs="Arial"/>
                      <w:b/>
                      <w:bCs/>
                      <w:color w:val="000000"/>
                    </w:rPr>
                    <w:t>Adult-to-adult delegated representative function for My Health Account</w:t>
                  </w:r>
                  <w:r>
                    <w:rPr>
                      <w:rFonts w:ascii="Arial" w:eastAsia="Times New Roman" w:hAnsi="Arial" w:cs="Arial"/>
                      <w:color w:val="000000"/>
                    </w:rPr>
                    <w:t> is coming soon for integration with apps. This function allows an approved delegate to access another person’s account, with additional capabilities to support and manage multiple users sharing the same device on their own identity credentials.</w:t>
                  </w:r>
                </w:p>
                <w:p w14:paraId="1E109263" w14:textId="77777777" w:rsidR="002B205D" w:rsidRDefault="002B205D">
                  <w:pPr>
                    <w:numPr>
                      <w:ilvl w:val="0"/>
                      <w:numId w:val="3"/>
                    </w:numPr>
                    <w:rPr>
                      <w:rFonts w:eastAsia="Times New Roman"/>
                      <w:color w:val="000000"/>
                    </w:rPr>
                  </w:pPr>
                  <w:r>
                    <w:rPr>
                      <w:rFonts w:ascii="Arial" w:eastAsia="Times New Roman" w:hAnsi="Arial" w:cs="Arial"/>
                      <w:b/>
                      <w:bCs/>
                      <w:color w:val="000000"/>
                    </w:rPr>
                    <w:t>Digital identity services</w:t>
                  </w:r>
                  <w:r>
                    <w:rPr>
                      <w:rFonts w:ascii="Arial" w:eastAsia="Times New Roman" w:hAnsi="Arial" w:cs="Arial"/>
                      <w:color w:val="000000"/>
                    </w:rPr>
                    <w:t> ensure people wanting access to health information via APIs are correctly identified before the relevant information is made available. In the last quarter, these additional identity services are now being used in 15 apps, including My Health Record (access to immunisation information), the Pacific Health Scholarship programme, and Tātai iwi affiliation data collection.</w:t>
                  </w:r>
                </w:p>
                <w:p w14:paraId="7CCCB155" w14:textId="77777777" w:rsidR="002B205D" w:rsidRDefault="002B205D">
                  <w:pPr>
                    <w:numPr>
                      <w:ilvl w:val="0"/>
                      <w:numId w:val="3"/>
                    </w:numPr>
                    <w:rPr>
                      <w:rFonts w:eastAsia="Times New Roman"/>
                      <w:color w:val="000000"/>
                    </w:rPr>
                  </w:pPr>
                  <w:r>
                    <w:rPr>
                      <w:rFonts w:ascii="Arial" w:eastAsia="Times New Roman" w:hAnsi="Arial" w:cs="Arial"/>
                      <w:color w:val="000000"/>
                    </w:rPr>
                    <w:t xml:space="preserve">The </w:t>
                  </w:r>
                  <w:r>
                    <w:rPr>
                      <w:rFonts w:ascii="Arial" w:eastAsia="Times New Roman" w:hAnsi="Arial" w:cs="Arial"/>
                      <w:b/>
                      <w:bCs/>
                      <w:color w:val="000000"/>
                    </w:rPr>
                    <w:t>NZ Health Terminology Service</w:t>
                  </w:r>
                  <w:r>
                    <w:rPr>
                      <w:rFonts w:ascii="Arial" w:eastAsia="Times New Roman" w:hAnsi="Arial" w:cs="Arial"/>
                      <w:color w:val="000000"/>
                    </w:rPr>
                    <w:t> (NZHTS) continues to extend its list of code systems and value sets, with over 40 companies now using the service.</w:t>
                  </w:r>
                </w:p>
                <w:p w14:paraId="53BC141F" w14:textId="77777777" w:rsidR="002B205D" w:rsidRDefault="002B205D">
                  <w:pPr>
                    <w:numPr>
                      <w:ilvl w:val="0"/>
                      <w:numId w:val="3"/>
                    </w:numPr>
                    <w:rPr>
                      <w:rFonts w:eastAsia="Times New Roman"/>
                      <w:color w:val="000000"/>
                    </w:rPr>
                  </w:pPr>
                  <w:r>
                    <w:rPr>
                      <w:rFonts w:ascii="Arial" w:eastAsia="Times New Roman" w:hAnsi="Arial" w:cs="Arial"/>
                      <w:b/>
                      <w:bCs/>
                      <w:color w:val="333333"/>
                      <w:shd w:val="clear" w:color="auto" w:fill="F9F9F9"/>
                    </w:rPr>
                    <w:t>Healthcare</w:t>
                  </w:r>
                  <w:r>
                    <w:rPr>
                      <w:rFonts w:ascii="Arial" w:eastAsia="Times New Roman" w:hAnsi="Arial" w:cs="Arial"/>
                      <w:color w:val="333333"/>
                      <w:shd w:val="clear" w:color="auto" w:fill="F9F9F9"/>
                    </w:rPr>
                    <w:t xml:space="preserve"> </w:t>
                  </w:r>
                  <w:r>
                    <w:rPr>
                      <w:rFonts w:ascii="Arial" w:eastAsia="Times New Roman" w:hAnsi="Arial" w:cs="Arial"/>
                      <w:b/>
                      <w:bCs/>
                      <w:color w:val="333333"/>
                      <w:shd w:val="clear" w:color="auto" w:fill="F9F9F9"/>
                    </w:rPr>
                    <w:t>consumer and whānau research</w:t>
                  </w:r>
                  <w:r>
                    <w:rPr>
                      <w:rFonts w:ascii="Arial" w:eastAsia="Times New Roman" w:hAnsi="Arial" w:cs="Arial"/>
                      <w:color w:val="333333"/>
                      <w:shd w:val="clear" w:color="auto" w:fill="F9F9F9"/>
                    </w:rPr>
                    <w:t> on My Story, and My Health Record user experience designs has begun in Rotorua, with further workshops in the South Island in February.</w:t>
                  </w:r>
                </w:p>
                <w:p w14:paraId="715CC80B" w14:textId="77777777" w:rsidR="002B205D" w:rsidRDefault="002B205D">
                  <w:pPr>
                    <w:numPr>
                      <w:ilvl w:val="0"/>
                      <w:numId w:val="3"/>
                    </w:numPr>
                    <w:rPr>
                      <w:rFonts w:eastAsia="Times New Roman"/>
                      <w:color w:val="333333"/>
                    </w:rPr>
                  </w:pPr>
                  <w:r>
                    <w:rPr>
                      <w:rFonts w:ascii="Arial" w:eastAsia="Times New Roman" w:hAnsi="Arial" w:cs="Arial"/>
                      <w:b/>
                      <w:bCs/>
                      <w:color w:val="333333"/>
                      <w:shd w:val="clear" w:color="auto" w:fill="F9F9F9"/>
                    </w:rPr>
                    <w:t>Te Manawa Taki pilot activities</w:t>
                  </w:r>
                  <w:r>
                    <w:rPr>
                      <w:rFonts w:ascii="Arial" w:eastAsia="Times New Roman" w:hAnsi="Arial" w:cs="Arial"/>
                      <w:color w:val="333333"/>
                      <w:shd w:val="clear" w:color="auto" w:fill="F9F9F9"/>
                    </w:rPr>
                    <w:t> have begun, with a focus on agreeing the approach and plan for community connectors, pilot on additional ways of establishing identity, and additional data sources. Community connectors work directly with all communities, encouraging and supporting involvement in Hira, from healthcare consumers, local Māori and iwi-based IT vendors, and healthcare providers.</w:t>
                  </w:r>
                </w:p>
                <w:p w14:paraId="0F734596" w14:textId="77777777" w:rsidR="002B205D" w:rsidRPr="002B205D" w:rsidRDefault="002B205D">
                  <w:pPr>
                    <w:numPr>
                      <w:ilvl w:val="0"/>
                      <w:numId w:val="3"/>
                    </w:numPr>
                    <w:rPr>
                      <w:rFonts w:eastAsia="Times New Roman"/>
                      <w:color w:val="333333"/>
                    </w:rPr>
                  </w:pPr>
                  <w:r>
                    <w:rPr>
                      <w:rFonts w:ascii="Arial" w:eastAsia="Times New Roman" w:hAnsi="Arial" w:cs="Arial"/>
                      <w:color w:val="333333"/>
                    </w:rPr>
                    <w:t xml:space="preserve">The pilot to test the </w:t>
                  </w:r>
                  <w:r>
                    <w:rPr>
                      <w:rFonts w:ascii="Arial" w:eastAsia="Times New Roman" w:hAnsi="Arial" w:cs="Arial"/>
                      <w:b/>
                      <w:bCs/>
                      <w:color w:val="333333"/>
                    </w:rPr>
                    <w:t xml:space="preserve">National Event Management Service </w:t>
                  </w:r>
                  <w:r>
                    <w:rPr>
                      <w:rFonts w:ascii="Arial" w:eastAsia="Times New Roman" w:hAnsi="Arial" w:cs="Arial"/>
                      <w:color w:val="333333"/>
                    </w:rPr>
                    <w:t>was successfully completed in December and the team is working towards moving into</w:t>
                  </w:r>
                  <w:r>
                    <w:rPr>
                      <w:rFonts w:ascii="Arial" w:eastAsia="Times New Roman" w:hAnsi="Arial" w:cs="Arial"/>
                      <w:color w:val="333333"/>
                      <w:shd w:val="clear" w:color="auto" w:fill="F9F9F9"/>
                    </w:rPr>
                    <w:t> production in March</w:t>
                  </w:r>
                  <w:r>
                    <w:rPr>
                      <w:rFonts w:ascii="Arial" w:eastAsia="Times New Roman" w:hAnsi="Arial" w:cs="Arial"/>
                      <w:color w:val="333333"/>
                    </w:rPr>
                    <w:t>, notifying subscribers of death events. It will be available to the wider health sector, subject to usual onboarding requirements. From April 2024 it is planned to extend to topics other than death events, and onboard new subscribers to the death event.</w:t>
                  </w:r>
                </w:p>
                <w:p w14:paraId="27CD39F9" w14:textId="77777777" w:rsidR="002B205D" w:rsidRDefault="002B205D" w:rsidP="002B205D">
                  <w:pPr>
                    <w:ind w:left="360"/>
                    <w:rPr>
                      <w:rFonts w:eastAsia="Times New Roman"/>
                      <w:color w:val="333333"/>
                    </w:rPr>
                  </w:pPr>
                </w:p>
                <w:p w14:paraId="54413B12" w14:textId="77777777" w:rsidR="002B205D" w:rsidRDefault="002B205D" w:rsidP="002B205D">
                  <w:pPr>
                    <w:pStyle w:val="NormalWeb"/>
                    <w:ind w:left="720"/>
                  </w:pPr>
                  <w:r>
                    <w:rPr>
                      <w:rFonts w:ascii="Arial" w:hAnsi="Arial" w:cs="Arial"/>
                      <w:color w:val="000000"/>
                    </w:rPr>
                    <w:t>Ultimately, the service will let healthcare providers know when information relating to a patient has changed (such as their address) or when they have had an interaction with the healthcare system (for example, they have been seen at an emergency department). The notifications are IT system to IT system.</w:t>
                  </w:r>
                </w:p>
              </w:tc>
            </w:tr>
          </w:tbl>
          <w:p w14:paraId="15469348" w14:textId="77777777" w:rsidR="002B205D" w:rsidRDefault="002B205D">
            <w:pPr>
              <w:rPr>
                <w:rFonts w:ascii="Times New Roman" w:eastAsia="Times New Roman" w:hAnsi="Times New Roman" w:cs="Times New Roman"/>
                <w:sz w:val="20"/>
                <w:szCs w:val="20"/>
              </w:rPr>
            </w:pPr>
          </w:p>
        </w:tc>
        <w:tc>
          <w:tcPr>
            <w:tcW w:w="278" w:type="dxa"/>
            <w:tcBorders>
              <w:top w:val="nil"/>
              <w:left w:val="nil"/>
              <w:bottom w:val="nil"/>
              <w:right w:val="single" w:sz="8" w:space="0" w:color="E7E6E6"/>
            </w:tcBorders>
            <w:tcMar>
              <w:top w:w="142" w:type="dxa"/>
              <w:left w:w="108" w:type="dxa"/>
              <w:bottom w:w="142" w:type="dxa"/>
              <w:right w:w="108" w:type="dxa"/>
            </w:tcMar>
            <w:hideMark/>
          </w:tcPr>
          <w:p w14:paraId="4F8CEBE6" w14:textId="77777777" w:rsidR="002B205D" w:rsidRDefault="002B205D">
            <w:pPr>
              <w:pStyle w:val="NormalWeb"/>
            </w:pPr>
            <w:r>
              <w:rPr>
                <w:rFonts w:ascii="Arial" w:hAnsi="Arial" w:cs="Arial"/>
                <w:color w:val="000000"/>
              </w:rPr>
              <w:lastRenderedPageBreak/>
              <w:t> </w:t>
            </w:r>
          </w:p>
        </w:tc>
      </w:tr>
      <w:tr w:rsidR="002B205D" w14:paraId="25950E45" w14:textId="77777777" w:rsidTr="002B205D">
        <w:trPr>
          <w:jc w:val="center"/>
        </w:trPr>
        <w:tc>
          <w:tcPr>
            <w:tcW w:w="266" w:type="dxa"/>
            <w:tcBorders>
              <w:top w:val="nil"/>
              <w:left w:val="single" w:sz="8" w:space="0" w:color="E7E6E6"/>
              <w:bottom w:val="nil"/>
              <w:right w:val="nil"/>
            </w:tcBorders>
            <w:tcMar>
              <w:top w:w="142" w:type="dxa"/>
              <w:left w:w="108" w:type="dxa"/>
              <w:bottom w:w="142" w:type="dxa"/>
              <w:right w:w="108" w:type="dxa"/>
            </w:tcMar>
            <w:hideMark/>
          </w:tcPr>
          <w:p w14:paraId="57CBC976" w14:textId="77777777" w:rsidR="002B205D" w:rsidRDefault="002B205D">
            <w:pPr>
              <w:pStyle w:val="NormalWeb"/>
            </w:pPr>
            <w:r>
              <w:rPr>
                <w:color w:val="000000"/>
              </w:rPr>
              <w:t> </w:t>
            </w:r>
          </w:p>
        </w:tc>
        <w:tc>
          <w:tcPr>
            <w:tcW w:w="11640" w:type="dxa"/>
            <w:tcMar>
              <w:top w:w="142" w:type="dxa"/>
              <w:left w:w="108" w:type="dxa"/>
              <w:bottom w:w="142" w:type="dxa"/>
              <w:right w:w="108" w:type="dxa"/>
            </w:tcMar>
            <w:hideMark/>
          </w:tcPr>
          <w:p w14:paraId="3FFCA695" w14:textId="77777777" w:rsidR="002B205D" w:rsidRDefault="002B205D">
            <w:pPr>
              <w:pStyle w:val="Heading1"/>
              <w:spacing w:before="11" w:beforeAutospacing="0" w:after="104" w:afterAutospacing="0" w:line="309" w:lineRule="atLeast"/>
              <w:ind w:left="20"/>
              <w:rPr>
                <w:rFonts w:ascii="Arial" w:eastAsia="Times New Roman" w:hAnsi="Arial" w:cs="Arial"/>
                <w:color w:val="0C818F"/>
                <w:sz w:val="27"/>
                <w:szCs w:val="27"/>
              </w:rPr>
            </w:pPr>
            <w:r>
              <w:rPr>
                <w:rFonts w:ascii="Poppins" w:eastAsia="Times New Roman" w:hAnsi="Poppins" w:cs="Poppins"/>
                <w:color w:val="30A1AC"/>
                <w:sz w:val="27"/>
                <w:szCs w:val="27"/>
              </w:rPr>
              <w:t xml:space="preserve">Survey to help understand FHIR training </w:t>
            </w:r>
            <w:proofErr w:type="gramStart"/>
            <w:r>
              <w:rPr>
                <w:rFonts w:ascii="Poppins" w:eastAsia="Times New Roman" w:hAnsi="Poppins" w:cs="Poppins"/>
                <w:color w:val="30A1AC"/>
                <w:sz w:val="27"/>
                <w:szCs w:val="27"/>
              </w:rPr>
              <w:t>needs</w:t>
            </w:r>
            <w:proofErr w:type="gramEnd"/>
          </w:p>
          <w:p w14:paraId="5A8F7F7D" w14:textId="77777777" w:rsidR="002B205D" w:rsidRDefault="002B205D">
            <w:pPr>
              <w:pStyle w:val="NormalWeb"/>
            </w:pPr>
            <w:r>
              <w:rPr>
                <w:rFonts w:ascii="Arial" w:hAnsi="Arial" w:cs="Arial"/>
                <w:color w:val="000000"/>
                <w:shd w:val="clear" w:color="auto" w:fill="FFFFFF"/>
              </w:rPr>
              <w:t>Many thanks to those who completed the recent survey from Health New Zealand and HL7 New Zealand, to help us understand sector FHIR training needs.</w:t>
            </w:r>
          </w:p>
          <w:p w14:paraId="4E1AC4B0" w14:textId="77777777" w:rsidR="002B205D" w:rsidRDefault="002B205D">
            <w:pPr>
              <w:pStyle w:val="NormalWeb"/>
            </w:pPr>
            <w:r>
              <w:rPr>
                <w:rFonts w:ascii="Arial" w:hAnsi="Arial" w:cs="Arial"/>
                <w:color w:val="000000"/>
                <w:shd w:val="clear" w:color="auto" w:fill="FFFFFF"/>
              </w:rPr>
              <w:t> </w:t>
            </w:r>
          </w:p>
          <w:p w14:paraId="73F86B73" w14:textId="77777777" w:rsidR="002B205D" w:rsidRDefault="002B205D">
            <w:pPr>
              <w:pStyle w:val="NormalWeb"/>
            </w:pPr>
            <w:r>
              <w:rPr>
                <w:rFonts w:ascii="Arial" w:hAnsi="Arial" w:cs="Arial"/>
                <w:color w:val="000000"/>
                <w:shd w:val="clear" w:color="auto" w:fill="FFFFFF"/>
              </w:rPr>
              <w:t>FHIR is a health interoperability standard for digital interfaces that supports easy and meaningful exchange of health data. Hira will enable health information to be securely accessed through FHIR APIs, so using and understanding FHIR is essential for digital health industry partners interacting with Hira.</w:t>
            </w:r>
          </w:p>
          <w:p w14:paraId="1C3F20FA" w14:textId="77777777" w:rsidR="002B205D" w:rsidRDefault="002B205D">
            <w:pPr>
              <w:pStyle w:val="NormalWeb"/>
            </w:pPr>
            <w:r>
              <w:rPr>
                <w:rFonts w:ascii="Arial" w:hAnsi="Arial" w:cs="Arial"/>
                <w:color w:val="000000"/>
                <w:shd w:val="clear" w:color="auto" w:fill="FFFFFF"/>
              </w:rPr>
              <w:t> </w:t>
            </w:r>
          </w:p>
          <w:p w14:paraId="3CE0D696" w14:textId="77777777" w:rsidR="002B205D" w:rsidRDefault="002B205D">
            <w:pPr>
              <w:pStyle w:val="NormalWeb"/>
            </w:pPr>
            <w:r>
              <w:rPr>
                <w:rFonts w:ascii="Arial" w:hAnsi="Arial" w:cs="Arial"/>
                <w:color w:val="000000"/>
              </w:rPr>
              <w:t>We had 110 responses, including some detailed comments, providing very useful insights into training needs.</w:t>
            </w:r>
          </w:p>
          <w:p w14:paraId="18950213" w14:textId="77777777" w:rsidR="002B205D" w:rsidRDefault="002B205D">
            <w:pPr>
              <w:pStyle w:val="NormalWeb"/>
            </w:pPr>
            <w:r>
              <w:rPr>
                <w:rFonts w:ascii="Arial" w:hAnsi="Arial" w:cs="Arial"/>
                <w:color w:val="000000"/>
              </w:rPr>
              <w:t> </w:t>
            </w:r>
          </w:p>
          <w:p w14:paraId="277D549E" w14:textId="77777777" w:rsidR="002B205D" w:rsidRDefault="002B205D">
            <w:pPr>
              <w:pStyle w:val="NormalWeb"/>
            </w:pPr>
            <w:r>
              <w:rPr>
                <w:rFonts w:ascii="Arial" w:hAnsi="Arial" w:cs="Arial"/>
                <w:color w:val="000000"/>
              </w:rPr>
              <w:t>Findings included:</w:t>
            </w:r>
          </w:p>
          <w:p w14:paraId="0E23F057" w14:textId="77777777" w:rsidR="002B205D" w:rsidRDefault="002B205D">
            <w:pPr>
              <w:numPr>
                <w:ilvl w:val="0"/>
                <w:numId w:val="4"/>
              </w:numPr>
              <w:spacing w:before="240"/>
              <w:rPr>
                <w:rFonts w:ascii="Aptos" w:eastAsia="Times New Roman" w:hAnsi="Aptos"/>
                <w:color w:val="000000"/>
                <w:sz w:val="24"/>
                <w:szCs w:val="24"/>
              </w:rPr>
            </w:pPr>
            <w:r>
              <w:rPr>
                <w:rFonts w:ascii="Arial" w:eastAsia="Times New Roman" w:hAnsi="Arial" w:cs="Arial"/>
                <w:color w:val="000000"/>
              </w:rPr>
              <w:t>74 percent of respondents said they already used FHIR products (from 83 responses).</w:t>
            </w:r>
          </w:p>
          <w:p w14:paraId="13C80343" w14:textId="77777777" w:rsidR="002B205D" w:rsidRDefault="002B205D">
            <w:pPr>
              <w:numPr>
                <w:ilvl w:val="0"/>
                <w:numId w:val="4"/>
              </w:numPr>
              <w:rPr>
                <w:rFonts w:eastAsia="Times New Roman"/>
                <w:color w:val="000000"/>
              </w:rPr>
            </w:pPr>
            <w:r>
              <w:rPr>
                <w:rFonts w:ascii="Arial" w:eastAsia="Times New Roman" w:hAnsi="Arial" w:cs="Arial"/>
                <w:color w:val="000000"/>
              </w:rPr>
              <w:t>82 percent of respondents said they would be consuming or developing FHIR services in the next 18 months (from 84 responses).</w:t>
            </w:r>
          </w:p>
          <w:p w14:paraId="7B31EA04" w14:textId="77777777" w:rsidR="002B205D" w:rsidRDefault="002B205D">
            <w:pPr>
              <w:numPr>
                <w:ilvl w:val="0"/>
                <w:numId w:val="4"/>
              </w:numPr>
              <w:rPr>
                <w:rFonts w:eastAsia="Times New Roman"/>
                <w:color w:val="000000"/>
              </w:rPr>
            </w:pPr>
            <w:r>
              <w:rPr>
                <w:rFonts w:ascii="Arial" w:eastAsia="Times New Roman" w:hAnsi="Arial" w:cs="Arial"/>
                <w:color w:val="000000"/>
              </w:rPr>
              <w:t>Of the 82 respondents who answered the question about experience with FHIR development: </w:t>
            </w:r>
          </w:p>
          <w:p w14:paraId="44EBA300" w14:textId="77777777" w:rsidR="002B205D" w:rsidRDefault="002B205D">
            <w:pPr>
              <w:numPr>
                <w:ilvl w:val="0"/>
                <w:numId w:val="4"/>
              </w:numPr>
              <w:ind w:left="1080"/>
              <w:rPr>
                <w:rFonts w:ascii="Aptos" w:eastAsia="Times New Roman" w:hAnsi="Aptos"/>
                <w:color w:val="000000"/>
                <w:sz w:val="24"/>
                <w:szCs w:val="24"/>
              </w:rPr>
            </w:pPr>
            <w:r>
              <w:rPr>
                <w:rFonts w:ascii="Arial" w:eastAsia="Times New Roman" w:hAnsi="Arial" w:cs="Arial"/>
                <w:color w:val="000000"/>
              </w:rPr>
              <w:t xml:space="preserve">17 percent said they had no </w:t>
            </w:r>
            <w:proofErr w:type="gramStart"/>
            <w:r>
              <w:rPr>
                <w:rFonts w:ascii="Arial" w:eastAsia="Times New Roman" w:hAnsi="Arial" w:cs="Arial"/>
                <w:color w:val="000000"/>
              </w:rPr>
              <w:t>experience</w:t>
            </w:r>
            <w:proofErr w:type="gramEnd"/>
          </w:p>
          <w:p w14:paraId="1ED9011B" w14:textId="77777777" w:rsidR="002B205D" w:rsidRDefault="002B205D">
            <w:pPr>
              <w:numPr>
                <w:ilvl w:val="0"/>
                <w:numId w:val="4"/>
              </w:numPr>
              <w:ind w:left="1080"/>
              <w:rPr>
                <w:rFonts w:eastAsia="Times New Roman"/>
                <w:color w:val="000000"/>
              </w:rPr>
            </w:pPr>
            <w:r>
              <w:rPr>
                <w:rFonts w:ascii="Arial" w:eastAsia="Times New Roman" w:hAnsi="Arial" w:cs="Arial"/>
                <w:color w:val="000000"/>
              </w:rPr>
              <w:t xml:space="preserve">26 precent said they were </w:t>
            </w:r>
            <w:proofErr w:type="gramStart"/>
            <w:r>
              <w:rPr>
                <w:rFonts w:ascii="Arial" w:eastAsia="Times New Roman" w:hAnsi="Arial" w:cs="Arial"/>
                <w:color w:val="000000"/>
              </w:rPr>
              <w:t>beginners</w:t>
            </w:r>
            <w:proofErr w:type="gramEnd"/>
          </w:p>
          <w:p w14:paraId="060C34F1" w14:textId="77777777" w:rsidR="002B205D" w:rsidRDefault="002B205D">
            <w:pPr>
              <w:numPr>
                <w:ilvl w:val="0"/>
                <w:numId w:val="4"/>
              </w:numPr>
              <w:ind w:left="1080"/>
              <w:rPr>
                <w:rFonts w:eastAsia="Times New Roman"/>
                <w:color w:val="000000"/>
              </w:rPr>
            </w:pPr>
            <w:r>
              <w:rPr>
                <w:rFonts w:ascii="Arial" w:eastAsia="Times New Roman" w:hAnsi="Arial" w:cs="Arial"/>
                <w:color w:val="000000"/>
              </w:rPr>
              <w:t xml:space="preserve">30 percent said they had some </w:t>
            </w:r>
            <w:proofErr w:type="gramStart"/>
            <w:r>
              <w:rPr>
                <w:rFonts w:ascii="Arial" w:eastAsia="Times New Roman" w:hAnsi="Arial" w:cs="Arial"/>
                <w:color w:val="000000"/>
              </w:rPr>
              <w:t>experience</w:t>
            </w:r>
            <w:proofErr w:type="gramEnd"/>
          </w:p>
          <w:p w14:paraId="1D57A3A5" w14:textId="77777777" w:rsidR="002B205D" w:rsidRDefault="002B205D">
            <w:pPr>
              <w:numPr>
                <w:ilvl w:val="0"/>
                <w:numId w:val="4"/>
              </w:numPr>
              <w:ind w:left="1080"/>
              <w:rPr>
                <w:rFonts w:eastAsia="Times New Roman"/>
                <w:color w:val="000000"/>
              </w:rPr>
            </w:pPr>
            <w:r>
              <w:rPr>
                <w:rFonts w:ascii="Arial" w:eastAsia="Times New Roman" w:hAnsi="Arial" w:cs="Arial"/>
                <w:color w:val="000000"/>
              </w:rPr>
              <w:t xml:space="preserve">22 percent said they had significant </w:t>
            </w:r>
            <w:proofErr w:type="gramStart"/>
            <w:r>
              <w:rPr>
                <w:rFonts w:ascii="Arial" w:eastAsia="Times New Roman" w:hAnsi="Arial" w:cs="Arial"/>
                <w:color w:val="000000"/>
              </w:rPr>
              <w:t>experience</w:t>
            </w:r>
            <w:proofErr w:type="gramEnd"/>
          </w:p>
          <w:p w14:paraId="462DBD38" w14:textId="77777777" w:rsidR="002B205D" w:rsidRDefault="002B205D">
            <w:pPr>
              <w:numPr>
                <w:ilvl w:val="0"/>
                <w:numId w:val="4"/>
              </w:numPr>
              <w:ind w:left="1080"/>
              <w:rPr>
                <w:rFonts w:eastAsia="Times New Roman"/>
                <w:color w:val="000000"/>
              </w:rPr>
            </w:pPr>
            <w:r>
              <w:rPr>
                <w:rFonts w:ascii="Arial" w:eastAsia="Times New Roman" w:hAnsi="Arial" w:cs="Arial"/>
                <w:color w:val="000000"/>
              </w:rPr>
              <w:t>5 percent said they were experts. </w:t>
            </w:r>
          </w:p>
          <w:p w14:paraId="38B8B8CD" w14:textId="77777777" w:rsidR="002B205D" w:rsidRPr="002B205D" w:rsidRDefault="002B205D" w:rsidP="002B205D">
            <w:pPr>
              <w:ind w:left="360"/>
              <w:rPr>
                <w:rFonts w:ascii="Aptos" w:eastAsia="Times New Roman" w:hAnsi="Aptos"/>
                <w:color w:val="000000"/>
                <w:sz w:val="24"/>
                <w:szCs w:val="24"/>
              </w:rPr>
            </w:pPr>
          </w:p>
          <w:p w14:paraId="63C0E3BC" w14:textId="0735DF00" w:rsidR="002B205D" w:rsidRDefault="002B205D">
            <w:pPr>
              <w:numPr>
                <w:ilvl w:val="0"/>
                <w:numId w:val="4"/>
              </w:numPr>
              <w:rPr>
                <w:rFonts w:ascii="Aptos" w:eastAsia="Times New Roman" w:hAnsi="Aptos"/>
                <w:color w:val="000000"/>
                <w:sz w:val="24"/>
                <w:szCs w:val="24"/>
              </w:rPr>
            </w:pPr>
            <w:r>
              <w:rPr>
                <w:rFonts w:ascii="Arial" w:eastAsia="Times New Roman" w:hAnsi="Arial" w:cs="Arial"/>
                <w:color w:val="000000"/>
              </w:rPr>
              <w:t>68 percent said they thought it was very important or extremely important that FHIR training was customised to address New Zealand-specific use cases and healthcare needs (from 74 responses).</w:t>
            </w:r>
          </w:p>
          <w:p w14:paraId="79ED8DB1" w14:textId="77777777" w:rsidR="002B205D" w:rsidRDefault="002B205D">
            <w:pPr>
              <w:pStyle w:val="elementtoproof"/>
            </w:pPr>
            <w:r>
              <w:rPr>
                <w:rFonts w:ascii="Arial" w:hAnsi="Arial" w:cs="Arial"/>
                <w:color w:val="000000"/>
              </w:rPr>
              <w:lastRenderedPageBreak/>
              <w:t xml:space="preserve">It was great to see people are invested in the </w:t>
            </w:r>
            <w:r>
              <w:rPr>
                <w:rFonts w:ascii="Arial" w:hAnsi="Arial" w:cs="Arial"/>
                <w:color w:val="000000"/>
                <w:shd w:val="clear" w:color="auto" w:fill="FFFFFF"/>
              </w:rPr>
              <w:t xml:space="preserve">FHIR health interoperability standard </w:t>
            </w:r>
            <w:r>
              <w:rPr>
                <w:rFonts w:ascii="Arial" w:hAnsi="Arial" w:cs="Arial"/>
                <w:color w:val="000000"/>
              </w:rPr>
              <w:t>and support making FHIR a true success for New Zealand. The next steps are to review the responses in more detail and develop a training plan.</w:t>
            </w:r>
          </w:p>
        </w:tc>
        <w:tc>
          <w:tcPr>
            <w:tcW w:w="278" w:type="dxa"/>
            <w:tcBorders>
              <w:top w:val="nil"/>
              <w:left w:val="nil"/>
              <w:bottom w:val="nil"/>
              <w:right w:val="single" w:sz="8" w:space="0" w:color="E7E6E6"/>
            </w:tcBorders>
            <w:tcMar>
              <w:top w:w="142" w:type="dxa"/>
              <w:left w:w="108" w:type="dxa"/>
              <w:bottom w:w="142" w:type="dxa"/>
              <w:right w:w="108" w:type="dxa"/>
            </w:tcMar>
            <w:hideMark/>
          </w:tcPr>
          <w:p w14:paraId="2961BCCF" w14:textId="77777777" w:rsidR="002B205D" w:rsidRDefault="002B205D">
            <w:pPr>
              <w:pStyle w:val="NormalWeb"/>
            </w:pPr>
            <w:r>
              <w:rPr>
                <w:rFonts w:ascii="Arial" w:hAnsi="Arial" w:cs="Arial"/>
                <w:color w:val="000000"/>
              </w:rPr>
              <w:lastRenderedPageBreak/>
              <w:t> </w:t>
            </w:r>
          </w:p>
        </w:tc>
      </w:tr>
      <w:tr w:rsidR="002B205D" w14:paraId="25B63888" w14:textId="77777777" w:rsidTr="002B205D">
        <w:trPr>
          <w:jc w:val="center"/>
        </w:trPr>
        <w:tc>
          <w:tcPr>
            <w:tcW w:w="266" w:type="dxa"/>
            <w:tcBorders>
              <w:top w:val="nil"/>
              <w:left w:val="single" w:sz="8" w:space="0" w:color="E7E6E6"/>
              <w:bottom w:val="nil"/>
              <w:right w:val="nil"/>
            </w:tcBorders>
            <w:tcMar>
              <w:top w:w="142" w:type="dxa"/>
              <w:left w:w="108" w:type="dxa"/>
              <w:bottom w:w="142" w:type="dxa"/>
              <w:right w:w="108" w:type="dxa"/>
            </w:tcMar>
            <w:hideMark/>
          </w:tcPr>
          <w:p w14:paraId="625121F7" w14:textId="77777777" w:rsidR="002B205D" w:rsidRDefault="002B205D">
            <w:pPr>
              <w:pStyle w:val="NormalWeb"/>
            </w:pPr>
            <w:r>
              <w:rPr>
                <w:color w:val="000000"/>
              </w:rPr>
              <w:t> </w:t>
            </w:r>
          </w:p>
        </w:tc>
        <w:tc>
          <w:tcPr>
            <w:tcW w:w="11640" w:type="dxa"/>
            <w:tcMar>
              <w:top w:w="142" w:type="dxa"/>
              <w:left w:w="108" w:type="dxa"/>
              <w:bottom w:w="142" w:type="dxa"/>
              <w:right w:w="108" w:type="dxa"/>
            </w:tcMar>
            <w:hideMark/>
          </w:tcPr>
          <w:p w14:paraId="5D90E3B6" w14:textId="77777777" w:rsidR="002B205D" w:rsidRDefault="002B205D">
            <w:pPr>
              <w:pStyle w:val="Heading1"/>
              <w:spacing w:before="11" w:beforeAutospacing="0" w:after="104" w:afterAutospacing="0" w:line="309" w:lineRule="atLeast"/>
              <w:ind w:left="20"/>
              <w:rPr>
                <w:rFonts w:ascii="Arial" w:eastAsia="Times New Roman" w:hAnsi="Arial" w:cs="Arial"/>
                <w:color w:val="0C818F"/>
                <w:sz w:val="27"/>
                <w:szCs w:val="27"/>
              </w:rPr>
            </w:pPr>
            <w:r>
              <w:rPr>
                <w:rFonts w:ascii="Poppins" w:eastAsia="Times New Roman" w:hAnsi="Poppins" w:cs="Poppins"/>
                <w:color w:val="30A1AC"/>
                <w:sz w:val="27"/>
                <w:szCs w:val="27"/>
              </w:rPr>
              <w:t xml:space="preserve">API technical standards community </w:t>
            </w:r>
            <w:proofErr w:type="gramStart"/>
            <w:r>
              <w:rPr>
                <w:rFonts w:ascii="Poppins" w:eastAsia="Times New Roman" w:hAnsi="Poppins" w:cs="Poppins"/>
                <w:color w:val="30A1AC"/>
                <w:sz w:val="27"/>
                <w:szCs w:val="27"/>
              </w:rPr>
              <w:t>established</w:t>
            </w:r>
            <w:proofErr w:type="gramEnd"/>
          </w:p>
          <w:p w14:paraId="1A7C94F0" w14:textId="77777777" w:rsidR="002B205D" w:rsidRDefault="002B205D">
            <w:pPr>
              <w:pStyle w:val="NormalWeb"/>
            </w:pPr>
            <w:r>
              <w:rPr>
                <w:rFonts w:ascii="Arial" w:hAnsi="Arial" w:cs="Arial"/>
                <w:color w:val="000000"/>
                <w:shd w:val="clear" w:color="auto" w:fill="F9F9F9"/>
              </w:rPr>
              <w:t>A technical standards community has been set up to provide feedback on application programming interface (API) standards drafted by H</w:t>
            </w:r>
            <w:r>
              <w:rPr>
                <w:rFonts w:ascii="Arial" w:hAnsi="Arial" w:cs="Arial"/>
                <w:color w:val="000000"/>
              </w:rPr>
              <w:t>ealth New Zealand</w:t>
            </w:r>
            <w:r>
              <w:rPr>
                <w:rFonts w:ascii="Arial" w:hAnsi="Arial" w:cs="Arial"/>
                <w:color w:val="000000"/>
                <w:shd w:val="clear" w:color="auto" w:fill="F9F9F9"/>
              </w:rPr>
              <w:t xml:space="preserve">. </w:t>
            </w:r>
            <w:r>
              <w:rPr>
                <w:rFonts w:ascii="Arial" w:hAnsi="Arial" w:cs="Arial"/>
                <w:color w:val="000000"/>
              </w:rPr>
              <w:t>Feedback is very important when technical standards are developed, to ensure they are fit for purpose and easy to understand. By listening and being open to different opinions and viewpoints, we can foster a rich and inclusive community that thrives through shared knowledge and collaboration. Following review, HISO (Health Information Standards Organisation) endorsement is sought, and the technical standard is published.</w:t>
            </w:r>
          </w:p>
          <w:p w14:paraId="386A6A2B" w14:textId="77777777" w:rsidR="002B205D" w:rsidRDefault="002B205D">
            <w:pPr>
              <w:pStyle w:val="NormalWeb"/>
            </w:pPr>
            <w:r>
              <w:rPr>
                <w:rFonts w:ascii="Arial" w:hAnsi="Arial" w:cs="Arial"/>
                <w:color w:val="000000"/>
                <w:shd w:val="clear" w:color="auto" w:fill="FFFFFF"/>
              </w:rPr>
              <w:t> </w:t>
            </w:r>
          </w:p>
          <w:p w14:paraId="6577C930" w14:textId="77777777" w:rsidR="002B205D" w:rsidRDefault="002B205D">
            <w:pPr>
              <w:pStyle w:val="NormalWeb"/>
            </w:pPr>
            <w:r>
              <w:rPr>
                <w:rFonts w:ascii="Arial" w:hAnsi="Arial" w:cs="Arial"/>
                <w:color w:val="000000"/>
                <w:shd w:val="clear" w:color="auto" w:fill="FFFFFF"/>
              </w:rPr>
              <w:t>To date, two technical standards have been made available to review:</w:t>
            </w:r>
          </w:p>
          <w:p w14:paraId="3F6E20E9" w14:textId="77777777" w:rsidR="002B205D" w:rsidRDefault="002B205D">
            <w:pPr>
              <w:pStyle w:val="NormalWeb"/>
            </w:pPr>
            <w:r>
              <w:rPr>
                <w:rFonts w:ascii="Arial" w:hAnsi="Arial" w:cs="Arial"/>
                <w:color w:val="000000"/>
                <w:shd w:val="clear" w:color="auto" w:fill="FFFFFF"/>
              </w:rPr>
              <w:t> </w:t>
            </w:r>
          </w:p>
          <w:p w14:paraId="7EF168C0" w14:textId="77777777" w:rsidR="002B205D" w:rsidRDefault="002B205D">
            <w:pPr>
              <w:numPr>
                <w:ilvl w:val="0"/>
                <w:numId w:val="5"/>
              </w:numPr>
              <w:rPr>
                <w:rFonts w:ascii="Aptos" w:eastAsia="Times New Roman" w:hAnsi="Aptos"/>
                <w:color w:val="000000"/>
                <w:sz w:val="24"/>
                <w:szCs w:val="24"/>
              </w:rPr>
            </w:pPr>
            <w:r>
              <w:rPr>
                <w:rFonts w:ascii="Arial" w:eastAsia="Times New Roman" w:hAnsi="Arial" w:cs="Arial"/>
                <w:color w:val="000000"/>
              </w:rPr>
              <w:t>API Design and Development (FHIR and non FHIR)</w:t>
            </w:r>
          </w:p>
          <w:p w14:paraId="0E4C935A" w14:textId="77777777" w:rsidR="002B205D" w:rsidRDefault="002B205D">
            <w:pPr>
              <w:numPr>
                <w:ilvl w:val="0"/>
                <w:numId w:val="5"/>
              </w:numPr>
              <w:rPr>
                <w:rFonts w:eastAsia="Times New Roman"/>
                <w:color w:val="000000"/>
              </w:rPr>
            </w:pPr>
            <w:r>
              <w:rPr>
                <w:rFonts w:ascii="Arial" w:eastAsia="Times New Roman" w:hAnsi="Arial" w:cs="Arial"/>
                <w:color w:val="000000"/>
              </w:rPr>
              <w:t>API Security.</w:t>
            </w:r>
          </w:p>
          <w:p w14:paraId="1F20B747" w14:textId="77777777" w:rsidR="002B205D" w:rsidRDefault="002B205D">
            <w:pPr>
              <w:pStyle w:val="elementtoproof"/>
              <w:rPr>
                <w:rFonts w:ascii="Arial" w:hAnsi="Arial" w:cs="Arial"/>
                <w:color w:val="000000"/>
              </w:rPr>
            </w:pPr>
          </w:p>
          <w:p w14:paraId="2ABD9214" w14:textId="219653FC" w:rsidR="002B205D" w:rsidRDefault="002B205D">
            <w:pPr>
              <w:pStyle w:val="elementtoproof"/>
            </w:pPr>
            <w:r>
              <w:rPr>
                <w:rFonts w:ascii="Arial" w:hAnsi="Arial" w:cs="Arial"/>
                <w:color w:val="000000"/>
              </w:rPr>
              <w:t>These standards are a guide to the level of technical standards needed to provide and deploy a modern API service. They are intended to be the baseline for the sector to use to provide a more consistent and reliable approach that health information services are delivered through. Feedback received to date has been either minor or clarifications, with no significant change suggested, which indicates we’re on the right track.</w:t>
            </w:r>
          </w:p>
          <w:p w14:paraId="4599CD73" w14:textId="77777777" w:rsidR="002B205D" w:rsidRDefault="002B205D">
            <w:pPr>
              <w:pStyle w:val="NormalWeb"/>
            </w:pPr>
            <w:r>
              <w:rPr>
                <w:rFonts w:ascii="Arial" w:hAnsi="Arial" w:cs="Arial"/>
                <w:color w:val="000000"/>
              </w:rPr>
              <w:t> </w:t>
            </w:r>
          </w:p>
          <w:p w14:paraId="386B99DB" w14:textId="77777777" w:rsidR="002B205D" w:rsidRDefault="002B205D">
            <w:pPr>
              <w:pStyle w:val="NormalWeb"/>
            </w:pPr>
            <w:r>
              <w:rPr>
                <w:rFonts w:ascii="Arial" w:hAnsi="Arial" w:cs="Arial"/>
                <w:color w:val="000000"/>
                <w:shd w:val="clear" w:color="auto" w:fill="FFFFFF"/>
              </w:rPr>
              <w:t xml:space="preserve">If </w:t>
            </w:r>
            <w:r w:rsidRPr="002B205D">
              <w:rPr>
                <w:rFonts w:ascii="Arial" w:hAnsi="Arial" w:cs="Arial"/>
                <w:color w:val="000000"/>
                <w:shd w:val="clear" w:color="auto" w:fill="FFFFFF"/>
              </w:rPr>
              <w:t xml:space="preserve">you want to be part of the technical standards community, please contact David Moon: </w:t>
            </w:r>
            <w:hyperlink r:id="rId11" w:history="1">
              <w:r w:rsidRPr="002B205D">
                <w:rPr>
                  <w:rStyle w:val="Hyperlink"/>
                  <w:rFonts w:ascii="Arial" w:hAnsi="Arial" w:cs="Arial"/>
                  <w:color w:val="000000"/>
                  <w:shd w:val="clear" w:color="auto" w:fill="FFFFFF"/>
                </w:rPr>
                <w:t>David.Moon@tewhatuora.govt.nz</w:t>
              </w:r>
            </w:hyperlink>
            <w:r w:rsidRPr="002B205D">
              <w:rPr>
                <w:rFonts w:ascii="Arial" w:hAnsi="Arial" w:cs="Arial"/>
                <w:color w:val="000000"/>
                <w:shd w:val="clear" w:color="auto" w:fill="FFFFFF"/>
              </w:rPr>
              <w:t>.</w:t>
            </w:r>
          </w:p>
        </w:tc>
        <w:tc>
          <w:tcPr>
            <w:tcW w:w="278" w:type="dxa"/>
            <w:tcBorders>
              <w:top w:val="nil"/>
              <w:left w:val="nil"/>
              <w:bottom w:val="nil"/>
              <w:right w:val="single" w:sz="8" w:space="0" w:color="E7E6E6"/>
            </w:tcBorders>
            <w:tcMar>
              <w:top w:w="142" w:type="dxa"/>
              <w:left w:w="108" w:type="dxa"/>
              <w:bottom w:w="142" w:type="dxa"/>
              <w:right w:w="108" w:type="dxa"/>
            </w:tcMar>
            <w:hideMark/>
          </w:tcPr>
          <w:p w14:paraId="12FA41AD" w14:textId="77777777" w:rsidR="002B205D" w:rsidRDefault="002B205D">
            <w:pPr>
              <w:pStyle w:val="NormalWeb"/>
            </w:pPr>
            <w:r>
              <w:rPr>
                <w:rFonts w:ascii="Arial" w:hAnsi="Arial" w:cs="Arial"/>
                <w:color w:val="000000"/>
              </w:rPr>
              <w:t> </w:t>
            </w:r>
          </w:p>
        </w:tc>
      </w:tr>
      <w:tr w:rsidR="002B205D" w14:paraId="5C280BA3" w14:textId="77777777" w:rsidTr="002B205D">
        <w:trPr>
          <w:jc w:val="center"/>
        </w:trPr>
        <w:tc>
          <w:tcPr>
            <w:tcW w:w="266" w:type="dxa"/>
            <w:tcBorders>
              <w:top w:val="nil"/>
              <w:left w:val="single" w:sz="8" w:space="0" w:color="E7E6E6"/>
              <w:bottom w:val="nil"/>
              <w:right w:val="nil"/>
            </w:tcBorders>
            <w:tcMar>
              <w:top w:w="142" w:type="dxa"/>
              <w:left w:w="108" w:type="dxa"/>
              <w:bottom w:w="142" w:type="dxa"/>
              <w:right w:w="108" w:type="dxa"/>
            </w:tcMar>
            <w:hideMark/>
          </w:tcPr>
          <w:p w14:paraId="5AA3731A" w14:textId="77777777" w:rsidR="002B205D" w:rsidRDefault="002B205D">
            <w:pPr>
              <w:pStyle w:val="NormalWeb"/>
            </w:pPr>
            <w:r>
              <w:rPr>
                <w:color w:val="000000"/>
              </w:rPr>
              <w:t> </w:t>
            </w:r>
          </w:p>
        </w:tc>
        <w:tc>
          <w:tcPr>
            <w:tcW w:w="11640" w:type="dxa"/>
            <w:tcMar>
              <w:top w:w="142" w:type="dxa"/>
              <w:left w:w="108" w:type="dxa"/>
              <w:bottom w:w="142" w:type="dxa"/>
              <w:right w:w="108" w:type="dxa"/>
            </w:tcMar>
            <w:hideMark/>
          </w:tcPr>
          <w:p w14:paraId="4B83810A" w14:textId="77777777" w:rsidR="002B205D" w:rsidRDefault="002B205D">
            <w:pPr>
              <w:pStyle w:val="Heading1"/>
              <w:spacing w:before="11" w:beforeAutospacing="0" w:after="104" w:afterAutospacing="0" w:line="309" w:lineRule="atLeast"/>
              <w:ind w:left="20"/>
              <w:rPr>
                <w:rFonts w:ascii="Arial" w:eastAsia="Times New Roman" w:hAnsi="Arial" w:cs="Arial"/>
                <w:color w:val="0C818F"/>
                <w:sz w:val="27"/>
                <w:szCs w:val="27"/>
              </w:rPr>
            </w:pPr>
            <w:r>
              <w:rPr>
                <w:rFonts w:ascii="Poppins" w:eastAsia="Times New Roman" w:hAnsi="Poppins" w:cs="Poppins"/>
                <w:color w:val="30A1AC"/>
                <w:sz w:val="27"/>
                <w:szCs w:val="27"/>
              </w:rPr>
              <w:t>New Zealand Patient Summary</w:t>
            </w:r>
          </w:p>
          <w:p w14:paraId="0EFA393F" w14:textId="496FF1D1" w:rsidR="002B205D" w:rsidRDefault="002B205D">
            <w:pPr>
              <w:rPr>
                <w:rFonts w:eastAsia="Times New Roman"/>
              </w:rPr>
            </w:pPr>
            <w:r>
              <w:rPr>
                <w:rFonts w:ascii="Poppins" w:eastAsia="Times New Roman" w:hAnsi="Poppins" w:cs="Poppins"/>
                <w:noProof/>
                <w:color w:val="30A1AC"/>
                <w:sz w:val="24"/>
                <w:szCs w:val="24"/>
              </w:rPr>
              <w:drawing>
                <wp:inline distT="0" distB="0" distL="0" distR="0" wp14:anchorId="658B14EE" wp14:editId="3311B595">
                  <wp:extent cx="3079750" cy="1752600"/>
                  <wp:effectExtent l="0" t="0" r="6350" b="0"/>
                  <wp:docPr id="1900386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image_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9750" cy="1752600"/>
                          </a:xfrm>
                          <a:prstGeom prst="rect">
                            <a:avLst/>
                          </a:prstGeom>
                          <a:noFill/>
                          <a:ln>
                            <a:noFill/>
                          </a:ln>
                        </pic:spPr>
                      </pic:pic>
                    </a:graphicData>
                  </a:graphic>
                </wp:inline>
              </w:drawing>
            </w:r>
          </w:p>
          <w:p w14:paraId="3072ECD8" w14:textId="77777777" w:rsidR="002B205D" w:rsidRDefault="002B205D">
            <w:pPr>
              <w:pStyle w:val="NormalWeb"/>
            </w:pPr>
            <w:r>
              <w:rPr>
                <w:rFonts w:ascii="Arial" w:hAnsi="Arial" w:cs="Arial"/>
                <w:color w:val="000000"/>
              </w:rPr>
              <w:t>The suggested composition of the NZ Patient Summary is shown above. It is a New Zealand adaption of the IPS (International Patient Summary) with extensions that reflect our local nuances and cultural needs.</w:t>
            </w:r>
          </w:p>
          <w:p w14:paraId="43F4F4D5" w14:textId="77777777" w:rsidR="002B205D" w:rsidRDefault="002B205D">
            <w:pPr>
              <w:pStyle w:val="NormalWeb"/>
            </w:pPr>
            <w:r>
              <w:rPr>
                <w:rFonts w:ascii="Arial" w:hAnsi="Arial" w:cs="Arial"/>
                <w:color w:val="000000"/>
                <w:shd w:val="clear" w:color="auto" w:fill="FFFFFF"/>
              </w:rPr>
              <w:t> </w:t>
            </w:r>
          </w:p>
          <w:p w14:paraId="27616B78" w14:textId="77777777" w:rsidR="002B205D" w:rsidRDefault="002B205D">
            <w:pPr>
              <w:pStyle w:val="NormalWeb"/>
            </w:pPr>
            <w:r>
              <w:rPr>
                <w:rFonts w:ascii="Arial" w:hAnsi="Arial" w:cs="Arial"/>
                <w:color w:val="000000"/>
                <w:shd w:val="clear" w:color="auto" w:fill="FFFFFF"/>
              </w:rPr>
              <w:t xml:space="preserve">By mid-2024, it is planned to have </w:t>
            </w:r>
            <w:r>
              <w:rPr>
                <w:rFonts w:ascii="Arial" w:hAnsi="Arial" w:cs="Arial"/>
                <w:color w:val="000000"/>
              </w:rPr>
              <w:t>the New Zealand patient summary (</w:t>
            </w:r>
            <w:r>
              <w:rPr>
                <w:rFonts w:ascii="Arial" w:hAnsi="Arial" w:cs="Arial"/>
                <w:color w:val="000000"/>
                <w:shd w:val="clear" w:color="auto" w:fill="FFFFFF"/>
              </w:rPr>
              <w:t xml:space="preserve">based on the HISO International Patient Summary) available to healthcare consumers and healthcare providers via My Health Record. </w:t>
            </w:r>
            <w:r>
              <w:rPr>
                <w:rFonts w:ascii="Arial" w:hAnsi="Arial" w:cs="Arial"/>
                <w:color w:val="000000"/>
              </w:rPr>
              <w:t>The NZ Patient Summary will enable access to some essential health information, including:</w:t>
            </w:r>
          </w:p>
          <w:p w14:paraId="5F649722" w14:textId="77777777" w:rsidR="002B205D" w:rsidRDefault="002B205D">
            <w:pPr>
              <w:pStyle w:val="NormalWeb"/>
            </w:pPr>
            <w:r>
              <w:rPr>
                <w:rFonts w:ascii="Arial" w:hAnsi="Arial" w:cs="Arial"/>
                <w:color w:val="000000"/>
              </w:rPr>
              <w:t> </w:t>
            </w:r>
          </w:p>
          <w:p w14:paraId="3106EA90" w14:textId="77777777" w:rsidR="002B205D" w:rsidRDefault="002B205D">
            <w:pPr>
              <w:numPr>
                <w:ilvl w:val="0"/>
                <w:numId w:val="6"/>
              </w:numPr>
              <w:rPr>
                <w:rFonts w:ascii="Aptos" w:eastAsia="Times New Roman" w:hAnsi="Aptos"/>
                <w:color w:val="000000"/>
                <w:sz w:val="24"/>
                <w:szCs w:val="24"/>
              </w:rPr>
            </w:pPr>
            <w:r>
              <w:rPr>
                <w:rFonts w:ascii="Arial" w:eastAsia="Times New Roman" w:hAnsi="Arial" w:cs="Arial"/>
                <w:color w:val="000000"/>
              </w:rPr>
              <w:t>demographics</w:t>
            </w:r>
          </w:p>
          <w:p w14:paraId="71616FC6" w14:textId="77777777" w:rsidR="002B205D" w:rsidRDefault="002B205D">
            <w:pPr>
              <w:numPr>
                <w:ilvl w:val="0"/>
                <w:numId w:val="6"/>
              </w:numPr>
              <w:rPr>
                <w:rFonts w:eastAsia="Times New Roman"/>
                <w:color w:val="000000"/>
              </w:rPr>
            </w:pPr>
            <w:r>
              <w:rPr>
                <w:rFonts w:ascii="Arial" w:eastAsia="Times New Roman" w:hAnsi="Arial" w:cs="Arial"/>
                <w:color w:val="000000"/>
              </w:rPr>
              <w:t>community dispensed medicines</w:t>
            </w:r>
          </w:p>
          <w:p w14:paraId="4209FA7D" w14:textId="77777777" w:rsidR="002B205D" w:rsidRDefault="002B205D">
            <w:pPr>
              <w:numPr>
                <w:ilvl w:val="0"/>
                <w:numId w:val="6"/>
              </w:numPr>
              <w:rPr>
                <w:rFonts w:eastAsia="Times New Roman"/>
                <w:color w:val="000000"/>
              </w:rPr>
            </w:pPr>
            <w:r>
              <w:rPr>
                <w:rFonts w:ascii="Arial" w:eastAsia="Times New Roman" w:hAnsi="Arial" w:cs="Arial"/>
                <w:color w:val="000000"/>
              </w:rPr>
              <w:t>vaccination status</w:t>
            </w:r>
          </w:p>
          <w:p w14:paraId="13DB551F" w14:textId="77777777" w:rsidR="002B205D" w:rsidRDefault="002B205D">
            <w:pPr>
              <w:numPr>
                <w:ilvl w:val="0"/>
                <w:numId w:val="6"/>
              </w:numPr>
              <w:rPr>
                <w:rFonts w:eastAsia="Times New Roman"/>
                <w:color w:val="000000"/>
              </w:rPr>
            </w:pPr>
            <w:r>
              <w:rPr>
                <w:rFonts w:ascii="Arial" w:eastAsia="Times New Roman" w:hAnsi="Arial" w:cs="Arial"/>
                <w:color w:val="000000"/>
              </w:rPr>
              <w:t>entitlements (initially Community Services Card and High Use Health Card)</w:t>
            </w:r>
          </w:p>
          <w:p w14:paraId="605D3338" w14:textId="77777777" w:rsidR="002B205D" w:rsidRDefault="002B205D">
            <w:pPr>
              <w:numPr>
                <w:ilvl w:val="0"/>
                <w:numId w:val="6"/>
              </w:numPr>
              <w:rPr>
                <w:rFonts w:eastAsia="Times New Roman"/>
                <w:color w:val="000000"/>
              </w:rPr>
            </w:pPr>
            <w:r>
              <w:rPr>
                <w:rFonts w:ascii="Arial" w:eastAsia="Times New Roman" w:hAnsi="Arial" w:cs="Arial"/>
                <w:color w:val="000000"/>
              </w:rPr>
              <w:t>laboratory results (initially COVID-19)</w:t>
            </w:r>
          </w:p>
          <w:p w14:paraId="7282C495" w14:textId="77777777" w:rsidR="002B205D" w:rsidRPr="002B205D" w:rsidRDefault="002B205D">
            <w:pPr>
              <w:numPr>
                <w:ilvl w:val="0"/>
                <w:numId w:val="6"/>
              </w:numPr>
              <w:rPr>
                <w:rFonts w:eastAsia="Times New Roman"/>
                <w:color w:val="000000"/>
              </w:rPr>
            </w:pPr>
            <w:r>
              <w:rPr>
                <w:rFonts w:ascii="Arial" w:eastAsia="Times New Roman" w:hAnsi="Arial" w:cs="Arial"/>
                <w:color w:val="000000"/>
              </w:rPr>
              <w:t>other data, for example, allergies and conditions.</w:t>
            </w:r>
          </w:p>
          <w:p w14:paraId="7617AC1D" w14:textId="77777777" w:rsidR="002B205D" w:rsidRDefault="002B205D" w:rsidP="002B205D">
            <w:pPr>
              <w:ind w:left="360"/>
              <w:rPr>
                <w:rFonts w:eastAsia="Times New Roman"/>
                <w:color w:val="000000"/>
              </w:rPr>
            </w:pPr>
          </w:p>
          <w:p w14:paraId="1DBC6EC8" w14:textId="77777777" w:rsidR="002B205D" w:rsidRDefault="002B205D">
            <w:pPr>
              <w:pStyle w:val="NormalWeb"/>
            </w:pPr>
            <w:r>
              <w:rPr>
                <w:rFonts w:ascii="Arial" w:hAnsi="Arial" w:cs="Arial"/>
                <w:color w:val="000000"/>
              </w:rPr>
              <w:t> </w:t>
            </w:r>
            <w:r>
              <w:rPr>
                <w:rFonts w:ascii="Arial" w:hAnsi="Arial" w:cs="Arial"/>
                <w:color w:val="000000"/>
                <w:shd w:val="clear" w:color="auto" w:fill="FFFFFF"/>
              </w:rPr>
              <w:t>Additional datasets will be added over time, as we work towards delivering a personal health record.</w:t>
            </w:r>
          </w:p>
        </w:tc>
        <w:tc>
          <w:tcPr>
            <w:tcW w:w="278" w:type="dxa"/>
            <w:tcBorders>
              <w:top w:val="nil"/>
              <w:left w:val="nil"/>
              <w:bottom w:val="nil"/>
              <w:right w:val="single" w:sz="8" w:space="0" w:color="E7E6E6"/>
            </w:tcBorders>
            <w:tcMar>
              <w:top w:w="142" w:type="dxa"/>
              <w:left w:w="108" w:type="dxa"/>
              <w:bottom w:w="142" w:type="dxa"/>
              <w:right w:w="108" w:type="dxa"/>
            </w:tcMar>
            <w:hideMark/>
          </w:tcPr>
          <w:p w14:paraId="60F2C2CD" w14:textId="77777777" w:rsidR="002B205D" w:rsidRDefault="002B205D">
            <w:pPr>
              <w:pStyle w:val="NormalWeb"/>
            </w:pPr>
            <w:r>
              <w:rPr>
                <w:rFonts w:ascii="Arial" w:hAnsi="Arial" w:cs="Arial"/>
                <w:color w:val="000000"/>
              </w:rPr>
              <w:t> </w:t>
            </w:r>
          </w:p>
        </w:tc>
      </w:tr>
      <w:tr w:rsidR="002B205D" w14:paraId="197BAB89" w14:textId="77777777" w:rsidTr="002B205D">
        <w:trPr>
          <w:jc w:val="center"/>
        </w:trPr>
        <w:tc>
          <w:tcPr>
            <w:tcW w:w="266" w:type="dxa"/>
            <w:tcBorders>
              <w:top w:val="nil"/>
              <w:left w:val="single" w:sz="8" w:space="0" w:color="E7E6E6"/>
              <w:bottom w:val="nil"/>
              <w:right w:val="nil"/>
            </w:tcBorders>
            <w:tcMar>
              <w:top w:w="142" w:type="dxa"/>
              <w:left w:w="108" w:type="dxa"/>
              <w:bottom w:w="142" w:type="dxa"/>
              <w:right w:w="108" w:type="dxa"/>
            </w:tcMar>
            <w:hideMark/>
          </w:tcPr>
          <w:p w14:paraId="07534BE7" w14:textId="77777777" w:rsidR="002B205D" w:rsidRDefault="002B205D">
            <w:pPr>
              <w:pStyle w:val="NormalWeb"/>
            </w:pPr>
            <w:r>
              <w:rPr>
                <w:color w:val="000000"/>
              </w:rPr>
              <w:lastRenderedPageBreak/>
              <w:t> </w:t>
            </w:r>
          </w:p>
        </w:tc>
        <w:tc>
          <w:tcPr>
            <w:tcW w:w="11640" w:type="dxa"/>
            <w:tcMar>
              <w:top w:w="142" w:type="dxa"/>
              <w:left w:w="108" w:type="dxa"/>
              <w:bottom w:w="142" w:type="dxa"/>
              <w:right w:w="108" w:type="dxa"/>
            </w:tcMar>
            <w:hideMark/>
          </w:tcPr>
          <w:p w14:paraId="21938EAC" w14:textId="77777777" w:rsidR="002B205D" w:rsidRDefault="002B205D">
            <w:pPr>
              <w:pStyle w:val="Heading1"/>
              <w:spacing w:before="11" w:beforeAutospacing="0" w:after="104" w:afterAutospacing="0" w:line="309" w:lineRule="atLeast"/>
              <w:ind w:left="20"/>
              <w:rPr>
                <w:rFonts w:ascii="Arial" w:eastAsia="Times New Roman" w:hAnsi="Arial" w:cs="Arial"/>
                <w:color w:val="0C818F"/>
                <w:sz w:val="27"/>
                <w:szCs w:val="27"/>
              </w:rPr>
            </w:pPr>
            <w:r>
              <w:rPr>
                <w:rFonts w:ascii="Poppins" w:eastAsia="Times New Roman" w:hAnsi="Poppins" w:cs="Poppins"/>
                <w:color w:val="30A1AC"/>
                <w:sz w:val="27"/>
                <w:szCs w:val="27"/>
              </w:rPr>
              <w:t>Questions or comments</w:t>
            </w:r>
          </w:p>
          <w:p w14:paraId="34D52757" w14:textId="77777777" w:rsidR="002B205D" w:rsidRDefault="002B205D">
            <w:pPr>
              <w:pStyle w:val="NormalWeb"/>
            </w:pPr>
            <w:r>
              <w:rPr>
                <w:rFonts w:ascii="Arial" w:hAnsi="Arial" w:cs="Arial"/>
                <w:color w:val="333333"/>
              </w:rPr>
              <w:t xml:space="preserve">We welcome your feedback, </w:t>
            </w:r>
            <w:proofErr w:type="gramStart"/>
            <w:r>
              <w:rPr>
                <w:rFonts w:ascii="Arial" w:hAnsi="Arial" w:cs="Arial"/>
                <w:color w:val="333333"/>
              </w:rPr>
              <w:t>input</w:t>
            </w:r>
            <w:proofErr w:type="gramEnd"/>
            <w:r>
              <w:rPr>
                <w:rFonts w:ascii="Arial" w:hAnsi="Arial" w:cs="Arial"/>
                <w:color w:val="333333"/>
              </w:rPr>
              <w:t xml:space="preserve"> and questions – please email us on </w:t>
            </w:r>
            <w:hyperlink r:id="rId13" w:history="1">
              <w:r>
                <w:rPr>
                  <w:rStyle w:val="Hyperlink"/>
                  <w:rFonts w:ascii="Arial" w:hAnsi="Arial" w:cs="Arial"/>
                </w:rPr>
                <w:t>contact@hira.health.nz</w:t>
              </w:r>
            </w:hyperlink>
            <w:r>
              <w:rPr>
                <w:rFonts w:ascii="Arial" w:hAnsi="Arial" w:cs="Arial"/>
                <w:color w:val="333333"/>
              </w:rPr>
              <w:t>.</w:t>
            </w:r>
          </w:p>
          <w:p w14:paraId="7052F9B0" w14:textId="77777777" w:rsidR="002B205D" w:rsidRDefault="002B205D">
            <w:pPr>
              <w:pStyle w:val="NormalWeb"/>
            </w:pPr>
            <w:r>
              <w:rPr>
                <w:rFonts w:ascii="Arial" w:hAnsi="Arial" w:cs="Arial"/>
                <w:color w:val="333333"/>
              </w:rPr>
              <w:t> </w:t>
            </w:r>
          </w:p>
          <w:p w14:paraId="3A41C0E9" w14:textId="77777777" w:rsidR="002B205D" w:rsidRDefault="002B205D">
            <w:pPr>
              <w:pStyle w:val="NormalWeb"/>
            </w:pPr>
            <w:r>
              <w:rPr>
                <w:rFonts w:ascii="Arial" w:hAnsi="Arial" w:cs="Arial"/>
                <w:color w:val="000000"/>
              </w:rPr>
              <w:t>Please also let us know if you would like to be added to the list of subscribers who are alerted when these monthly updates are published.</w:t>
            </w:r>
          </w:p>
        </w:tc>
        <w:tc>
          <w:tcPr>
            <w:tcW w:w="278" w:type="dxa"/>
            <w:tcBorders>
              <w:top w:val="nil"/>
              <w:left w:val="nil"/>
              <w:bottom w:val="nil"/>
              <w:right w:val="single" w:sz="8" w:space="0" w:color="E7E6E6"/>
            </w:tcBorders>
            <w:tcMar>
              <w:top w:w="142" w:type="dxa"/>
              <w:left w:w="108" w:type="dxa"/>
              <w:bottom w:w="142" w:type="dxa"/>
              <w:right w:w="108" w:type="dxa"/>
            </w:tcMar>
            <w:hideMark/>
          </w:tcPr>
          <w:p w14:paraId="07927ABF" w14:textId="77777777" w:rsidR="002B205D" w:rsidRDefault="002B205D">
            <w:pPr>
              <w:pStyle w:val="NormalWeb"/>
            </w:pPr>
            <w:r>
              <w:rPr>
                <w:rFonts w:ascii="Arial" w:hAnsi="Arial" w:cs="Arial"/>
                <w:color w:val="000000"/>
              </w:rPr>
              <w:t> </w:t>
            </w:r>
          </w:p>
        </w:tc>
      </w:tr>
    </w:tbl>
    <w:p w14:paraId="51579B7B" w14:textId="77777777" w:rsidR="00FF2DE1" w:rsidRDefault="00FF2DE1"/>
    <w:sectPr w:rsidR="00FF2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3D6C"/>
    <w:multiLevelType w:val="multilevel"/>
    <w:tmpl w:val="25907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C72C0A"/>
    <w:multiLevelType w:val="multilevel"/>
    <w:tmpl w:val="8EB8B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DF0996"/>
    <w:multiLevelType w:val="multilevel"/>
    <w:tmpl w:val="EC82D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5D6DA1"/>
    <w:multiLevelType w:val="multilevel"/>
    <w:tmpl w:val="0EE86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5C4E80"/>
    <w:multiLevelType w:val="multilevel"/>
    <w:tmpl w:val="90AA7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400B49"/>
    <w:multiLevelType w:val="multilevel"/>
    <w:tmpl w:val="607CD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13188748">
    <w:abstractNumId w:val="2"/>
    <w:lvlOverride w:ilvl="0"/>
    <w:lvlOverride w:ilvl="1"/>
    <w:lvlOverride w:ilvl="2"/>
    <w:lvlOverride w:ilvl="3"/>
    <w:lvlOverride w:ilvl="4"/>
    <w:lvlOverride w:ilvl="5"/>
    <w:lvlOverride w:ilvl="6"/>
    <w:lvlOverride w:ilvl="7"/>
    <w:lvlOverride w:ilvl="8"/>
  </w:num>
  <w:num w:numId="2" w16cid:durableId="856700683">
    <w:abstractNumId w:val="5"/>
    <w:lvlOverride w:ilvl="0"/>
    <w:lvlOverride w:ilvl="1"/>
    <w:lvlOverride w:ilvl="2"/>
    <w:lvlOverride w:ilvl="3"/>
    <w:lvlOverride w:ilvl="4"/>
    <w:lvlOverride w:ilvl="5"/>
    <w:lvlOverride w:ilvl="6"/>
    <w:lvlOverride w:ilvl="7"/>
    <w:lvlOverride w:ilvl="8"/>
  </w:num>
  <w:num w:numId="3" w16cid:durableId="1227499315">
    <w:abstractNumId w:val="1"/>
    <w:lvlOverride w:ilvl="0"/>
    <w:lvlOverride w:ilvl="1"/>
    <w:lvlOverride w:ilvl="2"/>
    <w:lvlOverride w:ilvl="3"/>
    <w:lvlOverride w:ilvl="4"/>
    <w:lvlOverride w:ilvl="5"/>
    <w:lvlOverride w:ilvl="6"/>
    <w:lvlOverride w:ilvl="7"/>
    <w:lvlOverride w:ilvl="8"/>
  </w:num>
  <w:num w:numId="4" w16cid:durableId="1316566121">
    <w:abstractNumId w:val="3"/>
    <w:lvlOverride w:ilvl="0"/>
    <w:lvlOverride w:ilvl="1"/>
    <w:lvlOverride w:ilvl="2"/>
    <w:lvlOverride w:ilvl="3"/>
    <w:lvlOverride w:ilvl="4"/>
    <w:lvlOverride w:ilvl="5"/>
    <w:lvlOverride w:ilvl="6"/>
    <w:lvlOverride w:ilvl="7"/>
    <w:lvlOverride w:ilvl="8"/>
  </w:num>
  <w:num w:numId="5" w16cid:durableId="1567380600">
    <w:abstractNumId w:val="4"/>
    <w:lvlOverride w:ilvl="0"/>
    <w:lvlOverride w:ilvl="1"/>
    <w:lvlOverride w:ilvl="2"/>
    <w:lvlOverride w:ilvl="3"/>
    <w:lvlOverride w:ilvl="4"/>
    <w:lvlOverride w:ilvl="5"/>
    <w:lvlOverride w:ilvl="6"/>
    <w:lvlOverride w:ilvl="7"/>
    <w:lvlOverride w:ilvl="8"/>
  </w:num>
  <w:num w:numId="6" w16cid:durableId="33364786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5D"/>
    <w:rsid w:val="002B205D"/>
    <w:rsid w:val="00FF2D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1605"/>
  <w15:chartTrackingRefBased/>
  <w15:docId w15:val="{C4DD2971-C4EC-44D0-A26D-1132699A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05D"/>
    <w:pPr>
      <w:spacing w:after="0" w:line="240" w:lineRule="auto"/>
    </w:pPr>
    <w:rPr>
      <w:rFonts w:ascii="Calibri" w:hAnsi="Calibri" w:cs="Calibri"/>
      <w:kern w:val="0"/>
      <w:lang w:eastAsia="en-NZ"/>
      <w14:ligatures w14:val="none"/>
    </w:rPr>
  </w:style>
  <w:style w:type="paragraph" w:styleId="Heading1">
    <w:name w:val="heading 1"/>
    <w:basedOn w:val="Normal"/>
    <w:link w:val="Heading1Char"/>
    <w:uiPriority w:val="9"/>
    <w:qFormat/>
    <w:rsid w:val="002B205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05D"/>
    <w:rPr>
      <w:rFonts w:ascii="Calibri" w:hAnsi="Calibri" w:cs="Calibri"/>
      <w:b/>
      <w:bCs/>
      <w:kern w:val="36"/>
      <w:sz w:val="48"/>
      <w:szCs w:val="48"/>
      <w:lang w:eastAsia="en-NZ"/>
      <w14:ligatures w14:val="none"/>
    </w:rPr>
  </w:style>
  <w:style w:type="character" w:styleId="Hyperlink">
    <w:name w:val="Hyperlink"/>
    <w:basedOn w:val="DefaultParagraphFont"/>
    <w:uiPriority w:val="99"/>
    <w:semiHidden/>
    <w:unhideWhenUsed/>
    <w:rsid w:val="002B205D"/>
    <w:rPr>
      <w:color w:val="0000FF"/>
      <w:u w:val="single"/>
    </w:rPr>
  </w:style>
  <w:style w:type="paragraph" w:styleId="NormalWeb">
    <w:name w:val="Normal (Web)"/>
    <w:basedOn w:val="Normal"/>
    <w:uiPriority w:val="99"/>
    <w:semiHidden/>
    <w:unhideWhenUsed/>
    <w:rsid w:val="002B205D"/>
  </w:style>
  <w:style w:type="paragraph" w:customStyle="1" w:styleId="elementtoproof">
    <w:name w:val="elementtoproof"/>
    <w:basedOn w:val="Normal"/>
    <w:uiPriority w:val="99"/>
    <w:semiHidden/>
    <w:rsid w:val="002B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ontact@hira.health.nz" TargetMode="External"/><Relationship Id="rId3" Type="http://schemas.openxmlformats.org/officeDocument/2006/relationships/settings" Target="settings.xml"/><Relationship Id="rId7" Type="http://schemas.openxmlformats.org/officeDocument/2006/relationships/hyperlink" Target="https://aus01.safelinks.protection.outlook.com/?url=https%3A%2F%2Fwww.tewhatuora.govt.nz%2Four-health-system%2Fdigital-health%2Fhira-connecting-health-information%2F&amp;data=05%7C02%7CLiz.Price%40TeWhatuOra.govt.nz%7C3830bc0904454eeb19c008dc38d0d87b%7Cbed4da513cdb4d0dbaf8fb80d53268e3%7C0%7C0%7C638447716867725688%7CUnknown%7CTWFpbGZsb3d8eyJWIjoiMC4wLjAwMDAiLCJQIjoiV2luMzIiLCJBTiI6Ik1haWwiLCJXVCI6Mn0%3D%7C0%7C%7C%7C&amp;sdata=d4y2OofABIXl096Bz7v3z267DMWzOeZ3cLOluGWe%2FIE%3D&amp;reserved=0"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avid.Moon@tewhatuora.govt.n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1488</Words>
  <Characters>8487</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Liz Price</cp:lastModifiedBy>
  <cp:revision>1</cp:revision>
  <dcterms:created xsi:type="dcterms:W3CDTF">2024-03-01T06:43:00Z</dcterms:created>
  <dcterms:modified xsi:type="dcterms:W3CDTF">2024-03-01T06:46:00Z</dcterms:modified>
</cp:coreProperties>
</file>