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16C3" w14:textId="77777777" w:rsidR="00C86248" w:rsidRDefault="003213F1" w:rsidP="003957FC">
      <w:pPr>
        <w:pStyle w:val="Title"/>
        <w:pBdr>
          <w:top w:val="single" w:sz="4" w:space="1" w:color="auto"/>
        </w:pBdr>
        <w:ind w:right="2268"/>
      </w:pPr>
      <w:r>
        <w:t>Summary of the Review of Public Comment Feedback on the Draft HISO 10058.1 Infection Surveillance Data Standard</w:t>
      </w:r>
    </w:p>
    <w:p w14:paraId="3892ECB7" w14:textId="77777777" w:rsidR="00C05132" w:rsidRDefault="00C05132" w:rsidP="00A06BE4"/>
    <w:p w14:paraId="778FF2F5" w14:textId="77777777" w:rsidR="00142954" w:rsidRPr="00142954" w:rsidRDefault="00142954" w:rsidP="00142954">
      <w:pPr>
        <w:sectPr w:rsidR="00142954" w:rsidRPr="00142954" w:rsidSect="00925892">
          <w:headerReference w:type="default" r:id="rId11"/>
          <w:footerReference w:type="default" r:id="rId12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68688FF8" w14:textId="77777777"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3213F1">
        <w:rPr>
          <w:rFonts w:cs="Segoe UI"/>
        </w:rPr>
        <w:t>2021</w:t>
      </w:r>
      <w:r w:rsidR="00442C1C" w:rsidRPr="00C05132">
        <w:rPr>
          <w:rFonts w:cs="Segoe UI"/>
        </w:rPr>
        <w:t xml:space="preserve">. </w:t>
      </w:r>
      <w:r w:rsidR="003213F1" w:rsidRPr="003213F1">
        <w:rPr>
          <w:rFonts w:cs="Segoe UI"/>
          <w:i/>
        </w:rPr>
        <w:t xml:space="preserve">Summary of the Review of Public Comment </w:t>
      </w:r>
      <w:bookmarkStart w:id="0" w:name="_GoBack"/>
      <w:bookmarkEnd w:id="0"/>
      <w:r w:rsidR="003213F1" w:rsidRPr="003213F1">
        <w:rPr>
          <w:rFonts w:cs="Segoe UI"/>
          <w:i/>
        </w:rPr>
        <w:t>Feedback on the Draft HISO 10058.1 Infection Surveillance Data Standard</w:t>
      </w:r>
      <w:r w:rsidR="00442C1C" w:rsidRPr="00C05132">
        <w:rPr>
          <w:rFonts w:cs="Segoe UI"/>
        </w:rPr>
        <w:t>. Wellington: Ministry of Health.</w:t>
      </w:r>
    </w:p>
    <w:p w14:paraId="0E681DC0" w14:textId="77777777" w:rsidR="00C86248" w:rsidRDefault="00C86248">
      <w:pPr>
        <w:pStyle w:val="Imprint"/>
      </w:pPr>
      <w:r>
        <w:t xml:space="preserve">Published in </w:t>
      </w:r>
      <w:r w:rsidR="003213F1">
        <w:t>April 2021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4B49FD81" w14:textId="4810BABE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785736" w:rsidRPr="0034322B">
        <w:rPr>
          <w:rFonts w:eastAsia="Arial" w:cs="Segoe UI"/>
          <w:color w:val="000000"/>
        </w:rPr>
        <w:t>978-1-99-100706-3</w:t>
      </w:r>
      <w:r w:rsidR="00785736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363477">
        <w:t>7656</w:t>
      </w:r>
    </w:p>
    <w:p w14:paraId="708F24E3" w14:textId="77777777" w:rsidR="00C86248" w:rsidRDefault="008C64C4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0E2D9DB4" wp14:editId="56F8D6A8">
            <wp:extent cx="1413163" cy="576330"/>
            <wp:effectExtent l="0" t="0" r="0" b="0"/>
            <wp:docPr id="2" name="Picture 2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0F4D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hyperlink r:id="rId14" w:history="1">
        <w:r w:rsidR="00476B21" w:rsidRPr="0013096C">
          <w:rPr>
            <w:rStyle w:val="Hyperlink"/>
          </w:rPr>
          <w:t>health.govt.nz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3350F960" w14:textId="77777777" w:rsidTr="00A63DFF">
        <w:trPr>
          <w:cantSplit/>
        </w:trPr>
        <w:tc>
          <w:tcPr>
            <w:tcW w:w="1526" w:type="dxa"/>
          </w:tcPr>
          <w:p w14:paraId="5E62DA1B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07C58EE" wp14:editId="4D6C727C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156358C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447BB696" w14:textId="77777777" w:rsidR="007E74F1" w:rsidRPr="001F45A7" w:rsidRDefault="007E74F1" w:rsidP="006E2886">
      <w:pPr>
        <w:pStyle w:val="Imprint"/>
      </w:pPr>
    </w:p>
    <w:p w14:paraId="591862BF" w14:textId="77777777" w:rsidR="00C86248" w:rsidRDefault="00C86248">
      <w:pPr>
        <w:jc w:val="center"/>
        <w:sectPr w:rsidR="00C86248" w:rsidSect="0092589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17911374" w14:textId="77777777" w:rsidR="00C86248" w:rsidRDefault="00C86248" w:rsidP="00025A6F">
      <w:pPr>
        <w:pStyle w:val="IntroHead"/>
      </w:pPr>
      <w:bookmarkStart w:id="1" w:name="_Toc405792991"/>
      <w:bookmarkStart w:id="2" w:name="_Toc405793224"/>
      <w:r>
        <w:lastRenderedPageBreak/>
        <w:t>Contents</w:t>
      </w:r>
      <w:bookmarkEnd w:id="1"/>
      <w:bookmarkEnd w:id="2"/>
    </w:p>
    <w:p w14:paraId="2C9A3397" w14:textId="34C5CF5D" w:rsidR="00BE22F6" w:rsidRDefault="00BE22F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8784725" w:history="1">
        <w:r w:rsidRPr="000B321B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BA0298" w14:textId="25E0ED00" w:rsidR="00BE22F6" w:rsidRDefault="00BE22F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8784726" w:history="1">
        <w:r w:rsidRPr="000B321B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0B321B">
          <w:rPr>
            <w:rStyle w:val="Hyperlink"/>
            <w:noProof/>
          </w:rPr>
          <w:t>Source of responses and number of responses received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0259C9" w14:textId="724B65B2" w:rsidR="00BE22F6" w:rsidRDefault="00BE22F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8784727" w:history="1">
        <w:r w:rsidRPr="000B321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0B321B">
          <w:rPr>
            <w:rStyle w:val="Hyperlink"/>
            <w:noProof/>
          </w:rPr>
          <w:t>Summary of responses and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3B4251" w14:textId="1ABE039C" w:rsidR="00BE22F6" w:rsidRDefault="00BE22F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8784728" w:history="1">
        <w:r w:rsidRPr="000B321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0B321B">
          <w:rPr>
            <w:rStyle w:val="Hyperlink"/>
            <w:noProof/>
          </w:rPr>
          <w:t>Future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68226B" w14:textId="0A6C1683" w:rsidR="00C86248" w:rsidRDefault="00BE22F6">
      <w:r>
        <w:rPr>
          <w:rFonts w:ascii="Segoe UI Semibold" w:hAnsi="Segoe UI Semibold"/>
          <w:b/>
          <w:sz w:val="24"/>
        </w:rPr>
        <w:fldChar w:fldCharType="end"/>
      </w:r>
    </w:p>
    <w:p w14:paraId="7EFD495F" w14:textId="77777777" w:rsidR="002B76A7" w:rsidRDefault="002B76A7" w:rsidP="002B76A7">
      <w:pPr>
        <w:pStyle w:val="TOC1"/>
        <w:keepNext/>
      </w:pPr>
      <w:r>
        <w:t>List of Tables</w:t>
      </w:r>
    </w:p>
    <w:p w14:paraId="42655181" w14:textId="4D1C004D" w:rsidR="00BE22F6" w:rsidRDefault="00BE22F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\h \z \t "Table,3" </w:instrText>
      </w:r>
      <w:r>
        <w:rPr>
          <w:sz w:val="20"/>
        </w:rPr>
        <w:fldChar w:fldCharType="separate"/>
      </w:r>
      <w:hyperlink w:anchor="_Toc68784731" w:history="1">
        <w:r w:rsidRPr="00A747F9">
          <w:rPr>
            <w:rStyle w:val="Hyperlink"/>
            <w:noProof/>
          </w:rPr>
          <w:t>Table 1: Submissions received by organisation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F488E5" w14:textId="4AEC3AC2" w:rsidR="00BE22F6" w:rsidRDefault="00BE22F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8784732" w:history="1">
        <w:r w:rsidRPr="00A747F9">
          <w:rPr>
            <w:rStyle w:val="Hyperlink"/>
            <w:noProof/>
          </w:rPr>
          <w:t>Table 2</w:t>
        </w:r>
        <w:r w:rsidRPr="00A747F9">
          <w:rPr>
            <w:rStyle w:val="Hyperlink"/>
            <w:noProof/>
            <w:lang w:eastAsia="en-NZ"/>
          </w:rPr>
          <w:t>: Summary of feedback received from public consultation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4C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F36D4A" w14:textId="17349A87" w:rsidR="002B76A7" w:rsidRDefault="00BE22F6" w:rsidP="003A5FEA">
      <w:r>
        <w:rPr>
          <w:sz w:val="20"/>
        </w:rPr>
        <w:fldChar w:fldCharType="end"/>
      </w:r>
    </w:p>
    <w:p w14:paraId="00B4B08A" w14:textId="77777777" w:rsidR="00FB0A5B" w:rsidRDefault="00FB0A5B" w:rsidP="003A5FEA"/>
    <w:p w14:paraId="2EE54CE4" w14:textId="77777777" w:rsidR="001D3E4E" w:rsidRDefault="001D3E4E" w:rsidP="003A5FEA">
      <w:pPr>
        <w:sectPr w:rsidR="001D3E4E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2DC3877E" w14:textId="77777777" w:rsidR="008C2973" w:rsidRDefault="00A72777" w:rsidP="00F54E74">
      <w:pPr>
        <w:pStyle w:val="Heading1"/>
      </w:pPr>
      <w:bookmarkStart w:id="3" w:name="_Toc68784725"/>
      <w:r>
        <w:lastRenderedPageBreak/>
        <w:t>Background</w:t>
      </w:r>
      <w:bookmarkEnd w:id="3"/>
    </w:p>
    <w:p w14:paraId="4131C8C0" w14:textId="77777777" w:rsidR="00A72777" w:rsidRPr="00533633" w:rsidRDefault="00A72777" w:rsidP="00495E15">
      <w:r w:rsidRPr="00533633">
        <w:t xml:space="preserve">The draft HISO 10058.1 Infection Surveillance Data Standard </w:t>
      </w:r>
      <w:r>
        <w:t>(the standard)</w:t>
      </w:r>
      <w:r w:rsidRPr="00533633">
        <w:t xml:space="preserve"> was developed by </w:t>
      </w:r>
      <w:r>
        <w:t xml:space="preserve">a working group, comprising </w:t>
      </w:r>
      <w:r w:rsidRPr="00533633">
        <w:t>subject matter experts</w:t>
      </w:r>
      <w:r>
        <w:t>,</w:t>
      </w:r>
      <w:r w:rsidRPr="00533633">
        <w:t xml:space="preserve"> in consultation with stakeholders and users of existing infection surveillance systems. The standard defined the minimum information </w:t>
      </w:r>
      <w:r>
        <w:t xml:space="preserve">that needs </w:t>
      </w:r>
      <w:r w:rsidRPr="00533633">
        <w:t>to be captured for a patient</w:t>
      </w:r>
      <w:r w:rsidR="00495E15">
        <w:t>’</w:t>
      </w:r>
      <w:r w:rsidRPr="00533633">
        <w:t xml:space="preserve">s health care encounter when a suspected or confirmed infection has been identified. </w:t>
      </w:r>
      <w:r>
        <w:t>The standard covered i</w:t>
      </w:r>
      <w:r w:rsidRPr="00533633">
        <w:t>nfections identified in both community and hospital setting</w:t>
      </w:r>
      <w:r>
        <w:t>s</w:t>
      </w:r>
      <w:r w:rsidRPr="00533633">
        <w:t>.</w:t>
      </w:r>
    </w:p>
    <w:p w14:paraId="2DEF3306" w14:textId="77777777" w:rsidR="00A72777" w:rsidRDefault="00A72777" w:rsidP="00495E15"/>
    <w:p w14:paraId="4C853110" w14:textId="77777777" w:rsidR="00495E15" w:rsidRDefault="00A72777" w:rsidP="00495E15">
      <w:pPr>
        <w:rPr>
          <w:lang w:val="en" w:eastAsia="en-NZ"/>
        </w:rPr>
      </w:pPr>
      <w:r w:rsidRPr="00533633">
        <w:t xml:space="preserve">HISO approved the release of the draft HISO 10058.1 Infection Surveillance Data Standard </w:t>
      </w:r>
      <w:r>
        <w:t xml:space="preserve">(the standard) </w:t>
      </w:r>
      <w:r w:rsidRPr="00533633">
        <w:t xml:space="preserve">for public comment on 19 August 2020. The Ministry of Health (the Ministry) sought public comment on the standard from </w:t>
      </w:r>
      <w:r w:rsidRPr="00533633">
        <w:rPr>
          <w:lang w:val="en" w:eastAsia="en-NZ"/>
        </w:rPr>
        <w:t>2 October 2020 for a period of six weeks, closing 13 November 2020</w:t>
      </w:r>
      <w:r w:rsidRPr="00533633">
        <w:t xml:space="preserve">. </w:t>
      </w:r>
      <w:r w:rsidRPr="00533633">
        <w:rPr>
          <w:lang w:val="en" w:eastAsia="en-NZ"/>
        </w:rPr>
        <w:t xml:space="preserve">The Ministry </w:t>
      </w:r>
      <w:r>
        <w:rPr>
          <w:lang w:val="en" w:eastAsia="en-NZ"/>
        </w:rPr>
        <w:t>received</w:t>
      </w:r>
      <w:r w:rsidRPr="00533633">
        <w:rPr>
          <w:lang w:val="en" w:eastAsia="en-NZ"/>
        </w:rPr>
        <w:t xml:space="preserve"> 16 submissions.</w:t>
      </w:r>
    </w:p>
    <w:p w14:paraId="2CB82262" w14:textId="77777777" w:rsidR="00A72777" w:rsidRPr="00533633" w:rsidRDefault="00A72777" w:rsidP="00495E15"/>
    <w:p w14:paraId="2F0BCED6" w14:textId="77777777" w:rsidR="00495E15" w:rsidRDefault="00A72777" w:rsidP="00495E15">
      <w:r>
        <w:t xml:space="preserve">The public comment feedback was reviewed by a </w:t>
      </w:r>
      <w:r w:rsidRPr="00533633">
        <w:t>working group consist</w:t>
      </w:r>
      <w:r>
        <w:t>ing</w:t>
      </w:r>
      <w:r w:rsidRPr="00533633">
        <w:t xml:space="preserve"> of clinical microbiologists, infectious diseases physicians, infection prevention and control specialists, business intelligence and analytics, and business systems analysts. </w:t>
      </w:r>
      <w:r>
        <w:t xml:space="preserve">The members included representatives who have </w:t>
      </w:r>
      <w:r w:rsidRPr="00533633">
        <w:t xml:space="preserve">experience with an infection surveillance system (either ICNET or </w:t>
      </w:r>
      <w:r>
        <w:t xml:space="preserve">an </w:t>
      </w:r>
      <w:r w:rsidRPr="00533633">
        <w:t>internally developed</w:t>
      </w:r>
      <w:r>
        <w:t xml:space="preserve"> system</w:t>
      </w:r>
      <w:r w:rsidRPr="00533633">
        <w:t xml:space="preserve">) </w:t>
      </w:r>
      <w:r>
        <w:t>as well as representatives who use other</w:t>
      </w:r>
      <w:r w:rsidRPr="00533633">
        <w:t xml:space="preserve"> mechanisms to </w:t>
      </w:r>
      <w:r>
        <w:t>obtain</w:t>
      </w:r>
      <w:r w:rsidRPr="00533633">
        <w:t xml:space="preserve"> the </w:t>
      </w:r>
      <w:r>
        <w:t xml:space="preserve">infection </w:t>
      </w:r>
      <w:r w:rsidRPr="00533633">
        <w:t>information they require.</w:t>
      </w:r>
    </w:p>
    <w:p w14:paraId="730ABB49" w14:textId="77777777" w:rsidR="00A72777" w:rsidRDefault="00A72777" w:rsidP="00495E15"/>
    <w:p w14:paraId="7DBFCDA9" w14:textId="77777777" w:rsidR="00A72777" w:rsidRDefault="00A72777" w:rsidP="00495E15">
      <w:r w:rsidRPr="00BB503C">
        <w:t xml:space="preserve">This </w:t>
      </w:r>
      <w:r>
        <w:t>document summarises</w:t>
      </w:r>
      <w:r w:rsidRPr="00BB503C">
        <w:t xml:space="preserve"> responses received </w:t>
      </w:r>
      <w:r>
        <w:t xml:space="preserve">as a result of the public comment process </w:t>
      </w:r>
      <w:r w:rsidRPr="00BB503C">
        <w:t xml:space="preserve">and provides an overview of the decisions made by the </w:t>
      </w:r>
      <w:r>
        <w:t>working group</w:t>
      </w:r>
      <w:r w:rsidRPr="00BB503C">
        <w:t>.</w:t>
      </w:r>
      <w:r>
        <w:t xml:space="preserve"> This document includes:</w:t>
      </w:r>
    </w:p>
    <w:p w14:paraId="4241CD32" w14:textId="77777777" w:rsidR="00A72777" w:rsidRDefault="00A72777" w:rsidP="00495E15">
      <w:pPr>
        <w:pStyle w:val="Bullet"/>
      </w:pPr>
      <w:r>
        <w:t>the source of the responses and the number of responses received</w:t>
      </w:r>
    </w:p>
    <w:p w14:paraId="7169DA4B" w14:textId="77777777" w:rsidR="00A72777" w:rsidRDefault="00A72777" w:rsidP="00495E15">
      <w:pPr>
        <w:pStyle w:val="Bullet"/>
      </w:pPr>
      <w:r>
        <w:t>the summary of the responses and the outcome of the working group</w:t>
      </w:r>
      <w:r w:rsidR="00495E15">
        <w:t>’</w:t>
      </w:r>
      <w:r>
        <w:t>s review.</w:t>
      </w:r>
    </w:p>
    <w:p w14:paraId="04E85501" w14:textId="77777777" w:rsidR="00495E15" w:rsidRDefault="00495E15" w:rsidP="00495E15"/>
    <w:p w14:paraId="6011AE40" w14:textId="77777777" w:rsidR="00A72777" w:rsidRPr="00251F9F" w:rsidRDefault="00A72777" w:rsidP="00495E15">
      <w:pPr>
        <w:pStyle w:val="NumberedHeading1"/>
      </w:pPr>
      <w:bookmarkStart w:id="4" w:name="_Toc68006029"/>
      <w:bookmarkStart w:id="5" w:name="_Toc68784726"/>
      <w:r w:rsidRPr="00251F9F">
        <w:lastRenderedPageBreak/>
        <w:t>S</w:t>
      </w:r>
      <w:r>
        <w:t>ource of responses and number of responses received</w:t>
      </w:r>
      <w:bookmarkEnd w:id="4"/>
      <w:bookmarkEnd w:id="5"/>
    </w:p>
    <w:bookmarkStart w:id="6" w:name="_Toc55997591"/>
    <w:p w14:paraId="2156B182" w14:textId="43CE6978" w:rsidR="00495E15" w:rsidRDefault="00495E15" w:rsidP="00495E15">
      <w:r>
        <w:rPr>
          <w:lang w:val="en" w:eastAsia="en-NZ"/>
        </w:rPr>
        <w:fldChar w:fldCharType="begin"/>
      </w:r>
      <w:r>
        <w:rPr>
          <w:lang w:val="en" w:eastAsia="en-NZ"/>
        </w:rPr>
        <w:instrText xml:space="preserve"> REF _Ref68518511 \h </w:instrText>
      </w:r>
      <w:r>
        <w:rPr>
          <w:lang w:val="en" w:eastAsia="en-NZ"/>
        </w:rPr>
      </w:r>
      <w:r>
        <w:rPr>
          <w:lang w:val="en" w:eastAsia="en-NZ"/>
        </w:rPr>
        <w:fldChar w:fldCharType="separate"/>
      </w:r>
      <w:r w:rsidR="00D84C13">
        <w:t>Table </w:t>
      </w:r>
      <w:r w:rsidR="00D84C13">
        <w:rPr>
          <w:noProof/>
        </w:rPr>
        <w:t>1</w:t>
      </w:r>
      <w:r>
        <w:rPr>
          <w:lang w:val="en" w:eastAsia="en-NZ"/>
        </w:rPr>
        <w:fldChar w:fldCharType="end"/>
      </w:r>
      <w:r w:rsidR="00A72777" w:rsidRPr="0028254F">
        <w:rPr>
          <w:lang w:val="en" w:eastAsia="en-NZ"/>
        </w:rPr>
        <w:t xml:space="preserve"> lists the responses received from the public consultation by</w:t>
      </w:r>
      <w:r w:rsidR="00A72777" w:rsidRPr="006C43B1">
        <w:rPr>
          <w:lang w:eastAsia="en-NZ"/>
        </w:rPr>
        <w:t xml:space="preserve"> organisation</w:t>
      </w:r>
      <w:r w:rsidR="00A72777" w:rsidRPr="0028254F">
        <w:rPr>
          <w:lang w:val="en" w:eastAsia="en-NZ"/>
        </w:rPr>
        <w:t xml:space="preserve"> type. </w:t>
      </w:r>
      <w:r w:rsidR="00A72777">
        <w:t>In some instances, a group of individuals representing a single organisation submitted collated feedback.</w:t>
      </w:r>
    </w:p>
    <w:p w14:paraId="15E47D0E" w14:textId="77777777" w:rsidR="00495E15" w:rsidRDefault="00495E15" w:rsidP="00495E15"/>
    <w:p w14:paraId="799E37BB" w14:textId="020A9924" w:rsidR="00A72777" w:rsidRDefault="00495E15" w:rsidP="00495E15">
      <w:pPr>
        <w:pStyle w:val="Table"/>
      </w:pPr>
      <w:bookmarkStart w:id="7" w:name="_Ref68518511"/>
      <w:bookmarkStart w:id="8" w:name="_Toc68784731"/>
      <w:r>
        <w:t>Table </w:t>
      </w:r>
      <w:fldSimple w:instr=" SEQ Table \* ARABIC ">
        <w:r w:rsidR="00D84C13">
          <w:rPr>
            <w:noProof/>
          </w:rPr>
          <w:t>1</w:t>
        </w:r>
      </w:fldSimple>
      <w:bookmarkEnd w:id="7"/>
      <w:r w:rsidR="00A72777">
        <w:t>:</w:t>
      </w:r>
      <w:r>
        <w:t xml:space="preserve"> </w:t>
      </w:r>
      <w:r w:rsidR="00A72777">
        <w:t>Submissions received by organisation type</w:t>
      </w:r>
      <w:bookmarkEnd w:id="8"/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2426"/>
        <w:gridCol w:w="2426"/>
      </w:tblGrid>
      <w:tr w:rsidR="00A72777" w:rsidRPr="00495E15" w14:paraId="3A89C8DA" w14:textId="77777777" w:rsidTr="00495E15">
        <w:trPr>
          <w:cantSplit/>
        </w:trPr>
        <w:tc>
          <w:tcPr>
            <w:tcW w:w="3228" w:type="dxa"/>
            <w:shd w:val="clear" w:color="auto" w:fill="D9D9D9" w:themeFill="background1" w:themeFillShade="D9"/>
          </w:tcPr>
          <w:p w14:paraId="45CD033C" w14:textId="77777777" w:rsidR="00A72777" w:rsidRPr="00495E15" w:rsidRDefault="00A72777" w:rsidP="00495E15">
            <w:pPr>
              <w:pStyle w:val="TableText"/>
              <w:rPr>
                <w:b/>
              </w:rPr>
            </w:pPr>
            <w:r w:rsidRPr="00495E15">
              <w:rPr>
                <w:b/>
              </w:rPr>
              <w:t>Response type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6501E9D7" w14:textId="77777777" w:rsidR="00A72777" w:rsidRPr="00495E15" w:rsidRDefault="00A72777" w:rsidP="00495E15">
            <w:pPr>
              <w:pStyle w:val="TableText"/>
              <w:jc w:val="center"/>
              <w:rPr>
                <w:b/>
              </w:rPr>
            </w:pPr>
            <w:r w:rsidRPr="00495E15">
              <w:rPr>
                <w:b/>
              </w:rPr>
              <w:t>Number of responses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1574BD2B" w14:textId="77777777" w:rsidR="00A72777" w:rsidRPr="00495E15" w:rsidRDefault="00A72777" w:rsidP="00495E15">
            <w:pPr>
              <w:pStyle w:val="TableText"/>
              <w:jc w:val="center"/>
              <w:rPr>
                <w:b/>
              </w:rPr>
            </w:pPr>
            <w:r w:rsidRPr="00495E15">
              <w:rPr>
                <w:b/>
              </w:rPr>
              <w:t>Number of individual comments received</w:t>
            </w:r>
          </w:p>
        </w:tc>
      </w:tr>
      <w:tr w:rsidR="00A72777" w14:paraId="3466BC48" w14:textId="77777777" w:rsidTr="00495E15">
        <w:trPr>
          <w:cantSplit/>
        </w:trPr>
        <w:tc>
          <w:tcPr>
            <w:tcW w:w="3228" w:type="dxa"/>
          </w:tcPr>
          <w:p w14:paraId="52EB2FCE" w14:textId="77777777" w:rsidR="00A72777" w:rsidRDefault="00A72777" w:rsidP="00495E15">
            <w:pPr>
              <w:pStyle w:val="TableText"/>
            </w:pPr>
            <w:r>
              <w:t>District health boards</w:t>
            </w:r>
          </w:p>
        </w:tc>
        <w:tc>
          <w:tcPr>
            <w:tcW w:w="2426" w:type="dxa"/>
          </w:tcPr>
          <w:p w14:paraId="2395DF29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3</w:t>
            </w:r>
          </w:p>
        </w:tc>
        <w:tc>
          <w:tcPr>
            <w:tcW w:w="2426" w:type="dxa"/>
          </w:tcPr>
          <w:p w14:paraId="479EDBE5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21</w:t>
            </w:r>
          </w:p>
        </w:tc>
      </w:tr>
      <w:tr w:rsidR="00A72777" w14:paraId="08E4A44D" w14:textId="77777777" w:rsidTr="00495E15">
        <w:trPr>
          <w:cantSplit/>
        </w:trPr>
        <w:tc>
          <w:tcPr>
            <w:tcW w:w="3228" w:type="dxa"/>
          </w:tcPr>
          <w:p w14:paraId="6451D2B2" w14:textId="77777777" w:rsidR="00A72777" w:rsidRDefault="00A72777" w:rsidP="00495E15">
            <w:pPr>
              <w:pStyle w:val="TableText"/>
            </w:pPr>
            <w:r>
              <w:t>Government agencies</w:t>
            </w:r>
          </w:p>
        </w:tc>
        <w:tc>
          <w:tcPr>
            <w:tcW w:w="2426" w:type="dxa"/>
          </w:tcPr>
          <w:p w14:paraId="320CEDE0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2</w:t>
            </w:r>
          </w:p>
        </w:tc>
        <w:tc>
          <w:tcPr>
            <w:tcW w:w="2426" w:type="dxa"/>
          </w:tcPr>
          <w:p w14:paraId="350E83D7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4</w:t>
            </w:r>
          </w:p>
        </w:tc>
      </w:tr>
      <w:tr w:rsidR="00A72777" w14:paraId="0F477165" w14:textId="77777777" w:rsidTr="00495E15">
        <w:trPr>
          <w:cantSplit/>
        </w:trPr>
        <w:tc>
          <w:tcPr>
            <w:tcW w:w="3228" w:type="dxa"/>
          </w:tcPr>
          <w:p w14:paraId="467FE59B" w14:textId="77777777" w:rsidR="00A72777" w:rsidRDefault="00A72777" w:rsidP="00495E15">
            <w:pPr>
              <w:pStyle w:val="TableText"/>
            </w:pPr>
            <w:r>
              <w:t>Primary health care services</w:t>
            </w:r>
          </w:p>
        </w:tc>
        <w:tc>
          <w:tcPr>
            <w:tcW w:w="2426" w:type="dxa"/>
          </w:tcPr>
          <w:p w14:paraId="339837A9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1</w:t>
            </w:r>
          </w:p>
        </w:tc>
        <w:tc>
          <w:tcPr>
            <w:tcW w:w="2426" w:type="dxa"/>
          </w:tcPr>
          <w:p w14:paraId="719C2BC1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29</w:t>
            </w:r>
          </w:p>
        </w:tc>
      </w:tr>
      <w:tr w:rsidR="00A72777" w14:paraId="1B53DD5C" w14:textId="77777777" w:rsidTr="00495E15">
        <w:trPr>
          <w:cantSplit/>
        </w:trPr>
        <w:tc>
          <w:tcPr>
            <w:tcW w:w="3228" w:type="dxa"/>
          </w:tcPr>
          <w:p w14:paraId="42D5E0EB" w14:textId="77777777" w:rsidR="00A72777" w:rsidRDefault="00A72777" w:rsidP="00495E15">
            <w:pPr>
              <w:pStyle w:val="TableText"/>
            </w:pPr>
            <w:r>
              <w:t>Private hospitals</w:t>
            </w:r>
          </w:p>
        </w:tc>
        <w:tc>
          <w:tcPr>
            <w:tcW w:w="2426" w:type="dxa"/>
          </w:tcPr>
          <w:p w14:paraId="22227E2D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4</w:t>
            </w:r>
          </w:p>
        </w:tc>
        <w:tc>
          <w:tcPr>
            <w:tcW w:w="2426" w:type="dxa"/>
          </w:tcPr>
          <w:p w14:paraId="204F3FEB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18</w:t>
            </w:r>
          </w:p>
        </w:tc>
      </w:tr>
      <w:tr w:rsidR="00A72777" w14:paraId="033FD13E" w14:textId="77777777" w:rsidTr="00495E15">
        <w:trPr>
          <w:cantSplit/>
        </w:trPr>
        <w:tc>
          <w:tcPr>
            <w:tcW w:w="3228" w:type="dxa"/>
          </w:tcPr>
          <w:p w14:paraId="7B5FD4BB" w14:textId="77777777" w:rsidR="00A72777" w:rsidRDefault="00A72777" w:rsidP="00495E15">
            <w:pPr>
              <w:pStyle w:val="TableText"/>
            </w:pPr>
            <w:r>
              <w:t>Representative organisations/groups</w:t>
            </w:r>
          </w:p>
        </w:tc>
        <w:tc>
          <w:tcPr>
            <w:tcW w:w="2426" w:type="dxa"/>
          </w:tcPr>
          <w:p w14:paraId="2671009F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4</w:t>
            </w:r>
          </w:p>
        </w:tc>
        <w:tc>
          <w:tcPr>
            <w:tcW w:w="2426" w:type="dxa"/>
          </w:tcPr>
          <w:p w14:paraId="5831A2CF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42</w:t>
            </w:r>
          </w:p>
        </w:tc>
      </w:tr>
      <w:tr w:rsidR="00A72777" w14:paraId="616F9A58" w14:textId="77777777" w:rsidTr="00495E15">
        <w:trPr>
          <w:cantSplit/>
        </w:trPr>
        <w:tc>
          <w:tcPr>
            <w:tcW w:w="3228" w:type="dxa"/>
          </w:tcPr>
          <w:p w14:paraId="424AFC88" w14:textId="77777777" w:rsidR="00A72777" w:rsidRDefault="00A72777" w:rsidP="00495E15">
            <w:pPr>
              <w:pStyle w:val="TableText"/>
            </w:pPr>
            <w:r>
              <w:t>Other</w:t>
            </w:r>
          </w:p>
        </w:tc>
        <w:tc>
          <w:tcPr>
            <w:tcW w:w="2426" w:type="dxa"/>
          </w:tcPr>
          <w:p w14:paraId="51C6D269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2</w:t>
            </w:r>
          </w:p>
        </w:tc>
        <w:tc>
          <w:tcPr>
            <w:tcW w:w="2426" w:type="dxa"/>
          </w:tcPr>
          <w:p w14:paraId="5382F14B" w14:textId="77777777" w:rsidR="00A72777" w:rsidRDefault="00A72777" w:rsidP="00495E15">
            <w:pPr>
              <w:pStyle w:val="TableText"/>
              <w:tabs>
                <w:tab w:val="decimal" w:pos="1251"/>
              </w:tabs>
            </w:pPr>
            <w:r>
              <w:t>6</w:t>
            </w:r>
          </w:p>
        </w:tc>
      </w:tr>
      <w:tr w:rsidR="00A72777" w:rsidRPr="00495E15" w14:paraId="5790C0B0" w14:textId="77777777" w:rsidTr="00495E15">
        <w:trPr>
          <w:cantSplit/>
        </w:trPr>
        <w:tc>
          <w:tcPr>
            <w:tcW w:w="3228" w:type="dxa"/>
            <w:tcBorders>
              <w:bottom w:val="single" w:sz="4" w:space="0" w:color="BFBFBF" w:themeColor="background1" w:themeShade="BF"/>
            </w:tcBorders>
          </w:tcPr>
          <w:p w14:paraId="1181027B" w14:textId="77777777" w:rsidR="00A72777" w:rsidRPr="00495E15" w:rsidRDefault="00A72777" w:rsidP="00495E15">
            <w:pPr>
              <w:pStyle w:val="TableText"/>
              <w:rPr>
                <w:b/>
                <w:szCs w:val="18"/>
              </w:rPr>
            </w:pPr>
            <w:r w:rsidRPr="00495E15">
              <w:rPr>
                <w:b/>
                <w:szCs w:val="18"/>
              </w:rPr>
              <w:t>Total responses</w:t>
            </w:r>
          </w:p>
        </w:tc>
        <w:tc>
          <w:tcPr>
            <w:tcW w:w="2426" w:type="dxa"/>
            <w:tcBorders>
              <w:bottom w:val="single" w:sz="4" w:space="0" w:color="BFBFBF" w:themeColor="background1" w:themeShade="BF"/>
            </w:tcBorders>
          </w:tcPr>
          <w:p w14:paraId="1D48DA5D" w14:textId="77777777" w:rsidR="00A72777" w:rsidRPr="00495E15" w:rsidRDefault="00A72777" w:rsidP="00495E15">
            <w:pPr>
              <w:pStyle w:val="TableText"/>
              <w:tabs>
                <w:tab w:val="decimal" w:pos="1251"/>
              </w:tabs>
              <w:rPr>
                <w:b/>
                <w:szCs w:val="18"/>
              </w:rPr>
            </w:pPr>
            <w:r w:rsidRPr="00495E15">
              <w:rPr>
                <w:b/>
                <w:szCs w:val="18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BFBFBF" w:themeColor="background1" w:themeShade="BF"/>
            </w:tcBorders>
          </w:tcPr>
          <w:p w14:paraId="0EEDE5AC" w14:textId="77777777" w:rsidR="00A72777" w:rsidRPr="00495E15" w:rsidRDefault="00A72777" w:rsidP="00495E15">
            <w:pPr>
              <w:pStyle w:val="TableText"/>
              <w:tabs>
                <w:tab w:val="decimal" w:pos="1251"/>
              </w:tabs>
              <w:rPr>
                <w:b/>
                <w:szCs w:val="18"/>
              </w:rPr>
            </w:pPr>
            <w:r w:rsidRPr="00495E15">
              <w:rPr>
                <w:b/>
                <w:szCs w:val="18"/>
              </w:rPr>
              <w:t>120</w:t>
            </w:r>
          </w:p>
        </w:tc>
      </w:tr>
    </w:tbl>
    <w:p w14:paraId="673D0B88" w14:textId="77777777" w:rsidR="00A72777" w:rsidRDefault="00A72777" w:rsidP="00495E15">
      <w:pPr>
        <w:rPr>
          <w:lang w:val="en" w:eastAsia="en-NZ"/>
        </w:rPr>
      </w:pPr>
    </w:p>
    <w:p w14:paraId="2BF05A51" w14:textId="77777777" w:rsidR="00495E15" w:rsidRDefault="00A72777" w:rsidP="00173391">
      <w:pPr>
        <w:pStyle w:val="NumberedHeading1"/>
      </w:pPr>
      <w:bookmarkStart w:id="9" w:name="_Toc68006030"/>
      <w:bookmarkStart w:id="10" w:name="_Toc68784727"/>
      <w:r w:rsidRPr="00251F9F">
        <w:lastRenderedPageBreak/>
        <w:t xml:space="preserve">Summary of responses </w:t>
      </w:r>
      <w:r>
        <w:t>and outcomes</w:t>
      </w:r>
      <w:bookmarkEnd w:id="6"/>
      <w:bookmarkEnd w:id="9"/>
      <w:bookmarkEnd w:id="10"/>
    </w:p>
    <w:bookmarkStart w:id="11" w:name="_Toc55997592"/>
    <w:p w14:paraId="3EC59D35" w14:textId="1B3426A8" w:rsidR="00495E15" w:rsidRDefault="00173391" w:rsidP="00173391">
      <w:pPr>
        <w:rPr>
          <w:lang w:eastAsia="en-NZ"/>
        </w:rPr>
      </w:pPr>
      <w:r>
        <w:rPr>
          <w:lang w:eastAsia="en-NZ"/>
        </w:rPr>
        <w:fldChar w:fldCharType="begin"/>
      </w:r>
      <w:r>
        <w:rPr>
          <w:lang w:eastAsia="en-NZ"/>
        </w:rPr>
        <w:instrText xml:space="preserve"> REF _Ref68518602 \h </w:instrText>
      </w:r>
      <w:r>
        <w:rPr>
          <w:lang w:eastAsia="en-NZ"/>
        </w:rPr>
      </w:r>
      <w:r>
        <w:rPr>
          <w:lang w:eastAsia="en-NZ"/>
        </w:rPr>
        <w:fldChar w:fldCharType="separate"/>
      </w:r>
      <w:r w:rsidR="00D84C13">
        <w:t>Table </w:t>
      </w:r>
      <w:r w:rsidR="00D84C13">
        <w:rPr>
          <w:noProof/>
        </w:rPr>
        <w:t>2</w:t>
      </w:r>
      <w:r>
        <w:rPr>
          <w:lang w:eastAsia="en-NZ"/>
        </w:rPr>
        <w:fldChar w:fldCharType="end"/>
      </w:r>
      <w:r w:rsidR="00A72777">
        <w:rPr>
          <w:lang w:eastAsia="en-NZ"/>
        </w:rPr>
        <w:t xml:space="preserve"> provides an overview of the feedback received from respondents in the public comment process and the outcomes agreed by the working group.</w:t>
      </w:r>
    </w:p>
    <w:p w14:paraId="3E2CD48B" w14:textId="77777777" w:rsidR="00A72777" w:rsidRDefault="00A72777" w:rsidP="00173391">
      <w:pPr>
        <w:rPr>
          <w:lang w:eastAsia="en-NZ"/>
        </w:rPr>
      </w:pPr>
    </w:p>
    <w:p w14:paraId="58E2AD9D" w14:textId="77777777" w:rsidR="00A72777" w:rsidRDefault="00A72777" w:rsidP="00173391">
      <w:pPr>
        <w:rPr>
          <w:lang w:eastAsia="en-NZ"/>
        </w:rPr>
      </w:pPr>
      <w:r>
        <w:rPr>
          <w:lang w:eastAsia="en-NZ"/>
        </w:rPr>
        <w:t xml:space="preserve">Note: Where feedback has been covered under </w:t>
      </w:r>
      <w:r w:rsidR="00495E15">
        <w:rPr>
          <w:lang w:eastAsia="en-NZ"/>
        </w:rPr>
        <w:t>‘</w:t>
      </w:r>
      <w:r>
        <w:rPr>
          <w:lang w:eastAsia="en-NZ"/>
        </w:rPr>
        <w:t>General comments,</w:t>
      </w:r>
      <w:r w:rsidR="00495E15">
        <w:rPr>
          <w:lang w:eastAsia="en-NZ"/>
        </w:rPr>
        <w:t>’</w:t>
      </w:r>
      <w:r>
        <w:rPr>
          <w:lang w:eastAsia="en-NZ"/>
        </w:rPr>
        <w:t xml:space="preserve"> it has not been repeated in the specific sections.</w:t>
      </w:r>
    </w:p>
    <w:p w14:paraId="0B2B4711" w14:textId="77777777" w:rsidR="00173391" w:rsidRDefault="00173391" w:rsidP="00173391">
      <w:pPr>
        <w:rPr>
          <w:lang w:eastAsia="en-NZ"/>
        </w:rPr>
      </w:pPr>
    </w:p>
    <w:p w14:paraId="1652014A" w14:textId="67668ABC" w:rsidR="00A72777" w:rsidRDefault="00173391" w:rsidP="00173391">
      <w:pPr>
        <w:pStyle w:val="Table"/>
        <w:rPr>
          <w:lang w:eastAsia="en-NZ"/>
        </w:rPr>
      </w:pPr>
      <w:bookmarkStart w:id="12" w:name="_Ref68518602"/>
      <w:bookmarkStart w:id="13" w:name="_Toc68784732"/>
      <w:r>
        <w:t>Table </w:t>
      </w:r>
      <w:fldSimple w:instr=" SEQ Table \* ARABIC ">
        <w:r w:rsidR="00D84C13">
          <w:rPr>
            <w:noProof/>
          </w:rPr>
          <w:t>2</w:t>
        </w:r>
      </w:fldSimple>
      <w:bookmarkEnd w:id="12"/>
      <w:r w:rsidR="00A72777">
        <w:rPr>
          <w:lang w:eastAsia="en-NZ"/>
        </w:rPr>
        <w:t>:</w:t>
      </w:r>
      <w:r>
        <w:rPr>
          <w:lang w:eastAsia="en-NZ"/>
        </w:rPr>
        <w:t xml:space="preserve"> </w:t>
      </w:r>
      <w:r w:rsidR="00A72777">
        <w:rPr>
          <w:lang w:eastAsia="en-NZ"/>
        </w:rPr>
        <w:t>Summary of feedback received from public consultation</w:t>
      </w:r>
      <w:bookmarkEnd w:id="13"/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4536"/>
      </w:tblGrid>
      <w:tr w:rsidR="00A72777" w:rsidRPr="00173391" w14:paraId="5D7BBF84" w14:textId="77777777" w:rsidTr="00CA2EF3">
        <w:trPr>
          <w:cantSplit/>
          <w:tblHeader/>
        </w:trPr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</w:tcPr>
          <w:p w14:paraId="63082A81" w14:textId="77777777" w:rsidR="00A72777" w:rsidRPr="00173391" w:rsidRDefault="00A72777" w:rsidP="00173391">
            <w:pPr>
              <w:pStyle w:val="TableText"/>
              <w:ind w:right="113"/>
              <w:rPr>
                <w:b/>
                <w:lang w:eastAsia="en-NZ"/>
              </w:rPr>
            </w:pPr>
            <w:r w:rsidRPr="00173391">
              <w:rPr>
                <w:b/>
                <w:lang w:eastAsia="en-NZ"/>
              </w:rPr>
              <w:t>Brief overview of feedback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 w:themeFill="background1" w:themeFillShade="D9"/>
          </w:tcPr>
          <w:p w14:paraId="4B5380A9" w14:textId="77777777" w:rsidR="00A72777" w:rsidRPr="00173391" w:rsidRDefault="00A72777" w:rsidP="00173391">
            <w:pPr>
              <w:pStyle w:val="TableText"/>
              <w:rPr>
                <w:b/>
                <w:lang w:eastAsia="en-NZ"/>
              </w:rPr>
            </w:pPr>
            <w:r w:rsidRPr="00173391">
              <w:rPr>
                <w:b/>
                <w:lang w:eastAsia="en-NZ"/>
              </w:rPr>
              <w:t>Outcome</w:t>
            </w:r>
          </w:p>
        </w:tc>
      </w:tr>
      <w:tr w:rsidR="00A72777" w:rsidRPr="00173391" w14:paraId="061EEF53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F6F08E9" w14:textId="77777777" w:rsidR="00A72777" w:rsidRPr="00173391" w:rsidRDefault="00A72777" w:rsidP="00173391">
            <w:pPr>
              <w:pStyle w:val="TableText"/>
              <w:spacing w:after="0"/>
              <w:ind w:right="113"/>
              <w:rPr>
                <w:b/>
                <w:lang w:eastAsia="en-NZ"/>
              </w:rPr>
            </w:pPr>
            <w:r w:rsidRPr="00173391">
              <w:rPr>
                <w:b/>
                <w:lang w:eastAsia="en-NZ"/>
              </w:rPr>
              <w:t>General comments: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11B5CA4F" w14:textId="77777777" w:rsidR="00A72777" w:rsidRPr="00173391" w:rsidRDefault="00A72777" w:rsidP="00173391">
            <w:pPr>
              <w:pStyle w:val="TableText"/>
              <w:spacing w:after="0"/>
              <w:rPr>
                <w:b/>
                <w:lang w:eastAsia="en-NZ"/>
              </w:rPr>
            </w:pPr>
          </w:p>
        </w:tc>
      </w:tr>
      <w:tr w:rsidR="00A72777" w:rsidRPr="00C90FA5" w14:paraId="5631CCC2" w14:textId="77777777" w:rsidTr="00CA2EF3">
        <w:trPr>
          <w:cantSplit/>
        </w:trPr>
        <w:tc>
          <w:tcPr>
            <w:tcW w:w="3544" w:type="dxa"/>
            <w:tcBorders>
              <w:top w:val="nil"/>
            </w:tcBorders>
          </w:tcPr>
          <w:p w14:paraId="6BD00696" w14:textId="77777777" w:rsidR="00495E15" w:rsidRDefault="00A72777" w:rsidP="00173391">
            <w:pPr>
              <w:pStyle w:val="TableText"/>
              <w:ind w:right="113"/>
              <w:rPr>
                <w:rFonts w:cs="Segoe UI"/>
                <w:szCs w:val="18"/>
              </w:rPr>
            </w:pPr>
            <w:r>
              <w:rPr>
                <w:lang w:eastAsia="en-NZ"/>
              </w:rPr>
              <w:t>We received m</w:t>
            </w:r>
            <w:r w:rsidRPr="00A26CDD">
              <w:rPr>
                <w:lang w:eastAsia="en-NZ"/>
              </w:rPr>
              <w:t xml:space="preserve">ixed feedback </w:t>
            </w:r>
            <w:r>
              <w:rPr>
                <w:lang w:eastAsia="en-NZ"/>
              </w:rPr>
              <w:t>around</w:t>
            </w:r>
            <w:r w:rsidRPr="00A26CDD">
              <w:rPr>
                <w:szCs w:val="18"/>
                <w:lang w:eastAsia="en-NZ"/>
              </w:rPr>
              <w:t xml:space="preserve"> the </w:t>
            </w:r>
            <w:r>
              <w:rPr>
                <w:lang w:eastAsia="en-NZ"/>
              </w:rPr>
              <w:t xml:space="preserve">development of the </w:t>
            </w:r>
            <w:r w:rsidRPr="00A26CDD">
              <w:rPr>
                <w:szCs w:val="18"/>
                <w:lang w:eastAsia="en-NZ"/>
              </w:rPr>
              <w:t xml:space="preserve">draft </w:t>
            </w:r>
            <w:r>
              <w:rPr>
                <w:szCs w:val="18"/>
                <w:lang w:eastAsia="en-NZ"/>
              </w:rPr>
              <w:t>Infection Surveillance Data S</w:t>
            </w:r>
            <w:r>
              <w:rPr>
                <w:rFonts w:cs="Segoe UI"/>
                <w:szCs w:val="18"/>
              </w:rPr>
              <w:t xml:space="preserve">tandard (the standard). </w:t>
            </w:r>
            <w:proofErr w:type="gramStart"/>
            <w:r>
              <w:rPr>
                <w:rFonts w:cs="Segoe UI"/>
                <w:szCs w:val="18"/>
              </w:rPr>
              <w:t>The majority of</w:t>
            </w:r>
            <w:proofErr w:type="gramEnd"/>
            <w:r>
              <w:rPr>
                <w:rFonts w:cs="Segoe UI"/>
                <w:szCs w:val="18"/>
              </w:rPr>
              <w:t xml:space="preserve"> respondents supported a nationally consistent approach to infection surveillance. The standard was considered easy to read, well presented and generally sound – a</w:t>
            </w:r>
            <w:r>
              <w:rPr>
                <w:szCs w:val="18"/>
                <w:lang w:eastAsia="en-NZ"/>
              </w:rPr>
              <w:t xml:space="preserve"> good base to start from.</w:t>
            </w:r>
          </w:p>
          <w:p w14:paraId="2699949E" w14:textId="77777777" w:rsidR="00495E15" w:rsidRDefault="00A72777" w:rsidP="00173391">
            <w:pPr>
              <w:pStyle w:val="TableText"/>
              <w:ind w:right="113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Some respondents felt that the context was not clear, nor was </w:t>
            </w:r>
            <w:proofErr w:type="gramStart"/>
            <w:r>
              <w:rPr>
                <w:rFonts w:cs="Segoe UI"/>
                <w:szCs w:val="18"/>
              </w:rPr>
              <w:t>it</w:t>
            </w:r>
            <w:proofErr w:type="gramEnd"/>
            <w:r>
              <w:rPr>
                <w:rFonts w:cs="Segoe UI"/>
                <w:szCs w:val="18"/>
              </w:rPr>
              <w:t xml:space="preserve"> clear which part of the health and disability sector the standard applied to.</w:t>
            </w:r>
          </w:p>
          <w:p w14:paraId="6CE72911" w14:textId="77777777" w:rsidR="00495E15" w:rsidRDefault="00A72777" w:rsidP="00173391">
            <w:pPr>
              <w:pStyle w:val="TableText"/>
              <w:ind w:right="113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Auto population and sharing of information between systems would be necessary to ensure the standard is implemented successfully.</w:t>
            </w:r>
          </w:p>
          <w:p w14:paraId="7B1F6FCD" w14:textId="77777777" w:rsidR="00A72777" w:rsidRPr="007E4DCB" w:rsidRDefault="00A72777" w:rsidP="00173391">
            <w:pPr>
              <w:pStyle w:val="TableText"/>
              <w:ind w:right="113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Private hospital respondents advised that, in the current situation, they could not capture and submit a significant amount of data on the experiences of patients who have elective surgeries in the private setting.</w:t>
            </w:r>
          </w:p>
        </w:tc>
        <w:tc>
          <w:tcPr>
            <w:tcW w:w="4536" w:type="dxa"/>
            <w:tcBorders>
              <w:top w:val="nil"/>
            </w:tcBorders>
          </w:tcPr>
          <w:p w14:paraId="00110AC8" w14:textId="77777777" w:rsidR="00A72777" w:rsidRDefault="00A72777" w:rsidP="00173391">
            <w:pPr>
              <w:pStyle w:val="TableText"/>
              <w:rPr>
                <w:lang w:eastAsia="en-NZ"/>
              </w:rPr>
            </w:pPr>
            <w:r w:rsidRPr="00363610">
              <w:rPr>
                <w:lang w:eastAsia="en-NZ"/>
              </w:rPr>
              <w:t>The working group</w:t>
            </w:r>
            <w:r>
              <w:rPr>
                <w:lang w:eastAsia="en-NZ"/>
              </w:rPr>
              <w:t xml:space="preserve"> acknowledged the support from those who provided feedback.</w:t>
            </w:r>
          </w:p>
          <w:p w14:paraId="28D73F26" w14:textId="77777777" w:rsidR="00495E15" w:rsidRDefault="00A72777" w:rsidP="00173391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They</w:t>
            </w:r>
            <w:r w:rsidRPr="00363610">
              <w:rPr>
                <w:lang w:eastAsia="en-NZ"/>
              </w:rPr>
              <w:t xml:space="preserve"> agreed that the context was not clear and changed the </w:t>
            </w:r>
            <w:r>
              <w:rPr>
                <w:lang w:eastAsia="en-NZ"/>
              </w:rPr>
              <w:t xml:space="preserve">scope of the </w:t>
            </w:r>
            <w:r w:rsidRPr="00363610">
              <w:rPr>
                <w:lang w:eastAsia="en-NZ"/>
              </w:rPr>
              <w:t>standard to</w:t>
            </w:r>
            <w:r>
              <w:rPr>
                <w:lang w:eastAsia="en-NZ"/>
              </w:rPr>
              <w:t xml:space="preserve"> initially </w:t>
            </w:r>
            <w:r w:rsidRPr="00363610">
              <w:rPr>
                <w:lang w:eastAsia="en-NZ"/>
              </w:rPr>
              <w:t xml:space="preserve">reflect </w:t>
            </w:r>
            <w:r>
              <w:rPr>
                <w:lang w:eastAsia="en-NZ"/>
              </w:rPr>
              <w:t xml:space="preserve">just </w:t>
            </w:r>
            <w:r w:rsidRPr="00363610">
              <w:rPr>
                <w:lang w:eastAsia="en-NZ"/>
              </w:rPr>
              <w:t xml:space="preserve">health care associated infections in publicly funded hospitals. However, they also asked that the standard </w:t>
            </w:r>
            <w:r>
              <w:rPr>
                <w:lang w:eastAsia="en-NZ"/>
              </w:rPr>
              <w:t>include a recommendation for the</w:t>
            </w:r>
            <w:r w:rsidRPr="00363610">
              <w:rPr>
                <w:lang w:eastAsia="en-NZ"/>
              </w:rPr>
              <w:t xml:space="preserve"> private sector and other health organisations </w:t>
            </w:r>
            <w:r>
              <w:rPr>
                <w:lang w:eastAsia="en-NZ"/>
              </w:rPr>
              <w:t xml:space="preserve">to use it when </w:t>
            </w:r>
            <w:r w:rsidRPr="00363610">
              <w:rPr>
                <w:lang w:eastAsia="en-NZ"/>
              </w:rPr>
              <w:t>implement</w:t>
            </w:r>
            <w:r>
              <w:rPr>
                <w:lang w:eastAsia="en-NZ"/>
              </w:rPr>
              <w:t>ing</w:t>
            </w:r>
            <w:r w:rsidRPr="00363610">
              <w:rPr>
                <w:lang w:eastAsia="en-NZ"/>
              </w:rPr>
              <w:t xml:space="preserve"> an infection surveillance system</w:t>
            </w:r>
            <w:r>
              <w:rPr>
                <w:lang w:eastAsia="en-NZ"/>
              </w:rPr>
              <w:t>.</w:t>
            </w:r>
          </w:p>
          <w:p w14:paraId="649E59E3" w14:textId="77777777" w:rsidR="00A72777" w:rsidRPr="00363610" w:rsidRDefault="00A72777" w:rsidP="00173391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Further revisions of the standard would broaden its scope.</w:t>
            </w:r>
          </w:p>
          <w:p w14:paraId="29EB5313" w14:textId="77777777" w:rsidR="00495E15" w:rsidRDefault="00A72777" w:rsidP="00173391">
            <w:pPr>
              <w:pStyle w:val="TableText"/>
              <w:rPr>
                <w:lang w:eastAsia="en-NZ"/>
              </w:rPr>
            </w:pPr>
            <w:r w:rsidRPr="00363610">
              <w:rPr>
                <w:lang w:eastAsia="en-NZ"/>
              </w:rPr>
              <w:t>The</w:t>
            </w:r>
            <w:r>
              <w:rPr>
                <w:lang w:eastAsia="en-NZ"/>
              </w:rPr>
              <w:t xml:space="preserve"> working group updated the</w:t>
            </w:r>
            <w:r w:rsidRPr="00363610">
              <w:rPr>
                <w:lang w:eastAsia="en-NZ"/>
              </w:rPr>
              <w:t xml:space="preserve"> standard to support the Ministry</w:t>
            </w:r>
            <w:r w:rsidR="00495E15">
              <w:rPr>
                <w:lang w:eastAsia="en-NZ"/>
              </w:rPr>
              <w:t>’</w:t>
            </w:r>
            <w:r w:rsidRPr="00363610">
              <w:rPr>
                <w:lang w:eastAsia="en-NZ"/>
              </w:rPr>
              <w:t>s vision to accelerate the shift to a fully interoperab</w:t>
            </w:r>
            <w:r>
              <w:rPr>
                <w:lang w:eastAsia="en-NZ"/>
              </w:rPr>
              <w:t>le</w:t>
            </w:r>
            <w:r w:rsidRPr="00363610">
              <w:rPr>
                <w:lang w:eastAsia="en-NZ"/>
              </w:rPr>
              <w:t xml:space="preserve"> digital health ecosystem.</w:t>
            </w:r>
          </w:p>
          <w:p w14:paraId="43DED22C" w14:textId="77777777" w:rsidR="00A72777" w:rsidRPr="00363610" w:rsidRDefault="00A72777" w:rsidP="00173391">
            <w:pPr>
              <w:pStyle w:val="TableText"/>
              <w:rPr>
                <w:lang w:eastAsia="en-NZ"/>
              </w:rPr>
            </w:pPr>
            <w:r w:rsidRPr="00363610">
              <w:rPr>
                <w:lang w:eastAsia="en-NZ"/>
              </w:rPr>
              <w:t>References to electronic sharing and auto</w:t>
            </w:r>
            <w:r>
              <w:rPr>
                <w:lang w:eastAsia="en-NZ"/>
              </w:rPr>
              <w:t xml:space="preserve"> </w:t>
            </w:r>
            <w:r w:rsidRPr="00363610">
              <w:rPr>
                <w:lang w:eastAsia="en-NZ"/>
              </w:rPr>
              <w:t xml:space="preserve">population </w:t>
            </w:r>
            <w:r>
              <w:rPr>
                <w:lang w:eastAsia="en-NZ"/>
              </w:rPr>
              <w:t xml:space="preserve">of </w:t>
            </w:r>
            <w:r w:rsidRPr="00363610">
              <w:rPr>
                <w:lang w:eastAsia="en-NZ"/>
              </w:rPr>
              <w:t>information w</w:t>
            </w:r>
            <w:r>
              <w:rPr>
                <w:lang w:eastAsia="en-NZ"/>
              </w:rPr>
              <w:t>ere</w:t>
            </w:r>
            <w:r w:rsidRPr="00363610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strengthened</w:t>
            </w:r>
            <w:r w:rsidRPr="00363610">
              <w:rPr>
                <w:lang w:eastAsia="en-NZ"/>
              </w:rPr>
              <w:t>.</w:t>
            </w:r>
          </w:p>
        </w:tc>
      </w:tr>
      <w:tr w:rsidR="00A72777" w:rsidRPr="00173391" w14:paraId="562247D5" w14:textId="77777777" w:rsidTr="00173391">
        <w:trPr>
          <w:cantSplit/>
        </w:trPr>
        <w:tc>
          <w:tcPr>
            <w:tcW w:w="8080" w:type="dxa"/>
            <w:gridSpan w:val="2"/>
            <w:tcBorders>
              <w:bottom w:val="nil"/>
            </w:tcBorders>
          </w:tcPr>
          <w:p w14:paraId="4F890219" w14:textId="77777777" w:rsidR="00A72777" w:rsidRPr="00173391" w:rsidRDefault="00A72777" w:rsidP="00173391">
            <w:pPr>
              <w:pStyle w:val="TableText"/>
              <w:keepNext/>
              <w:spacing w:after="0"/>
              <w:ind w:right="113"/>
              <w:rPr>
                <w:b/>
                <w:highlight w:val="yellow"/>
                <w:lang w:eastAsia="en-NZ"/>
              </w:rPr>
            </w:pPr>
            <w:r w:rsidRPr="00173391">
              <w:rPr>
                <w:b/>
                <w:lang w:eastAsia="en-NZ"/>
              </w:rPr>
              <w:lastRenderedPageBreak/>
              <w:t xml:space="preserve">Are the minimum data elements identified in the standard </w:t>
            </w:r>
            <w:proofErr w:type="gramStart"/>
            <w:r w:rsidRPr="00173391">
              <w:rPr>
                <w:b/>
                <w:lang w:eastAsia="en-NZ"/>
              </w:rPr>
              <w:t>sufficient</w:t>
            </w:r>
            <w:proofErr w:type="gramEnd"/>
            <w:r w:rsidRPr="00173391">
              <w:rPr>
                <w:b/>
                <w:lang w:eastAsia="en-NZ"/>
              </w:rPr>
              <w:t>?</w:t>
            </w:r>
          </w:p>
        </w:tc>
      </w:tr>
      <w:tr w:rsidR="00A72777" w:rsidRPr="00C90FA5" w14:paraId="5606DC46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7C2A8C8B" w14:textId="77777777" w:rsidR="00A72777" w:rsidRDefault="00A72777" w:rsidP="00173391">
            <w:pPr>
              <w:pStyle w:val="TableText"/>
              <w:keepNext/>
              <w:ind w:right="113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Respondents felt that occupation and employer details should be included as optional fields for monitoring to support reducing infection incidence and further outbreaks.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75EAC5B" w14:textId="77777777" w:rsidR="00A72777" w:rsidRPr="00C90FA5" w:rsidRDefault="00A72777" w:rsidP="00173391">
            <w:pPr>
              <w:pStyle w:val="TableText"/>
              <w:keepNext/>
              <w:rPr>
                <w:highlight w:val="yellow"/>
                <w:lang w:eastAsia="en-NZ"/>
              </w:rPr>
            </w:pPr>
            <w:r w:rsidRPr="00DA291D">
              <w:rPr>
                <w:lang w:eastAsia="en-NZ"/>
              </w:rPr>
              <w:t xml:space="preserve">The working group decided that data elements for occupation and employer </w:t>
            </w:r>
            <w:r>
              <w:rPr>
                <w:lang w:eastAsia="en-NZ"/>
              </w:rPr>
              <w:t xml:space="preserve">should </w:t>
            </w:r>
            <w:r w:rsidRPr="00DA291D">
              <w:rPr>
                <w:lang w:eastAsia="en-NZ"/>
              </w:rPr>
              <w:t>be</w:t>
            </w:r>
            <w:r>
              <w:rPr>
                <w:lang w:eastAsia="en-NZ"/>
              </w:rPr>
              <w:t xml:space="preserve"> considered in a future</w:t>
            </w:r>
            <w:r w:rsidRPr="00DA291D">
              <w:rPr>
                <w:lang w:eastAsia="en-NZ"/>
              </w:rPr>
              <w:t xml:space="preserve"> version of the standard.</w:t>
            </w:r>
            <w:r w:rsidR="00495E15">
              <w:rPr>
                <w:lang w:eastAsia="en-NZ"/>
              </w:rPr>
              <w:t xml:space="preserve"> </w:t>
            </w:r>
          </w:p>
        </w:tc>
      </w:tr>
      <w:tr w:rsidR="00A72777" w:rsidRPr="00C90FA5" w14:paraId="78761AA2" w14:textId="77777777" w:rsidTr="00CA2EF3">
        <w:trPr>
          <w:cantSplit/>
        </w:trPr>
        <w:tc>
          <w:tcPr>
            <w:tcW w:w="3544" w:type="dxa"/>
            <w:tcBorders>
              <w:top w:val="nil"/>
            </w:tcBorders>
          </w:tcPr>
          <w:p w14:paraId="603D52A1" w14:textId="77777777" w:rsidR="00A72777" w:rsidRDefault="00A72777" w:rsidP="00173391">
            <w:pPr>
              <w:pStyle w:val="TableText"/>
              <w:ind w:right="113"/>
              <w:rPr>
                <w:b/>
                <w:bCs/>
                <w:color w:val="4F81BD" w:themeColor="accent1"/>
                <w:sz w:val="20"/>
                <w:lang w:eastAsia="en-NZ"/>
              </w:rPr>
            </w:pPr>
            <w:r>
              <w:rPr>
                <w:rFonts w:cs="Segoe UI"/>
                <w:szCs w:val="18"/>
              </w:rPr>
              <w:t>They also felt some fields needed to be altered to provide a reliable way for patient follow-up, and additional information around managed isolation facilities needed to be included.</w:t>
            </w:r>
          </w:p>
        </w:tc>
        <w:tc>
          <w:tcPr>
            <w:tcW w:w="4536" w:type="dxa"/>
            <w:tcBorders>
              <w:top w:val="nil"/>
            </w:tcBorders>
          </w:tcPr>
          <w:p w14:paraId="2B97C53A" w14:textId="77777777" w:rsidR="00A72777" w:rsidRPr="00C90FA5" w:rsidRDefault="00A72777" w:rsidP="00173391">
            <w:pPr>
              <w:pStyle w:val="TableText"/>
              <w:rPr>
                <w:highlight w:val="yellow"/>
                <w:lang w:eastAsia="en-NZ"/>
              </w:rPr>
            </w:pPr>
            <w:r w:rsidRPr="009320EB">
              <w:rPr>
                <w:lang w:eastAsia="en-NZ"/>
              </w:rPr>
              <w:t xml:space="preserve">The working group disagreed with the </w:t>
            </w:r>
            <w:r>
              <w:rPr>
                <w:lang w:eastAsia="en-NZ"/>
              </w:rPr>
              <w:t>idea of including information</w:t>
            </w:r>
            <w:r w:rsidRPr="009320EB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relating to the care of the patient </w:t>
            </w:r>
            <w:r w:rsidRPr="009320EB">
              <w:rPr>
                <w:lang w:eastAsia="en-NZ"/>
              </w:rPr>
              <w:t>as this standard is for surveillance of infections not management of the patient</w:t>
            </w:r>
            <w:r w:rsidR="00495E15">
              <w:rPr>
                <w:lang w:eastAsia="en-NZ"/>
              </w:rPr>
              <w:t>’</w:t>
            </w:r>
            <w:r w:rsidRPr="009320EB">
              <w:rPr>
                <w:lang w:eastAsia="en-NZ"/>
              </w:rPr>
              <w:t>s infection</w:t>
            </w:r>
            <w:r>
              <w:rPr>
                <w:lang w:eastAsia="en-NZ"/>
              </w:rPr>
              <w:t xml:space="preserve"> – with this</w:t>
            </w:r>
            <w:r w:rsidRPr="009320EB">
              <w:rPr>
                <w:lang w:eastAsia="en-NZ"/>
              </w:rPr>
              <w:t xml:space="preserve"> type of information captured in the clinical record.</w:t>
            </w:r>
            <w:r>
              <w:rPr>
                <w:lang w:eastAsia="en-NZ"/>
              </w:rPr>
              <w:t xml:space="preserve"> </w:t>
            </w:r>
            <w:r w:rsidRPr="009320EB">
              <w:rPr>
                <w:lang w:eastAsia="en-NZ"/>
              </w:rPr>
              <w:t>References to managed isolation facilities have been included in the standard where applicable.</w:t>
            </w:r>
          </w:p>
        </w:tc>
      </w:tr>
      <w:bookmarkEnd w:id="11"/>
      <w:tr w:rsidR="00A72777" w:rsidRPr="00C90FA5" w14:paraId="2B465B93" w14:textId="77777777" w:rsidTr="00CA2EF3">
        <w:trPr>
          <w:cantSplit/>
        </w:trPr>
        <w:tc>
          <w:tcPr>
            <w:tcW w:w="3544" w:type="dxa"/>
            <w:tcBorders>
              <w:bottom w:val="nil"/>
            </w:tcBorders>
          </w:tcPr>
          <w:p w14:paraId="65E8AD83" w14:textId="77777777" w:rsidR="00A72777" w:rsidRPr="00173391" w:rsidRDefault="00173391" w:rsidP="004926B0">
            <w:pPr>
              <w:pStyle w:val="TableText"/>
              <w:spacing w:after="0"/>
              <w:ind w:left="425" w:hanging="425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1</w:t>
            </w:r>
            <w:r>
              <w:rPr>
                <w:b/>
                <w:lang w:eastAsia="en-NZ"/>
              </w:rPr>
              <w:tab/>
            </w:r>
            <w:r w:rsidR="00A72777" w:rsidRPr="00173391">
              <w:rPr>
                <w:b/>
                <w:lang w:eastAsia="en-NZ"/>
              </w:rPr>
              <w:t>Introduction</w:t>
            </w:r>
          </w:p>
        </w:tc>
        <w:tc>
          <w:tcPr>
            <w:tcW w:w="4536" w:type="dxa"/>
            <w:tcBorders>
              <w:bottom w:val="nil"/>
            </w:tcBorders>
          </w:tcPr>
          <w:p w14:paraId="2A5573C0" w14:textId="77777777" w:rsidR="00A72777" w:rsidRPr="00C90FA5" w:rsidRDefault="00A72777" w:rsidP="004926B0">
            <w:pPr>
              <w:pStyle w:val="TableText"/>
              <w:spacing w:after="0"/>
              <w:rPr>
                <w:highlight w:val="yellow"/>
                <w:lang w:eastAsia="en-NZ"/>
              </w:rPr>
            </w:pPr>
          </w:p>
        </w:tc>
      </w:tr>
      <w:tr w:rsidR="00A72777" w:rsidRPr="00A258AD" w14:paraId="6C5626BE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4533F38A" w14:textId="77777777" w:rsidR="00A72777" w:rsidRPr="00A258AD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Respondents felt it is not clear whether the intent is to provide minimum standards for surveillance of all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infections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or a subset of infections, such as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 xml:space="preserve">infections due to specific </w:t>
            </w:r>
            <w:proofErr w:type="gramStart"/>
            <w:r>
              <w:rPr>
                <w:szCs w:val="18"/>
                <w:lang w:eastAsia="en-NZ"/>
              </w:rPr>
              <w:t>organisms</w:t>
            </w:r>
            <w:r w:rsidR="00495E15">
              <w:rPr>
                <w:szCs w:val="18"/>
                <w:lang w:eastAsia="en-NZ"/>
              </w:rPr>
              <w:t>’</w:t>
            </w:r>
            <w:proofErr w:type="gramEnd"/>
            <w:r>
              <w:rPr>
                <w:szCs w:val="18"/>
                <w:lang w:eastAsia="en-NZ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512C681" w14:textId="77777777" w:rsidR="00A72777" w:rsidRPr="00A258AD" w:rsidRDefault="00A72777" w:rsidP="00173391">
            <w:pPr>
              <w:pStyle w:val="TableText"/>
              <w:rPr>
                <w:szCs w:val="18"/>
                <w:highlight w:val="yellow"/>
                <w:lang w:eastAsia="en-NZ"/>
              </w:rPr>
            </w:pPr>
            <w:r w:rsidRPr="00FA02FB">
              <w:rPr>
                <w:szCs w:val="18"/>
                <w:lang w:eastAsia="en-NZ"/>
              </w:rPr>
              <w:t xml:space="preserve">The working group agreed to adjust the introduction to </w:t>
            </w:r>
            <w:r>
              <w:rPr>
                <w:szCs w:val="18"/>
                <w:lang w:eastAsia="en-NZ"/>
              </w:rPr>
              <w:t xml:space="preserve">more specifically </w:t>
            </w:r>
            <w:r w:rsidRPr="00FA02FB">
              <w:rPr>
                <w:szCs w:val="18"/>
                <w:lang w:eastAsia="en-NZ"/>
              </w:rPr>
              <w:t xml:space="preserve">reflect that the intent of the standard was for surveillance </w:t>
            </w:r>
            <w:r>
              <w:rPr>
                <w:szCs w:val="18"/>
                <w:lang w:eastAsia="en-NZ"/>
              </w:rPr>
              <w:t>of</w:t>
            </w:r>
            <w:r w:rsidRPr="00FA02FB">
              <w:rPr>
                <w:szCs w:val="18"/>
                <w:lang w:eastAsia="en-NZ"/>
              </w:rPr>
              <w:t xml:space="preserve"> </w:t>
            </w:r>
            <w:r>
              <w:rPr>
                <w:szCs w:val="18"/>
                <w:lang w:eastAsia="en-NZ"/>
              </w:rPr>
              <w:t xml:space="preserve">all </w:t>
            </w:r>
            <w:r w:rsidRPr="00FA02FB">
              <w:rPr>
                <w:szCs w:val="18"/>
                <w:lang w:eastAsia="en-NZ"/>
              </w:rPr>
              <w:t>health</w:t>
            </w:r>
            <w:r>
              <w:rPr>
                <w:szCs w:val="18"/>
                <w:lang w:eastAsia="en-NZ"/>
              </w:rPr>
              <w:t>-</w:t>
            </w:r>
            <w:r w:rsidRPr="00FA02FB">
              <w:rPr>
                <w:szCs w:val="18"/>
                <w:lang w:eastAsia="en-NZ"/>
              </w:rPr>
              <w:t>care</w:t>
            </w:r>
            <w:r>
              <w:rPr>
                <w:szCs w:val="18"/>
                <w:lang w:eastAsia="en-NZ"/>
              </w:rPr>
              <w:t>-</w:t>
            </w:r>
            <w:r w:rsidRPr="00FA02FB">
              <w:rPr>
                <w:szCs w:val="18"/>
                <w:lang w:eastAsia="en-NZ"/>
              </w:rPr>
              <w:t>associated infections.</w:t>
            </w:r>
          </w:p>
        </w:tc>
      </w:tr>
      <w:tr w:rsidR="00A72777" w:rsidRPr="00C90FA5" w14:paraId="0BF4E4C2" w14:textId="77777777" w:rsidTr="00CA2EF3">
        <w:trPr>
          <w:cantSplit/>
        </w:trPr>
        <w:tc>
          <w:tcPr>
            <w:tcW w:w="3544" w:type="dxa"/>
            <w:tcBorders>
              <w:top w:val="nil"/>
              <w:bottom w:val="single" w:sz="4" w:space="0" w:color="BFBFBF" w:themeColor="background1" w:themeShade="BF"/>
            </w:tcBorders>
          </w:tcPr>
          <w:p w14:paraId="401925CF" w14:textId="77777777" w:rsidR="00A72777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They felt the standard needs to include reference to the Health and Safety at Work Act 2015, section 199, which requires </w:t>
            </w:r>
            <w:proofErr w:type="spellStart"/>
            <w:r>
              <w:rPr>
                <w:szCs w:val="18"/>
                <w:lang w:eastAsia="en-NZ"/>
              </w:rPr>
              <w:t>Worksafe</w:t>
            </w:r>
            <w:proofErr w:type="spellEnd"/>
            <w:r>
              <w:rPr>
                <w:szCs w:val="18"/>
                <w:lang w:eastAsia="en-NZ"/>
              </w:rPr>
              <w:t xml:space="preserve"> New Zealand to be notified about work-related infections.</w:t>
            </w:r>
          </w:p>
          <w:p w14:paraId="1FCC4780" w14:textId="77777777" w:rsidR="00A72777" w:rsidRDefault="00A72777" w:rsidP="00173391">
            <w:pPr>
              <w:pStyle w:val="TableText"/>
              <w:ind w:right="113"/>
              <w:rPr>
                <w:rFonts w:cs="Segoe UI"/>
                <w:szCs w:val="18"/>
              </w:rPr>
            </w:pPr>
            <w:r>
              <w:rPr>
                <w:szCs w:val="18"/>
                <w:lang w:eastAsia="en-NZ"/>
              </w:rPr>
              <w:t>Respondents also proposed other minor changes to the introduction.</w:t>
            </w:r>
          </w:p>
        </w:tc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7ADFB00B" w14:textId="77777777" w:rsidR="00A72777" w:rsidRDefault="00A72777" w:rsidP="00173391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The working group felt that a</w:t>
            </w:r>
            <w:r w:rsidRPr="00D56311">
              <w:rPr>
                <w:lang w:eastAsia="en-NZ"/>
              </w:rPr>
              <w:t xml:space="preserve"> </w:t>
            </w:r>
            <w:proofErr w:type="spellStart"/>
            <w:r>
              <w:rPr>
                <w:lang w:eastAsia="en-NZ"/>
              </w:rPr>
              <w:t>Worksafe</w:t>
            </w:r>
            <w:proofErr w:type="spellEnd"/>
            <w:r>
              <w:rPr>
                <w:lang w:eastAsia="en-NZ"/>
              </w:rPr>
              <w:t xml:space="preserve"> New Zealand </w:t>
            </w:r>
            <w:r w:rsidRPr="00D56311">
              <w:rPr>
                <w:lang w:eastAsia="en-NZ"/>
              </w:rPr>
              <w:t xml:space="preserve">notification </w:t>
            </w:r>
            <w:r>
              <w:rPr>
                <w:lang w:eastAsia="en-NZ"/>
              </w:rPr>
              <w:t>as suggested by the respondents</w:t>
            </w:r>
            <w:r w:rsidRPr="00D56311">
              <w:rPr>
                <w:lang w:eastAsia="en-NZ"/>
              </w:rPr>
              <w:t xml:space="preserve"> would not come from the surveillance system</w:t>
            </w:r>
            <w:r>
              <w:rPr>
                <w:lang w:eastAsia="en-NZ"/>
              </w:rPr>
              <w:t xml:space="preserve"> but</w:t>
            </w:r>
            <w:r w:rsidRPr="00D56311">
              <w:rPr>
                <w:lang w:eastAsia="en-NZ"/>
              </w:rPr>
              <w:t xml:space="preserve"> from a patient</w:t>
            </w:r>
            <w:r w:rsidR="00495E15">
              <w:rPr>
                <w:lang w:eastAsia="en-NZ"/>
              </w:rPr>
              <w:t>’</w:t>
            </w:r>
            <w:r w:rsidRPr="00D56311">
              <w:rPr>
                <w:lang w:eastAsia="en-NZ"/>
              </w:rPr>
              <w:t>s clinical record.</w:t>
            </w:r>
          </w:p>
          <w:p w14:paraId="72719F30" w14:textId="77777777" w:rsidR="00A72777" w:rsidRPr="00C90FA5" w:rsidRDefault="00A72777" w:rsidP="00173391">
            <w:pPr>
              <w:pStyle w:val="TableText"/>
              <w:rPr>
                <w:highlight w:val="yellow"/>
                <w:lang w:eastAsia="en-NZ"/>
              </w:rPr>
            </w:pPr>
            <w:r w:rsidRPr="006C08D5">
              <w:rPr>
                <w:lang w:eastAsia="en-NZ"/>
              </w:rPr>
              <w:t xml:space="preserve">The scope and purpose were updated to reflect recommended changes. </w:t>
            </w:r>
          </w:p>
        </w:tc>
      </w:tr>
      <w:tr w:rsidR="00A72777" w:rsidRPr="004926B0" w14:paraId="775621B4" w14:textId="77777777" w:rsidTr="00CA2EF3">
        <w:trPr>
          <w:cantSplit/>
        </w:trPr>
        <w:tc>
          <w:tcPr>
            <w:tcW w:w="3544" w:type="dxa"/>
            <w:tcBorders>
              <w:top w:val="single" w:sz="4" w:space="0" w:color="BFBFBF" w:themeColor="background1" w:themeShade="BF"/>
              <w:bottom w:val="nil"/>
            </w:tcBorders>
          </w:tcPr>
          <w:p w14:paraId="4CF8A4BE" w14:textId="77777777" w:rsidR="00A72777" w:rsidRPr="004926B0" w:rsidRDefault="004926B0" w:rsidP="004926B0">
            <w:pPr>
              <w:pStyle w:val="TableText"/>
              <w:spacing w:after="0"/>
              <w:ind w:left="425" w:hanging="425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2</w:t>
            </w:r>
            <w:r>
              <w:rPr>
                <w:b/>
                <w:lang w:eastAsia="en-NZ"/>
              </w:rPr>
              <w:tab/>
            </w:r>
            <w:r w:rsidR="00A72777" w:rsidRPr="004926B0">
              <w:rPr>
                <w:b/>
                <w:lang w:eastAsia="en-NZ"/>
              </w:rPr>
              <w:t>Patient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</w:tcPr>
          <w:p w14:paraId="79D4E4B0" w14:textId="77777777" w:rsidR="00A72777" w:rsidRPr="004926B0" w:rsidRDefault="00A72777" w:rsidP="004926B0">
            <w:pPr>
              <w:pStyle w:val="TableText"/>
              <w:spacing w:after="0"/>
              <w:rPr>
                <w:b/>
                <w:highlight w:val="yellow"/>
                <w:lang w:eastAsia="en-NZ"/>
              </w:rPr>
            </w:pPr>
          </w:p>
        </w:tc>
      </w:tr>
      <w:tr w:rsidR="00A72777" w:rsidRPr="00A258AD" w14:paraId="7038982E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3E57FAA4" w14:textId="77777777" w:rsidR="00A72777" w:rsidRPr="00A258AD" w:rsidRDefault="00A72777" w:rsidP="004926B0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Respondents requested the following details be included: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0372FFB" w14:textId="77777777" w:rsidR="00A72777" w:rsidRPr="00A258AD" w:rsidRDefault="00A72777" w:rsidP="00173391">
            <w:pPr>
              <w:pStyle w:val="TableText"/>
              <w:rPr>
                <w:szCs w:val="18"/>
                <w:highlight w:val="yellow"/>
                <w:lang w:eastAsia="en-NZ"/>
              </w:rPr>
            </w:pPr>
          </w:p>
        </w:tc>
      </w:tr>
      <w:tr w:rsidR="004926B0" w:rsidRPr="00A258AD" w14:paraId="24CAD23B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46332169" w14:textId="77777777" w:rsidR="004926B0" w:rsidRDefault="004926B0" w:rsidP="004926B0">
            <w:pPr>
              <w:pStyle w:val="TableBullet"/>
              <w:rPr>
                <w:lang w:eastAsia="en-NZ"/>
              </w:rPr>
            </w:pPr>
            <w:r>
              <w:rPr>
                <w:lang w:eastAsia="en-NZ"/>
              </w:rPr>
              <w:t>gender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29586FF" w14:textId="77777777" w:rsidR="004926B0" w:rsidRDefault="004926B0" w:rsidP="004926B0">
            <w:pPr>
              <w:pStyle w:val="TableText"/>
              <w:spacing w:before="0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The</w:t>
            </w:r>
            <w:r w:rsidRPr="00E44247">
              <w:rPr>
                <w:szCs w:val="18"/>
                <w:lang w:eastAsia="en-NZ"/>
              </w:rPr>
              <w:t xml:space="preserve"> working group advised that this was not </w:t>
            </w:r>
            <w:r>
              <w:rPr>
                <w:szCs w:val="18"/>
                <w:lang w:eastAsia="en-NZ"/>
              </w:rPr>
              <w:t xml:space="preserve">required </w:t>
            </w:r>
            <w:r w:rsidRPr="00E44247">
              <w:rPr>
                <w:szCs w:val="18"/>
                <w:lang w:eastAsia="en-NZ"/>
              </w:rPr>
              <w:t xml:space="preserve">as the system </w:t>
            </w:r>
            <w:r>
              <w:rPr>
                <w:szCs w:val="18"/>
                <w:lang w:eastAsia="en-NZ"/>
              </w:rPr>
              <w:t xml:space="preserve">would </w:t>
            </w:r>
            <w:r w:rsidRPr="00E44247">
              <w:rPr>
                <w:szCs w:val="18"/>
                <w:lang w:eastAsia="en-NZ"/>
              </w:rPr>
              <w:t xml:space="preserve">not </w:t>
            </w:r>
            <w:r>
              <w:rPr>
                <w:szCs w:val="18"/>
                <w:lang w:eastAsia="en-NZ"/>
              </w:rPr>
              <w:t xml:space="preserve">be </w:t>
            </w:r>
            <w:r w:rsidRPr="00E44247">
              <w:rPr>
                <w:szCs w:val="18"/>
                <w:lang w:eastAsia="en-NZ"/>
              </w:rPr>
              <w:t>used when</w:t>
            </w:r>
            <w:r>
              <w:rPr>
                <w:szCs w:val="18"/>
                <w:lang w:eastAsia="en-NZ"/>
              </w:rPr>
              <w:t xml:space="preserve"> </w:t>
            </w:r>
            <w:r w:rsidRPr="00E44247">
              <w:rPr>
                <w:szCs w:val="18"/>
                <w:lang w:eastAsia="en-NZ"/>
              </w:rPr>
              <w:t>interacting with a patient.</w:t>
            </w:r>
          </w:p>
          <w:p w14:paraId="2D68B3EA" w14:textId="77777777" w:rsidR="004926B0" w:rsidRDefault="004926B0" w:rsidP="004926B0">
            <w:pPr>
              <w:pStyle w:val="TableText"/>
              <w:spacing w:before="0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They advised that s</w:t>
            </w:r>
            <w:r w:rsidRPr="00B45311">
              <w:rPr>
                <w:szCs w:val="18"/>
                <w:lang w:eastAsia="en-NZ"/>
              </w:rPr>
              <w:t xml:space="preserve">ex, with the values of </w:t>
            </w:r>
            <w:r>
              <w:rPr>
                <w:szCs w:val="18"/>
                <w:lang w:eastAsia="en-NZ"/>
              </w:rPr>
              <w:t>m</w:t>
            </w:r>
            <w:r w:rsidRPr="00B45311">
              <w:rPr>
                <w:szCs w:val="18"/>
                <w:lang w:eastAsia="en-NZ"/>
              </w:rPr>
              <w:t xml:space="preserve">ale and </w:t>
            </w:r>
            <w:r>
              <w:rPr>
                <w:szCs w:val="18"/>
                <w:lang w:eastAsia="en-NZ"/>
              </w:rPr>
              <w:t>f</w:t>
            </w:r>
            <w:r w:rsidRPr="00B45311">
              <w:rPr>
                <w:szCs w:val="18"/>
                <w:lang w:eastAsia="en-NZ"/>
              </w:rPr>
              <w:t>emale</w:t>
            </w:r>
            <w:r>
              <w:rPr>
                <w:szCs w:val="18"/>
                <w:lang w:eastAsia="en-NZ"/>
              </w:rPr>
              <w:t>,</w:t>
            </w:r>
            <w:r w:rsidRPr="00B45311">
              <w:rPr>
                <w:szCs w:val="18"/>
                <w:lang w:eastAsia="en-NZ"/>
              </w:rPr>
              <w:t xml:space="preserve"> </w:t>
            </w:r>
            <w:r>
              <w:rPr>
                <w:szCs w:val="18"/>
                <w:lang w:eastAsia="en-NZ"/>
              </w:rPr>
              <w:t>is</w:t>
            </w:r>
            <w:r w:rsidRPr="00B45311">
              <w:rPr>
                <w:szCs w:val="18"/>
                <w:lang w:eastAsia="en-NZ"/>
              </w:rPr>
              <w:t xml:space="preserve"> all that </w:t>
            </w:r>
            <w:r>
              <w:rPr>
                <w:szCs w:val="18"/>
                <w:lang w:eastAsia="en-NZ"/>
              </w:rPr>
              <w:t>is</w:t>
            </w:r>
            <w:r w:rsidRPr="00B45311">
              <w:rPr>
                <w:szCs w:val="18"/>
                <w:lang w:eastAsia="en-NZ"/>
              </w:rPr>
              <w:t xml:space="preserve"> required</w:t>
            </w:r>
            <w:r>
              <w:rPr>
                <w:szCs w:val="18"/>
                <w:lang w:eastAsia="en-NZ"/>
              </w:rPr>
              <w:t xml:space="preserve"> at this point and asked that this data element be revised once Stats NZ have published their consultation outcome.</w:t>
            </w:r>
          </w:p>
        </w:tc>
      </w:tr>
      <w:tr w:rsidR="00A72777" w:rsidRPr="00A258AD" w14:paraId="2D244746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13EFDA15" w14:textId="77777777" w:rsidR="00A72777" w:rsidRDefault="00A72777" w:rsidP="004926B0">
            <w:pPr>
              <w:pStyle w:val="TableBullet"/>
              <w:rPr>
                <w:lang w:eastAsia="en-NZ"/>
              </w:rPr>
            </w:pPr>
            <w:r>
              <w:rPr>
                <w:lang w:eastAsia="en-NZ"/>
              </w:rPr>
              <w:t>procedure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38E1764" w14:textId="77777777" w:rsidR="00A72777" w:rsidRPr="00E44247" w:rsidRDefault="00A72777" w:rsidP="004926B0">
            <w:pPr>
              <w:pStyle w:val="TableText"/>
              <w:spacing w:before="0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The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procedure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data element was added as an optional field, but the working group felt that further work would be needed to refine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procedure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>. This will be put forward in a future review.</w:t>
            </w:r>
          </w:p>
        </w:tc>
      </w:tr>
      <w:tr w:rsidR="00A72777" w:rsidRPr="00A258AD" w14:paraId="323A090A" w14:textId="77777777" w:rsidTr="00CA2EF3">
        <w:trPr>
          <w:cantSplit/>
        </w:trPr>
        <w:tc>
          <w:tcPr>
            <w:tcW w:w="3544" w:type="dxa"/>
            <w:tcBorders>
              <w:top w:val="nil"/>
            </w:tcBorders>
          </w:tcPr>
          <w:p w14:paraId="63CF0A4A" w14:textId="77777777" w:rsidR="00A72777" w:rsidRDefault="00A72777" w:rsidP="004926B0">
            <w:pPr>
              <w:pStyle w:val="TableBullet"/>
              <w:rPr>
                <w:lang w:eastAsia="en-NZ"/>
              </w:rPr>
            </w:pPr>
            <w:r>
              <w:rPr>
                <w:lang w:eastAsia="en-NZ"/>
              </w:rPr>
              <w:t>comorbidities</w:t>
            </w:r>
          </w:p>
        </w:tc>
        <w:tc>
          <w:tcPr>
            <w:tcW w:w="4536" w:type="dxa"/>
            <w:tcBorders>
              <w:top w:val="nil"/>
            </w:tcBorders>
          </w:tcPr>
          <w:p w14:paraId="18CAAC20" w14:textId="77777777" w:rsidR="00A72777" w:rsidRPr="00E44247" w:rsidRDefault="00A72777" w:rsidP="004926B0">
            <w:pPr>
              <w:pStyle w:val="TableText"/>
              <w:spacing w:before="0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The working group felt that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comorbidities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should be left for future development to ensure what is captured is fit for purpose.</w:t>
            </w:r>
          </w:p>
        </w:tc>
      </w:tr>
      <w:tr w:rsidR="00A72777" w:rsidRPr="004926B0" w14:paraId="315BB8E6" w14:textId="77777777" w:rsidTr="00CA2EF3">
        <w:trPr>
          <w:cantSplit/>
        </w:trPr>
        <w:tc>
          <w:tcPr>
            <w:tcW w:w="3544" w:type="dxa"/>
            <w:tcBorders>
              <w:bottom w:val="nil"/>
            </w:tcBorders>
          </w:tcPr>
          <w:p w14:paraId="77798E0F" w14:textId="77777777" w:rsidR="00A72777" w:rsidRPr="004926B0" w:rsidRDefault="004926B0" w:rsidP="004926B0">
            <w:pPr>
              <w:pStyle w:val="TableText"/>
              <w:keepNext/>
              <w:spacing w:after="0"/>
              <w:ind w:left="425" w:hanging="425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lastRenderedPageBreak/>
              <w:t>3</w:t>
            </w:r>
            <w:r>
              <w:rPr>
                <w:b/>
                <w:lang w:eastAsia="en-NZ"/>
              </w:rPr>
              <w:tab/>
            </w:r>
            <w:r w:rsidR="00A72777" w:rsidRPr="004926B0">
              <w:rPr>
                <w:b/>
                <w:lang w:eastAsia="en-NZ"/>
              </w:rPr>
              <w:t>Encounter</w:t>
            </w:r>
          </w:p>
        </w:tc>
        <w:tc>
          <w:tcPr>
            <w:tcW w:w="4536" w:type="dxa"/>
            <w:tcBorders>
              <w:bottom w:val="nil"/>
            </w:tcBorders>
          </w:tcPr>
          <w:p w14:paraId="0D4BD5F4" w14:textId="77777777" w:rsidR="00A72777" w:rsidRPr="004926B0" w:rsidRDefault="00A72777" w:rsidP="004926B0">
            <w:pPr>
              <w:pStyle w:val="TableText"/>
              <w:keepNext/>
              <w:spacing w:after="0"/>
              <w:ind w:left="425" w:hanging="425"/>
              <w:rPr>
                <w:b/>
                <w:highlight w:val="yellow"/>
                <w:lang w:eastAsia="en-NZ"/>
              </w:rPr>
            </w:pPr>
          </w:p>
        </w:tc>
      </w:tr>
      <w:tr w:rsidR="00A72777" w:rsidRPr="00A258AD" w14:paraId="4C639AB7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26D11F6E" w14:textId="77777777" w:rsidR="00A72777" w:rsidRPr="00A258AD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Some respondents were concerned that using SNOMED CT may be a danger to both data integrity and patient management as a code may not exist for novel diseases.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FAF8A90" w14:textId="77777777" w:rsidR="00A72777" w:rsidRPr="00A258AD" w:rsidRDefault="00A72777" w:rsidP="00173391">
            <w:pPr>
              <w:pStyle w:val="TableText"/>
              <w:rPr>
                <w:szCs w:val="18"/>
                <w:highlight w:val="yellow"/>
                <w:lang w:eastAsia="en-NZ"/>
              </w:rPr>
            </w:pPr>
            <w:r>
              <w:rPr>
                <w:szCs w:val="18"/>
                <w:lang w:eastAsia="en-NZ"/>
              </w:rPr>
              <w:t>The w</w:t>
            </w:r>
            <w:r w:rsidRPr="0088246D">
              <w:rPr>
                <w:szCs w:val="18"/>
                <w:lang w:eastAsia="en-NZ"/>
              </w:rPr>
              <w:t>orking group are satisfied with the use of SNOMED CT</w:t>
            </w:r>
            <w:r>
              <w:rPr>
                <w:szCs w:val="18"/>
                <w:lang w:eastAsia="en-NZ"/>
              </w:rPr>
              <w:t>. T</w:t>
            </w:r>
            <w:r w:rsidRPr="0088246D">
              <w:rPr>
                <w:szCs w:val="18"/>
                <w:lang w:eastAsia="en-NZ"/>
              </w:rPr>
              <w:t xml:space="preserve">hey were impressed with the </w:t>
            </w:r>
            <w:r>
              <w:rPr>
                <w:szCs w:val="18"/>
                <w:lang w:eastAsia="en-NZ"/>
              </w:rPr>
              <w:t xml:space="preserve">number of </w:t>
            </w:r>
            <w:r w:rsidRPr="0088246D">
              <w:rPr>
                <w:szCs w:val="18"/>
                <w:lang w:eastAsia="en-NZ"/>
              </w:rPr>
              <w:t>available novel diseases in SNOMED CT</w:t>
            </w:r>
            <w:r>
              <w:rPr>
                <w:szCs w:val="18"/>
                <w:lang w:eastAsia="en-NZ"/>
              </w:rPr>
              <w:t xml:space="preserve"> and the quick turnaround to creat</w:t>
            </w:r>
            <w:r w:rsidR="004926B0">
              <w:rPr>
                <w:szCs w:val="18"/>
                <w:lang w:eastAsia="en-NZ"/>
              </w:rPr>
              <w:t>e new terms for new infections.</w:t>
            </w:r>
          </w:p>
        </w:tc>
      </w:tr>
      <w:tr w:rsidR="00A72777" w:rsidRPr="00A258AD" w14:paraId="11EAB0F4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2433479B" w14:textId="77777777" w:rsidR="00A72777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They asked that a mandatory field for clinical diagnosis of infection be added.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E4ED914" w14:textId="77777777" w:rsidR="00A72777" w:rsidRDefault="00A72777" w:rsidP="00173391">
            <w:pPr>
              <w:pStyle w:val="TableText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The working group asked that the suggestion of a mandatory field for clinical diagnosis be put on the list of things to consider in a future review as it depends on the development of an agreed national criteria for infections (outside the scope of this standard).</w:t>
            </w:r>
          </w:p>
        </w:tc>
      </w:tr>
      <w:tr w:rsidR="00A72777" w:rsidRPr="00A258AD" w14:paraId="495CA1E8" w14:textId="77777777" w:rsidTr="00CA2EF3">
        <w:trPr>
          <w:cantSplit/>
        </w:trPr>
        <w:tc>
          <w:tcPr>
            <w:tcW w:w="3544" w:type="dxa"/>
            <w:tcBorders>
              <w:top w:val="nil"/>
            </w:tcBorders>
          </w:tcPr>
          <w:p w14:paraId="73934E90" w14:textId="77777777" w:rsidR="00A72777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Respondents also made other minor requests.</w:t>
            </w:r>
          </w:p>
        </w:tc>
        <w:tc>
          <w:tcPr>
            <w:tcW w:w="4536" w:type="dxa"/>
            <w:tcBorders>
              <w:top w:val="nil"/>
            </w:tcBorders>
          </w:tcPr>
          <w:p w14:paraId="7539E6EA" w14:textId="77777777" w:rsidR="00A72777" w:rsidRDefault="00A72777" w:rsidP="00173391">
            <w:pPr>
              <w:pStyle w:val="TableText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Other data elements that were requested that will be considered in a future review include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Infection onset date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and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Source of infection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>.</w:t>
            </w:r>
          </w:p>
        </w:tc>
      </w:tr>
      <w:tr w:rsidR="00A72777" w:rsidRPr="004926B0" w14:paraId="47E238D9" w14:textId="77777777" w:rsidTr="00CA2EF3">
        <w:trPr>
          <w:cantSplit/>
        </w:trPr>
        <w:tc>
          <w:tcPr>
            <w:tcW w:w="3544" w:type="dxa"/>
            <w:tcBorders>
              <w:bottom w:val="nil"/>
            </w:tcBorders>
          </w:tcPr>
          <w:p w14:paraId="01BC27B6" w14:textId="77777777" w:rsidR="00A72777" w:rsidRPr="004926B0" w:rsidRDefault="004926B0" w:rsidP="004926B0">
            <w:pPr>
              <w:pStyle w:val="TableText"/>
              <w:spacing w:after="0"/>
              <w:ind w:left="425" w:hanging="425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4</w:t>
            </w:r>
            <w:r>
              <w:rPr>
                <w:b/>
                <w:lang w:eastAsia="en-NZ"/>
              </w:rPr>
              <w:tab/>
            </w:r>
            <w:r w:rsidR="00A72777" w:rsidRPr="004926B0">
              <w:rPr>
                <w:b/>
                <w:lang w:eastAsia="en-NZ"/>
              </w:rPr>
              <w:t>Observation</w:t>
            </w:r>
          </w:p>
        </w:tc>
        <w:tc>
          <w:tcPr>
            <w:tcW w:w="4536" w:type="dxa"/>
            <w:tcBorders>
              <w:bottom w:val="nil"/>
            </w:tcBorders>
          </w:tcPr>
          <w:p w14:paraId="2A4C3035" w14:textId="77777777" w:rsidR="00A72777" w:rsidRPr="004926B0" w:rsidRDefault="00A72777" w:rsidP="004926B0">
            <w:pPr>
              <w:pStyle w:val="TableText"/>
              <w:spacing w:after="0"/>
              <w:ind w:left="425" w:hanging="425"/>
              <w:rPr>
                <w:b/>
                <w:highlight w:val="yellow"/>
                <w:lang w:eastAsia="en-NZ"/>
              </w:rPr>
            </w:pPr>
          </w:p>
        </w:tc>
      </w:tr>
      <w:tr w:rsidR="00A72777" w:rsidRPr="00A258AD" w14:paraId="2C0AB96C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4CABB446" w14:textId="77777777" w:rsidR="00A72777" w:rsidRPr="00A258AD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Respondents felt that recording non-laboratory data would happen multiple times during an encounter and it is not clear which ones would be expected to be recorded.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22FBA4B" w14:textId="77777777" w:rsidR="00A72777" w:rsidRPr="00A258AD" w:rsidRDefault="00A72777" w:rsidP="00173391">
            <w:pPr>
              <w:pStyle w:val="TableText"/>
              <w:rPr>
                <w:szCs w:val="18"/>
                <w:highlight w:val="yellow"/>
                <w:lang w:eastAsia="en-NZ"/>
              </w:rPr>
            </w:pPr>
            <w:r w:rsidRPr="00020743">
              <w:rPr>
                <w:szCs w:val="18"/>
                <w:lang w:eastAsia="en-NZ"/>
              </w:rPr>
              <w:t xml:space="preserve">The working group felt that </w:t>
            </w:r>
            <w:r>
              <w:rPr>
                <w:szCs w:val="18"/>
                <w:lang w:eastAsia="en-NZ"/>
              </w:rPr>
              <w:t xml:space="preserve">some of the </w:t>
            </w:r>
            <w:r w:rsidRPr="00020743">
              <w:rPr>
                <w:szCs w:val="18"/>
                <w:lang w:eastAsia="en-NZ"/>
              </w:rPr>
              <w:t>non-laboratory data can be retrie</w:t>
            </w:r>
            <w:r>
              <w:rPr>
                <w:szCs w:val="18"/>
                <w:lang w:eastAsia="en-NZ"/>
              </w:rPr>
              <w:t>ve</w:t>
            </w:r>
            <w:r w:rsidRPr="00020743">
              <w:rPr>
                <w:szCs w:val="18"/>
                <w:lang w:eastAsia="en-NZ"/>
              </w:rPr>
              <w:t>d through the clinical records</w:t>
            </w:r>
            <w:r>
              <w:rPr>
                <w:szCs w:val="18"/>
                <w:lang w:eastAsia="en-NZ"/>
              </w:rPr>
              <w:t>, and therefore, they have removed most of the data elements from the standard.</w:t>
            </w:r>
          </w:p>
        </w:tc>
      </w:tr>
      <w:tr w:rsidR="00A72777" w:rsidRPr="00A258AD" w14:paraId="28E06F20" w14:textId="77777777" w:rsidTr="00CA2EF3">
        <w:trPr>
          <w:cantSplit/>
        </w:trPr>
        <w:tc>
          <w:tcPr>
            <w:tcW w:w="3544" w:type="dxa"/>
            <w:tcBorders>
              <w:top w:val="nil"/>
              <w:bottom w:val="nil"/>
            </w:tcBorders>
          </w:tcPr>
          <w:p w14:paraId="3278268C" w14:textId="77777777" w:rsidR="00A72777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They see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Multidrug-resistant organism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as a valuable data point but felt more detail is required so that national resistance patterns can be easily monitored.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66B992F" w14:textId="77777777" w:rsidR="00A72777" w:rsidRPr="00020743" w:rsidRDefault="00A72777" w:rsidP="00173391">
            <w:pPr>
              <w:pStyle w:val="TableText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 xml:space="preserve">The working group agreed that </w:t>
            </w:r>
            <w:r w:rsidR="00495E15">
              <w:rPr>
                <w:szCs w:val="18"/>
                <w:lang w:eastAsia="en-NZ"/>
              </w:rPr>
              <w:t>‘</w:t>
            </w:r>
            <w:r>
              <w:rPr>
                <w:szCs w:val="18"/>
                <w:lang w:eastAsia="en-NZ"/>
              </w:rPr>
              <w:t>Multidrug-resistant organism</w:t>
            </w:r>
            <w:r w:rsidR="00495E15">
              <w:rPr>
                <w:szCs w:val="18"/>
                <w:lang w:eastAsia="en-NZ"/>
              </w:rPr>
              <w:t>’</w:t>
            </w:r>
            <w:r>
              <w:rPr>
                <w:szCs w:val="18"/>
                <w:lang w:eastAsia="en-NZ"/>
              </w:rPr>
              <w:t xml:space="preserve"> is a valuable data point, however, they felt that, as this data point is more complex and requires time to consider the relevant fields, it should be included in a future review.</w:t>
            </w:r>
          </w:p>
        </w:tc>
      </w:tr>
      <w:tr w:rsidR="00A72777" w:rsidRPr="00A258AD" w14:paraId="1ABF4FFA" w14:textId="77777777" w:rsidTr="00CA2EF3">
        <w:trPr>
          <w:cantSplit/>
        </w:trPr>
        <w:tc>
          <w:tcPr>
            <w:tcW w:w="3544" w:type="dxa"/>
            <w:tcBorders>
              <w:top w:val="nil"/>
            </w:tcBorders>
          </w:tcPr>
          <w:p w14:paraId="4513EA4D" w14:textId="77777777" w:rsidR="00A72777" w:rsidRDefault="00A72777" w:rsidP="00173391">
            <w:pPr>
              <w:pStyle w:val="TableText"/>
              <w:ind w:right="113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Respondents also made other minor requests.</w:t>
            </w:r>
          </w:p>
        </w:tc>
        <w:tc>
          <w:tcPr>
            <w:tcW w:w="4536" w:type="dxa"/>
            <w:tcBorders>
              <w:top w:val="nil"/>
            </w:tcBorders>
          </w:tcPr>
          <w:p w14:paraId="28107759" w14:textId="77777777" w:rsidR="00A72777" w:rsidRPr="00020743" w:rsidRDefault="00495E15" w:rsidP="00173391">
            <w:pPr>
              <w:pStyle w:val="TableText"/>
              <w:rPr>
                <w:szCs w:val="18"/>
                <w:lang w:eastAsia="en-NZ"/>
              </w:rPr>
            </w:pP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Antibiotic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 xml:space="preserve"> was changed to </w:t>
            </w: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antimicrobial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 xml:space="preserve">. The working group agreed to remove the data elements for </w:t>
            </w: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Organism growth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 xml:space="preserve"> and added </w:t>
            </w: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Specimen source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 xml:space="preserve">, </w:t>
            </w: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Route of administration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 xml:space="preserve"> and </w:t>
            </w:r>
            <w:r>
              <w:rPr>
                <w:szCs w:val="18"/>
                <w:lang w:eastAsia="en-NZ"/>
              </w:rPr>
              <w:t>‘</w:t>
            </w:r>
            <w:r w:rsidR="00A72777">
              <w:rPr>
                <w:szCs w:val="18"/>
                <w:lang w:eastAsia="en-NZ"/>
              </w:rPr>
              <w:t>Dose frequency</w:t>
            </w:r>
            <w:r>
              <w:rPr>
                <w:szCs w:val="18"/>
                <w:lang w:eastAsia="en-NZ"/>
              </w:rPr>
              <w:t>’</w:t>
            </w:r>
            <w:r w:rsidR="00A72777">
              <w:rPr>
                <w:szCs w:val="18"/>
                <w:lang w:eastAsia="en-NZ"/>
              </w:rPr>
              <w:t>.</w:t>
            </w:r>
          </w:p>
        </w:tc>
      </w:tr>
    </w:tbl>
    <w:p w14:paraId="386BD79A" w14:textId="77777777" w:rsidR="00CA2EF3" w:rsidRDefault="00CA2EF3" w:rsidP="00CA2EF3">
      <w:bookmarkStart w:id="14" w:name="_Toc68006031"/>
    </w:p>
    <w:p w14:paraId="1C3B081D" w14:textId="77777777" w:rsidR="00A72777" w:rsidRPr="00251F9F" w:rsidRDefault="00A72777" w:rsidP="004926B0">
      <w:pPr>
        <w:pStyle w:val="NumberedHeading1"/>
      </w:pPr>
      <w:bookmarkStart w:id="15" w:name="_Toc68784728"/>
      <w:r>
        <w:lastRenderedPageBreak/>
        <w:t>Future considerations</w:t>
      </w:r>
      <w:bookmarkEnd w:id="14"/>
      <w:bookmarkEnd w:id="15"/>
    </w:p>
    <w:p w14:paraId="1FB2F9DC" w14:textId="77777777" w:rsidR="00A72777" w:rsidRPr="00CD1445" w:rsidRDefault="00A72777" w:rsidP="004926B0">
      <w:pPr>
        <w:rPr>
          <w:lang w:eastAsia="en-NZ"/>
        </w:rPr>
      </w:pPr>
      <w:r w:rsidRPr="00BD60D6">
        <w:rPr>
          <w:lang w:eastAsia="en-NZ"/>
        </w:rPr>
        <w:t>The working group felt that</w:t>
      </w:r>
      <w:r>
        <w:rPr>
          <w:lang w:eastAsia="en-NZ"/>
        </w:rPr>
        <w:t>,</w:t>
      </w:r>
      <w:r w:rsidRPr="00BD60D6">
        <w:rPr>
          <w:lang w:eastAsia="en-NZ"/>
        </w:rPr>
        <w:t xml:space="preserve"> at this stage</w:t>
      </w:r>
      <w:r>
        <w:rPr>
          <w:lang w:eastAsia="en-NZ"/>
        </w:rPr>
        <w:t>,</w:t>
      </w:r>
      <w:r w:rsidRPr="00BD60D6">
        <w:rPr>
          <w:lang w:eastAsia="en-NZ"/>
        </w:rPr>
        <w:t xml:space="preserve"> the minimum and most appropriate information for infection surveillance is covered by th</w:t>
      </w:r>
      <w:r>
        <w:rPr>
          <w:lang w:eastAsia="en-NZ"/>
        </w:rPr>
        <w:t>is</w:t>
      </w:r>
      <w:r w:rsidRPr="00BD60D6">
        <w:rPr>
          <w:lang w:eastAsia="en-NZ"/>
        </w:rPr>
        <w:t xml:space="preserve"> first iteration of the standard (</w:t>
      </w:r>
      <w:r>
        <w:rPr>
          <w:lang w:eastAsia="en-NZ"/>
        </w:rPr>
        <w:t>relating to</w:t>
      </w:r>
      <w:r w:rsidRPr="00BD60D6">
        <w:rPr>
          <w:lang w:eastAsia="en-NZ"/>
        </w:rPr>
        <w:t xml:space="preserve"> health care associated infections). </w:t>
      </w:r>
      <w:r>
        <w:rPr>
          <w:lang w:eastAsia="en-NZ"/>
        </w:rPr>
        <w:t>They</w:t>
      </w:r>
      <w:r w:rsidRPr="00BD60D6">
        <w:rPr>
          <w:lang w:eastAsia="en-NZ"/>
        </w:rPr>
        <w:t xml:space="preserve"> felt that the types of data to be collected, albeit useful, are more complex and need further investigation</w:t>
      </w:r>
      <w:r>
        <w:rPr>
          <w:lang w:eastAsia="en-NZ"/>
        </w:rPr>
        <w:t xml:space="preserve"> and recommend that future updates consider </w:t>
      </w:r>
      <w:r w:rsidRPr="00BD60D6">
        <w:rPr>
          <w:lang w:eastAsia="en-NZ"/>
        </w:rPr>
        <w:t xml:space="preserve">the inclusion of </w:t>
      </w:r>
      <w:r>
        <w:rPr>
          <w:lang w:eastAsia="en-NZ"/>
        </w:rPr>
        <w:t xml:space="preserve">suggested </w:t>
      </w:r>
      <w:r w:rsidRPr="00BD60D6">
        <w:rPr>
          <w:lang w:eastAsia="en-NZ"/>
        </w:rPr>
        <w:t>data elements.</w:t>
      </w:r>
    </w:p>
    <w:p w14:paraId="30281EAD" w14:textId="77777777" w:rsidR="00DF07AF" w:rsidRDefault="00DF07AF" w:rsidP="004926B0"/>
    <w:sectPr w:rsidR="00DF07AF" w:rsidSect="002B7BEC">
      <w:footerReference w:type="even" r:id="rId22"/>
      <w:footerReference w:type="default" r:id="rId23"/>
      <w:pgSz w:w="11907" w:h="16834" w:code="9"/>
      <w:pgMar w:top="1418" w:right="1701" w:bottom="1134" w:left="1843" w:header="284" w:footer="425" w:gutter="28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ABC8" w14:textId="77777777" w:rsidR="00C11ED3" w:rsidRDefault="00C11ED3">
      <w:r>
        <w:separator/>
      </w:r>
    </w:p>
    <w:p w14:paraId="5457FDDC" w14:textId="77777777" w:rsidR="00C11ED3" w:rsidRDefault="00C11ED3"/>
  </w:endnote>
  <w:endnote w:type="continuationSeparator" w:id="0">
    <w:p w14:paraId="384F2C8D" w14:textId="77777777" w:rsidR="00C11ED3" w:rsidRDefault="00C11ED3">
      <w:r>
        <w:continuationSeparator/>
      </w:r>
    </w:p>
    <w:p w14:paraId="506CDC89" w14:textId="77777777" w:rsidR="00C11ED3" w:rsidRDefault="00C11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3680" w14:textId="77777777" w:rsidR="00105770" w:rsidRPr="00581136" w:rsidRDefault="00105770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 w:rsidR="00FB0A5B">
      <w:rPr>
        <w:b/>
      </w:rPr>
      <w:t>2</w:t>
    </w:r>
    <w:r w:rsidR="003213F1">
      <w:rPr>
        <w:b/>
      </w:rPr>
      <w:t>1</w:t>
    </w:r>
    <w:r w:rsidRPr="00581136">
      <w:rPr>
        <w:b/>
      </w:rPr>
      <w:tab/>
      <w:t>health.govt.nz</w:t>
    </w:r>
  </w:p>
  <w:p w14:paraId="0A08AE5C" w14:textId="77777777" w:rsidR="00105770" w:rsidRPr="005A79E5" w:rsidRDefault="0010577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A47B" w14:textId="77777777" w:rsidR="00105770" w:rsidRDefault="00105770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2149" w14:textId="77777777" w:rsidR="00105770" w:rsidRDefault="001057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105770" w14:paraId="30A9FC90" w14:textId="77777777" w:rsidTr="00D662F8">
      <w:trPr>
        <w:cantSplit/>
      </w:trPr>
      <w:tc>
        <w:tcPr>
          <w:tcW w:w="709" w:type="dxa"/>
          <w:vAlign w:val="center"/>
        </w:tcPr>
        <w:p w14:paraId="02470D56" w14:textId="77777777" w:rsidR="00105770" w:rsidRPr="00931466" w:rsidRDefault="00105770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A72777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7AD74CCB" w14:textId="77777777" w:rsidR="00105770" w:rsidRDefault="00245748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044AF19D" w14:textId="77777777" w:rsidR="00105770" w:rsidRPr="00571223" w:rsidRDefault="00105770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105770" w14:paraId="58F05179" w14:textId="77777777" w:rsidTr="006E2886">
      <w:trPr>
        <w:cantSplit/>
      </w:trPr>
      <w:tc>
        <w:tcPr>
          <w:tcW w:w="8080" w:type="dxa"/>
          <w:vAlign w:val="center"/>
        </w:tcPr>
        <w:p w14:paraId="5A1F98F5" w14:textId="77777777" w:rsidR="00105770" w:rsidRDefault="00A72777" w:rsidP="00A72777">
          <w:pPr>
            <w:pStyle w:val="RectoFooter"/>
          </w:pPr>
          <w:r>
            <w:t>Summary of the Review of Public Comment Feedback on the</w:t>
          </w:r>
          <w:r>
            <w:br/>
            <w:t>Draft HISO 10058.1 Infection Surveillance Data Standard</w:t>
          </w:r>
        </w:p>
      </w:tc>
      <w:tc>
        <w:tcPr>
          <w:tcW w:w="709" w:type="dxa"/>
          <w:vAlign w:val="center"/>
        </w:tcPr>
        <w:p w14:paraId="093BDF40" w14:textId="77777777" w:rsidR="00105770" w:rsidRPr="00931466" w:rsidRDefault="00105770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F07AF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67263C7" w14:textId="77777777" w:rsidR="00105770" w:rsidRPr="00581EB8" w:rsidRDefault="00105770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105770" w14:paraId="5F4D9385" w14:textId="77777777" w:rsidTr="006E2886">
      <w:trPr>
        <w:cantSplit/>
      </w:trPr>
      <w:tc>
        <w:tcPr>
          <w:tcW w:w="675" w:type="dxa"/>
          <w:vAlign w:val="center"/>
        </w:tcPr>
        <w:p w14:paraId="3CCDBA5F" w14:textId="77777777" w:rsidR="00105770" w:rsidRPr="00931466" w:rsidRDefault="00105770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F07AF">
            <w:rPr>
              <w:rStyle w:val="PageNumber"/>
              <w:noProof/>
            </w:rPr>
            <w:t>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3B73AA00" w14:textId="77777777" w:rsidR="00105770" w:rsidRDefault="00CA2EF3" w:rsidP="00CA2EF3">
          <w:pPr>
            <w:pStyle w:val="RectoFooter"/>
            <w:ind w:left="-108"/>
            <w:jc w:val="left"/>
          </w:pPr>
          <w:r>
            <w:t>Summary of the Review of Public Comment Feedback on the</w:t>
          </w:r>
          <w:r>
            <w:br/>
            <w:t>Draft HISO 10058.1 Infection Surveillance Data Standard</w:t>
          </w:r>
        </w:p>
      </w:tc>
    </w:tr>
  </w:tbl>
  <w:p w14:paraId="3E214722" w14:textId="77777777" w:rsidR="00105770" w:rsidRPr="00571223" w:rsidRDefault="00105770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105770" w14:paraId="35721C6F" w14:textId="77777777" w:rsidTr="006E2886">
      <w:trPr>
        <w:cantSplit/>
      </w:trPr>
      <w:tc>
        <w:tcPr>
          <w:tcW w:w="8080" w:type="dxa"/>
          <w:vAlign w:val="center"/>
        </w:tcPr>
        <w:p w14:paraId="6C8F784A" w14:textId="77777777" w:rsidR="00105770" w:rsidRDefault="00A72777" w:rsidP="00A72777">
          <w:pPr>
            <w:pStyle w:val="RectoFooter"/>
          </w:pPr>
          <w:r>
            <w:t>Summary of the Review of Public Comment Feedback on the</w:t>
          </w:r>
          <w:r>
            <w:br/>
            <w:t>Draft HISO 10058.1 Infection Surveillance Data Standard</w:t>
          </w:r>
        </w:p>
      </w:tc>
      <w:tc>
        <w:tcPr>
          <w:tcW w:w="709" w:type="dxa"/>
          <w:vAlign w:val="center"/>
        </w:tcPr>
        <w:p w14:paraId="5706A844" w14:textId="77777777" w:rsidR="00105770" w:rsidRPr="00931466" w:rsidRDefault="00105770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F07AF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5B99F18" w14:textId="77777777" w:rsidR="00105770" w:rsidRPr="00581EB8" w:rsidRDefault="00105770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49A3" w14:textId="77777777" w:rsidR="00C11ED3" w:rsidRPr="00A26E6B" w:rsidRDefault="00C11ED3" w:rsidP="00A26E6B"/>
  </w:footnote>
  <w:footnote w:type="continuationSeparator" w:id="0">
    <w:p w14:paraId="303A6505" w14:textId="77777777" w:rsidR="00C11ED3" w:rsidRDefault="00C11ED3">
      <w:r>
        <w:continuationSeparator/>
      </w:r>
    </w:p>
    <w:p w14:paraId="4B424F73" w14:textId="77777777" w:rsidR="00C11ED3" w:rsidRDefault="00C11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105770" w14:paraId="702277BD" w14:textId="77777777" w:rsidTr="005A79E5">
      <w:trPr>
        <w:cantSplit/>
      </w:trPr>
      <w:tc>
        <w:tcPr>
          <w:tcW w:w="5210" w:type="dxa"/>
        </w:tcPr>
        <w:p w14:paraId="7BE619D4" w14:textId="77777777" w:rsidR="00105770" w:rsidRDefault="00105770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31BD4BD5" wp14:editId="39B18218">
                <wp:extent cx="1395076" cy="573578"/>
                <wp:effectExtent l="0" t="0" r="0" b="0"/>
                <wp:docPr id="5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4579E3BC" w14:textId="77777777" w:rsidR="00105770" w:rsidRDefault="00105770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6187762C" wp14:editId="225D990C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882B2" w14:textId="77777777" w:rsidR="00105770" w:rsidRDefault="0010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B129" w14:textId="77777777" w:rsidR="00105770" w:rsidRDefault="00105770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CE1" w14:textId="77777777" w:rsidR="00105770" w:rsidRDefault="00105770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5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4B92F5A"/>
    <w:multiLevelType w:val="hybridMultilevel"/>
    <w:tmpl w:val="C9FC3EDE"/>
    <w:lvl w:ilvl="0" w:tplc="664841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03EA5"/>
    <w:multiLevelType w:val="multilevel"/>
    <w:tmpl w:val="7E6C695C"/>
    <w:lvl w:ilvl="0">
      <w:start w:val="1"/>
      <w:numFmt w:val="decimal"/>
      <w:pStyle w:val="NumberedHeading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340D045E"/>
    <w:multiLevelType w:val="hybridMultilevel"/>
    <w:tmpl w:val="DF044CF4"/>
    <w:lvl w:ilvl="0" w:tplc="8D42B5E6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D6692A"/>
    <w:multiLevelType w:val="hybridMultilevel"/>
    <w:tmpl w:val="7FCC2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4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5" w15:restartNumberingAfterBreak="0">
    <w:nsid w:val="7C8B4075"/>
    <w:multiLevelType w:val="hybridMultilevel"/>
    <w:tmpl w:val="0A2699F4"/>
    <w:lvl w:ilvl="0" w:tplc="A1CA2F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"/>
  </w:num>
  <w:num w:numId="5">
    <w:abstractNumId w:val="1"/>
  </w:num>
  <w:num w:numId="6">
    <w:abstractNumId w:val="29"/>
  </w:num>
  <w:num w:numId="7">
    <w:abstractNumId w:val="37"/>
  </w:num>
  <w:num w:numId="8">
    <w:abstractNumId w:val="3"/>
  </w:num>
  <w:num w:numId="9">
    <w:abstractNumId w:val="39"/>
  </w:num>
  <w:num w:numId="10">
    <w:abstractNumId w:val="31"/>
  </w:num>
  <w:num w:numId="11">
    <w:abstractNumId w:val="17"/>
  </w:num>
  <w:num w:numId="12">
    <w:abstractNumId w:val="23"/>
  </w:num>
  <w:num w:numId="13">
    <w:abstractNumId w:val="0"/>
  </w:num>
  <w:num w:numId="14">
    <w:abstractNumId w:val="13"/>
  </w:num>
  <w:num w:numId="15">
    <w:abstractNumId w:val="21"/>
  </w:num>
  <w:num w:numId="16">
    <w:abstractNumId w:val="32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42"/>
  </w:num>
  <w:num w:numId="22">
    <w:abstractNumId w:val="14"/>
  </w:num>
  <w:num w:numId="23">
    <w:abstractNumId w:val="40"/>
  </w:num>
  <w:num w:numId="24">
    <w:abstractNumId w:val="2"/>
  </w:num>
  <w:num w:numId="25">
    <w:abstractNumId w:val="7"/>
  </w:num>
  <w:num w:numId="26">
    <w:abstractNumId w:val="5"/>
  </w:num>
  <w:num w:numId="27">
    <w:abstractNumId w:val="34"/>
  </w:num>
  <w:num w:numId="28">
    <w:abstractNumId w:val="41"/>
  </w:num>
  <w:num w:numId="29">
    <w:abstractNumId w:val="20"/>
  </w:num>
  <w:num w:numId="30">
    <w:abstractNumId w:val="11"/>
  </w:num>
  <w:num w:numId="31">
    <w:abstractNumId w:val="30"/>
  </w:num>
  <w:num w:numId="32">
    <w:abstractNumId w:val="22"/>
  </w:num>
  <w:num w:numId="33">
    <w:abstractNumId w:val="46"/>
  </w:num>
  <w:num w:numId="34">
    <w:abstractNumId w:val="18"/>
  </w:num>
  <w:num w:numId="35">
    <w:abstractNumId w:val="36"/>
  </w:num>
  <w:num w:numId="36">
    <w:abstractNumId w:val="33"/>
  </w:num>
  <w:num w:numId="37">
    <w:abstractNumId w:val="43"/>
  </w:num>
  <w:num w:numId="38">
    <w:abstractNumId w:val="35"/>
  </w:num>
  <w:num w:numId="39">
    <w:abstractNumId w:val="26"/>
  </w:num>
  <w:num w:numId="40">
    <w:abstractNumId w:val="27"/>
  </w:num>
  <w:num w:numId="41">
    <w:abstractNumId w:val="10"/>
  </w:num>
  <w:num w:numId="42">
    <w:abstractNumId w:val="28"/>
  </w:num>
  <w:num w:numId="43">
    <w:abstractNumId w:val="38"/>
  </w:num>
  <w:num w:numId="44">
    <w:abstractNumId w:val="45"/>
  </w:num>
  <w:num w:numId="45">
    <w:abstractNumId w:val="19"/>
  </w:num>
  <w:num w:numId="46">
    <w:abstractNumId w:val="12"/>
  </w:num>
  <w:num w:numId="47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2E79"/>
    <w:rsid w:val="00053921"/>
    <w:rsid w:val="00054B44"/>
    <w:rsid w:val="0006006B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3391"/>
    <w:rsid w:val="00174F02"/>
    <w:rsid w:val="0018376C"/>
    <w:rsid w:val="0018662D"/>
    <w:rsid w:val="00197427"/>
    <w:rsid w:val="001A21B4"/>
    <w:rsid w:val="001A5CF5"/>
    <w:rsid w:val="001B39D2"/>
    <w:rsid w:val="001B4BF8"/>
    <w:rsid w:val="001B7B14"/>
    <w:rsid w:val="001C4326"/>
    <w:rsid w:val="001C665E"/>
    <w:rsid w:val="001D3541"/>
    <w:rsid w:val="001D3E4E"/>
    <w:rsid w:val="001E254A"/>
    <w:rsid w:val="001E7386"/>
    <w:rsid w:val="001F45A7"/>
    <w:rsid w:val="001F5E27"/>
    <w:rsid w:val="0020027C"/>
    <w:rsid w:val="00201A01"/>
    <w:rsid w:val="0020754B"/>
    <w:rsid w:val="002104D3"/>
    <w:rsid w:val="00213A33"/>
    <w:rsid w:val="0021549A"/>
    <w:rsid w:val="0021763B"/>
    <w:rsid w:val="00232E9F"/>
    <w:rsid w:val="00234E05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E3"/>
    <w:rsid w:val="0029190A"/>
    <w:rsid w:val="00292C5A"/>
    <w:rsid w:val="00295241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2F4"/>
    <w:rsid w:val="00321381"/>
    <w:rsid w:val="003213F1"/>
    <w:rsid w:val="003235C6"/>
    <w:rsid w:val="003309CA"/>
    <w:rsid w:val="003325AB"/>
    <w:rsid w:val="003332D1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3477"/>
    <w:rsid w:val="003648EF"/>
    <w:rsid w:val="003673E6"/>
    <w:rsid w:val="00377264"/>
    <w:rsid w:val="003779D2"/>
    <w:rsid w:val="00385E38"/>
    <w:rsid w:val="003957FC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56AB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362D"/>
    <w:rsid w:val="0046596D"/>
    <w:rsid w:val="00476B21"/>
    <w:rsid w:val="004852AB"/>
    <w:rsid w:val="00487C04"/>
    <w:rsid w:val="004907E1"/>
    <w:rsid w:val="004926B0"/>
    <w:rsid w:val="00494C8E"/>
    <w:rsid w:val="00495E15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A3C3F"/>
    <w:rsid w:val="006B0A88"/>
    <w:rsid w:val="006B0E73"/>
    <w:rsid w:val="006B1E3D"/>
    <w:rsid w:val="006B4A4D"/>
    <w:rsid w:val="006B5695"/>
    <w:rsid w:val="006B62E6"/>
    <w:rsid w:val="006B7B2E"/>
    <w:rsid w:val="006C43B1"/>
    <w:rsid w:val="006C78EB"/>
    <w:rsid w:val="006D1660"/>
    <w:rsid w:val="006D63E5"/>
    <w:rsid w:val="006E1753"/>
    <w:rsid w:val="006E2886"/>
    <w:rsid w:val="006E3911"/>
    <w:rsid w:val="006E69F4"/>
    <w:rsid w:val="006F1B67"/>
    <w:rsid w:val="006F3738"/>
    <w:rsid w:val="006F4D9C"/>
    <w:rsid w:val="006F4E8E"/>
    <w:rsid w:val="0070091D"/>
    <w:rsid w:val="00702854"/>
    <w:rsid w:val="0071741C"/>
    <w:rsid w:val="00742B90"/>
    <w:rsid w:val="0074434D"/>
    <w:rsid w:val="00752E53"/>
    <w:rsid w:val="007570C4"/>
    <w:rsid w:val="007605B8"/>
    <w:rsid w:val="00771B1E"/>
    <w:rsid w:val="00773C95"/>
    <w:rsid w:val="0078171E"/>
    <w:rsid w:val="00785736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5741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2777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72E0"/>
    <w:rsid w:val="00B1007E"/>
    <w:rsid w:val="00B13D41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3D79"/>
    <w:rsid w:val="00B7551A"/>
    <w:rsid w:val="00B773F1"/>
    <w:rsid w:val="00B86AB1"/>
    <w:rsid w:val="00B87726"/>
    <w:rsid w:val="00B91B22"/>
    <w:rsid w:val="00BA7EBA"/>
    <w:rsid w:val="00BB2A06"/>
    <w:rsid w:val="00BB2CBB"/>
    <w:rsid w:val="00BB4198"/>
    <w:rsid w:val="00BC03EE"/>
    <w:rsid w:val="00BC59F1"/>
    <w:rsid w:val="00BD488E"/>
    <w:rsid w:val="00BE22F6"/>
    <w:rsid w:val="00BF3DE1"/>
    <w:rsid w:val="00BF4843"/>
    <w:rsid w:val="00BF5205"/>
    <w:rsid w:val="00C05132"/>
    <w:rsid w:val="00C11ED3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B31"/>
    <w:rsid w:val="00CA0D6F"/>
    <w:rsid w:val="00CA2EF3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E13A3"/>
    <w:rsid w:val="00CE36BC"/>
    <w:rsid w:val="00CF1747"/>
    <w:rsid w:val="00CF60ED"/>
    <w:rsid w:val="00D05D74"/>
    <w:rsid w:val="00D1345D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4C13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DF07AF"/>
    <w:rsid w:val="00DF0C7C"/>
    <w:rsid w:val="00E02C72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1E26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E33BA"/>
  <w15:docId w15:val="{8B4FB190-CD47-4257-AB9F-E7434F9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7F9E"/>
    <w:pPr>
      <w:pageBreakBefore/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2575E8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27FA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6A3C3F"/>
    <w:pPr>
      <w:tabs>
        <w:tab w:val="right" w:pos="8080"/>
      </w:tabs>
      <w:spacing w:before="300"/>
      <w:ind w:left="567" w:right="567" w:hanging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6A3C3F"/>
    <w:pPr>
      <w:tabs>
        <w:tab w:val="right" w:pos="8080"/>
      </w:tabs>
      <w:spacing w:before="120"/>
      <w:ind w:left="992" w:right="567" w:hanging="992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3213F1"/>
    <w:pPr>
      <w:spacing w:line="216" w:lineRule="auto"/>
      <w:ind w:right="3402"/>
    </w:pPr>
    <w:rPr>
      <w:rFonts w:ascii="Segoe UI Black" w:hAnsi="Segoe UI Black" w:cs="Lucida Sans Unicode"/>
      <w:b/>
      <w:sz w:val="64"/>
      <w:szCs w:val="72"/>
    </w:rPr>
  </w:style>
  <w:style w:type="character" w:customStyle="1" w:styleId="TitleChar">
    <w:name w:val="Title Char"/>
    <w:link w:val="Title"/>
    <w:rsid w:val="003213F1"/>
    <w:rPr>
      <w:rFonts w:ascii="Segoe UI Black" w:hAnsi="Segoe UI Black" w:cs="Lucida Sans Unicode"/>
      <w:b/>
      <w:sz w:val="64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F54E74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customStyle="1" w:styleId="NumberedHeading1">
    <w:name w:val="Numbered Heading 1"/>
    <w:basedOn w:val="Heading1"/>
    <w:next w:val="Normal"/>
    <w:qFormat/>
    <w:rsid w:val="00495E15"/>
    <w:pPr>
      <w:numPr>
        <w:numId w:val="47"/>
      </w:numPr>
    </w:pPr>
    <w:rPr>
      <w:lang w:val="en" w:eastAsia="en-NZ"/>
    </w:rPr>
  </w:style>
  <w:style w:type="paragraph" w:styleId="Caption">
    <w:name w:val="caption"/>
    <w:basedOn w:val="Normal"/>
    <w:next w:val="Normal"/>
    <w:unhideWhenUsed/>
    <w:qFormat/>
    <w:rsid w:val="00495E1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A7277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22F6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22F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govt.nz" TargetMode="Externa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11" ma:contentTypeDescription="Create a new document." ma:contentTypeScope="" ma:versionID="95f6ad7e41a555e8c758e3f51b9c1186">
  <xsd:schema xmlns:xsd="http://www.w3.org/2001/XMLSchema" xmlns:xs="http://www.w3.org/2001/XMLSchema" xmlns:p="http://schemas.microsoft.com/office/2006/metadata/properties" xmlns:ns3="c3b16173-69fd-4bdb-ac1e-4b1767ff6873" xmlns:ns4="ddce3988-8b87-4e29-99fa-ee8ea2db853e" targetNamespace="http://schemas.microsoft.com/office/2006/metadata/properties" ma:root="true" ma:fieldsID="4baaed5177611e360e403135b9cc008a" ns3:_="" ns4:_="">
    <xsd:import namespace="c3b16173-69fd-4bdb-ac1e-4b1767ff6873"/>
    <xsd:import namespace="ddce3988-8b87-4e29-99fa-ee8ea2db8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6173-69fd-4bdb-ac1e-4b1767ff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25A4-9D96-4B03-B44A-FBD01AEDE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1171F-EFBE-4C60-A47D-610B478D8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8063E-2571-41B9-8AC1-F800D30B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16173-69fd-4bdb-ac1e-4b1767ff6873"/>
    <ds:schemaRef ds:uri="ddce3988-8b87-4e29-99fa-ee8ea2db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0725B-B8F4-499C-8189-2529A16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10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Review of Public Comment Feedback on the Draft HISO 10058.1 Infection Surveillance Data Standard</dc:title>
  <dc:creator>Ministry of Health</dc:creator>
  <cp:lastModifiedBy>Geneva Ruppert-Wise</cp:lastModifiedBy>
  <cp:revision>3</cp:revision>
  <cp:lastPrinted>2021-04-08T02:34:00Z</cp:lastPrinted>
  <dcterms:created xsi:type="dcterms:W3CDTF">2021-04-08T02:34:00Z</dcterms:created>
  <dcterms:modified xsi:type="dcterms:W3CDTF">2021-04-08T02:34:00Z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