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9366F" w14:textId="77777777" w:rsidR="00C23025" w:rsidRDefault="00694284" w:rsidP="00301611">
      <w:pPr>
        <w:pStyle w:val="Heading1"/>
      </w:pPr>
      <w:r w:rsidRPr="00215E31">
        <w:t>Secure digital communications within the NZ health &amp; disability sector</w:t>
      </w:r>
    </w:p>
    <w:p w14:paraId="7241E390" w14:textId="7853FA67" w:rsidR="00301611" w:rsidRDefault="00812A4F" w:rsidP="00301611">
      <w:pPr>
        <w:pStyle w:val="Heading1"/>
      </w:pPr>
      <w:r>
        <w:t>Implementation guidance</w:t>
      </w:r>
      <w:bookmarkStart w:id="0" w:name="_GoBack"/>
      <w:bookmarkEnd w:id="0"/>
    </w:p>
    <w:p w14:paraId="4BC01FB4" w14:textId="248D1A81" w:rsidR="00301611" w:rsidRPr="00215E31" w:rsidRDefault="00301611" w:rsidP="00301611">
      <w:pPr>
        <w:pStyle w:val="Heading1"/>
      </w:pPr>
      <w:r>
        <w:t>June 2019</w:t>
      </w:r>
    </w:p>
    <w:p w14:paraId="543E7FBC" w14:textId="77777777" w:rsidR="00301611" w:rsidRDefault="00301611" w:rsidP="0069173C">
      <w:pPr>
        <w:jc w:val="both"/>
        <w:rPr>
          <w:rFonts w:ascii="Arial" w:hAnsi="Arial" w:cs="Arial"/>
          <w:b/>
          <w:sz w:val="24"/>
          <w:szCs w:val="20"/>
        </w:rPr>
      </w:pPr>
    </w:p>
    <w:p w14:paraId="78CA0076" w14:textId="77777777" w:rsidR="00694284" w:rsidRPr="00D065B6" w:rsidRDefault="0049289C" w:rsidP="00D065B6">
      <w:pPr>
        <w:pStyle w:val="Heading2"/>
      </w:pPr>
      <w:r w:rsidRPr="00D065B6">
        <w:t>Context</w:t>
      </w:r>
    </w:p>
    <w:p w14:paraId="78809B49" w14:textId="77777777" w:rsidR="005929E8" w:rsidRPr="00215E31" w:rsidRDefault="00625C17" w:rsidP="00625C17">
      <w:pPr>
        <w:pStyle w:val="BodyText"/>
        <w:jc w:val="both"/>
        <w:rPr>
          <w:rFonts w:ascii="Arial" w:hAnsi="Arial" w:cs="Arial"/>
          <w:szCs w:val="20"/>
        </w:rPr>
      </w:pPr>
      <w:r w:rsidRPr="00215E31">
        <w:rPr>
          <w:rFonts w:ascii="Arial" w:eastAsiaTheme="minorHAnsi" w:hAnsi="Arial" w:cs="Arial"/>
          <w:szCs w:val="20"/>
          <w:lang w:eastAsia="en-US"/>
        </w:rPr>
        <w:t xml:space="preserve">Health agencies </w:t>
      </w:r>
      <w:r w:rsidR="005929E8" w:rsidRPr="00215E31">
        <w:rPr>
          <w:rFonts w:ascii="Arial" w:eastAsiaTheme="minorHAnsi" w:hAnsi="Arial" w:cs="Arial"/>
          <w:szCs w:val="20"/>
          <w:lang w:eastAsia="en-US"/>
        </w:rPr>
        <w:t>that hold health information must ensure that the information is protected, by such security safeguards as it is reasonable in the circumstances to take, against</w:t>
      </w:r>
      <w:r w:rsidRPr="00215E31">
        <w:rPr>
          <w:rFonts w:ascii="Arial" w:eastAsiaTheme="minorHAnsi" w:hAnsi="Arial" w:cs="Arial"/>
          <w:szCs w:val="20"/>
          <w:lang w:eastAsia="en-US"/>
        </w:rPr>
        <w:t xml:space="preserve"> </w:t>
      </w:r>
      <w:r w:rsidR="005929E8" w:rsidRPr="00215E31">
        <w:rPr>
          <w:rFonts w:ascii="Arial" w:eastAsiaTheme="minorHAnsi" w:hAnsi="Arial" w:cs="Arial"/>
          <w:szCs w:val="20"/>
          <w:lang w:eastAsia="en-US"/>
        </w:rPr>
        <w:t>loss;</w:t>
      </w:r>
      <w:r w:rsidRPr="00215E31">
        <w:rPr>
          <w:rFonts w:ascii="Arial" w:eastAsiaTheme="minorHAnsi" w:hAnsi="Arial" w:cs="Arial"/>
          <w:szCs w:val="20"/>
          <w:lang w:eastAsia="en-US"/>
        </w:rPr>
        <w:t xml:space="preserve"> </w:t>
      </w:r>
      <w:r w:rsidR="005929E8" w:rsidRPr="00215E31">
        <w:rPr>
          <w:rFonts w:ascii="Arial" w:eastAsiaTheme="minorHAnsi" w:hAnsi="Arial" w:cs="Arial"/>
          <w:szCs w:val="20"/>
          <w:lang w:eastAsia="en-US"/>
        </w:rPr>
        <w:t>access, use, modification, or disclosure, except with the authority of the agency; and</w:t>
      </w:r>
      <w:r w:rsidRPr="00215E31">
        <w:rPr>
          <w:rFonts w:ascii="Arial" w:eastAsiaTheme="minorHAnsi" w:hAnsi="Arial" w:cs="Arial"/>
          <w:szCs w:val="20"/>
          <w:lang w:eastAsia="en-US"/>
        </w:rPr>
        <w:t xml:space="preserve"> </w:t>
      </w:r>
      <w:r w:rsidR="005929E8" w:rsidRPr="00215E31">
        <w:rPr>
          <w:rFonts w:ascii="Arial" w:eastAsiaTheme="minorHAnsi" w:hAnsi="Arial" w:cs="Arial"/>
          <w:szCs w:val="20"/>
          <w:lang w:eastAsia="en-US"/>
        </w:rPr>
        <w:t>other misuse</w:t>
      </w:r>
      <w:r w:rsidRPr="00215E31">
        <w:rPr>
          <w:rStyle w:val="FootnoteReference"/>
          <w:rFonts w:ascii="Arial" w:hAnsi="Arial" w:cs="Arial"/>
          <w:szCs w:val="20"/>
        </w:rPr>
        <w:footnoteReference w:id="1"/>
      </w:r>
      <w:r w:rsidR="005929E8" w:rsidRPr="00215E31">
        <w:rPr>
          <w:rFonts w:ascii="Arial" w:hAnsi="Arial" w:cs="Arial"/>
          <w:szCs w:val="20"/>
        </w:rPr>
        <w:t>.</w:t>
      </w:r>
    </w:p>
    <w:p w14:paraId="78D2396D" w14:textId="77777777" w:rsidR="008B5209" w:rsidRPr="00215E31" w:rsidRDefault="008B5209" w:rsidP="00625C17">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C</w:t>
      </w:r>
      <w:r w:rsidR="00625C17" w:rsidRPr="00215E31">
        <w:rPr>
          <w:rFonts w:ascii="Arial" w:eastAsiaTheme="minorHAnsi" w:hAnsi="Arial" w:cs="Arial"/>
          <w:szCs w:val="20"/>
          <w:lang w:eastAsia="en-US"/>
        </w:rPr>
        <w:t>ommun</w:t>
      </w:r>
      <w:r w:rsidRPr="00215E31">
        <w:rPr>
          <w:rFonts w:ascii="Arial" w:eastAsiaTheme="minorHAnsi" w:hAnsi="Arial" w:cs="Arial"/>
          <w:szCs w:val="20"/>
          <w:lang w:eastAsia="en-US"/>
        </w:rPr>
        <w:t>ication between health agencies is an essentia</w:t>
      </w:r>
      <w:r w:rsidR="003D15DF" w:rsidRPr="00215E31">
        <w:rPr>
          <w:rFonts w:ascii="Arial" w:eastAsiaTheme="minorHAnsi" w:hAnsi="Arial" w:cs="Arial"/>
          <w:szCs w:val="20"/>
          <w:lang w:eastAsia="en-US"/>
        </w:rPr>
        <w:t xml:space="preserve">l part of healthcare delivery. </w:t>
      </w:r>
      <w:r w:rsidRPr="00215E31">
        <w:rPr>
          <w:rFonts w:ascii="Arial" w:eastAsiaTheme="minorHAnsi" w:hAnsi="Arial" w:cs="Arial"/>
          <w:szCs w:val="20"/>
          <w:lang w:eastAsia="en-US"/>
        </w:rPr>
        <w:t xml:space="preserve">Digital communications – </w:t>
      </w:r>
      <w:r w:rsidR="008632D2" w:rsidRPr="00215E31">
        <w:rPr>
          <w:rFonts w:ascii="Arial" w:eastAsiaTheme="minorHAnsi" w:hAnsi="Arial" w:cs="Arial"/>
          <w:szCs w:val="20"/>
          <w:lang w:eastAsia="en-US"/>
        </w:rPr>
        <w:t>e-mail</w:t>
      </w:r>
      <w:r w:rsidRPr="00215E31">
        <w:rPr>
          <w:rFonts w:ascii="Arial" w:eastAsiaTheme="minorHAnsi" w:hAnsi="Arial" w:cs="Arial"/>
          <w:szCs w:val="20"/>
          <w:lang w:eastAsia="en-US"/>
        </w:rPr>
        <w:t>, text, messaging etc</w:t>
      </w:r>
      <w:r w:rsidR="00AA5442">
        <w:rPr>
          <w:rFonts w:ascii="Arial" w:eastAsiaTheme="minorHAnsi" w:hAnsi="Arial" w:cs="Arial"/>
          <w:szCs w:val="20"/>
          <w:lang w:eastAsia="en-US"/>
        </w:rPr>
        <w:t>.</w:t>
      </w:r>
      <w:r w:rsidRPr="00215E31">
        <w:rPr>
          <w:rFonts w:ascii="Arial" w:eastAsiaTheme="minorHAnsi" w:hAnsi="Arial" w:cs="Arial"/>
          <w:szCs w:val="20"/>
          <w:lang w:eastAsia="en-US"/>
        </w:rPr>
        <w:t xml:space="preserve"> - </w:t>
      </w:r>
      <w:r w:rsidR="00625C17" w:rsidRPr="00215E31">
        <w:rPr>
          <w:rFonts w:ascii="Arial" w:eastAsiaTheme="minorHAnsi" w:hAnsi="Arial" w:cs="Arial"/>
          <w:szCs w:val="20"/>
          <w:lang w:eastAsia="en-US"/>
        </w:rPr>
        <w:t xml:space="preserve">are commonplace and provide significant </w:t>
      </w:r>
      <w:r w:rsidR="008632D2" w:rsidRPr="00215E31">
        <w:rPr>
          <w:rFonts w:ascii="Arial" w:eastAsiaTheme="minorHAnsi" w:hAnsi="Arial" w:cs="Arial"/>
          <w:szCs w:val="20"/>
          <w:lang w:eastAsia="en-US"/>
        </w:rPr>
        <w:t xml:space="preserve">operational </w:t>
      </w:r>
      <w:r w:rsidR="00625C17" w:rsidRPr="00215E31">
        <w:rPr>
          <w:rFonts w:ascii="Arial" w:eastAsiaTheme="minorHAnsi" w:hAnsi="Arial" w:cs="Arial"/>
          <w:szCs w:val="20"/>
          <w:lang w:eastAsia="en-US"/>
        </w:rPr>
        <w:t>benefits in improving</w:t>
      </w:r>
      <w:r w:rsidRPr="00215E31">
        <w:rPr>
          <w:rFonts w:ascii="Arial" w:eastAsiaTheme="minorHAnsi" w:hAnsi="Arial" w:cs="Arial"/>
          <w:szCs w:val="20"/>
          <w:lang w:eastAsia="en-US"/>
        </w:rPr>
        <w:t xml:space="preserve"> communication between people and agencies, providing </w:t>
      </w:r>
      <w:r w:rsidR="00625C17" w:rsidRPr="00215E31">
        <w:rPr>
          <w:rFonts w:ascii="Arial" w:eastAsiaTheme="minorHAnsi" w:hAnsi="Arial" w:cs="Arial"/>
          <w:szCs w:val="20"/>
          <w:lang w:eastAsia="en-US"/>
        </w:rPr>
        <w:t xml:space="preserve">access to health information and supporting clinical and business workflow. </w:t>
      </w:r>
    </w:p>
    <w:p w14:paraId="33F1F8D1" w14:textId="77777777" w:rsidR="008338CA" w:rsidRPr="00215E31" w:rsidRDefault="00625C17" w:rsidP="008338CA">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 xml:space="preserve">Ensuring that </w:t>
      </w:r>
      <w:r w:rsidR="008B5209" w:rsidRPr="00215E31">
        <w:rPr>
          <w:rFonts w:ascii="Arial" w:eastAsiaTheme="minorHAnsi" w:hAnsi="Arial" w:cs="Arial"/>
          <w:szCs w:val="20"/>
          <w:lang w:eastAsia="en-US"/>
        </w:rPr>
        <w:t>communications, whether analogue or d</w:t>
      </w:r>
      <w:r w:rsidRPr="00215E31">
        <w:rPr>
          <w:rFonts w:ascii="Arial" w:eastAsiaTheme="minorHAnsi" w:hAnsi="Arial" w:cs="Arial"/>
          <w:szCs w:val="20"/>
          <w:lang w:eastAsia="en-US"/>
        </w:rPr>
        <w:t>igital</w:t>
      </w:r>
      <w:r w:rsidR="008B5209" w:rsidRPr="00215E31">
        <w:rPr>
          <w:rFonts w:ascii="Arial" w:eastAsiaTheme="minorHAnsi" w:hAnsi="Arial" w:cs="Arial"/>
          <w:szCs w:val="20"/>
          <w:lang w:eastAsia="en-US"/>
        </w:rPr>
        <w:t>,</w:t>
      </w:r>
      <w:r w:rsidR="00D54584" w:rsidRPr="00215E31">
        <w:rPr>
          <w:rFonts w:ascii="Arial" w:eastAsiaTheme="minorHAnsi" w:hAnsi="Arial" w:cs="Arial"/>
          <w:szCs w:val="20"/>
          <w:lang w:eastAsia="en-US"/>
        </w:rPr>
        <w:t xml:space="preserve"> are</w:t>
      </w:r>
      <w:r w:rsidRPr="00215E31">
        <w:rPr>
          <w:rFonts w:ascii="Arial" w:eastAsiaTheme="minorHAnsi" w:hAnsi="Arial" w:cs="Arial"/>
          <w:szCs w:val="20"/>
          <w:lang w:eastAsia="en-US"/>
        </w:rPr>
        <w:t xml:space="preserve"> secure is</w:t>
      </w:r>
      <w:r w:rsidR="00D54584" w:rsidRPr="00215E31">
        <w:rPr>
          <w:rFonts w:ascii="Arial" w:eastAsiaTheme="minorHAnsi" w:hAnsi="Arial" w:cs="Arial"/>
          <w:szCs w:val="20"/>
          <w:lang w:eastAsia="en-US"/>
        </w:rPr>
        <w:t xml:space="preserve"> a fundamental requirement of a modern health system.</w:t>
      </w:r>
      <w:r w:rsidR="00215E31" w:rsidRPr="00215E31">
        <w:rPr>
          <w:rFonts w:ascii="Arial" w:eastAsiaTheme="minorHAnsi" w:hAnsi="Arial" w:cs="Arial"/>
          <w:szCs w:val="20"/>
          <w:lang w:eastAsia="en-US"/>
        </w:rPr>
        <w:t xml:space="preserve">  </w:t>
      </w:r>
    </w:p>
    <w:p w14:paraId="64E34B41" w14:textId="77777777" w:rsidR="008338CA" w:rsidRPr="00215E31" w:rsidRDefault="008338CA" w:rsidP="00D065B6">
      <w:pPr>
        <w:pStyle w:val="Heading2"/>
      </w:pPr>
      <w:r w:rsidRPr="00215E31">
        <w:t>Health Information Security Framework (HISF)</w:t>
      </w:r>
    </w:p>
    <w:p w14:paraId="0F5D93BF" w14:textId="13F9BA04" w:rsidR="00D36575" w:rsidRDefault="008338CA" w:rsidP="00D36575">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 xml:space="preserve">The </w:t>
      </w:r>
      <w:hyperlink r:id="rId8" w:history="1">
        <w:r w:rsidRPr="00215E31">
          <w:rPr>
            <w:rStyle w:val="Hyperlink"/>
            <w:rFonts w:ascii="Arial" w:eastAsiaTheme="minorHAnsi" w:hAnsi="Arial" w:cs="Arial"/>
            <w:szCs w:val="20"/>
            <w:lang w:eastAsia="en-US"/>
          </w:rPr>
          <w:t>HISF</w:t>
        </w:r>
      </w:hyperlink>
      <w:r w:rsidRPr="00215E31">
        <w:rPr>
          <w:rFonts w:ascii="Arial" w:eastAsiaTheme="minorHAnsi" w:hAnsi="Arial" w:cs="Arial"/>
          <w:szCs w:val="20"/>
          <w:lang w:eastAsia="en-US"/>
        </w:rPr>
        <w:t xml:space="preserve"> provides guidance on the security safeguards that should be applied by health agencies.  </w:t>
      </w:r>
      <w:r w:rsidR="00D36575" w:rsidRPr="00215E31">
        <w:rPr>
          <w:rFonts w:ascii="Arial" w:eastAsiaTheme="minorHAnsi" w:hAnsi="Arial" w:cs="Arial"/>
          <w:szCs w:val="20"/>
          <w:lang w:eastAsia="en-US"/>
        </w:rPr>
        <w:t xml:space="preserve">Health agencies </w:t>
      </w:r>
      <w:r w:rsidR="00D36575" w:rsidRPr="00215E31">
        <w:rPr>
          <w:rFonts w:ascii="Arial" w:eastAsiaTheme="minorHAnsi" w:hAnsi="Arial" w:cs="Arial"/>
          <w:b/>
          <w:szCs w:val="20"/>
          <w:lang w:eastAsia="en-US"/>
        </w:rPr>
        <w:t>must</w:t>
      </w:r>
      <w:r w:rsidR="00D36575" w:rsidRPr="00215E31">
        <w:rPr>
          <w:rFonts w:ascii="Arial" w:eastAsiaTheme="minorHAnsi" w:hAnsi="Arial" w:cs="Arial"/>
          <w:szCs w:val="20"/>
          <w:lang w:eastAsia="en-US"/>
        </w:rPr>
        <w:t xml:space="preserve"> align their security policies and assess their current security practices, and the digital tools they use, against the guidance provided in the HISF.</w:t>
      </w:r>
      <w:r w:rsidR="00D36575" w:rsidRPr="00D36575">
        <w:rPr>
          <w:rFonts w:ascii="Arial" w:eastAsiaTheme="minorHAnsi" w:hAnsi="Arial" w:cs="Arial"/>
          <w:szCs w:val="20"/>
          <w:lang w:eastAsia="en-US"/>
        </w:rPr>
        <w:t xml:space="preserve"> </w:t>
      </w:r>
      <w:r w:rsidR="00D36575" w:rsidRPr="00215E31">
        <w:rPr>
          <w:rFonts w:ascii="Arial" w:eastAsiaTheme="minorHAnsi" w:hAnsi="Arial" w:cs="Arial"/>
          <w:szCs w:val="20"/>
          <w:lang w:eastAsia="en-US"/>
        </w:rPr>
        <w:t>Security controls must be practical and the impact on agencies workflow and business practice needs to be understood and effectively managed.</w:t>
      </w:r>
    </w:p>
    <w:p w14:paraId="3CCFB43E" w14:textId="0F0D563A" w:rsidR="007D6F2F" w:rsidRPr="00215E31" w:rsidRDefault="007D6F2F" w:rsidP="00D36575">
      <w:pPr>
        <w:pStyle w:val="BodyText"/>
        <w:jc w:val="both"/>
        <w:rPr>
          <w:rFonts w:ascii="Arial" w:hAnsi="Arial" w:cs="Arial"/>
          <w:szCs w:val="20"/>
        </w:rPr>
      </w:pPr>
      <w:r>
        <w:rPr>
          <w:rFonts w:ascii="Arial" w:hAnsi="Arial" w:cs="Arial"/>
          <w:szCs w:val="20"/>
        </w:rPr>
        <w:t>This implementation guidance is specific to e-mail and fax; similar guidance on other aspects of the HISF will be released over time.</w:t>
      </w:r>
    </w:p>
    <w:p w14:paraId="2FEA02C8" w14:textId="77777777" w:rsidR="008338CA" w:rsidRPr="00215E31" w:rsidRDefault="000577C2" w:rsidP="00D065B6">
      <w:pPr>
        <w:pStyle w:val="Heading2"/>
      </w:pPr>
      <w:r w:rsidRPr="00215E31">
        <w:t>Problem</w:t>
      </w:r>
    </w:p>
    <w:p w14:paraId="480F2381" w14:textId="77777777" w:rsidR="00D36575" w:rsidRPr="00215E31" w:rsidRDefault="00D36575" w:rsidP="00D36575">
      <w:pPr>
        <w:pStyle w:val="BodyText"/>
        <w:jc w:val="both"/>
        <w:rPr>
          <w:rFonts w:ascii="Arial" w:hAnsi="Arial" w:cs="Arial"/>
          <w:szCs w:val="20"/>
        </w:rPr>
      </w:pPr>
      <w:r>
        <w:rPr>
          <w:rFonts w:ascii="Arial" w:eastAsiaTheme="minorHAnsi" w:hAnsi="Arial" w:cs="Arial"/>
          <w:szCs w:val="20"/>
          <w:lang w:eastAsia="en-US"/>
        </w:rPr>
        <w:t xml:space="preserve">The HISF </w:t>
      </w:r>
      <w:r w:rsidRPr="00215E31">
        <w:rPr>
          <w:rFonts w:ascii="Arial" w:eastAsiaTheme="minorHAnsi" w:hAnsi="Arial" w:cs="Arial"/>
          <w:szCs w:val="20"/>
          <w:lang w:eastAsia="en-US"/>
        </w:rPr>
        <w:t>asserts that all patient identifiable information must be protected at rest and in transit.  Specifically, c</w:t>
      </w:r>
      <w:r w:rsidRPr="00215E31">
        <w:rPr>
          <w:rFonts w:ascii="Arial" w:hAnsi="Arial" w:cs="Arial"/>
          <w:szCs w:val="20"/>
        </w:rPr>
        <w:t>hapter 8 of the HISF (Communications) notes that health agencies are required to “ensure the integrity of information communicated across networks… [</w:t>
      </w:r>
      <w:proofErr w:type="gramStart"/>
      <w:r w:rsidRPr="00215E31">
        <w:rPr>
          <w:rFonts w:ascii="Arial" w:hAnsi="Arial" w:cs="Arial"/>
          <w:szCs w:val="20"/>
        </w:rPr>
        <w:t>and</w:t>
      </w:r>
      <w:proofErr w:type="gramEnd"/>
      <w:r w:rsidRPr="00215E31">
        <w:rPr>
          <w:rFonts w:ascii="Arial" w:hAnsi="Arial" w:cs="Arial"/>
          <w:szCs w:val="20"/>
        </w:rPr>
        <w:t>] use appropriate encryption standards, when exchanging health information between external parties.”</w:t>
      </w:r>
      <w:r>
        <w:rPr>
          <w:rFonts w:ascii="Arial" w:hAnsi="Arial" w:cs="Arial"/>
          <w:szCs w:val="20"/>
        </w:rPr>
        <w:t xml:space="preserve">  </w:t>
      </w:r>
    </w:p>
    <w:p w14:paraId="3F797E7C" w14:textId="77777777" w:rsidR="000577C2" w:rsidRPr="00215E31" w:rsidRDefault="008632D2" w:rsidP="0069173C">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E-mail</w:t>
      </w:r>
      <w:r w:rsidR="000577C2" w:rsidRPr="00215E31">
        <w:rPr>
          <w:rFonts w:ascii="Arial" w:eastAsiaTheme="minorHAnsi" w:hAnsi="Arial" w:cs="Arial"/>
          <w:szCs w:val="20"/>
          <w:lang w:eastAsia="en-US"/>
        </w:rPr>
        <w:t xml:space="preserve"> and fax are two of the most common communication tools used in the health sector.  The security of information communicated using these tools currently does not always comply with the HISF</w:t>
      </w:r>
      <w:r w:rsidR="00215E31" w:rsidRPr="00215E31">
        <w:rPr>
          <w:rFonts w:ascii="Arial" w:eastAsiaTheme="minorHAnsi" w:hAnsi="Arial" w:cs="Arial"/>
          <w:szCs w:val="20"/>
          <w:lang w:eastAsia="en-US"/>
        </w:rPr>
        <w:t>; this needs to be addressed</w:t>
      </w:r>
      <w:r w:rsidR="000577C2" w:rsidRPr="00215E31">
        <w:rPr>
          <w:rFonts w:ascii="Arial" w:eastAsiaTheme="minorHAnsi" w:hAnsi="Arial" w:cs="Arial"/>
          <w:szCs w:val="20"/>
          <w:lang w:eastAsia="en-US"/>
        </w:rPr>
        <w:t>.</w:t>
      </w:r>
    </w:p>
    <w:p w14:paraId="32F62DFE" w14:textId="77777777" w:rsidR="00C972B4" w:rsidRPr="00215E31" w:rsidRDefault="00C972B4" w:rsidP="00C972B4">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Fax is an analogue technology that is widely used by health agencies.  A common use case is transmission of prescriptions in a legally compliant and clinically assured way between a prescribing physician and receiving pharmacist.  Fax poses a number of information and physical security risks and the technology is becoming increasingly incompatible with more modern digital communications solutions.</w:t>
      </w:r>
    </w:p>
    <w:p w14:paraId="613E9C29" w14:textId="1205E28E" w:rsidR="009A69F6" w:rsidRDefault="00707745" w:rsidP="00707745">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lastRenderedPageBreak/>
        <w:t>The Ministry of Health and ACC</w:t>
      </w:r>
      <w:r w:rsidR="00791D20">
        <w:rPr>
          <w:rStyle w:val="FootnoteReference"/>
          <w:rFonts w:ascii="Arial" w:eastAsiaTheme="minorHAnsi" w:hAnsi="Arial" w:cs="Arial"/>
          <w:szCs w:val="20"/>
          <w:lang w:eastAsia="en-US"/>
        </w:rPr>
        <w:footnoteReference w:id="2"/>
      </w:r>
      <w:r w:rsidRPr="00215E31">
        <w:rPr>
          <w:rFonts w:ascii="Arial" w:eastAsiaTheme="minorHAnsi" w:hAnsi="Arial" w:cs="Arial"/>
          <w:szCs w:val="20"/>
          <w:lang w:eastAsia="en-US"/>
        </w:rPr>
        <w:t xml:space="preserve"> have collaborated to provide this guidance to support health agencies address the security of </w:t>
      </w:r>
      <w:r w:rsidR="008632D2" w:rsidRPr="00215E31">
        <w:rPr>
          <w:rFonts w:ascii="Arial" w:eastAsiaTheme="minorHAnsi" w:hAnsi="Arial" w:cs="Arial"/>
          <w:szCs w:val="20"/>
          <w:lang w:eastAsia="en-US"/>
        </w:rPr>
        <w:t>e-mail</w:t>
      </w:r>
      <w:r w:rsidRPr="00215E31">
        <w:rPr>
          <w:rFonts w:ascii="Arial" w:eastAsiaTheme="minorHAnsi" w:hAnsi="Arial" w:cs="Arial"/>
          <w:szCs w:val="20"/>
          <w:lang w:eastAsia="en-US"/>
        </w:rPr>
        <w:t xml:space="preserve"> and fax communications.  </w:t>
      </w:r>
      <w:r w:rsidR="002E5A1D">
        <w:rPr>
          <w:rFonts w:ascii="Arial" w:eastAsiaTheme="minorHAnsi" w:hAnsi="Arial" w:cs="Arial"/>
          <w:szCs w:val="20"/>
          <w:lang w:eastAsia="en-US"/>
        </w:rPr>
        <w:t xml:space="preserve">It should be noted that this advice </w:t>
      </w:r>
      <w:r w:rsidR="00A8574B">
        <w:rPr>
          <w:rFonts w:ascii="Arial" w:eastAsiaTheme="minorHAnsi" w:hAnsi="Arial" w:cs="Arial"/>
          <w:szCs w:val="20"/>
          <w:lang w:eastAsia="en-US"/>
        </w:rPr>
        <w:t xml:space="preserve">represents an initial step in </w:t>
      </w:r>
      <w:r w:rsidR="00791D20">
        <w:rPr>
          <w:rFonts w:ascii="Arial" w:eastAsiaTheme="minorHAnsi" w:hAnsi="Arial" w:cs="Arial"/>
          <w:szCs w:val="20"/>
          <w:lang w:eastAsia="en-US"/>
        </w:rPr>
        <w:t xml:space="preserve">improving the technical security of </w:t>
      </w:r>
      <w:r w:rsidR="00A8574B">
        <w:rPr>
          <w:rFonts w:ascii="Arial" w:eastAsiaTheme="minorHAnsi" w:hAnsi="Arial" w:cs="Arial"/>
          <w:szCs w:val="20"/>
          <w:lang w:eastAsia="en-US"/>
        </w:rPr>
        <w:t>these communications</w:t>
      </w:r>
      <w:r w:rsidR="00791D20">
        <w:rPr>
          <w:rFonts w:ascii="Arial" w:eastAsiaTheme="minorHAnsi" w:hAnsi="Arial" w:cs="Arial"/>
          <w:szCs w:val="20"/>
          <w:lang w:eastAsia="en-US"/>
        </w:rPr>
        <w:t>; further advice will be forthcoming</w:t>
      </w:r>
      <w:r w:rsidR="00A8574B">
        <w:rPr>
          <w:rFonts w:ascii="Arial" w:eastAsiaTheme="minorHAnsi" w:hAnsi="Arial" w:cs="Arial"/>
          <w:szCs w:val="20"/>
          <w:lang w:eastAsia="en-US"/>
        </w:rPr>
        <w:t xml:space="preserve">. </w:t>
      </w:r>
      <w:r w:rsidR="00791D20">
        <w:rPr>
          <w:rFonts w:ascii="Arial" w:eastAsiaTheme="minorHAnsi" w:hAnsi="Arial" w:cs="Arial"/>
          <w:szCs w:val="20"/>
          <w:lang w:eastAsia="en-US"/>
        </w:rPr>
        <w:t>T</w:t>
      </w:r>
      <w:r w:rsidR="009A69F6">
        <w:rPr>
          <w:rFonts w:ascii="Arial" w:eastAsiaTheme="minorHAnsi" w:hAnsi="Arial" w:cs="Arial"/>
          <w:szCs w:val="20"/>
          <w:lang w:eastAsia="en-US"/>
        </w:rPr>
        <w:t xml:space="preserve">his guidance </w:t>
      </w:r>
      <w:r w:rsidR="00791D20">
        <w:rPr>
          <w:rFonts w:ascii="Arial" w:eastAsiaTheme="minorHAnsi" w:hAnsi="Arial" w:cs="Arial"/>
          <w:szCs w:val="20"/>
          <w:lang w:eastAsia="en-US"/>
        </w:rPr>
        <w:t xml:space="preserve">also </w:t>
      </w:r>
      <w:r w:rsidR="009A69F6">
        <w:rPr>
          <w:rFonts w:ascii="Arial" w:eastAsiaTheme="minorHAnsi" w:hAnsi="Arial" w:cs="Arial"/>
          <w:szCs w:val="20"/>
          <w:lang w:eastAsia="en-US"/>
        </w:rPr>
        <w:t xml:space="preserve">does not </w:t>
      </w:r>
      <w:r w:rsidR="00791D20">
        <w:rPr>
          <w:rFonts w:ascii="Arial" w:eastAsiaTheme="minorHAnsi" w:hAnsi="Arial" w:cs="Arial"/>
          <w:szCs w:val="20"/>
          <w:lang w:eastAsia="en-US"/>
        </w:rPr>
        <w:t>address user generated</w:t>
      </w:r>
      <w:r w:rsidR="009A69F6">
        <w:rPr>
          <w:rFonts w:ascii="Arial" w:eastAsiaTheme="minorHAnsi" w:hAnsi="Arial" w:cs="Arial"/>
          <w:szCs w:val="20"/>
          <w:lang w:eastAsia="en-US"/>
        </w:rPr>
        <w:t xml:space="preserve"> security issues</w:t>
      </w:r>
      <w:r w:rsidR="00791D20">
        <w:rPr>
          <w:rFonts w:ascii="Arial" w:eastAsiaTheme="minorHAnsi" w:hAnsi="Arial" w:cs="Arial"/>
          <w:szCs w:val="20"/>
          <w:lang w:eastAsia="en-US"/>
        </w:rPr>
        <w:t xml:space="preserve"> that agencies should be </w:t>
      </w:r>
      <w:r w:rsidR="009A69F6">
        <w:rPr>
          <w:rFonts w:ascii="Arial" w:eastAsiaTheme="minorHAnsi" w:hAnsi="Arial" w:cs="Arial"/>
          <w:szCs w:val="20"/>
          <w:lang w:eastAsia="en-US"/>
        </w:rPr>
        <w:t>mitigat</w:t>
      </w:r>
      <w:r w:rsidR="00791D20">
        <w:rPr>
          <w:rFonts w:ascii="Arial" w:eastAsiaTheme="minorHAnsi" w:hAnsi="Arial" w:cs="Arial"/>
          <w:szCs w:val="20"/>
          <w:lang w:eastAsia="en-US"/>
        </w:rPr>
        <w:t xml:space="preserve">ing through </w:t>
      </w:r>
      <w:r w:rsidR="009A69F6">
        <w:rPr>
          <w:rFonts w:ascii="Arial" w:eastAsiaTheme="minorHAnsi" w:hAnsi="Arial" w:cs="Arial"/>
          <w:szCs w:val="20"/>
          <w:lang w:eastAsia="en-US"/>
        </w:rPr>
        <w:t xml:space="preserve">effective </w:t>
      </w:r>
      <w:r w:rsidR="00B6061A">
        <w:rPr>
          <w:rFonts w:ascii="Arial" w:eastAsiaTheme="minorHAnsi" w:hAnsi="Arial" w:cs="Arial"/>
          <w:szCs w:val="20"/>
          <w:lang w:eastAsia="en-US"/>
        </w:rPr>
        <w:t xml:space="preserve">cyber security </w:t>
      </w:r>
      <w:r w:rsidR="009A69F6">
        <w:rPr>
          <w:rFonts w:ascii="Arial" w:eastAsiaTheme="minorHAnsi" w:hAnsi="Arial" w:cs="Arial"/>
          <w:szCs w:val="20"/>
          <w:lang w:eastAsia="en-US"/>
        </w:rPr>
        <w:t>user education</w:t>
      </w:r>
      <w:r w:rsidR="00B6061A">
        <w:rPr>
          <w:rFonts w:ascii="Arial" w:eastAsiaTheme="minorHAnsi" w:hAnsi="Arial" w:cs="Arial"/>
          <w:szCs w:val="20"/>
          <w:lang w:eastAsia="en-US"/>
        </w:rPr>
        <w:t xml:space="preserve">. </w:t>
      </w:r>
    </w:p>
    <w:p w14:paraId="08663DE5" w14:textId="6078CC22" w:rsidR="00D36575" w:rsidRPr="00215E31" w:rsidRDefault="00D36575" w:rsidP="00D065B6">
      <w:pPr>
        <w:pStyle w:val="Heading2"/>
      </w:pPr>
      <w:r>
        <w:t>G</w:t>
      </w:r>
      <w:r w:rsidRPr="00215E31">
        <w:t>uidance</w:t>
      </w:r>
    </w:p>
    <w:p w14:paraId="21DA8324" w14:textId="1D0F39EE" w:rsidR="00791D20" w:rsidRDefault="00D36575" w:rsidP="00D36575">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 xml:space="preserve">Health agencies are expected to implement the following guidance. </w:t>
      </w:r>
      <w:r w:rsidR="00707745" w:rsidRPr="00215E31">
        <w:rPr>
          <w:rFonts w:ascii="Arial" w:eastAsiaTheme="minorHAnsi" w:hAnsi="Arial" w:cs="Arial"/>
          <w:szCs w:val="20"/>
          <w:lang w:eastAsia="en-US"/>
        </w:rPr>
        <w:t xml:space="preserve">The Ministry of Health will work </w:t>
      </w:r>
      <w:r w:rsidR="0062481A">
        <w:rPr>
          <w:rFonts w:ascii="Arial" w:eastAsiaTheme="minorHAnsi" w:hAnsi="Arial" w:cs="Arial"/>
          <w:szCs w:val="20"/>
          <w:lang w:eastAsia="en-US"/>
        </w:rPr>
        <w:t xml:space="preserve">with </w:t>
      </w:r>
      <w:r w:rsidR="00707745" w:rsidRPr="00215E31">
        <w:rPr>
          <w:rFonts w:ascii="Arial" w:eastAsiaTheme="minorHAnsi" w:hAnsi="Arial" w:cs="Arial"/>
          <w:szCs w:val="20"/>
          <w:lang w:eastAsia="en-US"/>
        </w:rPr>
        <w:t xml:space="preserve">agencies to support the implementation of this guidance and to provide learnings for subsequent updates. </w:t>
      </w:r>
    </w:p>
    <w:p w14:paraId="64A625D2" w14:textId="6D076A26" w:rsidR="00B175AE" w:rsidRDefault="00B175AE" w:rsidP="00D36575">
      <w:pPr>
        <w:pStyle w:val="BodyText"/>
        <w:jc w:val="both"/>
        <w:rPr>
          <w:rFonts w:ascii="Arial" w:hAnsi="Arial" w:cs="Arial"/>
          <w:szCs w:val="20"/>
        </w:rPr>
      </w:pPr>
      <w:r>
        <w:rPr>
          <w:rFonts w:ascii="Arial" w:eastAsiaTheme="minorHAnsi" w:hAnsi="Arial" w:cs="Arial"/>
          <w:szCs w:val="20"/>
          <w:lang w:eastAsia="en-US"/>
        </w:rPr>
        <w:t>Health agencies should engage with their technology suppliers for additional advice and support in implementing this guidance.</w:t>
      </w:r>
    </w:p>
    <w:p w14:paraId="5609F9C9" w14:textId="77777777" w:rsidR="00972267" w:rsidRPr="00215E31" w:rsidRDefault="008106E8" w:rsidP="0069173C">
      <w:pPr>
        <w:pStyle w:val="BodyText"/>
        <w:jc w:val="both"/>
        <w:rPr>
          <w:rFonts w:ascii="Arial" w:eastAsiaTheme="minorHAnsi" w:hAnsi="Arial" w:cs="Arial"/>
          <w:i/>
          <w:szCs w:val="20"/>
          <w:lang w:eastAsia="en-US"/>
        </w:rPr>
      </w:pPr>
      <w:r w:rsidRPr="00215E31">
        <w:rPr>
          <w:rFonts w:ascii="Arial" w:eastAsiaTheme="minorHAnsi" w:hAnsi="Arial" w:cs="Arial"/>
          <w:i/>
          <w:szCs w:val="20"/>
          <w:lang w:eastAsia="en-US"/>
        </w:rPr>
        <w:t>Secure e-mail</w:t>
      </w:r>
    </w:p>
    <w:p w14:paraId="57C073C7" w14:textId="18A33C71" w:rsidR="00BF305E" w:rsidRPr="00215E31" w:rsidRDefault="000536F3" w:rsidP="00707745">
      <w:pPr>
        <w:pStyle w:val="BodyText"/>
        <w:numPr>
          <w:ilvl w:val="0"/>
          <w:numId w:val="10"/>
        </w:numPr>
        <w:jc w:val="both"/>
        <w:rPr>
          <w:rFonts w:ascii="Arial" w:eastAsiaTheme="minorHAnsi" w:hAnsi="Arial" w:cs="Arial"/>
          <w:szCs w:val="20"/>
          <w:lang w:eastAsia="en-US"/>
        </w:rPr>
      </w:pPr>
      <w:r w:rsidRPr="00215E31">
        <w:rPr>
          <w:rFonts w:ascii="Arial" w:eastAsiaTheme="minorHAnsi" w:hAnsi="Arial" w:cs="Arial"/>
          <w:szCs w:val="20"/>
          <w:lang w:eastAsia="en-US"/>
        </w:rPr>
        <w:t>A</w:t>
      </w:r>
      <w:r w:rsidR="005C7E44" w:rsidRPr="00215E31">
        <w:rPr>
          <w:rFonts w:ascii="Arial" w:eastAsiaTheme="minorHAnsi" w:hAnsi="Arial" w:cs="Arial"/>
          <w:szCs w:val="20"/>
          <w:lang w:eastAsia="en-US"/>
        </w:rPr>
        <w:t xml:space="preserve">ll health sector agencies </w:t>
      </w:r>
      <w:r w:rsidRPr="00215E31">
        <w:rPr>
          <w:rFonts w:ascii="Arial" w:eastAsiaTheme="minorHAnsi" w:hAnsi="Arial" w:cs="Arial"/>
          <w:b/>
          <w:szCs w:val="20"/>
          <w:lang w:eastAsia="en-US"/>
        </w:rPr>
        <w:t xml:space="preserve">must </w:t>
      </w:r>
      <w:r w:rsidR="005C7E44" w:rsidRPr="00215E31">
        <w:rPr>
          <w:rFonts w:ascii="Arial" w:eastAsiaTheme="minorHAnsi" w:hAnsi="Arial" w:cs="Arial"/>
          <w:szCs w:val="20"/>
          <w:lang w:eastAsia="en-US"/>
        </w:rPr>
        <w:t xml:space="preserve">enable </w:t>
      </w:r>
      <w:r w:rsidR="00666C71">
        <w:rPr>
          <w:rFonts w:ascii="Arial" w:eastAsiaTheme="minorHAnsi" w:hAnsi="Arial" w:cs="Arial"/>
          <w:szCs w:val="20"/>
          <w:lang w:eastAsia="en-US"/>
        </w:rPr>
        <w:t>opportunistic</w:t>
      </w:r>
      <w:r w:rsidR="00C82DE8" w:rsidRPr="00215E31">
        <w:rPr>
          <w:rFonts w:ascii="Arial" w:eastAsiaTheme="minorHAnsi" w:hAnsi="Arial" w:cs="Arial"/>
          <w:szCs w:val="20"/>
          <w:lang w:eastAsia="en-US"/>
        </w:rPr>
        <w:t xml:space="preserve"> </w:t>
      </w:r>
      <w:hyperlink r:id="rId9" w:history="1">
        <w:r w:rsidR="005C7E44" w:rsidRPr="00215E31">
          <w:rPr>
            <w:rStyle w:val="Hyperlink"/>
            <w:rFonts w:ascii="Arial" w:eastAsiaTheme="minorHAnsi" w:hAnsi="Arial" w:cs="Arial"/>
            <w:szCs w:val="20"/>
            <w:lang w:eastAsia="en-US"/>
          </w:rPr>
          <w:t>Transport Layer Security</w:t>
        </w:r>
      </w:hyperlink>
      <w:r w:rsidR="005C7E44" w:rsidRPr="00215E31">
        <w:rPr>
          <w:rFonts w:ascii="Arial" w:eastAsiaTheme="minorHAnsi" w:hAnsi="Arial" w:cs="Arial"/>
          <w:szCs w:val="20"/>
          <w:lang w:eastAsia="en-US"/>
        </w:rPr>
        <w:t xml:space="preserve"> </w:t>
      </w:r>
      <w:r w:rsidR="00757EF6" w:rsidRPr="00215E31">
        <w:rPr>
          <w:rFonts w:ascii="Arial" w:eastAsiaTheme="minorHAnsi" w:hAnsi="Arial" w:cs="Arial"/>
          <w:szCs w:val="20"/>
          <w:lang w:eastAsia="en-US"/>
        </w:rPr>
        <w:t>(TLS</w:t>
      </w:r>
      <w:r w:rsidRPr="00215E31">
        <w:rPr>
          <w:rFonts w:ascii="Arial" w:eastAsiaTheme="minorHAnsi" w:hAnsi="Arial" w:cs="Arial"/>
          <w:szCs w:val="20"/>
          <w:lang w:eastAsia="en-US"/>
        </w:rPr>
        <w:t xml:space="preserve">) </w:t>
      </w:r>
      <w:r w:rsidR="00D36575">
        <w:rPr>
          <w:rFonts w:ascii="Arial" w:eastAsiaTheme="minorHAnsi" w:hAnsi="Arial" w:cs="Arial"/>
          <w:szCs w:val="20"/>
          <w:lang w:eastAsia="en-US"/>
        </w:rPr>
        <w:t xml:space="preserve">version 1.2 or later, </w:t>
      </w:r>
      <w:r w:rsidR="00757EF6" w:rsidRPr="00215E31">
        <w:rPr>
          <w:rFonts w:ascii="Arial" w:hAnsi="Arial" w:cs="Arial"/>
          <w:color w:val="000000"/>
          <w:spacing w:val="5"/>
          <w:szCs w:val="20"/>
        </w:rPr>
        <w:t>on e</w:t>
      </w:r>
      <w:r w:rsidR="006819D3" w:rsidRPr="00215E31">
        <w:rPr>
          <w:rFonts w:ascii="Arial" w:hAnsi="Arial" w:cs="Arial"/>
          <w:color w:val="000000"/>
          <w:spacing w:val="5"/>
          <w:szCs w:val="20"/>
        </w:rPr>
        <w:t>-</w:t>
      </w:r>
      <w:r w:rsidR="00757EF6" w:rsidRPr="00215E31">
        <w:rPr>
          <w:rFonts w:ascii="Arial" w:hAnsi="Arial" w:cs="Arial"/>
          <w:color w:val="000000"/>
          <w:spacing w:val="5"/>
          <w:szCs w:val="20"/>
        </w:rPr>
        <w:t xml:space="preserve">mail servers that make incoming or outgoing </w:t>
      </w:r>
      <w:r w:rsidR="008632D2" w:rsidRPr="00215E31">
        <w:rPr>
          <w:rFonts w:ascii="Arial" w:hAnsi="Arial" w:cs="Arial"/>
          <w:color w:val="000000"/>
          <w:spacing w:val="5"/>
          <w:szCs w:val="20"/>
        </w:rPr>
        <w:t>e-mail</w:t>
      </w:r>
      <w:r w:rsidR="00757EF6" w:rsidRPr="00215E31">
        <w:rPr>
          <w:rFonts w:ascii="Arial" w:hAnsi="Arial" w:cs="Arial"/>
          <w:color w:val="000000"/>
          <w:spacing w:val="5"/>
          <w:szCs w:val="20"/>
        </w:rPr>
        <w:t xml:space="preserve"> connections over public Internet infrastructure </w:t>
      </w:r>
      <w:r w:rsidR="005C7E44" w:rsidRPr="00215E31">
        <w:rPr>
          <w:rFonts w:ascii="Arial" w:eastAsiaTheme="minorHAnsi" w:hAnsi="Arial" w:cs="Arial"/>
          <w:szCs w:val="20"/>
          <w:lang w:eastAsia="en-US"/>
        </w:rPr>
        <w:t xml:space="preserve">no later than </w:t>
      </w:r>
      <w:r w:rsidR="00C972B4" w:rsidRPr="00215E31">
        <w:rPr>
          <w:rFonts w:ascii="Arial" w:eastAsiaTheme="minorHAnsi" w:hAnsi="Arial" w:cs="Arial"/>
          <w:szCs w:val="20"/>
          <w:lang w:eastAsia="en-US"/>
        </w:rPr>
        <w:t>January</w:t>
      </w:r>
      <w:r w:rsidR="00707745" w:rsidRPr="00215E31">
        <w:rPr>
          <w:rFonts w:ascii="Arial" w:eastAsiaTheme="minorHAnsi" w:hAnsi="Arial" w:cs="Arial"/>
          <w:szCs w:val="20"/>
          <w:lang w:eastAsia="en-US"/>
        </w:rPr>
        <w:t xml:space="preserve"> 2020</w:t>
      </w:r>
      <w:r w:rsidR="003C7A32" w:rsidRPr="00215E31">
        <w:rPr>
          <w:rFonts w:ascii="Arial" w:eastAsiaTheme="minorHAnsi" w:hAnsi="Arial" w:cs="Arial"/>
          <w:szCs w:val="20"/>
          <w:lang w:eastAsia="en-US"/>
        </w:rPr>
        <w:t xml:space="preserve"> and </w:t>
      </w:r>
      <w:r w:rsidR="007D620E">
        <w:rPr>
          <w:rFonts w:ascii="Arial" w:eastAsiaTheme="minorHAnsi" w:hAnsi="Arial" w:cs="Arial"/>
          <w:szCs w:val="20"/>
          <w:lang w:eastAsia="en-US"/>
        </w:rPr>
        <w:t>advise</w:t>
      </w:r>
      <w:r w:rsidR="007D620E" w:rsidRPr="00215E31">
        <w:rPr>
          <w:rFonts w:ascii="Arial" w:eastAsiaTheme="minorHAnsi" w:hAnsi="Arial" w:cs="Arial"/>
          <w:szCs w:val="20"/>
          <w:lang w:eastAsia="en-US"/>
        </w:rPr>
        <w:t xml:space="preserve"> </w:t>
      </w:r>
      <w:r w:rsidR="003C7A32" w:rsidRPr="00215E31">
        <w:rPr>
          <w:rFonts w:ascii="Arial" w:eastAsiaTheme="minorHAnsi" w:hAnsi="Arial" w:cs="Arial"/>
          <w:szCs w:val="20"/>
          <w:lang w:eastAsia="en-US"/>
        </w:rPr>
        <w:t>the Ministry of Health when they have done so (</w:t>
      </w:r>
      <w:r w:rsidR="002905ED" w:rsidRPr="00106967">
        <w:rPr>
          <w:rStyle w:val="Hyperlink"/>
          <w:rFonts w:ascii="Arial" w:eastAsiaTheme="minorHAnsi" w:hAnsi="Arial" w:cs="Arial"/>
        </w:rPr>
        <w:t>it</w:t>
      </w:r>
      <w:hyperlink r:id="rId10" w:history="1">
        <w:r w:rsidR="00BF305E" w:rsidRPr="00106967">
          <w:rPr>
            <w:rStyle w:val="Hyperlink"/>
            <w:rFonts w:ascii="Arial" w:eastAsiaTheme="minorHAnsi" w:hAnsi="Arial" w:cs="Arial"/>
            <w:szCs w:val="20"/>
            <w:lang w:eastAsia="en-US"/>
          </w:rPr>
          <w:t>security@moh.govt.nz</w:t>
        </w:r>
      </w:hyperlink>
      <w:r w:rsidR="003C7A32" w:rsidRPr="00215E31">
        <w:rPr>
          <w:rFonts w:ascii="Arial" w:eastAsiaTheme="minorHAnsi" w:hAnsi="Arial" w:cs="Arial"/>
          <w:szCs w:val="20"/>
          <w:lang w:eastAsia="en-US"/>
        </w:rPr>
        <w:t>)</w:t>
      </w:r>
      <w:r w:rsidR="005C7E44" w:rsidRPr="00215E31">
        <w:rPr>
          <w:rFonts w:ascii="Arial" w:eastAsiaTheme="minorHAnsi" w:hAnsi="Arial" w:cs="Arial"/>
          <w:szCs w:val="20"/>
          <w:lang w:eastAsia="en-US"/>
        </w:rPr>
        <w:t>.</w:t>
      </w:r>
    </w:p>
    <w:p w14:paraId="0D267861" w14:textId="77777777" w:rsidR="000536F3" w:rsidRPr="00215E31" w:rsidRDefault="00FC6914" w:rsidP="00173F60">
      <w:pPr>
        <w:pStyle w:val="BodyText"/>
        <w:jc w:val="both"/>
        <w:rPr>
          <w:rFonts w:ascii="Arial" w:eastAsiaTheme="minorHAnsi" w:hAnsi="Arial" w:cs="Arial"/>
          <w:i/>
          <w:szCs w:val="20"/>
          <w:lang w:eastAsia="en-US"/>
        </w:rPr>
      </w:pPr>
      <w:r w:rsidRPr="00215E31">
        <w:rPr>
          <w:rFonts w:ascii="Arial" w:eastAsiaTheme="minorHAnsi" w:hAnsi="Arial" w:cs="Arial"/>
          <w:i/>
          <w:szCs w:val="20"/>
          <w:lang w:eastAsia="en-US"/>
        </w:rPr>
        <w:t>Fax</w:t>
      </w:r>
    </w:p>
    <w:p w14:paraId="17E4E7F9" w14:textId="2C71EDB8" w:rsidR="00FC6914" w:rsidRPr="00215E31" w:rsidRDefault="00B6061A" w:rsidP="00707745">
      <w:pPr>
        <w:pStyle w:val="BodyText"/>
        <w:numPr>
          <w:ilvl w:val="0"/>
          <w:numId w:val="10"/>
        </w:numPr>
        <w:jc w:val="both"/>
        <w:rPr>
          <w:rFonts w:ascii="Arial" w:eastAsiaTheme="minorHAnsi" w:hAnsi="Arial" w:cs="Arial"/>
          <w:szCs w:val="20"/>
          <w:lang w:eastAsia="en-US"/>
        </w:rPr>
      </w:pPr>
      <w:r>
        <w:rPr>
          <w:rFonts w:ascii="Arial" w:eastAsiaTheme="minorHAnsi" w:hAnsi="Arial" w:cs="Arial"/>
          <w:szCs w:val="20"/>
          <w:lang w:eastAsia="en-US"/>
        </w:rPr>
        <w:t>New a</w:t>
      </w:r>
      <w:r w:rsidR="00FC6914" w:rsidRPr="00215E31">
        <w:rPr>
          <w:rFonts w:ascii="Arial" w:eastAsiaTheme="minorHAnsi" w:hAnsi="Arial" w:cs="Arial"/>
          <w:szCs w:val="20"/>
          <w:lang w:eastAsia="en-US"/>
        </w:rPr>
        <w:t xml:space="preserve">nalogue fax machines </w:t>
      </w:r>
      <w:r w:rsidR="00FC6914" w:rsidRPr="00215E31">
        <w:rPr>
          <w:rFonts w:ascii="Arial" w:eastAsiaTheme="minorHAnsi" w:hAnsi="Arial" w:cs="Arial"/>
          <w:b/>
          <w:szCs w:val="20"/>
          <w:lang w:eastAsia="en-US"/>
        </w:rPr>
        <w:t>should</w:t>
      </w:r>
      <w:r w:rsidR="00215E31">
        <w:rPr>
          <w:rFonts w:ascii="Arial" w:eastAsiaTheme="minorHAnsi" w:hAnsi="Arial" w:cs="Arial"/>
          <w:b/>
          <w:szCs w:val="20"/>
          <w:lang w:eastAsia="en-US"/>
        </w:rPr>
        <w:t xml:space="preserve"> not</w:t>
      </w:r>
      <w:r w:rsidR="00FC6914" w:rsidRPr="00215E31">
        <w:rPr>
          <w:rFonts w:ascii="Arial" w:eastAsiaTheme="minorHAnsi" w:hAnsi="Arial" w:cs="Arial"/>
          <w:b/>
          <w:szCs w:val="20"/>
          <w:lang w:eastAsia="en-US"/>
        </w:rPr>
        <w:t xml:space="preserve"> </w:t>
      </w:r>
      <w:r w:rsidR="00FC6914" w:rsidRPr="00215E31">
        <w:rPr>
          <w:rFonts w:ascii="Arial" w:eastAsiaTheme="minorHAnsi" w:hAnsi="Arial" w:cs="Arial"/>
          <w:szCs w:val="20"/>
          <w:lang w:eastAsia="en-US"/>
        </w:rPr>
        <w:t>be purchased</w:t>
      </w:r>
      <w:r w:rsidR="00707745" w:rsidRPr="00215E31">
        <w:rPr>
          <w:rFonts w:ascii="Arial" w:eastAsiaTheme="minorHAnsi" w:hAnsi="Arial" w:cs="Arial"/>
          <w:szCs w:val="20"/>
          <w:lang w:eastAsia="en-US"/>
        </w:rPr>
        <w:t>,</w:t>
      </w:r>
      <w:r w:rsidR="00FC6914" w:rsidRPr="00215E31">
        <w:rPr>
          <w:rFonts w:ascii="Arial" w:eastAsiaTheme="minorHAnsi" w:hAnsi="Arial" w:cs="Arial"/>
          <w:szCs w:val="20"/>
          <w:lang w:eastAsia="en-US"/>
        </w:rPr>
        <w:t xml:space="preserve"> with immediate effect.</w:t>
      </w:r>
    </w:p>
    <w:p w14:paraId="43A400EA" w14:textId="50801B48" w:rsidR="00FC6914" w:rsidRPr="00215E31" w:rsidRDefault="00C972B4" w:rsidP="00707745">
      <w:pPr>
        <w:pStyle w:val="BodyText"/>
        <w:numPr>
          <w:ilvl w:val="0"/>
          <w:numId w:val="10"/>
        </w:numPr>
        <w:jc w:val="both"/>
        <w:rPr>
          <w:rFonts w:ascii="Arial" w:eastAsiaTheme="minorHAnsi" w:hAnsi="Arial" w:cs="Arial"/>
          <w:szCs w:val="20"/>
          <w:lang w:eastAsia="en-US"/>
        </w:rPr>
      </w:pPr>
      <w:r w:rsidRPr="00215E31">
        <w:rPr>
          <w:rFonts w:ascii="Arial" w:eastAsiaTheme="minorHAnsi" w:hAnsi="Arial" w:cs="Arial"/>
          <w:szCs w:val="20"/>
          <w:lang w:eastAsia="en-US"/>
        </w:rPr>
        <w:t xml:space="preserve">Health agencies </w:t>
      </w:r>
      <w:r w:rsidRPr="00215E31">
        <w:rPr>
          <w:rFonts w:ascii="Arial" w:eastAsiaTheme="minorHAnsi" w:hAnsi="Arial" w:cs="Arial"/>
          <w:b/>
          <w:szCs w:val="20"/>
          <w:lang w:eastAsia="en-US"/>
        </w:rPr>
        <w:t>should</w:t>
      </w:r>
      <w:r w:rsidRPr="00215E31">
        <w:rPr>
          <w:rFonts w:ascii="Arial" w:eastAsiaTheme="minorHAnsi" w:hAnsi="Arial" w:cs="Arial"/>
          <w:szCs w:val="20"/>
          <w:lang w:eastAsia="en-US"/>
        </w:rPr>
        <w:t xml:space="preserve"> implement</w:t>
      </w:r>
      <w:r w:rsidR="00FC6914" w:rsidRPr="00215E31">
        <w:rPr>
          <w:rFonts w:ascii="Arial" w:eastAsiaTheme="minorHAnsi" w:hAnsi="Arial" w:cs="Arial"/>
          <w:szCs w:val="20"/>
          <w:lang w:eastAsia="en-US"/>
        </w:rPr>
        <w:t xml:space="preserve"> </w:t>
      </w:r>
      <w:r w:rsidR="00B175AE">
        <w:rPr>
          <w:rFonts w:ascii="Arial" w:eastAsiaTheme="minorHAnsi" w:hAnsi="Arial" w:cs="Arial"/>
          <w:szCs w:val="20"/>
          <w:lang w:eastAsia="en-US"/>
        </w:rPr>
        <w:t xml:space="preserve">one of the following </w:t>
      </w:r>
      <w:r w:rsidR="00FC6914" w:rsidRPr="00215E31">
        <w:rPr>
          <w:rFonts w:ascii="Arial" w:eastAsiaTheme="minorHAnsi" w:hAnsi="Arial" w:cs="Arial"/>
          <w:szCs w:val="20"/>
          <w:lang w:eastAsia="en-US"/>
        </w:rPr>
        <w:t xml:space="preserve">digital alternatives to the use of </w:t>
      </w:r>
      <w:r w:rsidR="006760B6">
        <w:rPr>
          <w:rFonts w:ascii="Arial" w:eastAsiaTheme="minorHAnsi" w:hAnsi="Arial" w:cs="Arial"/>
          <w:szCs w:val="20"/>
          <w:lang w:eastAsia="en-US"/>
        </w:rPr>
        <w:t xml:space="preserve">analogue </w:t>
      </w:r>
      <w:r w:rsidR="00FC6914" w:rsidRPr="00215E31">
        <w:rPr>
          <w:rFonts w:ascii="Arial" w:eastAsiaTheme="minorHAnsi" w:hAnsi="Arial" w:cs="Arial"/>
          <w:szCs w:val="20"/>
          <w:lang w:eastAsia="en-US"/>
        </w:rPr>
        <w:t>fax</w:t>
      </w:r>
      <w:r w:rsidR="00811A5F">
        <w:rPr>
          <w:rStyle w:val="FootnoteReference"/>
          <w:rFonts w:ascii="Arial" w:eastAsiaTheme="minorHAnsi" w:hAnsi="Arial" w:cs="Arial"/>
          <w:szCs w:val="20"/>
          <w:lang w:eastAsia="en-US"/>
        </w:rPr>
        <w:footnoteReference w:id="3"/>
      </w:r>
      <w:r w:rsidR="006760B6">
        <w:rPr>
          <w:rFonts w:ascii="Arial" w:eastAsiaTheme="minorHAnsi" w:hAnsi="Arial" w:cs="Arial"/>
          <w:szCs w:val="20"/>
          <w:lang w:eastAsia="en-US"/>
        </w:rPr>
        <w:t xml:space="preserve"> for external </w:t>
      </w:r>
      <w:r w:rsidR="004B2575">
        <w:rPr>
          <w:rFonts w:ascii="Arial" w:eastAsiaTheme="minorHAnsi" w:hAnsi="Arial" w:cs="Arial"/>
          <w:szCs w:val="20"/>
          <w:lang w:eastAsia="en-US"/>
        </w:rPr>
        <w:t>communication</w:t>
      </w:r>
      <w:r w:rsidRPr="00215E31">
        <w:rPr>
          <w:rFonts w:ascii="Arial" w:eastAsiaTheme="minorHAnsi" w:hAnsi="Arial" w:cs="Arial"/>
          <w:szCs w:val="20"/>
          <w:lang w:eastAsia="en-US"/>
        </w:rPr>
        <w:t xml:space="preserve"> no later than </w:t>
      </w:r>
      <w:r w:rsidR="004B2575">
        <w:rPr>
          <w:rFonts w:ascii="Arial" w:eastAsiaTheme="minorHAnsi" w:hAnsi="Arial" w:cs="Arial"/>
          <w:szCs w:val="20"/>
          <w:lang w:eastAsia="en-US"/>
        </w:rPr>
        <w:t xml:space="preserve">December </w:t>
      </w:r>
      <w:r w:rsidRPr="00215E31">
        <w:rPr>
          <w:rFonts w:ascii="Arial" w:eastAsiaTheme="minorHAnsi" w:hAnsi="Arial" w:cs="Arial"/>
          <w:szCs w:val="20"/>
          <w:lang w:eastAsia="en-US"/>
        </w:rPr>
        <w:t>2020</w:t>
      </w:r>
      <w:r w:rsidR="003C7A32" w:rsidRPr="00215E31">
        <w:rPr>
          <w:rFonts w:ascii="Arial" w:eastAsiaTheme="minorHAnsi" w:hAnsi="Arial" w:cs="Arial"/>
          <w:szCs w:val="20"/>
          <w:lang w:eastAsia="en-US"/>
        </w:rPr>
        <w:t xml:space="preserve"> and </w:t>
      </w:r>
      <w:r w:rsidR="00B81F55">
        <w:rPr>
          <w:rFonts w:ascii="Arial" w:eastAsiaTheme="minorHAnsi" w:hAnsi="Arial" w:cs="Arial"/>
          <w:szCs w:val="20"/>
          <w:lang w:eastAsia="en-US"/>
        </w:rPr>
        <w:t>advise</w:t>
      </w:r>
      <w:r w:rsidR="003C7A32" w:rsidRPr="00215E31">
        <w:rPr>
          <w:rFonts w:ascii="Arial" w:eastAsiaTheme="minorHAnsi" w:hAnsi="Arial" w:cs="Arial"/>
          <w:szCs w:val="20"/>
          <w:lang w:eastAsia="en-US"/>
        </w:rPr>
        <w:t xml:space="preserve"> the Ministry of Health when they have done so (</w:t>
      </w:r>
      <w:r w:rsidR="00B6061A">
        <w:rPr>
          <w:rFonts w:ascii="Arial" w:eastAsiaTheme="minorHAnsi" w:hAnsi="Arial" w:cs="Arial"/>
          <w:szCs w:val="20"/>
          <w:lang w:eastAsia="en-US"/>
        </w:rPr>
        <w:t>it</w:t>
      </w:r>
      <w:r w:rsidR="003C7A32" w:rsidRPr="00215E31">
        <w:rPr>
          <w:rFonts w:ascii="Arial" w:eastAsiaTheme="minorHAnsi" w:hAnsi="Arial" w:cs="Arial"/>
          <w:szCs w:val="20"/>
          <w:lang w:eastAsia="en-US"/>
        </w:rPr>
        <w:t>security@moh.govt.nz)</w:t>
      </w:r>
      <w:r w:rsidR="00FC6914" w:rsidRPr="00215E31">
        <w:rPr>
          <w:rFonts w:ascii="Arial" w:eastAsiaTheme="minorHAnsi" w:hAnsi="Arial" w:cs="Arial"/>
          <w:szCs w:val="20"/>
          <w:lang w:eastAsia="en-US"/>
        </w:rPr>
        <w:t xml:space="preserve">: </w:t>
      </w:r>
    </w:p>
    <w:p w14:paraId="05C3F976" w14:textId="27465A62" w:rsidR="000C7A3D" w:rsidRPr="00215E31" w:rsidRDefault="000C7A3D" w:rsidP="000C7A3D">
      <w:pPr>
        <w:pStyle w:val="BodyText"/>
        <w:numPr>
          <w:ilvl w:val="1"/>
          <w:numId w:val="9"/>
        </w:numPr>
        <w:jc w:val="both"/>
        <w:rPr>
          <w:rFonts w:ascii="Arial" w:eastAsiaTheme="minorHAnsi" w:hAnsi="Arial" w:cs="Arial"/>
          <w:szCs w:val="20"/>
          <w:lang w:eastAsia="en-US"/>
        </w:rPr>
      </w:pPr>
      <w:r w:rsidRPr="00215E31">
        <w:rPr>
          <w:rFonts w:ascii="Arial" w:eastAsiaTheme="minorHAnsi" w:hAnsi="Arial" w:cs="Arial"/>
          <w:szCs w:val="20"/>
          <w:lang w:eastAsia="en-US"/>
        </w:rPr>
        <w:t xml:space="preserve">Migrate </w:t>
      </w:r>
      <w:r w:rsidR="00707745" w:rsidRPr="00215E31">
        <w:rPr>
          <w:rFonts w:ascii="Arial" w:eastAsiaTheme="minorHAnsi" w:hAnsi="Arial" w:cs="Arial"/>
          <w:szCs w:val="20"/>
          <w:lang w:eastAsia="en-US"/>
        </w:rPr>
        <w:t xml:space="preserve">use of </w:t>
      </w:r>
      <w:r w:rsidR="006760B6">
        <w:rPr>
          <w:rFonts w:ascii="Arial" w:eastAsiaTheme="minorHAnsi" w:hAnsi="Arial" w:cs="Arial"/>
          <w:szCs w:val="20"/>
          <w:lang w:eastAsia="en-US"/>
        </w:rPr>
        <w:t xml:space="preserve">analogue </w:t>
      </w:r>
      <w:r w:rsidR="00707745" w:rsidRPr="00215E31">
        <w:rPr>
          <w:rFonts w:ascii="Arial" w:eastAsiaTheme="minorHAnsi" w:hAnsi="Arial" w:cs="Arial"/>
          <w:szCs w:val="20"/>
          <w:lang w:eastAsia="en-US"/>
        </w:rPr>
        <w:t>fax to</w:t>
      </w:r>
      <w:r w:rsidRPr="00215E31">
        <w:rPr>
          <w:rFonts w:ascii="Arial" w:eastAsiaTheme="minorHAnsi" w:hAnsi="Arial" w:cs="Arial"/>
          <w:szCs w:val="20"/>
          <w:lang w:eastAsia="en-US"/>
        </w:rPr>
        <w:t xml:space="preserve"> fully digital, security assessed, </w:t>
      </w:r>
      <w:r w:rsidR="00C972B4" w:rsidRPr="00215E31">
        <w:rPr>
          <w:rFonts w:ascii="Arial" w:eastAsiaTheme="minorHAnsi" w:hAnsi="Arial" w:cs="Arial"/>
          <w:szCs w:val="20"/>
          <w:lang w:eastAsia="en-US"/>
        </w:rPr>
        <w:t xml:space="preserve">communication solutions such as </w:t>
      </w:r>
      <w:r w:rsidR="008632D2" w:rsidRPr="00215E31">
        <w:rPr>
          <w:rFonts w:ascii="Arial" w:eastAsiaTheme="minorHAnsi" w:hAnsi="Arial" w:cs="Arial"/>
          <w:szCs w:val="20"/>
          <w:lang w:eastAsia="en-US"/>
        </w:rPr>
        <w:t>e-mail</w:t>
      </w:r>
      <w:r w:rsidR="00707745" w:rsidRPr="00215E31">
        <w:rPr>
          <w:rFonts w:ascii="Arial" w:eastAsiaTheme="minorHAnsi" w:hAnsi="Arial" w:cs="Arial"/>
          <w:szCs w:val="20"/>
          <w:lang w:eastAsia="en-US"/>
        </w:rPr>
        <w:t xml:space="preserve"> of scanned documents</w:t>
      </w:r>
      <w:r w:rsidRPr="00215E31">
        <w:rPr>
          <w:rFonts w:ascii="Arial" w:eastAsiaTheme="minorHAnsi" w:hAnsi="Arial" w:cs="Arial"/>
          <w:szCs w:val="20"/>
          <w:lang w:eastAsia="en-US"/>
        </w:rPr>
        <w:t xml:space="preserve">, </w:t>
      </w:r>
      <w:r w:rsidR="00707745" w:rsidRPr="00215E31">
        <w:rPr>
          <w:rFonts w:ascii="Arial" w:eastAsiaTheme="minorHAnsi" w:hAnsi="Arial" w:cs="Arial"/>
          <w:szCs w:val="20"/>
          <w:lang w:eastAsia="en-US"/>
        </w:rPr>
        <w:t xml:space="preserve">secure messaging or </w:t>
      </w:r>
      <w:r w:rsidRPr="00215E31">
        <w:rPr>
          <w:rFonts w:ascii="Arial" w:eastAsiaTheme="minorHAnsi" w:hAnsi="Arial" w:cs="Arial"/>
          <w:szCs w:val="20"/>
          <w:lang w:eastAsia="en-US"/>
        </w:rPr>
        <w:t>cloud hosted</w:t>
      </w:r>
      <w:r w:rsidR="00B21671">
        <w:rPr>
          <w:rFonts w:ascii="Arial" w:eastAsiaTheme="minorHAnsi" w:hAnsi="Arial" w:cs="Arial"/>
          <w:szCs w:val="20"/>
          <w:lang w:eastAsia="en-US"/>
        </w:rPr>
        <w:t xml:space="preserve"> secure collaboration platforms; or</w:t>
      </w:r>
    </w:p>
    <w:p w14:paraId="4A45DF49" w14:textId="29221F15" w:rsidR="00FC6914" w:rsidRPr="00215E31" w:rsidRDefault="000C7A3D" w:rsidP="00C972B4">
      <w:pPr>
        <w:pStyle w:val="BodyText"/>
        <w:numPr>
          <w:ilvl w:val="1"/>
          <w:numId w:val="9"/>
        </w:numPr>
        <w:jc w:val="both"/>
        <w:rPr>
          <w:rFonts w:ascii="Arial" w:eastAsiaTheme="minorHAnsi" w:hAnsi="Arial" w:cs="Arial"/>
          <w:szCs w:val="20"/>
          <w:lang w:eastAsia="en-US"/>
        </w:rPr>
      </w:pPr>
      <w:r w:rsidRPr="00215E31">
        <w:rPr>
          <w:rFonts w:ascii="Arial" w:eastAsiaTheme="minorHAnsi" w:hAnsi="Arial" w:cs="Arial"/>
          <w:szCs w:val="20"/>
          <w:lang w:eastAsia="en-US"/>
        </w:rPr>
        <w:t xml:space="preserve">Utilise the </w:t>
      </w:r>
      <w:r w:rsidR="00FC6914" w:rsidRPr="00215E31">
        <w:rPr>
          <w:rFonts w:ascii="Arial" w:eastAsiaTheme="minorHAnsi" w:hAnsi="Arial" w:cs="Arial"/>
          <w:szCs w:val="20"/>
          <w:lang w:eastAsia="en-US"/>
        </w:rPr>
        <w:t>“</w:t>
      </w:r>
      <w:r w:rsidR="005204CF">
        <w:rPr>
          <w:rFonts w:ascii="Arial" w:eastAsiaTheme="minorHAnsi" w:hAnsi="Arial" w:cs="Arial"/>
          <w:szCs w:val="20"/>
          <w:lang w:eastAsia="en-US"/>
        </w:rPr>
        <w:t>scan</w:t>
      </w:r>
      <w:r w:rsidR="00FC6914" w:rsidRPr="00215E31">
        <w:rPr>
          <w:rFonts w:ascii="Arial" w:eastAsiaTheme="minorHAnsi" w:hAnsi="Arial" w:cs="Arial"/>
          <w:szCs w:val="20"/>
          <w:lang w:eastAsia="en-US"/>
        </w:rPr>
        <w:t>-to-</w:t>
      </w:r>
      <w:r w:rsidR="008632D2" w:rsidRPr="00215E31">
        <w:rPr>
          <w:rFonts w:ascii="Arial" w:eastAsiaTheme="minorHAnsi" w:hAnsi="Arial" w:cs="Arial"/>
          <w:szCs w:val="20"/>
          <w:lang w:eastAsia="en-US"/>
        </w:rPr>
        <w:t>e-mail</w:t>
      </w:r>
      <w:r w:rsidR="00FC6914" w:rsidRPr="00215E31">
        <w:rPr>
          <w:rFonts w:ascii="Arial" w:eastAsiaTheme="minorHAnsi" w:hAnsi="Arial" w:cs="Arial"/>
          <w:szCs w:val="20"/>
          <w:lang w:eastAsia="en-US"/>
        </w:rPr>
        <w:t>”</w:t>
      </w:r>
      <w:r w:rsidRPr="00215E31">
        <w:rPr>
          <w:rFonts w:ascii="Arial" w:eastAsiaTheme="minorHAnsi" w:hAnsi="Arial" w:cs="Arial"/>
          <w:szCs w:val="20"/>
          <w:lang w:eastAsia="en-US"/>
        </w:rPr>
        <w:t xml:space="preserve"> capability on a </w:t>
      </w:r>
      <w:hyperlink r:id="rId11" w:history="1">
        <w:r w:rsidR="00FC6914" w:rsidRPr="00215E31">
          <w:rPr>
            <w:rStyle w:val="Hyperlink"/>
            <w:rFonts w:ascii="Arial" w:eastAsiaTheme="minorHAnsi" w:hAnsi="Arial" w:cs="Arial"/>
            <w:szCs w:val="20"/>
            <w:lang w:eastAsia="en-US"/>
          </w:rPr>
          <w:t>multi-function device</w:t>
        </w:r>
      </w:hyperlink>
      <w:r w:rsidR="00FC6914" w:rsidRPr="00215E31">
        <w:rPr>
          <w:rFonts w:ascii="Arial" w:eastAsiaTheme="minorHAnsi" w:hAnsi="Arial" w:cs="Arial"/>
          <w:szCs w:val="20"/>
          <w:lang w:eastAsia="en-US"/>
        </w:rPr>
        <w:t xml:space="preserve"> (MFD)</w:t>
      </w:r>
      <w:r w:rsidR="005204CF">
        <w:rPr>
          <w:rStyle w:val="FootnoteReference"/>
          <w:rFonts w:ascii="Arial" w:eastAsiaTheme="minorHAnsi" w:hAnsi="Arial" w:cs="Arial"/>
          <w:szCs w:val="20"/>
          <w:lang w:eastAsia="en-US"/>
        </w:rPr>
        <w:footnoteReference w:id="4"/>
      </w:r>
      <w:r w:rsidRPr="00215E31">
        <w:rPr>
          <w:rFonts w:ascii="Arial" w:eastAsiaTheme="minorHAnsi" w:hAnsi="Arial" w:cs="Arial"/>
          <w:szCs w:val="20"/>
          <w:lang w:eastAsia="en-US"/>
        </w:rPr>
        <w:t xml:space="preserve"> t</w:t>
      </w:r>
      <w:r w:rsidR="00707745" w:rsidRPr="00215E31">
        <w:rPr>
          <w:rFonts w:ascii="Arial" w:eastAsiaTheme="minorHAnsi" w:hAnsi="Arial" w:cs="Arial"/>
          <w:szCs w:val="20"/>
          <w:lang w:eastAsia="en-US"/>
        </w:rPr>
        <w:t>o</w:t>
      </w:r>
      <w:r w:rsidR="005204CF">
        <w:rPr>
          <w:rFonts w:ascii="Arial" w:eastAsiaTheme="minorHAnsi" w:hAnsi="Arial" w:cs="Arial"/>
          <w:szCs w:val="20"/>
          <w:lang w:eastAsia="en-US"/>
        </w:rPr>
        <w:t xml:space="preserve"> scan documents and send them </w:t>
      </w:r>
      <w:r w:rsidR="00C972B4" w:rsidRPr="00215E31">
        <w:rPr>
          <w:rFonts w:ascii="Arial" w:eastAsiaTheme="minorHAnsi" w:hAnsi="Arial" w:cs="Arial"/>
          <w:szCs w:val="20"/>
          <w:lang w:eastAsia="en-US"/>
        </w:rPr>
        <w:t xml:space="preserve">as </w:t>
      </w:r>
      <w:r w:rsidR="008632D2" w:rsidRPr="00215E31">
        <w:rPr>
          <w:rFonts w:ascii="Arial" w:eastAsiaTheme="minorHAnsi" w:hAnsi="Arial" w:cs="Arial"/>
          <w:szCs w:val="20"/>
          <w:lang w:eastAsia="en-US"/>
        </w:rPr>
        <w:t>e-mail</w:t>
      </w:r>
      <w:r w:rsidR="00C972B4" w:rsidRPr="00215E31">
        <w:rPr>
          <w:rFonts w:ascii="Arial" w:eastAsiaTheme="minorHAnsi" w:hAnsi="Arial" w:cs="Arial"/>
          <w:szCs w:val="20"/>
          <w:lang w:eastAsia="en-US"/>
        </w:rPr>
        <w:t>s</w:t>
      </w:r>
      <w:r w:rsidR="00B21671">
        <w:rPr>
          <w:rFonts w:ascii="Arial" w:eastAsiaTheme="minorHAnsi" w:hAnsi="Arial" w:cs="Arial"/>
          <w:szCs w:val="20"/>
          <w:lang w:eastAsia="en-US"/>
        </w:rPr>
        <w:t xml:space="preserve"> (compliant with the secure e-mail requirement in point </w:t>
      </w:r>
      <w:r w:rsidR="0062481A">
        <w:rPr>
          <w:rFonts w:ascii="Arial" w:eastAsiaTheme="minorHAnsi" w:hAnsi="Arial" w:cs="Arial"/>
          <w:szCs w:val="20"/>
          <w:lang w:eastAsia="en-US"/>
        </w:rPr>
        <w:t xml:space="preserve">1 </w:t>
      </w:r>
      <w:r w:rsidR="00B21671">
        <w:rPr>
          <w:rFonts w:ascii="Arial" w:eastAsiaTheme="minorHAnsi" w:hAnsi="Arial" w:cs="Arial"/>
          <w:szCs w:val="20"/>
          <w:lang w:eastAsia="en-US"/>
        </w:rPr>
        <w:t>above)</w:t>
      </w:r>
      <w:r w:rsidR="00FC6914" w:rsidRPr="00215E31">
        <w:rPr>
          <w:rFonts w:ascii="Arial" w:eastAsiaTheme="minorHAnsi" w:hAnsi="Arial" w:cs="Arial"/>
          <w:szCs w:val="20"/>
          <w:lang w:eastAsia="en-US"/>
        </w:rPr>
        <w:t>.</w:t>
      </w:r>
      <w:r w:rsidR="005204CF">
        <w:rPr>
          <w:rFonts w:ascii="Arial" w:eastAsiaTheme="minorHAnsi" w:hAnsi="Arial" w:cs="Arial"/>
          <w:szCs w:val="20"/>
          <w:lang w:eastAsia="en-US"/>
        </w:rPr>
        <w:t xml:space="preserve"> </w:t>
      </w:r>
    </w:p>
    <w:p w14:paraId="0E30501B" w14:textId="77777777" w:rsidR="00301611" w:rsidRDefault="00301611" w:rsidP="00173F60">
      <w:pPr>
        <w:pStyle w:val="BodyText"/>
        <w:jc w:val="both"/>
        <w:rPr>
          <w:rFonts w:ascii="Arial" w:eastAsiaTheme="minorHAnsi" w:hAnsi="Arial" w:cs="Arial"/>
          <w:szCs w:val="20"/>
          <w:lang w:eastAsia="en-US"/>
        </w:rPr>
      </w:pPr>
    </w:p>
    <w:p w14:paraId="6E7DC28B" w14:textId="77777777" w:rsidR="00301611" w:rsidRDefault="00301611" w:rsidP="00173F60">
      <w:pPr>
        <w:pStyle w:val="BodyText"/>
        <w:jc w:val="both"/>
        <w:rPr>
          <w:rFonts w:ascii="Arial" w:eastAsiaTheme="minorHAnsi" w:hAnsi="Arial" w:cs="Arial"/>
          <w:szCs w:val="20"/>
          <w:lang w:eastAsia="en-US"/>
        </w:rPr>
      </w:pPr>
    </w:p>
    <w:p w14:paraId="2B231451" w14:textId="77777777" w:rsidR="00A05A7E" w:rsidRDefault="00301611" w:rsidP="00301611">
      <w:pPr>
        <w:pStyle w:val="BodyText"/>
        <w:jc w:val="both"/>
        <w:rPr>
          <w:rFonts w:ascii="Arial" w:eastAsiaTheme="minorHAnsi" w:hAnsi="Arial" w:cs="Arial"/>
          <w:szCs w:val="20"/>
          <w:lang w:eastAsia="en-US"/>
        </w:rPr>
      </w:pPr>
      <w:r>
        <w:rPr>
          <w:rFonts w:ascii="Arial" w:eastAsiaTheme="minorHAnsi" w:hAnsi="Arial" w:cs="Arial"/>
          <w:szCs w:val="20"/>
          <w:lang w:eastAsia="en-US"/>
        </w:rPr>
        <w:t xml:space="preserve">Ministry of Health </w:t>
      </w:r>
    </w:p>
    <w:p w14:paraId="5259E0C7" w14:textId="20446AD1" w:rsidR="00301611" w:rsidRPr="00215E31" w:rsidRDefault="00301611" w:rsidP="00301611">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Accident Compensation Corporation</w:t>
      </w:r>
    </w:p>
    <w:p w14:paraId="699D4B2D" w14:textId="485A8960" w:rsidR="00301611" w:rsidRPr="00215E31" w:rsidRDefault="00301611" w:rsidP="00173F60">
      <w:pPr>
        <w:pStyle w:val="BodyText"/>
        <w:jc w:val="both"/>
        <w:rPr>
          <w:rFonts w:ascii="Arial" w:eastAsiaTheme="minorHAnsi" w:hAnsi="Arial" w:cs="Arial"/>
          <w:szCs w:val="20"/>
          <w:lang w:eastAsia="en-US"/>
        </w:rPr>
        <w:sectPr w:rsidR="00301611" w:rsidRPr="00215E31">
          <w:pgSz w:w="11906" w:h="16838"/>
          <w:pgMar w:top="1440" w:right="1440" w:bottom="1440" w:left="1440" w:header="708" w:footer="708" w:gutter="0"/>
          <w:cols w:space="708"/>
          <w:docGrid w:linePitch="360"/>
        </w:sectPr>
      </w:pPr>
      <w:r>
        <w:rPr>
          <w:rFonts w:ascii="Arial" w:eastAsiaTheme="minorHAnsi" w:hAnsi="Arial" w:cs="Arial"/>
          <w:szCs w:val="20"/>
          <w:lang w:eastAsia="en-US"/>
        </w:rPr>
        <w:t>June</w:t>
      </w:r>
      <w:r w:rsidRPr="00215E31">
        <w:rPr>
          <w:rFonts w:ascii="Arial" w:eastAsiaTheme="minorHAnsi" w:hAnsi="Arial" w:cs="Arial"/>
          <w:szCs w:val="20"/>
          <w:lang w:eastAsia="en-US"/>
        </w:rPr>
        <w:t xml:space="preserve"> 2019</w:t>
      </w:r>
    </w:p>
    <w:p w14:paraId="42767161" w14:textId="77777777" w:rsidR="00C972B4" w:rsidRPr="00215E31" w:rsidRDefault="00C972B4" w:rsidP="00173F60">
      <w:pPr>
        <w:pStyle w:val="BodyText"/>
        <w:jc w:val="both"/>
        <w:rPr>
          <w:rFonts w:ascii="Arial" w:eastAsiaTheme="minorHAnsi" w:hAnsi="Arial" w:cs="Arial"/>
          <w:szCs w:val="20"/>
          <w:u w:val="single"/>
          <w:lang w:eastAsia="en-US"/>
        </w:rPr>
      </w:pPr>
      <w:r w:rsidRPr="00215E31">
        <w:rPr>
          <w:rFonts w:ascii="Arial" w:eastAsiaTheme="minorHAnsi" w:hAnsi="Arial" w:cs="Arial"/>
          <w:szCs w:val="20"/>
          <w:u w:val="single"/>
          <w:lang w:eastAsia="en-US"/>
        </w:rPr>
        <w:lastRenderedPageBreak/>
        <w:t xml:space="preserve">Supporting </w:t>
      </w:r>
      <w:r w:rsidR="0034400C" w:rsidRPr="00215E31">
        <w:rPr>
          <w:rFonts w:ascii="Arial" w:eastAsiaTheme="minorHAnsi" w:hAnsi="Arial" w:cs="Arial"/>
          <w:szCs w:val="20"/>
          <w:u w:val="single"/>
          <w:lang w:eastAsia="en-US"/>
        </w:rPr>
        <w:t xml:space="preserve">technical </w:t>
      </w:r>
      <w:r w:rsidRPr="00215E31">
        <w:rPr>
          <w:rFonts w:ascii="Arial" w:eastAsiaTheme="minorHAnsi" w:hAnsi="Arial" w:cs="Arial"/>
          <w:szCs w:val="20"/>
          <w:u w:val="single"/>
          <w:lang w:eastAsia="en-US"/>
        </w:rPr>
        <w:t>information</w:t>
      </w:r>
    </w:p>
    <w:p w14:paraId="54E865E3" w14:textId="77777777" w:rsidR="00C972B4" w:rsidRPr="00215E31" w:rsidRDefault="00495CD1" w:rsidP="00173F60">
      <w:pPr>
        <w:pStyle w:val="BodyText"/>
        <w:jc w:val="both"/>
        <w:rPr>
          <w:rFonts w:ascii="Arial" w:eastAsiaTheme="minorHAnsi" w:hAnsi="Arial" w:cs="Arial"/>
          <w:i/>
          <w:szCs w:val="20"/>
          <w:lang w:eastAsia="en-US"/>
        </w:rPr>
      </w:pPr>
      <w:hyperlink r:id="rId12" w:history="1">
        <w:r w:rsidR="00C972B4" w:rsidRPr="00215E31">
          <w:rPr>
            <w:rFonts w:ascii="Arial" w:eastAsiaTheme="minorHAnsi" w:hAnsi="Arial" w:cs="Arial"/>
            <w:i/>
            <w:szCs w:val="20"/>
            <w:lang w:eastAsia="en-US"/>
          </w:rPr>
          <w:t>Transport Layer Security</w:t>
        </w:r>
      </w:hyperlink>
      <w:r w:rsidR="00C972B4" w:rsidRPr="00215E31">
        <w:rPr>
          <w:rFonts w:ascii="Arial" w:eastAsiaTheme="minorHAnsi" w:hAnsi="Arial" w:cs="Arial"/>
          <w:i/>
          <w:szCs w:val="20"/>
          <w:lang w:eastAsia="en-US"/>
        </w:rPr>
        <w:t xml:space="preserve"> (TLS)</w:t>
      </w:r>
    </w:p>
    <w:p w14:paraId="72999286" w14:textId="77777777" w:rsidR="00C972B4" w:rsidRPr="00215E31" w:rsidRDefault="00C972B4" w:rsidP="00C972B4">
      <w:pPr>
        <w:pStyle w:val="BodyText"/>
        <w:jc w:val="both"/>
        <w:rPr>
          <w:rFonts w:ascii="Arial" w:hAnsi="Arial" w:cs="Arial"/>
          <w:szCs w:val="20"/>
        </w:rPr>
      </w:pPr>
      <w:r w:rsidRPr="00215E31">
        <w:rPr>
          <w:rFonts w:ascii="Arial" w:eastAsiaTheme="minorHAnsi" w:hAnsi="Arial" w:cs="Arial"/>
          <w:szCs w:val="20"/>
          <w:lang w:eastAsia="en-US"/>
        </w:rPr>
        <w:t xml:space="preserve">TLS, </w:t>
      </w:r>
      <w:r w:rsidRPr="00215E31">
        <w:rPr>
          <w:rFonts w:ascii="Arial" w:hAnsi="Arial" w:cs="Arial"/>
          <w:color w:val="000000"/>
          <w:spacing w:val="5"/>
          <w:szCs w:val="20"/>
        </w:rPr>
        <w:t xml:space="preserve">as defined in Internet Engineering Task Force’s </w:t>
      </w:r>
      <w:hyperlink r:id="rId13" w:history="1">
        <w:r w:rsidRPr="00215E31">
          <w:rPr>
            <w:rStyle w:val="Hyperlink"/>
            <w:rFonts w:ascii="Arial" w:hAnsi="Arial" w:cs="Arial"/>
            <w:spacing w:val="5"/>
            <w:szCs w:val="20"/>
          </w:rPr>
          <w:t>RFC 3207</w:t>
        </w:r>
      </w:hyperlink>
      <w:r w:rsidRPr="00215E31">
        <w:rPr>
          <w:rFonts w:ascii="Arial" w:hAnsi="Arial" w:cs="Arial"/>
          <w:color w:val="000000"/>
          <w:spacing w:val="5"/>
          <w:szCs w:val="20"/>
        </w:rPr>
        <w:t xml:space="preserve"> standard, </w:t>
      </w:r>
      <w:r w:rsidRPr="00215E31">
        <w:rPr>
          <w:rFonts w:ascii="Arial" w:hAnsi="Arial" w:cs="Arial"/>
          <w:szCs w:val="20"/>
        </w:rPr>
        <w:t xml:space="preserve">is a protocol which provides privacy between communicating applications and their users, or between communicating services. When a server and client communicate, well-configured TLS </w:t>
      </w:r>
      <w:r w:rsidR="00AA5442">
        <w:rPr>
          <w:rFonts w:ascii="Arial" w:hAnsi="Arial" w:cs="Arial"/>
          <w:szCs w:val="20"/>
        </w:rPr>
        <w:t>helps protect against</w:t>
      </w:r>
      <w:r w:rsidRPr="00215E31">
        <w:rPr>
          <w:rFonts w:ascii="Arial" w:hAnsi="Arial" w:cs="Arial"/>
          <w:szCs w:val="20"/>
        </w:rPr>
        <w:t xml:space="preserve"> eavesdrop</w:t>
      </w:r>
      <w:r w:rsidR="00AA5442">
        <w:rPr>
          <w:rFonts w:ascii="Arial" w:hAnsi="Arial" w:cs="Arial"/>
          <w:szCs w:val="20"/>
        </w:rPr>
        <w:t>ping</w:t>
      </w:r>
      <w:r w:rsidRPr="00215E31">
        <w:rPr>
          <w:rFonts w:ascii="Arial" w:hAnsi="Arial" w:cs="Arial"/>
          <w:szCs w:val="20"/>
        </w:rPr>
        <w:t xml:space="preserve"> or tamper</w:t>
      </w:r>
      <w:r w:rsidR="00AA5442">
        <w:rPr>
          <w:rFonts w:ascii="Arial" w:hAnsi="Arial" w:cs="Arial"/>
          <w:szCs w:val="20"/>
        </w:rPr>
        <w:t>ing</w:t>
      </w:r>
      <w:r w:rsidRPr="00215E31">
        <w:rPr>
          <w:rFonts w:ascii="Arial" w:hAnsi="Arial" w:cs="Arial"/>
          <w:szCs w:val="20"/>
        </w:rPr>
        <w:t xml:space="preserve"> with message</w:t>
      </w:r>
      <w:r w:rsidR="00AA5442">
        <w:rPr>
          <w:rFonts w:ascii="Arial" w:hAnsi="Arial" w:cs="Arial"/>
          <w:szCs w:val="20"/>
        </w:rPr>
        <w:t>s</w:t>
      </w:r>
      <w:r w:rsidRPr="00215E31">
        <w:rPr>
          <w:rFonts w:ascii="Arial" w:hAnsi="Arial" w:cs="Arial"/>
          <w:szCs w:val="20"/>
        </w:rPr>
        <w:t>.</w:t>
      </w:r>
    </w:p>
    <w:p w14:paraId="08970F73" w14:textId="77777777" w:rsidR="00C972B4" w:rsidRPr="00215E31" w:rsidRDefault="00C972B4" w:rsidP="00C972B4">
      <w:pPr>
        <w:pStyle w:val="ListParagraph"/>
        <w:numPr>
          <w:ilvl w:val="0"/>
          <w:numId w:val="3"/>
        </w:numPr>
        <w:shd w:val="clear" w:color="auto" w:fill="FFFFFF"/>
        <w:spacing w:before="100" w:beforeAutospacing="1" w:after="300" w:line="240" w:lineRule="auto"/>
        <w:jc w:val="both"/>
        <w:textAlignment w:val="baseline"/>
        <w:rPr>
          <w:rFonts w:ascii="Arial" w:hAnsi="Arial" w:cs="Arial"/>
          <w:szCs w:val="20"/>
        </w:rPr>
      </w:pPr>
      <w:r w:rsidRPr="00215E31">
        <w:rPr>
          <w:rFonts w:ascii="Arial" w:hAnsi="Arial" w:cs="Arial"/>
          <w:szCs w:val="20"/>
        </w:rPr>
        <w:t xml:space="preserve">Detailed guidance for configuring, implementing, and deploying TLS for web servers can </w:t>
      </w:r>
      <w:r w:rsidR="00947347" w:rsidRPr="00215E31">
        <w:rPr>
          <w:rFonts w:ascii="Arial" w:hAnsi="Arial" w:cs="Arial"/>
          <w:szCs w:val="20"/>
        </w:rPr>
        <w:t xml:space="preserve">be </w:t>
      </w:r>
      <w:r w:rsidRPr="00215E31">
        <w:rPr>
          <w:rFonts w:ascii="Arial" w:hAnsi="Arial" w:cs="Arial"/>
          <w:szCs w:val="20"/>
        </w:rPr>
        <w:t xml:space="preserve">found </w:t>
      </w:r>
      <w:hyperlink r:id="rId14" w:anchor="profiles" w:history="1">
        <w:r w:rsidRPr="00215E31">
          <w:rPr>
            <w:rStyle w:val="Hyperlink"/>
            <w:rFonts w:ascii="Arial" w:hAnsi="Arial" w:cs="Arial"/>
            <w:szCs w:val="20"/>
          </w:rPr>
          <w:t>here</w:t>
        </w:r>
      </w:hyperlink>
      <w:r w:rsidRPr="00215E31">
        <w:rPr>
          <w:rFonts w:ascii="Arial" w:hAnsi="Arial" w:cs="Arial"/>
          <w:szCs w:val="20"/>
        </w:rPr>
        <w:t>; and</w:t>
      </w:r>
    </w:p>
    <w:p w14:paraId="2638707E" w14:textId="77777777" w:rsidR="00C972B4" w:rsidRPr="00215E31" w:rsidRDefault="00C972B4" w:rsidP="00C972B4">
      <w:pPr>
        <w:pStyle w:val="ListParagraph"/>
        <w:shd w:val="clear" w:color="auto" w:fill="FFFFFF"/>
        <w:spacing w:before="100" w:beforeAutospacing="1" w:after="300" w:line="240" w:lineRule="auto"/>
        <w:jc w:val="both"/>
        <w:textAlignment w:val="baseline"/>
        <w:rPr>
          <w:rFonts w:ascii="Arial" w:hAnsi="Arial" w:cs="Arial"/>
          <w:szCs w:val="20"/>
        </w:rPr>
      </w:pPr>
    </w:p>
    <w:p w14:paraId="5E4050B6" w14:textId="77777777" w:rsidR="00C972B4" w:rsidRPr="00215E31" w:rsidRDefault="00C972B4" w:rsidP="00C972B4">
      <w:pPr>
        <w:pStyle w:val="ListParagraph"/>
        <w:numPr>
          <w:ilvl w:val="0"/>
          <w:numId w:val="3"/>
        </w:numPr>
        <w:shd w:val="clear" w:color="auto" w:fill="FFFFFF"/>
        <w:spacing w:before="100" w:beforeAutospacing="1" w:after="300" w:line="240" w:lineRule="auto"/>
        <w:jc w:val="both"/>
        <w:textAlignment w:val="baseline"/>
        <w:rPr>
          <w:rFonts w:ascii="Arial" w:hAnsi="Arial" w:cs="Arial"/>
          <w:szCs w:val="20"/>
        </w:rPr>
      </w:pPr>
      <w:r w:rsidRPr="00215E31">
        <w:rPr>
          <w:rFonts w:ascii="Arial" w:hAnsi="Arial" w:cs="Arial"/>
          <w:szCs w:val="20"/>
        </w:rPr>
        <w:t xml:space="preserve">Detailed guidance for configuring, implementing, and deploying TLS for mail servers can </w:t>
      </w:r>
      <w:r w:rsidR="00947347" w:rsidRPr="00215E31">
        <w:rPr>
          <w:rFonts w:ascii="Arial" w:hAnsi="Arial" w:cs="Arial"/>
          <w:szCs w:val="20"/>
        </w:rPr>
        <w:t xml:space="preserve">be found </w:t>
      </w:r>
      <w:hyperlink r:id="rId15" w:anchor="transit" w:history="1">
        <w:r w:rsidRPr="00215E31">
          <w:rPr>
            <w:rStyle w:val="Hyperlink"/>
            <w:rFonts w:ascii="Arial" w:hAnsi="Arial" w:cs="Arial"/>
            <w:szCs w:val="20"/>
          </w:rPr>
          <w:t>here</w:t>
        </w:r>
        <w:r w:rsidRPr="00215E31">
          <w:rPr>
            <w:rStyle w:val="Hyperlink"/>
            <w:rFonts w:ascii="Arial" w:hAnsi="Arial" w:cs="Arial"/>
            <w:szCs w:val="20"/>
            <w:u w:val="none"/>
          </w:rPr>
          <w:t>.</w:t>
        </w:r>
      </w:hyperlink>
    </w:p>
    <w:p w14:paraId="64654622" w14:textId="77777777" w:rsidR="00826F64" w:rsidRPr="00215E31" w:rsidRDefault="005C7E44" w:rsidP="00173F60">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 xml:space="preserve">While it </w:t>
      </w:r>
      <w:r w:rsidR="00AB0940" w:rsidRPr="00215E31">
        <w:rPr>
          <w:rFonts w:ascii="Arial" w:eastAsiaTheme="minorHAnsi" w:hAnsi="Arial" w:cs="Arial"/>
          <w:szCs w:val="20"/>
          <w:lang w:eastAsia="en-US"/>
        </w:rPr>
        <w:t xml:space="preserve">is acknowledged that TLS is not a </w:t>
      </w:r>
      <w:r w:rsidR="00C972B4" w:rsidRPr="00215E31">
        <w:rPr>
          <w:rFonts w:ascii="Arial" w:eastAsiaTheme="minorHAnsi" w:hAnsi="Arial" w:cs="Arial"/>
          <w:szCs w:val="20"/>
          <w:lang w:eastAsia="en-US"/>
        </w:rPr>
        <w:t>complete</w:t>
      </w:r>
      <w:r w:rsidR="00AB0940" w:rsidRPr="00215E31">
        <w:rPr>
          <w:rFonts w:ascii="Arial" w:eastAsiaTheme="minorHAnsi" w:hAnsi="Arial" w:cs="Arial"/>
          <w:szCs w:val="20"/>
          <w:lang w:eastAsia="en-US"/>
        </w:rPr>
        <w:t xml:space="preserve"> solution to th</w:t>
      </w:r>
      <w:r w:rsidR="00C972B4" w:rsidRPr="00215E31">
        <w:rPr>
          <w:rFonts w:ascii="Arial" w:eastAsiaTheme="minorHAnsi" w:hAnsi="Arial" w:cs="Arial"/>
          <w:szCs w:val="20"/>
          <w:lang w:eastAsia="en-US"/>
        </w:rPr>
        <w:t xml:space="preserve">e security of </w:t>
      </w:r>
      <w:r w:rsidR="008632D2" w:rsidRPr="00215E31">
        <w:rPr>
          <w:rFonts w:ascii="Arial" w:eastAsiaTheme="minorHAnsi" w:hAnsi="Arial" w:cs="Arial"/>
          <w:szCs w:val="20"/>
          <w:lang w:eastAsia="en-US"/>
        </w:rPr>
        <w:t>e-mail</w:t>
      </w:r>
      <w:r w:rsidR="00AB0940" w:rsidRPr="00215E31">
        <w:rPr>
          <w:rFonts w:ascii="Arial" w:eastAsiaTheme="minorHAnsi" w:hAnsi="Arial" w:cs="Arial"/>
          <w:szCs w:val="20"/>
          <w:lang w:eastAsia="en-US"/>
        </w:rPr>
        <w:t xml:space="preserve">, the primary advantages </w:t>
      </w:r>
      <w:r w:rsidR="00826F64" w:rsidRPr="00215E31">
        <w:rPr>
          <w:rFonts w:ascii="Arial" w:eastAsiaTheme="minorHAnsi" w:hAnsi="Arial" w:cs="Arial"/>
          <w:szCs w:val="20"/>
          <w:lang w:eastAsia="en-US"/>
        </w:rPr>
        <w:t>are that it:</w:t>
      </w:r>
    </w:p>
    <w:p w14:paraId="1C407566" w14:textId="77777777" w:rsidR="003F0C31" w:rsidRPr="00215E31" w:rsidRDefault="003F0C31" w:rsidP="00173F60">
      <w:pPr>
        <w:pStyle w:val="BodyText"/>
        <w:numPr>
          <w:ilvl w:val="0"/>
          <w:numId w:val="6"/>
        </w:numPr>
        <w:jc w:val="both"/>
        <w:rPr>
          <w:rFonts w:ascii="Arial" w:eastAsiaTheme="minorHAnsi" w:hAnsi="Arial" w:cs="Arial"/>
          <w:szCs w:val="20"/>
          <w:lang w:eastAsia="en-US"/>
        </w:rPr>
      </w:pPr>
      <w:r w:rsidRPr="00215E31">
        <w:rPr>
          <w:rFonts w:ascii="Arial" w:eastAsiaTheme="minorHAnsi" w:hAnsi="Arial" w:cs="Arial"/>
          <w:szCs w:val="20"/>
          <w:lang w:eastAsia="en-US"/>
        </w:rPr>
        <w:t xml:space="preserve">can be easily </w:t>
      </w:r>
      <w:r w:rsidR="000979FC" w:rsidRPr="00215E31">
        <w:rPr>
          <w:rFonts w:ascii="Arial" w:eastAsiaTheme="minorHAnsi" w:hAnsi="Arial" w:cs="Arial"/>
          <w:szCs w:val="20"/>
          <w:lang w:eastAsia="en-US"/>
        </w:rPr>
        <w:t>integrated into existing e</w:t>
      </w:r>
      <w:r w:rsidR="006D2E72" w:rsidRPr="00215E31">
        <w:rPr>
          <w:rFonts w:ascii="Arial" w:eastAsiaTheme="minorHAnsi" w:hAnsi="Arial" w:cs="Arial"/>
          <w:szCs w:val="20"/>
          <w:lang w:eastAsia="en-US"/>
        </w:rPr>
        <w:t>-</w:t>
      </w:r>
      <w:r w:rsidR="000979FC" w:rsidRPr="00215E31">
        <w:rPr>
          <w:rFonts w:ascii="Arial" w:eastAsiaTheme="minorHAnsi" w:hAnsi="Arial" w:cs="Arial"/>
          <w:szCs w:val="20"/>
          <w:lang w:eastAsia="en-US"/>
        </w:rPr>
        <w:t xml:space="preserve">mail </w:t>
      </w:r>
      <w:r w:rsidR="006D2E72" w:rsidRPr="00215E31">
        <w:rPr>
          <w:rFonts w:ascii="Arial" w:eastAsiaTheme="minorHAnsi" w:hAnsi="Arial" w:cs="Arial"/>
          <w:szCs w:val="20"/>
          <w:lang w:eastAsia="en-US"/>
        </w:rPr>
        <w:t>servers</w:t>
      </w:r>
      <w:r w:rsidR="000979FC" w:rsidRPr="00215E31">
        <w:rPr>
          <w:rFonts w:ascii="Arial" w:eastAsiaTheme="minorHAnsi" w:hAnsi="Arial" w:cs="Arial"/>
          <w:szCs w:val="20"/>
          <w:lang w:eastAsia="en-US"/>
        </w:rPr>
        <w:t>;</w:t>
      </w:r>
    </w:p>
    <w:p w14:paraId="6FE484DF" w14:textId="77777777" w:rsidR="000979FC" w:rsidRPr="00215E31" w:rsidRDefault="000979FC" w:rsidP="0069173C">
      <w:pPr>
        <w:pStyle w:val="BodyText"/>
        <w:numPr>
          <w:ilvl w:val="0"/>
          <w:numId w:val="6"/>
        </w:numPr>
        <w:jc w:val="both"/>
        <w:rPr>
          <w:rFonts w:ascii="Arial" w:eastAsiaTheme="minorHAnsi" w:hAnsi="Arial" w:cs="Arial"/>
          <w:szCs w:val="20"/>
          <w:lang w:eastAsia="en-US"/>
        </w:rPr>
      </w:pPr>
      <w:r w:rsidRPr="00215E31">
        <w:rPr>
          <w:rFonts w:ascii="Arial" w:eastAsiaTheme="minorHAnsi" w:hAnsi="Arial" w:cs="Arial"/>
          <w:szCs w:val="20"/>
          <w:lang w:eastAsia="en-US"/>
        </w:rPr>
        <w:t>i</w:t>
      </w:r>
      <w:r w:rsidR="00947347" w:rsidRPr="00215E31">
        <w:rPr>
          <w:rFonts w:ascii="Arial" w:eastAsiaTheme="minorHAnsi" w:hAnsi="Arial" w:cs="Arial"/>
          <w:szCs w:val="20"/>
          <w:lang w:eastAsia="en-US"/>
        </w:rPr>
        <w:t>s</w:t>
      </w:r>
      <w:r w:rsidRPr="00215E31">
        <w:rPr>
          <w:rFonts w:ascii="Arial" w:eastAsiaTheme="minorHAnsi" w:hAnsi="Arial" w:cs="Arial"/>
          <w:szCs w:val="20"/>
          <w:lang w:eastAsia="en-US"/>
        </w:rPr>
        <w:t xml:space="preserve"> universally interoperable across a wide range of e-mail environments;</w:t>
      </w:r>
    </w:p>
    <w:p w14:paraId="2CCA4F68" w14:textId="77777777" w:rsidR="000979FC" w:rsidRPr="00215E31" w:rsidRDefault="000979FC" w:rsidP="0069173C">
      <w:pPr>
        <w:pStyle w:val="BodyText"/>
        <w:numPr>
          <w:ilvl w:val="0"/>
          <w:numId w:val="6"/>
        </w:numPr>
        <w:jc w:val="both"/>
        <w:rPr>
          <w:rFonts w:ascii="Arial" w:eastAsiaTheme="minorHAnsi" w:hAnsi="Arial" w:cs="Arial"/>
          <w:szCs w:val="20"/>
          <w:lang w:eastAsia="en-US"/>
        </w:rPr>
      </w:pPr>
      <w:r w:rsidRPr="00215E31">
        <w:rPr>
          <w:rFonts w:ascii="Arial" w:eastAsiaTheme="minorHAnsi" w:hAnsi="Arial" w:cs="Arial"/>
          <w:szCs w:val="20"/>
          <w:lang w:eastAsia="en-US"/>
        </w:rPr>
        <w:t xml:space="preserve">is able to </w:t>
      </w:r>
      <w:r w:rsidR="00947347" w:rsidRPr="00215E31">
        <w:rPr>
          <w:rFonts w:ascii="Arial" w:eastAsiaTheme="minorHAnsi" w:hAnsi="Arial" w:cs="Arial"/>
          <w:szCs w:val="20"/>
          <w:lang w:eastAsia="en-US"/>
        </w:rPr>
        <w:t xml:space="preserve">be </w:t>
      </w:r>
      <w:r w:rsidRPr="00215E31">
        <w:rPr>
          <w:rFonts w:ascii="Arial" w:eastAsiaTheme="minorHAnsi" w:hAnsi="Arial" w:cs="Arial"/>
          <w:szCs w:val="20"/>
          <w:lang w:eastAsia="en-US"/>
        </w:rPr>
        <w:t>easily implemented into/configured within existing ICT environments; and</w:t>
      </w:r>
    </w:p>
    <w:p w14:paraId="68550DF0" w14:textId="77777777" w:rsidR="000979FC" w:rsidRPr="00215E31" w:rsidRDefault="00AA5442" w:rsidP="0069173C">
      <w:pPr>
        <w:pStyle w:val="BodyText"/>
        <w:numPr>
          <w:ilvl w:val="0"/>
          <w:numId w:val="6"/>
        </w:numPr>
        <w:jc w:val="both"/>
        <w:rPr>
          <w:rFonts w:ascii="Arial" w:eastAsiaTheme="minorHAnsi" w:hAnsi="Arial" w:cs="Arial"/>
          <w:szCs w:val="20"/>
          <w:lang w:eastAsia="en-US"/>
        </w:rPr>
      </w:pPr>
      <w:proofErr w:type="gramStart"/>
      <w:r>
        <w:rPr>
          <w:rFonts w:ascii="Arial" w:eastAsiaTheme="minorHAnsi" w:hAnsi="Arial" w:cs="Arial"/>
          <w:szCs w:val="20"/>
          <w:lang w:eastAsia="en-US"/>
        </w:rPr>
        <w:t>often</w:t>
      </w:r>
      <w:proofErr w:type="gramEnd"/>
      <w:r>
        <w:rPr>
          <w:rFonts w:ascii="Arial" w:eastAsiaTheme="minorHAnsi" w:hAnsi="Arial" w:cs="Arial"/>
          <w:szCs w:val="20"/>
          <w:lang w:eastAsia="en-US"/>
        </w:rPr>
        <w:t xml:space="preserve"> </w:t>
      </w:r>
      <w:r w:rsidR="000979FC" w:rsidRPr="00215E31">
        <w:rPr>
          <w:rFonts w:ascii="Arial" w:eastAsiaTheme="minorHAnsi" w:hAnsi="Arial" w:cs="Arial"/>
          <w:szCs w:val="20"/>
          <w:lang w:eastAsia="en-US"/>
        </w:rPr>
        <w:t xml:space="preserve">has no/very low financial barrier to entry. </w:t>
      </w:r>
    </w:p>
    <w:p w14:paraId="26F2F4E4" w14:textId="77777777" w:rsidR="00571767" w:rsidRPr="00215E31" w:rsidRDefault="00AF4FF6" w:rsidP="0069173C">
      <w:pPr>
        <w:pStyle w:val="BodyText"/>
        <w:jc w:val="both"/>
        <w:rPr>
          <w:rFonts w:ascii="Arial" w:eastAsiaTheme="minorHAnsi" w:hAnsi="Arial" w:cs="Arial"/>
          <w:i/>
          <w:szCs w:val="20"/>
          <w:lang w:eastAsia="en-US"/>
        </w:rPr>
      </w:pPr>
      <w:r w:rsidRPr="00215E31">
        <w:rPr>
          <w:rFonts w:ascii="Arial" w:eastAsiaTheme="minorHAnsi" w:hAnsi="Arial" w:cs="Arial"/>
          <w:i/>
          <w:szCs w:val="20"/>
          <w:lang w:eastAsia="en-US"/>
        </w:rPr>
        <w:t xml:space="preserve">Securing </w:t>
      </w:r>
      <w:r w:rsidR="00AF39BE" w:rsidRPr="00215E31">
        <w:rPr>
          <w:rFonts w:ascii="Arial" w:eastAsiaTheme="minorHAnsi" w:hAnsi="Arial" w:cs="Arial"/>
          <w:i/>
          <w:szCs w:val="20"/>
          <w:lang w:eastAsia="en-US"/>
        </w:rPr>
        <w:t>f</w:t>
      </w:r>
      <w:r w:rsidRPr="00215E31">
        <w:rPr>
          <w:rFonts w:ascii="Arial" w:eastAsiaTheme="minorHAnsi" w:hAnsi="Arial" w:cs="Arial"/>
          <w:i/>
          <w:szCs w:val="20"/>
          <w:lang w:eastAsia="en-US"/>
        </w:rPr>
        <w:t>ax-to-</w:t>
      </w:r>
      <w:r w:rsidR="008632D2" w:rsidRPr="00215E31">
        <w:rPr>
          <w:rFonts w:ascii="Arial" w:eastAsiaTheme="minorHAnsi" w:hAnsi="Arial" w:cs="Arial"/>
          <w:i/>
          <w:szCs w:val="20"/>
          <w:lang w:eastAsia="en-US"/>
        </w:rPr>
        <w:t>e-mail</w:t>
      </w:r>
    </w:p>
    <w:p w14:paraId="51A9A8BE" w14:textId="77777777" w:rsidR="000C7A3D" w:rsidRPr="00215E31" w:rsidRDefault="000C7A3D" w:rsidP="000C7A3D">
      <w:pPr>
        <w:pStyle w:val="BodyText"/>
        <w:jc w:val="both"/>
        <w:rPr>
          <w:rFonts w:ascii="Arial" w:eastAsiaTheme="minorHAnsi" w:hAnsi="Arial" w:cs="Arial"/>
          <w:szCs w:val="20"/>
          <w:lang w:eastAsia="en-US"/>
        </w:rPr>
      </w:pPr>
      <w:r w:rsidRPr="00215E31">
        <w:rPr>
          <w:rFonts w:ascii="Arial" w:eastAsiaTheme="minorHAnsi" w:hAnsi="Arial" w:cs="Arial"/>
          <w:szCs w:val="20"/>
          <w:lang w:eastAsia="en-US"/>
        </w:rPr>
        <w:t>To support this technology migration, the following detailed guidance and advice is provided:</w:t>
      </w:r>
    </w:p>
    <w:p w14:paraId="74BB59A9" w14:textId="77777777" w:rsidR="000C7A3D" w:rsidRPr="00215E31" w:rsidRDefault="000C7A3D" w:rsidP="000C7A3D">
      <w:pPr>
        <w:pStyle w:val="BodyText"/>
        <w:numPr>
          <w:ilvl w:val="0"/>
          <w:numId w:val="7"/>
        </w:numPr>
        <w:jc w:val="both"/>
        <w:rPr>
          <w:rFonts w:ascii="Arial" w:eastAsiaTheme="minorHAnsi" w:hAnsi="Arial" w:cs="Arial"/>
          <w:szCs w:val="20"/>
          <w:lang w:eastAsia="en-US"/>
        </w:rPr>
      </w:pPr>
      <w:r w:rsidRPr="00215E31">
        <w:rPr>
          <w:rFonts w:ascii="Arial" w:eastAsiaTheme="minorHAnsi" w:hAnsi="Arial" w:cs="Arial"/>
          <w:szCs w:val="20"/>
          <w:lang w:eastAsia="en-US"/>
        </w:rPr>
        <w:t>MFD configur</w:t>
      </w:r>
      <w:r w:rsidR="0034400C" w:rsidRPr="00215E31">
        <w:rPr>
          <w:rFonts w:ascii="Arial" w:eastAsiaTheme="minorHAnsi" w:hAnsi="Arial" w:cs="Arial"/>
          <w:szCs w:val="20"/>
          <w:lang w:eastAsia="en-US"/>
        </w:rPr>
        <w:t>ation</w:t>
      </w:r>
      <w:r w:rsidRPr="00215E31">
        <w:rPr>
          <w:rFonts w:ascii="Arial" w:eastAsiaTheme="minorHAnsi" w:hAnsi="Arial" w:cs="Arial"/>
          <w:szCs w:val="20"/>
          <w:lang w:eastAsia="en-US"/>
        </w:rPr>
        <w:t xml:space="preserve"> </w:t>
      </w:r>
      <w:hyperlink r:id="rId16" w:history="1">
        <w:r w:rsidRPr="00215E31">
          <w:rPr>
            <w:rStyle w:val="Hyperlink"/>
            <w:rFonts w:ascii="Arial" w:eastAsiaTheme="minorHAnsi" w:hAnsi="Arial" w:cs="Arial"/>
            <w:szCs w:val="20"/>
            <w:lang w:eastAsia="en-US"/>
          </w:rPr>
          <w:t>guidance</w:t>
        </w:r>
      </w:hyperlink>
      <w:r w:rsidRPr="00215E31">
        <w:rPr>
          <w:rFonts w:ascii="Arial" w:eastAsiaTheme="minorHAnsi" w:hAnsi="Arial" w:cs="Arial"/>
          <w:szCs w:val="20"/>
          <w:lang w:eastAsia="en-US"/>
        </w:rPr>
        <w:t xml:space="preserve"> and </w:t>
      </w:r>
      <w:hyperlink r:id="rId17" w:history="1">
        <w:r w:rsidRPr="00215E31">
          <w:rPr>
            <w:rStyle w:val="Hyperlink"/>
            <w:rFonts w:ascii="Arial" w:eastAsiaTheme="minorHAnsi" w:hAnsi="Arial" w:cs="Arial"/>
            <w:szCs w:val="20"/>
            <w:lang w:eastAsia="en-US"/>
          </w:rPr>
          <w:t>advice</w:t>
        </w:r>
      </w:hyperlink>
      <w:r w:rsidRPr="00215E31">
        <w:rPr>
          <w:rFonts w:ascii="Arial" w:eastAsiaTheme="minorHAnsi" w:hAnsi="Arial" w:cs="Arial"/>
          <w:szCs w:val="20"/>
          <w:lang w:eastAsia="en-US"/>
        </w:rPr>
        <w:t xml:space="preserve">; </w:t>
      </w:r>
    </w:p>
    <w:p w14:paraId="526BA407" w14:textId="77777777" w:rsidR="000C7A3D" w:rsidRPr="00215E31" w:rsidRDefault="000C7A3D" w:rsidP="000C7A3D">
      <w:pPr>
        <w:pStyle w:val="BodyText"/>
        <w:numPr>
          <w:ilvl w:val="0"/>
          <w:numId w:val="7"/>
        </w:numPr>
        <w:jc w:val="both"/>
        <w:rPr>
          <w:rFonts w:ascii="Arial" w:eastAsiaTheme="minorHAnsi" w:hAnsi="Arial" w:cs="Arial"/>
          <w:szCs w:val="20"/>
          <w:lang w:eastAsia="en-US"/>
        </w:rPr>
      </w:pPr>
      <w:r w:rsidRPr="00215E31">
        <w:rPr>
          <w:rFonts w:ascii="Arial" w:eastAsiaTheme="minorHAnsi" w:hAnsi="Arial" w:cs="Arial"/>
          <w:szCs w:val="20"/>
          <w:lang w:eastAsia="en-US"/>
        </w:rPr>
        <w:t>MFD</w:t>
      </w:r>
      <w:r w:rsidR="0034400C" w:rsidRPr="00215E31">
        <w:rPr>
          <w:rFonts w:ascii="Arial" w:eastAsiaTheme="minorHAnsi" w:hAnsi="Arial" w:cs="Arial"/>
          <w:szCs w:val="20"/>
          <w:lang w:eastAsia="en-US"/>
        </w:rPr>
        <w:t xml:space="preserve"> risk-assessment: </w:t>
      </w:r>
      <w:hyperlink r:id="rId18" w:history="1">
        <w:r w:rsidRPr="00215E31">
          <w:rPr>
            <w:rStyle w:val="Hyperlink"/>
            <w:rFonts w:ascii="Arial" w:eastAsiaTheme="minorHAnsi" w:hAnsi="Arial" w:cs="Arial"/>
            <w:szCs w:val="20"/>
            <w:lang w:eastAsia="en-US"/>
          </w:rPr>
          <w:t>FTC advice</w:t>
        </w:r>
      </w:hyperlink>
      <w:r w:rsidRPr="00215E31">
        <w:rPr>
          <w:rFonts w:ascii="Arial" w:eastAsiaTheme="minorHAnsi" w:hAnsi="Arial" w:cs="Arial"/>
          <w:szCs w:val="20"/>
          <w:lang w:eastAsia="en-US"/>
        </w:rPr>
        <w:t xml:space="preserve"> and  </w:t>
      </w:r>
      <w:hyperlink r:id="rId19" w:history="1">
        <w:r w:rsidRPr="00215E31">
          <w:rPr>
            <w:rStyle w:val="Hyperlink"/>
            <w:rFonts w:ascii="Arial" w:eastAsiaTheme="minorHAnsi" w:hAnsi="Arial" w:cs="Arial"/>
            <w:szCs w:val="20"/>
            <w:lang w:eastAsia="en-US"/>
          </w:rPr>
          <w:t>NIST guidance</w:t>
        </w:r>
      </w:hyperlink>
    </w:p>
    <w:p w14:paraId="06806F4C" w14:textId="77777777" w:rsidR="00FC6914" w:rsidRPr="00215E31" w:rsidRDefault="000C7A3D" w:rsidP="00811A5F">
      <w:pPr>
        <w:pStyle w:val="BodyText"/>
        <w:numPr>
          <w:ilvl w:val="0"/>
          <w:numId w:val="7"/>
        </w:numPr>
        <w:jc w:val="both"/>
        <w:rPr>
          <w:rStyle w:val="Hyperlink"/>
          <w:rFonts w:ascii="Arial" w:eastAsiaTheme="minorHAnsi" w:hAnsi="Arial" w:cs="Arial"/>
          <w:color w:val="auto"/>
          <w:szCs w:val="20"/>
          <w:u w:val="none"/>
          <w:lang w:eastAsia="en-US"/>
        </w:rPr>
      </w:pPr>
      <w:r w:rsidRPr="00215E31">
        <w:rPr>
          <w:rFonts w:ascii="Arial" w:eastAsiaTheme="minorHAnsi" w:hAnsi="Arial" w:cs="Arial"/>
          <w:szCs w:val="20"/>
          <w:lang w:eastAsia="en-US"/>
        </w:rPr>
        <w:t>MFD</w:t>
      </w:r>
      <w:r w:rsidR="0034400C" w:rsidRPr="00215E31">
        <w:rPr>
          <w:rFonts w:ascii="Arial" w:eastAsiaTheme="minorHAnsi" w:hAnsi="Arial" w:cs="Arial"/>
          <w:szCs w:val="20"/>
          <w:lang w:eastAsia="en-US"/>
        </w:rPr>
        <w:t xml:space="preserve"> </w:t>
      </w:r>
      <w:r w:rsidRPr="00215E31">
        <w:rPr>
          <w:rFonts w:ascii="Arial" w:eastAsiaTheme="minorHAnsi" w:hAnsi="Arial" w:cs="Arial"/>
          <w:szCs w:val="20"/>
          <w:lang w:eastAsia="en-US"/>
        </w:rPr>
        <w:t>network</w:t>
      </w:r>
      <w:r w:rsidR="0034400C" w:rsidRPr="00215E31">
        <w:rPr>
          <w:rFonts w:ascii="Arial" w:eastAsiaTheme="minorHAnsi" w:hAnsi="Arial" w:cs="Arial"/>
          <w:szCs w:val="20"/>
          <w:lang w:eastAsia="en-US"/>
        </w:rPr>
        <w:t xml:space="preserve">ing: </w:t>
      </w:r>
      <w:hyperlink r:id="rId20" w:history="1">
        <w:r w:rsidR="00BD2602" w:rsidRPr="00215E31">
          <w:rPr>
            <w:rStyle w:val="Hyperlink"/>
            <w:rFonts w:ascii="Arial" w:eastAsiaTheme="minorHAnsi" w:hAnsi="Arial" w:cs="Arial"/>
            <w:szCs w:val="20"/>
            <w:lang w:eastAsia="en-US"/>
          </w:rPr>
          <w:t>SMTPS</w:t>
        </w:r>
      </w:hyperlink>
      <w:r w:rsidR="00BD2602" w:rsidRPr="00215E31">
        <w:rPr>
          <w:rFonts w:eastAsiaTheme="minorHAnsi"/>
          <w:sz w:val="24"/>
        </w:rPr>
        <w:t xml:space="preserve"> </w:t>
      </w:r>
      <w:r w:rsidR="00BD2602" w:rsidRPr="00215E31">
        <w:rPr>
          <w:rFonts w:ascii="Arial" w:eastAsiaTheme="minorHAnsi" w:hAnsi="Arial" w:cs="Arial"/>
          <w:szCs w:val="20"/>
          <w:lang w:eastAsia="en-US"/>
        </w:rPr>
        <w:t xml:space="preserve">and its </w:t>
      </w:r>
      <w:hyperlink r:id="rId21" w:history="1">
        <w:r w:rsidR="00BD2602" w:rsidRPr="00215E31">
          <w:rPr>
            <w:rStyle w:val="Hyperlink"/>
            <w:rFonts w:ascii="Arial" w:eastAsiaTheme="minorHAnsi" w:hAnsi="Arial" w:cs="Arial"/>
            <w:szCs w:val="20"/>
            <w:lang w:eastAsia="en-US"/>
          </w:rPr>
          <w:t>configuration</w:t>
        </w:r>
      </w:hyperlink>
      <w:r w:rsidR="00013ECC" w:rsidRPr="00215E31">
        <w:rPr>
          <w:rFonts w:ascii="Arial" w:eastAsiaTheme="minorHAnsi" w:hAnsi="Arial" w:cs="Arial"/>
          <w:szCs w:val="20"/>
          <w:lang w:eastAsia="en-US"/>
        </w:rPr>
        <w:t>.</w:t>
      </w:r>
    </w:p>
    <w:p w14:paraId="083A666B" w14:textId="77777777" w:rsidR="00D81176" w:rsidRPr="00215E31" w:rsidRDefault="00D81176" w:rsidP="00D81176">
      <w:pPr>
        <w:pStyle w:val="BodyText"/>
        <w:jc w:val="both"/>
        <w:rPr>
          <w:rFonts w:ascii="Arial" w:eastAsiaTheme="minorHAnsi" w:hAnsi="Arial" w:cs="Arial"/>
          <w:szCs w:val="20"/>
          <w:lang w:eastAsia="en-US"/>
        </w:rPr>
      </w:pPr>
    </w:p>
    <w:sectPr w:rsidR="00D81176" w:rsidRPr="00215E3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17DCC" w16cid:durableId="207A7A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DA1C" w14:textId="77777777" w:rsidR="009844B8" w:rsidRDefault="009844B8" w:rsidP="00625C17">
      <w:pPr>
        <w:spacing w:after="0" w:line="240" w:lineRule="auto"/>
      </w:pPr>
      <w:r>
        <w:separator/>
      </w:r>
    </w:p>
  </w:endnote>
  <w:endnote w:type="continuationSeparator" w:id="0">
    <w:p w14:paraId="393BF521" w14:textId="77777777" w:rsidR="009844B8" w:rsidRDefault="009844B8" w:rsidP="0062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7F62" w14:textId="77777777" w:rsidR="009844B8" w:rsidRDefault="009844B8" w:rsidP="00625C17">
      <w:pPr>
        <w:spacing w:after="0" w:line="240" w:lineRule="auto"/>
      </w:pPr>
      <w:r>
        <w:separator/>
      </w:r>
    </w:p>
  </w:footnote>
  <w:footnote w:type="continuationSeparator" w:id="0">
    <w:p w14:paraId="5E64BB60" w14:textId="77777777" w:rsidR="009844B8" w:rsidRDefault="009844B8" w:rsidP="00625C17">
      <w:pPr>
        <w:spacing w:after="0" w:line="240" w:lineRule="auto"/>
      </w:pPr>
      <w:r>
        <w:continuationSeparator/>
      </w:r>
    </w:p>
  </w:footnote>
  <w:footnote w:id="1">
    <w:p w14:paraId="3B209A8A" w14:textId="77777777" w:rsidR="007D6F2F" w:rsidRDefault="007D6F2F">
      <w:pPr>
        <w:pStyle w:val="FootnoteText"/>
      </w:pPr>
      <w:r>
        <w:rPr>
          <w:rStyle w:val="FootnoteReference"/>
        </w:rPr>
        <w:footnoteRef/>
      </w:r>
      <w:r>
        <w:t xml:space="preserve"> </w:t>
      </w:r>
      <w:r w:rsidRPr="00E60CB3">
        <w:t>Health Information Privacy Code [Rule 5]</w:t>
      </w:r>
    </w:p>
  </w:footnote>
  <w:footnote w:id="2">
    <w:p w14:paraId="33D1369F" w14:textId="1A2BE4A2" w:rsidR="007D6F2F" w:rsidRDefault="007D6F2F">
      <w:pPr>
        <w:pStyle w:val="FootnoteText"/>
      </w:pPr>
      <w:r>
        <w:rPr>
          <w:rStyle w:val="FootnoteReference"/>
        </w:rPr>
        <w:footnoteRef/>
      </w:r>
      <w:r>
        <w:t xml:space="preserve"> The health and disability sector interact frequently with ACC using both fax and digital communications; ACC support a transition to the use of secure digital communications </w:t>
      </w:r>
    </w:p>
  </w:footnote>
  <w:footnote w:id="3">
    <w:p w14:paraId="6CD567D6" w14:textId="1DE7D152" w:rsidR="007D6F2F" w:rsidRDefault="007D6F2F">
      <w:pPr>
        <w:pStyle w:val="FootnoteText"/>
      </w:pPr>
      <w:r>
        <w:rPr>
          <w:rStyle w:val="FootnoteReference"/>
        </w:rPr>
        <w:footnoteRef/>
      </w:r>
      <w:r>
        <w:t xml:space="preserve"> Where the replacement of analogue fax with digital alternatives is inconsistent with current regulations and policy agencies should contact the Ministry of Health for support.  The Ministry of Health is actively seeking a waiver to allow the use of digital alternatives to fax for prescriptions. </w:t>
      </w:r>
    </w:p>
  </w:footnote>
  <w:footnote w:id="4">
    <w:p w14:paraId="7F0DD0CA" w14:textId="2A4CC81F" w:rsidR="005204CF" w:rsidRDefault="005204CF">
      <w:pPr>
        <w:pStyle w:val="FootnoteText"/>
      </w:pPr>
      <w:r>
        <w:rPr>
          <w:rStyle w:val="FootnoteReference"/>
        </w:rPr>
        <w:footnoteRef/>
      </w:r>
      <w:r>
        <w:t xml:space="preserve"> Note that some MFDs will provide an analogue fax function.  This should not be used unless it has been configured to use secure email to transmit the document as it will continue to have the same security risks as a standalone fax machine.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FDB"/>
    <w:multiLevelType w:val="hybridMultilevel"/>
    <w:tmpl w:val="0EAE73C0"/>
    <w:lvl w:ilvl="0" w:tplc="22F8CD22">
      <w:start w:val="1"/>
      <w:numFmt w:val="bullet"/>
      <w:lvlText w:val="•"/>
      <w:lvlJc w:val="left"/>
      <w:pPr>
        <w:tabs>
          <w:tab w:val="num" w:pos="720"/>
        </w:tabs>
        <w:ind w:left="720" w:hanging="360"/>
      </w:pPr>
      <w:rPr>
        <w:rFonts w:ascii="Arial" w:hAnsi="Arial" w:hint="default"/>
      </w:rPr>
    </w:lvl>
    <w:lvl w:ilvl="1" w:tplc="0BD69478" w:tentative="1">
      <w:start w:val="1"/>
      <w:numFmt w:val="bullet"/>
      <w:lvlText w:val="•"/>
      <w:lvlJc w:val="left"/>
      <w:pPr>
        <w:tabs>
          <w:tab w:val="num" w:pos="1440"/>
        </w:tabs>
        <w:ind w:left="1440" w:hanging="360"/>
      </w:pPr>
      <w:rPr>
        <w:rFonts w:ascii="Arial" w:hAnsi="Arial" w:hint="default"/>
      </w:rPr>
    </w:lvl>
    <w:lvl w:ilvl="2" w:tplc="241475DC" w:tentative="1">
      <w:start w:val="1"/>
      <w:numFmt w:val="bullet"/>
      <w:lvlText w:val="•"/>
      <w:lvlJc w:val="left"/>
      <w:pPr>
        <w:tabs>
          <w:tab w:val="num" w:pos="2160"/>
        </w:tabs>
        <w:ind w:left="2160" w:hanging="360"/>
      </w:pPr>
      <w:rPr>
        <w:rFonts w:ascii="Arial" w:hAnsi="Arial" w:hint="default"/>
      </w:rPr>
    </w:lvl>
    <w:lvl w:ilvl="3" w:tplc="D59680FA" w:tentative="1">
      <w:start w:val="1"/>
      <w:numFmt w:val="bullet"/>
      <w:lvlText w:val="•"/>
      <w:lvlJc w:val="left"/>
      <w:pPr>
        <w:tabs>
          <w:tab w:val="num" w:pos="2880"/>
        </w:tabs>
        <w:ind w:left="2880" w:hanging="360"/>
      </w:pPr>
      <w:rPr>
        <w:rFonts w:ascii="Arial" w:hAnsi="Arial" w:hint="default"/>
      </w:rPr>
    </w:lvl>
    <w:lvl w:ilvl="4" w:tplc="9DA2FDCE" w:tentative="1">
      <w:start w:val="1"/>
      <w:numFmt w:val="bullet"/>
      <w:lvlText w:val="•"/>
      <w:lvlJc w:val="left"/>
      <w:pPr>
        <w:tabs>
          <w:tab w:val="num" w:pos="3600"/>
        </w:tabs>
        <w:ind w:left="3600" w:hanging="360"/>
      </w:pPr>
      <w:rPr>
        <w:rFonts w:ascii="Arial" w:hAnsi="Arial" w:hint="default"/>
      </w:rPr>
    </w:lvl>
    <w:lvl w:ilvl="5" w:tplc="6FA69E02" w:tentative="1">
      <w:start w:val="1"/>
      <w:numFmt w:val="bullet"/>
      <w:lvlText w:val="•"/>
      <w:lvlJc w:val="left"/>
      <w:pPr>
        <w:tabs>
          <w:tab w:val="num" w:pos="4320"/>
        </w:tabs>
        <w:ind w:left="4320" w:hanging="360"/>
      </w:pPr>
      <w:rPr>
        <w:rFonts w:ascii="Arial" w:hAnsi="Arial" w:hint="default"/>
      </w:rPr>
    </w:lvl>
    <w:lvl w:ilvl="6" w:tplc="2794CE22" w:tentative="1">
      <w:start w:val="1"/>
      <w:numFmt w:val="bullet"/>
      <w:lvlText w:val="•"/>
      <w:lvlJc w:val="left"/>
      <w:pPr>
        <w:tabs>
          <w:tab w:val="num" w:pos="5040"/>
        </w:tabs>
        <w:ind w:left="5040" w:hanging="360"/>
      </w:pPr>
      <w:rPr>
        <w:rFonts w:ascii="Arial" w:hAnsi="Arial" w:hint="default"/>
      </w:rPr>
    </w:lvl>
    <w:lvl w:ilvl="7" w:tplc="8D928116" w:tentative="1">
      <w:start w:val="1"/>
      <w:numFmt w:val="bullet"/>
      <w:lvlText w:val="•"/>
      <w:lvlJc w:val="left"/>
      <w:pPr>
        <w:tabs>
          <w:tab w:val="num" w:pos="5760"/>
        </w:tabs>
        <w:ind w:left="5760" w:hanging="360"/>
      </w:pPr>
      <w:rPr>
        <w:rFonts w:ascii="Arial" w:hAnsi="Arial" w:hint="default"/>
      </w:rPr>
    </w:lvl>
    <w:lvl w:ilvl="8" w:tplc="C82CCD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822DA"/>
    <w:multiLevelType w:val="hybridMultilevel"/>
    <w:tmpl w:val="80108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B203049"/>
    <w:multiLevelType w:val="hybridMultilevel"/>
    <w:tmpl w:val="5E6CAC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4956F0"/>
    <w:multiLevelType w:val="hybridMultilevel"/>
    <w:tmpl w:val="FAAEB27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3A6C55"/>
    <w:multiLevelType w:val="hybridMultilevel"/>
    <w:tmpl w:val="2CEA5F3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6F02838"/>
    <w:multiLevelType w:val="hybridMultilevel"/>
    <w:tmpl w:val="0C8EDF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E43DDE"/>
    <w:multiLevelType w:val="hybridMultilevel"/>
    <w:tmpl w:val="58E24CC6"/>
    <w:lvl w:ilvl="0" w:tplc="A87647A6">
      <w:start w:val="1"/>
      <w:numFmt w:val="decimal"/>
      <w:lvlText w:val="%1."/>
      <w:lvlJc w:val="left"/>
      <w:pPr>
        <w:tabs>
          <w:tab w:val="num" w:pos="720"/>
        </w:tabs>
        <w:ind w:left="720" w:hanging="360"/>
      </w:pPr>
    </w:lvl>
    <w:lvl w:ilvl="1" w:tplc="168668A4">
      <w:start w:val="1"/>
      <w:numFmt w:val="decimal"/>
      <w:lvlText w:val="%2."/>
      <w:lvlJc w:val="left"/>
      <w:pPr>
        <w:tabs>
          <w:tab w:val="num" w:pos="1440"/>
        </w:tabs>
        <w:ind w:left="1440" w:hanging="360"/>
      </w:pPr>
    </w:lvl>
    <w:lvl w:ilvl="2" w:tplc="C002A95E">
      <w:start w:val="193"/>
      <w:numFmt w:val="bullet"/>
      <w:lvlText w:val="•"/>
      <w:lvlJc w:val="left"/>
      <w:pPr>
        <w:tabs>
          <w:tab w:val="num" w:pos="2160"/>
        </w:tabs>
        <w:ind w:left="2160" w:hanging="360"/>
      </w:pPr>
      <w:rPr>
        <w:rFonts w:ascii="Arial" w:hAnsi="Arial" w:hint="default"/>
      </w:rPr>
    </w:lvl>
    <w:lvl w:ilvl="3" w:tplc="3022CD68" w:tentative="1">
      <w:start w:val="1"/>
      <w:numFmt w:val="decimal"/>
      <w:lvlText w:val="%4."/>
      <w:lvlJc w:val="left"/>
      <w:pPr>
        <w:tabs>
          <w:tab w:val="num" w:pos="2880"/>
        </w:tabs>
        <w:ind w:left="2880" w:hanging="360"/>
      </w:pPr>
    </w:lvl>
    <w:lvl w:ilvl="4" w:tplc="C26C3464" w:tentative="1">
      <w:start w:val="1"/>
      <w:numFmt w:val="decimal"/>
      <w:lvlText w:val="%5."/>
      <w:lvlJc w:val="left"/>
      <w:pPr>
        <w:tabs>
          <w:tab w:val="num" w:pos="3600"/>
        </w:tabs>
        <w:ind w:left="3600" w:hanging="360"/>
      </w:pPr>
    </w:lvl>
    <w:lvl w:ilvl="5" w:tplc="4AA650CA" w:tentative="1">
      <w:start w:val="1"/>
      <w:numFmt w:val="decimal"/>
      <w:lvlText w:val="%6."/>
      <w:lvlJc w:val="left"/>
      <w:pPr>
        <w:tabs>
          <w:tab w:val="num" w:pos="4320"/>
        </w:tabs>
        <w:ind w:left="4320" w:hanging="360"/>
      </w:pPr>
    </w:lvl>
    <w:lvl w:ilvl="6" w:tplc="CA8863B8" w:tentative="1">
      <w:start w:val="1"/>
      <w:numFmt w:val="decimal"/>
      <w:lvlText w:val="%7."/>
      <w:lvlJc w:val="left"/>
      <w:pPr>
        <w:tabs>
          <w:tab w:val="num" w:pos="5040"/>
        </w:tabs>
        <w:ind w:left="5040" w:hanging="360"/>
      </w:pPr>
    </w:lvl>
    <w:lvl w:ilvl="7" w:tplc="082A793A" w:tentative="1">
      <w:start w:val="1"/>
      <w:numFmt w:val="decimal"/>
      <w:lvlText w:val="%8."/>
      <w:lvlJc w:val="left"/>
      <w:pPr>
        <w:tabs>
          <w:tab w:val="num" w:pos="5760"/>
        </w:tabs>
        <w:ind w:left="5760" w:hanging="360"/>
      </w:pPr>
    </w:lvl>
    <w:lvl w:ilvl="8" w:tplc="47F856A6" w:tentative="1">
      <w:start w:val="1"/>
      <w:numFmt w:val="decimal"/>
      <w:lvlText w:val="%9."/>
      <w:lvlJc w:val="left"/>
      <w:pPr>
        <w:tabs>
          <w:tab w:val="num" w:pos="6480"/>
        </w:tabs>
        <w:ind w:left="6480" w:hanging="360"/>
      </w:pPr>
    </w:lvl>
  </w:abstractNum>
  <w:abstractNum w:abstractNumId="7" w15:restartNumberingAfterBreak="0">
    <w:nsid w:val="4EA73481"/>
    <w:multiLevelType w:val="hybridMultilevel"/>
    <w:tmpl w:val="E4041A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031F05"/>
    <w:multiLevelType w:val="hybridMultilevel"/>
    <w:tmpl w:val="50DC69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A310DF"/>
    <w:multiLevelType w:val="multilevel"/>
    <w:tmpl w:val="C39E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67240"/>
    <w:multiLevelType w:val="hybridMultilevel"/>
    <w:tmpl w:val="33B650E2"/>
    <w:lvl w:ilvl="0" w:tplc="788E7CEE">
      <w:start w:val="1"/>
      <w:numFmt w:val="bullet"/>
      <w:pStyle w:val="FortableclosetoLedgebyAC"/>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10"/>
  </w:num>
  <w:num w:numId="6">
    <w:abstractNumId w:val="3"/>
  </w:num>
  <w:num w:numId="7">
    <w:abstractNumId w:val="7"/>
  </w:num>
  <w:num w:numId="8">
    <w:abstractNumId w:val="9"/>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84"/>
    <w:rsid w:val="000041C4"/>
    <w:rsid w:val="0000683C"/>
    <w:rsid w:val="00013ECC"/>
    <w:rsid w:val="000536F3"/>
    <w:rsid w:val="000577C2"/>
    <w:rsid w:val="000666D6"/>
    <w:rsid w:val="000979FC"/>
    <w:rsid w:val="000B4455"/>
    <w:rsid w:val="000C7A3D"/>
    <w:rsid w:val="000D0E9E"/>
    <w:rsid w:val="00106967"/>
    <w:rsid w:val="00173F60"/>
    <w:rsid w:val="00181A2B"/>
    <w:rsid w:val="00182873"/>
    <w:rsid w:val="001B425D"/>
    <w:rsid w:val="001C60FB"/>
    <w:rsid w:val="001E26DB"/>
    <w:rsid w:val="001E4881"/>
    <w:rsid w:val="001F574A"/>
    <w:rsid w:val="00215E31"/>
    <w:rsid w:val="00265521"/>
    <w:rsid w:val="00276B32"/>
    <w:rsid w:val="002905ED"/>
    <w:rsid w:val="002A0775"/>
    <w:rsid w:val="002E5A1D"/>
    <w:rsid w:val="002F6D4C"/>
    <w:rsid w:val="00301611"/>
    <w:rsid w:val="0034400C"/>
    <w:rsid w:val="003641D7"/>
    <w:rsid w:val="00367382"/>
    <w:rsid w:val="0038326D"/>
    <w:rsid w:val="003B0A63"/>
    <w:rsid w:val="003C14F1"/>
    <w:rsid w:val="003C7A32"/>
    <w:rsid w:val="003D15DF"/>
    <w:rsid w:val="003E1573"/>
    <w:rsid w:val="003E629B"/>
    <w:rsid w:val="003F0C31"/>
    <w:rsid w:val="00412917"/>
    <w:rsid w:val="00436EED"/>
    <w:rsid w:val="0044510A"/>
    <w:rsid w:val="00447F26"/>
    <w:rsid w:val="004504E6"/>
    <w:rsid w:val="0045098D"/>
    <w:rsid w:val="00462683"/>
    <w:rsid w:val="004672F7"/>
    <w:rsid w:val="00471F10"/>
    <w:rsid w:val="00472CED"/>
    <w:rsid w:val="004869A8"/>
    <w:rsid w:val="00490B6B"/>
    <w:rsid w:val="0049289C"/>
    <w:rsid w:val="00493394"/>
    <w:rsid w:val="00495CD1"/>
    <w:rsid w:val="004A7CB8"/>
    <w:rsid w:val="004B2575"/>
    <w:rsid w:val="004E7708"/>
    <w:rsid w:val="005204CF"/>
    <w:rsid w:val="00525936"/>
    <w:rsid w:val="005441B5"/>
    <w:rsid w:val="00571767"/>
    <w:rsid w:val="005929E8"/>
    <w:rsid w:val="00595A78"/>
    <w:rsid w:val="005C7E44"/>
    <w:rsid w:val="005E63E8"/>
    <w:rsid w:val="0062481A"/>
    <w:rsid w:val="00625C17"/>
    <w:rsid w:val="00632A93"/>
    <w:rsid w:val="00634E7B"/>
    <w:rsid w:val="006416D5"/>
    <w:rsid w:val="00657EE3"/>
    <w:rsid w:val="00666C71"/>
    <w:rsid w:val="006760B6"/>
    <w:rsid w:val="006819D3"/>
    <w:rsid w:val="0069173C"/>
    <w:rsid w:val="00694284"/>
    <w:rsid w:val="006B0DA5"/>
    <w:rsid w:val="006B443A"/>
    <w:rsid w:val="006D2E72"/>
    <w:rsid w:val="006D3140"/>
    <w:rsid w:val="006D3C55"/>
    <w:rsid w:val="00707745"/>
    <w:rsid w:val="007209C7"/>
    <w:rsid w:val="00727A5D"/>
    <w:rsid w:val="007352BE"/>
    <w:rsid w:val="00757EF6"/>
    <w:rsid w:val="00791D20"/>
    <w:rsid w:val="007D620E"/>
    <w:rsid w:val="007D6F2F"/>
    <w:rsid w:val="007E6638"/>
    <w:rsid w:val="007F7CB3"/>
    <w:rsid w:val="0080727D"/>
    <w:rsid w:val="008106E8"/>
    <w:rsid w:val="00811A5F"/>
    <w:rsid w:val="00812A4F"/>
    <w:rsid w:val="00826F64"/>
    <w:rsid w:val="008338CA"/>
    <w:rsid w:val="00836147"/>
    <w:rsid w:val="00841E7F"/>
    <w:rsid w:val="00843CE9"/>
    <w:rsid w:val="00845A72"/>
    <w:rsid w:val="008534DF"/>
    <w:rsid w:val="008632D2"/>
    <w:rsid w:val="008B3AE4"/>
    <w:rsid w:val="008B5209"/>
    <w:rsid w:val="008C284C"/>
    <w:rsid w:val="00912037"/>
    <w:rsid w:val="009166F2"/>
    <w:rsid w:val="00947347"/>
    <w:rsid w:val="00972267"/>
    <w:rsid w:val="00973799"/>
    <w:rsid w:val="0097726F"/>
    <w:rsid w:val="009844B8"/>
    <w:rsid w:val="009A69F6"/>
    <w:rsid w:val="009C6B54"/>
    <w:rsid w:val="009D09F2"/>
    <w:rsid w:val="009E1B03"/>
    <w:rsid w:val="00A05A7E"/>
    <w:rsid w:val="00A169D7"/>
    <w:rsid w:val="00A3105C"/>
    <w:rsid w:val="00A66FB8"/>
    <w:rsid w:val="00A8574B"/>
    <w:rsid w:val="00AA5442"/>
    <w:rsid w:val="00AB0940"/>
    <w:rsid w:val="00AC2E5C"/>
    <w:rsid w:val="00AD5B58"/>
    <w:rsid w:val="00AD617F"/>
    <w:rsid w:val="00AE4261"/>
    <w:rsid w:val="00AF39BE"/>
    <w:rsid w:val="00AF4FF6"/>
    <w:rsid w:val="00B175AE"/>
    <w:rsid w:val="00B21671"/>
    <w:rsid w:val="00B27567"/>
    <w:rsid w:val="00B45850"/>
    <w:rsid w:val="00B6061A"/>
    <w:rsid w:val="00B609C8"/>
    <w:rsid w:val="00B81F55"/>
    <w:rsid w:val="00BA480C"/>
    <w:rsid w:val="00BD2587"/>
    <w:rsid w:val="00BD2602"/>
    <w:rsid w:val="00BF305E"/>
    <w:rsid w:val="00BF671B"/>
    <w:rsid w:val="00C23025"/>
    <w:rsid w:val="00C715C2"/>
    <w:rsid w:val="00C82DE8"/>
    <w:rsid w:val="00C93F7C"/>
    <w:rsid w:val="00C972B4"/>
    <w:rsid w:val="00CA4C70"/>
    <w:rsid w:val="00CD77FC"/>
    <w:rsid w:val="00CE0CAD"/>
    <w:rsid w:val="00CF4A1E"/>
    <w:rsid w:val="00D065B6"/>
    <w:rsid w:val="00D337EC"/>
    <w:rsid w:val="00D36575"/>
    <w:rsid w:val="00D44E91"/>
    <w:rsid w:val="00D54584"/>
    <w:rsid w:val="00D62871"/>
    <w:rsid w:val="00D71315"/>
    <w:rsid w:val="00D72D9C"/>
    <w:rsid w:val="00D81176"/>
    <w:rsid w:val="00D85136"/>
    <w:rsid w:val="00D871D9"/>
    <w:rsid w:val="00DB6F3C"/>
    <w:rsid w:val="00E13E25"/>
    <w:rsid w:val="00E17542"/>
    <w:rsid w:val="00E273E6"/>
    <w:rsid w:val="00E43EDF"/>
    <w:rsid w:val="00E47498"/>
    <w:rsid w:val="00E60CB3"/>
    <w:rsid w:val="00E626A2"/>
    <w:rsid w:val="00E807B5"/>
    <w:rsid w:val="00E86BA2"/>
    <w:rsid w:val="00EC4D49"/>
    <w:rsid w:val="00EC4E63"/>
    <w:rsid w:val="00ED7D57"/>
    <w:rsid w:val="00EF73AF"/>
    <w:rsid w:val="00F10DAA"/>
    <w:rsid w:val="00F1497B"/>
    <w:rsid w:val="00F55B93"/>
    <w:rsid w:val="00F7021F"/>
    <w:rsid w:val="00F94F5C"/>
    <w:rsid w:val="00F97D26"/>
    <w:rsid w:val="00FA003D"/>
    <w:rsid w:val="00FC6914"/>
    <w:rsid w:val="00FD37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AFCA"/>
  <w15:chartTrackingRefBased/>
  <w15:docId w15:val="{CAA45F4C-1B3A-4DD7-8F0B-ADD6634E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65B6"/>
    <w:pPr>
      <w:jc w:val="both"/>
      <w:outlineLvl w:val="1"/>
    </w:pPr>
    <w:rPr>
      <w:rFonts w:ascii="Arial"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9C"/>
    <w:pPr>
      <w:ind w:left="720"/>
      <w:contextualSpacing/>
    </w:pPr>
  </w:style>
  <w:style w:type="paragraph" w:styleId="NormalWeb">
    <w:name w:val="Normal (Web)"/>
    <w:basedOn w:val="Normal"/>
    <w:uiPriority w:val="99"/>
    <w:semiHidden/>
    <w:unhideWhenUsed/>
    <w:rsid w:val="005929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odyText">
    <w:name w:val="Body Text"/>
    <w:basedOn w:val="Normal"/>
    <w:link w:val="BodyTextChar"/>
    <w:unhideWhenUsed/>
    <w:qFormat/>
    <w:rsid w:val="00E273E6"/>
    <w:pPr>
      <w:spacing w:before="120" w:after="120" w:line="276" w:lineRule="auto"/>
    </w:pPr>
    <w:rPr>
      <w:rFonts w:ascii="Georgia" w:eastAsia="Times New Roman" w:hAnsi="Georgia" w:cs="Times New Roman"/>
      <w:szCs w:val="24"/>
      <w:lang w:eastAsia="en-GB"/>
    </w:rPr>
  </w:style>
  <w:style w:type="character" w:customStyle="1" w:styleId="BodyTextChar">
    <w:name w:val="Body Text Char"/>
    <w:basedOn w:val="DefaultParagraphFont"/>
    <w:link w:val="BodyText"/>
    <w:rsid w:val="00E273E6"/>
    <w:rPr>
      <w:rFonts w:ascii="Georgia" w:eastAsia="Times New Roman" w:hAnsi="Georgia" w:cs="Times New Roman"/>
      <w:szCs w:val="24"/>
      <w:lang w:eastAsia="en-GB"/>
    </w:rPr>
  </w:style>
  <w:style w:type="paragraph" w:customStyle="1" w:styleId="Default">
    <w:name w:val="Default"/>
    <w:rsid w:val="008534D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rsid w:val="00ED7D57"/>
    <w:rPr>
      <w:sz w:val="16"/>
      <w:szCs w:val="16"/>
    </w:rPr>
  </w:style>
  <w:style w:type="paragraph" w:customStyle="1" w:styleId="Tabletext">
    <w:name w:val="Table text"/>
    <w:basedOn w:val="Normal"/>
    <w:rsid w:val="00ED7D57"/>
    <w:pPr>
      <w:widowControl w:val="0"/>
      <w:suppressAutoHyphens/>
      <w:spacing w:before="60" w:after="60" w:line="276" w:lineRule="auto"/>
    </w:pPr>
    <w:rPr>
      <w:rFonts w:ascii="Georgia" w:eastAsia="Times New Roman" w:hAnsi="Georgia" w:cs="Times New Roman"/>
      <w:szCs w:val="24"/>
      <w:lang w:eastAsia="ar-SA"/>
    </w:rPr>
  </w:style>
  <w:style w:type="paragraph" w:customStyle="1" w:styleId="FortableclosetoLedgebyAC">
    <w:name w:val="For table close to L edge by AC"/>
    <w:basedOn w:val="Tabletext"/>
    <w:qFormat/>
    <w:rsid w:val="00ED7D57"/>
    <w:pPr>
      <w:widowControl/>
      <w:numPr>
        <w:numId w:val="5"/>
      </w:numPr>
      <w:suppressAutoHyphens w:val="0"/>
      <w:spacing w:before="0"/>
      <w:ind w:left="499" w:hanging="357"/>
    </w:pPr>
    <w:rPr>
      <w:szCs w:val="20"/>
    </w:rPr>
  </w:style>
  <w:style w:type="character" w:styleId="Hyperlink">
    <w:name w:val="Hyperlink"/>
    <w:basedOn w:val="DefaultParagraphFont"/>
    <w:uiPriority w:val="99"/>
    <w:unhideWhenUsed/>
    <w:rsid w:val="008C284C"/>
    <w:rPr>
      <w:color w:val="0563C1" w:themeColor="hyperlink"/>
      <w:u w:val="single"/>
    </w:rPr>
  </w:style>
  <w:style w:type="character" w:styleId="FollowedHyperlink">
    <w:name w:val="FollowedHyperlink"/>
    <w:basedOn w:val="DefaultParagraphFont"/>
    <w:uiPriority w:val="99"/>
    <w:semiHidden/>
    <w:unhideWhenUsed/>
    <w:rsid w:val="00AF4FF6"/>
    <w:rPr>
      <w:color w:val="954F72" w:themeColor="followedHyperlink"/>
      <w:u w:val="single"/>
    </w:rPr>
  </w:style>
  <w:style w:type="paragraph" w:styleId="FootnoteText">
    <w:name w:val="footnote text"/>
    <w:basedOn w:val="Normal"/>
    <w:link w:val="FootnoteTextChar"/>
    <w:uiPriority w:val="99"/>
    <w:semiHidden/>
    <w:unhideWhenUsed/>
    <w:rsid w:val="00625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C17"/>
    <w:rPr>
      <w:sz w:val="20"/>
      <w:szCs w:val="20"/>
    </w:rPr>
  </w:style>
  <w:style w:type="character" w:styleId="FootnoteReference">
    <w:name w:val="footnote reference"/>
    <w:basedOn w:val="DefaultParagraphFont"/>
    <w:uiPriority w:val="99"/>
    <w:semiHidden/>
    <w:unhideWhenUsed/>
    <w:rsid w:val="00625C17"/>
    <w:rPr>
      <w:vertAlign w:val="superscript"/>
    </w:rPr>
  </w:style>
  <w:style w:type="paragraph" w:styleId="CommentText">
    <w:name w:val="annotation text"/>
    <w:basedOn w:val="Normal"/>
    <w:link w:val="CommentTextChar"/>
    <w:uiPriority w:val="99"/>
    <w:semiHidden/>
    <w:unhideWhenUsed/>
    <w:rsid w:val="003C7A32"/>
    <w:pPr>
      <w:spacing w:line="240" w:lineRule="auto"/>
    </w:pPr>
    <w:rPr>
      <w:sz w:val="20"/>
      <w:szCs w:val="20"/>
    </w:rPr>
  </w:style>
  <w:style w:type="character" w:customStyle="1" w:styleId="CommentTextChar">
    <w:name w:val="Comment Text Char"/>
    <w:basedOn w:val="DefaultParagraphFont"/>
    <w:link w:val="CommentText"/>
    <w:uiPriority w:val="99"/>
    <w:semiHidden/>
    <w:rsid w:val="003C7A32"/>
    <w:rPr>
      <w:sz w:val="20"/>
      <w:szCs w:val="20"/>
    </w:rPr>
  </w:style>
  <w:style w:type="paragraph" w:styleId="CommentSubject">
    <w:name w:val="annotation subject"/>
    <w:basedOn w:val="CommentText"/>
    <w:next w:val="CommentText"/>
    <w:link w:val="CommentSubjectChar"/>
    <w:uiPriority w:val="99"/>
    <w:semiHidden/>
    <w:unhideWhenUsed/>
    <w:rsid w:val="003C7A32"/>
    <w:rPr>
      <w:b/>
      <w:bCs/>
    </w:rPr>
  </w:style>
  <w:style w:type="character" w:customStyle="1" w:styleId="CommentSubjectChar">
    <w:name w:val="Comment Subject Char"/>
    <w:basedOn w:val="CommentTextChar"/>
    <w:link w:val="CommentSubject"/>
    <w:uiPriority w:val="99"/>
    <w:semiHidden/>
    <w:rsid w:val="003C7A32"/>
    <w:rPr>
      <w:b/>
      <w:bCs/>
      <w:sz w:val="20"/>
      <w:szCs w:val="20"/>
    </w:rPr>
  </w:style>
  <w:style w:type="paragraph" w:styleId="BalloonText">
    <w:name w:val="Balloon Text"/>
    <w:basedOn w:val="Normal"/>
    <w:link w:val="BalloonTextChar"/>
    <w:uiPriority w:val="99"/>
    <w:semiHidden/>
    <w:unhideWhenUsed/>
    <w:rsid w:val="003C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32"/>
    <w:rPr>
      <w:rFonts w:ascii="Segoe UI" w:hAnsi="Segoe UI" w:cs="Segoe UI"/>
      <w:sz w:val="18"/>
      <w:szCs w:val="18"/>
    </w:rPr>
  </w:style>
  <w:style w:type="character" w:customStyle="1" w:styleId="Heading1Char">
    <w:name w:val="Heading 1 Char"/>
    <w:basedOn w:val="DefaultParagraphFont"/>
    <w:link w:val="Heading1"/>
    <w:uiPriority w:val="9"/>
    <w:rsid w:val="003016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65B6"/>
    <w:rPr>
      <w:rFonts w:ascii="Arial"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09306">
      <w:bodyDiv w:val="1"/>
      <w:marLeft w:val="0"/>
      <w:marRight w:val="0"/>
      <w:marTop w:val="0"/>
      <w:marBottom w:val="0"/>
      <w:divBdr>
        <w:top w:val="none" w:sz="0" w:space="0" w:color="auto"/>
        <w:left w:val="none" w:sz="0" w:space="0" w:color="auto"/>
        <w:bottom w:val="none" w:sz="0" w:space="0" w:color="auto"/>
        <w:right w:val="none" w:sz="0" w:space="0" w:color="auto"/>
      </w:divBdr>
    </w:div>
    <w:div w:id="8823252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78">
          <w:marLeft w:val="360"/>
          <w:marRight w:val="0"/>
          <w:marTop w:val="200"/>
          <w:marBottom w:val="0"/>
          <w:divBdr>
            <w:top w:val="none" w:sz="0" w:space="0" w:color="auto"/>
            <w:left w:val="none" w:sz="0" w:space="0" w:color="auto"/>
            <w:bottom w:val="none" w:sz="0" w:space="0" w:color="auto"/>
            <w:right w:val="none" w:sz="0" w:space="0" w:color="auto"/>
          </w:divBdr>
        </w:div>
        <w:div w:id="336541534">
          <w:marLeft w:val="1080"/>
          <w:marRight w:val="0"/>
          <w:marTop w:val="100"/>
          <w:marBottom w:val="0"/>
          <w:divBdr>
            <w:top w:val="none" w:sz="0" w:space="0" w:color="auto"/>
            <w:left w:val="none" w:sz="0" w:space="0" w:color="auto"/>
            <w:bottom w:val="none" w:sz="0" w:space="0" w:color="auto"/>
            <w:right w:val="none" w:sz="0" w:space="0" w:color="auto"/>
          </w:divBdr>
        </w:div>
        <w:div w:id="656495001">
          <w:marLeft w:val="1800"/>
          <w:marRight w:val="0"/>
          <w:marTop w:val="100"/>
          <w:marBottom w:val="0"/>
          <w:divBdr>
            <w:top w:val="none" w:sz="0" w:space="0" w:color="auto"/>
            <w:left w:val="none" w:sz="0" w:space="0" w:color="auto"/>
            <w:bottom w:val="none" w:sz="0" w:space="0" w:color="auto"/>
            <w:right w:val="none" w:sz="0" w:space="0" w:color="auto"/>
          </w:divBdr>
        </w:div>
        <w:div w:id="1603151416">
          <w:marLeft w:val="1800"/>
          <w:marRight w:val="0"/>
          <w:marTop w:val="100"/>
          <w:marBottom w:val="0"/>
          <w:divBdr>
            <w:top w:val="none" w:sz="0" w:space="0" w:color="auto"/>
            <w:left w:val="none" w:sz="0" w:space="0" w:color="auto"/>
            <w:bottom w:val="none" w:sz="0" w:space="0" w:color="auto"/>
            <w:right w:val="none" w:sz="0" w:space="0" w:color="auto"/>
          </w:divBdr>
        </w:div>
      </w:divsChild>
    </w:div>
    <w:div w:id="1744061191">
      <w:bodyDiv w:val="1"/>
      <w:marLeft w:val="0"/>
      <w:marRight w:val="0"/>
      <w:marTop w:val="0"/>
      <w:marBottom w:val="0"/>
      <w:divBdr>
        <w:top w:val="none" w:sz="0" w:space="0" w:color="auto"/>
        <w:left w:val="none" w:sz="0" w:space="0" w:color="auto"/>
        <w:bottom w:val="none" w:sz="0" w:space="0" w:color="auto"/>
        <w:right w:val="none" w:sz="0" w:space="0" w:color="auto"/>
      </w:divBdr>
    </w:div>
    <w:div w:id="1761101271">
      <w:bodyDiv w:val="1"/>
      <w:marLeft w:val="0"/>
      <w:marRight w:val="0"/>
      <w:marTop w:val="0"/>
      <w:marBottom w:val="0"/>
      <w:divBdr>
        <w:top w:val="none" w:sz="0" w:space="0" w:color="auto"/>
        <w:left w:val="none" w:sz="0" w:space="0" w:color="auto"/>
        <w:bottom w:val="none" w:sz="0" w:space="0" w:color="auto"/>
        <w:right w:val="none" w:sz="0" w:space="0" w:color="auto"/>
      </w:divBdr>
      <w:divsChild>
        <w:div w:id="1783838043">
          <w:marLeft w:val="0"/>
          <w:marRight w:val="0"/>
          <w:marTop w:val="0"/>
          <w:marBottom w:val="0"/>
          <w:divBdr>
            <w:top w:val="none" w:sz="0" w:space="0" w:color="auto"/>
            <w:left w:val="none" w:sz="0" w:space="0" w:color="auto"/>
            <w:bottom w:val="none" w:sz="0" w:space="0" w:color="auto"/>
            <w:right w:val="none" w:sz="0" w:space="0" w:color="auto"/>
          </w:divBdr>
          <w:divsChild>
            <w:div w:id="129179176">
              <w:marLeft w:val="0"/>
              <w:marRight w:val="0"/>
              <w:marTop w:val="0"/>
              <w:marBottom w:val="0"/>
              <w:divBdr>
                <w:top w:val="none" w:sz="0" w:space="0" w:color="auto"/>
                <w:left w:val="none" w:sz="0" w:space="0" w:color="auto"/>
                <w:bottom w:val="none" w:sz="0" w:space="0" w:color="auto"/>
                <w:right w:val="none" w:sz="0" w:space="0" w:color="auto"/>
              </w:divBdr>
              <w:divsChild>
                <w:div w:id="1380279864">
                  <w:marLeft w:val="0"/>
                  <w:marRight w:val="0"/>
                  <w:marTop w:val="0"/>
                  <w:marBottom w:val="0"/>
                  <w:divBdr>
                    <w:top w:val="none" w:sz="0" w:space="0" w:color="auto"/>
                    <w:left w:val="none" w:sz="0" w:space="0" w:color="auto"/>
                    <w:bottom w:val="none" w:sz="0" w:space="0" w:color="auto"/>
                    <w:right w:val="none" w:sz="0" w:space="0" w:color="auto"/>
                  </w:divBdr>
                  <w:divsChild>
                    <w:div w:id="1762675249">
                      <w:marLeft w:val="0"/>
                      <w:marRight w:val="0"/>
                      <w:marTop w:val="0"/>
                      <w:marBottom w:val="0"/>
                      <w:divBdr>
                        <w:top w:val="none" w:sz="0" w:space="0" w:color="auto"/>
                        <w:left w:val="none" w:sz="0" w:space="0" w:color="auto"/>
                        <w:bottom w:val="none" w:sz="0" w:space="0" w:color="auto"/>
                        <w:right w:val="none" w:sz="0" w:space="0" w:color="auto"/>
                      </w:divBdr>
                      <w:divsChild>
                        <w:div w:id="2032681374">
                          <w:marLeft w:val="0"/>
                          <w:marRight w:val="0"/>
                          <w:marTop w:val="0"/>
                          <w:marBottom w:val="0"/>
                          <w:divBdr>
                            <w:top w:val="none" w:sz="0" w:space="0" w:color="auto"/>
                            <w:left w:val="none" w:sz="0" w:space="0" w:color="auto"/>
                            <w:bottom w:val="none" w:sz="0" w:space="0" w:color="auto"/>
                            <w:right w:val="none" w:sz="0" w:space="0" w:color="auto"/>
                          </w:divBdr>
                          <w:divsChild>
                            <w:div w:id="749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publication/hiso-100292015-health-information-security-framework" TargetMode="External"/><Relationship Id="rId13" Type="http://schemas.openxmlformats.org/officeDocument/2006/relationships/hyperlink" Target="https://www.ietf.org/rfc/rfc3207.txt" TargetMode="External"/><Relationship Id="rId18" Type="http://schemas.openxmlformats.org/officeDocument/2006/relationships/hyperlink" Target="https://www.ftc.gov/tips-advice/business-center/guidance/digital-copier-data-security-guide-businesses" TargetMode="External"/><Relationship Id="rId3" Type="http://schemas.openxmlformats.org/officeDocument/2006/relationships/styles" Target="styles.xml"/><Relationship Id="rId21" Type="http://schemas.openxmlformats.org/officeDocument/2006/relationships/hyperlink" Target="https://serversmtp.com/secure-smtp/" TargetMode="External"/><Relationship Id="rId7" Type="http://schemas.openxmlformats.org/officeDocument/2006/relationships/endnotes" Target="endnotes.xml"/><Relationship Id="rId12" Type="http://schemas.openxmlformats.org/officeDocument/2006/relationships/hyperlink" Target="https://www.ncsc.nl/english/current-topics/factsheets/it-security-guidelines-for-transport-layer-security-tls.html" TargetMode="External"/><Relationship Id="rId17" Type="http://schemas.openxmlformats.org/officeDocument/2006/relationships/hyperlink" Target="https://www.sans.org/reading-room/whitepapers/networkdevs/auditing-securing-multifunction-devices-1921" TargetMode="External"/><Relationship Id="rId2" Type="http://schemas.openxmlformats.org/officeDocument/2006/relationships/numbering" Target="numbering.xml"/><Relationship Id="rId16" Type="http://schemas.openxmlformats.org/officeDocument/2006/relationships/hyperlink" Target="https://cdt.ca.gov/wp-content/uploads/2017/05/Security-Considerations-for-Multi-Function-Devices-MFD.pdf" TargetMode="External"/><Relationship Id="rId20" Type="http://schemas.openxmlformats.org/officeDocument/2006/relationships/hyperlink" Target="https://www.ietf.org/rfc/rfc3207.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printsolutions.co.uk/mfd/what-is-an-mfd/" TargetMode="External"/><Relationship Id="rId5" Type="http://schemas.openxmlformats.org/officeDocument/2006/relationships/webSettings" Target="webSettings.xml"/><Relationship Id="rId15" Type="http://schemas.openxmlformats.org/officeDocument/2006/relationships/hyperlink" Target="https://www.ncsc.gov.uk/guidance/email-security-and-anti-spoofing" TargetMode="External"/><Relationship Id="rId23" Type="http://schemas.openxmlformats.org/officeDocument/2006/relationships/theme" Target="theme/theme1.xml"/><Relationship Id="rId10" Type="http://schemas.openxmlformats.org/officeDocument/2006/relationships/hyperlink" Target="mailto:security@moh.govt.nz" TargetMode="External"/><Relationship Id="rId19" Type="http://schemas.openxmlformats.org/officeDocument/2006/relationships/hyperlink" Target="https://csrc.nist.gov/publications/detail/nistir/8023/final" TargetMode="External"/><Relationship Id="rId4" Type="http://schemas.openxmlformats.org/officeDocument/2006/relationships/settings" Target="settings.xml"/><Relationship Id="rId9" Type="http://schemas.openxmlformats.org/officeDocument/2006/relationships/hyperlink" Target="https://www.ncsc.nl/english/current-topics/factsheets/it-security-guidelines-for-transport-layer-security-tls.html" TargetMode="External"/><Relationship Id="rId14" Type="http://schemas.openxmlformats.org/officeDocument/2006/relationships/hyperlink" Target="https://www.ncsc.gov.uk/guidance/tls-external-facing-services"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C924-B916-4D48-93A4-9F5DA220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7213B0D3</Template>
  <TotalTime>7</TotalTime>
  <Pages>3</Pages>
  <Words>994</Words>
  <Characters>5890</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Secure digital communications within the NZ health &amp; disability sector: Implementation guidance</vt:lpstr>
    </vt:vector>
  </TitlesOfParts>
  <Company>Ministry of Health</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digital communications within the NZ health &amp; disability sector: Implementation guidance</dc:title>
  <dc:subject/>
  <dc:creator>ACC / Ministry of Health</dc:creator>
  <cp:keywords/>
  <dc:description/>
  <cp:lastModifiedBy>Allan Potter</cp:lastModifiedBy>
  <cp:revision>6</cp:revision>
  <cp:lastPrinted>2019-06-19T21:28:00Z</cp:lastPrinted>
  <dcterms:created xsi:type="dcterms:W3CDTF">2019-06-19T21:29:00Z</dcterms:created>
  <dcterms:modified xsi:type="dcterms:W3CDTF">2019-06-20T23:13:00Z</dcterms:modified>
</cp:coreProperties>
</file>