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B5EB" w14:textId="77777777" w:rsidR="009444B7" w:rsidRDefault="00F32C92" w:rsidP="00026B8A">
      <w:pPr>
        <w:pStyle w:val="Title"/>
        <w:ind w:right="1134"/>
      </w:pPr>
      <w:r>
        <w:t>Māori Descent and Iwi Affiliation Data Protocols</w:t>
      </w:r>
    </w:p>
    <w:p w14:paraId="31C9C5AA" w14:textId="77777777" w:rsidR="0046347E" w:rsidRDefault="00B628CD" w:rsidP="009444B7">
      <w:pPr>
        <w:pStyle w:val="Subhead"/>
      </w:pPr>
      <w:r>
        <w:t>HISO 10094:2020</w:t>
      </w:r>
    </w:p>
    <w:p w14:paraId="7FF4A61D" w14:textId="7FA50F5F" w:rsidR="00C86248" w:rsidRPr="00926083" w:rsidRDefault="0046347E" w:rsidP="009444B7">
      <w:pPr>
        <w:pStyle w:val="Subhead"/>
      </w:pPr>
      <w:r>
        <w:t>PUBLIC COMMENT OUTCOMES</w:t>
      </w:r>
      <w:r w:rsidR="00B628CD">
        <w:br/>
      </w:r>
    </w:p>
    <w:p w14:paraId="6F235D3A" w14:textId="2ED1C086" w:rsidR="005E0B20" w:rsidRPr="0034415A" w:rsidRDefault="0026200E" w:rsidP="0034415A">
      <w:pPr>
        <w:pStyle w:val="Subhead"/>
        <w:rPr>
          <w:sz w:val="28"/>
          <w:szCs w:val="22"/>
        </w:rPr>
      </w:pPr>
      <w:r w:rsidRPr="0034415A">
        <w:rPr>
          <w:sz w:val="28"/>
          <w:szCs w:val="22"/>
        </w:rPr>
        <w:t xml:space="preserve">Published </w:t>
      </w:r>
      <w:r w:rsidR="000B4DA3">
        <w:rPr>
          <w:sz w:val="28"/>
          <w:szCs w:val="22"/>
        </w:rPr>
        <w:t>June</w:t>
      </w:r>
      <w:r w:rsidRPr="0034415A">
        <w:rPr>
          <w:sz w:val="28"/>
          <w:szCs w:val="22"/>
        </w:rPr>
        <w:t xml:space="preserve"> 20</w:t>
      </w:r>
      <w:r w:rsidR="007841D8" w:rsidRPr="0034415A">
        <w:rPr>
          <w:sz w:val="28"/>
          <w:szCs w:val="22"/>
        </w:rPr>
        <w:t>2</w:t>
      </w:r>
      <w:r w:rsidR="0034415A">
        <w:rPr>
          <w:sz w:val="28"/>
          <w:szCs w:val="22"/>
        </w:rPr>
        <w:t>2</w:t>
      </w:r>
    </w:p>
    <w:p w14:paraId="1B3EEE23" w14:textId="77777777" w:rsidR="00C05132" w:rsidRDefault="00C05132" w:rsidP="00A06BE4"/>
    <w:p w14:paraId="58427560" w14:textId="77777777" w:rsidR="00142954" w:rsidRPr="00142954" w:rsidRDefault="00142954" w:rsidP="00142954">
      <w:pPr>
        <w:sectPr w:rsidR="00142954" w:rsidRPr="00142954" w:rsidSect="005A79E5">
          <w:headerReference w:type="default" r:id="rId8"/>
          <w:footerReference w:type="default" r:id="rId9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0AB02038" w14:textId="5A8EF3FE" w:rsidR="00A80363" w:rsidRPr="00C05132" w:rsidRDefault="00A80363" w:rsidP="00CD4088">
      <w:pPr>
        <w:pStyle w:val="Imprint"/>
        <w:spacing w:before="1200"/>
      </w:pPr>
      <w:r w:rsidRPr="00C05132">
        <w:lastRenderedPageBreak/>
        <w:t xml:space="preserve">Citation: </w:t>
      </w:r>
      <w:r w:rsidR="00442C1C" w:rsidRPr="00C05132">
        <w:t xml:space="preserve">Ministry of Health. </w:t>
      </w:r>
      <w:r w:rsidR="003C15DC">
        <w:t>20</w:t>
      </w:r>
      <w:r w:rsidR="007841D8">
        <w:t>2</w:t>
      </w:r>
      <w:r w:rsidR="0034415A">
        <w:t>2</w:t>
      </w:r>
      <w:r w:rsidR="00442C1C" w:rsidRPr="00C05132">
        <w:t xml:space="preserve">. </w:t>
      </w:r>
      <w:r w:rsidR="00491D36">
        <w:rPr>
          <w:i/>
          <w:iCs/>
        </w:rPr>
        <w:t xml:space="preserve">HISO 10094:2022 </w:t>
      </w:r>
      <w:r w:rsidR="00BF0368">
        <w:rPr>
          <w:i/>
        </w:rPr>
        <w:t xml:space="preserve">Māori Descent and Iwi Affiliation Data Protocols – </w:t>
      </w:r>
      <w:r w:rsidR="00EA022D">
        <w:rPr>
          <w:i/>
        </w:rPr>
        <w:t>P</w:t>
      </w:r>
      <w:r w:rsidR="00BF0368">
        <w:rPr>
          <w:i/>
        </w:rPr>
        <w:t>ublic comment</w:t>
      </w:r>
      <w:r w:rsidR="00EA022D">
        <w:rPr>
          <w:i/>
        </w:rPr>
        <w:t xml:space="preserve"> outcomes</w:t>
      </w:r>
      <w:r w:rsidR="00442C1C" w:rsidRPr="00C05132">
        <w:t>. Wellington: Ministry of Health.</w:t>
      </w:r>
    </w:p>
    <w:p w14:paraId="21D0BAE5" w14:textId="0F104397" w:rsidR="00C86248" w:rsidRDefault="00C86248" w:rsidP="00CD4088">
      <w:pPr>
        <w:pStyle w:val="Imprint"/>
      </w:pPr>
      <w:r>
        <w:t xml:space="preserve">Published </w:t>
      </w:r>
      <w:r w:rsidR="000B4DA3">
        <w:t>June</w:t>
      </w:r>
      <w:r w:rsidR="003C15DC">
        <w:t xml:space="preserve"> 20</w:t>
      </w:r>
      <w:r w:rsidR="007841D8">
        <w:t>2</w:t>
      </w:r>
      <w:r w:rsidR="0034415A">
        <w:t>2</w:t>
      </w:r>
      <w:r w:rsidR="00A63DFF">
        <w:t xml:space="preserve"> </w:t>
      </w:r>
      <w:r>
        <w:t>by the</w:t>
      </w:r>
      <w:r w:rsidR="00442C1C">
        <w:t xml:space="preserve"> </w:t>
      </w:r>
      <w:r>
        <w:t>Ministry of Health</w:t>
      </w:r>
      <w:r>
        <w:br/>
        <w:t>PO Box 5013, Wellington</w:t>
      </w:r>
      <w:r w:rsidR="00A80363">
        <w:t xml:space="preserve"> 614</w:t>
      </w:r>
      <w:r w:rsidR="006041F0">
        <w:t>0</w:t>
      </w:r>
      <w:r>
        <w:t xml:space="preserve">, </w:t>
      </w:r>
      <w:r w:rsidR="00571223">
        <w:t>New Zealand</w:t>
      </w:r>
    </w:p>
    <w:p w14:paraId="7DFDA15D" w14:textId="1632E7E9" w:rsidR="00756D8C" w:rsidRPr="00756D8C" w:rsidRDefault="00756D8C" w:rsidP="00756D8C">
      <w:pPr>
        <w:pStyle w:val="Imprint"/>
      </w:pPr>
      <w:r>
        <w:t>HP 8124</w:t>
      </w:r>
    </w:p>
    <w:p w14:paraId="635FE046" w14:textId="76FED354" w:rsidR="00E83CCE" w:rsidRDefault="00E83CCE" w:rsidP="00CD4088">
      <w:pPr>
        <w:pStyle w:val="Imprint"/>
      </w:pPr>
      <w:r>
        <w:t xml:space="preserve">Health Information Standards Organisation (HISO) standards are published by the Ministry of Health for the New Zealand health and disability </w:t>
      </w:r>
      <w:r w:rsidR="001D5F4E">
        <w:t>system</w:t>
      </w:r>
      <w:r w:rsidR="00343390">
        <w:t>.</w:t>
      </w:r>
    </w:p>
    <w:p w14:paraId="702BBB03" w14:textId="77777777" w:rsidR="00C86248" w:rsidRDefault="008C64C4" w:rsidP="00CD4088">
      <w:pPr>
        <w:pStyle w:val="Imprint"/>
      </w:pPr>
      <w:r>
        <w:rPr>
          <w:noProof/>
          <w:lang w:eastAsia="en-NZ"/>
        </w:rPr>
        <w:drawing>
          <wp:inline distT="0" distB="0" distL="0" distR="0" wp14:anchorId="2E1E463F" wp14:editId="5A79A23F">
            <wp:extent cx="1413163" cy="576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5D45" w14:textId="77777777" w:rsidR="00A63DFF" w:rsidRDefault="00A63DFF" w:rsidP="00CD4088">
      <w:pPr>
        <w:pStyle w:val="Imprint"/>
      </w:pPr>
      <w:r>
        <w:t>This document is available at health.govt.nz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194BC17B" w14:textId="77777777" w:rsidTr="00A63DFF">
        <w:trPr>
          <w:cantSplit/>
        </w:trPr>
        <w:tc>
          <w:tcPr>
            <w:tcW w:w="1526" w:type="dxa"/>
          </w:tcPr>
          <w:p w14:paraId="4DB11195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0752300B" wp14:editId="7709D1B6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1CFC6217" w14:textId="6256EF06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copy and redistribute the material in any medium or format; adapt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must give appropriate credit, provide a link to the </w:t>
            </w:r>
            <w:proofErr w:type="gramStart"/>
            <w:r w:rsidRPr="00A63DFF">
              <w:rPr>
                <w:rFonts w:cs="Segoe UI"/>
                <w:bCs/>
                <w:sz w:val="15"/>
                <w:szCs w:val="15"/>
              </w:rPr>
              <w:t>licence</w:t>
            </w:r>
            <w:proofErr w:type="gramEnd"/>
            <w:r w:rsidRPr="00A63DFF">
              <w:rPr>
                <w:rFonts w:cs="Segoe UI"/>
                <w:bCs/>
                <w:sz w:val="15"/>
                <w:szCs w:val="15"/>
              </w:rPr>
              <w:t xml:space="preserve"> and indicate if changes were made.</w:t>
            </w:r>
          </w:p>
        </w:tc>
      </w:tr>
    </w:tbl>
    <w:p w14:paraId="0A4A5D36" w14:textId="77777777" w:rsidR="007E74F1" w:rsidRPr="001F45A7" w:rsidRDefault="007E74F1" w:rsidP="00A63DFF"/>
    <w:p w14:paraId="61E685B4" w14:textId="77777777" w:rsidR="00C86248" w:rsidRDefault="00C86248">
      <w:pPr>
        <w:jc w:val="center"/>
        <w:sectPr w:rsidR="00C86248" w:rsidSect="00C05132">
          <w:footerReference w:type="even" r:id="rId12"/>
          <w:footerReference w:type="default" r:id="rId13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63A44738" w14:textId="77777777" w:rsidR="00C86248" w:rsidRDefault="00C86248" w:rsidP="00025A6F">
      <w:pPr>
        <w:pStyle w:val="IntroHead"/>
      </w:pPr>
      <w:bookmarkStart w:id="0" w:name="_Toc405792991"/>
      <w:bookmarkStart w:id="1" w:name="_Toc405793224"/>
      <w:r>
        <w:lastRenderedPageBreak/>
        <w:t>Contents</w:t>
      </w:r>
      <w:bookmarkEnd w:id="0"/>
      <w:bookmarkEnd w:id="1"/>
    </w:p>
    <w:p w14:paraId="74DDF75F" w14:textId="7C08F31E" w:rsidR="009B53DD" w:rsidRDefault="009B53D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104900520" w:history="1">
        <w:r w:rsidRPr="009F72D4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NZ"/>
          </w:rPr>
          <w:tab/>
        </w:r>
        <w:r w:rsidRPr="009F72D4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_Toc104900520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267EDE7" w14:textId="625AB8B6" w:rsidR="009B53DD" w:rsidRDefault="009B53D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104900521" w:history="1">
        <w:r w:rsidRPr="009F72D4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NZ"/>
          </w:rPr>
          <w:tab/>
        </w:r>
        <w:r w:rsidRPr="009F72D4">
          <w:rPr>
            <w:rStyle w:val="Hyperlink"/>
            <w:noProof/>
          </w:rPr>
          <w:t>Overview of responses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_Toc104900521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81E6A18" w14:textId="1E70AF03" w:rsidR="009B53DD" w:rsidRDefault="009B53D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4900522" w:history="1">
        <w:r w:rsidRPr="009F72D4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9F72D4">
          <w:rPr>
            <w:rStyle w:val="Hyperlink"/>
            <w:noProof/>
          </w:rPr>
          <w:t>Number of responses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_Toc104900522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1D8F6E1" w14:textId="2CEF49F8" w:rsidR="009B53DD" w:rsidRDefault="009B53D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4900523" w:history="1">
        <w:r w:rsidRPr="009F72D4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9F72D4">
          <w:rPr>
            <w:rStyle w:val="Hyperlink"/>
            <w:noProof/>
          </w:rPr>
          <w:t>General comments received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_Toc104900523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B84169E" w14:textId="1FD88EEB" w:rsidR="009B53DD" w:rsidRDefault="009B53D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104900524" w:history="1">
        <w:r w:rsidRPr="009F72D4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NZ"/>
          </w:rPr>
          <w:tab/>
        </w:r>
        <w:r w:rsidRPr="009F72D4">
          <w:rPr>
            <w:rStyle w:val="Hyperlink"/>
            <w:noProof/>
          </w:rPr>
          <w:t>Summary of comments by 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_Toc104900524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646F10" w14:textId="5B8A55F3" w:rsidR="009B53DD" w:rsidRDefault="009B53D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4900525" w:history="1">
        <w:r w:rsidRPr="009F72D4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9F72D4">
          <w:rPr>
            <w:rStyle w:val="Hyperlink"/>
            <w:noProof/>
          </w:rPr>
          <w:t>Comments on the purpose of the protocols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_Toc104900525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9056D1C" w14:textId="1994C404" w:rsidR="009B53DD" w:rsidRDefault="009B53D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4900526" w:history="1">
        <w:r w:rsidRPr="009F72D4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9F72D4">
          <w:rPr>
            <w:rStyle w:val="Hyperlink"/>
            <w:noProof/>
          </w:rPr>
          <w:t>Comments on the scope of the protocols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_Toc104900526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37C321" w14:textId="2FF99085" w:rsidR="009B53DD" w:rsidRDefault="009B53D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4900527" w:history="1">
        <w:r w:rsidRPr="009F72D4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9F72D4">
          <w:rPr>
            <w:rStyle w:val="Hyperlink"/>
            <w:noProof/>
          </w:rPr>
          <w:t>Comments on the background to the protocols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_Toc104900527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645C1D9" w14:textId="47679145" w:rsidR="009B53DD" w:rsidRDefault="009B53D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4900528" w:history="1">
        <w:r w:rsidRPr="009F72D4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9F72D4">
          <w:rPr>
            <w:rStyle w:val="Hyperlink"/>
            <w:noProof/>
          </w:rPr>
          <w:t>Comments on the protocols for collecting Māori descent and iwi affiliation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_Toc104900528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D2A7B25" w14:textId="7BC8D4D8" w:rsidR="009B53DD" w:rsidRDefault="009B53D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4900529" w:history="1">
        <w:r w:rsidRPr="009F72D4">
          <w:rPr>
            <w:rStyle w:val="Hyperlink"/>
            <w:noProof/>
          </w:rPr>
          <w:t>3.5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9F72D4">
          <w:rPr>
            <w:rStyle w:val="Hyperlink"/>
            <w:noProof/>
          </w:rPr>
          <w:t>Comments on the protocols for classifying, coding and recording Māori descent and iwi affiliation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_Toc104900529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1C3280F" w14:textId="5128F00C" w:rsidR="009B53DD" w:rsidRDefault="009B53D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4900530" w:history="1">
        <w:r w:rsidRPr="009F72D4">
          <w:rPr>
            <w:rStyle w:val="Hyperlink"/>
            <w:noProof/>
          </w:rPr>
          <w:t>3.6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9F72D4">
          <w:rPr>
            <w:rStyle w:val="Hyperlink"/>
            <w:noProof/>
          </w:rPr>
          <w:t>Comments on the output of Māori descent and iwi affiliation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_Toc104900530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6E4BDAF" w14:textId="7BEDB412" w:rsidR="009B53DD" w:rsidRDefault="009B53D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04900531" w:history="1">
        <w:r w:rsidRPr="009F72D4">
          <w:rPr>
            <w:rStyle w:val="Hyperlink"/>
            <w:noProof/>
          </w:rPr>
          <w:t>3.7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9F72D4">
          <w:rPr>
            <w:rStyle w:val="Hyperlink"/>
            <w:noProof/>
          </w:rPr>
          <w:t>Comments on adoption and implementation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_Toc104900531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F18D78" w14:textId="704DD4B0" w:rsidR="00C86248" w:rsidRDefault="009B53DD">
      <w:r>
        <w:rPr>
          <w:rFonts w:ascii="Segoe UI Semibold" w:hAnsi="Segoe UI Semibold"/>
          <w:b/>
          <w:sz w:val="24"/>
        </w:rPr>
        <w:fldChar w:fldCharType="end"/>
      </w:r>
    </w:p>
    <w:p w14:paraId="69DA186E" w14:textId="2BF7947A" w:rsidR="002B76A7" w:rsidRPr="00900B65" w:rsidRDefault="002B76A7" w:rsidP="003A5FEA"/>
    <w:p w14:paraId="6EE81B49" w14:textId="77777777" w:rsidR="00900B65" w:rsidRDefault="00900B65" w:rsidP="00900B65"/>
    <w:p w14:paraId="596BABDD" w14:textId="77777777" w:rsidR="001D3E4E" w:rsidRDefault="001D3E4E" w:rsidP="003A5FEA">
      <w:pPr>
        <w:sectPr w:rsidR="001D3E4E" w:rsidSect="0078658E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1A85BA8A" w14:textId="1751FD47" w:rsidR="006E0137" w:rsidRDefault="006E0137" w:rsidP="00743109">
      <w:pPr>
        <w:pStyle w:val="Heading1"/>
      </w:pPr>
      <w:bookmarkStart w:id="2" w:name="_Toc2668371"/>
      <w:bookmarkStart w:id="3" w:name="_Toc104900520"/>
      <w:r>
        <w:lastRenderedPageBreak/>
        <w:t>Purpose</w:t>
      </w:r>
      <w:bookmarkEnd w:id="3"/>
    </w:p>
    <w:p w14:paraId="3E18A787" w14:textId="28325B77" w:rsidR="006E0137" w:rsidRDefault="006E0137" w:rsidP="006E0137">
      <w:r>
        <w:t xml:space="preserve">This document </w:t>
      </w:r>
      <w:r w:rsidR="00576D6C">
        <w:t>summarises</w:t>
      </w:r>
      <w:r>
        <w:t xml:space="preserve"> the outcomes of public comment </w:t>
      </w:r>
      <w:r w:rsidR="0014387C">
        <w:t>on</w:t>
      </w:r>
      <w:r w:rsidR="009B472E">
        <w:t xml:space="preserve"> </w:t>
      </w:r>
      <w:r w:rsidR="0021659B">
        <w:t>draft</w:t>
      </w:r>
      <w:r>
        <w:t xml:space="preserve"> standard HISO 100</w:t>
      </w:r>
      <w:r w:rsidR="00576D6C">
        <w:t>94</w:t>
      </w:r>
      <w:r>
        <w:t xml:space="preserve">:2022 </w:t>
      </w:r>
      <w:r w:rsidRPr="008C3224">
        <w:rPr>
          <w:i/>
          <w:iCs/>
        </w:rPr>
        <w:t>Māori Descent and Iwi Affiliation Data Protocols</w:t>
      </w:r>
      <w:r>
        <w:t>.</w:t>
      </w:r>
    </w:p>
    <w:p w14:paraId="4C46164A" w14:textId="37D20367" w:rsidR="005F5083" w:rsidRDefault="005F5083" w:rsidP="006E0137"/>
    <w:p w14:paraId="43D8BAF3" w14:textId="4C35BF2A" w:rsidR="005F5083" w:rsidRDefault="005F5083" w:rsidP="005F5083">
      <w:r>
        <w:t xml:space="preserve">The protocols </w:t>
      </w:r>
      <w:r w:rsidR="00F97A61">
        <w:t>define</w:t>
      </w:r>
      <w:r>
        <w:t xml:space="preserve"> procedures for the standardised collection, recording and output of Māori descent and iwi affiliation data </w:t>
      </w:r>
      <w:r w:rsidR="00B860EB">
        <w:t xml:space="preserve">in </w:t>
      </w:r>
      <w:r>
        <w:t xml:space="preserve">the </w:t>
      </w:r>
      <w:r w:rsidR="008C3224">
        <w:t xml:space="preserve">Aotearoa New Zealand </w:t>
      </w:r>
      <w:r>
        <w:t>health and disability system.</w:t>
      </w:r>
      <w:r w:rsidR="008C3224" w:rsidRPr="008C3224">
        <w:t xml:space="preserve"> </w:t>
      </w:r>
    </w:p>
    <w:p w14:paraId="0ED95D30" w14:textId="6C88E52D" w:rsidR="005F5083" w:rsidRDefault="005F5083" w:rsidP="006E0137"/>
    <w:p w14:paraId="1196E696" w14:textId="4CECE1EF" w:rsidR="00E92793" w:rsidRDefault="00E92793" w:rsidP="00E92793">
      <w:r>
        <w:t xml:space="preserve">The draft was open for public comment on Health Consultation Hub </w:t>
      </w:r>
      <w:r w:rsidR="00F953D1">
        <w:t>from</w:t>
      </w:r>
      <w:r>
        <w:t xml:space="preserve"> 27 September </w:t>
      </w:r>
      <w:r w:rsidR="00343390">
        <w:t xml:space="preserve">to </w:t>
      </w:r>
      <w:r>
        <w:t>6 December 2021</w:t>
      </w:r>
      <w:r w:rsidR="002419AE">
        <w:t>,</w:t>
      </w:r>
      <w:r>
        <w:t xml:space="preserve"> advertised through HISO</w:t>
      </w:r>
      <w:r w:rsidR="000A55B3">
        <w:t>, Stats NZ and Data Iwi Leaders Group</w:t>
      </w:r>
      <w:r>
        <w:t xml:space="preserve"> channels.</w:t>
      </w:r>
    </w:p>
    <w:p w14:paraId="6518C076" w14:textId="77777777" w:rsidR="00E92793" w:rsidRDefault="00E92793" w:rsidP="00E92793"/>
    <w:p w14:paraId="019C6303" w14:textId="77777777" w:rsidR="00E92793" w:rsidRDefault="00E92793" w:rsidP="00E92793">
      <w:r>
        <w:t>This document summarises the themes, suggestions for improvement and general level of support for the draft standard.</w:t>
      </w:r>
    </w:p>
    <w:p w14:paraId="678F0C08" w14:textId="77777777" w:rsidR="00E92793" w:rsidRDefault="00E92793" w:rsidP="00E92793"/>
    <w:p w14:paraId="75CD739C" w14:textId="5064C1CB" w:rsidR="00E92793" w:rsidRDefault="00E92793" w:rsidP="00E92793">
      <w:r>
        <w:t xml:space="preserve">In seeking public comment, HISO noted </w:t>
      </w:r>
      <w:r w:rsidR="00343390">
        <w:t>the following.</w:t>
      </w:r>
    </w:p>
    <w:p w14:paraId="65D911C5" w14:textId="3BB4E95E" w:rsidR="00E92793" w:rsidRDefault="00E92793" w:rsidP="005652BF">
      <w:pPr>
        <w:pStyle w:val="ListParagraph"/>
        <w:numPr>
          <w:ilvl w:val="0"/>
          <w:numId w:val="8"/>
        </w:numPr>
        <w:spacing w:before="90"/>
        <w:ind w:left="340" w:hanging="340"/>
        <w:contextualSpacing w:val="0"/>
      </w:pPr>
      <w:r>
        <w:t xml:space="preserve">The document is consistent with the </w:t>
      </w:r>
      <w:hyperlink r:id="rId18" w:history="1">
        <w:r w:rsidRPr="0004177D">
          <w:rPr>
            <w:rStyle w:val="Hyperlink"/>
            <w:rFonts w:eastAsia="MS Gothic" w:cs="Segoe UI"/>
          </w:rPr>
          <w:t>Iwi Statistical Standard and Classification</w:t>
        </w:r>
      </w:hyperlink>
      <w:r>
        <w:t xml:space="preserve"> published by Stats NZ</w:t>
      </w:r>
      <w:r w:rsidR="00F2677C">
        <w:t>,</w:t>
      </w:r>
      <w:r>
        <w:t xml:space="preserve"> outlin</w:t>
      </w:r>
      <w:r w:rsidR="00F2677C">
        <w:t>ing</w:t>
      </w:r>
      <w:r>
        <w:t xml:space="preserve"> a set of minimum standards that apply across the health and disability system to all organisations that collect, record and use iwi affiliation data.</w:t>
      </w:r>
    </w:p>
    <w:p w14:paraId="538B9432" w14:textId="77777777" w:rsidR="00E92793" w:rsidRDefault="00E92793" w:rsidP="005652BF">
      <w:pPr>
        <w:pStyle w:val="ListParagraph"/>
        <w:numPr>
          <w:ilvl w:val="0"/>
          <w:numId w:val="8"/>
        </w:numPr>
        <w:spacing w:before="90"/>
        <w:ind w:left="340" w:hanging="340"/>
        <w:contextualSpacing w:val="0"/>
      </w:pPr>
      <w:r>
        <w:t xml:space="preserve">Integration of the protocols into the health and disability system will assist in the ongoing process of improving the quality, </w:t>
      </w:r>
      <w:proofErr w:type="gramStart"/>
      <w:r>
        <w:t>accuracy</w:t>
      </w:r>
      <w:proofErr w:type="gramEnd"/>
      <w:r>
        <w:t xml:space="preserve"> and consistency of iwi affiliation data.</w:t>
      </w:r>
    </w:p>
    <w:p w14:paraId="2CC13601" w14:textId="4781682C" w:rsidR="00E92793" w:rsidRDefault="00E92793" w:rsidP="005652BF">
      <w:pPr>
        <w:pStyle w:val="ListParagraph"/>
        <w:numPr>
          <w:ilvl w:val="0"/>
          <w:numId w:val="8"/>
        </w:numPr>
        <w:spacing w:before="90"/>
        <w:ind w:left="340" w:hanging="340"/>
        <w:contextualSpacing w:val="0"/>
      </w:pPr>
      <w:r>
        <w:t xml:space="preserve">The protocols are draft and will continue to </w:t>
      </w:r>
      <w:r w:rsidR="0035559C">
        <w:t>be developed</w:t>
      </w:r>
      <w:r>
        <w:t xml:space="preserve">, based on experience </w:t>
      </w:r>
      <w:r w:rsidR="0035559C">
        <w:t>from implementation</w:t>
      </w:r>
      <w:r>
        <w:t>.</w:t>
      </w:r>
    </w:p>
    <w:p w14:paraId="5ACCD493" w14:textId="77777777" w:rsidR="005F5083" w:rsidRDefault="005F5083" w:rsidP="006E0137"/>
    <w:p w14:paraId="79BA8ED3" w14:textId="05062CB1" w:rsidR="00C55C14" w:rsidRDefault="00C55C14" w:rsidP="006E0137"/>
    <w:p w14:paraId="58ED357A" w14:textId="77777777" w:rsidR="00C55C14" w:rsidRDefault="00C55C14" w:rsidP="006E0137"/>
    <w:p w14:paraId="52DFB684" w14:textId="77777777" w:rsidR="006E0137" w:rsidRDefault="006E0137" w:rsidP="006E0137"/>
    <w:p w14:paraId="5840912B" w14:textId="3C18B287" w:rsidR="005C5D7F" w:rsidRDefault="007135D9" w:rsidP="00743109">
      <w:pPr>
        <w:pStyle w:val="Heading1"/>
      </w:pPr>
      <w:bookmarkStart w:id="4" w:name="_Toc104900521"/>
      <w:r>
        <w:lastRenderedPageBreak/>
        <w:t>Overview</w:t>
      </w:r>
      <w:r w:rsidR="00805AA1">
        <w:t xml:space="preserve"> of responses</w:t>
      </w:r>
      <w:bookmarkEnd w:id="4"/>
    </w:p>
    <w:p w14:paraId="0CB7EB5B" w14:textId="77777777" w:rsidR="00CA30EA" w:rsidRDefault="00CA30EA" w:rsidP="00CA30EA"/>
    <w:p w14:paraId="452B5B2B" w14:textId="031CD707" w:rsidR="0004177D" w:rsidRDefault="005F79D8" w:rsidP="0004177D">
      <w:r>
        <w:t xml:space="preserve">The Ministry of Health, </w:t>
      </w:r>
      <w:r w:rsidR="00331ED6">
        <w:t xml:space="preserve">Stats NZ, </w:t>
      </w:r>
      <w:r w:rsidR="0020388B">
        <w:t xml:space="preserve">Data Iwi Leaders Group, </w:t>
      </w:r>
      <w:r>
        <w:t xml:space="preserve">Interim Māori Health </w:t>
      </w:r>
      <w:proofErr w:type="gramStart"/>
      <w:r>
        <w:t>Authority</w:t>
      </w:r>
      <w:proofErr w:type="gramEnd"/>
      <w:r>
        <w:t xml:space="preserve"> and Interim Health New Zealand </w:t>
      </w:r>
      <w:r w:rsidR="00540CD2">
        <w:t>were all represented on the public comment evaluation panel.</w:t>
      </w:r>
    </w:p>
    <w:p w14:paraId="751A3DE6" w14:textId="77777777" w:rsidR="0004177D" w:rsidRDefault="0004177D" w:rsidP="0004177D"/>
    <w:p w14:paraId="647431EB" w14:textId="73B273FA" w:rsidR="00357E82" w:rsidRDefault="005A20B2" w:rsidP="00357E82">
      <w:r>
        <w:t>HISO</w:t>
      </w:r>
      <w:r w:rsidR="00357E82">
        <w:t xml:space="preserve"> is grateful for the interest of the public</w:t>
      </w:r>
      <w:r w:rsidR="00343390">
        <w:t>,</w:t>
      </w:r>
      <w:r w:rsidR="00357E82">
        <w:t xml:space="preserve"> and acknowledges the 22 agencies and individuals </w:t>
      </w:r>
      <w:r w:rsidR="00F41FB2">
        <w:t>who</w:t>
      </w:r>
      <w:r w:rsidR="00357E82">
        <w:t xml:space="preserve"> responded</w:t>
      </w:r>
      <w:r w:rsidR="003F38B2">
        <w:t>,</w:t>
      </w:r>
      <w:r w:rsidR="00357E82">
        <w:t xml:space="preserve"> </w:t>
      </w:r>
      <w:r w:rsidR="00121B80">
        <w:t>providing</w:t>
      </w:r>
      <w:r w:rsidR="00357E82">
        <w:t xml:space="preserve"> </w:t>
      </w:r>
      <w:r w:rsidR="003F38B2">
        <w:t xml:space="preserve">a total of </w:t>
      </w:r>
      <w:r w:rsidR="00357E82">
        <w:t>176 comments</w:t>
      </w:r>
      <w:r w:rsidR="00163C36">
        <w:t xml:space="preserve"> on individual points</w:t>
      </w:r>
      <w:r w:rsidR="00357E82">
        <w:t xml:space="preserve">. </w:t>
      </w:r>
    </w:p>
    <w:p w14:paraId="788F1190" w14:textId="23A1C2DE" w:rsidR="0015491B" w:rsidRDefault="0015491B" w:rsidP="00357E82"/>
    <w:p w14:paraId="0FBD7460" w14:textId="6513F8C9" w:rsidR="0015491B" w:rsidRDefault="00E63483" w:rsidP="00357E82">
      <w:pPr>
        <w:rPr>
          <w:lang w:eastAsia="en-NZ"/>
        </w:rPr>
      </w:pPr>
      <w:r>
        <w:rPr>
          <w:lang w:eastAsia="en-NZ"/>
        </w:rPr>
        <w:t>The evaluation panel</w:t>
      </w:r>
      <w:r w:rsidR="0015491B">
        <w:rPr>
          <w:lang w:eastAsia="en-NZ"/>
        </w:rPr>
        <w:t xml:space="preserve"> observed that </w:t>
      </w:r>
      <w:r w:rsidR="00C100C9">
        <w:rPr>
          <w:lang w:eastAsia="en-NZ"/>
        </w:rPr>
        <w:t xml:space="preserve">the </w:t>
      </w:r>
      <w:r>
        <w:rPr>
          <w:lang w:eastAsia="en-NZ"/>
        </w:rPr>
        <w:t xml:space="preserve">new </w:t>
      </w:r>
      <w:r w:rsidR="00C100C9">
        <w:rPr>
          <w:lang w:eastAsia="en-NZ"/>
        </w:rPr>
        <w:t xml:space="preserve">standard </w:t>
      </w:r>
      <w:r>
        <w:rPr>
          <w:lang w:eastAsia="en-NZ"/>
        </w:rPr>
        <w:t xml:space="preserve">had a good overall level of support and </w:t>
      </w:r>
      <w:r w:rsidR="0015491B">
        <w:rPr>
          <w:lang w:eastAsia="en-NZ"/>
        </w:rPr>
        <w:t xml:space="preserve">there </w:t>
      </w:r>
      <w:r w:rsidR="00C100C9">
        <w:rPr>
          <w:lang w:eastAsia="en-NZ"/>
        </w:rPr>
        <w:t>we</w:t>
      </w:r>
      <w:r w:rsidR="0015491B">
        <w:rPr>
          <w:lang w:eastAsia="en-NZ"/>
        </w:rPr>
        <w:t>re no comments expressing opposition to the protocols.</w:t>
      </w:r>
      <w:r w:rsidR="00E94368">
        <w:rPr>
          <w:lang w:eastAsia="en-NZ"/>
        </w:rPr>
        <w:t xml:space="preserve"> </w:t>
      </w:r>
      <w:r w:rsidR="0003445F">
        <w:rPr>
          <w:lang w:eastAsia="en-NZ"/>
        </w:rPr>
        <w:t xml:space="preserve">Many comments offered constructive improvements to the </w:t>
      </w:r>
      <w:r w:rsidR="00BB5077">
        <w:rPr>
          <w:lang w:eastAsia="en-NZ"/>
        </w:rPr>
        <w:t>draft</w:t>
      </w:r>
      <w:r w:rsidR="00C8195B">
        <w:rPr>
          <w:lang w:eastAsia="en-NZ"/>
        </w:rPr>
        <w:t xml:space="preserve">, which were </w:t>
      </w:r>
      <w:r w:rsidR="00750323">
        <w:rPr>
          <w:lang w:eastAsia="en-NZ"/>
        </w:rPr>
        <w:t xml:space="preserve">incorporated </w:t>
      </w:r>
      <w:r w:rsidR="00BB5077">
        <w:rPr>
          <w:lang w:eastAsia="en-NZ"/>
        </w:rPr>
        <w:t xml:space="preserve">for </w:t>
      </w:r>
      <w:r w:rsidR="00750323">
        <w:rPr>
          <w:lang w:eastAsia="en-NZ"/>
        </w:rPr>
        <w:t>publication</w:t>
      </w:r>
      <w:r w:rsidR="00C8195B">
        <w:rPr>
          <w:lang w:eastAsia="en-NZ"/>
        </w:rPr>
        <w:t>.</w:t>
      </w:r>
    </w:p>
    <w:p w14:paraId="201BB281" w14:textId="619BC3CC" w:rsidR="00EC2ADB" w:rsidRDefault="00EC2ADB" w:rsidP="00357E82">
      <w:pPr>
        <w:rPr>
          <w:lang w:eastAsia="en-NZ"/>
        </w:rPr>
      </w:pPr>
    </w:p>
    <w:p w14:paraId="2FB34725" w14:textId="0F5B53DB" w:rsidR="00EC2ADB" w:rsidRDefault="00EC2ADB" w:rsidP="00357E82">
      <w:pPr>
        <w:rPr>
          <w:lang w:eastAsia="en-NZ"/>
        </w:rPr>
      </w:pPr>
      <w:r>
        <w:rPr>
          <w:lang w:eastAsia="en-NZ"/>
        </w:rPr>
        <w:t xml:space="preserve">Other comments </w:t>
      </w:r>
      <w:r w:rsidR="005A41B1">
        <w:rPr>
          <w:lang w:eastAsia="en-NZ"/>
        </w:rPr>
        <w:t>that could not be addressed immediately will be used to inform further development of the protocols</w:t>
      </w:r>
      <w:r w:rsidR="006B6606">
        <w:rPr>
          <w:lang w:eastAsia="en-NZ"/>
        </w:rPr>
        <w:t>.</w:t>
      </w:r>
      <w:r w:rsidR="005A41B1">
        <w:rPr>
          <w:lang w:eastAsia="en-NZ"/>
        </w:rPr>
        <w:t xml:space="preserve"> </w:t>
      </w:r>
    </w:p>
    <w:p w14:paraId="6296CEFF" w14:textId="0A965242" w:rsidR="00D508D4" w:rsidRDefault="00D508D4" w:rsidP="00357E82">
      <w:pPr>
        <w:rPr>
          <w:lang w:eastAsia="en-NZ"/>
        </w:rPr>
      </w:pPr>
    </w:p>
    <w:p w14:paraId="52839D98" w14:textId="4A3C2264" w:rsidR="00D508D4" w:rsidRDefault="00D508D4" w:rsidP="00D508D4">
      <w:r>
        <w:t>Questions were raised that are beyond the present scope of the protocols but relate to implementation</w:t>
      </w:r>
      <w:r w:rsidR="00343390">
        <w:t>.</w:t>
      </w:r>
    </w:p>
    <w:p w14:paraId="1E41AACF" w14:textId="3C12739C" w:rsidR="00D508D4" w:rsidRDefault="00D508D4" w:rsidP="00D508D4">
      <w:pPr>
        <w:pStyle w:val="ListParagraph"/>
        <w:numPr>
          <w:ilvl w:val="0"/>
          <w:numId w:val="8"/>
        </w:numPr>
        <w:spacing w:before="90"/>
        <w:ind w:left="340" w:hanging="340"/>
        <w:contextualSpacing w:val="0"/>
      </w:pPr>
      <w:r>
        <w:t xml:space="preserve">Who collects the information and what </w:t>
      </w:r>
      <w:proofErr w:type="gramStart"/>
      <w:r>
        <w:t>training</w:t>
      </w:r>
      <w:proofErr w:type="gramEnd"/>
      <w:r>
        <w:t xml:space="preserve"> and resources are provided to help</w:t>
      </w:r>
      <w:r w:rsidR="00343390">
        <w:t>?</w:t>
      </w:r>
    </w:p>
    <w:p w14:paraId="584291D4" w14:textId="00003B56" w:rsidR="00D508D4" w:rsidRDefault="00D508D4" w:rsidP="00D508D4">
      <w:pPr>
        <w:pStyle w:val="ListParagraph"/>
        <w:numPr>
          <w:ilvl w:val="0"/>
          <w:numId w:val="8"/>
        </w:numPr>
        <w:spacing w:before="90"/>
        <w:ind w:left="340" w:hanging="340"/>
        <w:contextualSpacing w:val="0"/>
      </w:pPr>
      <w:r>
        <w:t>Where</w:t>
      </w:r>
      <w:r w:rsidR="00343390">
        <w:t xml:space="preserve"> will</w:t>
      </w:r>
      <w:r>
        <w:t xml:space="preserve"> the collected information be held</w:t>
      </w:r>
      <w:r w:rsidR="00343390">
        <w:t>?</w:t>
      </w:r>
    </w:p>
    <w:p w14:paraId="0CE14890" w14:textId="6A6457DE" w:rsidR="00D508D4" w:rsidRDefault="00D508D4" w:rsidP="00D508D4">
      <w:pPr>
        <w:pStyle w:val="ListParagraph"/>
        <w:numPr>
          <w:ilvl w:val="0"/>
          <w:numId w:val="8"/>
        </w:numPr>
        <w:spacing w:before="90"/>
        <w:ind w:left="340" w:hanging="340"/>
        <w:contextualSpacing w:val="0"/>
      </w:pPr>
      <w:r>
        <w:t>Who (agency/person) will govern the information</w:t>
      </w:r>
      <w:r w:rsidR="00343390">
        <w:t>?</w:t>
      </w:r>
    </w:p>
    <w:p w14:paraId="43DE5F81" w14:textId="23F10007" w:rsidR="00D508D4" w:rsidRDefault="00D508D4" w:rsidP="00357E82">
      <w:pPr>
        <w:pStyle w:val="ListParagraph"/>
        <w:numPr>
          <w:ilvl w:val="0"/>
          <w:numId w:val="8"/>
        </w:numPr>
        <w:spacing w:before="90"/>
        <w:ind w:left="340" w:hanging="340"/>
        <w:contextualSpacing w:val="0"/>
      </w:pPr>
      <w:r>
        <w:t>Who (agency/person) will have access to the information, what type of access and at what level of detail</w:t>
      </w:r>
      <w:r w:rsidR="00343390">
        <w:t>?</w:t>
      </w:r>
    </w:p>
    <w:p w14:paraId="6CCB351B" w14:textId="77777777" w:rsidR="00AC25EB" w:rsidRDefault="00AC25EB" w:rsidP="00AC25EB">
      <w:pPr>
        <w:pStyle w:val="Heading2"/>
      </w:pPr>
      <w:bookmarkStart w:id="5" w:name="_Toc104900522"/>
      <w:r>
        <w:t>Number of responses</w:t>
      </w:r>
      <w:bookmarkEnd w:id="5"/>
    </w:p>
    <w:p w14:paraId="2DDE079D" w14:textId="77777777" w:rsidR="00EC44E3" w:rsidRDefault="00EC44E3" w:rsidP="00EC44E3">
      <w:pPr>
        <w:pStyle w:val="Heading4"/>
      </w:pPr>
      <w:r>
        <w:t>Number of respondents by type</w:t>
      </w: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6"/>
        <w:gridCol w:w="1697"/>
      </w:tblGrid>
      <w:tr w:rsidR="00EC44E3" w:rsidRPr="00732109" w14:paraId="3C4FAA42" w14:textId="77777777" w:rsidTr="009C6382">
        <w:trPr>
          <w:cantSplit/>
        </w:trPr>
        <w:tc>
          <w:tcPr>
            <w:tcW w:w="3949" w:type="pct"/>
            <w:shd w:val="clear" w:color="auto" w:fill="D9D9D9" w:themeFill="background1" w:themeFillShade="D9"/>
            <w:noWrap/>
            <w:vAlign w:val="bottom"/>
            <w:hideMark/>
          </w:tcPr>
          <w:p w14:paraId="39D6E090" w14:textId="77777777" w:rsidR="00EC44E3" w:rsidRPr="006C696A" w:rsidRDefault="00EC44E3" w:rsidP="009C6382">
            <w:pPr>
              <w:pStyle w:val="TableText"/>
              <w:rPr>
                <w:b/>
                <w:lang w:eastAsia="en-NZ"/>
              </w:rPr>
            </w:pPr>
            <w:r w:rsidRPr="006C696A">
              <w:rPr>
                <w:b/>
                <w:lang w:eastAsia="en-NZ"/>
              </w:rPr>
              <w:t>Respon</w:t>
            </w:r>
            <w:r>
              <w:rPr>
                <w:b/>
                <w:lang w:eastAsia="en-NZ"/>
              </w:rPr>
              <w:t>dent</w:t>
            </w:r>
            <w:r w:rsidRPr="006C696A">
              <w:rPr>
                <w:b/>
                <w:lang w:eastAsia="en-NZ"/>
              </w:rPr>
              <w:t xml:space="preserve"> type</w:t>
            </w:r>
          </w:p>
        </w:tc>
        <w:tc>
          <w:tcPr>
            <w:tcW w:w="1051" w:type="pct"/>
            <w:shd w:val="clear" w:color="auto" w:fill="D9D9D9" w:themeFill="background1" w:themeFillShade="D9"/>
            <w:noWrap/>
            <w:vAlign w:val="bottom"/>
            <w:hideMark/>
          </w:tcPr>
          <w:p w14:paraId="0371B594" w14:textId="77777777" w:rsidR="00EC44E3" w:rsidRPr="006C696A" w:rsidRDefault="00EC44E3" w:rsidP="009C6382">
            <w:pPr>
              <w:pStyle w:val="TableText"/>
              <w:jc w:val="center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Total</w:t>
            </w:r>
          </w:p>
        </w:tc>
      </w:tr>
      <w:tr w:rsidR="00EC44E3" w:rsidRPr="00732109" w14:paraId="3C7B5C82" w14:textId="77777777" w:rsidTr="009C6382">
        <w:trPr>
          <w:cantSplit/>
          <w:trHeight w:val="206"/>
        </w:trPr>
        <w:tc>
          <w:tcPr>
            <w:tcW w:w="3949" w:type="pct"/>
            <w:shd w:val="clear" w:color="auto" w:fill="auto"/>
            <w:noWrap/>
            <w:vAlign w:val="bottom"/>
            <w:hideMark/>
          </w:tcPr>
          <w:p w14:paraId="5743885B" w14:textId="77777777" w:rsidR="00EC44E3" w:rsidRPr="00732109" w:rsidRDefault="00EC44E3" w:rsidP="009C6382">
            <w:pPr>
              <w:pStyle w:val="TableText"/>
              <w:rPr>
                <w:lang w:eastAsia="en-NZ"/>
              </w:rPr>
            </w:pPr>
            <w:r w:rsidRPr="00732109">
              <w:rPr>
                <w:lang w:eastAsia="en-NZ"/>
              </w:rPr>
              <w:t xml:space="preserve">Government </w:t>
            </w:r>
            <w:r>
              <w:rPr>
                <w:lang w:eastAsia="en-NZ"/>
              </w:rPr>
              <w:t>a</w:t>
            </w:r>
            <w:r w:rsidRPr="00732109">
              <w:rPr>
                <w:lang w:eastAsia="en-NZ"/>
              </w:rPr>
              <w:t>gencies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54D2F7DB" w14:textId="77777777" w:rsidR="00EC44E3" w:rsidRPr="00732109" w:rsidRDefault="00EC44E3" w:rsidP="009C6382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3</w:t>
            </w:r>
          </w:p>
        </w:tc>
      </w:tr>
      <w:tr w:rsidR="00EC44E3" w:rsidRPr="00732109" w14:paraId="674E90D3" w14:textId="77777777" w:rsidTr="009C6382">
        <w:trPr>
          <w:cantSplit/>
        </w:trPr>
        <w:tc>
          <w:tcPr>
            <w:tcW w:w="3949" w:type="pct"/>
            <w:shd w:val="clear" w:color="auto" w:fill="auto"/>
            <w:noWrap/>
            <w:vAlign w:val="bottom"/>
            <w:hideMark/>
          </w:tcPr>
          <w:p w14:paraId="6398B9CC" w14:textId="77777777" w:rsidR="00EC44E3" w:rsidRPr="00732109" w:rsidRDefault="00EC44E3" w:rsidP="009C6382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Private h</w:t>
            </w:r>
            <w:r w:rsidRPr="00732109">
              <w:rPr>
                <w:lang w:eastAsia="en-NZ"/>
              </w:rPr>
              <w:t xml:space="preserve">ealth </w:t>
            </w:r>
            <w:r>
              <w:rPr>
                <w:lang w:eastAsia="en-NZ"/>
              </w:rPr>
              <w:t>s</w:t>
            </w:r>
            <w:r w:rsidRPr="00732109">
              <w:rPr>
                <w:lang w:eastAsia="en-NZ"/>
              </w:rPr>
              <w:t>ector</w:t>
            </w:r>
            <w:r>
              <w:rPr>
                <w:lang w:eastAsia="en-NZ"/>
              </w:rPr>
              <w:t xml:space="preserve"> agencies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51CA764" w14:textId="77777777" w:rsidR="00EC44E3" w:rsidRPr="00732109" w:rsidRDefault="00EC44E3" w:rsidP="009C6382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6</w:t>
            </w:r>
          </w:p>
        </w:tc>
      </w:tr>
      <w:tr w:rsidR="00EC44E3" w:rsidRPr="00732109" w14:paraId="5B5DD3D1" w14:textId="77777777" w:rsidTr="009C6382">
        <w:trPr>
          <w:cantSplit/>
        </w:trPr>
        <w:tc>
          <w:tcPr>
            <w:tcW w:w="3949" w:type="pct"/>
            <w:shd w:val="clear" w:color="auto" w:fill="auto"/>
            <w:noWrap/>
            <w:vAlign w:val="bottom"/>
            <w:hideMark/>
          </w:tcPr>
          <w:p w14:paraId="4C16E543" w14:textId="77777777" w:rsidR="00EC44E3" w:rsidRPr="00732109" w:rsidRDefault="00EC44E3" w:rsidP="009C6382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M</w:t>
            </w:r>
            <w:r>
              <w:rPr>
                <w:rFonts w:cs="Segoe UI"/>
                <w:lang w:eastAsia="en-NZ"/>
              </w:rPr>
              <w:t>ā</w:t>
            </w:r>
            <w:r>
              <w:rPr>
                <w:lang w:eastAsia="en-NZ"/>
              </w:rPr>
              <w:t>ori agencies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256629C9" w14:textId="77777777" w:rsidR="00EC44E3" w:rsidRPr="00732109" w:rsidRDefault="00EC44E3" w:rsidP="009C6382">
            <w:pPr>
              <w:pStyle w:val="TableText"/>
              <w:jc w:val="center"/>
              <w:rPr>
                <w:lang w:eastAsia="en-NZ"/>
              </w:rPr>
            </w:pPr>
            <w:r>
              <w:rPr>
                <w:lang w:eastAsia="en-NZ"/>
              </w:rPr>
              <w:t>13</w:t>
            </w:r>
          </w:p>
        </w:tc>
      </w:tr>
      <w:tr w:rsidR="00EC44E3" w:rsidRPr="00732109" w14:paraId="66B875B9" w14:textId="77777777" w:rsidTr="009C6382">
        <w:trPr>
          <w:cantSplit/>
        </w:trPr>
        <w:tc>
          <w:tcPr>
            <w:tcW w:w="3949" w:type="pct"/>
            <w:shd w:val="clear" w:color="auto" w:fill="auto"/>
            <w:noWrap/>
            <w:vAlign w:val="bottom"/>
            <w:hideMark/>
          </w:tcPr>
          <w:p w14:paraId="3993E3ED" w14:textId="77777777" w:rsidR="00EC44E3" w:rsidRPr="006C696A" w:rsidRDefault="00EC44E3" w:rsidP="009C6382">
            <w:pPr>
              <w:pStyle w:val="TableText"/>
              <w:rPr>
                <w:b/>
                <w:lang w:eastAsia="en-NZ"/>
              </w:rPr>
            </w:pPr>
            <w:r w:rsidRPr="006C696A">
              <w:rPr>
                <w:b/>
                <w:lang w:eastAsia="en-NZ"/>
              </w:rPr>
              <w:t>Total respon</w:t>
            </w:r>
            <w:r>
              <w:rPr>
                <w:b/>
                <w:lang w:eastAsia="en-NZ"/>
              </w:rPr>
              <w:t>dents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14:paraId="799BBD42" w14:textId="77777777" w:rsidR="00EC44E3" w:rsidRPr="006C696A" w:rsidRDefault="00EC44E3" w:rsidP="009C6382">
            <w:pPr>
              <w:pStyle w:val="TableText"/>
              <w:jc w:val="center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22</w:t>
            </w:r>
          </w:p>
        </w:tc>
      </w:tr>
    </w:tbl>
    <w:p w14:paraId="5C41CB1C" w14:textId="77777777" w:rsidR="00EC44E3" w:rsidRDefault="00EC44E3" w:rsidP="00EC44E3">
      <w:pPr>
        <w:spacing w:before="90"/>
      </w:pPr>
    </w:p>
    <w:p w14:paraId="2709E899" w14:textId="77777777" w:rsidR="003C6984" w:rsidRDefault="003C6984" w:rsidP="00614A54">
      <w:pPr>
        <w:pStyle w:val="Heading4"/>
      </w:pPr>
      <w:bookmarkStart w:id="6" w:name="_Toc98920279"/>
      <w:bookmarkStart w:id="7" w:name="_Toc97210060"/>
      <w:r>
        <w:lastRenderedPageBreak/>
        <w:t>Number of individual comments by section</w:t>
      </w:r>
      <w:bookmarkEnd w:id="6"/>
    </w:p>
    <w:tbl>
      <w:tblPr>
        <w:tblW w:w="8080" w:type="dxa"/>
        <w:tblInd w:w="5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9"/>
        <w:gridCol w:w="1134"/>
        <w:gridCol w:w="992"/>
        <w:gridCol w:w="1276"/>
        <w:gridCol w:w="1619"/>
      </w:tblGrid>
      <w:tr w:rsidR="003C6984" w:rsidRPr="00472621" w14:paraId="10A6294A" w14:textId="77777777" w:rsidTr="00614A54">
        <w:trPr>
          <w:cantSplit/>
          <w:tblHeader/>
        </w:trPr>
        <w:tc>
          <w:tcPr>
            <w:tcW w:w="3059" w:type="dxa"/>
            <w:shd w:val="clear" w:color="auto" w:fill="D9D9D9" w:themeFill="background1" w:themeFillShade="D9"/>
            <w:noWrap/>
            <w:hideMark/>
          </w:tcPr>
          <w:p w14:paraId="422D0994" w14:textId="77777777" w:rsidR="003C6984" w:rsidRPr="00472621" w:rsidRDefault="003C6984" w:rsidP="009C6382">
            <w:pPr>
              <w:pStyle w:val="TableText"/>
              <w:rPr>
                <w:rFonts w:cs="Segoe UI"/>
                <w:b/>
                <w:szCs w:val="18"/>
                <w:lang w:eastAsia="en-NZ"/>
              </w:rPr>
            </w:pPr>
            <w:r w:rsidRPr="00472621">
              <w:rPr>
                <w:rFonts w:cs="Segoe UI"/>
                <w:b/>
                <w:szCs w:val="18"/>
                <w:lang w:eastAsia="en-NZ"/>
              </w:rPr>
              <w:t>Section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54D53DFE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b/>
                <w:szCs w:val="18"/>
                <w:lang w:eastAsia="en-NZ"/>
              </w:rPr>
            </w:pPr>
            <w:r>
              <w:rPr>
                <w:rFonts w:cs="Segoe UI"/>
                <w:b/>
                <w:szCs w:val="18"/>
                <w:lang w:eastAsia="en-NZ"/>
              </w:rPr>
              <w:t>S</w:t>
            </w:r>
            <w:r w:rsidRPr="00472621">
              <w:rPr>
                <w:rFonts w:cs="Segoe UI"/>
                <w:b/>
                <w:szCs w:val="18"/>
                <w:lang w:eastAsia="en-NZ"/>
              </w:rPr>
              <w:t>upported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13B82134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b/>
                <w:szCs w:val="18"/>
                <w:lang w:eastAsia="en-NZ"/>
              </w:rPr>
            </w:pPr>
            <w:r w:rsidRPr="00472621">
              <w:rPr>
                <w:rFonts w:cs="Segoe UI"/>
                <w:b/>
                <w:szCs w:val="18"/>
                <w:lang w:eastAsia="en-NZ"/>
              </w:rPr>
              <w:t>Opposed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19DE78E5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b/>
                <w:szCs w:val="18"/>
                <w:lang w:eastAsia="en-NZ"/>
              </w:rPr>
            </w:pPr>
            <w:r w:rsidRPr="00472621">
              <w:rPr>
                <w:rFonts w:cs="Segoe UI"/>
                <w:b/>
                <w:szCs w:val="18"/>
                <w:lang w:eastAsia="en-NZ"/>
              </w:rPr>
              <w:t>No comment</w:t>
            </w:r>
          </w:p>
        </w:tc>
        <w:tc>
          <w:tcPr>
            <w:tcW w:w="1619" w:type="dxa"/>
            <w:shd w:val="clear" w:color="auto" w:fill="D9D9D9" w:themeFill="background1" w:themeFillShade="D9"/>
            <w:hideMark/>
          </w:tcPr>
          <w:p w14:paraId="06D0BB18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b/>
                <w:szCs w:val="18"/>
                <w:lang w:eastAsia="en-NZ"/>
              </w:rPr>
            </w:pPr>
            <w:r>
              <w:rPr>
                <w:rFonts w:cs="Segoe UI"/>
                <w:b/>
                <w:szCs w:val="18"/>
                <w:lang w:eastAsia="en-NZ"/>
              </w:rPr>
              <w:t>Other comment</w:t>
            </w:r>
          </w:p>
        </w:tc>
      </w:tr>
      <w:tr w:rsidR="003C6984" w:rsidRPr="00472621" w14:paraId="0CC20B37" w14:textId="77777777" w:rsidTr="00614A54">
        <w:trPr>
          <w:cantSplit/>
          <w:tblHeader/>
        </w:trPr>
        <w:tc>
          <w:tcPr>
            <w:tcW w:w="3059" w:type="dxa"/>
            <w:shd w:val="clear" w:color="auto" w:fill="auto"/>
            <w:noWrap/>
            <w:hideMark/>
          </w:tcPr>
          <w:p w14:paraId="518ABDBE" w14:textId="77777777" w:rsidR="003C6984" w:rsidRPr="00472621" w:rsidRDefault="003C6984" w:rsidP="009C6382">
            <w:pPr>
              <w:pStyle w:val="TableText"/>
              <w:ind w:left="340" w:hanging="340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General comments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9E1543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A2931E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>
              <w:rPr>
                <w:rFonts w:cs="Segoe UI"/>
                <w:szCs w:val="18"/>
                <w:lang w:eastAsia="en-NZ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F2AF55" w14:textId="77777777" w:rsidR="003C6984" w:rsidRPr="00472621" w:rsidRDefault="003C6984" w:rsidP="009C6382">
            <w:pPr>
              <w:pStyle w:val="TableText"/>
              <w:tabs>
                <w:tab w:val="decimal" w:pos="370"/>
              </w:tabs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14:paraId="313D03A8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14</w:t>
            </w:r>
          </w:p>
        </w:tc>
      </w:tr>
      <w:tr w:rsidR="003C6984" w:rsidRPr="00472621" w14:paraId="24B93C91" w14:textId="77777777" w:rsidTr="00614A54">
        <w:trPr>
          <w:cantSplit/>
          <w:tblHeader/>
        </w:trPr>
        <w:tc>
          <w:tcPr>
            <w:tcW w:w="3059" w:type="dxa"/>
            <w:shd w:val="clear" w:color="auto" w:fill="auto"/>
            <w:noWrap/>
            <w:hideMark/>
          </w:tcPr>
          <w:p w14:paraId="0B3505E4" w14:textId="77777777" w:rsidR="003C6984" w:rsidRPr="00472621" w:rsidRDefault="003C6984" w:rsidP="009C6382">
            <w:pPr>
              <w:pStyle w:val="TableText"/>
              <w:ind w:left="340" w:hanging="340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Purpose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2FA531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E10678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>
              <w:rPr>
                <w:rFonts w:cs="Segoe UI"/>
                <w:szCs w:val="18"/>
                <w:lang w:eastAsia="en-NZ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C1EFE0" w14:textId="77777777" w:rsidR="003C6984" w:rsidRPr="00472621" w:rsidRDefault="003C6984" w:rsidP="009C6382">
            <w:pPr>
              <w:pStyle w:val="TableText"/>
              <w:tabs>
                <w:tab w:val="decimal" w:pos="370"/>
              </w:tabs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14:paraId="3C1C4CC0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7</w:t>
            </w:r>
          </w:p>
        </w:tc>
      </w:tr>
      <w:tr w:rsidR="003C6984" w:rsidRPr="00472621" w14:paraId="40B4564C" w14:textId="77777777" w:rsidTr="00614A54">
        <w:trPr>
          <w:cantSplit/>
          <w:tblHeader/>
        </w:trPr>
        <w:tc>
          <w:tcPr>
            <w:tcW w:w="3059" w:type="dxa"/>
            <w:shd w:val="clear" w:color="auto" w:fill="auto"/>
            <w:noWrap/>
            <w:hideMark/>
          </w:tcPr>
          <w:p w14:paraId="71553FD8" w14:textId="77777777" w:rsidR="003C6984" w:rsidRPr="00472621" w:rsidRDefault="003C6984" w:rsidP="009C6382">
            <w:pPr>
              <w:pStyle w:val="TableText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Scope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7F3202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AE7056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>
              <w:rPr>
                <w:rFonts w:cs="Segoe UI"/>
                <w:szCs w:val="18"/>
                <w:lang w:eastAsia="en-NZ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186596" w14:textId="77777777" w:rsidR="003C6984" w:rsidRPr="00472621" w:rsidRDefault="003C6984" w:rsidP="009C6382">
            <w:pPr>
              <w:pStyle w:val="TableText"/>
              <w:tabs>
                <w:tab w:val="decimal" w:pos="370"/>
              </w:tabs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14:paraId="45FE1D3C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9</w:t>
            </w:r>
          </w:p>
        </w:tc>
      </w:tr>
      <w:tr w:rsidR="003C6984" w:rsidRPr="00472621" w14:paraId="4B7452D9" w14:textId="77777777" w:rsidTr="00614A54">
        <w:trPr>
          <w:cantSplit/>
          <w:tblHeader/>
        </w:trPr>
        <w:tc>
          <w:tcPr>
            <w:tcW w:w="3059" w:type="dxa"/>
            <w:shd w:val="clear" w:color="auto" w:fill="auto"/>
            <w:noWrap/>
            <w:hideMark/>
          </w:tcPr>
          <w:p w14:paraId="615F70BB" w14:textId="77777777" w:rsidR="003C6984" w:rsidRPr="00472621" w:rsidRDefault="003C6984" w:rsidP="009C6382">
            <w:pPr>
              <w:pStyle w:val="TableText"/>
              <w:ind w:left="340" w:hanging="340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Background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74AEF2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683ACE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>
              <w:rPr>
                <w:rFonts w:cs="Segoe UI"/>
                <w:szCs w:val="18"/>
                <w:lang w:eastAsia="en-NZ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A4AFDA" w14:textId="77777777" w:rsidR="003C6984" w:rsidRPr="00472621" w:rsidRDefault="003C6984" w:rsidP="009C6382">
            <w:pPr>
              <w:pStyle w:val="TableText"/>
              <w:tabs>
                <w:tab w:val="decimal" w:pos="370"/>
              </w:tabs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14:paraId="45FB0ED1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15</w:t>
            </w:r>
          </w:p>
        </w:tc>
      </w:tr>
      <w:tr w:rsidR="003C6984" w:rsidRPr="00472621" w14:paraId="78EEB778" w14:textId="77777777" w:rsidTr="00614A54">
        <w:trPr>
          <w:cantSplit/>
          <w:tblHeader/>
        </w:trPr>
        <w:tc>
          <w:tcPr>
            <w:tcW w:w="3059" w:type="dxa"/>
            <w:shd w:val="clear" w:color="auto" w:fill="auto"/>
            <w:noWrap/>
            <w:hideMark/>
          </w:tcPr>
          <w:p w14:paraId="489B3063" w14:textId="77777777" w:rsidR="003C6984" w:rsidRPr="00472621" w:rsidRDefault="003C6984" w:rsidP="009C6382">
            <w:pPr>
              <w:pStyle w:val="TableText"/>
              <w:rPr>
                <w:rFonts w:cs="Segoe UI"/>
                <w:szCs w:val="18"/>
                <w:lang w:eastAsia="en-NZ"/>
              </w:rPr>
            </w:pPr>
            <w:r>
              <w:rPr>
                <w:rFonts w:cs="Segoe UI"/>
                <w:szCs w:val="18"/>
                <w:lang w:eastAsia="en-NZ"/>
              </w:rPr>
              <w:t>Collecting</w:t>
            </w:r>
            <w:r w:rsidRPr="00472621">
              <w:rPr>
                <w:rFonts w:cs="Segoe UI"/>
                <w:szCs w:val="18"/>
                <w:lang w:eastAsia="en-NZ"/>
              </w:rPr>
              <w:t xml:space="preserve"> Māori descent and iwi affiliation data</w:t>
            </w:r>
          </w:p>
        </w:tc>
        <w:tc>
          <w:tcPr>
            <w:tcW w:w="1134" w:type="dxa"/>
            <w:shd w:val="clear" w:color="auto" w:fill="auto"/>
            <w:noWrap/>
          </w:tcPr>
          <w:p w14:paraId="049C32D7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14:paraId="775712A8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>
              <w:rPr>
                <w:rFonts w:cs="Segoe UI"/>
                <w:szCs w:val="18"/>
                <w:lang w:eastAsia="en-NZ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6273ABD8" w14:textId="77777777" w:rsidR="003C6984" w:rsidRPr="00472621" w:rsidRDefault="003C6984" w:rsidP="009C6382">
            <w:pPr>
              <w:pStyle w:val="TableText"/>
              <w:tabs>
                <w:tab w:val="decimal" w:pos="370"/>
              </w:tabs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</w:tcPr>
          <w:p w14:paraId="0A945E34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34</w:t>
            </w:r>
          </w:p>
        </w:tc>
      </w:tr>
      <w:tr w:rsidR="003C6984" w:rsidRPr="00472621" w14:paraId="511C0475" w14:textId="77777777" w:rsidTr="00614A54">
        <w:trPr>
          <w:cantSplit/>
          <w:tblHeader/>
        </w:trPr>
        <w:tc>
          <w:tcPr>
            <w:tcW w:w="3059" w:type="dxa"/>
            <w:shd w:val="clear" w:color="auto" w:fill="auto"/>
            <w:noWrap/>
          </w:tcPr>
          <w:p w14:paraId="79017AD7" w14:textId="77777777" w:rsidR="003C6984" w:rsidRPr="00472621" w:rsidRDefault="003C6984" w:rsidP="009C6382">
            <w:pPr>
              <w:pStyle w:val="TableText"/>
              <w:rPr>
                <w:rFonts w:cs="Segoe UI"/>
                <w:szCs w:val="18"/>
                <w:lang w:eastAsia="en-NZ"/>
              </w:rPr>
            </w:pPr>
            <w:r>
              <w:rPr>
                <w:rFonts w:cs="Segoe UI"/>
                <w:szCs w:val="18"/>
                <w:lang w:eastAsia="en-NZ"/>
              </w:rPr>
              <w:t>C</w:t>
            </w:r>
            <w:r w:rsidRPr="00472621">
              <w:rPr>
                <w:rFonts w:cs="Segoe UI"/>
                <w:szCs w:val="18"/>
                <w:lang w:eastAsia="en-NZ"/>
              </w:rPr>
              <w:t xml:space="preserve">lassifying, </w:t>
            </w:r>
            <w:proofErr w:type="gramStart"/>
            <w:r w:rsidRPr="00472621">
              <w:rPr>
                <w:rFonts w:cs="Segoe UI"/>
                <w:szCs w:val="18"/>
                <w:lang w:eastAsia="en-NZ"/>
              </w:rPr>
              <w:t>coding</w:t>
            </w:r>
            <w:proofErr w:type="gramEnd"/>
            <w:r w:rsidRPr="00472621">
              <w:rPr>
                <w:rFonts w:cs="Segoe UI"/>
                <w:szCs w:val="18"/>
                <w:lang w:eastAsia="en-NZ"/>
              </w:rPr>
              <w:t xml:space="preserve"> and recording Māori descent and iwi affiliation data</w:t>
            </w:r>
          </w:p>
        </w:tc>
        <w:tc>
          <w:tcPr>
            <w:tcW w:w="1134" w:type="dxa"/>
            <w:shd w:val="clear" w:color="auto" w:fill="auto"/>
            <w:noWrap/>
          </w:tcPr>
          <w:p w14:paraId="48D27ADF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14:paraId="4DC0A516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>
              <w:rPr>
                <w:rFonts w:cs="Segoe UI"/>
                <w:szCs w:val="18"/>
                <w:lang w:eastAsia="en-NZ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728A224B" w14:textId="77777777" w:rsidR="003C6984" w:rsidRPr="00472621" w:rsidRDefault="003C6984" w:rsidP="009C6382">
            <w:pPr>
              <w:pStyle w:val="TableText"/>
              <w:tabs>
                <w:tab w:val="decimal" w:pos="370"/>
              </w:tabs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4</w:t>
            </w:r>
          </w:p>
        </w:tc>
        <w:tc>
          <w:tcPr>
            <w:tcW w:w="1619" w:type="dxa"/>
            <w:shd w:val="clear" w:color="auto" w:fill="auto"/>
            <w:noWrap/>
          </w:tcPr>
          <w:p w14:paraId="38528744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15</w:t>
            </w:r>
          </w:p>
        </w:tc>
      </w:tr>
      <w:tr w:rsidR="003C6984" w:rsidRPr="00472621" w14:paraId="3FCDEF9B" w14:textId="77777777" w:rsidTr="00614A54">
        <w:trPr>
          <w:cantSplit/>
          <w:tblHeader/>
        </w:trPr>
        <w:tc>
          <w:tcPr>
            <w:tcW w:w="3059" w:type="dxa"/>
            <w:shd w:val="clear" w:color="auto" w:fill="auto"/>
            <w:noWrap/>
          </w:tcPr>
          <w:p w14:paraId="3AE3E4A8" w14:textId="77777777" w:rsidR="003C6984" w:rsidRPr="00472621" w:rsidRDefault="003C6984" w:rsidP="009C6382">
            <w:pPr>
              <w:pStyle w:val="TableText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Output of Māori descent and iwi affiliation data</w:t>
            </w:r>
          </w:p>
        </w:tc>
        <w:tc>
          <w:tcPr>
            <w:tcW w:w="1134" w:type="dxa"/>
            <w:shd w:val="clear" w:color="auto" w:fill="auto"/>
            <w:noWrap/>
          </w:tcPr>
          <w:p w14:paraId="53C7C6F0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14:paraId="3227D116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>
              <w:rPr>
                <w:rFonts w:cs="Segoe UI"/>
                <w:szCs w:val="18"/>
                <w:lang w:eastAsia="en-NZ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3C8D020C" w14:textId="77777777" w:rsidR="003C6984" w:rsidRPr="00472621" w:rsidRDefault="003C6984" w:rsidP="009C6382">
            <w:pPr>
              <w:pStyle w:val="TableText"/>
              <w:tabs>
                <w:tab w:val="decimal" w:pos="370"/>
              </w:tabs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4</w:t>
            </w:r>
          </w:p>
        </w:tc>
        <w:tc>
          <w:tcPr>
            <w:tcW w:w="1619" w:type="dxa"/>
            <w:shd w:val="clear" w:color="auto" w:fill="auto"/>
            <w:noWrap/>
          </w:tcPr>
          <w:p w14:paraId="08946406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8</w:t>
            </w:r>
          </w:p>
        </w:tc>
      </w:tr>
      <w:tr w:rsidR="003C6984" w:rsidRPr="00472621" w14:paraId="106B41AC" w14:textId="77777777" w:rsidTr="00614A54">
        <w:trPr>
          <w:cantSplit/>
          <w:tblHeader/>
        </w:trPr>
        <w:tc>
          <w:tcPr>
            <w:tcW w:w="3059" w:type="dxa"/>
            <w:shd w:val="clear" w:color="auto" w:fill="auto"/>
            <w:noWrap/>
          </w:tcPr>
          <w:p w14:paraId="5A6DD457" w14:textId="77777777" w:rsidR="003C6984" w:rsidRPr="00472621" w:rsidRDefault="003C6984" w:rsidP="009C6382">
            <w:pPr>
              <w:pStyle w:val="TableText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Adoption and implementation</w:t>
            </w:r>
          </w:p>
        </w:tc>
        <w:tc>
          <w:tcPr>
            <w:tcW w:w="1134" w:type="dxa"/>
            <w:shd w:val="clear" w:color="auto" w:fill="auto"/>
            <w:noWrap/>
          </w:tcPr>
          <w:p w14:paraId="4277EEF0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0E164528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szCs w:val="18"/>
                <w:lang w:eastAsia="en-NZ"/>
              </w:rPr>
            </w:pPr>
            <w:r>
              <w:rPr>
                <w:rFonts w:cs="Segoe UI"/>
                <w:szCs w:val="18"/>
                <w:lang w:eastAsia="en-NZ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0767CC74" w14:textId="77777777" w:rsidR="003C6984" w:rsidRPr="00472621" w:rsidRDefault="003C6984" w:rsidP="009C6382">
            <w:pPr>
              <w:pStyle w:val="TableText"/>
              <w:tabs>
                <w:tab w:val="decimal" w:pos="370"/>
              </w:tabs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</w:tcPr>
          <w:p w14:paraId="341B251B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szCs w:val="18"/>
                <w:lang w:eastAsia="en-NZ"/>
              </w:rPr>
            </w:pPr>
            <w:r w:rsidRPr="00472621">
              <w:rPr>
                <w:rFonts w:cs="Segoe UI"/>
                <w:szCs w:val="18"/>
                <w:lang w:eastAsia="en-NZ"/>
              </w:rPr>
              <w:t>9</w:t>
            </w:r>
          </w:p>
        </w:tc>
      </w:tr>
      <w:tr w:rsidR="003C6984" w:rsidRPr="00472621" w14:paraId="2D8D836A" w14:textId="77777777" w:rsidTr="00614A54">
        <w:trPr>
          <w:cantSplit/>
          <w:tblHeader/>
        </w:trPr>
        <w:tc>
          <w:tcPr>
            <w:tcW w:w="3059" w:type="dxa"/>
            <w:shd w:val="clear" w:color="auto" w:fill="auto"/>
            <w:noWrap/>
            <w:hideMark/>
          </w:tcPr>
          <w:p w14:paraId="7DC3142F" w14:textId="77777777" w:rsidR="003C6984" w:rsidRPr="00472621" w:rsidRDefault="003C6984" w:rsidP="009C6382">
            <w:pPr>
              <w:pStyle w:val="TableText"/>
              <w:rPr>
                <w:rFonts w:cs="Segoe UI"/>
                <w:b/>
                <w:szCs w:val="18"/>
                <w:lang w:eastAsia="en-NZ"/>
              </w:rPr>
            </w:pPr>
            <w:r w:rsidRPr="00472621">
              <w:rPr>
                <w:rFonts w:cs="Segoe UI"/>
                <w:b/>
                <w:szCs w:val="18"/>
                <w:lang w:eastAsia="en-NZ"/>
              </w:rPr>
              <w:t>Totals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EA51D3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b/>
                <w:szCs w:val="18"/>
                <w:lang w:eastAsia="en-NZ"/>
              </w:rPr>
            </w:pPr>
            <w:r w:rsidRPr="00472621">
              <w:rPr>
                <w:rFonts w:cs="Segoe UI"/>
                <w:b/>
                <w:szCs w:val="18"/>
                <w:lang w:eastAsia="en-N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51E425" w14:textId="77777777" w:rsidR="003C6984" w:rsidRPr="00472621" w:rsidRDefault="003C6984" w:rsidP="009C6382">
            <w:pPr>
              <w:pStyle w:val="TableText"/>
              <w:tabs>
                <w:tab w:val="decimal" w:pos="635"/>
              </w:tabs>
              <w:rPr>
                <w:rFonts w:cs="Segoe UI"/>
                <w:b/>
                <w:szCs w:val="18"/>
                <w:lang w:eastAsia="en-NZ"/>
              </w:rPr>
            </w:pPr>
            <w:r w:rsidRPr="00472621">
              <w:rPr>
                <w:rFonts w:cs="Segoe UI"/>
                <w:b/>
                <w:szCs w:val="18"/>
                <w:lang w:eastAsia="en-NZ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AA26C6" w14:textId="77777777" w:rsidR="003C6984" w:rsidRPr="00472621" w:rsidRDefault="003C6984" w:rsidP="009C6382">
            <w:pPr>
              <w:pStyle w:val="TableText"/>
              <w:tabs>
                <w:tab w:val="decimal" w:pos="370"/>
              </w:tabs>
              <w:jc w:val="center"/>
              <w:rPr>
                <w:rFonts w:cs="Segoe UI"/>
                <w:b/>
                <w:szCs w:val="18"/>
                <w:lang w:eastAsia="en-NZ"/>
              </w:rPr>
            </w:pPr>
            <w:r w:rsidRPr="00472621">
              <w:rPr>
                <w:rFonts w:cs="Segoe UI"/>
                <w:b/>
                <w:szCs w:val="18"/>
                <w:lang w:eastAsia="en-NZ"/>
              </w:rPr>
              <w:t>25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14:paraId="2D9E50C6" w14:textId="77777777" w:rsidR="003C6984" w:rsidRPr="00472621" w:rsidRDefault="003C6984" w:rsidP="009C6382">
            <w:pPr>
              <w:pStyle w:val="TableText"/>
              <w:jc w:val="center"/>
              <w:rPr>
                <w:rFonts w:cs="Segoe UI"/>
                <w:b/>
                <w:szCs w:val="18"/>
                <w:lang w:eastAsia="en-NZ"/>
              </w:rPr>
            </w:pPr>
            <w:r w:rsidRPr="00472621">
              <w:rPr>
                <w:rFonts w:cs="Segoe UI"/>
                <w:b/>
                <w:szCs w:val="18"/>
                <w:lang w:eastAsia="en-NZ"/>
              </w:rPr>
              <w:t>111</w:t>
            </w:r>
          </w:p>
        </w:tc>
      </w:tr>
    </w:tbl>
    <w:p w14:paraId="63AED7BF" w14:textId="77777777" w:rsidR="00DB47CE" w:rsidRPr="008764F8" w:rsidRDefault="00DB47CE" w:rsidP="00DB47CE">
      <w:pPr>
        <w:pStyle w:val="Heading2"/>
      </w:pPr>
      <w:bookmarkStart w:id="8" w:name="_Toc104900523"/>
      <w:r>
        <w:t>General comments</w:t>
      </w:r>
      <w:bookmarkEnd w:id="7"/>
      <w:r>
        <w:t xml:space="preserve"> received</w:t>
      </w:r>
      <w:bookmarkEnd w:id="8"/>
    </w:p>
    <w:p w14:paraId="4597980C" w14:textId="6F9ABF58" w:rsidR="00DB47CE" w:rsidRPr="00E42CF4" w:rsidRDefault="008561DC" w:rsidP="00DB47CE">
      <w:r>
        <w:t>General c</w:t>
      </w:r>
      <w:r w:rsidR="00DB47CE" w:rsidRPr="00E42CF4">
        <w:t>omments received covered</w:t>
      </w:r>
      <w:r w:rsidR="00DB47CE">
        <w:t xml:space="preserve"> the following points</w:t>
      </w:r>
      <w:r w:rsidR="00343390">
        <w:t>.</w:t>
      </w:r>
    </w:p>
    <w:p w14:paraId="1393D8D7" w14:textId="49E6FFB6" w:rsidR="00DB47CE" w:rsidRDefault="00DB47CE" w:rsidP="00DB47CE">
      <w:pPr>
        <w:pStyle w:val="ListParagraph"/>
        <w:numPr>
          <w:ilvl w:val="0"/>
          <w:numId w:val="8"/>
        </w:numPr>
        <w:spacing w:before="90"/>
        <w:ind w:left="340" w:hanging="340"/>
        <w:contextualSpacing w:val="0"/>
      </w:pPr>
      <w:r>
        <w:t>Rules need to be established over the information captured</w:t>
      </w:r>
      <w:r w:rsidR="00F66080">
        <w:t>, covering</w:t>
      </w:r>
      <w:r>
        <w:t>:</w:t>
      </w:r>
    </w:p>
    <w:p w14:paraId="29F26B13" w14:textId="1EAB8071" w:rsidR="00DB47CE" w:rsidRDefault="00343390" w:rsidP="00DB47CE">
      <w:pPr>
        <w:pStyle w:val="Bullet"/>
        <w:numPr>
          <w:ilvl w:val="0"/>
          <w:numId w:val="9"/>
        </w:numPr>
        <w:ind w:left="680" w:hanging="340"/>
      </w:pPr>
      <w:r>
        <w:t>w</w:t>
      </w:r>
      <w:r w:rsidR="00DB47CE">
        <w:t>ho has access (person, agency), and the type of access (view, edit, and for what use)</w:t>
      </w:r>
    </w:p>
    <w:p w14:paraId="54028FDE" w14:textId="58582793" w:rsidR="00DB47CE" w:rsidRDefault="00343390" w:rsidP="00DB47CE">
      <w:pPr>
        <w:pStyle w:val="Bullet"/>
        <w:numPr>
          <w:ilvl w:val="0"/>
          <w:numId w:val="9"/>
        </w:numPr>
        <w:ind w:left="680" w:hanging="340"/>
      </w:pPr>
      <w:r>
        <w:t>r</w:t>
      </w:r>
      <w:r w:rsidR="00DB47CE">
        <w:t>ight to share data – with whom and for what purpose</w:t>
      </w:r>
      <w:r>
        <w:t>,</w:t>
      </w:r>
      <w:r w:rsidR="00DB47CE">
        <w:t xml:space="preserve"> includ</w:t>
      </w:r>
      <w:r>
        <w:t>ing</w:t>
      </w:r>
      <w:r w:rsidR="00DB47CE">
        <w:t xml:space="preserve"> a right to forbid or deny access or the sharing of information at an individual level</w:t>
      </w:r>
    </w:p>
    <w:p w14:paraId="01561AEF" w14:textId="48F3057F" w:rsidR="00DB47CE" w:rsidRPr="00612AC6" w:rsidRDefault="00343390" w:rsidP="00DB47CE">
      <w:pPr>
        <w:pStyle w:val="Bullet"/>
        <w:numPr>
          <w:ilvl w:val="0"/>
          <w:numId w:val="9"/>
        </w:numPr>
        <w:ind w:left="680" w:hanging="340"/>
      </w:pPr>
      <w:r>
        <w:t>e</w:t>
      </w:r>
      <w:r w:rsidR="00DB47CE">
        <w:t>quity and equality factors</w:t>
      </w:r>
      <w:r>
        <w:t>.</w:t>
      </w:r>
    </w:p>
    <w:p w14:paraId="5F53E9C9" w14:textId="7AC2B68F" w:rsidR="00DB47CE" w:rsidRDefault="002C0C4B" w:rsidP="00DB47CE">
      <w:pPr>
        <w:pStyle w:val="ListParagraph"/>
        <w:numPr>
          <w:ilvl w:val="0"/>
          <w:numId w:val="8"/>
        </w:numPr>
        <w:spacing w:before="90"/>
        <w:ind w:left="340" w:hanging="340"/>
        <w:contextualSpacing w:val="0"/>
      </w:pPr>
      <w:r>
        <w:t>C</w:t>
      </w:r>
      <w:r w:rsidR="00DB47CE">
        <w:t xml:space="preserve">ollectors and storing agencies </w:t>
      </w:r>
      <w:r>
        <w:t>will need training in</w:t>
      </w:r>
      <w:r w:rsidR="00DB47CE">
        <w:t xml:space="preserve"> both technical and cultural factors</w:t>
      </w:r>
      <w:r w:rsidR="00343390">
        <w:t>.</w:t>
      </w:r>
      <w:r w:rsidR="00DB47CE">
        <w:t xml:space="preserve"> </w:t>
      </w:r>
    </w:p>
    <w:p w14:paraId="2A9A5E06" w14:textId="0A3C66B7" w:rsidR="004730BC" w:rsidRDefault="004730BC" w:rsidP="004730BC">
      <w:pPr>
        <w:pStyle w:val="Bullet"/>
        <w:numPr>
          <w:ilvl w:val="0"/>
          <w:numId w:val="8"/>
        </w:numPr>
      </w:pPr>
      <w:r>
        <w:t>It will be important to m</w:t>
      </w:r>
      <w:r w:rsidRPr="005F3756">
        <w:t xml:space="preserve">aintain </w:t>
      </w:r>
      <w:r>
        <w:t>engagement</w:t>
      </w:r>
      <w:r w:rsidRPr="005F3756">
        <w:t xml:space="preserve"> with the Māori leaders</w:t>
      </w:r>
      <w:r w:rsidR="00AE6ED4">
        <w:t>hip</w:t>
      </w:r>
      <w:r w:rsidRPr="005F3756">
        <w:t xml:space="preserve"> groups</w:t>
      </w:r>
      <w:r w:rsidR="00AE6ED4">
        <w:t xml:space="preserve"> who have been involved</w:t>
      </w:r>
      <w:r w:rsidR="00343390">
        <w:t>.</w:t>
      </w:r>
    </w:p>
    <w:p w14:paraId="79E5C396" w14:textId="6B7BA88E" w:rsidR="00EC3F7B" w:rsidRDefault="00DB47CE" w:rsidP="00EC3F7B">
      <w:pPr>
        <w:pStyle w:val="ListParagraph"/>
        <w:numPr>
          <w:ilvl w:val="0"/>
          <w:numId w:val="8"/>
        </w:numPr>
        <w:spacing w:before="90"/>
        <w:ind w:left="340" w:hanging="340"/>
        <w:contextualSpacing w:val="0"/>
      </w:pPr>
      <w:r>
        <w:t>The ongoing implementation of the protocols needs a formal and ongoing review commitment.</w:t>
      </w:r>
    </w:p>
    <w:p w14:paraId="01FE5197" w14:textId="4A00BC69" w:rsidR="00EC3F7B" w:rsidRDefault="00EC3F7B" w:rsidP="00B96764">
      <w:pPr>
        <w:spacing w:before="90"/>
      </w:pPr>
    </w:p>
    <w:p w14:paraId="1948F22C" w14:textId="1AE2881C" w:rsidR="00807365" w:rsidRDefault="005256D7" w:rsidP="00807365">
      <w:r>
        <w:t xml:space="preserve">Rules </w:t>
      </w:r>
      <w:r w:rsidR="007024F9">
        <w:t>over the</w:t>
      </w:r>
      <w:r>
        <w:t xml:space="preserve"> information </w:t>
      </w:r>
      <w:r w:rsidR="007024F9">
        <w:t>capture</w:t>
      </w:r>
      <w:r>
        <w:t xml:space="preserve"> </w:t>
      </w:r>
      <w:r w:rsidR="00647D70">
        <w:t>will be informed by other, more broadly focused wor</w:t>
      </w:r>
      <w:r w:rsidR="003664F5">
        <w:t>k</w:t>
      </w:r>
      <w:r w:rsidR="007024F9">
        <w:t xml:space="preserve"> on information governance for inclusion in </w:t>
      </w:r>
      <w:r w:rsidR="00431579">
        <w:t>the next edition of the protocols.</w:t>
      </w:r>
    </w:p>
    <w:p w14:paraId="42E28755" w14:textId="076EA29F" w:rsidR="00431579" w:rsidRDefault="00431579" w:rsidP="00807365"/>
    <w:p w14:paraId="22C577C7" w14:textId="1397F34A" w:rsidR="00497889" w:rsidRDefault="00431579" w:rsidP="00807365">
      <w:r>
        <w:t xml:space="preserve">The need for </w:t>
      </w:r>
      <w:r w:rsidR="00BF0322">
        <w:t xml:space="preserve">the right tools and training for people </w:t>
      </w:r>
      <w:r w:rsidR="003D44F5">
        <w:t>to collect</w:t>
      </w:r>
      <w:r w:rsidR="00FA35F9">
        <w:t xml:space="preserve"> information is acknowledged</w:t>
      </w:r>
      <w:r w:rsidR="00BB3E1F">
        <w:t xml:space="preserve"> as implementations get underway</w:t>
      </w:r>
      <w:r w:rsidR="00FA35F9">
        <w:t>.</w:t>
      </w:r>
    </w:p>
    <w:p w14:paraId="281AB8EC" w14:textId="77777777" w:rsidR="00497889" w:rsidRDefault="00497889" w:rsidP="00807365"/>
    <w:p w14:paraId="3A615FF7" w14:textId="169F448C" w:rsidR="00431579" w:rsidRDefault="003D44F5" w:rsidP="00807365">
      <w:r>
        <w:t>Continued engagement with the Data Iwi Leaders Group</w:t>
      </w:r>
      <w:r w:rsidR="008375C0">
        <w:t>,</w:t>
      </w:r>
      <w:r>
        <w:t xml:space="preserve"> </w:t>
      </w:r>
      <w:r w:rsidR="008375C0">
        <w:t xml:space="preserve">Māori data specialists and Māori leadership groups </w:t>
      </w:r>
      <w:r w:rsidR="00340900">
        <w:t>will be critical.</w:t>
      </w:r>
    </w:p>
    <w:p w14:paraId="77155B24" w14:textId="09565B55" w:rsidR="00340900" w:rsidRDefault="00340900" w:rsidP="00807365"/>
    <w:p w14:paraId="7E45FACB" w14:textId="4225C76F" w:rsidR="00D245F7" w:rsidRDefault="00340900" w:rsidP="00357E82">
      <w:r>
        <w:t>The protocols will be reviewed within the first year of publication.</w:t>
      </w:r>
    </w:p>
    <w:p w14:paraId="3D45E884" w14:textId="563CE184" w:rsidR="00D245F7" w:rsidRDefault="00D245F7" w:rsidP="00BE06EF">
      <w:pPr>
        <w:pStyle w:val="Heading1"/>
      </w:pPr>
      <w:bookmarkStart w:id="9" w:name="_Toc104900524"/>
      <w:r w:rsidRPr="00D245F7">
        <w:lastRenderedPageBreak/>
        <w:t xml:space="preserve">Summary of </w:t>
      </w:r>
      <w:r w:rsidR="00E0364B">
        <w:t>comments</w:t>
      </w:r>
      <w:r w:rsidRPr="00D245F7">
        <w:t xml:space="preserve"> by section</w:t>
      </w:r>
      <w:bookmarkEnd w:id="9"/>
    </w:p>
    <w:p w14:paraId="7419975F" w14:textId="63FB4F7A" w:rsidR="002023DC" w:rsidRPr="00DE0358" w:rsidRDefault="00680DC9" w:rsidP="00DE55FB">
      <w:pPr>
        <w:pStyle w:val="Heading2"/>
      </w:pPr>
      <w:bookmarkStart w:id="10" w:name="_Toc97210061"/>
      <w:bookmarkStart w:id="11" w:name="_Toc104900525"/>
      <w:r>
        <w:t>Comments on</w:t>
      </w:r>
      <w:r w:rsidR="002023DC">
        <w:t xml:space="preserve"> </w:t>
      </w:r>
      <w:r w:rsidR="00646A0B">
        <w:t xml:space="preserve">the </w:t>
      </w:r>
      <w:r>
        <w:t>p</w:t>
      </w:r>
      <w:r w:rsidR="002023DC">
        <w:t>urpose</w:t>
      </w:r>
      <w:bookmarkEnd w:id="10"/>
      <w:r w:rsidR="00646A0B">
        <w:t xml:space="preserve"> of the protocols</w:t>
      </w:r>
      <w:bookmarkEnd w:id="11"/>
    </w:p>
    <w:p w14:paraId="14D0FC71" w14:textId="446EEC45" w:rsidR="002023DC" w:rsidRDefault="002023DC" w:rsidP="00680DC9">
      <w:r w:rsidRPr="00680DC9">
        <w:t>The stated purpose of the protocol</w:t>
      </w:r>
      <w:r w:rsidR="00EC5014">
        <w:t>s</w:t>
      </w:r>
      <w:r w:rsidRPr="00680DC9">
        <w:t xml:space="preserve"> is to document a consistent and reliable approach to the collection of Māori descent and iwi affiliation information, in a way that is accessible, connected and relevant to Māori, addresses findings of the </w:t>
      </w:r>
      <w:hyperlink r:id="rId19" w:history="1">
        <w:r w:rsidRPr="00D7293D">
          <w:rPr>
            <w:rStyle w:val="Hyperlink"/>
          </w:rPr>
          <w:t xml:space="preserve">Waitangi Tribunal in Hauora: Report on Stage One of the Health Service and Outcome Kaupapa Inquiry </w:t>
        </w:r>
        <w:r w:rsidRPr="008C3224">
          <w:rPr>
            <w:rStyle w:val="Hyperlink"/>
            <w:b w:val="0"/>
            <w:bCs/>
          </w:rPr>
          <w:t>(Wai 2575)</w:t>
        </w:r>
      </w:hyperlink>
      <w:r w:rsidRPr="00680DC9">
        <w:t xml:space="preserve">, supports delivery of </w:t>
      </w:r>
      <w:hyperlink r:id="rId20" w:history="1">
        <w:r w:rsidRPr="00212940">
          <w:rPr>
            <w:rStyle w:val="Hyperlink"/>
          </w:rPr>
          <w:t>Whakamaua: Māori Health Action Plan 2020</w:t>
        </w:r>
        <w:r w:rsidR="00343390">
          <w:rPr>
            <w:rStyle w:val="Hyperlink"/>
          </w:rPr>
          <w:t>–</w:t>
        </w:r>
        <w:r w:rsidRPr="00212940">
          <w:rPr>
            <w:rStyle w:val="Hyperlink"/>
          </w:rPr>
          <w:t>25</w:t>
        </w:r>
      </w:hyperlink>
      <w:r w:rsidRPr="00680DC9">
        <w:t xml:space="preserve"> </w:t>
      </w:r>
      <w:r w:rsidR="002C0C4B">
        <w:t>(</w:t>
      </w:r>
      <w:r w:rsidR="002C0C4B" w:rsidRPr="008C3224">
        <w:rPr>
          <w:i/>
          <w:iCs/>
        </w:rPr>
        <w:t>Whakamaua</w:t>
      </w:r>
      <w:r w:rsidR="002C0C4B">
        <w:t xml:space="preserve">), </w:t>
      </w:r>
      <w:r w:rsidRPr="00680DC9">
        <w:t xml:space="preserve">and follows recommendations of the </w:t>
      </w:r>
      <w:hyperlink r:id="rId21" w:history="1">
        <w:r w:rsidRPr="00191CF9">
          <w:rPr>
            <w:rStyle w:val="Hyperlink"/>
          </w:rPr>
          <w:t>Health and Disability System Review</w:t>
        </w:r>
      </w:hyperlink>
      <w:r w:rsidRPr="00680DC9">
        <w:t xml:space="preserve"> in terms of improving equity of health outcomes for Māori.</w:t>
      </w:r>
    </w:p>
    <w:p w14:paraId="6BCCF183" w14:textId="77777777" w:rsidR="005F3756" w:rsidRPr="00680DC9" w:rsidRDefault="005F3756" w:rsidP="00680DC9"/>
    <w:p w14:paraId="05A1B586" w14:textId="176B4DD1" w:rsidR="002023DC" w:rsidRPr="005F3756" w:rsidRDefault="002023DC" w:rsidP="005F3756">
      <w:r w:rsidRPr="005F3756">
        <w:t xml:space="preserve">The key comments received </w:t>
      </w:r>
      <w:r w:rsidR="00696337">
        <w:t>made</w:t>
      </w:r>
      <w:r w:rsidRPr="005F3756">
        <w:t xml:space="preserve"> the following </w:t>
      </w:r>
      <w:r w:rsidR="00343390">
        <w:t>suggestions</w:t>
      </w:r>
      <w:r w:rsidR="002C0C4B">
        <w:t>.</w:t>
      </w:r>
    </w:p>
    <w:p w14:paraId="27BD79B8" w14:textId="4C98CFB1" w:rsidR="002023DC" w:rsidRPr="005F3756" w:rsidRDefault="002C0C4B" w:rsidP="00696337">
      <w:pPr>
        <w:pStyle w:val="Bullet"/>
        <w:numPr>
          <w:ilvl w:val="0"/>
          <w:numId w:val="6"/>
        </w:numPr>
        <w:ind w:left="340" w:hanging="340"/>
      </w:pPr>
      <w:r>
        <w:t>E</w:t>
      </w:r>
      <w:r w:rsidR="002023DC" w:rsidRPr="005F3756">
        <w:t>stablish a ‘</w:t>
      </w:r>
      <w:r w:rsidR="00D7293D">
        <w:t>u</w:t>
      </w:r>
      <w:r w:rsidR="002023DC" w:rsidRPr="005F3756">
        <w:t xml:space="preserve">se principle’ covering both access </w:t>
      </w:r>
      <w:r w:rsidR="00D7293D">
        <w:t xml:space="preserve">to </w:t>
      </w:r>
      <w:r w:rsidR="002023DC" w:rsidRPr="005F3756">
        <w:t>and availability of information captured</w:t>
      </w:r>
      <w:r>
        <w:t>.</w:t>
      </w:r>
      <w:r w:rsidR="002023DC" w:rsidRPr="005F3756">
        <w:t xml:space="preserve"> </w:t>
      </w:r>
    </w:p>
    <w:p w14:paraId="2AF341DB" w14:textId="555756CD" w:rsidR="002023DC" w:rsidRPr="005F3756" w:rsidRDefault="002023DC" w:rsidP="00696337">
      <w:pPr>
        <w:pStyle w:val="Bullet"/>
        <w:numPr>
          <w:ilvl w:val="0"/>
          <w:numId w:val="6"/>
        </w:numPr>
        <w:ind w:left="340" w:hanging="340"/>
      </w:pPr>
      <w:r w:rsidRPr="005F3756">
        <w:t xml:space="preserve">Capture disability information as an aid to meeting the </w:t>
      </w:r>
      <w:hyperlink r:id="rId22" w:history="1">
        <w:r w:rsidRPr="0021763C">
          <w:rPr>
            <w:rStyle w:val="Hyperlink"/>
          </w:rPr>
          <w:t>NZ Disability Strategy 2016-2026</w:t>
        </w:r>
      </w:hyperlink>
      <w:r w:rsidRPr="005F3756">
        <w:t xml:space="preserve"> (specifically </w:t>
      </w:r>
      <w:hyperlink r:id="rId23" w:history="1">
        <w:proofErr w:type="spellStart"/>
        <w:r w:rsidRPr="00CA3E79">
          <w:rPr>
            <w:rStyle w:val="Hyperlink"/>
          </w:rPr>
          <w:t>Whāia</w:t>
        </w:r>
        <w:proofErr w:type="spellEnd"/>
        <w:r w:rsidRPr="00CA3E79">
          <w:rPr>
            <w:rStyle w:val="Hyperlink"/>
          </w:rPr>
          <w:t xml:space="preserve"> </w:t>
        </w:r>
        <w:proofErr w:type="spellStart"/>
        <w:r w:rsidR="00CA3E79" w:rsidRPr="00CA3E79">
          <w:rPr>
            <w:rStyle w:val="Hyperlink"/>
          </w:rPr>
          <w:t>T</w:t>
        </w:r>
        <w:r w:rsidRPr="00CA3E79">
          <w:rPr>
            <w:rStyle w:val="Hyperlink"/>
          </w:rPr>
          <w:t>e</w:t>
        </w:r>
        <w:proofErr w:type="spellEnd"/>
        <w:r w:rsidRPr="00CA3E79">
          <w:rPr>
            <w:rStyle w:val="Hyperlink"/>
          </w:rPr>
          <w:t xml:space="preserve"> </w:t>
        </w:r>
        <w:proofErr w:type="spellStart"/>
        <w:r w:rsidRPr="00CA3E79">
          <w:rPr>
            <w:rStyle w:val="Hyperlink"/>
          </w:rPr>
          <w:t>Ao</w:t>
        </w:r>
        <w:proofErr w:type="spellEnd"/>
        <w:r w:rsidRPr="00CA3E79">
          <w:rPr>
            <w:rStyle w:val="Hyperlink"/>
          </w:rPr>
          <w:t xml:space="preserve"> </w:t>
        </w:r>
        <w:proofErr w:type="spellStart"/>
        <w:r w:rsidRPr="00CA3E79">
          <w:rPr>
            <w:rStyle w:val="Hyperlink"/>
          </w:rPr>
          <w:t>Mārama</w:t>
        </w:r>
        <w:proofErr w:type="spellEnd"/>
        <w:r w:rsidRPr="00CA3E79">
          <w:rPr>
            <w:rStyle w:val="Hyperlink"/>
          </w:rPr>
          <w:t xml:space="preserve"> 2018-2022 </w:t>
        </w:r>
        <w:r w:rsidR="00B53DF8" w:rsidRPr="00CA3E79">
          <w:rPr>
            <w:rStyle w:val="Hyperlink"/>
          </w:rPr>
          <w:t xml:space="preserve">| </w:t>
        </w:r>
        <w:r w:rsidRPr="00CA3E79">
          <w:rPr>
            <w:rStyle w:val="Hyperlink"/>
          </w:rPr>
          <w:t>Māori Disability Plan</w:t>
        </w:r>
      </w:hyperlink>
      <w:r w:rsidRPr="005F3756">
        <w:t>)</w:t>
      </w:r>
      <w:r w:rsidR="002C0C4B">
        <w:t>.</w:t>
      </w:r>
    </w:p>
    <w:p w14:paraId="51322930" w14:textId="39225E95" w:rsidR="002023DC" w:rsidRDefault="002C0C4B" w:rsidP="00696337">
      <w:pPr>
        <w:pStyle w:val="Bullet"/>
        <w:numPr>
          <w:ilvl w:val="0"/>
          <w:numId w:val="6"/>
        </w:numPr>
        <w:ind w:left="340" w:hanging="340"/>
      </w:pPr>
      <w:r>
        <w:t>C</w:t>
      </w:r>
      <w:r w:rsidR="002023DC" w:rsidRPr="005F3756">
        <w:t xml:space="preserve">apture hapū, whānau and </w:t>
      </w:r>
      <w:r w:rsidR="00C32E28">
        <w:t>m</w:t>
      </w:r>
      <w:r w:rsidR="002023DC" w:rsidRPr="005F3756">
        <w:t>arae affiliations as an aid to meet</w:t>
      </w:r>
      <w:r w:rsidR="00DF2001">
        <w:t>ing</w:t>
      </w:r>
      <w:r w:rsidR="002023DC" w:rsidRPr="005F3756">
        <w:t xml:space="preserve"> </w:t>
      </w:r>
      <w:proofErr w:type="spellStart"/>
      <w:r w:rsidR="00DF2001" w:rsidRPr="008C3224">
        <w:rPr>
          <w:i/>
          <w:iCs/>
        </w:rPr>
        <w:t>Whaka</w:t>
      </w:r>
      <w:r w:rsidR="00212940" w:rsidRPr="008C3224">
        <w:rPr>
          <w:i/>
          <w:iCs/>
        </w:rPr>
        <w:t>maua</w:t>
      </w:r>
      <w:r w:rsidR="00212940">
        <w:t>’s</w:t>
      </w:r>
      <w:proofErr w:type="spellEnd"/>
      <w:r w:rsidR="002023DC" w:rsidRPr="005F3756">
        <w:t xml:space="preserve"> </w:t>
      </w:r>
      <w:r w:rsidR="00DF2001">
        <w:t>goals</w:t>
      </w:r>
      <w:r w:rsidR="004730BC">
        <w:t>.</w:t>
      </w:r>
    </w:p>
    <w:p w14:paraId="11B619E7" w14:textId="120C5B15" w:rsidR="001E769C" w:rsidRDefault="001E769C" w:rsidP="001E769C">
      <w:pPr>
        <w:pStyle w:val="Bullet"/>
        <w:numPr>
          <w:ilvl w:val="0"/>
          <w:numId w:val="0"/>
        </w:numPr>
        <w:ind w:left="284" w:hanging="284"/>
      </w:pPr>
    </w:p>
    <w:p w14:paraId="7F0EF5E3" w14:textId="2A8EAB18" w:rsidR="001E769C" w:rsidRDefault="001C45A8" w:rsidP="001E769C">
      <w:r>
        <w:t xml:space="preserve">Other </w:t>
      </w:r>
      <w:r w:rsidR="001836C4">
        <w:t xml:space="preserve">more broadly focused </w:t>
      </w:r>
      <w:r>
        <w:t xml:space="preserve">work is underway that will </w:t>
      </w:r>
      <w:r w:rsidR="008873C7">
        <w:t xml:space="preserve">define </w:t>
      </w:r>
      <w:r w:rsidR="001836C4">
        <w:t xml:space="preserve">rules governing </w:t>
      </w:r>
      <w:r w:rsidR="008873C7">
        <w:t xml:space="preserve">access to </w:t>
      </w:r>
      <w:r w:rsidR="001E3410">
        <w:t xml:space="preserve">personal </w:t>
      </w:r>
      <w:r w:rsidR="008873C7">
        <w:t xml:space="preserve">information </w:t>
      </w:r>
      <w:r w:rsidR="00BF76C2">
        <w:t>collected</w:t>
      </w:r>
      <w:r w:rsidR="001E3410">
        <w:t>. A ‘use principle’ is worthwhile consideration for future development of the protocols.</w:t>
      </w:r>
    </w:p>
    <w:p w14:paraId="5565408C" w14:textId="286A0CD5" w:rsidR="004B67F0" w:rsidRDefault="004B67F0" w:rsidP="001E769C"/>
    <w:p w14:paraId="481E2200" w14:textId="77777777" w:rsidR="00A968F7" w:rsidRDefault="005A35B7" w:rsidP="001E769C">
      <w:r>
        <w:t xml:space="preserve">The request for </w:t>
      </w:r>
      <w:r w:rsidR="007663BB">
        <w:t xml:space="preserve">protocols to collect disability information is noted, although </w:t>
      </w:r>
      <w:r w:rsidR="00A968F7">
        <w:t>out of scope for this standard.</w:t>
      </w:r>
    </w:p>
    <w:p w14:paraId="1648F454" w14:textId="77777777" w:rsidR="00A968F7" w:rsidRDefault="00A968F7" w:rsidP="001E769C"/>
    <w:p w14:paraId="077B1648" w14:textId="3E4679A8" w:rsidR="004B67F0" w:rsidRPr="001E769C" w:rsidRDefault="00A968F7" w:rsidP="001E769C">
      <w:r>
        <w:t xml:space="preserve">The protocols in their present form </w:t>
      </w:r>
      <w:r w:rsidR="00532E9F">
        <w:t xml:space="preserve">are focused on iwi affiliation and </w:t>
      </w:r>
      <w:r w:rsidR="00BD522A">
        <w:t>do not extend to hapū</w:t>
      </w:r>
      <w:r w:rsidR="00532E9F">
        <w:t>.</w:t>
      </w:r>
      <w:r w:rsidR="004B67F0">
        <w:t xml:space="preserve"> </w:t>
      </w:r>
    </w:p>
    <w:p w14:paraId="7570D9D6" w14:textId="11A76484" w:rsidR="002023DC" w:rsidRPr="00DE0358" w:rsidRDefault="00680DC9" w:rsidP="00DE55FB">
      <w:pPr>
        <w:pStyle w:val="Heading2"/>
      </w:pPr>
      <w:bookmarkStart w:id="12" w:name="_Toc97210062"/>
      <w:bookmarkStart w:id="13" w:name="_Toc104900526"/>
      <w:r>
        <w:lastRenderedPageBreak/>
        <w:t xml:space="preserve">Comments on </w:t>
      </w:r>
      <w:r w:rsidR="00646A0B">
        <w:t xml:space="preserve">the </w:t>
      </w:r>
      <w:r>
        <w:t>s</w:t>
      </w:r>
      <w:r w:rsidR="002023DC">
        <w:t>cope</w:t>
      </w:r>
      <w:bookmarkEnd w:id="12"/>
      <w:r w:rsidR="00646A0B">
        <w:t xml:space="preserve"> of the protocols</w:t>
      </w:r>
      <w:bookmarkEnd w:id="13"/>
    </w:p>
    <w:p w14:paraId="5547F16C" w14:textId="31078D54" w:rsidR="000D6D8F" w:rsidRPr="0039537D" w:rsidRDefault="002023DC" w:rsidP="0039537D">
      <w:pPr>
        <w:keepLines/>
        <w:rPr>
          <w:rFonts w:cs="Segoe UI"/>
        </w:rPr>
      </w:pPr>
      <w:r>
        <w:t>The scope of th</w:t>
      </w:r>
      <w:r w:rsidR="000D6D8F">
        <w:t>e</w:t>
      </w:r>
      <w:r>
        <w:t xml:space="preserve"> protocol</w:t>
      </w:r>
      <w:r w:rsidR="000D6D8F">
        <w:t>s</w:t>
      </w:r>
      <w:r>
        <w:t xml:space="preserve"> is to </w:t>
      </w:r>
      <w:r w:rsidRPr="00480CAD">
        <w:rPr>
          <w:rFonts w:cs="Segoe UI"/>
        </w:rPr>
        <w:t xml:space="preserve">outline </w:t>
      </w:r>
      <w:r>
        <w:rPr>
          <w:rFonts w:cs="Segoe UI"/>
        </w:rPr>
        <w:t xml:space="preserve">the </w:t>
      </w:r>
      <w:r w:rsidRPr="00480CAD">
        <w:rPr>
          <w:rFonts w:cs="Segoe UI"/>
        </w:rPr>
        <w:t>minimum standards that apply across the health and disability system to collect</w:t>
      </w:r>
      <w:r w:rsidR="00057233">
        <w:rPr>
          <w:rFonts w:cs="Segoe UI"/>
        </w:rPr>
        <w:t>ing</w:t>
      </w:r>
      <w:r w:rsidRPr="00480CAD">
        <w:rPr>
          <w:rFonts w:cs="Segoe UI"/>
        </w:rPr>
        <w:t xml:space="preserve">, </w:t>
      </w:r>
      <w:proofErr w:type="gramStart"/>
      <w:r w:rsidRPr="00480CAD">
        <w:rPr>
          <w:rFonts w:cs="Segoe UI"/>
        </w:rPr>
        <w:t>record</w:t>
      </w:r>
      <w:r w:rsidR="00057233">
        <w:rPr>
          <w:rFonts w:cs="Segoe UI"/>
        </w:rPr>
        <w:t>ing</w:t>
      </w:r>
      <w:proofErr w:type="gramEnd"/>
      <w:r w:rsidRPr="00480CAD">
        <w:rPr>
          <w:rFonts w:cs="Segoe UI"/>
        </w:rPr>
        <w:t xml:space="preserve"> and us</w:t>
      </w:r>
      <w:r w:rsidR="00057233">
        <w:rPr>
          <w:rFonts w:cs="Segoe UI"/>
        </w:rPr>
        <w:t>ing</w:t>
      </w:r>
      <w:r w:rsidRPr="00480CAD">
        <w:rPr>
          <w:rFonts w:cs="Segoe UI"/>
        </w:rPr>
        <w:t xml:space="preserve"> iwi affiliation data. </w:t>
      </w:r>
      <w:r w:rsidR="000D6D8F">
        <w:t>The draft protocols do not</w:t>
      </w:r>
      <w:r w:rsidR="00AD7326">
        <w:t>,</w:t>
      </w:r>
      <w:r w:rsidR="000D6D8F">
        <w:t xml:space="preserve"> and w</w:t>
      </w:r>
      <w:r w:rsidR="00172F4A">
        <w:t>ere</w:t>
      </w:r>
      <w:r w:rsidR="000D6D8F">
        <w:t xml:space="preserve"> not intended to</w:t>
      </w:r>
      <w:r w:rsidR="00AD7326">
        <w:t>,</w:t>
      </w:r>
      <w:r w:rsidR="000D6D8F">
        <w:t xml:space="preserve"> speak to the ownership or storage of </w:t>
      </w:r>
      <w:r w:rsidR="00AF70A1">
        <w:t>iwi affiliation data</w:t>
      </w:r>
      <w:r w:rsidR="000D6D8F">
        <w:t xml:space="preserve">. </w:t>
      </w:r>
    </w:p>
    <w:p w14:paraId="4405A1FD" w14:textId="77777777" w:rsidR="000D6D8F" w:rsidRDefault="000D6D8F" w:rsidP="000D6D8F"/>
    <w:p w14:paraId="774D6694" w14:textId="400ADAB6" w:rsidR="000D6D8F" w:rsidRPr="004B34E0" w:rsidRDefault="000D6D8F" w:rsidP="000D6D8F">
      <w:r>
        <w:t xml:space="preserve">While the daft protocols do comment on the output of the information, this is by way of direct reference to the Tino Rangatiratanga and </w:t>
      </w:r>
      <w:r w:rsidR="003D05DB">
        <w:t>A</w:t>
      </w:r>
      <w:r>
        <w:t xml:space="preserve">ctive </w:t>
      </w:r>
      <w:r w:rsidR="003D05DB">
        <w:t>P</w:t>
      </w:r>
      <w:r>
        <w:t xml:space="preserve">rotection principles of Te Tiriti. </w:t>
      </w:r>
    </w:p>
    <w:p w14:paraId="24EABCEF" w14:textId="77777777" w:rsidR="002023DC" w:rsidRPr="007E53AC" w:rsidRDefault="002023DC" w:rsidP="002023DC"/>
    <w:p w14:paraId="5C5EF011" w14:textId="7B754EBB" w:rsidR="002023DC" w:rsidRPr="005F3756" w:rsidRDefault="002023DC" w:rsidP="005F3756">
      <w:r w:rsidRPr="005F3756">
        <w:t>The key comments received covered the following points</w:t>
      </w:r>
      <w:r w:rsidR="003D05DB">
        <w:t>.</w:t>
      </w:r>
    </w:p>
    <w:p w14:paraId="412CB4D0" w14:textId="65872F3F" w:rsidR="002023DC" w:rsidRPr="005F3756" w:rsidRDefault="002023DC" w:rsidP="0008068E">
      <w:pPr>
        <w:pStyle w:val="Bullet"/>
        <w:numPr>
          <w:ilvl w:val="0"/>
          <w:numId w:val="6"/>
        </w:numPr>
        <w:ind w:left="340" w:hanging="340"/>
      </w:pPr>
      <w:r w:rsidRPr="005F3756">
        <w:t>Respondents need an ability to control who can and cannot access their data.</w:t>
      </w:r>
      <w:r w:rsidR="002369A8" w:rsidRPr="005F3756">
        <w:t xml:space="preserve"> </w:t>
      </w:r>
      <w:r w:rsidRPr="005F3756">
        <w:t>This also should address the issue of sovereignty generally</w:t>
      </w:r>
      <w:r w:rsidR="003D05DB">
        <w:t>.</w:t>
      </w:r>
      <w:r w:rsidR="002369A8" w:rsidRPr="005F3756">
        <w:t xml:space="preserve"> </w:t>
      </w:r>
    </w:p>
    <w:p w14:paraId="6B2153F8" w14:textId="4B6AFE03" w:rsidR="002023DC" w:rsidRPr="005F3756" w:rsidRDefault="003D05DB" w:rsidP="0008068E">
      <w:pPr>
        <w:pStyle w:val="Bullet"/>
        <w:numPr>
          <w:ilvl w:val="0"/>
          <w:numId w:val="6"/>
        </w:numPr>
        <w:ind w:left="340" w:hanging="340"/>
      </w:pPr>
      <w:r>
        <w:t>The protocols n</w:t>
      </w:r>
      <w:r w:rsidR="002023DC" w:rsidRPr="005F3756">
        <w:t>eed a better definition of where the information is to be held and what it is to be used for</w:t>
      </w:r>
      <w:r>
        <w:t>.</w:t>
      </w:r>
      <w:r w:rsidR="002023DC" w:rsidRPr="005F3756">
        <w:t xml:space="preserve"> </w:t>
      </w:r>
    </w:p>
    <w:p w14:paraId="789F4B13" w14:textId="23D4AD8F" w:rsidR="002023DC" w:rsidRDefault="002023DC" w:rsidP="0008068E">
      <w:pPr>
        <w:pStyle w:val="Bullet"/>
        <w:numPr>
          <w:ilvl w:val="0"/>
          <w:numId w:val="6"/>
        </w:numPr>
        <w:ind w:left="340" w:hanging="340"/>
      </w:pPr>
      <w:r w:rsidRPr="005F3756">
        <w:t xml:space="preserve">The scope should be </w:t>
      </w:r>
      <w:proofErr w:type="gramStart"/>
      <w:r w:rsidRPr="005F3756">
        <w:t>revised</w:t>
      </w:r>
      <w:proofErr w:type="gramEnd"/>
      <w:r w:rsidRPr="005F3756">
        <w:t xml:space="preserve"> and consideration given to including a wider range of participants</w:t>
      </w:r>
      <w:r w:rsidR="003D05DB">
        <w:t>,</w:t>
      </w:r>
      <w:r w:rsidRPr="005F3756">
        <w:t xml:space="preserve"> for example, disability planners, hapū, whānau, whakapapa and marae services</w:t>
      </w:r>
      <w:r w:rsidR="00524831">
        <w:t>.</w:t>
      </w:r>
      <w:r w:rsidRPr="005F3756">
        <w:t xml:space="preserve"> </w:t>
      </w:r>
    </w:p>
    <w:p w14:paraId="147C1576" w14:textId="6A6687F6" w:rsidR="008F3C01" w:rsidRDefault="008F3C01" w:rsidP="008F3C01">
      <w:pPr>
        <w:pStyle w:val="Bullet"/>
        <w:numPr>
          <w:ilvl w:val="0"/>
          <w:numId w:val="0"/>
        </w:numPr>
        <w:ind w:left="284" w:hanging="284"/>
      </w:pPr>
    </w:p>
    <w:p w14:paraId="7A7AD310" w14:textId="7C4A9130" w:rsidR="008F3C01" w:rsidRPr="008F3C01" w:rsidRDefault="008031BA" w:rsidP="008F3C01">
      <w:r>
        <w:t>These matters of scope are useful input to further development of the protocols.</w:t>
      </w:r>
      <w:r w:rsidR="00F25373">
        <w:t xml:space="preserve"> </w:t>
      </w:r>
      <w:r w:rsidR="00B142C3">
        <w:t xml:space="preserve">Other work is underway </w:t>
      </w:r>
      <w:r w:rsidR="004B5ADF">
        <w:t>that will help to answer the</w:t>
      </w:r>
      <w:r w:rsidR="00B142C3">
        <w:t xml:space="preserve"> </w:t>
      </w:r>
      <w:r w:rsidR="004B5ADF">
        <w:t xml:space="preserve">point on </w:t>
      </w:r>
      <w:r w:rsidR="00B142C3">
        <w:t>information governance</w:t>
      </w:r>
      <w:r w:rsidR="004B5ADF">
        <w:t>.</w:t>
      </w:r>
    </w:p>
    <w:p w14:paraId="12100D05" w14:textId="1A618B2A" w:rsidR="002023DC" w:rsidRPr="00DE0358" w:rsidRDefault="00680DC9" w:rsidP="00DE55FB">
      <w:pPr>
        <w:pStyle w:val="Heading2"/>
      </w:pPr>
      <w:bookmarkStart w:id="14" w:name="_Toc97210063"/>
      <w:bookmarkStart w:id="15" w:name="_Toc104900527"/>
      <w:r>
        <w:t xml:space="preserve">Comments on </w:t>
      </w:r>
      <w:r w:rsidR="00646A0B">
        <w:t xml:space="preserve">the </w:t>
      </w:r>
      <w:r>
        <w:t>b</w:t>
      </w:r>
      <w:r w:rsidR="002023DC">
        <w:t>ackground</w:t>
      </w:r>
      <w:bookmarkEnd w:id="14"/>
      <w:r>
        <w:t xml:space="preserve"> </w:t>
      </w:r>
      <w:r w:rsidR="00646A0B">
        <w:t>to the protocols</w:t>
      </w:r>
      <w:bookmarkEnd w:id="15"/>
    </w:p>
    <w:p w14:paraId="0CD028B3" w14:textId="72691EC1" w:rsidR="002023DC" w:rsidRDefault="002023DC" w:rsidP="005F3756">
      <w:r w:rsidRPr="005F3756">
        <w:t xml:space="preserve">This section provides background to the </w:t>
      </w:r>
      <w:r w:rsidR="00252611">
        <w:t>protocols and the purposes for collecting iwi affiliation data</w:t>
      </w:r>
      <w:r w:rsidRPr="005F3756">
        <w:t>.</w:t>
      </w:r>
      <w:r w:rsidR="002369A8" w:rsidRPr="005F3756">
        <w:t xml:space="preserve"> </w:t>
      </w:r>
      <w:r w:rsidRPr="005F3756">
        <w:t>It reference</w:t>
      </w:r>
      <w:r w:rsidR="00252611">
        <w:t>s</w:t>
      </w:r>
      <w:r w:rsidRPr="005F3756">
        <w:t xml:space="preserve"> </w:t>
      </w:r>
      <w:r w:rsidR="006C36F8">
        <w:t>t</w:t>
      </w:r>
      <w:r w:rsidRPr="005F3756">
        <w:t xml:space="preserve">he Ministry of Health’s </w:t>
      </w:r>
      <w:hyperlink r:id="rId24" w:history="1">
        <w:r w:rsidRPr="005F3756">
          <w:rPr>
            <w:rStyle w:val="Hyperlink"/>
            <w:rFonts w:eastAsia="MS Gothic"/>
          </w:rPr>
          <w:t>Te Tiriti o Waitangi Framework</w:t>
        </w:r>
      </w:hyperlink>
      <w:r w:rsidRPr="005F3756">
        <w:rPr>
          <w:rFonts w:eastAsia="MS Gothic"/>
        </w:rPr>
        <w:t xml:space="preserve">, </w:t>
      </w:r>
      <w:r w:rsidR="00A3137F">
        <w:t>provides the definitions of</w:t>
      </w:r>
      <w:r w:rsidRPr="005F3756">
        <w:t xml:space="preserve"> </w:t>
      </w:r>
      <w:r w:rsidR="00A3137F">
        <w:t xml:space="preserve">Māori descent and </w:t>
      </w:r>
      <w:r w:rsidRPr="005F3756">
        <w:t xml:space="preserve">iwi </w:t>
      </w:r>
      <w:r w:rsidR="00A3137F">
        <w:t xml:space="preserve">affiliation </w:t>
      </w:r>
      <w:r w:rsidRPr="005F3756">
        <w:t xml:space="preserve">as contained in the </w:t>
      </w:r>
      <w:hyperlink r:id="rId25" w:history="1">
        <w:r w:rsidRPr="005F3756">
          <w:rPr>
            <w:rStyle w:val="Hyperlink"/>
            <w:rFonts w:eastAsia="MS Gothic"/>
          </w:rPr>
          <w:t>Iwi Statistical Standard and Classification</w:t>
        </w:r>
      </w:hyperlink>
      <w:r w:rsidRPr="005F3756">
        <w:t xml:space="preserve">, and provides guidance on </w:t>
      </w:r>
      <w:r w:rsidR="00751BE2">
        <w:t>achieving</w:t>
      </w:r>
      <w:r w:rsidRPr="005F3756">
        <w:t xml:space="preserve"> data quality.</w:t>
      </w:r>
    </w:p>
    <w:p w14:paraId="30191907" w14:textId="77777777" w:rsidR="002023DC" w:rsidRDefault="002023DC" w:rsidP="002023DC"/>
    <w:p w14:paraId="4DE1FA2F" w14:textId="629FA489" w:rsidR="002023DC" w:rsidRPr="005F3756" w:rsidRDefault="002023DC" w:rsidP="005F3756">
      <w:r w:rsidRPr="005F3756">
        <w:t>The key comments received covered the following points</w:t>
      </w:r>
      <w:r w:rsidR="003D05DB">
        <w:t>.</w:t>
      </w:r>
    </w:p>
    <w:p w14:paraId="7147B257" w14:textId="14CDD40D" w:rsidR="002023DC" w:rsidRPr="005F3756" w:rsidRDefault="002023DC" w:rsidP="00C7231E">
      <w:pPr>
        <w:pStyle w:val="Bullet"/>
        <w:numPr>
          <w:ilvl w:val="0"/>
          <w:numId w:val="6"/>
        </w:numPr>
        <w:ind w:left="340" w:hanging="340"/>
      </w:pPr>
      <w:r w:rsidRPr="005F3756">
        <w:t>There need</w:t>
      </w:r>
      <w:r w:rsidR="003D05DB">
        <w:t>s</w:t>
      </w:r>
      <w:r w:rsidRPr="005F3756">
        <w:t xml:space="preserve"> to be consistent formats of information (</w:t>
      </w:r>
      <w:r w:rsidR="00C7231E">
        <w:t>equivalent</w:t>
      </w:r>
      <w:r w:rsidRPr="005F3756">
        <w:t xml:space="preserve"> </w:t>
      </w:r>
      <w:r w:rsidR="003D05DB">
        <w:t xml:space="preserve">to </w:t>
      </w:r>
      <w:r w:rsidRPr="005F3756">
        <w:t xml:space="preserve">the </w:t>
      </w:r>
      <w:r w:rsidR="004F7A6C">
        <w:t>c</w:t>
      </w:r>
      <w:r w:rsidRPr="005F3756">
        <w:t>ensus) to enable health outcome analysis</w:t>
      </w:r>
      <w:r w:rsidR="003D05DB">
        <w:t>.</w:t>
      </w:r>
    </w:p>
    <w:p w14:paraId="6691A891" w14:textId="433A3572" w:rsidR="002023DC" w:rsidRPr="005F3756" w:rsidRDefault="002023DC" w:rsidP="00C7231E">
      <w:pPr>
        <w:pStyle w:val="Bullet"/>
        <w:numPr>
          <w:ilvl w:val="0"/>
          <w:numId w:val="6"/>
        </w:numPr>
        <w:ind w:left="340" w:hanging="340"/>
      </w:pPr>
      <w:r w:rsidRPr="005F3756">
        <w:t>Access to the data is an essential fundamental</w:t>
      </w:r>
      <w:r w:rsidR="003D05DB">
        <w:t>.</w:t>
      </w:r>
    </w:p>
    <w:p w14:paraId="7CFCB157" w14:textId="2B21392C" w:rsidR="002023DC" w:rsidRPr="005F3756" w:rsidRDefault="002023DC" w:rsidP="00C7231E">
      <w:pPr>
        <w:pStyle w:val="Bullet"/>
        <w:numPr>
          <w:ilvl w:val="0"/>
          <w:numId w:val="6"/>
        </w:numPr>
        <w:ind w:left="340" w:hanging="340"/>
      </w:pPr>
      <w:r w:rsidRPr="005F3756">
        <w:t>Move the section on Te Tiriti to the Purpose section</w:t>
      </w:r>
      <w:r w:rsidR="003D05DB">
        <w:t>.</w:t>
      </w:r>
    </w:p>
    <w:p w14:paraId="052C61AD" w14:textId="6BE3675E" w:rsidR="002023DC" w:rsidRPr="005F3756" w:rsidRDefault="002023DC" w:rsidP="00C7231E">
      <w:pPr>
        <w:pStyle w:val="Bullet"/>
        <w:numPr>
          <w:ilvl w:val="0"/>
          <w:numId w:val="6"/>
        </w:numPr>
        <w:ind w:left="340" w:hanging="340"/>
      </w:pPr>
      <w:r w:rsidRPr="005F3756">
        <w:t>Include proper cultural advisor representation as part of system operation</w:t>
      </w:r>
      <w:r w:rsidR="003D05DB">
        <w:t>.</w:t>
      </w:r>
    </w:p>
    <w:p w14:paraId="32B3130C" w14:textId="4DA083A8" w:rsidR="002023DC" w:rsidRDefault="002023DC" w:rsidP="00C7231E">
      <w:pPr>
        <w:pStyle w:val="Bullet"/>
        <w:numPr>
          <w:ilvl w:val="0"/>
          <w:numId w:val="6"/>
        </w:numPr>
        <w:ind w:left="340" w:hanging="340"/>
      </w:pPr>
      <w:r w:rsidRPr="005F3756">
        <w:t>There should be more focus on outcomes.</w:t>
      </w:r>
    </w:p>
    <w:p w14:paraId="21E7A271" w14:textId="4E4F9DCB" w:rsidR="00363E75" w:rsidRDefault="00363E75" w:rsidP="00363E75">
      <w:pPr>
        <w:pStyle w:val="Bullet"/>
        <w:numPr>
          <w:ilvl w:val="0"/>
          <w:numId w:val="0"/>
        </w:numPr>
        <w:ind w:left="284" w:hanging="284"/>
      </w:pPr>
    </w:p>
    <w:p w14:paraId="5F655F4B" w14:textId="4B9A6D2F" w:rsidR="00363E75" w:rsidRPr="00363E75" w:rsidRDefault="00363E75" w:rsidP="00363E75">
      <w:r>
        <w:t>This section of the protocols was updated as a result.</w:t>
      </w:r>
    </w:p>
    <w:p w14:paraId="1AEE7333" w14:textId="396EA7FB" w:rsidR="002023DC" w:rsidRPr="00DE0358" w:rsidRDefault="00D94402" w:rsidP="00DE55FB">
      <w:pPr>
        <w:pStyle w:val="Heading2"/>
      </w:pPr>
      <w:bookmarkStart w:id="16" w:name="_Toc97210064"/>
      <w:bookmarkStart w:id="17" w:name="_Toc104900528"/>
      <w:r>
        <w:lastRenderedPageBreak/>
        <w:t xml:space="preserve">Comments on </w:t>
      </w:r>
      <w:r w:rsidR="002946A1">
        <w:t xml:space="preserve">the </w:t>
      </w:r>
      <w:r w:rsidR="00680DC9">
        <w:t>p</w:t>
      </w:r>
      <w:r w:rsidR="002023DC" w:rsidRPr="00550632">
        <w:t>rotocols for collecti</w:t>
      </w:r>
      <w:r w:rsidR="00680DC9">
        <w:t>ng</w:t>
      </w:r>
      <w:r w:rsidR="002023DC" w:rsidRPr="00550632">
        <w:t xml:space="preserve"> Māori descent and iwi affiliation data</w:t>
      </w:r>
      <w:bookmarkEnd w:id="16"/>
      <w:bookmarkEnd w:id="17"/>
    </w:p>
    <w:p w14:paraId="48C63C13" w14:textId="5C63EEAB" w:rsidR="002023DC" w:rsidRDefault="002023DC" w:rsidP="005F3756">
      <w:r w:rsidRPr="005F3756">
        <w:t>This section detail</w:t>
      </w:r>
      <w:r w:rsidR="00306672">
        <w:t>s</w:t>
      </w:r>
      <w:r w:rsidRPr="005F3756">
        <w:t xml:space="preserve"> the proposed processes for </w:t>
      </w:r>
      <w:r w:rsidR="00295B18">
        <w:t>collecting</w:t>
      </w:r>
      <w:r w:rsidRPr="005F3756">
        <w:t xml:space="preserve"> Māori descent and iwi affiliation data from a person’s perspective.</w:t>
      </w:r>
      <w:r w:rsidR="002369A8" w:rsidRPr="005F3756">
        <w:t xml:space="preserve"> </w:t>
      </w:r>
      <w:r w:rsidRPr="005F3756">
        <w:t>It note</w:t>
      </w:r>
      <w:r w:rsidR="00306672">
        <w:t>s</w:t>
      </w:r>
      <w:r w:rsidRPr="005F3756">
        <w:t xml:space="preserve"> that data collectors in the health and disability sector can often be administrators, </w:t>
      </w:r>
      <w:proofErr w:type="gramStart"/>
      <w:r w:rsidRPr="005F3756">
        <w:t>clerks</w:t>
      </w:r>
      <w:proofErr w:type="gramEnd"/>
      <w:r w:rsidRPr="005F3756">
        <w:t xml:space="preserve"> and health professionals. Respondents giving Māori descent and iwi affiliation information tend to be patients, </w:t>
      </w:r>
      <w:proofErr w:type="gramStart"/>
      <w:r w:rsidRPr="005F3756">
        <w:t>consumers</w:t>
      </w:r>
      <w:proofErr w:type="gramEnd"/>
      <w:r w:rsidRPr="005F3756">
        <w:t xml:space="preserve"> and clients, as well as members of the health workforce when filling in human resources forms. </w:t>
      </w:r>
    </w:p>
    <w:p w14:paraId="0FD86BB4" w14:textId="77777777" w:rsidR="002023DC" w:rsidRPr="00AD3A88" w:rsidRDefault="002023DC" w:rsidP="002023DC"/>
    <w:p w14:paraId="7CA89A2D" w14:textId="00C7F67C" w:rsidR="002023DC" w:rsidRPr="005F3756" w:rsidRDefault="002023DC" w:rsidP="005F3756">
      <w:r w:rsidRPr="005F3756">
        <w:t>The key comments received covered the following points</w:t>
      </w:r>
      <w:r w:rsidR="003D05DB">
        <w:t>.</w:t>
      </w:r>
    </w:p>
    <w:p w14:paraId="6B2F9C9E" w14:textId="02EE42B2" w:rsidR="002023DC" w:rsidRPr="005F3756" w:rsidRDefault="002023DC" w:rsidP="007D2749">
      <w:pPr>
        <w:pStyle w:val="Bullet"/>
        <w:numPr>
          <w:ilvl w:val="0"/>
          <w:numId w:val="6"/>
        </w:numPr>
        <w:ind w:left="340" w:hanging="340"/>
      </w:pPr>
      <w:r w:rsidRPr="005F3756">
        <w:t xml:space="preserve">Ensure </w:t>
      </w:r>
      <w:r w:rsidR="003D05DB">
        <w:t xml:space="preserve">the </w:t>
      </w:r>
      <w:r w:rsidRPr="005F3756">
        <w:t>system is insensitive to macrons and clarify ‘as you type’ comments</w:t>
      </w:r>
      <w:r w:rsidR="003D05DB">
        <w:t>.</w:t>
      </w:r>
    </w:p>
    <w:p w14:paraId="1C98455F" w14:textId="124796CA" w:rsidR="002023DC" w:rsidRPr="005F3756" w:rsidRDefault="002023DC" w:rsidP="007D2749">
      <w:pPr>
        <w:pStyle w:val="Bullet"/>
        <w:numPr>
          <w:ilvl w:val="0"/>
          <w:numId w:val="6"/>
        </w:numPr>
        <w:ind w:left="340" w:hanging="340"/>
      </w:pPr>
      <w:r w:rsidRPr="005F3756">
        <w:t xml:space="preserve">Review </w:t>
      </w:r>
      <w:r w:rsidR="003D05DB">
        <w:t xml:space="preserve">the </w:t>
      </w:r>
      <w:r w:rsidRPr="005F3756">
        <w:t>text related to assisted responses and trusted delegates (</w:t>
      </w:r>
      <w:r w:rsidR="003D05DB">
        <w:t xml:space="preserve">explain </w:t>
      </w:r>
      <w:r w:rsidRPr="005F3756">
        <w:t>who this include</w:t>
      </w:r>
      <w:r w:rsidR="003D05DB">
        <w:t>s</w:t>
      </w:r>
      <w:r w:rsidRPr="005F3756">
        <w:t>)</w:t>
      </w:r>
      <w:r w:rsidR="003D05DB">
        <w:t>.</w:t>
      </w:r>
    </w:p>
    <w:p w14:paraId="18AA1D9D" w14:textId="02CCEB2A" w:rsidR="002023DC" w:rsidRPr="005F3756" w:rsidRDefault="002023DC" w:rsidP="007D2749">
      <w:pPr>
        <w:pStyle w:val="Bullet"/>
        <w:numPr>
          <w:ilvl w:val="0"/>
          <w:numId w:val="6"/>
        </w:numPr>
        <w:ind w:left="340" w:hanging="340"/>
      </w:pPr>
      <w:r w:rsidRPr="005F3756">
        <w:t>Record hap</w:t>
      </w:r>
      <w:r w:rsidR="00567DFF">
        <w:t>ū</w:t>
      </w:r>
      <w:r w:rsidRPr="005F3756">
        <w:t xml:space="preserve"> and ensure whakapapa mana is protected.</w:t>
      </w:r>
      <w:r w:rsidR="002369A8" w:rsidRPr="005F3756">
        <w:t xml:space="preserve"> </w:t>
      </w:r>
      <w:r w:rsidRPr="005F3756">
        <w:t>Include Cook Islanders</w:t>
      </w:r>
      <w:r w:rsidR="003D05DB">
        <w:t>.</w:t>
      </w:r>
    </w:p>
    <w:p w14:paraId="513ECA2E" w14:textId="5F708F82" w:rsidR="002023DC" w:rsidRPr="005F3756" w:rsidRDefault="002023DC" w:rsidP="007D2749">
      <w:pPr>
        <w:pStyle w:val="Bullet"/>
        <w:numPr>
          <w:ilvl w:val="0"/>
          <w:numId w:val="6"/>
        </w:numPr>
        <w:ind w:left="340" w:hanging="340"/>
      </w:pPr>
      <w:r w:rsidRPr="005F3756">
        <w:t>Stats</w:t>
      </w:r>
      <w:r w:rsidR="00032166">
        <w:t xml:space="preserve"> </w:t>
      </w:r>
      <w:r w:rsidRPr="005F3756">
        <w:t xml:space="preserve">NZ information – change wording </w:t>
      </w:r>
      <w:r w:rsidR="00306672">
        <w:t>in relation to</w:t>
      </w:r>
      <w:r w:rsidR="00306672" w:rsidRPr="005F3756">
        <w:t xml:space="preserve"> </w:t>
      </w:r>
      <w:r w:rsidRPr="005F3756">
        <w:t>‘set by’, review iwi that Stats</w:t>
      </w:r>
      <w:r w:rsidR="00032166">
        <w:t xml:space="preserve"> </w:t>
      </w:r>
      <w:r w:rsidRPr="005F3756">
        <w:t>NZ do</w:t>
      </w:r>
      <w:r w:rsidR="00306672">
        <w:t>es</w:t>
      </w:r>
      <w:r w:rsidRPr="005F3756">
        <w:t xml:space="preserve"> not recognise, state which surveys are identified, add copy of census form</w:t>
      </w:r>
      <w:r w:rsidR="003D05DB">
        <w:t>.</w:t>
      </w:r>
    </w:p>
    <w:p w14:paraId="70DF1EC0" w14:textId="33DC6EE9" w:rsidR="002023DC" w:rsidRPr="005F3756" w:rsidRDefault="002023DC" w:rsidP="007D2749">
      <w:pPr>
        <w:pStyle w:val="Bullet"/>
        <w:numPr>
          <w:ilvl w:val="0"/>
          <w:numId w:val="6"/>
        </w:numPr>
        <w:ind w:left="340" w:hanging="340"/>
      </w:pPr>
      <w:r w:rsidRPr="005F3756">
        <w:t>Ensure collectors are appropriately trained – covering cultural awareness and competen</w:t>
      </w:r>
      <w:r w:rsidR="003D05DB">
        <w:t>ce,</w:t>
      </w:r>
      <w:r w:rsidRPr="005F3756">
        <w:t xml:space="preserve"> including </w:t>
      </w:r>
      <w:r w:rsidR="00306672">
        <w:t>T</w:t>
      </w:r>
      <w:r w:rsidRPr="005F3756">
        <w:t xml:space="preserve">e </w:t>
      </w:r>
      <w:r w:rsidR="00306672">
        <w:t>R</w:t>
      </w:r>
      <w:r w:rsidRPr="005F3756">
        <w:t>eo literacy</w:t>
      </w:r>
      <w:r w:rsidR="003D05DB">
        <w:t>.</w:t>
      </w:r>
    </w:p>
    <w:p w14:paraId="3AAB9600" w14:textId="114BBCED" w:rsidR="002023DC" w:rsidRPr="005F3756" w:rsidRDefault="002023DC" w:rsidP="007D2749">
      <w:pPr>
        <w:pStyle w:val="Bullet"/>
        <w:numPr>
          <w:ilvl w:val="0"/>
          <w:numId w:val="6"/>
        </w:numPr>
        <w:ind w:left="340" w:hanging="340"/>
      </w:pPr>
      <w:r w:rsidRPr="005F3756">
        <w:t>Consider a broader approach to collections and documentation forms</w:t>
      </w:r>
      <w:r w:rsidR="003D05DB">
        <w:t>, such as</w:t>
      </w:r>
      <w:r w:rsidRPr="005F3756">
        <w:t xml:space="preserve"> accessibility, variations to format, telephone and that verbal is ‘not recommended’</w:t>
      </w:r>
      <w:r w:rsidR="003D05DB">
        <w:t>.</w:t>
      </w:r>
    </w:p>
    <w:p w14:paraId="63A6475A" w14:textId="40CC1805" w:rsidR="002023DC" w:rsidRPr="005F3756" w:rsidRDefault="002023DC" w:rsidP="007D2749">
      <w:pPr>
        <w:pStyle w:val="Bullet"/>
        <w:numPr>
          <w:ilvl w:val="0"/>
          <w:numId w:val="6"/>
        </w:numPr>
        <w:ind w:left="340" w:hanging="340"/>
      </w:pPr>
      <w:r w:rsidRPr="005F3756">
        <w:t>Rephrase and clarify descent questions (suggested text provided)</w:t>
      </w:r>
      <w:r w:rsidR="003D05DB">
        <w:t>.</w:t>
      </w:r>
    </w:p>
    <w:p w14:paraId="7D0C413A" w14:textId="70C25F97" w:rsidR="002023DC" w:rsidRPr="005F3756" w:rsidRDefault="002023DC" w:rsidP="007D2749">
      <w:pPr>
        <w:pStyle w:val="Bullet"/>
        <w:numPr>
          <w:ilvl w:val="0"/>
          <w:numId w:val="6"/>
        </w:numPr>
        <w:ind w:left="340" w:hanging="340"/>
      </w:pPr>
      <w:r w:rsidRPr="005F3756">
        <w:t>Ensure independence from the Crown is maintained and consider if other agencies should be collecting this data – particularly separate from the electoral roll system</w:t>
      </w:r>
      <w:r w:rsidR="003D05DB">
        <w:t>.</w:t>
      </w:r>
    </w:p>
    <w:p w14:paraId="61ACFE44" w14:textId="000FF66F" w:rsidR="002023DC" w:rsidRDefault="002023DC" w:rsidP="007D2749">
      <w:pPr>
        <w:pStyle w:val="Bullet"/>
        <w:numPr>
          <w:ilvl w:val="0"/>
          <w:numId w:val="6"/>
        </w:numPr>
        <w:ind w:left="340" w:hanging="340"/>
      </w:pPr>
      <w:r w:rsidRPr="005F3756">
        <w:t xml:space="preserve">Include </w:t>
      </w:r>
      <w:r w:rsidR="009928C0">
        <w:t xml:space="preserve">reference to </w:t>
      </w:r>
      <w:r w:rsidR="005E5000">
        <w:t xml:space="preserve">Health Information </w:t>
      </w:r>
      <w:r w:rsidRPr="005F3756">
        <w:t>Privacy Code</w:t>
      </w:r>
      <w:r w:rsidR="002F2972">
        <w:t>.</w:t>
      </w:r>
    </w:p>
    <w:p w14:paraId="7F6DB957" w14:textId="2F6C4794" w:rsidR="009928C0" w:rsidRDefault="009928C0" w:rsidP="009928C0">
      <w:pPr>
        <w:pStyle w:val="Bullet"/>
        <w:numPr>
          <w:ilvl w:val="0"/>
          <w:numId w:val="0"/>
        </w:numPr>
        <w:ind w:left="284" w:hanging="284"/>
      </w:pPr>
    </w:p>
    <w:p w14:paraId="6802BB86" w14:textId="686DA4FA" w:rsidR="009928C0" w:rsidRDefault="00AE0348" w:rsidP="009928C0">
      <w:pPr>
        <w:pStyle w:val="Bullet"/>
        <w:numPr>
          <w:ilvl w:val="0"/>
          <w:numId w:val="0"/>
        </w:numPr>
        <w:ind w:left="284" w:hanging="284"/>
      </w:pPr>
      <w:r>
        <w:t xml:space="preserve">A number of these constructive suggestions </w:t>
      </w:r>
      <w:r w:rsidR="006C36F8">
        <w:t>were used to improve the text.</w:t>
      </w:r>
    </w:p>
    <w:p w14:paraId="44A350EB" w14:textId="2B7BCC83" w:rsidR="002023DC" w:rsidRPr="00DE0358" w:rsidRDefault="00D94402" w:rsidP="00DE55FB">
      <w:pPr>
        <w:pStyle w:val="Heading2"/>
      </w:pPr>
      <w:bookmarkStart w:id="18" w:name="_Toc97210065"/>
      <w:bookmarkStart w:id="19" w:name="_Toc104900529"/>
      <w:r>
        <w:t>Comments on the p</w:t>
      </w:r>
      <w:r w:rsidR="002023DC" w:rsidRPr="00DB4142">
        <w:t xml:space="preserve">rotocols for classifying, </w:t>
      </w:r>
      <w:proofErr w:type="gramStart"/>
      <w:r w:rsidR="002023DC" w:rsidRPr="00DB4142">
        <w:t>coding</w:t>
      </w:r>
      <w:proofErr w:type="gramEnd"/>
      <w:r w:rsidR="002023DC" w:rsidRPr="00DB4142">
        <w:t xml:space="preserve"> and recording Māori descent and iwi affiliation data</w:t>
      </w:r>
      <w:bookmarkEnd w:id="18"/>
      <w:bookmarkEnd w:id="19"/>
    </w:p>
    <w:p w14:paraId="48641585" w14:textId="469A40AD" w:rsidR="002023DC" w:rsidRDefault="002023DC" w:rsidP="005F3756">
      <w:r w:rsidRPr="005F3756">
        <w:t>This section details how Māori descent and iwi affiliation data provided by a respondent</w:t>
      </w:r>
      <w:r w:rsidRPr="005F3756" w:rsidDel="007F45B1">
        <w:t xml:space="preserve"> </w:t>
      </w:r>
      <w:r w:rsidRPr="005F3756">
        <w:t xml:space="preserve">is classified, </w:t>
      </w:r>
      <w:proofErr w:type="gramStart"/>
      <w:r w:rsidRPr="005F3756">
        <w:t>coded</w:t>
      </w:r>
      <w:proofErr w:type="gramEnd"/>
      <w:r w:rsidRPr="005F3756">
        <w:t xml:space="preserve"> and recorded. The recording process uses the standard classification to identify the appropriate codes and then stores the identified codes. </w:t>
      </w:r>
    </w:p>
    <w:p w14:paraId="26B005A4" w14:textId="77777777" w:rsidR="005F3756" w:rsidRPr="005F3756" w:rsidRDefault="005F3756" w:rsidP="005F3756"/>
    <w:p w14:paraId="59B8AB85" w14:textId="515F0A63" w:rsidR="002023DC" w:rsidRPr="005F3756" w:rsidRDefault="002023DC" w:rsidP="005F3756">
      <w:r w:rsidRPr="005F3756">
        <w:t>The key comments received covered the following points</w:t>
      </w:r>
      <w:r w:rsidR="003D05DB">
        <w:t>.</w:t>
      </w:r>
    </w:p>
    <w:p w14:paraId="1C98FCBD" w14:textId="7460CC83" w:rsidR="002023DC" w:rsidRPr="005F3756" w:rsidRDefault="002023DC" w:rsidP="007D2749">
      <w:pPr>
        <w:pStyle w:val="Bullet"/>
        <w:numPr>
          <w:ilvl w:val="0"/>
          <w:numId w:val="7"/>
        </w:numPr>
        <w:ind w:left="340" w:hanging="340"/>
      </w:pPr>
      <w:r w:rsidRPr="005F3756">
        <w:t>Include capture of iwi and hapū</w:t>
      </w:r>
      <w:r w:rsidR="003D05DB">
        <w:t>.</w:t>
      </w:r>
    </w:p>
    <w:p w14:paraId="342495F5" w14:textId="4092AEFE" w:rsidR="002023DC" w:rsidRPr="005F3756" w:rsidRDefault="002023DC" w:rsidP="007D2749">
      <w:pPr>
        <w:pStyle w:val="Bullet"/>
        <w:numPr>
          <w:ilvl w:val="0"/>
          <w:numId w:val="7"/>
        </w:numPr>
        <w:ind w:left="340" w:hanging="340"/>
      </w:pPr>
      <w:r w:rsidRPr="005F3756">
        <w:t>Include capture of Pasifika information</w:t>
      </w:r>
      <w:r w:rsidR="003D05DB">
        <w:t>.</w:t>
      </w:r>
    </w:p>
    <w:p w14:paraId="7A99B3CA" w14:textId="56502FFF" w:rsidR="002023DC" w:rsidRPr="005F3756" w:rsidRDefault="002023DC" w:rsidP="007D2749">
      <w:pPr>
        <w:pStyle w:val="Bullet"/>
        <w:numPr>
          <w:ilvl w:val="0"/>
          <w:numId w:val="7"/>
        </w:numPr>
        <w:ind w:left="340" w:hanging="340"/>
      </w:pPr>
      <w:r w:rsidRPr="005F3756">
        <w:t>Capture and retain all original responses</w:t>
      </w:r>
      <w:r w:rsidR="003D05DB">
        <w:t>.</w:t>
      </w:r>
    </w:p>
    <w:p w14:paraId="759339C6" w14:textId="5D4E2ECA" w:rsidR="002023DC" w:rsidRPr="005F3756" w:rsidRDefault="002023DC" w:rsidP="007D2749">
      <w:pPr>
        <w:pStyle w:val="Bullet"/>
        <w:numPr>
          <w:ilvl w:val="0"/>
          <w:numId w:val="7"/>
        </w:numPr>
        <w:ind w:left="340" w:hanging="340"/>
      </w:pPr>
      <w:r w:rsidRPr="005F3756">
        <w:t>Allow for the capture of rohe, grouping, geographic and social factor information</w:t>
      </w:r>
      <w:r w:rsidR="003D05DB">
        <w:t>.</w:t>
      </w:r>
    </w:p>
    <w:p w14:paraId="58E69A2A" w14:textId="24C7CC56" w:rsidR="002023DC" w:rsidRDefault="002023DC" w:rsidP="007D2749">
      <w:pPr>
        <w:pStyle w:val="Bullet"/>
        <w:numPr>
          <w:ilvl w:val="0"/>
          <w:numId w:val="7"/>
        </w:numPr>
        <w:ind w:left="340" w:hanging="340"/>
      </w:pPr>
      <w:r w:rsidRPr="005F3756">
        <w:t xml:space="preserve">Consider the use of </w:t>
      </w:r>
      <w:r w:rsidR="00CD7C8D">
        <w:t xml:space="preserve">an </w:t>
      </w:r>
      <w:r w:rsidRPr="005F3756">
        <w:t>existing national database</w:t>
      </w:r>
      <w:r w:rsidR="00764F3C">
        <w:t xml:space="preserve"> as the collection point</w:t>
      </w:r>
      <w:r w:rsidRPr="005F3756">
        <w:t>.</w:t>
      </w:r>
    </w:p>
    <w:p w14:paraId="1FF6BFAF" w14:textId="58245824" w:rsidR="00E76A31" w:rsidRDefault="00E76A31" w:rsidP="00E76A31">
      <w:pPr>
        <w:pStyle w:val="Bullet"/>
        <w:numPr>
          <w:ilvl w:val="0"/>
          <w:numId w:val="0"/>
        </w:numPr>
        <w:ind w:left="284" w:hanging="284"/>
      </w:pPr>
    </w:p>
    <w:p w14:paraId="62BDD6EF" w14:textId="461E47FD" w:rsidR="00E76A31" w:rsidRDefault="00E76A31" w:rsidP="00E76A31">
      <w:r w:rsidRPr="00756E52">
        <w:t xml:space="preserve">These were constructive comments, </w:t>
      </w:r>
      <w:r>
        <w:t xml:space="preserve">although recording hapū is not </w:t>
      </w:r>
      <w:r w:rsidR="003D05DB">
        <w:t xml:space="preserve">currently </w:t>
      </w:r>
      <w:r>
        <w:t>within the scope of the protocols</w:t>
      </w:r>
      <w:r w:rsidR="004A198A">
        <w:t>, nor</w:t>
      </w:r>
      <w:r w:rsidR="00D9633B">
        <w:t xml:space="preserve"> is Pasifika information</w:t>
      </w:r>
      <w:r>
        <w:t>.</w:t>
      </w:r>
    </w:p>
    <w:p w14:paraId="58DDD4B8" w14:textId="513681B1" w:rsidR="00D9633B" w:rsidRDefault="00D9633B" w:rsidP="00E76A31"/>
    <w:p w14:paraId="331A3DE4" w14:textId="12BC8E74" w:rsidR="00D9633B" w:rsidRDefault="00D9633B" w:rsidP="00E76A31">
      <w:r>
        <w:t xml:space="preserve">The protocols </w:t>
      </w:r>
      <w:r w:rsidR="00EC2CC6">
        <w:t xml:space="preserve">are intended to capture coded information </w:t>
      </w:r>
      <w:r w:rsidR="003D05DB">
        <w:t xml:space="preserve">whenever </w:t>
      </w:r>
      <w:r w:rsidR="00EC2CC6">
        <w:t>possible</w:t>
      </w:r>
      <w:r w:rsidR="00D333BA">
        <w:t xml:space="preserve"> </w:t>
      </w:r>
      <w:r w:rsidR="00EC2CC6">
        <w:t xml:space="preserve">but allow for </w:t>
      </w:r>
      <w:r w:rsidR="00892273">
        <w:t xml:space="preserve">the original text to be recorded </w:t>
      </w:r>
      <w:r w:rsidR="00176F29">
        <w:t>for any response that cannot be accurately coded.</w:t>
      </w:r>
    </w:p>
    <w:p w14:paraId="4E86C8C2" w14:textId="23D0A57A" w:rsidR="00D333BA" w:rsidRDefault="00D333BA" w:rsidP="00E76A31"/>
    <w:p w14:paraId="0556466E" w14:textId="611FA86E" w:rsidR="00E76A31" w:rsidRPr="00E76A31" w:rsidRDefault="00D333BA" w:rsidP="00E76A31">
      <w:r>
        <w:t xml:space="preserve">Rohe is </w:t>
      </w:r>
      <w:r w:rsidR="002F2B2F">
        <w:t>used to distinguish iwi with the same names so that the correctly coded iwi can be recorded.</w:t>
      </w:r>
      <w:r>
        <w:t xml:space="preserve">  </w:t>
      </w:r>
    </w:p>
    <w:p w14:paraId="21B52782" w14:textId="3B2A4898" w:rsidR="002023DC" w:rsidRPr="00DE0358" w:rsidRDefault="00D94402" w:rsidP="00DE55FB">
      <w:pPr>
        <w:pStyle w:val="Heading2"/>
      </w:pPr>
      <w:bookmarkStart w:id="20" w:name="_Toc97210066"/>
      <w:bookmarkStart w:id="21" w:name="_Toc104900530"/>
      <w:r>
        <w:t>Comments on the</w:t>
      </w:r>
      <w:r w:rsidR="002023DC">
        <w:t xml:space="preserve"> </w:t>
      </w:r>
      <w:r>
        <w:t>o</w:t>
      </w:r>
      <w:r w:rsidR="002023DC" w:rsidRPr="000C1A9F">
        <w:t>utput of Māori descent and iwi affiliation data</w:t>
      </w:r>
      <w:bookmarkEnd w:id="20"/>
      <w:bookmarkEnd w:id="21"/>
    </w:p>
    <w:p w14:paraId="3DB96F6F" w14:textId="496ABA10" w:rsidR="002023DC" w:rsidRPr="005F3756" w:rsidRDefault="002023DC" w:rsidP="005F3756">
      <w:r w:rsidRPr="005F3756">
        <w:t xml:space="preserve">This section sets out that output using Māori descent and iwi affiliation data is for the purposes specified under the Tino Rangatiratanga and </w:t>
      </w:r>
      <w:r w:rsidR="003D05DB">
        <w:t>A</w:t>
      </w:r>
      <w:r w:rsidRPr="005F3756">
        <w:t xml:space="preserve">ctive </w:t>
      </w:r>
      <w:r w:rsidR="003D05DB">
        <w:t>P</w:t>
      </w:r>
      <w:r w:rsidRPr="005F3756">
        <w:t>rotection principles of Te Tiriti, specifically:</w:t>
      </w:r>
    </w:p>
    <w:p w14:paraId="0DF4BA90" w14:textId="047EE518" w:rsidR="002023DC" w:rsidRPr="005F3756" w:rsidRDefault="00306672" w:rsidP="00851B5F">
      <w:pPr>
        <w:pStyle w:val="Bullet"/>
        <w:numPr>
          <w:ilvl w:val="0"/>
          <w:numId w:val="6"/>
        </w:numPr>
        <w:ind w:left="340" w:hanging="340"/>
      </w:pPr>
      <w:r>
        <w:t>‘</w:t>
      </w:r>
      <w:r w:rsidR="002023DC" w:rsidRPr="005F3756">
        <w:t>Māori self-determination and mana motuhake in the design, delivery, and monitoring of health and disability services</w:t>
      </w:r>
      <w:r>
        <w:t>’</w:t>
      </w:r>
    </w:p>
    <w:p w14:paraId="00A5D380" w14:textId="1E70C48B" w:rsidR="002023DC" w:rsidRDefault="00306672" w:rsidP="00851B5F">
      <w:pPr>
        <w:pStyle w:val="Bullet"/>
        <w:numPr>
          <w:ilvl w:val="0"/>
          <w:numId w:val="6"/>
        </w:numPr>
        <w:ind w:left="340" w:hanging="340"/>
      </w:pPr>
      <w:r>
        <w:t>‘</w:t>
      </w:r>
      <w:r w:rsidR="002023DC" w:rsidRPr="005F3756">
        <w:t xml:space="preserve">ensuring that </w:t>
      </w:r>
      <w:r>
        <w:t>it [</w:t>
      </w:r>
      <w:r w:rsidR="002023DC" w:rsidRPr="005F3756">
        <w:t>the Crown</w:t>
      </w:r>
      <w:r>
        <w:t>]</w:t>
      </w:r>
      <w:r w:rsidR="002023DC" w:rsidRPr="005F3756">
        <w:t>, its agents and its Treaty partner are well informed on the extent and nature of both Māori health outcomes and efforts to achieve Māori health equity</w:t>
      </w:r>
      <w:r>
        <w:t>’</w:t>
      </w:r>
      <w:r w:rsidR="002023DC" w:rsidRPr="005F3756">
        <w:t>.</w:t>
      </w:r>
    </w:p>
    <w:p w14:paraId="7D2118EF" w14:textId="77777777" w:rsidR="005F3756" w:rsidRPr="005F3756" w:rsidRDefault="005F3756" w:rsidP="008A22CE"/>
    <w:p w14:paraId="5E9F2FD9" w14:textId="6730BBF8" w:rsidR="002023DC" w:rsidRPr="008A22CE" w:rsidRDefault="002023DC" w:rsidP="008A22CE">
      <w:r w:rsidRPr="008A22CE">
        <w:t>The key comments received covered the following points</w:t>
      </w:r>
      <w:r w:rsidR="003D05DB">
        <w:t>.</w:t>
      </w:r>
    </w:p>
    <w:p w14:paraId="1BFB84EF" w14:textId="4AC4C34D" w:rsidR="002023DC" w:rsidRPr="008A22CE" w:rsidRDefault="002023DC" w:rsidP="00851B5F">
      <w:pPr>
        <w:pStyle w:val="Bullet"/>
        <w:numPr>
          <w:ilvl w:val="0"/>
          <w:numId w:val="6"/>
        </w:numPr>
        <w:ind w:left="340" w:hanging="340"/>
      </w:pPr>
      <w:r w:rsidRPr="008A22CE">
        <w:t>Allow for the capture and recording of collective information</w:t>
      </w:r>
      <w:r w:rsidR="003D05DB">
        <w:t>,</w:t>
      </w:r>
      <w:r w:rsidRPr="008A22CE">
        <w:t xml:space="preserve"> including hapū</w:t>
      </w:r>
      <w:r w:rsidR="003D05DB">
        <w:t>.</w:t>
      </w:r>
    </w:p>
    <w:p w14:paraId="1B277AED" w14:textId="26907E72" w:rsidR="002023DC" w:rsidRPr="008A22CE" w:rsidRDefault="002023DC" w:rsidP="00851B5F">
      <w:pPr>
        <w:pStyle w:val="Bullet"/>
        <w:numPr>
          <w:ilvl w:val="0"/>
          <w:numId w:val="6"/>
        </w:numPr>
        <w:ind w:left="340" w:hanging="340"/>
      </w:pPr>
      <w:r w:rsidRPr="008A22CE">
        <w:t>Establish formal co-governance procedures</w:t>
      </w:r>
      <w:r w:rsidR="00306672">
        <w:t>,</w:t>
      </w:r>
      <w:r w:rsidRPr="008A22CE">
        <w:t xml:space="preserve"> clearly setting out use and access rules</w:t>
      </w:r>
      <w:r w:rsidR="003D05DB">
        <w:t>.</w:t>
      </w:r>
    </w:p>
    <w:p w14:paraId="54A38F1E" w14:textId="0775EC01" w:rsidR="002023DC" w:rsidRPr="008A22CE" w:rsidRDefault="002023DC" w:rsidP="00851B5F">
      <w:pPr>
        <w:pStyle w:val="Bullet"/>
        <w:numPr>
          <w:ilvl w:val="0"/>
          <w:numId w:val="6"/>
        </w:numPr>
        <w:ind w:left="340" w:hanging="340"/>
      </w:pPr>
      <w:r w:rsidRPr="008A22CE">
        <w:t>Provide a range of accessible formats for data collection and ensure that descent and affiliation data is correctly segregated</w:t>
      </w:r>
      <w:r w:rsidR="003D05DB">
        <w:t>.</w:t>
      </w:r>
    </w:p>
    <w:p w14:paraId="21B65482" w14:textId="51EBA187" w:rsidR="002023DC" w:rsidRPr="008A22CE" w:rsidRDefault="002023DC" w:rsidP="00851B5F">
      <w:pPr>
        <w:pStyle w:val="Bullet"/>
        <w:numPr>
          <w:ilvl w:val="0"/>
          <w:numId w:val="6"/>
        </w:numPr>
        <w:ind w:left="340" w:hanging="340"/>
      </w:pPr>
      <w:r w:rsidRPr="008A22CE">
        <w:t>Ensure there is an ability to allow for people who are li</w:t>
      </w:r>
      <w:r w:rsidR="00F526E8">
        <w:t>v</w:t>
      </w:r>
      <w:r w:rsidRPr="008A22CE">
        <w:t>ing out of their iwi/rohe area</w:t>
      </w:r>
      <w:r w:rsidR="003D05DB">
        <w:t>.</w:t>
      </w:r>
    </w:p>
    <w:p w14:paraId="6AD4B433" w14:textId="05120C59" w:rsidR="002023DC" w:rsidRDefault="002023DC" w:rsidP="00851B5F">
      <w:pPr>
        <w:pStyle w:val="Bullet"/>
        <w:numPr>
          <w:ilvl w:val="0"/>
          <w:numId w:val="6"/>
        </w:numPr>
        <w:ind w:left="340" w:hanging="340"/>
      </w:pPr>
      <w:r w:rsidRPr="008A22CE">
        <w:t xml:space="preserve">Consider updating the information every </w:t>
      </w:r>
      <w:r w:rsidR="00F526E8">
        <w:t>five</w:t>
      </w:r>
      <w:r w:rsidRPr="008A22CE">
        <w:t xml:space="preserve"> years.</w:t>
      </w:r>
    </w:p>
    <w:p w14:paraId="20707672" w14:textId="157CAB2A" w:rsidR="00FB7E03" w:rsidRDefault="00FB7E03" w:rsidP="00FB7E03">
      <w:pPr>
        <w:pStyle w:val="Bullet"/>
        <w:numPr>
          <w:ilvl w:val="0"/>
          <w:numId w:val="0"/>
        </w:numPr>
        <w:ind w:left="284" w:hanging="284"/>
      </w:pPr>
    </w:p>
    <w:p w14:paraId="6ABF2320" w14:textId="703989DD" w:rsidR="00FB7E03" w:rsidRDefault="005E2A62" w:rsidP="00756E52">
      <w:r>
        <w:t xml:space="preserve">Co-governance </w:t>
      </w:r>
      <w:r w:rsidR="00A80B6A">
        <w:t xml:space="preserve">arrangements are being worked out around the </w:t>
      </w:r>
      <w:proofErr w:type="spellStart"/>
      <w:r w:rsidR="00A80B6A">
        <w:t>Tātai</w:t>
      </w:r>
      <w:proofErr w:type="spellEnd"/>
      <w:r w:rsidR="00A80B6A">
        <w:t xml:space="preserve"> iwi affiliation data collection, which is the first implementation</w:t>
      </w:r>
      <w:r w:rsidR="000B7DCF">
        <w:t xml:space="preserve">. </w:t>
      </w:r>
    </w:p>
    <w:p w14:paraId="6A6ACBA8" w14:textId="1E13ED49" w:rsidR="00A80B6A" w:rsidRDefault="00A80B6A" w:rsidP="00756E52"/>
    <w:p w14:paraId="7D82C9A8" w14:textId="19002CDD" w:rsidR="00A80B6A" w:rsidRPr="00756E52" w:rsidRDefault="00AC27C7" w:rsidP="00756E52">
      <w:r>
        <w:t>Common forms and materials for collecting iwi affiliation data will be developed.</w:t>
      </w:r>
    </w:p>
    <w:p w14:paraId="7D11F279" w14:textId="6BF954EC" w:rsidR="002023DC" w:rsidRPr="00DE0358" w:rsidRDefault="00D94402" w:rsidP="00DE55FB">
      <w:pPr>
        <w:pStyle w:val="Heading2"/>
      </w:pPr>
      <w:bookmarkStart w:id="22" w:name="_Toc97210067"/>
      <w:bookmarkStart w:id="23" w:name="_Toc104900531"/>
      <w:r>
        <w:t>Comments on a</w:t>
      </w:r>
      <w:r w:rsidR="002023DC" w:rsidRPr="00DA6AAB">
        <w:t>doption an</w:t>
      </w:r>
      <w:r w:rsidR="002023DC">
        <w:t>d</w:t>
      </w:r>
      <w:r w:rsidR="002023DC" w:rsidRPr="00DA6AAB">
        <w:t xml:space="preserve"> </w:t>
      </w:r>
      <w:r>
        <w:t>i</w:t>
      </w:r>
      <w:r w:rsidR="002023DC" w:rsidRPr="00DA6AAB">
        <w:t>mplementation</w:t>
      </w:r>
      <w:bookmarkEnd w:id="22"/>
      <w:bookmarkEnd w:id="23"/>
      <w:r w:rsidR="002023DC">
        <w:t xml:space="preserve"> </w:t>
      </w:r>
    </w:p>
    <w:p w14:paraId="4C56A150" w14:textId="53A81121" w:rsidR="002023DC" w:rsidRPr="00A232FE" w:rsidRDefault="002023DC" w:rsidP="002023DC">
      <w:r w:rsidRPr="00A232FE">
        <w:t>The key comments received covered</w:t>
      </w:r>
      <w:r>
        <w:t xml:space="preserve"> the following points</w:t>
      </w:r>
      <w:r w:rsidR="002B1AA1">
        <w:t>.</w:t>
      </w:r>
    </w:p>
    <w:p w14:paraId="32775EB1" w14:textId="07366F78" w:rsidR="002023DC" w:rsidRDefault="002B1AA1" w:rsidP="00851B5F">
      <w:pPr>
        <w:pStyle w:val="Bullet"/>
        <w:numPr>
          <w:ilvl w:val="0"/>
          <w:numId w:val="6"/>
        </w:numPr>
        <w:ind w:left="340" w:hanging="340"/>
      </w:pPr>
      <w:r>
        <w:t>T</w:t>
      </w:r>
      <w:r w:rsidR="002023DC">
        <w:t xml:space="preserve">he implementation timeframe is needed </w:t>
      </w:r>
      <w:r w:rsidR="005E2DBE">
        <w:t xml:space="preserve">to </w:t>
      </w:r>
      <w:r w:rsidR="002023DC">
        <w:t>allow the development of local systems</w:t>
      </w:r>
      <w:r>
        <w:t>.</w:t>
      </w:r>
    </w:p>
    <w:p w14:paraId="287883F8" w14:textId="4EFF960B" w:rsidR="002023DC" w:rsidRDefault="002023DC" w:rsidP="00851B5F">
      <w:pPr>
        <w:pStyle w:val="Bullet"/>
        <w:numPr>
          <w:ilvl w:val="0"/>
          <w:numId w:val="6"/>
        </w:numPr>
        <w:ind w:left="340" w:hanging="340"/>
      </w:pPr>
      <w:r>
        <w:t>Include information that covers population groups and disability information</w:t>
      </w:r>
      <w:r w:rsidR="002B1AA1">
        <w:t>.</w:t>
      </w:r>
    </w:p>
    <w:p w14:paraId="326B8880" w14:textId="3E2BFBBD" w:rsidR="002023DC" w:rsidRDefault="002023DC" w:rsidP="00851B5F">
      <w:pPr>
        <w:pStyle w:val="Bullet"/>
        <w:numPr>
          <w:ilvl w:val="0"/>
          <w:numId w:val="6"/>
        </w:numPr>
        <w:ind w:left="340" w:hanging="340"/>
      </w:pPr>
      <w:r>
        <w:t>Ensure there is an appropriate update process for information</w:t>
      </w:r>
      <w:r w:rsidR="002B1AA1">
        <w:t>.</w:t>
      </w:r>
    </w:p>
    <w:p w14:paraId="0D5FC53C" w14:textId="69A44268" w:rsidR="0026200E" w:rsidRDefault="002023DC" w:rsidP="00851B5F">
      <w:pPr>
        <w:pStyle w:val="Bullet"/>
        <w:numPr>
          <w:ilvl w:val="0"/>
          <w:numId w:val="6"/>
        </w:numPr>
        <w:ind w:left="340" w:hanging="340"/>
      </w:pPr>
      <w:r>
        <w:t xml:space="preserve">Ensure the ongoing governance function includes representation from </w:t>
      </w:r>
      <w:r w:rsidR="00FF5235">
        <w:t xml:space="preserve">the Data </w:t>
      </w:r>
      <w:r>
        <w:t xml:space="preserve">Iwi Leaders </w:t>
      </w:r>
      <w:r w:rsidR="00FF5235">
        <w:t>Group</w:t>
      </w:r>
      <w:r>
        <w:t xml:space="preserve"> and </w:t>
      </w:r>
      <w:r w:rsidR="00FF5235">
        <w:t xml:space="preserve">other </w:t>
      </w:r>
      <w:r>
        <w:t>M</w:t>
      </w:r>
      <w:r w:rsidRPr="00A83AA6">
        <w:t>ā</w:t>
      </w:r>
      <w:r>
        <w:t>ori data specialists.</w:t>
      </w:r>
      <w:bookmarkStart w:id="24" w:name="_Toc457913752"/>
      <w:bookmarkStart w:id="25" w:name="_Toc457915415"/>
      <w:bookmarkStart w:id="26" w:name="_Toc457913754"/>
      <w:bookmarkStart w:id="27" w:name="_Toc457915417"/>
      <w:bookmarkStart w:id="28" w:name="_Toc457913755"/>
      <w:bookmarkStart w:id="29" w:name="_Toc457915418"/>
      <w:bookmarkStart w:id="30" w:name="_Toc457913757"/>
      <w:bookmarkStart w:id="31" w:name="_Toc457915420"/>
      <w:bookmarkEnd w:id="2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5D94789B" w14:textId="3E740112" w:rsidR="0062483C" w:rsidRDefault="0062483C" w:rsidP="0062483C">
      <w:pPr>
        <w:pStyle w:val="Bullet"/>
        <w:numPr>
          <w:ilvl w:val="0"/>
          <w:numId w:val="0"/>
        </w:numPr>
        <w:ind w:left="284" w:hanging="284"/>
      </w:pPr>
    </w:p>
    <w:p w14:paraId="0359E0FD" w14:textId="68C7E2D6" w:rsidR="0062483C" w:rsidRPr="00017076" w:rsidRDefault="007517C5" w:rsidP="00017076">
      <w:r w:rsidRPr="00017076">
        <w:t xml:space="preserve">This section of the protocols </w:t>
      </w:r>
      <w:r w:rsidR="00983E0D" w:rsidRPr="00017076">
        <w:t xml:space="preserve">was updated to say more about </w:t>
      </w:r>
      <w:r w:rsidR="00017076" w:rsidRPr="00017076">
        <w:t xml:space="preserve">the </w:t>
      </w:r>
      <w:proofErr w:type="spellStart"/>
      <w:r w:rsidR="00017076" w:rsidRPr="00017076">
        <w:t>Tātai</w:t>
      </w:r>
      <w:proofErr w:type="spellEnd"/>
      <w:r w:rsidR="00017076" w:rsidRPr="00017076">
        <w:t xml:space="preserve"> online </w:t>
      </w:r>
      <w:r w:rsidR="005D607D">
        <w:t xml:space="preserve">iwi affiliation collection </w:t>
      </w:r>
      <w:r w:rsidR="00017076" w:rsidRPr="00017076">
        <w:t>tool</w:t>
      </w:r>
      <w:r w:rsidR="00782D10">
        <w:t xml:space="preserve"> and its operation and governance, </w:t>
      </w:r>
      <w:r w:rsidR="002B2CE2">
        <w:t>which will transition from the Ministry of Health to Māori</w:t>
      </w:r>
      <w:r w:rsidR="00782D10">
        <w:t>.</w:t>
      </w:r>
      <w:r w:rsidR="00B03607">
        <w:t xml:space="preserve"> </w:t>
      </w:r>
    </w:p>
    <w:sectPr w:rsidR="0062483C" w:rsidRPr="00017076" w:rsidSect="003309CA">
      <w:headerReference w:type="default" r:id="rId26"/>
      <w:footerReference w:type="even" r:id="rId27"/>
      <w:footerReference w:type="default" r:id="rId28"/>
      <w:pgSz w:w="11907" w:h="16834" w:code="9"/>
      <w:pgMar w:top="1418" w:right="1701" w:bottom="1134" w:left="1843" w:header="284" w:footer="425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041F" w14:textId="77777777" w:rsidR="00900DF4" w:rsidRDefault="00900DF4">
      <w:r>
        <w:separator/>
      </w:r>
    </w:p>
    <w:p w14:paraId="508B0528" w14:textId="77777777" w:rsidR="00900DF4" w:rsidRDefault="00900DF4"/>
  </w:endnote>
  <w:endnote w:type="continuationSeparator" w:id="0">
    <w:p w14:paraId="5B174DF0" w14:textId="77777777" w:rsidR="00900DF4" w:rsidRDefault="00900DF4">
      <w:r>
        <w:continuationSeparator/>
      </w:r>
    </w:p>
    <w:p w14:paraId="2815CBFA" w14:textId="77777777" w:rsidR="00900DF4" w:rsidRDefault="00900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B37385" w14:paraId="58FD3B2D" w14:textId="77777777" w:rsidTr="00D8681B">
      <w:trPr>
        <w:cantSplit/>
      </w:trPr>
      <w:tc>
        <w:tcPr>
          <w:tcW w:w="3285" w:type="dxa"/>
          <w:vAlign w:val="center"/>
        </w:tcPr>
        <w:p w14:paraId="55F7199B" w14:textId="461DDBD9" w:rsidR="00B37385" w:rsidRDefault="005D26BD" w:rsidP="00D8681B">
          <w:pPr>
            <w:pStyle w:val="Footer"/>
            <w:spacing w:after="60" w:line="240" w:lineRule="auto"/>
            <w:rPr>
              <w:b/>
            </w:rPr>
          </w:pPr>
          <w:r>
            <w:rPr>
              <w:noProof/>
              <w:lang w:eastAsia="en-NZ"/>
            </w:rPr>
            <w:drawing>
              <wp:inline distT="0" distB="0" distL="0" distR="0" wp14:anchorId="149E47A1" wp14:editId="172EB957">
                <wp:extent cx="1695786" cy="216131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3809" b="-1"/>
                        <a:stretch/>
                      </pic:blipFill>
                      <pic:spPr bwMode="auto">
                        <a:xfrm>
                          <a:off x="0" y="0"/>
                          <a:ext cx="1718896" cy="219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bottom"/>
        </w:tcPr>
        <w:p w14:paraId="039E2568" w14:textId="2451BF20" w:rsidR="00B37385" w:rsidRDefault="00B37385" w:rsidP="003A221A">
          <w:pPr>
            <w:pStyle w:val="Footer"/>
            <w:tabs>
              <w:tab w:val="right" w:pos="9639"/>
            </w:tabs>
            <w:spacing w:after="60" w:line="240" w:lineRule="auto"/>
            <w:rPr>
              <w:b/>
            </w:rPr>
          </w:pPr>
        </w:p>
      </w:tc>
      <w:tc>
        <w:tcPr>
          <w:tcW w:w="3285" w:type="dxa"/>
          <w:vAlign w:val="center"/>
        </w:tcPr>
        <w:p w14:paraId="650DAEF1" w14:textId="77777777" w:rsidR="00B37385" w:rsidRDefault="00B37385" w:rsidP="00D8681B">
          <w:pPr>
            <w:pStyle w:val="Footer"/>
            <w:spacing w:after="60" w:line="240" w:lineRule="auto"/>
            <w:jc w:val="right"/>
            <w:rPr>
              <w:b/>
            </w:rPr>
          </w:pPr>
          <w:r>
            <w:rPr>
              <w:noProof/>
              <w:lang w:eastAsia="en-NZ"/>
            </w:rPr>
            <w:drawing>
              <wp:inline distT="0" distB="0" distL="0" distR="0" wp14:anchorId="6F7C12A7" wp14:editId="05E47DD8">
                <wp:extent cx="1395076" cy="573578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H_logo1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5D40F35" w14:textId="77777777" w:rsidR="00B37385" w:rsidRPr="005A79E5" w:rsidRDefault="00B3738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E3DC" w14:textId="77777777" w:rsidR="00B37385" w:rsidRDefault="00B37385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815D" w14:textId="77777777" w:rsidR="00B37385" w:rsidRDefault="00B373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78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B37385" w14:paraId="27CFBC7C" w14:textId="77777777" w:rsidTr="00D662F8">
      <w:trPr>
        <w:cantSplit/>
      </w:trPr>
      <w:tc>
        <w:tcPr>
          <w:tcW w:w="709" w:type="dxa"/>
          <w:vAlign w:val="center"/>
        </w:tcPr>
        <w:p w14:paraId="0103D8B4" w14:textId="77777777" w:rsidR="00B37385" w:rsidRPr="00931466" w:rsidRDefault="00B37385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E31AA7"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0B9D2CE3" w14:textId="77777777" w:rsidR="00B37385" w:rsidRDefault="00B37385" w:rsidP="00900B65">
          <w:pPr>
            <w:pStyle w:val="RectoFooter"/>
            <w:jc w:val="left"/>
          </w:pPr>
          <w:r>
            <w:t>[TITLE]</w:t>
          </w:r>
        </w:p>
      </w:tc>
    </w:tr>
  </w:tbl>
  <w:p w14:paraId="677EB2FB" w14:textId="77777777" w:rsidR="00B37385" w:rsidRPr="00571223" w:rsidRDefault="00B37385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B37385" w14:paraId="2DB6C18B" w14:textId="77777777" w:rsidTr="00D662F8">
      <w:trPr>
        <w:cantSplit/>
      </w:trPr>
      <w:tc>
        <w:tcPr>
          <w:tcW w:w="8080" w:type="dxa"/>
          <w:vAlign w:val="center"/>
        </w:tcPr>
        <w:sdt>
          <w:sdtPr>
            <w:alias w:val="Title"/>
            <w:tag w:val=""/>
            <w:id w:val="-1141966106"/>
            <w:placeholder>
              <w:docPart w:val="2DDB467AD5574C7CB5C6D1E21CBFE80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4A73CAE" w14:textId="7F874AE1" w:rsidR="00B37385" w:rsidRDefault="006B781B" w:rsidP="004653FC">
              <w:pPr>
                <w:pStyle w:val="RectoFooter"/>
              </w:pPr>
              <w:r>
                <w:t>HISO 10094:2022 Māori Descent and Iwi Affiliation Data Protocols - Public comment outcomes</w:t>
              </w:r>
            </w:p>
          </w:sdtContent>
        </w:sdt>
      </w:tc>
      <w:tc>
        <w:tcPr>
          <w:tcW w:w="709" w:type="dxa"/>
          <w:vAlign w:val="center"/>
        </w:tcPr>
        <w:p w14:paraId="6ECF9C94" w14:textId="77777777" w:rsidR="00B37385" w:rsidRPr="00931466" w:rsidRDefault="00B37385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EE0CBF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572BBB00" w14:textId="77777777" w:rsidR="00B37385" w:rsidRPr="00581EB8" w:rsidRDefault="00B37385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8E08" w14:textId="24CDF641" w:rsidR="00B37385" w:rsidRDefault="00B37385" w:rsidP="003F327A"/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3F327A" w14:paraId="1CA2BB04" w14:textId="77777777" w:rsidTr="00E166B4">
      <w:trPr>
        <w:cantSplit/>
      </w:trPr>
      <w:tc>
        <w:tcPr>
          <w:tcW w:w="675" w:type="dxa"/>
          <w:vAlign w:val="center"/>
        </w:tcPr>
        <w:p w14:paraId="45FB0F66" w14:textId="77777777" w:rsidR="003F327A" w:rsidRPr="00931466" w:rsidRDefault="003F327A" w:rsidP="003F327A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8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sdt>
          <w:sdtPr>
            <w:alias w:val="Title"/>
            <w:tag w:val=""/>
            <w:id w:val="1780137835"/>
            <w:placeholder>
              <w:docPart w:val="42E7F48F96554AB2B3ACB78961ABE3F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B8A887B" w14:textId="2408FA79" w:rsidR="003F327A" w:rsidRDefault="006B781B" w:rsidP="003F327A">
              <w:pPr>
                <w:pStyle w:val="RectoFooter"/>
                <w:jc w:val="left"/>
              </w:pPr>
              <w:r>
                <w:t>HISO 10094:2022 Māori Descent and Iwi Affiliation Data Protocols - Public comment outcomes</w:t>
              </w:r>
            </w:p>
          </w:sdtContent>
        </w:sdt>
      </w:tc>
    </w:tr>
  </w:tbl>
  <w:p w14:paraId="0C6CD383" w14:textId="77777777" w:rsidR="003F327A" w:rsidRPr="003F327A" w:rsidRDefault="003F327A" w:rsidP="003F327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A116" w14:textId="5BE7D83B" w:rsidR="00B37385" w:rsidRDefault="00B37385" w:rsidP="003F327A"/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3F327A" w14:paraId="576D8F09" w14:textId="77777777" w:rsidTr="00E166B4">
      <w:trPr>
        <w:cantSplit/>
      </w:trPr>
      <w:tc>
        <w:tcPr>
          <w:tcW w:w="8080" w:type="dxa"/>
          <w:vAlign w:val="center"/>
        </w:tcPr>
        <w:sdt>
          <w:sdtPr>
            <w:alias w:val="Title"/>
            <w:tag w:val=""/>
            <w:id w:val="913890336"/>
            <w:placeholder>
              <w:docPart w:val="548D6AC49B514334811986EBD2BF60B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60710DF" w14:textId="7A95BE9B" w:rsidR="003F327A" w:rsidRDefault="006B781B" w:rsidP="003F327A">
              <w:pPr>
                <w:pStyle w:val="RectoFooter"/>
              </w:pPr>
              <w:r>
                <w:t>HISO 10094:2022 Māori Descent and Iwi Affiliation Data Protocols - Public comment outcomes</w:t>
              </w:r>
            </w:p>
          </w:sdtContent>
        </w:sdt>
      </w:tc>
      <w:tc>
        <w:tcPr>
          <w:tcW w:w="709" w:type="dxa"/>
          <w:vAlign w:val="center"/>
        </w:tcPr>
        <w:p w14:paraId="781EFA19" w14:textId="77777777" w:rsidR="003F327A" w:rsidRPr="00931466" w:rsidRDefault="003F327A" w:rsidP="003F327A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9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685F2B25" w14:textId="77777777" w:rsidR="003F327A" w:rsidRPr="003F327A" w:rsidRDefault="003F327A" w:rsidP="003F32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ED97" w14:textId="77777777" w:rsidR="00900DF4" w:rsidRPr="00A26E6B" w:rsidRDefault="00900DF4" w:rsidP="00A26E6B"/>
  </w:footnote>
  <w:footnote w:type="continuationSeparator" w:id="0">
    <w:p w14:paraId="1C0281E7" w14:textId="77777777" w:rsidR="00900DF4" w:rsidRDefault="00900DF4">
      <w:r>
        <w:continuationSeparator/>
      </w:r>
    </w:p>
    <w:p w14:paraId="273E43AD" w14:textId="77777777" w:rsidR="00900DF4" w:rsidRDefault="00900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EDE2" w14:textId="2787D1E1" w:rsidR="00B37385" w:rsidRDefault="00B37385" w:rsidP="00C92865">
    <w:pPr>
      <w:pStyle w:val="Header"/>
      <w:ind w:right="-284"/>
      <w:jc w:val="right"/>
    </w:pPr>
  </w:p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5319"/>
    </w:tblGrid>
    <w:tr w:rsidR="00EE4AA9" w14:paraId="472F12E9" w14:textId="77777777" w:rsidTr="00EE4AA9">
      <w:trPr>
        <w:cantSplit/>
      </w:trPr>
      <w:tc>
        <w:tcPr>
          <w:tcW w:w="4536" w:type="dxa"/>
          <w:vAlign w:val="center"/>
        </w:tcPr>
        <w:p w14:paraId="2BD0F36E" w14:textId="79A597EE" w:rsidR="00EE4AA9" w:rsidRDefault="00EE4AA9" w:rsidP="00D8681B">
          <w:pPr>
            <w:pStyle w:val="Footer"/>
            <w:tabs>
              <w:tab w:val="right" w:pos="9639"/>
            </w:tabs>
            <w:spacing w:after="60" w:line="240" w:lineRule="auto"/>
            <w:rPr>
              <w:b/>
            </w:rPr>
          </w:pPr>
        </w:p>
      </w:tc>
      <w:tc>
        <w:tcPr>
          <w:tcW w:w="5319" w:type="dxa"/>
          <w:vAlign w:val="center"/>
        </w:tcPr>
        <w:p w14:paraId="0A179EAD" w14:textId="4448514A" w:rsidR="00EE4AA9" w:rsidRDefault="00EE4AA9" w:rsidP="00EE4AA9">
          <w:pPr>
            <w:pStyle w:val="Footer"/>
            <w:spacing w:after="60" w:line="240" w:lineRule="auto"/>
            <w:jc w:val="right"/>
            <w:rPr>
              <w:b/>
            </w:rPr>
          </w:pPr>
          <w:r>
            <w:rPr>
              <w:noProof/>
              <w:lang w:eastAsia="en-NZ"/>
            </w:rPr>
            <w:drawing>
              <wp:inline distT="0" distB="0" distL="0" distR="0" wp14:anchorId="360CE305" wp14:editId="276E0F29">
                <wp:extent cx="3241964" cy="741471"/>
                <wp:effectExtent l="0" t="0" r="0" b="1905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S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693" cy="74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960F18" w14:textId="50F609B8" w:rsidR="00D8681B" w:rsidRDefault="00D8681B" w:rsidP="00365F8F">
    <w:pPr>
      <w:pStyle w:val="Header"/>
      <w:ind w:righ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0C88" w14:textId="77777777" w:rsidR="00B37385" w:rsidRDefault="00B37385" w:rsidP="00533B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3FDE" w14:textId="77777777" w:rsidR="00B37385" w:rsidRDefault="00B37385" w:rsidP="009001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8377" w14:textId="77777777" w:rsidR="00B37385" w:rsidRDefault="00B373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69B0717"/>
    <w:multiLevelType w:val="hybridMultilevel"/>
    <w:tmpl w:val="422053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4094A"/>
    <w:multiLevelType w:val="hybridMultilevel"/>
    <w:tmpl w:val="107CC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357B8"/>
    <w:multiLevelType w:val="hybridMultilevel"/>
    <w:tmpl w:val="E17CF7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E510B"/>
    <w:multiLevelType w:val="hybridMultilevel"/>
    <w:tmpl w:val="C4A69B50"/>
    <w:lvl w:ilvl="0" w:tplc="CD887358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F6588"/>
    <w:multiLevelType w:val="multilevel"/>
    <w:tmpl w:val="3552D7AE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395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b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Letter"/>
      <w:pStyle w:val="Letter"/>
      <w:lvlText w:val="%6.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pStyle w:val="Roman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30A8"/>
    <w:rsid w:val="00005BB5"/>
    <w:rsid w:val="00012330"/>
    <w:rsid w:val="00016873"/>
    <w:rsid w:val="00017076"/>
    <w:rsid w:val="000226C7"/>
    <w:rsid w:val="00025A6F"/>
    <w:rsid w:val="0002618D"/>
    <w:rsid w:val="00026B8A"/>
    <w:rsid w:val="00030B26"/>
    <w:rsid w:val="00030E84"/>
    <w:rsid w:val="000310DC"/>
    <w:rsid w:val="00032166"/>
    <w:rsid w:val="00032C0A"/>
    <w:rsid w:val="0003445F"/>
    <w:rsid w:val="00035257"/>
    <w:rsid w:val="00035D68"/>
    <w:rsid w:val="0004177D"/>
    <w:rsid w:val="00046164"/>
    <w:rsid w:val="00054B44"/>
    <w:rsid w:val="00057233"/>
    <w:rsid w:val="0006228D"/>
    <w:rsid w:val="00072BD6"/>
    <w:rsid w:val="00075B78"/>
    <w:rsid w:val="000763E9"/>
    <w:rsid w:val="0008068E"/>
    <w:rsid w:val="000808EB"/>
    <w:rsid w:val="00082CD6"/>
    <w:rsid w:val="0008437D"/>
    <w:rsid w:val="00084E52"/>
    <w:rsid w:val="00085AFE"/>
    <w:rsid w:val="000868BD"/>
    <w:rsid w:val="00086A32"/>
    <w:rsid w:val="00090C65"/>
    <w:rsid w:val="00094800"/>
    <w:rsid w:val="000A41ED"/>
    <w:rsid w:val="000A4736"/>
    <w:rsid w:val="000A55B3"/>
    <w:rsid w:val="000B0730"/>
    <w:rsid w:val="000B242B"/>
    <w:rsid w:val="000B4DA3"/>
    <w:rsid w:val="000B7DCF"/>
    <w:rsid w:val="000C4C0E"/>
    <w:rsid w:val="000D19F4"/>
    <w:rsid w:val="000D58DD"/>
    <w:rsid w:val="000D6D8F"/>
    <w:rsid w:val="000E4D3A"/>
    <w:rsid w:val="000F12AB"/>
    <w:rsid w:val="000F2AE2"/>
    <w:rsid w:val="000F2BFF"/>
    <w:rsid w:val="000F31B7"/>
    <w:rsid w:val="001011B3"/>
    <w:rsid w:val="00102063"/>
    <w:rsid w:val="0010541C"/>
    <w:rsid w:val="00106F93"/>
    <w:rsid w:val="00111D50"/>
    <w:rsid w:val="00113B8E"/>
    <w:rsid w:val="0012053C"/>
    <w:rsid w:val="00121B80"/>
    <w:rsid w:val="00122363"/>
    <w:rsid w:val="00124F12"/>
    <w:rsid w:val="00125B93"/>
    <w:rsid w:val="00127F9C"/>
    <w:rsid w:val="001342C7"/>
    <w:rsid w:val="0013585C"/>
    <w:rsid w:val="00141A9A"/>
    <w:rsid w:val="00142261"/>
    <w:rsid w:val="00142954"/>
    <w:rsid w:val="0014387C"/>
    <w:rsid w:val="001460E0"/>
    <w:rsid w:val="00146D1A"/>
    <w:rsid w:val="001472F0"/>
    <w:rsid w:val="00147F71"/>
    <w:rsid w:val="00150A6E"/>
    <w:rsid w:val="00150DD8"/>
    <w:rsid w:val="0015491B"/>
    <w:rsid w:val="0016263A"/>
    <w:rsid w:val="0016304B"/>
    <w:rsid w:val="00163C36"/>
    <w:rsid w:val="0016468A"/>
    <w:rsid w:val="0016531B"/>
    <w:rsid w:val="00172F4A"/>
    <w:rsid w:val="001748A7"/>
    <w:rsid w:val="00176F29"/>
    <w:rsid w:val="001836C4"/>
    <w:rsid w:val="0018662D"/>
    <w:rsid w:val="00191C13"/>
    <w:rsid w:val="00191CF9"/>
    <w:rsid w:val="00192401"/>
    <w:rsid w:val="00197427"/>
    <w:rsid w:val="001A0694"/>
    <w:rsid w:val="001A21B4"/>
    <w:rsid w:val="001A35F6"/>
    <w:rsid w:val="001A4DCC"/>
    <w:rsid w:val="001A5CF5"/>
    <w:rsid w:val="001B39D2"/>
    <w:rsid w:val="001B4BF8"/>
    <w:rsid w:val="001C4326"/>
    <w:rsid w:val="001C45A8"/>
    <w:rsid w:val="001C665E"/>
    <w:rsid w:val="001D3541"/>
    <w:rsid w:val="001D3E4E"/>
    <w:rsid w:val="001D5F4E"/>
    <w:rsid w:val="001E254A"/>
    <w:rsid w:val="001E3410"/>
    <w:rsid w:val="001E4E6E"/>
    <w:rsid w:val="001E7386"/>
    <w:rsid w:val="001E769C"/>
    <w:rsid w:val="001F45A7"/>
    <w:rsid w:val="00201A01"/>
    <w:rsid w:val="002023DC"/>
    <w:rsid w:val="0020388B"/>
    <w:rsid w:val="00207378"/>
    <w:rsid w:val="0020754B"/>
    <w:rsid w:val="002104D3"/>
    <w:rsid w:val="0021062E"/>
    <w:rsid w:val="00212940"/>
    <w:rsid w:val="002137E8"/>
    <w:rsid w:val="00213A33"/>
    <w:rsid w:val="00214167"/>
    <w:rsid w:val="0021659B"/>
    <w:rsid w:val="0021763B"/>
    <w:rsid w:val="0021763C"/>
    <w:rsid w:val="00217777"/>
    <w:rsid w:val="002369A8"/>
    <w:rsid w:val="002419AE"/>
    <w:rsid w:val="00245F30"/>
    <w:rsid w:val="00246DB1"/>
    <w:rsid w:val="002476B5"/>
    <w:rsid w:val="00250C00"/>
    <w:rsid w:val="002520CC"/>
    <w:rsid w:val="00252611"/>
    <w:rsid w:val="00253ECF"/>
    <w:rsid w:val="002546A1"/>
    <w:rsid w:val="00255492"/>
    <w:rsid w:val="0026200E"/>
    <w:rsid w:val="002628F4"/>
    <w:rsid w:val="002632AB"/>
    <w:rsid w:val="00275D08"/>
    <w:rsid w:val="00284F19"/>
    <w:rsid w:val="002858E3"/>
    <w:rsid w:val="00290A4A"/>
    <w:rsid w:val="0029190A"/>
    <w:rsid w:val="00291F6C"/>
    <w:rsid w:val="00292C5A"/>
    <w:rsid w:val="002946A1"/>
    <w:rsid w:val="00295241"/>
    <w:rsid w:val="00295B18"/>
    <w:rsid w:val="0029620D"/>
    <w:rsid w:val="002A4DFC"/>
    <w:rsid w:val="002B047D"/>
    <w:rsid w:val="002B1AA1"/>
    <w:rsid w:val="002B2CE2"/>
    <w:rsid w:val="002B732B"/>
    <w:rsid w:val="002B76A7"/>
    <w:rsid w:val="002C0C4B"/>
    <w:rsid w:val="002C2219"/>
    <w:rsid w:val="002C2552"/>
    <w:rsid w:val="002C380A"/>
    <w:rsid w:val="002C5077"/>
    <w:rsid w:val="002D0CBC"/>
    <w:rsid w:val="002D0DF2"/>
    <w:rsid w:val="002D23BD"/>
    <w:rsid w:val="002D5424"/>
    <w:rsid w:val="002E0B47"/>
    <w:rsid w:val="002E0ED7"/>
    <w:rsid w:val="002E2BE5"/>
    <w:rsid w:val="002F2972"/>
    <w:rsid w:val="002F2B2F"/>
    <w:rsid w:val="002F4685"/>
    <w:rsid w:val="002F7213"/>
    <w:rsid w:val="0030382F"/>
    <w:rsid w:val="0030408D"/>
    <w:rsid w:val="003060E4"/>
    <w:rsid w:val="00306672"/>
    <w:rsid w:val="003069F0"/>
    <w:rsid w:val="00311275"/>
    <w:rsid w:val="00313317"/>
    <w:rsid w:val="00314ABC"/>
    <w:rsid w:val="003160E7"/>
    <w:rsid w:val="0031739E"/>
    <w:rsid w:val="00320CA8"/>
    <w:rsid w:val="003309CA"/>
    <w:rsid w:val="0033137D"/>
    <w:rsid w:val="00331ED6"/>
    <w:rsid w:val="003325AB"/>
    <w:rsid w:val="003332D1"/>
    <w:rsid w:val="0033412B"/>
    <w:rsid w:val="00340900"/>
    <w:rsid w:val="00341161"/>
    <w:rsid w:val="00343365"/>
    <w:rsid w:val="00343390"/>
    <w:rsid w:val="003436AF"/>
    <w:rsid w:val="0034415A"/>
    <w:rsid w:val="003445F4"/>
    <w:rsid w:val="00353501"/>
    <w:rsid w:val="00353734"/>
    <w:rsid w:val="0035559C"/>
    <w:rsid w:val="00357E82"/>
    <w:rsid w:val="003606F8"/>
    <w:rsid w:val="00363E75"/>
    <w:rsid w:val="003641CA"/>
    <w:rsid w:val="003648EF"/>
    <w:rsid w:val="00365F8F"/>
    <w:rsid w:val="003664F5"/>
    <w:rsid w:val="00366D2E"/>
    <w:rsid w:val="003673E6"/>
    <w:rsid w:val="00377264"/>
    <w:rsid w:val="003779D2"/>
    <w:rsid w:val="00380C6E"/>
    <w:rsid w:val="00385E38"/>
    <w:rsid w:val="00391921"/>
    <w:rsid w:val="0039537D"/>
    <w:rsid w:val="003A221A"/>
    <w:rsid w:val="003A26A5"/>
    <w:rsid w:val="003A2D27"/>
    <w:rsid w:val="003A3761"/>
    <w:rsid w:val="003A4519"/>
    <w:rsid w:val="003A512D"/>
    <w:rsid w:val="003A5FEA"/>
    <w:rsid w:val="003B1D10"/>
    <w:rsid w:val="003B6C5B"/>
    <w:rsid w:val="003C15DC"/>
    <w:rsid w:val="003C6984"/>
    <w:rsid w:val="003C76D4"/>
    <w:rsid w:val="003D05DB"/>
    <w:rsid w:val="003D137D"/>
    <w:rsid w:val="003D2CC5"/>
    <w:rsid w:val="003D3FB1"/>
    <w:rsid w:val="003D44F5"/>
    <w:rsid w:val="003D6E8D"/>
    <w:rsid w:val="003E04C1"/>
    <w:rsid w:val="003E0887"/>
    <w:rsid w:val="003E74C8"/>
    <w:rsid w:val="003E7C46"/>
    <w:rsid w:val="003F2106"/>
    <w:rsid w:val="003F327A"/>
    <w:rsid w:val="003F38B2"/>
    <w:rsid w:val="003F4580"/>
    <w:rsid w:val="003F52A7"/>
    <w:rsid w:val="003F7013"/>
    <w:rsid w:val="0040240C"/>
    <w:rsid w:val="00402611"/>
    <w:rsid w:val="0041160C"/>
    <w:rsid w:val="00413021"/>
    <w:rsid w:val="00414119"/>
    <w:rsid w:val="00420957"/>
    <w:rsid w:val="00424299"/>
    <w:rsid w:val="004301C6"/>
    <w:rsid w:val="00431579"/>
    <w:rsid w:val="0043478F"/>
    <w:rsid w:val="0043602B"/>
    <w:rsid w:val="00440BE0"/>
    <w:rsid w:val="00442C1C"/>
    <w:rsid w:val="0044584B"/>
    <w:rsid w:val="00447CB7"/>
    <w:rsid w:val="004554A0"/>
    <w:rsid w:val="00455CC9"/>
    <w:rsid w:val="00460826"/>
    <w:rsid w:val="00460EA7"/>
    <w:rsid w:val="0046195B"/>
    <w:rsid w:val="00462140"/>
    <w:rsid w:val="0046347E"/>
    <w:rsid w:val="0046362D"/>
    <w:rsid w:val="004653FC"/>
    <w:rsid w:val="0046596D"/>
    <w:rsid w:val="00471F2F"/>
    <w:rsid w:val="00472621"/>
    <w:rsid w:val="004730BC"/>
    <w:rsid w:val="00474ABF"/>
    <w:rsid w:val="00480EF8"/>
    <w:rsid w:val="00487C04"/>
    <w:rsid w:val="004907E1"/>
    <w:rsid w:val="00491D36"/>
    <w:rsid w:val="004940EF"/>
    <w:rsid w:val="00494283"/>
    <w:rsid w:val="00496D65"/>
    <w:rsid w:val="00497889"/>
    <w:rsid w:val="004A035B"/>
    <w:rsid w:val="004A198A"/>
    <w:rsid w:val="004A2108"/>
    <w:rsid w:val="004A38D7"/>
    <w:rsid w:val="004A778C"/>
    <w:rsid w:val="004B2FE9"/>
    <w:rsid w:val="004B48C7"/>
    <w:rsid w:val="004B5ADF"/>
    <w:rsid w:val="004B67F0"/>
    <w:rsid w:val="004C2E6A"/>
    <w:rsid w:val="004C3C85"/>
    <w:rsid w:val="004C64B8"/>
    <w:rsid w:val="004D2A2D"/>
    <w:rsid w:val="004D479F"/>
    <w:rsid w:val="004D6689"/>
    <w:rsid w:val="004D7E83"/>
    <w:rsid w:val="004E1938"/>
    <w:rsid w:val="004E1D1D"/>
    <w:rsid w:val="004E7AC8"/>
    <w:rsid w:val="004F0C94"/>
    <w:rsid w:val="004F7A6C"/>
    <w:rsid w:val="005019AE"/>
    <w:rsid w:val="00503749"/>
    <w:rsid w:val="00504110"/>
    <w:rsid w:val="00504CF4"/>
    <w:rsid w:val="0050635B"/>
    <w:rsid w:val="00507A9B"/>
    <w:rsid w:val="005148AC"/>
    <w:rsid w:val="005151C2"/>
    <w:rsid w:val="00517023"/>
    <w:rsid w:val="00524831"/>
    <w:rsid w:val="005256D7"/>
    <w:rsid w:val="0053199F"/>
    <w:rsid w:val="00531E12"/>
    <w:rsid w:val="00532E9F"/>
    <w:rsid w:val="00533B90"/>
    <w:rsid w:val="00536DAD"/>
    <w:rsid w:val="00540CD2"/>
    <w:rsid w:val="005410F8"/>
    <w:rsid w:val="005448EC"/>
    <w:rsid w:val="00545963"/>
    <w:rsid w:val="00550256"/>
    <w:rsid w:val="00553165"/>
    <w:rsid w:val="00553958"/>
    <w:rsid w:val="00556BB7"/>
    <w:rsid w:val="0055763D"/>
    <w:rsid w:val="005579FF"/>
    <w:rsid w:val="005609AD"/>
    <w:rsid w:val="00561516"/>
    <w:rsid w:val="005621F2"/>
    <w:rsid w:val="00562382"/>
    <w:rsid w:val="00564784"/>
    <w:rsid w:val="005652BF"/>
    <w:rsid w:val="00565D98"/>
    <w:rsid w:val="00567B58"/>
    <w:rsid w:val="00567DFF"/>
    <w:rsid w:val="00571223"/>
    <w:rsid w:val="0057124D"/>
    <w:rsid w:val="005763E0"/>
    <w:rsid w:val="00576D6C"/>
    <w:rsid w:val="00580146"/>
    <w:rsid w:val="00581136"/>
    <w:rsid w:val="005819E2"/>
    <w:rsid w:val="00581EB8"/>
    <w:rsid w:val="005905E2"/>
    <w:rsid w:val="00594A74"/>
    <w:rsid w:val="00596771"/>
    <w:rsid w:val="005A20B2"/>
    <w:rsid w:val="005A27CA"/>
    <w:rsid w:val="005A35B7"/>
    <w:rsid w:val="005A39EA"/>
    <w:rsid w:val="005A3A5F"/>
    <w:rsid w:val="005A41B1"/>
    <w:rsid w:val="005A43BD"/>
    <w:rsid w:val="005A79E5"/>
    <w:rsid w:val="005B5236"/>
    <w:rsid w:val="005C5D7F"/>
    <w:rsid w:val="005C5EDF"/>
    <w:rsid w:val="005D034C"/>
    <w:rsid w:val="005D122A"/>
    <w:rsid w:val="005D26BD"/>
    <w:rsid w:val="005D607D"/>
    <w:rsid w:val="005E0B20"/>
    <w:rsid w:val="005E226E"/>
    <w:rsid w:val="005E2636"/>
    <w:rsid w:val="005E2A62"/>
    <w:rsid w:val="005E2DBE"/>
    <w:rsid w:val="005E5000"/>
    <w:rsid w:val="005F34D4"/>
    <w:rsid w:val="005F3756"/>
    <w:rsid w:val="005F5083"/>
    <w:rsid w:val="005F79D8"/>
    <w:rsid w:val="00600690"/>
    <w:rsid w:val="006015D7"/>
    <w:rsid w:val="00601B21"/>
    <w:rsid w:val="006041F0"/>
    <w:rsid w:val="00605C6D"/>
    <w:rsid w:val="006120CA"/>
    <w:rsid w:val="00614A54"/>
    <w:rsid w:val="006236E8"/>
    <w:rsid w:val="00624174"/>
    <w:rsid w:val="0062483C"/>
    <w:rsid w:val="00624FA1"/>
    <w:rsid w:val="00626CF8"/>
    <w:rsid w:val="0062752B"/>
    <w:rsid w:val="006314AF"/>
    <w:rsid w:val="00634ED8"/>
    <w:rsid w:val="0063554F"/>
    <w:rsid w:val="00636D7D"/>
    <w:rsid w:val="00636E62"/>
    <w:rsid w:val="00637408"/>
    <w:rsid w:val="006415AE"/>
    <w:rsid w:val="00642868"/>
    <w:rsid w:val="0064409A"/>
    <w:rsid w:val="00646A0B"/>
    <w:rsid w:val="00647AFE"/>
    <w:rsid w:val="00647D70"/>
    <w:rsid w:val="006512BC"/>
    <w:rsid w:val="00653A5A"/>
    <w:rsid w:val="006554AC"/>
    <w:rsid w:val="006575F4"/>
    <w:rsid w:val="006579E6"/>
    <w:rsid w:val="00660682"/>
    <w:rsid w:val="00660F74"/>
    <w:rsid w:val="00662D2D"/>
    <w:rsid w:val="00663EDC"/>
    <w:rsid w:val="00671078"/>
    <w:rsid w:val="006758CA"/>
    <w:rsid w:val="00677894"/>
    <w:rsid w:val="006805CB"/>
    <w:rsid w:val="00680A04"/>
    <w:rsid w:val="00680DC9"/>
    <w:rsid w:val="00686D80"/>
    <w:rsid w:val="0069448D"/>
    <w:rsid w:val="00694895"/>
    <w:rsid w:val="00694CBD"/>
    <w:rsid w:val="00696337"/>
    <w:rsid w:val="00696AFD"/>
    <w:rsid w:val="00697E2E"/>
    <w:rsid w:val="006A25A2"/>
    <w:rsid w:val="006A3B87"/>
    <w:rsid w:val="006B0E73"/>
    <w:rsid w:val="006B1E3D"/>
    <w:rsid w:val="006B4A4D"/>
    <w:rsid w:val="006B5695"/>
    <w:rsid w:val="006B6606"/>
    <w:rsid w:val="006B6AA4"/>
    <w:rsid w:val="006B781B"/>
    <w:rsid w:val="006B7B2E"/>
    <w:rsid w:val="006B7B8B"/>
    <w:rsid w:val="006C2289"/>
    <w:rsid w:val="006C36F8"/>
    <w:rsid w:val="006C6367"/>
    <w:rsid w:val="006C78EB"/>
    <w:rsid w:val="006C7A6F"/>
    <w:rsid w:val="006D0C29"/>
    <w:rsid w:val="006D1660"/>
    <w:rsid w:val="006D43E7"/>
    <w:rsid w:val="006D63E5"/>
    <w:rsid w:val="006E0137"/>
    <w:rsid w:val="006E1753"/>
    <w:rsid w:val="006E3911"/>
    <w:rsid w:val="006F1B67"/>
    <w:rsid w:val="006F4D9C"/>
    <w:rsid w:val="006F62B6"/>
    <w:rsid w:val="0070091D"/>
    <w:rsid w:val="007024F9"/>
    <w:rsid w:val="00702854"/>
    <w:rsid w:val="00711355"/>
    <w:rsid w:val="007135D9"/>
    <w:rsid w:val="0071741C"/>
    <w:rsid w:val="00726D37"/>
    <w:rsid w:val="0072793E"/>
    <w:rsid w:val="007409DE"/>
    <w:rsid w:val="00742B90"/>
    <w:rsid w:val="00743109"/>
    <w:rsid w:val="0074434D"/>
    <w:rsid w:val="00750323"/>
    <w:rsid w:val="007517C5"/>
    <w:rsid w:val="00751BE2"/>
    <w:rsid w:val="00756D8C"/>
    <w:rsid w:val="00756E52"/>
    <w:rsid w:val="007570C4"/>
    <w:rsid w:val="007605B8"/>
    <w:rsid w:val="00762509"/>
    <w:rsid w:val="00764F3C"/>
    <w:rsid w:val="007663BB"/>
    <w:rsid w:val="00771B1E"/>
    <w:rsid w:val="00773C95"/>
    <w:rsid w:val="0078116B"/>
    <w:rsid w:val="0078171E"/>
    <w:rsid w:val="00782D10"/>
    <w:rsid w:val="007841D8"/>
    <w:rsid w:val="0078658E"/>
    <w:rsid w:val="007920E2"/>
    <w:rsid w:val="0079566E"/>
    <w:rsid w:val="00795B34"/>
    <w:rsid w:val="007A067F"/>
    <w:rsid w:val="007A3F91"/>
    <w:rsid w:val="007B1770"/>
    <w:rsid w:val="007B4D3E"/>
    <w:rsid w:val="007B7C70"/>
    <w:rsid w:val="007B7DEB"/>
    <w:rsid w:val="007C0449"/>
    <w:rsid w:val="007C0F04"/>
    <w:rsid w:val="007C4B54"/>
    <w:rsid w:val="007D2151"/>
    <w:rsid w:val="007D2749"/>
    <w:rsid w:val="007D3B90"/>
    <w:rsid w:val="007D3F23"/>
    <w:rsid w:val="007D42CC"/>
    <w:rsid w:val="007D5DE4"/>
    <w:rsid w:val="007D7C3A"/>
    <w:rsid w:val="007E072D"/>
    <w:rsid w:val="007E0777"/>
    <w:rsid w:val="007E1341"/>
    <w:rsid w:val="007E1B41"/>
    <w:rsid w:val="007E1EC4"/>
    <w:rsid w:val="007E30B9"/>
    <w:rsid w:val="007E74F1"/>
    <w:rsid w:val="007F0F0C"/>
    <w:rsid w:val="007F1288"/>
    <w:rsid w:val="007F7F72"/>
    <w:rsid w:val="00800A8A"/>
    <w:rsid w:val="0080155C"/>
    <w:rsid w:val="00801F76"/>
    <w:rsid w:val="008028FF"/>
    <w:rsid w:val="008031BA"/>
    <w:rsid w:val="008052E1"/>
    <w:rsid w:val="00805AA1"/>
    <w:rsid w:val="00807365"/>
    <w:rsid w:val="008220B3"/>
    <w:rsid w:val="00822F2C"/>
    <w:rsid w:val="00823DEE"/>
    <w:rsid w:val="008305E8"/>
    <w:rsid w:val="00831A93"/>
    <w:rsid w:val="00834299"/>
    <w:rsid w:val="00836165"/>
    <w:rsid w:val="008375C0"/>
    <w:rsid w:val="0084608E"/>
    <w:rsid w:val="0084640C"/>
    <w:rsid w:val="00846803"/>
    <w:rsid w:val="0084715D"/>
    <w:rsid w:val="00851B1B"/>
    <w:rsid w:val="00851B5F"/>
    <w:rsid w:val="00856088"/>
    <w:rsid w:val="008561DC"/>
    <w:rsid w:val="00860826"/>
    <w:rsid w:val="00860E21"/>
    <w:rsid w:val="00863117"/>
    <w:rsid w:val="0086388B"/>
    <w:rsid w:val="008642E5"/>
    <w:rsid w:val="00864488"/>
    <w:rsid w:val="00870A36"/>
    <w:rsid w:val="00872D93"/>
    <w:rsid w:val="0087472E"/>
    <w:rsid w:val="00880470"/>
    <w:rsid w:val="00880D94"/>
    <w:rsid w:val="00886F64"/>
    <w:rsid w:val="008873C7"/>
    <w:rsid w:val="00892273"/>
    <w:rsid w:val="008924DE"/>
    <w:rsid w:val="00893D7D"/>
    <w:rsid w:val="008A1A84"/>
    <w:rsid w:val="008A22CE"/>
    <w:rsid w:val="008A3755"/>
    <w:rsid w:val="008A4F90"/>
    <w:rsid w:val="008B07D1"/>
    <w:rsid w:val="008B19DC"/>
    <w:rsid w:val="008B264F"/>
    <w:rsid w:val="008B6F83"/>
    <w:rsid w:val="008B7FD8"/>
    <w:rsid w:val="008C2973"/>
    <w:rsid w:val="008C3224"/>
    <w:rsid w:val="008C6324"/>
    <w:rsid w:val="008C64C4"/>
    <w:rsid w:val="008D2CDD"/>
    <w:rsid w:val="008D4E71"/>
    <w:rsid w:val="008D4FE5"/>
    <w:rsid w:val="008D74D5"/>
    <w:rsid w:val="008E0ED1"/>
    <w:rsid w:val="008E235C"/>
    <w:rsid w:val="008E3A07"/>
    <w:rsid w:val="008E537B"/>
    <w:rsid w:val="008F29BE"/>
    <w:rsid w:val="008F3C01"/>
    <w:rsid w:val="008F4AE5"/>
    <w:rsid w:val="008F51EB"/>
    <w:rsid w:val="008F731B"/>
    <w:rsid w:val="00900197"/>
    <w:rsid w:val="00900B65"/>
    <w:rsid w:val="00900DF4"/>
    <w:rsid w:val="00902D27"/>
    <w:rsid w:val="00902F55"/>
    <w:rsid w:val="00904572"/>
    <w:rsid w:val="0090582B"/>
    <w:rsid w:val="009060C0"/>
    <w:rsid w:val="00910A4F"/>
    <w:rsid w:val="009133F5"/>
    <w:rsid w:val="00915938"/>
    <w:rsid w:val="0091756F"/>
    <w:rsid w:val="00920A27"/>
    <w:rsid w:val="00921216"/>
    <w:rsid w:val="009212B0"/>
    <w:rsid w:val="009216CC"/>
    <w:rsid w:val="00926083"/>
    <w:rsid w:val="009279E3"/>
    <w:rsid w:val="00930D08"/>
    <w:rsid w:val="00931466"/>
    <w:rsid w:val="00932D69"/>
    <w:rsid w:val="00935589"/>
    <w:rsid w:val="009444B7"/>
    <w:rsid w:val="00944647"/>
    <w:rsid w:val="00953A32"/>
    <w:rsid w:val="0095565C"/>
    <w:rsid w:val="009643BC"/>
    <w:rsid w:val="00964549"/>
    <w:rsid w:val="00964AB6"/>
    <w:rsid w:val="00966F9A"/>
    <w:rsid w:val="009706F8"/>
    <w:rsid w:val="00972CA6"/>
    <w:rsid w:val="00977B8A"/>
    <w:rsid w:val="00982971"/>
    <w:rsid w:val="00983E0D"/>
    <w:rsid w:val="009845AD"/>
    <w:rsid w:val="00984835"/>
    <w:rsid w:val="00984EA0"/>
    <w:rsid w:val="00986DE9"/>
    <w:rsid w:val="009928C0"/>
    <w:rsid w:val="009933EF"/>
    <w:rsid w:val="00995BA0"/>
    <w:rsid w:val="009A418B"/>
    <w:rsid w:val="009A426F"/>
    <w:rsid w:val="009A42D5"/>
    <w:rsid w:val="009A4473"/>
    <w:rsid w:val="009A5E92"/>
    <w:rsid w:val="009B05C9"/>
    <w:rsid w:val="009B1C97"/>
    <w:rsid w:val="009B286C"/>
    <w:rsid w:val="009B472E"/>
    <w:rsid w:val="009B53DD"/>
    <w:rsid w:val="009C151C"/>
    <w:rsid w:val="009C440A"/>
    <w:rsid w:val="009D1ADD"/>
    <w:rsid w:val="009D5125"/>
    <w:rsid w:val="009D60B8"/>
    <w:rsid w:val="009D7D4B"/>
    <w:rsid w:val="009E36ED"/>
    <w:rsid w:val="009E3C8C"/>
    <w:rsid w:val="009E4422"/>
    <w:rsid w:val="009E445A"/>
    <w:rsid w:val="009E6B77"/>
    <w:rsid w:val="009F460A"/>
    <w:rsid w:val="00A043FB"/>
    <w:rsid w:val="00A0572D"/>
    <w:rsid w:val="00A06BE4"/>
    <w:rsid w:val="00A0729C"/>
    <w:rsid w:val="00A07779"/>
    <w:rsid w:val="00A1166A"/>
    <w:rsid w:val="00A20B2E"/>
    <w:rsid w:val="00A22612"/>
    <w:rsid w:val="00A24E08"/>
    <w:rsid w:val="00A24F33"/>
    <w:rsid w:val="00A25069"/>
    <w:rsid w:val="00A2571C"/>
    <w:rsid w:val="00A259B2"/>
    <w:rsid w:val="00A26E6B"/>
    <w:rsid w:val="00A3068F"/>
    <w:rsid w:val="00A3137F"/>
    <w:rsid w:val="00A3145B"/>
    <w:rsid w:val="00A339D0"/>
    <w:rsid w:val="00A36930"/>
    <w:rsid w:val="00A41002"/>
    <w:rsid w:val="00A4128D"/>
    <w:rsid w:val="00A4201A"/>
    <w:rsid w:val="00A44BEE"/>
    <w:rsid w:val="00A51AAC"/>
    <w:rsid w:val="00A5465D"/>
    <w:rsid w:val="00A553CE"/>
    <w:rsid w:val="00A5677A"/>
    <w:rsid w:val="00A56DCC"/>
    <w:rsid w:val="00A60B1F"/>
    <w:rsid w:val="00A625E8"/>
    <w:rsid w:val="00A63DFF"/>
    <w:rsid w:val="00A64674"/>
    <w:rsid w:val="00A6490D"/>
    <w:rsid w:val="00A7002C"/>
    <w:rsid w:val="00A7337C"/>
    <w:rsid w:val="00A7415D"/>
    <w:rsid w:val="00A80363"/>
    <w:rsid w:val="00A80939"/>
    <w:rsid w:val="00A80B6A"/>
    <w:rsid w:val="00A83AA6"/>
    <w:rsid w:val="00A83E9D"/>
    <w:rsid w:val="00A87C05"/>
    <w:rsid w:val="00A9169D"/>
    <w:rsid w:val="00A968F7"/>
    <w:rsid w:val="00AA240C"/>
    <w:rsid w:val="00AB18B3"/>
    <w:rsid w:val="00AB770F"/>
    <w:rsid w:val="00AC101C"/>
    <w:rsid w:val="00AC25EB"/>
    <w:rsid w:val="00AC27C7"/>
    <w:rsid w:val="00AD438D"/>
    <w:rsid w:val="00AD4CF1"/>
    <w:rsid w:val="00AD537B"/>
    <w:rsid w:val="00AD5988"/>
    <w:rsid w:val="00AD6293"/>
    <w:rsid w:val="00AD7326"/>
    <w:rsid w:val="00AE0348"/>
    <w:rsid w:val="00AE3A53"/>
    <w:rsid w:val="00AE501A"/>
    <w:rsid w:val="00AE6ED4"/>
    <w:rsid w:val="00AF70A1"/>
    <w:rsid w:val="00AF7800"/>
    <w:rsid w:val="00B00CF5"/>
    <w:rsid w:val="00B03607"/>
    <w:rsid w:val="00B072E0"/>
    <w:rsid w:val="00B1007E"/>
    <w:rsid w:val="00B142C3"/>
    <w:rsid w:val="00B20114"/>
    <w:rsid w:val="00B20E62"/>
    <w:rsid w:val="00B231DC"/>
    <w:rsid w:val="00B253F6"/>
    <w:rsid w:val="00B26675"/>
    <w:rsid w:val="00B305DB"/>
    <w:rsid w:val="00B3282A"/>
    <w:rsid w:val="00B33023"/>
    <w:rsid w:val="00B332F8"/>
    <w:rsid w:val="00B3492B"/>
    <w:rsid w:val="00B37385"/>
    <w:rsid w:val="00B4646F"/>
    <w:rsid w:val="00B53DF8"/>
    <w:rsid w:val="00B55C7D"/>
    <w:rsid w:val="00B628CD"/>
    <w:rsid w:val="00B63038"/>
    <w:rsid w:val="00B64BD8"/>
    <w:rsid w:val="00B6509E"/>
    <w:rsid w:val="00B701D1"/>
    <w:rsid w:val="00B73AF2"/>
    <w:rsid w:val="00B7551A"/>
    <w:rsid w:val="00B75756"/>
    <w:rsid w:val="00B773F1"/>
    <w:rsid w:val="00B827AA"/>
    <w:rsid w:val="00B83CE7"/>
    <w:rsid w:val="00B85F7C"/>
    <w:rsid w:val="00B860EB"/>
    <w:rsid w:val="00B86AB1"/>
    <w:rsid w:val="00B87524"/>
    <w:rsid w:val="00B910D5"/>
    <w:rsid w:val="00B9599C"/>
    <w:rsid w:val="00B96764"/>
    <w:rsid w:val="00BA2668"/>
    <w:rsid w:val="00BA2DEE"/>
    <w:rsid w:val="00BA6CD1"/>
    <w:rsid w:val="00BB02B8"/>
    <w:rsid w:val="00BB2087"/>
    <w:rsid w:val="00BB2A06"/>
    <w:rsid w:val="00BB2CBB"/>
    <w:rsid w:val="00BB3E1F"/>
    <w:rsid w:val="00BB3FC0"/>
    <w:rsid w:val="00BB4198"/>
    <w:rsid w:val="00BB5077"/>
    <w:rsid w:val="00BC03EE"/>
    <w:rsid w:val="00BC0803"/>
    <w:rsid w:val="00BC59F1"/>
    <w:rsid w:val="00BD522A"/>
    <w:rsid w:val="00BE06EF"/>
    <w:rsid w:val="00BF0322"/>
    <w:rsid w:val="00BF0368"/>
    <w:rsid w:val="00BF3712"/>
    <w:rsid w:val="00BF3DE1"/>
    <w:rsid w:val="00BF4843"/>
    <w:rsid w:val="00BF5205"/>
    <w:rsid w:val="00BF76C2"/>
    <w:rsid w:val="00C010F0"/>
    <w:rsid w:val="00C05132"/>
    <w:rsid w:val="00C100C9"/>
    <w:rsid w:val="00C12508"/>
    <w:rsid w:val="00C22093"/>
    <w:rsid w:val="00C23728"/>
    <w:rsid w:val="00C3026C"/>
    <w:rsid w:val="00C313A9"/>
    <w:rsid w:val="00C31F98"/>
    <w:rsid w:val="00C32E28"/>
    <w:rsid w:val="00C34E55"/>
    <w:rsid w:val="00C441CF"/>
    <w:rsid w:val="00C45AA2"/>
    <w:rsid w:val="00C46965"/>
    <w:rsid w:val="00C4792C"/>
    <w:rsid w:val="00C5448B"/>
    <w:rsid w:val="00C55BEF"/>
    <w:rsid w:val="00C55C14"/>
    <w:rsid w:val="00C601AF"/>
    <w:rsid w:val="00C61A63"/>
    <w:rsid w:val="00C6306E"/>
    <w:rsid w:val="00C66296"/>
    <w:rsid w:val="00C7231E"/>
    <w:rsid w:val="00C724F8"/>
    <w:rsid w:val="00C7394D"/>
    <w:rsid w:val="00C745DB"/>
    <w:rsid w:val="00C77282"/>
    <w:rsid w:val="00C8195B"/>
    <w:rsid w:val="00C84DE5"/>
    <w:rsid w:val="00C86248"/>
    <w:rsid w:val="00C90B31"/>
    <w:rsid w:val="00C9114A"/>
    <w:rsid w:val="00C92865"/>
    <w:rsid w:val="00C95D47"/>
    <w:rsid w:val="00CA0B30"/>
    <w:rsid w:val="00CA0D6F"/>
    <w:rsid w:val="00CA25B9"/>
    <w:rsid w:val="00CA30EA"/>
    <w:rsid w:val="00CA3E79"/>
    <w:rsid w:val="00CA40EF"/>
    <w:rsid w:val="00CA4C33"/>
    <w:rsid w:val="00CA6F4A"/>
    <w:rsid w:val="00CA701F"/>
    <w:rsid w:val="00CB48DC"/>
    <w:rsid w:val="00CB6427"/>
    <w:rsid w:val="00CC0FBE"/>
    <w:rsid w:val="00CD2119"/>
    <w:rsid w:val="00CD237A"/>
    <w:rsid w:val="00CD36AC"/>
    <w:rsid w:val="00CD4088"/>
    <w:rsid w:val="00CD7C8D"/>
    <w:rsid w:val="00CE13A3"/>
    <w:rsid w:val="00CE1A1F"/>
    <w:rsid w:val="00CE1EE4"/>
    <w:rsid w:val="00CE36BC"/>
    <w:rsid w:val="00CF1747"/>
    <w:rsid w:val="00CF4BDF"/>
    <w:rsid w:val="00CF60ED"/>
    <w:rsid w:val="00CF697F"/>
    <w:rsid w:val="00D05D74"/>
    <w:rsid w:val="00D1272B"/>
    <w:rsid w:val="00D20C59"/>
    <w:rsid w:val="00D216A4"/>
    <w:rsid w:val="00D23323"/>
    <w:rsid w:val="00D2392A"/>
    <w:rsid w:val="00D245F7"/>
    <w:rsid w:val="00D25FFE"/>
    <w:rsid w:val="00D31F11"/>
    <w:rsid w:val="00D333BA"/>
    <w:rsid w:val="00D37D80"/>
    <w:rsid w:val="00D42C52"/>
    <w:rsid w:val="00D4476F"/>
    <w:rsid w:val="00D44A27"/>
    <w:rsid w:val="00D4570A"/>
    <w:rsid w:val="00D47370"/>
    <w:rsid w:val="00D503D5"/>
    <w:rsid w:val="00D50573"/>
    <w:rsid w:val="00D508D4"/>
    <w:rsid w:val="00D51C96"/>
    <w:rsid w:val="00D54083"/>
    <w:rsid w:val="00D54D50"/>
    <w:rsid w:val="00D560B4"/>
    <w:rsid w:val="00D61180"/>
    <w:rsid w:val="00D62814"/>
    <w:rsid w:val="00D633F1"/>
    <w:rsid w:val="00D662F8"/>
    <w:rsid w:val="00D66797"/>
    <w:rsid w:val="00D7087C"/>
    <w:rsid w:val="00D70C3C"/>
    <w:rsid w:val="00D71DF7"/>
    <w:rsid w:val="00D7293D"/>
    <w:rsid w:val="00D72BE5"/>
    <w:rsid w:val="00D74961"/>
    <w:rsid w:val="00D81462"/>
    <w:rsid w:val="00D82F26"/>
    <w:rsid w:val="00D863D0"/>
    <w:rsid w:val="00D8681B"/>
    <w:rsid w:val="00D86B00"/>
    <w:rsid w:val="00D86FB9"/>
    <w:rsid w:val="00D87C87"/>
    <w:rsid w:val="00D90BB4"/>
    <w:rsid w:val="00D90E07"/>
    <w:rsid w:val="00D932C2"/>
    <w:rsid w:val="00D94402"/>
    <w:rsid w:val="00D9633B"/>
    <w:rsid w:val="00D96BBC"/>
    <w:rsid w:val="00DA4D86"/>
    <w:rsid w:val="00DB1321"/>
    <w:rsid w:val="00DB39CF"/>
    <w:rsid w:val="00DB47CE"/>
    <w:rsid w:val="00DB4AAB"/>
    <w:rsid w:val="00DB7256"/>
    <w:rsid w:val="00DC0401"/>
    <w:rsid w:val="00DC20BD"/>
    <w:rsid w:val="00DC4DA4"/>
    <w:rsid w:val="00DD0247"/>
    <w:rsid w:val="00DD0BCD"/>
    <w:rsid w:val="00DD2BA5"/>
    <w:rsid w:val="00DD447A"/>
    <w:rsid w:val="00DD528E"/>
    <w:rsid w:val="00DE108A"/>
    <w:rsid w:val="00DE3B20"/>
    <w:rsid w:val="00DE55FB"/>
    <w:rsid w:val="00DE647C"/>
    <w:rsid w:val="00DE6C94"/>
    <w:rsid w:val="00DE6FD7"/>
    <w:rsid w:val="00DF2001"/>
    <w:rsid w:val="00DF56A9"/>
    <w:rsid w:val="00DF5E08"/>
    <w:rsid w:val="00E0364B"/>
    <w:rsid w:val="00E10343"/>
    <w:rsid w:val="00E107C5"/>
    <w:rsid w:val="00E23271"/>
    <w:rsid w:val="00E24F80"/>
    <w:rsid w:val="00E259F3"/>
    <w:rsid w:val="00E30985"/>
    <w:rsid w:val="00E31854"/>
    <w:rsid w:val="00E31AA7"/>
    <w:rsid w:val="00E33238"/>
    <w:rsid w:val="00E376B7"/>
    <w:rsid w:val="00E42542"/>
    <w:rsid w:val="00E42F5D"/>
    <w:rsid w:val="00E4486C"/>
    <w:rsid w:val="00E460B6"/>
    <w:rsid w:val="00E511D5"/>
    <w:rsid w:val="00E52AE5"/>
    <w:rsid w:val="00E53A9F"/>
    <w:rsid w:val="00E60249"/>
    <w:rsid w:val="00E63483"/>
    <w:rsid w:val="00E65269"/>
    <w:rsid w:val="00E67375"/>
    <w:rsid w:val="00E709F6"/>
    <w:rsid w:val="00E76A31"/>
    <w:rsid w:val="00E76D66"/>
    <w:rsid w:val="00E83BDB"/>
    <w:rsid w:val="00E83CCE"/>
    <w:rsid w:val="00E84666"/>
    <w:rsid w:val="00E920C0"/>
    <w:rsid w:val="00E92793"/>
    <w:rsid w:val="00E94368"/>
    <w:rsid w:val="00EA022D"/>
    <w:rsid w:val="00EA6A93"/>
    <w:rsid w:val="00EA796A"/>
    <w:rsid w:val="00EB1856"/>
    <w:rsid w:val="00EB3633"/>
    <w:rsid w:val="00EC2ADB"/>
    <w:rsid w:val="00EC2CC6"/>
    <w:rsid w:val="00EC300E"/>
    <w:rsid w:val="00EC3850"/>
    <w:rsid w:val="00EC3F7B"/>
    <w:rsid w:val="00EC44E3"/>
    <w:rsid w:val="00EC5014"/>
    <w:rsid w:val="00EC50CE"/>
    <w:rsid w:val="00EC5B34"/>
    <w:rsid w:val="00ED021E"/>
    <w:rsid w:val="00ED323C"/>
    <w:rsid w:val="00ED5B7A"/>
    <w:rsid w:val="00ED662E"/>
    <w:rsid w:val="00EE0CBF"/>
    <w:rsid w:val="00EE208B"/>
    <w:rsid w:val="00EE2D5C"/>
    <w:rsid w:val="00EE4AA9"/>
    <w:rsid w:val="00EE4ADE"/>
    <w:rsid w:val="00EE4DE8"/>
    <w:rsid w:val="00EE5C2B"/>
    <w:rsid w:val="00EE5CB7"/>
    <w:rsid w:val="00EF0169"/>
    <w:rsid w:val="00EF286E"/>
    <w:rsid w:val="00EF6CB9"/>
    <w:rsid w:val="00F024FE"/>
    <w:rsid w:val="00F05AD4"/>
    <w:rsid w:val="00F10EB6"/>
    <w:rsid w:val="00F13D58"/>
    <w:rsid w:val="00F13F07"/>
    <w:rsid w:val="00F140B2"/>
    <w:rsid w:val="00F25373"/>
    <w:rsid w:val="00F25970"/>
    <w:rsid w:val="00F2677C"/>
    <w:rsid w:val="00F311A9"/>
    <w:rsid w:val="00F32C92"/>
    <w:rsid w:val="00F368E7"/>
    <w:rsid w:val="00F41FB2"/>
    <w:rsid w:val="00F43C43"/>
    <w:rsid w:val="00F4648A"/>
    <w:rsid w:val="00F46627"/>
    <w:rsid w:val="00F50292"/>
    <w:rsid w:val="00F5180D"/>
    <w:rsid w:val="00F526E8"/>
    <w:rsid w:val="00F52B34"/>
    <w:rsid w:val="00F63781"/>
    <w:rsid w:val="00F65F08"/>
    <w:rsid w:val="00F66080"/>
    <w:rsid w:val="00F673EF"/>
    <w:rsid w:val="00F67496"/>
    <w:rsid w:val="00F67AA0"/>
    <w:rsid w:val="00F72C7C"/>
    <w:rsid w:val="00F7319D"/>
    <w:rsid w:val="00F7726A"/>
    <w:rsid w:val="00F801BA"/>
    <w:rsid w:val="00F861CF"/>
    <w:rsid w:val="00F9366A"/>
    <w:rsid w:val="00F93C8F"/>
    <w:rsid w:val="00F946C9"/>
    <w:rsid w:val="00F953D1"/>
    <w:rsid w:val="00F97A61"/>
    <w:rsid w:val="00FA0EA5"/>
    <w:rsid w:val="00FA35F9"/>
    <w:rsid w:val="00FA74EE"/>
    <w:rsid w:val="00FA75E2"/>
    <w:rsid w:val="00FB2B03"/>
    <w:rsid w:val="00FB5706"/>
    <w:rsid w:val="00FB6D2F"/>
    <w:rsid w:val="00FB7E03"/>
    <w:rsid w:val="00FC1078"/>
    <w:rsid w:val="00FC1E4C"/>
    <w:rsid w:val="00FC3711"/>
    <w:rsid w:val="00FC46E7"/>
    <w:rsid w:val="00FC5D25"/>
    <w:rsid w:val="00FD0D7E"/>
    <w:rsid w:val="00FD3AE3"/>
    <w:rsid w:val="00FD4FFB"/>
    <w:rsid w:val="00FE0D7D"/>
    <w:rsid w:val="00FE6E13"/>
    <w:rsid w:val="00FF15F6"/>
    <w:rsid w:val="00FF2F0D"/>
    <w:rsid w:val="00FF5235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5BE9B"/>
  <w15:docId w15:val="{850EAF45-721D-4A2C-A2C8-AC977E6A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D5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83CCE"/>
    <w:pPr>
      <w:pageBreakBefore/>
      <w:numPr>
        <w:numId w:val="5"/>
      </w:numPr>
      <w:spacing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qFormat/>
    <w:rsid w:val="00030E84"/>
    <w:pPr>
      <w:keepNext/>
      <w:numPr>
        <w:ilvl w:val="1"/>
        <w:numId w:val="5"/>
      </w:numPr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0E84"/>
    <w:pPr>
      <w:keepNext/>
      <w:numPr>
        <w:ilvl w:val="2"/>
        <w:numId w:val="5"/>
      </w:numPr>
      <w:spacing w:before="360" w:after="180"/>
      <w:ind w:left="1134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CD4088"/>
    <w:pPr>
      <w:tabs>
        <w:tab w:val="right" w:pos="8080"/>
      </w:tabs>
      <w:spacing w:before="300"/>
      <w:ind w:left="567" w:right="567" w:hanging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CD4088"/>
    <w:pPr>
      <w:tabs>
        <w:tab w:val="right" w:pos="8080"/>
      </w:tabs>
      <w:spacing w:before="60"/>
      <w:ind w:left="1134" w:right="567" w:hanging="567"/>
    </w:pPr>
    <w:rPr>
      <w:sz w:val="22"/>
    </w:rPr>
  </w:style>
  <w:style w:type="paragraph" w:styleId="TOC3">
    <w:name w:val="toc 3"/>
    <w:basedOn w:val="Normal"/>
    <w:next w:val="Normal"/>
    <w:rsid w:val="00496D65"/>
    <w:pPr>
      <w:tabs>
        <w:tab w:val="right" w:pos="8080"/>
      </w:tabs>
      <w:spacing w:before="120"/>
      <w:ind w:left="992" w:right="567" w:hanging="992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26200E"/>
    <w:pPr>
      <w:spacing w:line="216" w:lineRule="auto"/>
      <w:ind w:right="2268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33023"/>
    <w:pPr>
      <w:numPr>
        <w:numId w:val="4"/>
      </w:numPr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E83CCE"/>
    <w:pPr>
      <w:numPr>
        <w:numId w:val="0"/>
      </w:num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26200E"/>
    <w:pPr>
      <w:spacing w:before="840"/>
      <w:ind w:right="2268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uiPriority w:val="99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rsid w:val="00E83CCE"/>
    <w:rPr>
      <w:rFonts w:ascii="Segoe UI" w:hAnsi="Segoe UI"/>
      <w:b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9"/>
    <w:rsid w:val="00030E84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26200E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320CA8"/>
    <w:pPr>
      <w:numPr>
        <w:ilvl w:val="4"/>
        <w:numId w:val="5"/>
      </w:numPr>
      <w:spacing w:before="12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5"/>
        <w:numId w:val="5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6"/>
        <w:numId w:val="5"/>
      </w:numPr>
      <w:spacing w:before="90"/>
    </w:pPr>
    <w:rPr>
      <w:rFonts w:eastAsia="Arial Unicode MS"/>
    </w:rPr>
  </w:style>
  <w:style w:type="paragraph" w:customStyle="1" w:styleId="Example">
    <w:name w:val="Example"/>
    <w:basedOn w:val="Normal"/>
    <w:qFormat/>
    <w:rsid w:val="002D0CBC"/>
    <w:pPr>
      <w:ind w:left="567"/>
    </w:pPr>
    <w:rPr>
      <w:rFonts w:ascii="Calibri" w:hAnsi="Calibri"/>
      <w:color w:val="595959" w:themeColor="text1" w:themeTint="A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E2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E2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aliases w:val="List Paragraph inside graph,Normal text,List Paragraph1,List Paragraph higeag,Bullet Normal,Colorful List - Accent 11"/>
    <w:basedOn w:val="Normal"/>
    <w:link w:val="ListParagraphChar"/>
    <w:uiPriority w:val="34"/>
    <w:qFormat/>
    <w:rsid w:val="003D3FB1"/>
    <w:pPr>
      <w:ind w:left="720"/>
      <w:contextualSpacing/>
    </w:pPr>
  </w:style>
  <w:style w:type="character" w:customStyle="1" w:styleId="ListParagraphChar">
    <w:name w:val="List Paragraph Char"/>
    <w:aliases w:val="List Paragraph inside graph Char,Normal text Char,List Paragraph1 Char,List Paragraph higeag Char,Bullet Normal Char,Colorful List - Accent 11 Char"/>
    <w:link w:val="ListParagraph"/>
    <w:uiPriority w:val="34"/>
    <w:qFormat/>
    <w:locked/>
    <w:rsid w:val="003D3FB1"/>
    <w:rPr>
      <w:rFonts w:ascii="Segoe UI" w:hAnsi="Segoe UI"/>
      <w:sz w:val="2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08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0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05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05DB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5DB"/>
    <w:rPr>
      <w:rFonts w:ascii="Segoe UI" w:hAnsi="Segoe UI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tats.govt.nz/methods/purpose-of-the-iwi-statistical-standard-and-classification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systemreview.health.govt.nz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yperlink" Target="https://www.stats.govt.nz/methods/purpose-of-the-iwi-statistical-standard-and-classificatio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health.govt.nz/publication/whakamaua-maori-health-action-plan-2020-202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www.health.govt.nz/our-work/populations/maori-health/te-tiriti-o-waitang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.health.govt.nz/publication/whaia-te-ao-marama-2018-2022-maori-disability-action-plan" TargetMode="External"/><Relationship Id="rId28" Type="http://schemas.openxmlformats.org/officeDocument/2006/relationships/footer" Target="footer7.xml"/><Relationship Id="rId10" Type="http://schemas.openxmlformats.org/officeDocument/2006/relationships/image" Target="media/image4.png"/><Relationship Id="rId19" Type="http://schemas.openxmlformats.org/officeDocument/2006/relationships/hyperlink" Target="https://waitangitribunal.govt.nz/inquiries/kaupapa-inquiries/health-services-and-outcomes-inquir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s://www.odi.govt.nz/nz-disability-strategy/about-the-strategy/new-zealand-disability-strategy-2016-2026/" TargetMode="External"/><Relationship Id="rId27" Type="http://schemas.openxmlformats.org/officeDocument/2006/relationships/footer" Target="footer6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DB467AD5574C7CB5C6D1E21CB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942E-154E-4FBE-B68F-578B9AEC2DE7}"/>
      </w:docPartPr>
      <w:docPartBody>
        <w:p w:rsidR="00E41C41" w:rsidRDefault="00461514">
          <w:r w:rsidRPr="00A33968">
            <w:rPr>
              <w:rStyle w:val="PlaceholderText"/>
            </w:rPr>
            <w:t>[Title]</w:t>
          </w:r>
        </w:p>
      </w:docPartBody>
    </w:docPart>
    <w:docPart>
      <w:docPartPr>
        <w:name w:val="42E7F48F96554AB2B3ACB78961AB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2002-EE01-43E7-8AB4-DABC0AF5FAAB}"/>
      </w:docPartPr>
      <w:docPartBody>
        <w:p w:rsidR="000952FE" w:rsidRDefault="00E658A6" w:rsidP="00E658A6">
          <w:pPr>
            <w:pStyle w:val="42E7F48F96554AB2B3ACB78961ABE3FC"/>
          </w:pPr>
          <w:r w:rsidRPr="00A33968">
            <w:rPr>
              <w:rStyle w:val="PlaceholderText"/>
            </w:rPr>
            <w:t>[Title]</w:t>
          </w:r>
        </w:p>
      </w:docPartBody>
    </w:docPart>
    <w:docPart>
      <w:docPartPr>
        <w:name w:val="548D6AC49B514334811986EBD2BF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BC2D-461B-4B63-8922-5B639E261330}"/>
      </w:docPartPr>
      <w:docPartBody>
        <w:p w:rsidR="000952FE" w:rsidRDefault="00E658A6" w:rsidP="00E658A6">
          <w:pPr>
            <w:pStyle w:val="548D6AC49B514334811986EBD2BF60B7"/>
          </w:pPr>
          <w:r w:rsidRPr="00A3396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14"/>
    <w:rsid w:val="000952FE"/>
    <w:rsid w:val="000A5A13"/>
    <w:rsid w:val="000B712A"/>
    <w:rsid w:val="001857B3"/>
    <w:rsid w:val="001A11F8"/>
    <w:rsid w:val="00227471"/>
    <w:rsid w:val="00280DBB"/>
    <w:rsid w:val="0029364E"/>
    <w:rsid w:val="0030422C"/>
    <w:rsid w:val="00326D39"/>
    <w:rsid w:val="003504C7"/>
    <w:rsid w:val="003C4D1C"/>
    <w:rsid w:val="003E789E"/>
    <w:rsid w:val="00400337"/>
    <w:rsid w:val="00461514"/>
    <w:rsid w:val="00470869"/>
    <w:rsid w:val="005D742E"/>
    <w:rsid w:val="00661543"/>
    <w:rsid w:val="00711A8B"/>
    <w:rsid w:val="007500D7"/>
    <w:rsid w:val="0085570E"/>
    <w:rsid w:val="00915196"/>
    <w:rsid w:val="0093541C"/>
    <w:rsid w:val="00974194"/>
    <w:rsid w:val="009C21C7"/>
    <w:rsid w:val="00BB1C47"/>
    <w:rsid w:val="00BB486C"/>
    <w:rsid w:val="00BE5BEF"/>
    <w:rsid w:val="00C266FB"/>
    <w:rsid w:val="00C61C6F"/>
    <w:rsid w:val="00C85948"/>
    <w:rsid w:val="00D0396F"/>
    <w:rsid w:val="00D26B2D"/>
    <w:rsid w:val="00D339EF"/>
    <w:rsid w:val="00D9000A"/>
    <w:rsid w:val="00D95BD7"/>
    <w:rsid w:val="00DA6BD5"/>
    <w:rsid w:val="00DE52FD"/>
    <w:rsid w:val="00E41C41"/>
    <w:rsid w:val="00E658A6"/>
    <w:rsid w:val="00EA38F2"/>
    <w:rsid w:val="00EF00A3"/>
    <w:rsid w:val="00F86321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1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8A6"/>
    <w:rPr>
      <w:color w:val="808080"/>
    </w:rPr>
  </w:style>
  <w:style w:type="paragraph" w:customStyle="1" w:styleId="42E7F48F96554AB2B3ACB78961ABE3FC">
    <w:name w:val="42E7F48F96554AB2B3ACB78961ABE3FC"/>
    <w:rsid w:val="00E658A6"/>
  </w:style>
  <w:style w:type="paragraph" w:customStyle="1" w:styleId="548D6AC49B514334811986EBD2BF60B7">
    <w:name w:val="548D6AC49B514334811986EBD2BF60B7"/>
    <w:rsid w:val="00E6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61B5-3ABB-4E84-98F3-93765BBC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HISO 10094:2022 Māori Descent and Iwi Affiliation Data Protocols - Public comment outcomes</vt:lpstr>
    </vt:vector>
  </TitlesOfParts>
  <Company>Health Information Standards Organisation (HISO)</Company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HISO 10094:2022 Māori Descent and Iwi Affiliation Data Protocols - Public comment outcomes</dc:title>
  <dc:creator>Health Information Standards Organisation (HISO)</dc:creator>
  <cp:lastModifiedBy>Ministry of Health</cp:lastModifiedBy>
  <cp:revision>3</cp:revision>
  <cp:lastPrinted>2022-03-28T03:35:00Z</cp:lastPrinted>
  <dcterms:created xsi:type="dcterms:W3CDTF">2022-05-31T02:41:00Z</dcterms:created>
  <dcterms:modified xsi:type="dcterms:W3CDTF">2022-05-31T02:41:00Z</dcterms:modified>
</cp:coreProperties>
</file>