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36AA8" w14:textId="7F354343" w:rsidR="006849B8" w:rsidRDefault="00DF6245" w:rsidP="006849B8">
      <w:pPr>
        <w:pStyle w:val="Title"/>
        <w:ind w:right="2409"/>
        <w:rPr>
          <w:rFonts w:ascii="Arial" w:hAnsi="Arial" w:cs="Arial"/>
          <w:color w:val="15284C"/>
        </w:rPr>
      </w:pPr>
      <w:bookmarkStart w:id="0" w:name="_Hlk138676775"/>
      <w:r w:rsidRPr="006849B8">
        <w:rPr>
          <w:rFonts w:ascii="Arial" w:hAnsi="Arial" w:cs="Arial"/>
          <w:color w:val="15284C"/>
        </w:rPr>
        <w:t>Report on</w:t>
      </w:r>
      <w:r w:rsidR="006849B8">
        <w:rPr>
          <w:rFonts w:ascii="Arial" w:hAnsi="Arial" w:cs="Arial"/>
          <w:color w:val="15284C"/>
        </w:rPr>
        <w:t xml:space="preserve"> </w:t>
      </w:r>
      <w:r w:rsidRPr="006849B8">
        <w:rPr>
          <w:rFonts w:ascii="Arial" w:hAnsi="Arial" w:cs="Arial"/>
          <w:color w:val="15284C"/>
        </w:rPr>
        <w:t>Maternity</w:t>
      </w:r>
      <w:r w:rsidR="00DE7D9D" w:rsidRPr="006849B8">
        <w:rPr>
          <w:rFonts w:ascii="Arial" w:hAnsi="Arial" w:cs="Arial"/>
          <w:color w:val="15284C"/>
        </w:rPr>
        <w:t>:</w:t>
      </w:r>
      <w:r w:rsidR="006849B8">
        <w:rPr>
          <w:rFonts w:ascii="Arial" w:hAnsi="Arial" w:cs="Arial"/>
          <w:color w:val="15284C"/>
        </w:rPr>
        <w:t xml:space="preserve"> </w:t>
      </w:r>
      <w:r w:rsidR="00724DD6" w:rsidRPr="006849B8">
        <w:rPr>
          <w:rFonts w:ascii="Arial" w:hAnsi="Arial" w:cs="Arial"/>
          <w:color w:val="15284C"/>
        </w:rPr>
        <w:t>further information</w:t>
      </w:r>
    </w:p>
    <w:p w14:paraId="39626358" w14:textId="77777777" w:rsidR="006849B8" w:rsidRDefault="006849B8">
      <w:pPr>
        <w:rPr>
          <w:rFonts w:ascii="Arial" w:hAnsi="Arial" w:cs="Arial"/>
          <w:b/>
          <w:color w:val="15284C"/>
          <w:sz w:val="72"/>
          <w:szCs w:val="72"/>
        </w:rPr>
      </w:pPr>
      <w:r>
        <w:rPr>
          <w:rFonts w:ascii="Arial" w:hAnsi="Arial" w:cs="Arial"/>
          <w:color w:val="15284C"/>
        </w:rPr>
        <w:br w:type="page"/>
      </w:r>
    </w:p>
    <w:bookmarkEnd w:id="0"/>
    <w:p w14:paraId="05538162" w14:textId="77777777" w:rsidR="00DE7D9D" w:rsidRDefault="00DE7D9D" w:rsidP="00DE7D9D"/>
    <w:p w14:paraId="1A119EF7" w14:textId="77777777" w:rsidR="00DE7D9D" w:rsidRDefault="00DE7D9D" w:rsidP="00DE7D9D"/>
    <w:p w14:paraId="391F880C" w14:textId="77777777" w:rsidR="00DE7D9D" w:rsidRDefault="00DE7D9D" w:rsidP="00DE7D9D"/>
    <w:p w14:paraId="33DB9BB8" w14:textId="77777777" w:rsidR="00DE7D9D" w:rsidRDefault="00DE7D9D" w:rsidP="00DE7D9D"/>
    <w:p w14:paraId="7607C243" w14:textId="77777777" w:rsidR="00DE7D9D" w:rsidRDefault="00DE7D9D" w:rsidP="00DE7D9D"/>
    <w:p w14:paraId="00483187" w14:textId="77777777" w:rsidR="00DE7D9D" w:rsidRDefault="00DE7D9D" w:rsidP="00DE7D9D"/>
    <w:p w14:paraId="6A6F6FB5" w14:textId="77777777" w:rsidR="00DE7D9D" w:rsidRDefault="00DE7D9D" w:rsidP="00DE7D9D"/>
    <w:p w14:paraId="122F50F1" w14:textId="77777777" w:rsidR="00DE7D9D" w:rsidRDefault="00DE7D9D" w:rsidP="00DE7D9D"/>
    <w:p w14:paraId="20BD92F1" w14:textId="77777777" w:rsidR="00DE7D9D" w:rsidRDefault="00DE7D9D" w:rsidP="00DE7D9D"/>
    <w:p w14:paraId="531825B7" w14:textId="77777777" w:rsidR="00DE7D9D" w:rsidRDefault="00DE7D9D" w:rsidP="00DE7D9D"/>
    <w:p w14:paraId="1E002680" w14:textId="77777777" w:rsidR="00DE7D9D" w:rsidRDefault="00DE7D9D" w:rsidP="00DE7D9D"/>
    <w:p w14:paraId="371F070F" w14:textId="77777777" w:rsidR="00DE7D9D" w:rsidRDefault="00DE7D9D" w:rsidP="00DE7D9D"/>
    <w:p w14:paraId="15E87B86" w14:textId="77777777" w:rsidR="00DE7D9D" w:rsidRDefault="00DE7D9D" w:rsidP="00DE7D9D"/>
    <w:p w14:paraId="6FC0C2AA" w14:textId="77777777" w:rsidR="00DE7D9D" w:rsidRDefault="00DE7D9D" w:rsidP="00DE7D9D"/>
    <w:p w14:paraId="791E7CD6" w14:textId="77777777" w:rsidR="00DE7D9D" w:rsidRDefault="00DE7D9D" w:rsidP="00DE7D9D"/>
    <w:p w14:paraId="482A4EE7" w14:textId="08412A19" w:rsidR="00DE7D9D" w:rsidRDefault="00DE7D9D" w:rsidP="00DE7D9D"/>
    <w:p w14:paraId="46F8A57F" w14:textId="4BF1DD9D" w:rsidR="006849B8" w:rsidRDefault="006849B8" w:rsidP="00DE7D9D"/>
    <w:p w14:paraId="18CFC021" w14:textId="77777777" w:rsidR="006849B8" w:rsidRDefault="006849B8" w:rsidP="00DE7D9D"/>
    <w:p w14:paraId="1A9C5D78" w14:textId="77777777" w:rsidR="006849B8" w:rsidRDefault="006849B8" w:rsidP="006849B8">
      <w:pPr>
        <w:pStyle w:val="Imprint"/>
        <w:rPr>
          <w:rFonts w:ascii="Arial" w:hAnsi="Arial" w:cs="Arial"/>
          <w:color w:val="000000" w:themeColor="text1"/>
        </w:rPr>
      </w:pPr>
    </w:p>
    <w:p w14:paraId="07CD2C61" w14:textId="7295992B" w:rsidR="006849B8" w:rsidRPr="006849B8" w:rsidRDefault="006849B8" w:rsidP="006849B8">
      <w:pPr>
        <w:pStyle w:val="Imprint"/>
        <w:rPr>
          <w:rFonts w:ascii="Arial" w:hAnsi="Arial" w:cs="Arial"/>
          <w:i/>
          <w:color w:val="000000" w:themeColor="text1"/>
        </w:rPr>
      </w:pPr>
      <w:r w:rsidRPr="000A56BF">
        <w:rPr>
          <w:rFonts w:ascii="Arial" w:hAnsi="Arial" w:cs="Arial"/>
          <w:color w:val="000000" w:themeColor="text1"/>
        </w:rPr>
        <w:t xml:space="preserve">Citation: </w:t>
      </w:r>
      <w:r w:rsidR="00021176">
        <w:rPr>
          <w:rFonts w:ascii="Arial" w:hAnsi="Arial" w:cs="Arial"/>
          <w:color w:val="000000" w:themeColor="text1"/>
        </w:rPr>
        <w:t>Health New Zealand</w:t>
      </w:r>
      <w:r w:rsidRPr="00596BAD">
        <w:rPr>
          <w:rFonts w:ascii="Arial" w:hAnsi="Arial" w:cs="Arial"/>
          <w:color w:val="000000" w:themeColor="text1"/>
        </w:rPr>
        <w:t xml:space="preserve"> 202</w:t>
      </w:r>
      <w:r w:rsidR="003B399F">
        <w:rPr>
          <w:rFonts w:ascii="Arial" w:hAnsi="Arial" w:cs="Arial"/>
          <w:color w:val="000000" w:themeColor="text1"/>
        </w:rPr>
        <w:t>5</w:t>
      </w:r>
      <w:r w:rsidRPr="00596BAD">
        <w:rPr>
          <w:rFonts w:ascii="Arial" w:hAnsi="Arial" w:cs="Arial"/>
          <w:color w:val="000000" w:themeColor="text1"/>
        </w:rPr>
        <w:t>.</w:t>
      </w:r>
      <w:r w:rsidRPr="000A56BF">
        <w:rPr>
          <w:rFonts w:ascii="Arial" w:hAnsi="Arial" w:cs="Arial"/>
          <w:color w:val="000000" w:themeColor="text1"/>
        </w:rPr>
        <w:t xml:space="preserve"> </w:t>
      </w:r>
      <w:r w:rsidRPr="006849B8">
        <w:rPr>
          <w:rFonts w:ascii="Arial" w:hAnsi="Arial" w:cs="Arial"/>
          <w:i/>
          <w:color w:val="000000" w:themeColor="text1"/>
        </w:rPr>
        <w:t>Report on Maternity:</w:t>
      </w:r>
      <w:r>
        <w:rPr>
          <w:rFonts w:ascii="Arial" w:hAnsi="Arial" w:cs="Arial"/>
          <w:i/>
          <w:color w:val="000000" w:themeColor="text1"/>
        </w:rPr>
        <w:t xml:space="preserve"> </w:t>
      </w:r>
      <w:r w:rsidRPr="006849B8">
        <w:rPr>
          <w:rFonts w:ascii="Arial" w:hAnsi="Arial" w:cs="Arial"/>
          <w:i/>
          <w:color w:val="000000" w:themeColor="text1"/>
        </w:rPr>
        <w:t>further information</w:t>
      </w:r>
      <w:r w:rsidRPr="000A56BF">
        <w:rPr>
          <w:rFonts w:ascii="Arial" w:hAnsi="Arial" w:cs="Arial"/>
          <w:iCs/>
          <w:color w:val="000000" w:themeColor="text1"/>
        </w:rPr>
        <w:t>.</w:t>
      </w:r>
      <w:r w:rsidRPr="000A56BF">
        <w:rPr>
          <w:rFonts w:ascii="Arial" w:hAnsi="Arial" w:cs="Arial"/>
          <w:color w:val="000000" w:themeColor="text1"/>
        </w:rPr>
        <w:t xml:space="preserve"> Wellington: </w:t>
      </w:r>
      <w:r w:rsidR="00021176">
        <w:rPr>
          <w:rFonts w:ascii="Arial" w:hAnsi="Arial" w:cs="Arial"/>
          <w:color w:val="000000" w:themeColor="text1"/>
        </w:rPr>
        <w:t>Health New Zealand</w:t>
      </w:r>
      <w:r w:rsidRPr="000A56BF">
        <w:rPr>
          <w:rFonts w:ascii="Arial" w:hAnsi="Arial" w:cs="Arial"/>
          <w:color w:val="000000" w:themeColor="text1"/>
        </w:rPr>
        <w:t>.</w:t>
      </w:r>
    </w:p>
    <w:p w14:paraId="357697B7" w14:textId="705A2D96" w:rsidR="00021176" w:rsidRDefault="006849B8" w:rsidP="00021176">
      <w:pPr>
        <w:pStyle w:val="Imprint"/>
        <w:rPr>
          <w:rFonts w:ascii="Arial" w:hAnsi="Arial" w:cs="Arial"/>
          <w:color w:val="000000" w:themeColor="text1"/>
        </w:rPr>
      </w:pPr>
      <w:r w:rsidRPr="000A56BF">
        <w:rPr>
          <w:rFonts w:ascii="Arial" w:hAnsi="Arial" w:cs="Arial"/>
          <w:color w:val="000000" w:themeColor="text1"/>
        </w:rPr>
        <w:t xml:space="preserve">Published in </w:t>
      </w:r>
      <w:r w:rsidR="00445DC3">
        <w:rPr>
          <w:rFonts w:ascii="Arial" w:hAnsi="Arial" w:cs="Arial"/>
          <w:color w:val="000000" w:themeColor="text1"/>
        </w:rPr>
        <w:t>July</w:t>
      </w:r>
      <w:r w:rsidRPr="00596BAD">
        <w:rPr>
          <w:rFonts w:ascii="Arial" w:hAnsi="Arial" w:cs="Arial"/>
          <w:color w:val="000000" w:themeColor="text1"/>
        </w:rPr>
        <w:t xml:space="preserve"> 202</w:t>
      </w:r>
      <w:r w:rsidR="003B399F">
        <w:rPr>
          <w:rFonts w:ascii="Arial" w:hAnsi="Arial" w:cs="Arial"/>
          <w:color w:val="000000" w:themeColor="text1"/>
        </w:rPr>
        <w:t>5</w:t>
      </w:r>
      <w:r w:rsidRPr="00596BAD">
        <w:rPr>
          <w:rFonts w:ascii="Arial" w:hAnsi="Arial" w:cs="Arial"/>
          <w:color w:val="000000" w:themeColor="text1"/>
        </w:rPr>
        <w:t xml:space="preserve"> by</w:t>
      </w:r>
      <w:r w:rsidRPr="000A56BF">
        <w:rPr>
          <w:rFonts w:ascii="Arial" w:hAnsi="Arial" w:cs="Arial"/>
          <w:color w:val="000000" w:themeColor="text1"/>
        </w:rPr>
        <w:t xml:space="preserve"> </w:t>
      </w:r>
      <w:r w:rsidR="00021176">
        <w:rPr>
          <w:rFonts w:ascii="Arial" w:hAnsi="Arial" w:cs="Arial"/>
          <w:color w:val="000000" w:themeColor="text1"/>
        </w:rPr>
        <w:t xml:space="preserve">Health New Zealand </w:t>
      </w:r>
      <w:r>
        <w:rPr>
          <w:rFonts w:ascii="Arial" w:hAnsi="Arial" w:cs="Arial"/>
          <w:color w:val="000000" w:themeColor="text1"/>
        </w:rPr>
        <w:t>–</w:t>
      </w:r>
      <w:r w:rsidR="00021176">
        <w:rPr>
          <w:rFonts w:ascii="Arial" w:hAnsi="Arial" w:cs="Arial"/>
          <w:color w:val="000000" w:themeColor="text1"/>
        </w:rPr>
        <w:t xml:space="preserve"> </w:t>
      </w:r>
      <w:r w:rsidR="00021176" w:rsidRPr="000A56BF">
        <w:rPr>
          <w:rFonts w:ascii="Arial" w:hAnsi="Arial" w:cs="Arial"/>
          <w:color w:val="000000" w:themeColor="text1"/>
        </w:rPr>
        <w:t>Te Whatu Ora</w:t>
      </w:r>
      <w:r>
        <w:rPr>
          <w:rFonts w:ascii="Arial" w:hAnsi="Arial" w:cs="Arial"/>
          <w:color w:val="000000" w:themeColor="text1"/>
        </w:rPr>
        <w:t xml:space="preserve"> </w:t>
      </w:r>
      <w:r w:rsidRPr="000A56BF">
        <w:rPr>
          <w:rFonts w:ascii="Arial" w:hAnsi="Arial" w:cs="Arial"/>
          <w:color w:val="000000" w:themeColor="text1"/>
        </w:rPr>
        <w:br/>
        <w:t>PO Box 5013, Wellington 6140, New Zealand</w:t>
      </w:r>
    </w:p>
    <w:p w14:paraId="436CBA11" w14:textId="1214726E" w:rsidR="006849B8" w:rsidRPr="000A56BF" w:rsidRDefault="00021176" w:rsidP="006849B8">
      <w:pPr>
        <w:rPr>
          <w:rFonts w:ascii="Arial" w:hAnsi="Arial" w:cs="Arial"/>
          <w:color w:val="000000" w:themeColor="text1"/>
        </w:rPr>
      </w:pPr>
      <w:r>
        <w:rPr>
          <w:rFonts w:ascii="Arial" w:hAnsi="Arial" w:cs="Arial"/>
          <w:noProof/>
          <w:color w:val="000000" w:themeColor="text1"/>
        </w:rPr>
        <w:drawing>
          <wp:inline distT="0" distB="0" distL="0" distR="0" wp14:anchorId="556B9A39" wp14:editId="0DD75F49">
            <wp:extent cx="2294296" cy="437321"/>
            <wp:effectExtent l="0" t="0" r="0" b="1270"/>
            <wp:docPr id="2" name="Picture 2" descr="Health 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lth NZ logo"/>
                    <pic:cNvPicPr/>
                  </pic:nvPicPr>
                  <pic:blipFill rotWithShape="1">
                    <a:blip r:embed="rId8" cstate="print">
                      <a:extLst>
                        <a:ext uri="{28A0092B-C50C-407E-A947-70E740481C1C}">
                          <a14:useLocalDpi xmlns:a14="http://schemas.microsoft.com/office/drawing/2010/main" val="0"/>
                        </a:ext>
                      </a:extLst>
                    </a:blip>
                    <a:srcRect l="5227" t="18069" r="4683" b="18084"/>
                    <a:stretch/>
                  </pic:blipFill>
                  <pic:spPr bwMode="auto">
                    <a:xfrm>
                      <a:off x="0" y="0"/>
                      <a:ext cx="2426593" cy="462538"/>
                    </a:xfrm>
                    <a:prstGeom prst="rect">
                      <a:avLst/>
                    </a:prstGeom>
                    <a:ln>
                      <a:noFill/>
                    </a:ln>
                    <a:extLst>
                      <a:ext uri="{53640926-AAD7-44D8-BBD7-CCE9431645EC}">
                        <a14:shadowObscured xmlns:a14="http://schemas.microsoft.com/office/drawing/2010/main"/>
                      </a:ext>
                    </a:extLst>
                  </pic:spPr>
                </pic:pic>
              </a:graphicData>
            </a:graphic>
          </wp:inline>
        </w:drawing>
      </w:r>
    </w:p>
    <w:p w14:paraId="4BD6BAE8" w14:textId="14F7834A" w:rsidR="006849B8" w:rsidRPr="006849B8" w:rsidRDefault="006849B8" w:rsidP="006849B8">
      <w:pPr>
        <w:pStyle w:val="Imprint"/>
        <w:spacing w:before="240" w:after="480"/>
        <w:rPr>
          <w:rFonts w:ascii="Arial" w:hAnsi="Arial" w:cs="Arial"/>
          <w:color w:val="000000" w:themeColor="text1"/>
        </w:rPr>
      </w:pPr>
      <w:r w:rsidRPr="000A56BF">
        <w:rPr>
          <w:rFonts w:ascii="Arial" w:hAnsi="Arial" w:cs="Arial"/>
          <w:color w:val="000000" w:themeColor="text1"/>
        </w:rPr>
        <w:t>This document is available at tewhatuora.</w:t>
      </w:r>
      <w:r>
        <w:rPr>
          <w:rFonts w:ascii="Arial" w:hAnsi="Arial" w:cs="Arial"/>
          <w:color w:val="000000" w:themeColor="text1"/>
        </w:rPr>
        <w:t>g</w:t>
      </w:r>
      <w:r w:rsidRPr="000A56BF">
        <w:rPr>
          <w:rFonts w:ascii="Arial" w:hAnsi="Arial" w:cs="Arial"/>
          <w:color w:val="000000" w:themeColor="text1"/>
        </w:rPr>
        <w:t>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DE7D9D" w:rsidRPr="00A63DFF" w14:paraId="6BF74775" w14:textId="77777777" w:rsidTr="00925664">
        <w:trPr>
          <w:cantSplit/>
        </w:trPr>
        <w:tc>
          <w:tcPr>
            <w:tcW w:w="1526" w:type="dxa"/>
          </w:tcPr>
          <w:p w14:paraId="083E7B9B" w14:textId="77777777" w:rsidR="00DE7D9D" w:rsidRDefault="00DE7D9D" w:rsidP="00925664">
            <w:r w:rsidRPr="00A63DFF">
              <w:rPr>
                <w:rFonts w:cs="Segoe UI"/>
                <w:b/>
                <w:noProof/>
                <w:sz w:val="15"/>
                <w:szCs w:val="15"/>
                <w:lang w:eastAsia="en-NZ"/>
              </w:rPr>
              <w:drawing>
                <wp:inline distT="0" distB="0" distL="0" distR="0" wp14:anchorId="087D4121" wp14:editId="48383893">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174552C6" w14:textId="77777777" w:rsidR="00FA10DD" w:rsidRPr="00FA10DD" w:rsidRDefault="00FA10DD" w:rsidP="00FA10DD">
            <w:pPr>
              <w:rPr>
                <w:rFonts w:cs="Segoe UI"/>
                <w:sz w:val="15"/>
                <w:szCs w:val="15"/>
              </w:rPr>
            </w:pPr>
          </w:p>
          <w:p w14:paraId="6FF0968C" w14:textId="39F56C37" w:rsidR="00FA10DD" w:rsidRPr="00FA10DD" w:rsidRDefault="00FA10DD" w:rsidP="00FA10DD">
            <w:pPr>
              <w:rPr>
                <w:rFonts w:cs="Segoe UI"/>
                <w:sz w:val="15"/>
                <w:szCs w:val="15"/>
              </w:rPr>
            </w:pPr>
          </w:p>
        </w:tc>
        <w:tc>
          <w:tcPr>
            <w:tcW w:w="6061" w:type="dxa"/>
          </w:tcPr>
          <w:p w14:paraId="7BCC6979" w14:textId="77777777" w:rsidR="00DE7D9D" w:rsidRPr="00A63DFF" w:rsidRDefault="00DE7D9D" w:rsidP="00925664">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256C5453" w14:textId="77777777" w:rsidR="00DE7D9D" w:rsidRDefault="00DE7D9D" w:rsidP="00DE7D9D"/>
    <w:p w14:paraId="278ED4EF" w14:textId="70667390" w:rsidR="00FA10DD" w:rsidRPr="00FA10DD" w:rsidRDefault="00FA10DD" w:rsidP="00FA10DD">
      <w:pPr>
        <w:sectPr w:rsidR="00FA10DD" w:rsidRPr="00FA10DD" w:rsidSect="0021410D">
          <w:headerReference w:type="default" r:id="rId10"/>
          <w:footerReference w:type="default" r:id="rId11"/>
          <w:pgSz w:w="11907" w:h="16834" w:code="9"/>
          <w:pgMar w:top="5670" w:right="1134" w:bottom="1134" w:left="1134" w:header="567" w:footer="851" w:gutter="0"/>
          <w:pgNumType w:start="1"/>
          <w:cols w:space="720"/>
        </w:sectPr>
      </w:pPr>
    </w:p>
    <w:p w14:paraId="38435DD0" w14:textId="77777777" w:rsidR="00C86248" w:rsidRPr="00EE0071" w:rsidRDefault="00C86248" w:rsidP="00EE0071">
      <w:pPr>
        <w:pStyle w:val="Heading1"/>
      </w:pPr>
      <w:bookmarkStart w:id="1" w:name="_Toc405792991"/>
      <w:bookmarkStart w:id="2" w:name="_Toc405793224"/>
      <w:bookmarkStart w:id="3" w:name="_Toc165466913"/>
      <w:r w:rsidRPr="00EE0071">
        <w:lastRenderedPageBreak/>
        <w:t>Contents</w:t>
      </w:r>
      <w:bookmarkEnd w:id="1"/>
      <w:bookmarkEnd w:id="2"/>
      <w:bookmarkEnd w:id="3"/>
    </w:p>
    <w:p w14:paraId="100164F9" w14:textId="067BB438" w:rsidR="00F95992" w:rsidRDefault="00C10D11">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65466913" w:history="1">
        <w:r w:rsidR="00F95992" w:rsidRPr="005F094E">
          <w:rPr>
            <w:rStyle w:val="Hyperlink"/>
            <w:noProof/>
          </w:rPr>
          <w:t>Contents</w:t>
        </w:r>
        <w:r w:rsidR="00F95992">
          <w:rPr>
            <w:noProof/>
            <w:webHidden/>
          </w:rPr>
          <w:tab/>
        </w:r>
        <w:r w:rsidR="00F95992">
          <w:rPr>
            <w:noProof/>
            <w:webHidden/>
          </w:rPr>
          <w:fldChar w:fldCharType="begin"/>
        </w:r>
        <w:r w:rsidR="00F95992">
          <w:rPr>
            <w:noProof/>
            <w:webHidden/>
          </w:rPr>
          <w:instrText xml:space="preserve"> PAGEREF _Toc165466913 \h </w:instrText>
        </w:r>
        <w:r w:rsidR="00F95992">
          <w:rPr>
            <w:noProof/>
            <w:webHidden/>
          </w:rPr>
        </w:r>
        <w:r w:rsidR="00F95992">
          <w:rPr>
            <w:noProof/>
            <w:webHidden/>
          </w:rPr>
          <w:fldChar w:fldCharType="separate"/>
        </w:r>
        <w:r w:rsidR="00F95992">
          <w:rPr>
            <w:noProof/>
            <w:webHidden/>
          </w:rPr>
          <w:t>iii</w:t>
        </w:r>
        <w:r w:rsidR="00F95992">
          <w:rPr>
            <w:noProof/>
            <w:webHidden/>
          </w:rPr>
          <w:fldChar w:fldCharType="end"/>
        </w:r>
      </w:hyperlink>
    </w:p>
    <w:p w14:paraId="208B4E6B" w14:textId="57FFC572" w:rsidR="00F95992" w:rsidRDefault="00F95992">
      <w:pPr>
        <w:pStyle w:val="TOC1"/>
        <w:rPr>
          <w:rFonts w:asciiTheme="minorHAnsi" w:eastAsiaTheme="minorEastAsia" w:hAnsiTheme="minorHAnsi" w:cstheme="minorBidi"/>
          <w:noProof/>
          <w:sz w:val="22"/>
          <w:szCs w:val="22"/>
          <w:lang w:eastAsia="en-NZ"/>
        </w:rPr>
      </w:pPr>
      <w:hyperlink w:anchor="_Toc165466914" w:history="1">
        <w:r w:rsidRPr="005F094E">
          <w:rPr>
            <w:rStyle w:val="Hyperlink"/>
            <w:noProof/>
          </w:rPr>
          <w:t>Introduction</w:t>
        </w:r>
        <w:r>
          <w:rPr>
            <w:noProof/>
            <w:webHidden/>
          </w:rPr>
          <w:tab/>
        </w:r>
        <w:r>
          <w:rPr>
            <w:noProof/>
            <w:webHidden/>
          </w:rPr>
          <w:fldChar w:fldCharType="begin"/>
        </w:r>
        <w:r>
          <w:rPr>
            <w:noProof/>
            <w:webHidden/>
          </w:rPr>
          <w:instrText xml:space="preserve"> PAGEREF _Toc165466914 \h </w:instrText>
        </w:r>
        <w:r>
          <w:rPr>
            <w:noProof/>
            <w:webHidden/>
          </w:rPr>
        </w:r>
        <w:r>
          <w:rPr>
            <w:noProof/>
            <w:webHidden/>
          </w:rPr>
          <w:fldChar w:fldCharType="separate"/>
        </w:r>
        <w:r>
          <w:rPr>
            <w:noProof/>
            <w:webHidden/>
          </w:rPr>
          <w:t>1</w:t>
        </w:r>
        <w:r>
          <w:rPr>
            <w:noProof/>
            <w:webHidden/>
          </w:rPr>
          <w:fldChar w:fldCharType="end"/>
        </w:r>
      </w:hyperlink>
    </w:p>
    <w:p w14:paraId="1B4C2DEC" w14:textId="7D3CF14B" w:rsidR="00F95992" w:rsidRDefault="00F95992">
      <w:pPr>
        <w:pStyle w:val="TOC2"/>
        <w:rPr>
          <w:rFonts w:asciiTheme="minorHAnsi" w:eastAsiaTheme="minorEastAsia" w:hAnsiTheme="minorHAnsi" w:cstheme="minorBidi"/>
          <w:noProof/>
          <w:szCs w:val="22"/>
          <w:lang w:eastAsia="en-NZ"/>
        </w:rPr>
      </w:pPr>
      <w:hyperlink w:anchor="_Toc165466915" w:history="1">
        <w:r w:rsidRPr="005F094E">
          <w:rPr>
            <w:rStyle w:val="Hyperlink"/>
            <w:noProof/>
          </w:rPr>
          <w:t>Purpose</w:t>
        </w:r>
        <w:r>
          <w:rPr>
            <w:noProof/>
            <w:webHidden/>
          </w:rPr>
          <w:tab/>
        </w:r>
        <w:r>
          <w:rPr>
            <w:noProof/>
            <w:webHidden/>
          </w:rPr>
          <w:fldChar w:fldCharType="begin"/>
        </w:r>
        <w:r>
          <w:rPr>
            <w:noProof/>
            <w:webHidden/>
          </w:rPr>
          <w:instrText xml:space="preserve"> PAGEREF _Toc165466915 \h </w:instrText>
        </w:r>
        <w:r>
          <w:rPr>
            <w:noProof/>
            <w:webHidden/>
          </w:rPr>
        </w:r>
        <w:r>
          <w:rPr>
            <w:noProof/>
            <w:webHidden/>
          </w:rPr>
          <w:fldChar w:fldCharType="separate"/>
        </w:r>
        <w:r>
          <w:rPr>
            <w:noProof/>
            <w:webHidden/>
          </w:rPr>
          <w:t>1</w:t>
        </w:r>
        <w:r>
          <w:rPr>
            <w:noProof/>
            <w:webHidden/>
          </w:rPr>
          <w:fldChar w:fldCharType="end"/>
        </w:r>
      </w:hyperlink>
    </w:p>
    <w:p w14:paraId="548A8269" w14:textId="760E78F0" w:rsidR="00F95992" w:rsidRDefault="00F95992">
      <w:pPr>
        <w:pStyle w:val="TOC2"/>
        <w:rPr>
          <w:rFonts w:asciiTheme="minorHAnsi" w:eastAsiaTheme="minorEastAsia" w:hAnsiTheme="minorHAnsi" w:cstheme="minorBidi"/>
          <w:noProof/>
          <w:szCs w:val="22"/>
          <w:lang w:eastAsia="en-NZ"/>
        </w:rPr>
      </w:pPr>
      <w:hyperlink w:anchor="_Toc165466916" w:history="1">
        <w:r w:rsidRPr="005F094E">
          <w:rPr>
            <w:rStyle w:val="Hyperlink"/>
            <w:noProof/>
          </w:rPr>
          <w:t>Background</w:t>
        </w:r>
        <w:r>
          <w:rPr>
            <w:noProof/>
            <w:webHidden/>
          </w:rPr>
          <w:tab/>
        </w:r>
        <w:r>
          <w:rPr>
            <w:noProof/>
            <w:webHidden/>
          </w:rPr>
          <w:fldChar w:fldCharType="begin"/>
        </w:r>
        <w:r>
          <w:rPr>
            <w:noProof/>
            <w:webHidden/>
          </w:rPr>
          <w:instrText xml:space="preserve"> PAGEREF _Toc165466916 \h </w:instrText>
        </w:r>
        <w:r>
          <w:rPr>
            <w:noProof/>
            <w:webHidden/>
          </w:rPr>
        </w:r>
        <w:r>
          <w:rPr>
            <w:noProof/>
            <w:webHidden/>
          </w:rPr>
          <w:fldChar w:fldCharType="separate"/>
        </w:r>
        <w:r>
          <w:rPr>
            <w:noProof/>
            <w:webHidden/>
          </w:rPr>
          <w:t>1</w:t>
        </w:r>
        <w:r>
          <w:rPr>
            <w:noProof/>
            <w:webHidden/>
          </w:rPr>
          <w:fldChar w:fldCharType="end"/>
        </w:r>
      </w:hyperlink>
    </w:p>
    <w:p w14:paraId="60B9E184" w14:textId="525BB5C0" w:rsidR="00F95992" w:rsidRDefault="00F95992">
      <w:pPr>
        <w:pStyle w:val="TOC2"/>
        <w:rPr>
          <w:rFonts w:asciiTheme="minorHAnsi" w:eastAsiaTheme="minorEastAsia" w:hAnsiTheme="minorHAnsi" w:cstheme="minorBidi"/>
          <w:noProof/>
          <w:szCs w:val="22"/>
          <w:lang w:eastAsia="en-NZ"/>
        </w:rPr>
      </w:pPr>
      <w:hyperlink w:anchor="_Toc165466917" w:history="1">
        <w:r w:rsidRPr="005F094E">
          <w:rPr>
            <w:rStyle w:val="Hyperlink"/>
            <w:noProof/>
          </w:rPr>
          <w:t>Data sources</w:t>
        </w:r>
        <w:r>
          <w:rPr>
            <w:noProof/>
            <w:webHidden/>
          </w:rPr>
          <w:tab/>
        </w:r>
        <w:r>
          <w:rPr>
            <w:noProof/>
            <w:webHidden/>
          </w:rPr>
          <w:fldChar w:fldCharType="begin"/>
        </w:r>
        <w:r>
          <w:rPr>
            <w:noProof/>
            <w:webHidden/>
          </w:rPr>
          <w:instrText xml:space="preserve"> PAGEREF _Toc165466917 \h </w:instrText>
        </w:r>
        <w:r>
          <w:rPr>
            <w:noProof/>
            <w:webHidden/>
          </w:rPr>
        </w:r>
        <w:r>
          <w:rPr>
            <w:noProof/>
            <w:webHidden/>
          </w:rPr>
          <w:fldChar w:fldCharType="separate"/>
        </w:r>
        <w:r>
          <w:rPr>
            <w:noProof/>
            <w:webHidden/>
          </w:rPr>
          <w:t>2</w:t>
        </w:r>
        <w:r>
          <w:rPr>
            <w:noProof/>
            <w:webHidden/>
          </w:rPr>
          <w:fldChar w:fldCharType="end"/>
        </w:r>
      </w:hyperlink>
    </w:p>
    <w:p w14:paraId="560D69F5" w14:textId="3DD5B6E6" w:rsidR="00F95992" w:rsidRDefault="00F95992">
      <w:pPr>
        <w:pStyle w:val="TOC2"/>
        <w:rPr>
          <w:rFonts w:asciiTheme="minorHAnsi" w:eastAsiaTheme="minorEastAsia" w:hAnsiTheme="minorHAnsi" w:cstheme="minorBidi"/>
          <w:noProof/>
          <w:szCs w:val="22"/>
          <w:lang w:eastAsia="en-NZ"/>
        </w:rPr>
      </w:pPr>
      <w:hyperlink w:anchor="_Toc165466918" w:history="1">
        <w:r w:rsidRPr="005F094E">
          <w:rPr>
            <w:rStyle w:val="Hyperlink"/>
            <w:noProof/>
          </w:rPr>
          <w:t>Data integrity</w:t>
        </w:r>
        <w:r>
          <w:rPr>
            <w:noProof/>
            <w:webHidden/>
          </w:rPr>
          <w:tab/>
        </w:r>
        <w:r>
          <w:rPr>
            <w:noProof/>
            <w:webHidden/>
          </w:rPr>
          <w:fldChar w:fldCharType="begin"/>
        </w:r>
        <w:r>
          <w:rPr>
            <w:noProof/>
            <w:webHidden/>
          </w:rPr>
          <w:instrText xml:space="preserve"> PAGEREF _Toc165466918 \h </w:instrText>
        </w:r>
        <w:r>
          <w:rPr>
            <w:noProof/>
            <w:webHidden/>
          </w:rPr>
        </w:r>
        <w:r>
          <w:rPr>
            <w:noProof/>
            <w:webHidden/>
          </w:rPr>
          <w:fldChar w:fldCharType="separate"/>
        </w:r>
        <w:r>
          <w:rPr>
            <w:noProof/>
            <w:webHidden/>
          </w:rPr>
          <w:t>3</w:t>
        </w:r>
        <w:r>
          <w:rPr>
            <w:noProof/>
            <w:webHidden/>
          </w:rPr>
          <w:fldChar w:fldCharType="end"/>
        </w:r>
      </w:hyperlink>
    </w:p>
    <w:p w14:paraId="5BA6B026" w14:textId="3D347977" w:rsidR="00F95992" w:rsidRDefault="00F95992">
      <w:pPr>
        <w:pStyle w:val="TOC2"/>
        <w:rPr>
          <w:rFonts w:asciiTheme="minorHAnsi" w:eastAsiaTheme="minorEastAsia" w:hAnsiTheme="minorHAnsi" w:cstheme="minorBidi"/>
          <w:noProof/>
          <w:szCs w:val="22"/>
          <w:lang w:eastAsia="en-NZ"/>
        </w:rPr>
      </w:pPr>
      <w:hyperlink w:anchor="_Toc165466919" w:history="1">
        <w:r w:rsidRPr="005F094E">
          <w:rPr>
            <w:rStyle w:val="Hyperlink"/>
            <w:noProof/>
          </w:rPr>
          <w:t>Analytical methods</w:t>
        </w:r>
        <w:r>
          <w:rPr>
            <w:noProof/>
            <w:webHidden/>
          </w:rPr>
          <w:tab/>
        </w:r>
        <w:r>
          <w:rPr>
            <w:noProof/>
            <w:webHidden/>
          </w:rPr>
          <w:fldChar w:fldCharType="begin"/>
        </w:r>
        <w:r>
          <w:rPr>
            <w:noProof/>
            <w:webHidden/>
          </w:rPr>
          <w:instrText xml:space="preserve"> PAGEREF _Toc165466919 \h </w:instrText>
        </w:r>
        <w:r>
          <w:rPr>
            <w:noProof/>
            <w:webHidden/>
          </w:rPr>
        </w:r>
        <w:r>
          <w:rPr>
            <w:noProof/>
            <w:webHidden/>
          </w:rPr>
          <w:fldChar w:fldCharType="separate"/>
        </w:r>
        <w:r>
          <w:rPr>
            <w:noProof/>
            <w:webHidden/>
          </w:rPr>
          <w:t>4</w:t>
        </w:r>
        <w:r>
          <w:rPr>
            <w:noProof/>
            <w:webHidden/>
          </w:rPr>
          <w:fldChar w:fldCharType="end"/>
        </w:r>
      </w:hyperlink>
    </w:p>
    <w:p w14:paraId="24C07AF9" w14:textId="3E3F9670" w:rsidR="00F95992" w:rsidRDefault="00F95992">
      <w:pPr>
        <w:pStyle w:val="TOC2"/>
        <w:rPr>
          <w:rFonts w:asciiTheme="minorHAnsi" w:eastAsiaTheme="minorEastAsia" w:hAnsiTheme="minorHAnsi" w:cstheme="minorBidi"/>
          <w:noProof/>
          <w:szCs w:val="22"/>
          <w:lang w:eastAsia="en-NZ"/>
        </w:rPr>
      </w:pPr>
      <w:hyperlink w:anchor="_Toc165466920" w:history="1">
        <w:r w:rsidRPr="005F094E">
          <w:rPr>
            <w:rStyle w:val="Hyperlink"/>
            <w:noProof/>
          </w:rPr>
          <w:t>Additional information</w:t>
        </w:r>
        <w:r>
          <w:rPr>
            <w:noProof/>
            <w:webHidden/>
          </w:rPr>
          <w:tab/>
        </w:r>
        <w:r>
          <w:rPr>
            <w:noProof/>
            <w:webHidden/>
          </w:rPr>
          <w:fldChar w:fldCharType="begin"/>
        </w:r>
        <w:r>
          <w:rPr>
            <w:noProof/>
            <w:webHidden/>
          </w:rPr>
          <w:instrText xml:space="preserve"> PAGEREF _Toc165466920 \h </w:instrText>
        </w:r>
        <w:r>
          <w:rPr>
            <w:noProof/>
            <w:webHidden/>
          </w:rPr>
        </w:r>
        <w:r>
          <w:rPr>
            <w:noProof/>
            <w:webHidden/>
          </w:rPr>
          <w:fldChar w:fldCharType="separate"/>
        </w:r>
        <w:r>
          <w:rPr>
            <w:noProof/>
            <w:webHidden/>
          </w:rPr>
          <w:t>9</w:t>
        </w:r>
        <w:r>
          <w:rPr>
            <w:noProof/>
            <w:webHidden/>
          </w:rPr>
          <w:fldChar w:fldCharType="end"/>
        </w:r>
      </w:hyperlink>
    </w:p>
    <w:p w14:paraId="073A5BC8" w14:textId="1CB5D802" w:rsidR="00F95992" w:rsidRDefault="00F95992">
      <w:pPr>
        <w:pStyle w:val="TOC2"/>
        <w:rPr>
          <w:rFonts w:asciiTheme="minorHAnsi" w:eastAsiaTheme="minorEastAsia" w:hAnsiTheme="minorHAnsi" w:cstheme="minorBidi"/>
          <w:noProof/>
          <w:szCs w:val="22"/>
          <w:lang w:eastAsia="en-NZ"/>
        </w:rPr>
      </w:pPr>
      <w:hyperlink w:anchor="_Toc165466921" w:history="1">
        <w:r w:rsidRPr="005F094E">
          <w:rPr>
            <w:rStyle w:val="Hyperlink"/>
            <w:noProof/>
          </w:rPr>
          <w:t>Key terms used</w:t>
        </w:r>
        <w:r>
          <w:rPr>
            <w:noProof/>
            <w:webHidden/>
          </w:rPr>
          <w:tab/>
        </w:r>
        <w:r>
          <w:rPr>
            <w:noProof/>
            <w:webHidden/>
          </w:rPr>
          <w:fldChar w:fldCharType="begin"/>
        </w:r>
        <w:r>
          <w:rPr>
            <w:noProof/>
            <w:webHidden/>
          </w:rPr>
          <w:instrText xml:space="preserve"> PAGEREF _Toc165466921 \h </w:instrText>
        </w:r>
        <w:r>
          <w:rPr>
            <w:noProof/>
            <w:webHidden/>
          </w:rPr>
        </w:r>
        <w:r>
          <w:rPr>
            <w:noProof/>
            <w:webHidden/>
          </w:rPr>
          <w:fldChar w:fldCharType="separate"/>
        </w:r>
        <w:r>
          <w:rPr>
            <w:noProof/>
            <w:webHidden/>
          </w:rPr>
          <w:t>9</w:t>
        </w:r>
        <w:r>
          <w:rPr>
            <w:noProof/>
            <w:webHidden/>
          </w:rPr>
          <w:fldChar w:fldCharType="end"/>
        </w:r>
      </w:hyperlink>
    </w:p>
    <w:p w14:paraId="64DFB968" w14:textId="41A7335F" w:rsidR="00F95992" w:rsidRDefault="00F95992">
      <w:pPr>
        <w:pStyle w:val="TOC1"/>
        <w:rPr>
          <w:rFonts w:asciiTheme="minorHAnsi" w:eastAsiaTheme="minorEastAsia" w:hAnsiTheme="minorHAnsi" w:cstheme="minorBidi"/>
          <w:noProof/>
          <w:sz w:val="22"/>
          <w:szCs w:val="22"/>
          <w:lang w:eastAsia="en-NZ"/>
        </w:rPr>
      </w:pPr>
      <w:hyperlink w:anchor="_Toc165466922" w:history="1">
        <w:r w:rsidRPr="005F094E">
          <w:rPr>
            <w:rStyle w:val="Hyperlink"/>
            <w:noProof/>
          </w:rPr>
          <w:t>References</w:t>
        </w:r>
        <w:r>
          <w:rPr>
            <w:noProof/>
            <w:webHidden/>
          </w:rPr>
          <w:tab/>
        </w:r>
        <w:r>
          <w:rPr>
            <w:noProof/>
            <w:webHidden/>
          </w:rPr>
          <w:fldChar w:fldCharType="begin"/>
        </w:r>
        <w:r>
          <w:rPr>
            <w:noProof/>
            <w:webHidden/>
          </w:rPr>
          <w:instrText xml:space="preserve"> PAGEREF _Toc165466922 \h </w:instrText>
        </w:r>
        <w:r>
          <w:rPr>
            <w:noProof/>
            <w:webHidden/>
          </w:rPr>
        </w:r>
        <w:r>
          <w:rPr>
            <w:noProof/>
            <w:webHidden/>
          </w:rPr>
          <w:fldChar w:fldCharType="separate"/>
        </w:r>
        <w:r>
          <w:rPr>
            <w:noProof/>
            <w:webHidden/>
          </w:rPr>
          <w:t>16</w:t>
        </w:r>
        <w:r>
          <w:rPr>
            <w:noProof/>
            <w:webHidden/>
          </w:rPr>
          <w:fldChar w:fldCharType="end"/>
        </w:r>
      </w:hyperlink>
    </w:p>
    <w:p w14:paraId="75D8BBFF" w14:textId="5E937DC4" w:rsidR="00F95992" w:rsidRDefault="00F95992">
      <w:pPr>
        <w:pStyle w:val="TOC1"/>
        <w:rPr>
          <w:rFonts w:asciiTheme="minorHAnsi" w:eastAsiaTheme="minorEastAsia" w:hAnsiTheme="minorHAnsi" w:cstheme="minorBidi"/>
          <w:noProof/>
          <w:sz w:val="22"/>
          <w:szCs w:val="22"/>
          <w:lang w:eastAsia="en-NZ"/>
        </w:rPr>
      </w:pPr>
      <w:hyperlink w:anchor="_Toc165466923" w:history="1">
        <w:r w:rsidRPr="005F094E">
          <w:rPr>
            <w:rStyle w:val="Hyperlink"/>
            <w:noProof/>
          </w:rPr>
          <w:t>Glossary</w:t>
        </w:r>
        <w:r>
          <w:rPr>
            <w:noProof/>
            <w:webHidden/>
          </w:rPr>
          <w:tab/>
        </w:r>
        <w:r>
          <w:rPr>
            <w:noProof/>
            <w:webHidden/>
          </w:rPr>
          <w:fldChar w:fldCharType="begin"/>
        </w:r>
        <w:r>
          <w:rPr>
            <w:noProof/>
            <w:webHidden/>
          </w:rPr>
          <w:instrText xml:space="preserve"> PAGEREF _Toc165466923 \h </w:instrText>
        </w:r>
        <w:r>
          <w:rPr>
            <w:noProof/>
            <w:webHidden/>
          </w:rPr>
        </w:r>
        <w:r>
          <w:rPr>
            <w:noProof/>
            <w:webHidden/>
          </w:rPr>
          <w:fldChar w:fldCharType="separate"/>
        </w:r>
        <w:r>
          <w:rPr>
            <w:noProof/>
            <w:webHidden/>
          </w:rPr>
          <w:t>18</w:t>
        </w:r>
        <w:r>
          <w:rPr>
            <w:noProof/>
            <w:webHidden/>
          </w:rPr>
          <w:fldChar w:fldCharType="end"/>
        </w:r>
      </w:hyperlink>
    </w:p>
    <w:p w14:paraId="16B11116" w14:textId="71E691F1" w:rsidR="00F95992" w:rsidRDefault="00F95992">
      <w:pPr>
        <w:pStyle w:val="TOC1"/>
        <w:rPr>
          <w:rFonts w:asciiTheme="minorHAnsi" w:eastAsiaTheme="minorEastAsia" w:hAnsiTheme="minorHAnsi" w:cstheme="minorBidi"/>
          <w:noProof/>
          <w:sz w:val="22"/>
          <w:szCs w:val="22"/>
          <w:lang w:eastAsia="en-NZ"/>
        </w:rPr>
      </w:pPr>
      <w:hyperlink w:anchor="_Toc165466924" w:history="1">
        <w:r w:rsidRPr="005F094E">
          <w:rPr>
            <w:rStyle w:val="Hyperlink"/>
            <w:noProof/>
          </w:rPr>
          <w:t>Appendices</w:t>
        </w:r>
        <w:r>
          <w:rPr>
            <w:noProof/>
            <w:webHidden/>
          </w:rPr>
          <w:tab/>
        </w:r>
        <w:r>
          <w:rPr>
            <w:noProof/>
            <w:webHidden/>
          </w:rPr>
          <w:fldChar w:fldCharType="begin"/>
        </w:r>
        <w:r>
          <w:rPr>
            <w:noProof/>
            <w:webHidden/>
          </w:rPr>
          <w:instrText xml:space="preserve"> PAGEREF _Toc165466924 \h </w:instrText>
        </w:r>
        <w:r>
          <w:rPr>
            <w:noProof/>
            <w:webHidden/>
          </w:rPr>
        </w:r>
        <w:r>
          <w:rPr>
            <w:noProof/>
            <w:webHidden/>
          </w:rPr>
          <w:fldChar w:fldCharType="separate"/>
        </w:r>
        <w:r>
          <w:rPr>
            <w:noProof/>
            <w:webHidden/>
          </w:rPr>
          <w:t>23</w:t>
        </w:r>
        <w:r>
          <w:rPr>
            <w:noProof/>
            <w:webHidden/>
          </w:rPr>
          <w:fldChar w:fldCharType="end"/>
        </w:r>
      </w:hyperlink>
    </w:p>
    <w:p w14:paraId="21E93EC1" w14:textId="352232A4" w:rsidR="00F95992" w:rsidRDefault="00F95992">
      <w:pPr>
        <w:pStyle w:val="TOC2"/>
        <w:rPr>
          <w:rFonts w:asciiTheme="minorHAnsi" w:eastAsiaTheme="minorEastAsia" w:hAnsiTheme="minorHAnsi" w:cstheme="minorBidi"/>
          <w:noProof/>
          <w:szCs w:val="22"/>
          <w:lang w:eastAsia="en-NZ"/>
        </w:rPr>
      </w:pPr>
      <w:hyperlink w:anchor="_Toc165466925" w:history="1">
        <w:r w:rsidRPr="005F094E">
          <w:rPr>
            <w:rStyle w:val="Hyperlink"/>
            <w:noProof/>
          </w:rPr>
          <w:t>Appendix 1: Maternity model of care</w:t>
        </w:r>
        <w:r>
          <w:rPr>
            <w:noProof/>
            <w:webHidden/>
          </w:rPr>
          <w:tab/>
        </w:r>
        <w:r>
          <w:rPr>
            <w:noProof/>
            <w:webHidden/>
          </w:rPr>
          <w:fldChar w:fldCharType="begin"/>
        </w:r>
        <w:r>
          <w:rPr>
            <w:noProof/>
            <w:webHidden/>
          </w:rPr>
          <w:instrText xml:space="preserve"> PAGEREF _Toc165466925 \h </w:instrText>
        </w:r>
        <w:r>
          <w:rPr>
            <w:noProof/>
            <w:webHidden/>
          </w:rPr>
        </w:r>
        <w:r>
          <w:rPr>
            <w:noProof/>
            <w:webHidden/>
          </w:rPr>
          <w:fldChar w:fldCharType="separate"/>
        </w:r>
        <w:r>
          <w:rPr>
            <w:noProof/>
            <w:webHidden/>
          </w:rPr>
          <w:t>24</w:t>
        </w:r>
        <w:r>
          <w:rPr>
            <w:noProof/>
            <w:webHidden/>
          </w:rPr>
          <w:fldChar w:fldCharType="end"/>
        </w:r>
      </w:hyperlink>
    </w:p>
    <w:p w14:paraId="0C1929B7" w14:textId="570326BB" w:rsidR="00F95992" w:rsidRDefault="00F95992">
      <w:pPr>
        <w:pStyle w:val="TOC2"/>
        <w:rPr>
          <w:rFonts w:asciiTheme="minorHAnsi" w:eastAsiaTheme="minorEastAsia" w:hAnsiTheme="minorHAnsi" w:cstheme="minorBidi"/>
          <w:noProof/>
          <w:szCs w:val="22"/>
          <w:lang w:eastAsia="en-NZ"/>
        </w:rPr>
      </w:pPr>
      <w:hyperlink w:anchor="_Toc165466926" w:history="1">
        <w:r w:rsidRPr="005F094E">
          <w:rPr>
            <w:rStyle w:val="Hyperlink"/>
            <w:noProof/>
          </w:rPr>
          <w:t>Appendix 2: National Maternity Collection</w:t>
        </w:r>
        <w:r>
          <w:rPr>
            <w:noProof/>
            <w:webHidden/>
          </w:rPr>
          <w:tab/>
        </w:r>
        <w:r>
          <w:rPr>
            <w:noProof/>
            <w:webHidden/>
          </w:rPr>
          <w:fldChar w:fldCharType="begin"/>
        </w:r>
        <w:r>
          <w:rPr>
            <w:noProof/>
            <w:webHidden/>
          </w:rPr>
          <w:instrText xml:space="preserve"> PAGEREF _Toc165466926 \h </w:instrText>
        </w:r>
        <w:r>
          <w:rPr>
            <w:noProof/>
            <w:webHidden/>
          </w:rPr>
        </w:r>
        <w:r>
          <w:rPr>
            <w:noProof/>
            <w:webHidden/>
          </w:rPr>
          <w:fldChar w:fldCharType="separate"/>
        </w:r>
        <w:r>
          <w:rPr>
            <w:noProof/>
            <w:webHidden/>
          </w:rPr>
          <w:t>26</w:t>
        </w:r>
        <w:r>
          <w:rPr>
            <w:noProof/>
            <w:webHidden/>
          </w:rPr>
          <w:fldChar w:fldCharType="end"/>
        </w:r>
      </w:hyperlink>
    </w:p>
    <w:p w14:paraId="139139FB" w14:textId="3C61FC6A" w:rsidR="00C86248" w:rsidRDefault="00C10D11">
      <w:r>
        <w:rPr>
          <w:rFonts w:ascii="Segoe UI Semibold" w:hAnsi="Segoe UI Semibold"/>
          <w:b/>
          <w:sz w:val="24"/>
        </w:rPr>
        <w:fldChar w:fldCharType="end"/>
      </w:r>
    </w:p>
    <w:p w14:paraId="11959CFB" w14:textId="77777777" w:rsidR="002B76A7" w:rsidRDefault="002B76A7" w:rsidP="002B76A7">
      <w:pPr>
        <w:pStyle w:val="TOC1"/>
        <w:keepNext/>
      </w:pPr>
      <w:r>
        <w:t>List of Tables</w:t>
      </w:r>
    </w:p>
    <w:p w14:paraId="12C61E65" w14:textId="6D57EB0C" w:rsidR="00D2392D" w:rsidRDefault="00C10D11" w:rsidP="00D2392D">
      <w:pPr>
        <w:pStyle w:val="TOC3"/>
        <w:tabs>
          <w:tab w:val="clear" w:pos="8080"/>
          <w:tab w:val="right" w:pos="8079"/>
        </w:tabs>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142896569" w:history="1">
        <w:r w:rsidR="00D2392D" w:rsidRPr="00B77945">
          <w:rPr>
            <w:rStyle w:val="Hyperlink"/>
            <w:noProof/>
          </w:rPr>
          <w:t>Table 1: Priority for reporting birth procedures</w:t>
        </w:r>
        <w:r w:rsidR="00D2392D">
          <w:rPr>
            <w:noProof/>
            <w:webHidden/>
          </w:rPr>
          <w:tab/>
        </w:r>
        <w:r w:rsidR="00D2392D">
          <w:rPr>
            <w:noProof/>
            <w:webHidden/>
          </w:rPr>
          <w:fldChar w:fldCharType="begin"/>
        </w:r>
        <w:r w:rsidR="00D2392D">
          <w:rPr>
            <w:noProof/>
            <w:webHidden/>
          </w:rPr>
          <w:instrText xml:space="preserve"> PAGEREF _Toc142896569 \h </w:instrText>
        </w:r>
        <w:r w:rsidR="00D2392D">
          <w:rPr>
            <w:noProof/>
            <w:webHidden/>
          </w:rPr>
        </w:r>
        <w:r w:rsidR="00D2392D">
          <w:rPr>
            <w:noProof/>
            <w:webHidden/>
          </w:rPr>
          <w:fldChar w:fldCharType="separate"/>
        </w:r>
        <w:r w:rsidR="00D2392D">
          <w:rPr>
            <w:noProof/>
            <w:webHidden/>
          </w:rPr>
          <w:t>5</w:t>
        </w:r>
        <w:r w:rsidR="00D2392D">
          <w:rPr>
            <w:noProof/>
            <w:webHidden/>
          </w:rPr>
          <w:fldChar w:fldCharType="end"/>
        </w:r>
      </w:hyperlink>
    </w:p>
    <w:p w14:paraId="5588D485" w14:textId="07A81E7B" w:rsidR="00D2392D" w:rsidRDefault="00D2392D" w:rsidP="00D2392D">
      <w:pPr>
        <w:pStyle w:val="TOC3"/>
        <w:tabs>
          <w:tab w:val="clear" w:pos="8080"/>
          <w:tab w:val="right" w:pos="8079"/>
        </w:tabs>
        <w:ind w:left="0" w:firstLine="0"/>
        <w:rPr>
          <w:rFonts w:asciiTheme="minorHAnsi" w:eastAsiaTheme="minorEastAsia" w:hAnsiTheme="minorHAnsi" w:cstheme="minorBidi"/>
          <w:noProof/>
          <w:sz w:val="22"/>
          <w:szCs w:val="22"/>
          <w:lang w:eastAsia="en-NZ"/>
        </w:rPr>
      </w:pPr>
      <w:hyperlink w:anchor="_Toc142896570" w:history="1">
        <w:r w:rsidRPr="00B77945">
          <w:rPr>
            <w:rStyle w:val="Hyperlink"/>
            <w:noProof/>
          </w:rPr>
          <w:t>Table 2: Examples of comparing proportions and birth rates between the Māori and the European or Other ethnic groups</w:t>
        </w:r>
        <w:r>
          <w:rPr>
            <w:noProof/>
            <w:webHidden/>
          </w:rPr>
          <w:tab/>
        </w:r>
        <w:r>
          <w:rPr>
            <w:noProof/>
            <w:webHidden/>
          </w:rPr>
          <w:fldChar w:fldCharType="begin"/>
        </w:r>
        <w:r>
          <w:rPr>
            <w:noProof/>
            <w:webHidden/>
          </w:rPr>
          <w:instrText xml:space="preserve"> PAGEREF _Toc142896570 \h </w:instrText>
        </w:r>
        <w:r>
          <w:rPr>
            <w:noProof/>
            <w:webHidden/>
          </w:rPr>
        </w:r>
        <w:r>
          <w:rPr>
            <w:noProof/>
            <w:webHidden/>
          </w:rPr>
          <w:fldChar w:fldCharType="separate"/>
        </w:r>
        <w:r>
          <w:rPr>
            <w:noProof/>
            <w:webHidden/>
          </w:rPr>
          <w:t>8</w:t>
        </w:r>
        <w:r>
          <w:rPr>
            <w:noProof/>
            <w:webHidden/>
          </w:rPr>
          <w:fldChar w:fldCharType="end"/>
        </w:r>
      </w:hyperlink>
    </w:p>
    <w:p w14:paraId="5BAD2241" w14:textId="7D4DC542" w:rsidR="001D3E4E" w:rsidRDefault="00C10D11" w:rsidP="003A5FEA">
      <w:pPr>
        <w:sectPr w:rsidR="001D3E4E" w:rsidSect="0078658E">
          <w:headerReference w:type="even" r:id="rId12"/>
          <w:headerReference w:type="default" r:id="rId13"/>
          <w:footerReference w:type="even" r:id="rId14"/>
          <w:footerReference w:type="default" r:id="rId15"/>
          <w:pgSz w:w="11907" w:h="16840" w:code="9"/>
          <w:pgMar w:top="1418" w:right="1701" w:bottom="1134" w:left="1843" w:header="284" w:footer="425" w:gutter="284"/>
          <w:pgNumType w:fmt="lowerRoman"/>
          <w:cols w:space="720"/>
        </w:sectPr>
      </w:pPr>
      <w:r>
        <w:rPr>
          <w:sz w:val="20"/>
        </w:rPr>
        <w:fldChar w:fldCharType="end"/>
      </w:r>
    </w:p>
    <w:p w14:paraId="1C080250" w14:textId="77777777" w:rsidR="008C2973" w:rsidRDefault="00882A40" w:rsidP="008E3A07">
      <w:pPr>
        <w:pStyle w:val="Heading1"/>
        <w:rPr>
          <w:spacing w:val="0"/>
        </w:rPr>
      </w:pPr>
      <w:bookmarkStart w:id="4" w:name="_Toc165466914"/>
      <w:r>
        <w:rPr>
          <w:spacing w:val="0"/>
        </w:rPr>
        <w:lastRenderedPageBreak/>
        <w:t>I</w:t>
      </w:r>
      <w:r w:rsidR="00686C9E">
        <w:rPr>
          <w:spacing w:val="0"/>
        </w:rPr>
        <w:t>ntroduction</w:t>
      </w:r>
      <w:bookmarkEnd w:id="4"/>
    </w:p>
    <w:p w14:paraId="7A4D83B6" w14:textId="77777777" w:rsidR="00882A40" w:rsidRPr="00FF7D38" w:rsidRDefault="00882A40" w:rsidP="00882A40">
      <w:bookmarkStart w:id="5" w:name="_Ref404850883"/>
      <w:bookmarkStart w:id="6" w:name="_Toc405886998"/>
      <w:bookmarkStart w:id="7" w:name="_Toc412122391"/>
      <w:bookmarkStart w:id="8" w:name="_Toc431462715"/>
      <w:bookmarkStart w:id="9" w:name="_Toc479583253"/>
      <w:bookmarkStart w:id="10" w:name="_Toc485542621"/>
      <w:r w:rsidRPr="00950E2D">
        <w:t>This</w:t>
      </w:r>
      <w:r>
        <w:t xml:space="preserve"> document</w:t>
      </w:r>
      <w:r w:rsidRPr="00950E2D">
        <w:t xml:space="preserve"> provides the purpose and background of the </w:t>
      </w:r>
      <w:r>
        <w:t>web tool</w:t>
      </w:r>
      <w:r w:rsidRPr="00950E2D">
        <w:t>, as well as information on the source of the data provided,</w:t>
      </w:r>
      <w:r>
        <w:t xml:space="preserve"> </w:t>
      </w:r>
      <w:r w:rsidRPr="00950E2D">
        <w:t>analytical methods used</w:t>
      </w:r>
      <w:r>
        <w:t xml:space="preserve"> and commonly used terms</w:t>
      </w:r>
      <w:r w:rsidRPr="00950E2D">
        <w:t>. It provides contact details if you require additional information.</w:t>
      </w:r>
    </w:p>
    <w:p w14:paraId="0AC2D65B" w14:textId="77777777" w:rsidR="00882A40" w:rsidRPr="00950E2D" w:rsidRDefault="00882A40" w:rsidP="00882A40"/>
    <w:p w14:paraId="6FA610A3" w14:textId="77777777" w:rsidR="00882A40" w:rsidRPr="00950E2D" w:rsidRDefault="00882A40" w:rsidP="00882A40">
      <w:pPr>
        <w:pStyle w:val="Heading2"/>
      </w:pPr>
      <w:bookmarkStart w:id="11" w:name="_Toc405886997"/>
      <w:bookmarkStart w:id="12" w:name="_Toc412122389"/>
      <w:bookmarkStart w:id="13" w:name="_Toc431462713"/>
      <w:bookmarkStart w:id="14" w:name="_Toc479583251"/>
      <w:bookmarkStart w:id="15" w:name="_Toc485542619"/>
      <w:bookmarkStart w:id="16" w:name="_Toc41575609"/>
      <w:bookmarkStart w:id="17" w:name="_Toc165466915"/>
      <w:bookmarkStart w:id="18" w:name="_Toc405886996"/>
      <w:r w:rsidRPr="00950E2D">
        <w:t>Purpose</w:t>
      </w:r>
      <w:bookmarkEnd w:id="11"/>
      <w:bookmarkEnd w:id="12"/>
      <w:bookmarkEnd w:id="13"/>
      <w:bookmarkEnd w:id="14"/>
      <w:bookmarkEnd w:id="15"/>
      <w:bookmarkEnd w:id="16"/>
      <w:bookmarkEnd w:id="17"/>
    </w:p>
    <w:p w14:paraId="50D9242A" w14:textId="4D5CC0EB" w:rsidR="00882A40" w:rsidRDefault="00882A40" w:rsidP="00882A40">
      <w:r w:rsidRPr="002C78BA">
        <w:rPr>
          <w:rFonts w:cs="Arial"/>
          <w:szCs w:val="24"/>
        </w:rPr>
        <w:t xml:space="preserve">The </w:t>
      </w:r>
      <w:r>
        <w:rPr>
          <w:rFonts w:cs="Arial"/>
          <w:szCs w:val="24"/>
        </w:rPr>
        <w:t>maternity report</w:t>
      </w:r>
      <w:r w:rsidRPr="002C78BA">
        <w:rPr>
          <w:rFonts w:cs="Arial"/>
          <w:szCs w:val="24"/>
        </w:rPr>
        <w:t xml:space="preserve"> web</w:t>
      </w:r>
      <w:r>
        <w:rPr>
          <w:rFonts w:cs="Arial"/>
          <w:szCs w:val="24"/>
        </w:rPr>
        <w:t xml:space="preserve"> </w:t>
      </w:r>
      <w:r w:rsidRPr="002C78BA">
        <w:rPr>
          <w:rFonts w:cs="Arial"/>
          <w:szCs w:val="24"/>
        </w:rPr>
        <w:t>tool is designed for you to view and download summa</w:t>
      </w:r>
      <w:r>
        <w:rPr>
          <w:rFonts w:cs="Arial"/>
          <w:szCs w:val="24"/>
        </w:rPr>
        <w:t>ry data</w:t>
      </w:r>
      <w:r w:rsidRPr="00950E2D">
        <w:t xml:space="preserve"> about </w:t>
      </w:r>
      <w:r w:rsidR="00977C87">
        <w:t>people</w:t>
      </w:r>
      <w:r w:rsidRPr="00950E2D">
        <w:t xml:space="preserve"> giving birth, their pregnancy and childbirth experience and the characteristics of live-born babies in New Zealand.</w:t>
      </w:r>
      <w:r w:rsidRPr="00D50E2E">
        <w:rPr>
          <w:rStyle w:val="FootnoteReference"/>
        </w:rPr>
        <w:footnoteReference w:id="1"/>
      </w:r>
    </w:p>
    <w:p w14:paraId="354D4F47" w14:textId="77777777" w:rsidR="00882A40" w:rsidRDefault="00882A40" w:rsidP="00882A40">
      <w:pPr>
        <w:rPr>
          <w:rFonts w:cs="Arial"/>
          <w:szCs w:val="24"/>
        </w:rPr>
      </w:pPr>
    </w:p>
    <w:p w14:paraId="71E71F78" w14:textId="7567A656" w:rsidR="00882A40" w:rsidRPr="00EE37F5" w:rsidRDefault="00882A40" w:rsidP="00882A40">
      <w:r w:rsidRPr="002C78BA">
        <w:rPr>
          <w:rFonts w:cs="Arial"/>
          <w:szCs w:val="24"/>
        </w:rPr>
        <w:t xml:space="preserve">The data presented </w:t>
      </w:r>
      <w:r>
        <w:rPr>
          <w:rFonts w:cs="Arial"/>
          <w:szCs w:val="24"/>
        </w:rPr>
        <w:t xml:space="preserve">in the web tool </w:t>
      </w:r>
      <w:r w:rsidRPr="002C78BA">
        <w:rPr>
          <w:rFonts w:cs="Arial"/>
          <w:szCs w:val="24"/>
        </w:rPr>
        <w:t xml:space="preserve">is sourced from the New Zealand </w:t>
      </w:r>
      <w:r>
        <w:rPr>
          <w:rFonts w:cs="Arial"/>
          <w:szCs w:val="24"/>
        </w:rPr>
        <w:t xml:space="preserve">Maternity </w:t>
      </w:r>
      <w:r w:rsidRPr="002C78BA">
        <w:rPr>
          <w:rFonts w:cs="Arial"/>
          <w:szCs w:val="24"/>
        </w:rPr>
        <w:t>Collectio</w:t>
      </w:r>
      <w:r>
        <w:rPr>
          <w:rFonts w:cs="Arial"/>
          <w:szCs w:val="24"/>
        </w:rPr>
        <w:t>n</w:t>
      </w:r>
      <w:r w:rsidR="00361D9E">
        <w:rPr>
          <w:rFonts w:cs="Arial"/>
          <w:szCs w:val="24"/>
        </w:rPr>
        <w:t xml:space="preserve">. The web tool </w:t>
      </w:r>
      <w:r>
        <w:t xml:space="preserve">focuses on </w:t>
      </w:r>
      <w:r w:rsidR="00977C87">
        <w:t>people</w:t>
      </w:r>
      <w:r>
        <w:t xml:space="preserve"> who gave birth and babies who were born </w:t>
      </w:r>
      <w:r w:rsidR="00361D9E">
        <w:rPr>
          <w:rFonts w:cs="Arial"/>
          <w:szCs w:val="24"/>
        </w:rPr>
        <w:t xml:space="preserve">during the latest </w:t>
      </w:r>
      <w:r w:rsidR="00977C87">
        <w:rPr>
          <w:rFonts w:cs="Arial"/>
          <w:szCs w:val="24"/>
        </w:rPr>
        <w:t>1</w:t>
      </w:r>
      <w:r w:rsidR="003B399F">
        <w:rPr>
          <w:rFonts w:cs="Arial"/>
          <w:szCs w:val="24"/>
        </w:rPr>
        <w:t>6</w:t>
      </w:r>
      <w:r w:rsidR="00361D9E">
        <w:rPr>
          <w:rFonts w:cs="Arial"/>
          <w:szCs w:val="24"/>
        </w:rPr>
        <w:t xml:space="preserve"> years for which data is available</w:t>
      </w:r>
      <w:r w:rsidR="00935BA4">
        <w:rPr>
          <w:rFonts w:cs="Arial"/>
          <w:szCs w:val="24"/>
        </w:rPr>
        <w:t>.</w:t>
      </w:r>
      <w:r w:rsidR="00FA10DD" w:rsidRPr="002C78BA">
        <w:rPr>
          <w:rFonts w:cs="Arial"/>
          <w:szCs w:val="24"/>
        </w:rPr>
        <w:t xml:space="preserve"> </w:t>
      </w:r>
      <w:r>
        <w:rPr>
          <w:rFonts w:cs="Arial"/>
          <w:szCs w:val="24"/>
        </w:rPr>
        <w:t xml:space="preserve">Data is </w:t>
      </w:r>
      <w:r w:rsidR="00FA10DD">
        <w:rPr>
          <w:rFonts w:cs="Arial"/>
          <w:szCs w:val="24"/>
        </w:rPr>
        <w:t xml:space="preserve">also </w:t>
      </w:r>
      <w:r>
        <w:rPr>
          <w:rFonts w:cs="Arial"/>
          <w:szCs w:val="24"/>
        </w:rPr>
        <w:t>available as downloadable files from within the web tool.</w:t>
      </w:r>
    </w:p>
    <w:p w14:paraId="4AAF4624" w14:textId="77777777" w:rsidR="00882A40" w:rsidRDefault="00882A40" w:rsidP="00882A40">
      <w:pPr>
        <w:rPr>
          <w:rFonts w:cs="Arial"/>
          <w:szCs w:val="24"/>
        </w:rPr>
      </w:pPr>
    </w:p>
    <w:p w14:paraId="41229D2F" w14:textId="77777777" w:rsidR="00882A40" w:rsidRPr="00204781" w:rsidRDefault="00882A40" w:rsidP="00882A40">
      <w:pPr>
        <w:rPr>
          <w:rFonts w:cs="Arial"/>
          <w:szCs w:val="24"/>
        </w:rPr>
      </w:pPr>
      <w:r w:rsidRPr="00204781">
        <w:rPr>
          <w:rFonts w:cs="Arial"/>
          <w:szCs w:val="24"/>
        </w:rPr>
        <w:t>This document provides information about the data sources and analytical methods used to produce the summary data</w:t>
      </w:r>
      <w:r>
        <w:rPr>
          <w:rFonts w:cs="Arial"/>
          <w:szCs w:val="24"/>
        </w:rPr>
        <w:t xml:space="preserve">. It defines common terms </w:t>
      </w:r>
      <w:r w:rsidRPr="00204781">
        <w:rPr>
          <w:rFonts w:cs="Arial"/>
          <w:szCs w:val="24"/>
        </w:rPr>
        <w:t xml:space="preserve">and </w:t>
      </w:r>
      <w:r>
        <w:rPr>
          <w:rFonts w:cs="Arial"/>
          <w:szCs w:val="24"/>
        </w:rPr>
        <w:t xml:space="preserve">contains a </w:t>
      </w:r>
      <w:r w:rsidRPr="00204781">
        <w:rPr>
          <w:rFonts w:cs="Arial"/>
          <w:szCs w:val="24"/>
        </w:rPr>
        <w:t>data dictionary for variables used in the web tool.</w:t>
      </w:r>
    </w:p>
    <w:p w14:paraId="67F4E033" w14:textId="77777777" w:rsidR="00882A40" w:rsidRPr="00AF16D8" w:rsidRDefault="00882A40" w:rsidP="00882A40">
      <w:pPr>
        <w:rPr>
          <w:highlight w:val="yellow"/>
        </w:rPr>
      </w:pPr>
    </w:p>
    <w:p w14:paraId="3849F359" w14:textId="77777777" w:rsidR="00882A40" w:rsidRPr="00950E2D" w:rsidRDefault="00882A40" w:rsidP="00882A40">
      <w:pPr>
        <w:pStyle w:val="Heading2"/>
      </w:pPr>
      <w:bookmarkStart w:id="19" w:name="_Toc412122390"/>
      <w:bookmarkStart w:id="20" w:name="_Toc431462714"/>
      <w:bookmarkStart w:id="21" w:name="_Toc479583252"/>
      <w:bookmarkStart w:id="22" w:name="_Toc485542620"/>
      <w:bookmarkStart w:id="23" w:name="_Toc41575610"/>
      <w:bookmarkStart w:id="24" w:name="_Toc165466916"/>
      <w:r w:rsidRPr="00950E2D">
        <w:t>Background</w:t>
      </w:r>
      <w:bookmarkEnd w:id="18"/>
      <w:bookmarkEnd w:id="19"/>
      <w:bookmarkEnd w:id="20"/>
      <w:bookmarkEnd w:id="21"/>
      <w:bookmarkEnd w:id="22"/>
      <w:bookmarkEnd w:id="23"/>
      <w:bookmarkEnd w:id="24"/>
    </w:p>
    <w:p w14:paraId="0809699D" w14:textId="33D6D6E1" w:rsidR="00882A40" w:rsidRDefault="00882A40" w:rsidP="00882A40">
      <w:bookmarkStart w:id="25" w:name="_Hlk41569833"/>
      <w:r w:rsidRPr="00950E2D">
        <w:t xml:space="preserve">In New Zealand, maternity services are classified according to the level of complexity of clinical care a </w:t>
      </w:r>
      <w:r w:rsidR="00E133F3">
        <w:t xml:space="preserve">pregnant </w:t>
      </w:r>
      <w:r w:rsidR="00977C87">
        <w:t>person</w:t>
      </w:r>
      <w:r w:rsidRPr="00950E2D">
        <w:t xml:space="preserve"> and </w:t>
      </w:r>
      <w:r w:rsidR="003A1FA7">
        <w:t>their</w:t>
      </w:r>
      <w:r w:rsidRPr="00950E2D">
        <w:t xml:space="preserve"> baby require – either primary, secondary or tertiary. A range of practitioners contribute to the provision of antenatal care (midwives, general practitioners (GPs), obstetricians, radiologists and childbirth educators), in a range of settings (the </w:t>
      </w:r>
      <w:r w:rsidR="009E7119">
        <w:t>person’s</w:t>
      </w:r>
      <w:r w:rsidRPr="00950E2D">
        <w:t xml:space="preserve"> home, consulting rooms, primary </w:t>
      </w:r>
      <w:r>
        <w:t>maternity facilities</w:t>
      </w:r>
      <w:r w:rsidRPr="00950E2D">
        <w:t xml:space="preserve"> and hospitals). A summary of these services is described in </w:t>
      </w:r>
      <w:r w:rsidR="00D628A0">
        <w:t>Appendix 1:</w:t>
      </w:r>
      <w:r>
        <w:t xml:space="preserve"> ‘Maternity model of </w:t>
      </w:r>
      <w:proofErr w:type="gramStart"/>
      <w:r>
        <w:t>care‘</w:t>
      </w:r>
      <w:proofErr w:type="gramEnd"/>
      <w:r w:rsidRPr="00950E2D">
        <w:t>.</w:t>
      </w:r>
    </w:p>
    <w:p w14:paraId="6C255C10" w14:textId="77777777" w:rsidR="00882A40" w:rsidRPr="00950E2D" w:rsidRDefault="00882A40" w:rsidP="00882A40"/>
    <w:p w14:paraId="7049BC35" w14:textId="77777777" w:rsidR="00882A40" w:rsidRPr="00950E2D" w:rsidRDefault="00882A40" w:rsidP="00882A40">
      <w:r w:rsidRPr="00950E2D">
        <w:t xml:space="preserve">Maternity services are a crucial part of public health services. The World Health Organization (WHO) states that </w:t>
      </w:r>
      <w:r>
        <w:t>‘</w:t>
      </w:r>
      <w:r w:rsidRPr="00950E2D">
        <w:t>care for pregnant women is often the entry point for health services for the family and community</w:t>
      </w:r>
      <w:r>
        <w:t>’</w:t>
      </w:r>
      <w:r w:rsidRPr="00950E2D">
        <w:t xml:space="preserve"> (WHO 2005). Monitoring maternal and newborn health is</w:t>
      </w:r>
      <w:r>
        <w:t>,</w:t>
      </w:r>
      <w:r w:rsidRPr="00950E2D">
        <w:t xml:space="preserve"> therefore</w:t>
      </w:r>
      <w:r>
        <w:t>,</w:t>
      </w:r>
      <w:r w:rsidRPr="00950E2D">
        <w:t xml:space="preserve"> an integral part of monitoring the health of the overall population.</w:t>
      </w:r>
    </w:p>
    <w:bookmarkEnd w:id="25"/>
    <w:p w14:paraId="57C63AC2" w14:textId="77777777" w:rsidR="00882A40" w:rsidRPr="00AF16D8" w:rsidRDefault="00882A40" w:rsidP="00882A40">
      <w:pPr>
        <w:rPr>
          <w:highlight w:val="yellow"/>
        </w:rPr>
      </w:pPr>
    </w:p>
    <w:p w14:paraId="6AC907E7" w14:textId="77777777" w:rsidR="00686C9E" w:rsidRPr="00950E2D" w:rsidRDefault="00686C9E" w:rsidP="00D50E2E">
      <w:pPr>
        <w:pStyle w:val="Heading2"/>
      </w:pPr>
      <w:bookmarkStart w:id="26" w:name="_Toc165466917"/>
      <w:bookmarkStart w:id="27" w:name="_Hlk165460438"/>
      <w:r w:rsidRPr="00950E2D">
        <w:lastRenderedPageBreak/>
        <w:t>Data sources</w:t>
      </w:r>
      <w:bookmarkEnd w:id="5"/>
      <w:bookmarkEnd w:id="6"/>
      <w:bookmarkEnd w:id="7"/>
      <w:bookmarkEnd w:id="8"/>
      <w:bookmarkEnd w:id="9"/>
      <w:bookmarkEnd w:id="10"/>
      <w:bookmarkEnd w:id="26"/>
    </w:p>
    <w:p w14:paraId="2292EB8C" w14:textId="66909B32" w:rsidR="00783086" w:rsidRDefault="0094796D" w:rsidP="00882A40">
      <w:pPr>
        <w:rPr>
          <w:spacing w:val="-2"/>
        </w:rPr>
      </w:pPr>
      <w:r>
        <w:rPr>
          <w:spacing w:val="-2"/>
        </w:rPr>
        <w:t>Health New Zealand – Te Whatu Ora</w:t>
      </w:r>
      <w:r w:rsidR="001D758A" w:rsidRPr="001D758A">
        <w:rPr>
          <w:spacing w:val="-2"/>
        </w:rPr>
        <w:t xml:space="preserve"> extracts data for the</w:t>
      </w:r>
      <w:r w:rsidR="001D758A">
        <w:rPr>
          <w:spacing w:val="-2"/>
        </w:rPr>
        <w:t xml:space="preserve"> Report on Maternity web tool </w:t>
      </w:r>
      <w:r w:rsidR="001D758A" w:rsidRPr="001D758A">
        <w:rPr>
          <w:spacing w:val="-2"/>
        </w:rPr>
        <w:t xml:space="preserve">from the National Maternity Collection (MAT). </w:t>
      </w:r>
      <w:r w:rsidR="001D758A" w:rsidRPr="00D50E2E">
        <w:rPr>
          <w:spacing w:val="-2"/>
        </w:rPr>
        <w:t xml:space="preserve">The National Maternity Collection </w:t>
      </w:r>
      <w:r w:rsidR="00783086">
        <w:rPr>
          <w:spacing w:val="-2"/>
        </w:rPr>
        <w:t>integrates</w:t>
      </w:r>
      <w:r w:rsidR="001D758A" w:rsidRPr="00D50E2E">
        <w:rPr>
          <w:spacing w:val="-2"/>
        </w:rPr>
        <w:t xml:space="preserve"> </w:t>
      </w:r>
      <w:r w:rsidR="00783086">
        <w:rPr>
          <w:spacing w:val="-2"/>
        </w:rPr>
        <w:t>health information</w:t>
      </w:r>
      <w:r w:rsidR="001D758A" w:rsidRPr="00D50E2E">
        <w:rPr>
          <w:spacing w:val="-2"/>
        </w:rPr>
        <w:t xml:space="preserve"> from </w:t>
      </w:r>
      <w:r w:rsidR="00783086">
        <w:rPr>
          <w:spacing w:val="-2"/>
        </w:rPr>
        <w:t>two</w:t>
      </w:r>
      <w:r w:rsidR="001D758A" w:rsidRPr="00D50E2E">
        <w:rPr>
          <w:spacing w:val="-2"/>
        </w:rPr>
        <w:t xml:space="preserve"> sources to provide statistical, demographic and clinical information about </w:t>
      </w:r>
      <w:r w:rsidR="00977C87">
        <w:rPr>
          <w:spacing w:val="-2"/>
        </w:rPr>
        <w:t>people</w:t>
      </w:r>
      <w:r w:rsidR="001D758A" w:rsidRPr="00D50E2E">
        <w:rPr>
          <w:spacing w:val="-2"/>
        </w:rPr>
        <w:t xml:space="preserve"> giving birth and live-born babies in New Zealand.</w:t>
      </w:r>
      <w:r w:rsidR="001D758A">
        <w:rPr>
          <w:spacing w:val="-2"/>
        </w:rPr>
        <w:t xml:space="preserve"> </w:t>
      </w:r>
      <w:r w:rsidR="00783086" w:rsidRPr="00783086">
        <w:rPr>
          <w:spacing w:val="-2"/>
        </w:rPr>
        <w:t xml:space="preserve">MAT contains data on primary maternity services provided under Section </w:t>
      </w:r>
      <w:r w:rsidR="007B15E0">
        <w:rPr>
          <w:spacing w:val="-2"/>
        </w:rPr>
        <w:t>94</w:t>
      </w:r>
      <w:r w:rsidR="00783086" w:rsidRPr="00783086">
        <w:rPr>
          <w:spacing w:val="-2"/>
        </w:rPr>
        <w:t xml:space="preserve"> </w:t>
      </w:r>
      <w:r w:rsidR="007B15E0" w:rsidRPr="007B15E0">
        <w:rPr>
          <w:spacing w:val="-2"/>
        </w:rPr>
        <w:t>pursuant to the Pae Ora (Healthy Futures) Act 2022</w:t>
      </w:r>
      <w:r w:rsidR="00783086" w:rsidRPr="00783086">
        <w:rPr>
          <w:spacing w:val="-2"/>
        </w:rPr>
        <w:t xml:space="preserve">. This information is sourced from </w:t>
      </w:r>
      <w:r w:rsidR="00783086" w:rsidRPr="00950E2D">
        <w:t>Lead Maternity Carer (LMC)</w:t>
      </w:r>
      <w:r w:rsidR="00783086">
        <w:t xml:space="preserve"> </w:t>
      </w:r>
      <w:r w:rsidR="00783086" w:rsidRPr="00783086">
        <w:rPr>
          <w:spacing w:val="-2"/>
        </w:rPr>
        <w:t xml:space="preserve">claims for payment. MAT also contains inpatient and day-patient health event data during pregnancy, birth and the postnatal period for </w:t>
      </w:r>
      <w:r w:rsidR="009E7119">
        <w:rPr>
          <w:spacing w:val="-2"/>
        </w:rPr>
        <w:t>parent</w:t>
      </w:r>
      <w:r w:rsidR="00783086" w:rsidRPr="00783086">
        <w:rPr>
          <w:spacing w:val="-2"/>
        </w:rPr>
        <w:t xml:space="preserve"> and baby, sourced from the National Minimum Dataset (NMDS)</w:t>
      </w:r>
      <w:r w:rsidR="009A08B1">
        <w:rPr>
          <w:spacing w:val="-2"/>
        </w:rPr>
        <w:t>.</w:t>
      </w:r>
      <w:r w:rsidR="00783086" w:rsidRPr="00783086">
        <w:rPr>
          <w:spacing w:val="-2"/>
        </w:rPr>
        <w:t xml:space="preserve"> </w:t>
      </w:r>
    </w:p>
    <w:bookmarkEnd w:id="27"/>
    <w:p w14:paraId="0809F9A1" w14:textId="77777777" w:rsidR="00882A40" w:rsidRDefault="00882A40" w:rsidP="00882A40">
      <w:pPr>
        <w:rPr>
          <w:rFonts w:cs="Arial"/>
          <w:szCs w:val="24"/>
        </w:rPr>
      </w:pPr>
    </w:p>
    <w:p w14:paraId="01BA54E2" w14:textId="5B64C19B" w:rsidR="00882A40" w:rsidRPr="009A4C32" w:rsidRDefault="009A4C32" w:rsidP="00882A40">
      <w:r w:rsidRPr="00950E2D">
        <w:t>Maternal and newborn records are coded and extracted separately, so the information collected in these two sources (</w:t>
      </w:r>
      <w:proofErr w:type="spellStart"/>
      <w:r w:rsidRPr="00950E2D">
        <w:t>eg</w:t>
      </w:r>
      <w:proofErr w:type="spellEnd"/>
      <w:r w:rsidRPr="00950E2D">
        <w:t xml:space="preserve">, maternal age) may differ. Some disparities may be due to incomplete maternal or newborn information submitted to </w:t>
      </w:r>
      <w:r w:rsidR="0094796D">
        <w:t>Health New Zealand</w:t>
      </w:r>
      <w:r w:rsidRPr="00950E2D">
        <w:t xml:space="preserve"> by </w:t>
      </w:r>
      <w:r>
        <w:t>districts</w:t>
      </w:r>
      <w:r w:rsidRPr="00950E2D">
        <w:t xml:space="preserve"> and other maternity providers.</w:t>
      </w:r>
      <w:r>
        <w:t xml:space="preserve"> </w:t>
      </w:r>
      <w:r w:rsidR="00A11C7A">
        <w:t>I</w:t>
      </w:r>
      <w:r w:rsidR="00783086">
        <w:t>nformation</w:t>
      </w:r>
      <w:r w:rsidR="00882A40" w:rsidRPr="00950E2D">
        <w:t xml:space="preserve"> presented in th</w:t>
      </w:r>
      <w:r w:rsidR="00882A40">
        <w:t>e web tool</w:t>
      </w:r>
      <w:r w:rsidR="00882A40" w:rsidRPr="00950E2D">
        <w:t xml:space="preserve"> </w:t>
      </w:r>
      <w:r w:rsidR="00783086">
        <w:t xml:space="preserve">that </w:t>
      </w:r>
      <w:r w:rsidR="00882A40" w:rsidRPr="00950E2D">
        <w:t>primarily depend on L</w:t>
      </w:r>
      <w:r w:rsidR="00783086">
        <w:t xml:space="preserve">MC </w:t>
      </w:r>
      <w:r w:rsidR="00882A40" w:rsidRPr="00950E2D">
        <w:t>claim forms as a data source</w:t>
      </w:r>
      <w:r w:rsidR="00783086">
        <w:t xml:space="preserve"> </w:t>
      </w:r>
      <w:r w:rsidR="00882A40" w:rsidRPr="00950E2D">
        <w:t xml:space="preserve">are parity, breastfeeding status and referrals to a GP and Well Child/Tamariki Ora provider. Following recent upgrades to the National Maternity Collection, some </w:t>
      </w:r>
      <w:r w:rsidR="00783086">
        <w:t>districts</w:t>
      </w:r>
      <w:r w:rsidR="00882A40" w:rsidRPr="00950E2D">
        <w:t xml:space="preserve"> </w:t>
      </w:r>
      <w:r w:rsidR="00882A40" w:rsidRPr="002D4696">
        <w:t>are now reporting data from their primary maternity services for these variabl</w:t>
      </w:r>
      <w:r w:rsidR="00882A40">
        <w:t xml:space="preserve">es. </w:t>
      </w:r>
    </w:p>
    <w:p w14:paraId="529C785C" w14:textId="77777777" w:rsidR="007D0B8F" w:rsidRDefault="007D0B8F" w:rsidP="00882A40"/>
    <w:p w14:paraId="2CB8DB46" w14:textId="1F41EC2A" w:rsidR="009A08B1" w:rsidRPr="00193BB0" w:rsidRDefault="00882A40" w:rsidP="009A08B1">
      <w:r w:rsidRPr="00950E2D">
        <w:t xml:space="preserve">Population data used to calculate birth rates in </w:t>
      </w:r>
      <w:r>
        <w:t>the web tool</w:t>
      </w:r>
      <w:r w:rsidRPr="00950E2D">
        <w:t xml:space="preserve"> was derived from multiple </w:t>
      </w:r>
      <w:r w:rsidR="009A08B1">
        <w:t xml:space="preserve">customised </w:t>
      </w:r>
      <w:r w:rsidRPr="00950E2D">
        <w:t>data sets provided by Statistics New Zealand.</w:t>
      </w:r>
      <w:r w:rsidR="009A08B1">
        <w:t xml:space="preserve"> </w:t>
      </w:r>
      <w:r w:rsidR="008B22CF" w:rsidRPr="00193BB0">
        <w:t xml:space="preserve">Estimated resident population counts are regarded as the best available population and are used whenever possible as the denominator to calculate birth rates in </w:t>
      </w:r>
      <w:r w:rsidR="008B22CF">
        <w:t>the web tool</w:t>
      </w:r>
      <w:r w:rsidR="008B22CF" w:rsidRPr="00193BB0">
        <w:t>.</w:t>
      </w:r>
      <w:r w:rsidR="009A4C32">
        <w:t xml:space="preserve"> Details of the specific populations used </w:t>
      </w:r>
      <w:r w:rsidR="005932F0">
        <w:t xml:space="preserve">can be found </w:t>
      </w:r>
      <w:r w:rsidR="009A4C32">
        <w:t xml:space="preserve">in the </w:t>
      </w:r>
      <w:proofErr w:type="gramStart"/>
      <w:r w:rsidR="009A4C32" w:rsidRPr="005932F0">
        <w:rPr>
          <w:i/>
          <w:iCs/>
        </w:rPr>
        <w:t>Technical</w:t>
      </w:r>
      <w:proofErr w:type="gramEnd"/>
      <w:r w:rsidR="009A4C32" w:rsidRPr="005932F0">
        <w:rPr>
          <w:i/>
          <w:iCs/>
        </w:rPr>
        <w:t xml:space="preserve"> </w:t>
      </w:r>
      <w:r w:rsidR="005932F0" w:rsidRPr="005932F0">
        <w:rPr>
          <w:i/>
          <w:iCs/>
        </w:rPr>
        <w:t>i</w:t>
      </w:r>
      <w:r w:rsidR="009A4C32" w:rsidRPr="005932F0">
        <w:rPr>
          <w:i/>
          <w:iCs/>
        </w:rPr>
        <w:t>nformation</w:t>
      </w:r>
      <w:r w:rsidR="009A4C32">
        <w:t xml:space="preserve"> section of the web tool. </w:t>
      </w:r>
      <w:r w:rsidR="009A08B1" w:rsidRPr="00193BB0">
        <w:t xml:space="preserve">Further information about the methods used to prepare estimates and projections, as well as their limitations, is available on the </w:t>
      </w:r>
      <w:hyperlink r:id="rId16" w:history="1">
        <w:r w:rsidR="009A08B1" w:rsidRPr="00FF246C">
          <w:t>Statistics New Zealand website</w:t>
        </w:r>
      </w:hyperlink>
      <w:r w:rsidR="009A08B1">
        <w:t xml:space="preserve">: </w:t>
      </w:r>
      <w:r w:rsidR="009A08B1" w:rsidRPr="00FF246C">
        <w:t xml:space="preserve"> </w:t>
      </w:r>
      <w:hyperlink r:id="rId17" w:history="1">
        <w:r w:rsidR="009A08B1" w:rsidRPr="00AA0D97">
          <w:rPr>
            <w:rStyle w:val="Hyperlink"/>
          </w:rPr>
          <w:t>Population statistics - user guide</w:t>
        </w:r>
      </w:hyperlink>
      <w:r w:rsidR="008B22CF">
        <w:rPr>
          <w:rStyle w:val="Hyperlink"/>
        </w:rPr>
        <w:t xml:space="preserve">. </w:t>
      </w:r>
    </w:p>
    <w:p w14:paraId="506F792E" w14:textId="6490FF46" w:rsidR="00E70960" w:rsidRDefault="00E70960" w:rsidP="00D50E2E"/>
    <w:p w14:paraId="475691DA" w14:textId="71EE01A3" w:rsidR="00E70960" w:rsidRDefault="00E70960" w:rsidP="00E70960">
      <w:pPr>
        <w:pStyle w:val="Heading3"/>
      </w:pPr>
      <w:bookmarkStart w:id="28" w:name="_Hlk142899267"/>
      <w:r>
        <w:t xml:space="preserve">Maternity data </w:t>
      </w:r>
      <w:r w:rsidR="00D9328A">
        <w:t xml:space="preserve">clinical </w:t>
      </w:r>
      <w:r>
        <w:t>coding changes</w:t>
      </w:r>
    </w:p>
    <w:p w14:paraId="5F2630AF" w14:textId="77777777" w:rsidR="00E70960" w:rsidRDefault="00E70960" w:rsidP="00E70960"/>
    <w:p w14:paraId="57269745" w14:textId="77777777" w:rsidR="00E70960" w:rsidRPr="00CD3992" w:rsidRDefault="00E70960" w:rsidP="00E70960">
      <w:pPr>
        <w:shd w:val="clear" w:color="auto" w:fill="FFFFFF"/>
        <w:spacing w:after="150"/>
        <w:rPr>
          <w:rFonts w:cs="Segoe UI"/>
          <w:color w:val="333333"/>
          <w:szCs w:val="21"/>
          <w:lang w:eastAsia="en-NZ"/>
        </w:rPr>
      </w:pPr>
      <w:r w:rsidRPr="00CD3992">
        <w:rPr>
          <w:rFonts w:cs="Segoe UI"/>
          <w:color w:val="333333"/>
          <w:szCs w:val="21"/>
          <w:lang w:eastAsia="en-NZ"/>
        </w:rPr>
        <w:t>From 1 July 2019, diagnoses codes are assigned using the 11th Edition of ICD-10-AM (International Statistical Classification of Diseases and Related Health Problems, Tenth Revision, Australian Modification) and procedure codes are assigned using the 11th Edition of ACHI (Australian Classification of Health Interventions) (Source: The Independent Hospital Pricing Authority).</w:t>
      </w:r>
    </w:p>
    <w:p w14:paraId="7E8608E8" w14:textId="11465BCE" w:rsidR="00E70960" w:rsidRPr="00CD3992" w:rsidRDefault="00E70960" w:rsidP="00E70960">
      <w:pPr>
        <w:shd w:val="clear" w:color="auto" w:fill="FFFFFF"/>
        <w:spacing w:after="150"/>
        <w:rPr>
          <w:rFonts w:cs="Segoe UI"/>
          <w:color w:val="333333"/>
          <w:szCs w:val="21"/>
          <w:lang w:eastAsia="en-NZ"/>
        </w:rPr>
      </w:pPr>
      <w:r w:rsidRPr="00CD3992">
        <w:rPr>
          <w:rFonts w:cs="Segoe UI"/>
          <w:color w:val="333333"/>
          <w:szCs w:val="21"/>
          <w:lang w:eastAsia="en-NZ"/>
        </w:rPr>
        <w:t>Some maternity events (</w:t>
      </w:r>
      <w:r w:rsidR="00977C87">
        <w:rPr>
          <w:rFonts w:cs="Segoe UI"/>
          <w:color w:val="333333"/>
          <w:szCs w:val="21"/>
          <w:lang w:eastAsia="en-NZ"/>
        </w:rPr>
        <w:t>people</w:t>
      </w:r>
      <w:r w:rsidRPr="00CD3992">
        <w:rPr>
          <w:rFonts w:cs="Segoe UI"/>
          <w:color w:val="333333"/>
          <w:szCs w:val="21"/>
          <w:lang w:eastAsia="en-NZ"/>
        </w:rPr>
        <w:t xml:space="preserve"> giving birth in hospital and live babies born in hospital) are impacted by changes</w:t>
      </w:r>
      <w:r w:rsidR="00D9328A">
        <w:rPr>
          <w:rFonts w:cs="Segoe UI"/>
          <w:color w:val="333333"/>
          <w:szCs w:val="21"/>
          <w:lang w:eastAsia="en-NZ"/>
        </w:rPr>
        <w:t xml:space="preserve"> in the 11th Edition clinical coding standards</w:t>
      </w:r>
      <w:r w:rsidRPr="00CD3992">
        <w:rPr>
          <w:rFonts w:cs="Segoe UI"/>
          <w:color w:val="333333"/>
          <w:szCs w:val="21"/>
          <w:lang w:eastAsia="en-NZ"/>
        </w:rPr>
        <w:t>, in particular:</w:t>
      </w:r>
    </w:p>
    <w:bookmarkEnd w:id="28"/>
    <w:p w14:paraId="77109A20" w14:textId="77777777" w:rsidR="00E70960" w:rsidRPr="00CD3992" w:rsidRDefault="00E70960" w:rsidP="00E70960">
      <w:pPr>
        <w:shd w:val="clear" w:color="auto" w:fill="FFFFFF"/>
        <w:spacing w:after="150"/>
        <w:rPr>
          <w:rFonts w:cs="Segoe UI"/>
          <w:color w:val="333333"/>
          <w:szCs w:val="21"/>
          <w:lang w:eastAsia="en-NZ"/>
        </w:rPr>
      </w:pPr>
      <w:r w:rsidRPr="00CD3992">
        <w:rPr>
          <w:rFonts w:cs="Segoe UI"/>
          <w:b/>
          <w:bCs/>
          <w:color w:val="333333"/>
          <w:szCs w:val="21"/>
          <w:lang w:eastAsia="en-NZ"/>
        </w:rPr>
        <w:t>Place of birth</w:t>
      </w:r>
    </w:p>
    <w:p w14:paraId="52F5A28D" w14:textId="71A9FF02" w:rsidR="00E70960" w:rsidRPr="00CD3992" w:rsidRDefault="00E70960" w:rsidP="00E70960">
      <w:pPr>
        <w:shd w:val="clear" w:color="auto" w:fill="FFFFFF"/>
        <w:spacing w:after="150"/>
        <w:rPr>
          <w:rFonts w:cs="Segoe UI"/>
          <w:color w:val="333333"/>
          <w:szCs w:val="21"/>
          <w:lang w:eastAsia="en-NZ"/>
        </w:rPr>
      </w:pPr>
      <w:r w:rsidRPr="00CD3992">
        <w:rPr>
          <w:rFonts w:cs="Segoe UI"/>
          <w:color w:val="333333"/>
          <w:szCs w:val="21"/>
          <w:lang w:eastAsia="en-NZ"/>
        </w:rPr>
        <w:t xml:space="preserve">Coding of out of hospital births where the placenta is delivered in hospital with or without assistance has changed in the 11th Edition. Some births previously counted as out of hospital births </w:t>
      </w:r>
      <w:r w:rsidR="00D9328A">
        <w:rPr>
          <w:rFonts w:cs="Segoe UI"/>
          <w:color w:val="333333"/>
          <w:szCs w:val="21"/>
          <w:lang w:eastAsia="en-NZ"/>
        </w:rPr>
        <w:t>are</w:t>
      </w:r>
      <w:r w:rsidRPr="00CD3992">
        <w:rPr>
          <w:rFonts w:cs="Segoe UI"/>
          <w:color w:val="333333"/>
          <w:szCs w:val="21"/>
          <w:lang w:eastAsia="en-NZ"/>
        </w:rPr>
        <w:t xml:space="preserve"> now counted as hospital births. This means the data may show an increase in births in secondary and tertiary facilities, but it may be due to the change in coding standards rather than a true increase.</w:t>
      </w:r>
    </w:p>
    <w:p w14:paraId="3469EED7" w14:textId="77777777" w:rsidR="00E70960" w:rsidRPr="00CD3992" w:rsidRDefault="00E70960" w:rsidP="00E70960">
      <w:pPr>
        <w:shd w:val="clear" w:color="auto" w:fill="FFFFFF"/>
        <w:spacing w:after="150"/>
        <w:rPr>
          <w:rFonts w:cs="Segoe UI"/>
          <w:color w:val="333333"/>
          <w:szCs w:val="21"/>
          <w:lang w:eastAsia="en-NZ"/>
        </w:rPr>
      </w:pPr>
      <w:r w:rsidRPr="00CD3992">
        <w:rPr>
          <w:rFonts w:cs="Segoe UI"/>
          <w:b/>
          <w:bCs/>
          <w:color w:val="333333"/>
          <w:szCs w:val="21"/>
          <w:lang w:eastAsia="en-NZ"/>
        </w:rPr>
        <w:lastRenderedPageBreak/>
        <w:t>Birth type</w:t>
      </w:r>
    </w:p>
    <w:p w14:paraId="5EFC6BFF" w14:textId="77777777" w:rsidR="00E70960" w:rsidRPr="00CD3992" w:rsidRDefault="00E70960" w:rsidP="00E70960">
      <w:pPr>
        <w:shd w:val="clear" w:color="auto" w:fill="FFFFFF"/>
        <w:spacing w:after="150"/>
        <w:rPr>
          <w:rFonts w:cs="Segoe UI"/>
          <w:color w:val="333333"/>
          <w:szCs w:val="21"/>
          <w:lang w:eastAsia="en-NZ"/>
        </w:rPr>
      </w:pPr>
      <w:r w:rsidRPr="00CD3992">
        <w:rPr>
          <w:rFonts w:cs="Segoe UI"/>
          <w:color w:val="333333"/>
          <w:szCs w:val="21"/>
          <w:lang w:eastAsia="en-NZ"/>
        </w:rPr>
        <w:t>Birth type groupings were reclassified in the 11th Edition. The coding changes and impacts on the data in this web tool are:</w:t>
      </w:r>
    </w:p>
    <w:p w14:paraId="14C7F0D4" w14:textId="4239AB47" w:rsidR="00E70960" w:rsidRPr="00CD3992" w:rsidRDefault="00E70960" w:rsidP="00E70960">
      <w:pPr>
        <w:numPr>
          <w:ilvl w:val="0"/>
          <w:numId w:val="37"/>
        </w:numPr>
        <w:shd w:val="clear" w:color="auto" w:fill="FFFFFF"/>
        <w:spacing w:before="100" w:beforeAutospacing="1" w:after="100" w:afterAutospacing="1"/>
        <w:rPr>
          <w:rFonts w:cs="Segoe UI"/>
          <w:color w:val="333333"/>
          <w:szCs w:val="21"/>
          <w:lang w:eastAsia="en-NZ"/>
        </w:rPr>
      </w:pPr>
      <w:r w:rsidRPr="00CD3992">
        <w:rPr>
          <w:rFonts w:cs="Segoe UI"/>
          <w:color w:val="333333"/>
          <w:szCs w:val="21"/>
          <w:lang w:eastAsia="en-NZ"/>
        </w:rPr>
        <w:t xml:space="preserve">Coding of obstetric manoeuvres </w:t>
      </w:r>
      <w:r w:rsidR="00D9328A">
        <w:rPr>
          <w:rFonts w:cs="Segoe UI"/>
          <w:color w:val="333333"/>
          <w:szCs w:val="21"/>
          <w:lang w:eastAsia="en-NZ"/>
        </w:rPr>
        <w:t>(</w:t>
      </w:r>
      <w:proofErr w:type="spellStart"/>
      <w:r w:rsidR="00D9328A">
        <w:rPr>
          <w:rFonts w:cs="Segoe UI"/>
          <w:color w:val="333333"/>
          <w:szCs w:val="21"/>
          <w:lang w:eastAsia="en-NZ"/>
        </w:rPr>
        <w:t>eg</w:t>
      </w:r>
      <w:proofErr w:type="spellEnd"/>
      <w:r w:rsidR="00D9328A">
        <w:rPr>
          <w:rFonts w:cs="Segoe UI"/>
          <w:color w:val="333333"/>
          <w:szCs w:val="21"/>
          <w:lang w:eastAsia="en-NZ"/>
        </w:rPr>
        <w:t xml:space="preserve">, McRoberts) </w:t>
      </w:r>
      <w:r w:rsidRPr="00CD3992">
        <w:rPr>
          <w:rFonts w:cs="Segoe UI"/>
          <w:color w:val="333333"/>
          <w:szCs w:val="21"/>
          <w:lang w:eastAsia="en-NZ"/>
        </w:rPr>
        <w:t xml:space="preserve">without use of forceps or </w:t>
      </w:r>
      <w:r w:rsidR="002F7B20">
        <w:rPr>
          <w:rFonts w:cs="Segoe UI"/>
          <w:color w:val="333333"/>
          <w:szCs w:val="21"/>
          <w:lang w:eastAsia="en-NZ"/>
        </w:rPr>
        <w:t>vacuum extraction</w:t>
      </w:r>
      <w:r w:rsidRPr="00CD3992">
        <w:rPr>
          <w:rFonts w:cs="Segoe UI"/>
          <w:color w:val="333333"/>
          <w:szCs w:val="21"/>
          <w:lang w:eastAsia="en-NZ"/>
        </w:rPr>
        <w:t xml:space="preserve"> has changed in the 11th Edition. Some births previously categorised as spontaneous vaginal births are now categorised as assisted births. This means the data may show an increase in assisted births, but it may be due to the change in coding standards rather than a true increase.</w:t>
      </w:r>
    </w:p>
    <w:p w14:paraId="556EAAAA" w14:textId="29DA31B5" w:rsidR="00E70960" w:rsidRPr="00CD3992" w:rsidRDefault="00E70960" w:rsidP="00E70960">
      <w:pPr>
        <w:numPr>
          <w:ilvl w:val="0"/>
          <w:numId w:val="37"/>
        </w:numPr>
        <w:shd w:val="clear" w:color="auto" w:fill="FFFFFF"/>
        <w:spacing w:before="100" w:beforeAutospacing="1" w:after="100" w:afterAutospacing="1"/>
        <w:rPr>
          <w:rFonts w:cs="Segoe UI"/>
          <w:color w:val="333333"/>
          <w:szCs w:val="21"/>
          <w:lang w:eastAsia="en-NZ"/>
        </w:rPr>
      </w:pPr>
      <w:r w:rsidRPr="00CD3992">
        <w:rPr>
          <w:rFonts w:cs="Segoe UI"/>
          <w:color w:val="333333"/>
          <w:szCs w:val="21"/>
          <w:lang w:eastAsia="en-NZ"/>
        </w:rPr>
        <w:t xml:space="preserve">Coding of failed forceps or </w:t>
      </w:r>
      <w:r w:rsidR="002F7B20">
        <w:rPr>
          <w:rFonts w:cs="Segoe UI"/>
          <w:color w:val="333333"/>
          <w:szCs w:val="21"/>
          <w:lang w:eastAsia="en-NZ"/>
        </w:rPr>
        <w:t>vacuum extraction</w:t>
      </w:r>
      <w:r w:rsidRPr="00CD3992">
        <w:rPr>
          <w:rFonts w:cs="Segoe UI"/>
          <w:color w:val="333333"/>
          <w:szCs w:val="21"/>
          <w:lang w:eastAsia="en-NZ"/>
        </w:rPr>
        <w:t xml:space="preserve"> and subsequent spontaneous vaginal birth has changed in the 11th Edition. Some births previously categorised as spontaneous vaginal births are now categorised as assisted births. This means the data is expected to show an increase in assisted births, but it may be due to the change in coding standards rather than a true increase.</w:t>
      </w:r>
    </w:p>
    <w:p w14:paraId="119617B3" w14:textId="464E8EC4" w:rsidR="00E70960" w:rsidRPr="00CD3992" w:rsidRDefault="00E70960" w:rsidP="00E70960">
      <w:pPr>
        <w:numPr>
          <w:ilvl w:val="0"/>
          <w:numId w:val="37"/>
        </w:numPr>
        <w:shd w:val="clear" w:color="auto" w:fill="FFFFFF"/>
        <w:spacing w:before="100" w:beforeAutospacing="1" w:after="100" w:afterAutospacing="1"/>
        <w:rPr>
          <w:rFonts w:cs="Segoe UI"/>
          <w:color w:val="333333"/>
          <w:szCs w:val="21"/>
          <w:lang w:eastAsia="en-NZ"/>
        </w:rPr>
      </w:pPr>
      <w:r w:rsidRPr="00CD3992">
        <w:rPr>
          <w:rFonts w:cs="Segoe UI"/>
          <w:color w:val="333333"/>
          <w:szCs w:val="21"/>
          <w:lang w:eastAsia="en-NZ"/>
        </w:rPr>
        <w:t>Coding of caesarean section type (</w:t>
      </w:r>
      <w:r w:rsidR="00E00A59">
        <w:rPr>
          <w:rFonts w:cs="Segoe UI"/>
          <w:color w:val="333333"/>
          <w:szCs w:val="21"/>
          <w:lang w:eastAsia="en-NZ"/>
        </w:rPr>
        <w:t>C</w:t>
      </w:r>
      <w:r w:rsidRPr="00CD3992">
        <w:rPr>
          <w:rFonts w:cs="Segoe UI"/>
          <w:color w:val="333333"/>
          <w:szCs w:val="21"/>
          <w:lang w:eastAsia="en-NZ"/>
        </w:rPr>
        <w:t>lassical/</w:t>
      </w:r>
      <w:r w:rsidR="00E00A59" w:rsidRPr="00CD3992">
        <w:rPr>
          <w:rFonts w:cs="Segoe UI"/>
          <w:color w:val="333333"/>
          <w:szCs w:val="21"/>
          <w:lang w:eastAsia="en-NZ"/>
        </w:rPr>
        <w:t>L</w:t>
      </w:r>
      <w:r w:rsidR="00E00A59">
        <w:rPr>
          <w:rFonts w:cs="Segoe UI"/>
          <w:color w:val="333333"/>
          <w:szCs w:val="21"/>
          <w:lang w:eastAsia="en-NZ"/>
        </w:rPr>
        <w:t xml:space="preserve">ower </w:t>
      </w:r>
      <w:r w:rsidR="00E00A59" w:rsidRPr="00CD3992">
        <w:rPr>
          <w:rFonts w:cs="Segoe UI"/>
          <w:color w:val="333333"/>
          <w:szCs w:val="21"/>
          <w:lang w:eastAsia="en-NZ"/>
        </w:rPr>
        <w:t>U</w:t>
      </w:r>
      <w:r w:rsidR="00E00A59">
        <w:rPr>
          <w:rFonts w:cs="Segoe UI"/>
          <w:color w:val="333333"/>
          <w:szCs w:val="21"/>
          <w:lang w:eastAsia="en-NZ"/>
        </w:rPr>
        <w:t xml:space="preserve">terine </w:t>
      </w:r>
      <w:r w:rsidR="00E00A59" w:rsidRPr="00CD3992">
        <w:rPr>
          <w:rFonts w:cs="Segoe UI"/>
          <w:color w:val="333333"/>
          <w:szCs w:val="21"/>
          <w:lang w:eastAsia="en-NZ"/>
        </w:rPr>
        <w:t>S</w:t>
      </w:r>
      <w:r w:rsidR="00E00A59">
        <w:rPr>
          <w:rFonts w:cs="Segoe UI"/>
          <w:color w:val="333333"/>
          <w:szCs w:val="21"/>
          <w:lang w:eastAsia="en-NZ"/>
        </w:rPr>
        <w:t>egment</w:t>
      </w:r>
      <w:r w:rsidRPr="00CD3992">
        <w:rPr>
          <w:rFonts w:cs="Segoe UI"/>
          <w:color w:val="333333"/>
          <w:szCs w:val="21"/>
          <w:lang w:eastAsia="en-NZ"/>
        </w:rPr>
        <w:t xml:space="preserve">) and indication (elective/emergency) has changed in the 11th Edition. Caesarean sections where Classical or </w:t>
      </w:r>
      <w:r w:rsidR="00E00A59" w:rsidRPr="00CD3992">
        <w:rPr>
          <w:rFonts w:cs="Segoe UI"/>
          <w:color w:val="333333"/>
          <w:szCs w:val="21"/>
          <w:lang w:eastAsia="en-NZ"/>
        </w:rPr>
        <w:t>L</w:t>
      </w:r>
      <w:r w:rsidR="00E00A59">
        <w:rPr>
          <w:rFonts w:cs="Segoe UI"/>
          <w:color w:val="333333"/>
          <w:szCs w:val="21"/>
          <w:lang w:eastAsia="en-NZ"/>
        </w:rPr>
        <w:t xml:space="preserve">ower </w:t>
      </w:r>
      <w:r w:rsidR="00E00A59" w:rsidRPr="00CD3992">
        <w:rPr>
          <w:rFonts w:cs="Segoe UI"/>
          <w:color w:val="333333"/>
          <w:szCs w:val="21"/>
          <w:lang w:eastAsia="en-NZ"/>
        </w:rPr>
        <w:t>U</w:t>
      </w:r>
      <w:r w:rsidR="00E00A59">
        <w:rPr>
          <w:rFonts w:cs="Segoe UI"/>
          <w:color w:val="333333"/>
          <w:szCs w:val="21"/>
          <w:lang w:eastAsia="en-NZ"/>
        </w:rPr>
        <w:t xml:space="preserve">terine </w:t>
      </w:r>
      <w:r w:rsidR="00E00A59" w:rsidRPr="00CD3992">
        <w:rPr>
          <w:rFonts w:cs="Segoe UI"/>
          <w:color w:val="333333"/>
          <w:szCs w:val="21"/>
          <w:lang w:eastAsia="en-NZ"/>
        </w:rPr>
        <w:t>S</w:t>
      </w:r>
      <w:r w:rsidR="00E00A59">
        <w:rPr>
          <w:rFonts w:cs="Segoe UI"/>
          <w:color w:val="333333"/>
          <w:szCs w:val="21"/>
          <w:lang w:eastAsia="en-NZ"/>
        </w:rPr>
        <w:t>egment</w:t>
      </w:r>
      <w:r w:rsidR="00E00A59" w:rsidRPr="00CD3992">
        <w:rPr>
          <w:rFonts w:cs="Segoe UI"/>
          <w:color w:val="333333"/>
          <w:szCs w:val="21"/>
          <w:lang w:eastAsia="en-NZ"/>
        </w:rPr>
        <w:t xml:space="preserve"> </w:t>
      </w:r>
      <w:r w:rsidR="00E00A59">
        <w:rPr>
          <w:rFonts w:cs="Segoe UI"/>
          <w:color w:val="333333"/>
          <w:szCs w:val="21"/>
          <w:lang w:eastAsia="en-NZ"/>
        </w:rPr>
        <w:t>(</w:t>
      </w:r>
      <w:r w:rsidRPr="00CD3992">
        <w:rPr>
          <w:rFonts w:cs="Segoe UI"/>
          <w:color w:val="333333"/>
          <w:szCs w:val="21"/>
          <w:lang w:eastAsia="en-NZ"/>
        </w:rPr>
        <w:t>LUS</w:t>
      </w:r>
      <w:r w:rsidR="00E00A59">
        <w:rPr>
          <w:rFonts w:cs="Segoe UI"/>
          <w:color w:val="333333"/>
          <w:szCs w:val="21"/>
          <w:lang w:eastAsia="en-NZ"/>
        </w:rPr>
        <w:t>)</w:t>
      </w:r>
      <w:r w:rsidRPr="00CD3992">
        <w:rPr>
          <w:rFonts w:cs="Segoe UI"/>
          <w:color w:val="333333"/>
          <w:szCs w:val="21"/>
          <w:lang w:eastAsia="en-NZ"/>
        </w:rPr>
        <w:t xml:space="preserve"> is not documented are now coded as '</w:t>
      </w:r>
      <w:r w:rsidR="00BB6CB7">
        <w:rPr>
          <w:rFonts w:cs="Segoe UI"/>
          <w:color w:val="333333"/>
          <w:szCs w:val="21"/>
          <w:lang w:eastAsia="en-NZ"/>
        </w:rPr>
        <w:t xml:space="preserve">caesarean section, </w:t>
      </w:r>
      <w:r w:rsidRPr="00CD3992">
        <w:rPr>
          <w:rFonts w:cs="Segoe UI"/>
          <w:color w:val="333333"/>
          <w:szCs w:val="21"/>
          <w:lang w:eastAsia="en-NZ"/>
        </w:rPr>
        <w:t xml:space="preserve">not elsewhere classified' (NEC), where previously they were categorised as LUS. Some births categorised as </w:t>
      </w:r>
      <w:r w:rsidR="00BB6CB7">
        <w:rPr>
          <w:rFonts w:cs="Segoe UI"/>
          <w:color w:val="333333"/>
          <w:szCs w:val="21"/>
          <w:lang w:eastAsia="en-NZ"/>
        </w:rPr>
        <w:t>elective</w:t>
      </w:r>
      <w:r w:rsidRPr="00CD3992">
        <w:rPr>
          <w:rFonts w:cs="Segoe UI"/>
          <w:color w:val="333333"/>
          <w:szCs w:val="21"/>
          <w:lang w:eastAsia="en-NZ"/>
        </w:rPr>
        <w:t xml:space="preserve"> caesarean sections are now categorised as </w:t>
      </w:r>
      <w:r w:rsidR="00BB6CB7">
        <w:rPr>
          <w:rFonts w:cs="Segoe UI"/>
          <w:color w:val="333333"/>
          <w:szCs w:val="21"/>
          <w:lang w:eastAsia="en-NZ"/>
        </w:rPr>
        <w:t>emergency</w:t>
      </w:r>
      <w:r w:rsidRPr="00CD3992">
        <w:rPr>
          <w:rFonts w:cs="Segoe UI"/>
          <w:color w:val="333333"/>
          <w:szCs w:val="21"/>
          <w:lang w:eastAsia="en-NZ"/>
        </w:rPr>
        <w:t xml:space="preserve"> caesarean sections. For these reasons, the data is expected to show an increase in emergency caesareans, but it may be due to the change in coding standards rather than a true increase.</w:t>
      </w:r>
    </w:p>
    <w:p w14:paraId="4617DCA2" w14:textId="4CA4E8B6" w:rsidR="00E70960" w:rsidRDefault="00E70960" w:rsidP="00E70960">
      <w:pPr>
        <w:keepNext/>
        <w:rPr>
          <w:rFonts w:cs="Segoe UI"/>
          <w:color w:val="333333"/>
          <w:szCs w:val="21"/>
          <w:lang w:eastAsia="en-NZ"/>
        </w:rPr>
      </w:pPr>
      <w:bookmarkStart w:id="29" w:name="_Hlk142899282"/>
      <w:r w:rsidRPr="00CD3992">
        <w:rPr>
          <w:rFonts w:cs="Segoe UI"/>
          <w:color w:val="333333"/>
          <w:szCs w:val="21"/>
          <w:lang w:eastAsia="en-NZ"/>
        </w:rPr>
        <w:t xml:space="preserve">Please note, not all </w:t>
      </w:r>
      <w:r w:rsidR="00755E47">
        <w:rPr>
          <w:rFonts w:cs="Segoe UI"/>
          <w:color w:val="333333"/>
          <w:szCs w:val="21"/>
          <w:lang w:eastAsia="en-NZ"/>
        </w:rPr>
        <w:t>districts/</w:t>
      </w:r>
      <w:r w:rsidRPr="00CD3992">
        <w:rPr>
          <w:rFonts w:cs="Segoe UI"/>
          <w:color w:val="333333"/>
          <w:szCs w:val="21"/>
          <w:lang w:eastAsia="en-NZ"/>
        </w:rPr>
        <w:t>DHBs upgraded to ICD-10-AM/ACHI/</w:t>
      </w:r>
      <w:proofErr w:type="gramStart"/>
      <w:r w:rsidRPr="00CD3992">
        <w:rPr>
          <w:rFonts w:cs="Segoe UI"/>
          <w:color w:val="333333"/>
          <w:szCs w:val="21"/>
          <w:lang w:eastAsia="en-NZ"/>
        </w:rPr>
        <w:t>ACS</w:t>
      </w:r>
      <w:proofErr w:type="gramEnd"/>
      <w:r w:rsidRPr="00CD3992">
        <w:rPr>
          <w:rFonts w:cs="Segoe UI"/>
          <w:color w:val="333333"/>
          <w:szCs w:val="21"/>
          <w:lang w:eastAsia="en-NZ"/>
        </w:rPr>
        <w:t xml:space="preserve"> 11th Edition on 1 July 2019. </w:t>
      </w:r>
      <w:r w:rsidRPr="00DB2242">
        <w:rPr>
          <w:rFonts w:cs="Segoe UI"/>
          <w:szCs w:val="21"/>
        </w:rPr>
        <w:t>Therefore</w:t>
      </w:r>
      <w:r w:rsidRPr="00DB2242">
        <w:rPr>
          <w:rFonts w:cs="Segoe UI"/>
          <w:color w:val="333333"/>
          <w:szCs w:val="21"/>
          <w:lang w:eastAsia="en-NZ"/>
        </w:rPr>
        <w:t xml:space="preserve">, the data in this web tool for the </w:t>
      </w:r>
      <w:r w:rsidR="00DB2242">
        <w:rPr>
          <w:rFonts w:cs="Segoe UI"/>
          <w:color w:val="333333"/>
          <w:szCs w:val="21"/>
          <w:lang w:eastAsia="en-NZ"/>
        </w:rPr>
        <w:t xml:space="preserve">2019 and </w:t>
      </w:r>
      <w:r w:rsidRPr="00DB2242">
        <w:rPr>
          <w:rFonts w:cs="Segoe UI"/>
          <w:color w:val="333333"/>
          <w:szCs w:val="21"/>
          <w:lang w:eastAsia="en-NZ"/>
        </w:rPr>
        <w:t>20</w:t>
      </w:r>
      <w:r w:rsidR="00E97AAE" w:rsidRPr="00DB2242">
        <w:rPr>
          <w:rFonts w:cs="Segoe UI"/>
          <w:color w:val="333333"/>
          <w:szCs w:val="21"/>
          <w:lang w:eastAsia="en-NZ"/>
        </w:rPr>
        <w:t>20</w:t>
      </w:r>
      <w:r w:rsidRPr="00DB2242">
        <w:rPr>
          <w:rFonts w:cs="Segoe UI"/>
          <w:color w:val="333333"/>
          <w:szCs w:val="21"/>
          <w:lang w:eastAsia="en-NZ"/>
        </w:rPr>
        <w:t xml:space="preserve"> calendar year</w:t>
      </w:r>
      <w:r w:rsidR="00DB2242">
        <w:rPr>
          <w:rFonts w:cs="Segoe UI"/>
          <w:color w:val="333333"/>
          <w:szCs w:val="21"/>
          <w:lang w:eastAsia="en-NZ"/>
        </w:rPr>
        <w:t>s</w:t>
      </w:r>
      <w:r w:rsidRPr="00DB2242">
        <w:rPr>
          <w:rFonts w:cs="Segoe UI"/>
          <w:color w:val="333333"/>
          <w:szCs w:val="21"/>
          <w:lang w:eastAsia="en-NZ"/>
        </w:rPr>
        <w:t xml:space="preserve"> include clinical coding in both 8th and 11th Edition.</w:t>
      </w:r>
      <w:r w:rsidR="0068687E">
        <w:rPr>
          <w:rFonts w:cs="Segoe UI"/>
          <w:color w:val="333333"/>
          <w:szCs w:val="21"/>
          <w:lang w:eastAsia="en-NZ"/>
        </w:rPr>
        <w:t xml:space="preserve"> </w:t>
      </w:r>
      <w:r w:rsidR="0068687E" w:rsidRPr="0068687E">
        <w:rPr>
          <w:rFonts w:cs="Segoe UI"/>
          <w:color w:val="333333"/>
          <w:szCs w:val="21"/>
          <w:lang w:eastAsia="en-NZ"/>
        </w:rPr>
        <w:t>Data for the 2021 calendar year was coded in 11th Edition.</w:t>
      </w:r>
    </w:p>
    <w:bookmarkEnd w:id="29"/>
    <w:p w14:paraId="1A7987CC" w14:textId="435B547B" w:rsidR="00A11C7A" w:rsidRDefault="00A11C7A" w:rsidP="00E70960">
      <w:pPr>
        <w:keepNext/>
        <w:rPr>
          <w:rFonts w:cs="Segoe UI"/>
          <w:color w:val="333333"/>
          <w:szCs w:val="21"/>
          <w:lang w:eastAsia="en-NZ"/>
        </w:rPr>
      </w:pPr>
    </w:p>
    <w:p w14:paraId="644F9C06" w14:textId="77777777" w:rsidR="00A11C7A" w:rsidRPr="00A11C7A" w:rsidRDefault="00A11C7A" w:rsidP="00A11C7A">
      <w:pPr>
        <w:pStyle w:val="Heading3"/>
      </w:pPr>
      <w:r w:rsidRPr="00A11C7A">
        <w:t>Primary Maternity Services Notice 2021</w:t>
      </w:r>
    </w:p>
    <w:p w14:paraId="5D216E57" w14:textId="77777777" w:rsidR="00A11C7A" w:rsidRPr="00A11C7A" w:rsidRDefault="00A11C7A" w:rsidP="00A11C7A">
      <w:pPr>
        <w:keepNext/>
        <w:rPr>
          <w:rFonts w:cs="Segoe UI"/>
          <w:color w:val="333333"/>
          <w:szCs w:val="21"/>
          <w:lang w:eastAsia="en-NZ"/>
        </w:rPr>
      </w:pPr>
      <w:r w:rsidRPr="00A11C7A">
        <w:rPr>
          <w:rFonts w:cs="Segoe UI"/>
          <w:color w:val="333333"/>
          <w:szCs w:val="21"/>
          <w:lang w:eastAsia="en-NZ"/>
        </w:rPr>
        <w:t>The Primary Maternity Services Notice 2021 came into force on 29th November 2021, introducing changes to the terms and conditions on which maternity providers can claim for providing primary maternity services. This revokes the Primary Maternity Services Notice which came into effect on 1 July 2007 and its amendments.</w:t>
      </w:r>
    </w:p>
    <w:p w14:paraId="21C4D571" w14:textId="74A0AFBD" w:rsidR="00A11C7A" w:rsidRPr="00CD3992" w:rsidRDefault="00A11C7A" w:rsidP="00A11C7A">
      <w:pPr>
        <w:keepNext/>
        <w:rPr>
          <w:rFonts w:cs="Segoe UI"/>
          <w:color w:val="333333"/>
          <w:szCs w:val="21"/>
          <w:lang w:eastAsia="en-NZ"/>
        </w:rPr>
      </w:pPr>
      <w:r w:rsidRPr="00A11C7A">
        <w:rPr>
          <w:rFonts w:cs="Segoe UI"/>
          <w:color w:val="333333"/>
          <w:szCs w:val="21"/>
          <w:lang w:eastAsia="en-NZ"/>
        </w:rPr>
        <w:t>There are underlying changes to the way some data are now captured (such as smoking status</w:t>
      </w:r>
      <w:r w:rsidR="00EB6925">
        <w:rPr>
          <w:rFonts w:cs="Segoe UI"/>
          <w:color w:val="333333"/>
          <w:szCs w:val="21"/>
          <w:lang w:eastAsia="en-NZ"/>
        </w:rPr>
        <w:t xml:space="preserve">, </w:t>
      </w:r>
      <w:r w:rsidRPr="00A11C7A">
        <w:rPr>
          <w:rFonts w:cs="Segoe UI"/>
          <w:color w:val="333333"/>
          <w:szCs w:val="21"/>
          <w:lang w:eastAsia="en-NZ"/>
        </w:rPr>
        <w:t xml:space="preserve">breastfeeding and Well child referral). </w:t>
      </w:r>
      <w:r w:rsidR="00EB6925">
        <w:rPr>
          <w:rFonts w:cs="Segoe UI"/>
          <w:color w:val="333333"/>
          <w:szCs w:val="21"/>
          <w:lang w:eastAsia="en-NZ"/>
        </w:rPr>
        <w:t>S</w:t>
      </w:r>
      <w:r w:rsidRPr="00A11C7A">
        <w:rPr>
          <w:rFonts w:cs="Segoe UI"/>
          <w:color w:val="333333"/>
          <w:szCs w:val="21"/>
          <w:lang w:eastAsia="en-NZ"/>
        </w:rPr>
        <w:t>ome metrics are no longer collected (such as height and weight at registration, which impacts on BMI calculation). It is important to consider these changes when comparing claims data pre and post November 2021.</w:t>
      </w:r>
      <w:r w:rsidR="005932F0">
        <w:rPr>
          <w:rFonts w:cs="Segoe UI"/>
          <w:color w:val="333333"/>
          <w:szCs w:val="21"/>
          <w:lang w:eastAsia="en-NZ"/>
        </w:rPr>
        <w:t xml:space="preserve"> </w:t>
      </w:r>
      <w:r w:rsidRPr="00A11C7A">
        <w:rPr>
          <w:rFonts w:cs="Segoe UI"/>
          <w:color w:val="333333"/>
          <w:szCs w:val="21"/>
          <w:lang w:eastAsia="en-NZ"/>
        </w:rPr>
        <w:t xml:space="preserve">Further information on the Primary Maternity Services Notice 2021 is available on the </w:t>
      </w:r>
      <w:hyperlink r:id="rId18" w:history="1">
        <w:r w:rsidRPr="00A11C7A">
          <w:rPr>
            <w:rStyle w:val="Hyperlink"/>
            <w:rFonts w:cs="Segoe UI"/>
            <w:szCs w:val="21"/>
            <w:lang w:eastAsia="en-NZ"/>
          </w:rPr>
          <w:t>Ministry of Health's website</w:t>
        </w:r>
      </w:hyperlink>
      <w:r w:rsidRPr="00A11C7A">
        <w:rPr>
          <w:rFonts w:cs="Segoe UI"/>
          <w:color w:val="333333"/>
          <w:szCs w:val="21"/>
          <w:lang w:eastAsia="en-NZ"/>
        </w:rPr>
        <w:t>.</w:t>
      </w:r>
    </w:p>
    <w:p w14:paraId="73907047" w14:textId="17AB3F28" w:rsidR="00AA769E" w:rsidRDefault="00AA769E" w:rsidP="00AA769E">
      <w:pPr>
        <w:pStyle w:val="Heading2"/>
      </w:pPr>
      <w:bookmarkStart w:id="30" w:name="_Toc165466918"/>
      <w:r>
        <w:t>Data integrity</w:t>
      </w:r>
      <w:bookmarkEnd w:id="30"/>
    </w:p>
    <w:p w14:paraId="6215A60F" w14:textId="5DABB389" w:rsidR="00AA769E" w:rsidRPr="00193BB0" w:rsidRDefault="0094796D" w:rsidP="00AA769E">
      <w:r>
        <w:t>Health New Zealand</w:t>
      </w:r>
      <w:r w:rsidR="00AA769E" w:rsidRPr="00AA769E">
        <w:t xml:space="preserve"> compiles the </w:t>
      </w:r>
      <w:r w:rsidR="00AA769E">
        <w:t>Report on Maternity</w:t>
      </w:r>
      <w:r w:rsidR="00AA769E" w:rsidRPr="00AA769E">
        <w:t xml:space="preserve"> series from data supplied by districts, lead maternity carers (LMCs) and other claimants from the Primary Maternity </w:t>
      </w:r>
      <w:r w:rsidR="00AA769E" w:rsidRPr="00AA769E">
        <w:lastRenderedPageBreak/>
        <w:t xml:space="preserve">Services Notice. The districts and their maternity facilities are individually responsible for ensuring the completeness and quality of data they supply to national collections. Lead maternity carers are contractually responsible for ensuring the accuracy of data they supply on claims for payment. </w:t>
      </w:r>
      <w:r>
        <w:t>Health New Zealand</w:t>
      </w:r>
      <w:r w:rsidR="00AA769E" w:rsidRPr="00AA769E">
        <w:t xml:space="preserve"> has applied data quality management at several points in the collection, extraction and reporting of the data used for the </w:t>
      </w:r>
      <w:r w:rsidR="00AA769E">
        <w:t>Report on Maternity series</w:t>
      </w:r>
      <w:r w:rsidR="00AA769E" w:rsidRPr="00AA769E">
        <w:t>. However, errors can occur. Users should contact</w:t>
      </w:r>
      <w:r w:rsidR="00516A3A">
        <w:t xml:space="preserve"> the </w:t>
      </w:r>
      <w:hyperlink r:id="rId19" w:history="1">
        <w:r w:rsidR="00516A3A" w:rsidRPr="00516A3A">
          <w:rPr>
            <w:rStyle w:val="Hyperlink"/>
            <w:rFonts w:cs="Segoe UI"/>
            <w:b w:val="0"/>
            <w:bCs/>
            <w:color w:val="3C8DBC"/>
            <w:szCs w:val="21"/>
            <w:shd w:val="clear" w:color="auto" w:fill="FFFFFF"/>
          </w:rPr>
          <w:t>Data Services team</w:t>
        </w:r>
      </w:hyperlink>
      <w:r w:rsidR="00AA769E" w:rsidRPr="00516A3A">
        <w:t xml:space="preserve"> </w:t>
      </w:r>
      <w:r w:rsidR="00516A3A">
        <w:t xml:space="preserve">at </w:t>
      </w:r>
      <w:r>
        <w:t>Health New Zealand</w:t>
      </w:r>
      <w:r w:rsidR="00AA769E" w:rsidRPr="00516A3A">
        <w:t xml:space="preserve"> with any concerns regarding the data or analyses </w:t>
      </w:r>
      <w:r w:rsidR="00AA769E" w:rsidRPr="00AA769E">
        <w:t xml:space="preserve">presented in the </w:t>
      </w:r>
      <w:r w:rsidR="00AA769E">
        <w:t xml:space="preserve">Report on Maternity. </w:t>
      </w:r>
    </w:p>
    <w:p w14:paraId="3EA15B60" w14:textId="77777777" w:rsidR="00686C9E" w:rsidRPr="00950E2D" w:rsidRDefault="00686C9E" w:rsidP="00925664">
      <w:pPr>
        <w:pStyle w:val="Heading2"/>
      </w:pPr>
      <w:bookmarkStart w:id="31" w:name="_Toc431462717"/>
      <w:bookmarkStart w:id="32" w:name="_Ref431982157"/>
      <w:bookmarkStart w:id="33" w:name="_Toc479583254"/>
      <w:bookmarkStart w:id="34" w:name="_Toc485542622"/>
      <w:bookmarkStart w:id="35" w:name="_Toc165466919"/>
      <w:bookmarkStart w:id="36" w:name="_Toc405886999"/>
      <w:bookmarkStart w:id="37" w:name="_Toc412122392"/>
      <w:bookmarkStart w:id="38" w:name="_Toc431462716"/>
      <w:bookmarkStart w:id="39" w:name="_Toc395786532"/>
      <w:bookmarkStart w:id="40" w:name="_Toc311786199"/>
      <w:bookmarkStart w:id="41" w:name="_Toc354993953"/>
      <w:bookmarkStart w:id="42" w:name="_Toc395786533"/>
      <w:bookmarkStart w:id="43" w:name="_Toc405887000"/>
      <w:bookmarkStart w:id="44" w:name="_Toc412122393"/>
      <w:bookmarkStart w:id="45" w:name="_Ref399775380"/>
      <w:bookmarkStart w:id="46" w:name="_Toc405887001"/>
      <w:bookmarkStart w:id="47" w:name="_Toc412122394"/>
      <w:r w:rsidRPr="00950E2D">
        <w:t>Analytical methods</w:t>
      </w:r>
      <w:bookmarkEnd w:id="31"/>
      <w:bookmarkEnd w:id="32"/>
      <w:bookmarkEnd w:id="33"/>
      <w:bookmarkEnd w:id="34"/>
      <w:bookmarkEnd w:id="35"/>
    </w:p>
    <w:p w14:paraId="4F3B578D" w14:textId="58ADF997" w:rsidR="00940461" w:rsidRPr="00950E2D" w:rsidRDefault="00940461" w:rsidP="00925664">
      <w:r w:rsidRPr="00950E2D">
        <w:t xml:space="preserve">The data presented in </w:t>
      </w:r>
      <w:r w:rsidR="00682519">
        <w:t>the Report on Maternity</w:t>
      </w:r>
      <w:r w:rsidRPr="00950E2D">
        <w:t xml:space="preserve"> </w:t>
      </w:r>
      <w:r>
        <w:t>web tool</w:t>
      </w:r>
      <w:r w:rsidRPr="00950E2D">
        <w:t xml:space="preserve"> primarily pertains to all </w:t>
      </w:r>
      <w:r w:rsidR="00516A3A">
        <w:t>pregnant people</w:t>
      </w:r>
      <w:r w:rsidRPr="00950E2D">
        <w:t xml:space="preserve"> recorded as giving birth</w:t>
      </w:r>
      <w:r>
        <w:t xml:space="preserve"> and to live-born babies f</w:t>
      </w:r>
      <w:r w:rsidR="00682519">
        <w:t xml:space="preserve">or the latest </w:t>
      </w:r>
      <w:r w:rsidR="00977C87">
        <w:t>1</w:t>
      </w:r>
      <w:r w:rsidR="003B399F">
        <w:t>6</w:t>
      </w:r>
      <w:r w:rsidR="00682519">
        <w:t xml:space="preserve"> years of available data</w:t>
      </w:r>
      <w:r w:rsidRPr="00950E2D">
        <w:t>, as sourced from the National Maternity C</w:t>
      </w:r>
      <w:r>
        <w:t>ollection. Data presented for multiple years</w:t>
      </w:r>
      <w:r w:rsidRPr="00950E2D">
        <w:t xml:space="preserve"> </w:t>
      </w:r>
      <w:r>
        <w:t xml:space="preserve">was </w:t>
      </w:r>
      <w:r w:rsidRPr="00950E2D">
        <w:t>analysed using the same methods and criteria to provide a consistent view over time.</w:t>
      </w:r>
    </w:p>
    <w:p w14:paraId="329AA8B8" w14:textId="77777777" w:rsidR="00940461" w:rsidRDefault="00940461" w:rsidP="00925664">
      <w:pPr>
        <w:pStyle w:val="Heading3"/>
        <w:ind w:left="-426" w:firstLine="426"/>
      </w:pPr>
      <w:r w:rsidRPr="003E755C">
        <w:t>Ethnicity</w:t>
      </w:r>
    </w:p>
    <w:p w14:paraId="72477548" w14:textId="77777777" w:rsidR="00940461" w:rsidRPr="00AE78A4" w:rsidRDefault="00940461" w:rsidP="00940461">
      <w:pPr>
        <w:ind w:left="-426"/>
      </w:pPr>
    </w:p>
    <w:p w14:paraId="3A6B2E36" w14:textId="77777777" w:rsidR="00940461" w:rsidRPr="003E755C" w:rsidRDefault="00940461" w:rsidP="00925664">
      <w:r>
        <w:t>The web tool</w:t>
      </w:r>
      <w:r w:rsidRPr="003E755C">
        <w:t xml:space="preserve"> uses </w:t>
      </w:r>
      <w:r w:rsidRPr="003E755C">
        <w:rPr>
          <w:i/>
        </w:rPr>
        <w:t>prioritised ethnicity</w:t>
      </w:r>
      <w:r w:rsidRPr="003E755C">
        <w:t>, whereby each person represented in the data is allocated to a single ethnic group using the priority system Māori &gt; Pacific</w:t>
      </w:r>
      <w:r>
        <w:t xml:space="preserve"> peoples</w:t>
      </w:r>
      <w:r w:rsidRPr="003E755C">
        <w:t xml:space="preserve"> &gt; Indian &gt; Asian (excluding Indian) &gt; Other ethnicities&gt; European. The aim of prioritisation is to ensure that where it is necessary to assign people to a single ethnic group, ethnic groups that are small or important in terms of policy are not swamped by the European ethnic group. This is also a more robust method of dealing with the low rate of multiple ethnicities in health sector data. </w:t>
      </w:r>
      <w:r w:rsidRPr="003E755C">
        <w:rPr>
          <w:rFonts w:cs="Calibri"/>
        </w:rPr>
        <w:t>Further information on ethnicity data protocols for the health and disability sector is available from the Ministry of Health ethnicity protocols (Ministry of Health 2004)</w:t>
      </w:r>
      <w:r w:rsidRPr="003E755C">
        <w:t>.</w:t>
      </w:r>
    </w:p>
    <w:p w14:paraId="3CD8AC8D" w14:textId="77777777" w:rsidR="00940461" w:rsidRPr="003E755C" w:rsidRDefault="00940461" w:rsidP="00925664">
      <w:r w:rsidRPr="003E755C">
        <w:t xml:space="preserve">Individuals recorded as being of </w:t>
      </w:r>
      <w:proofErr w:type="gramStart"/>
      <w:r w:rsidRPr="003E755C">
        <w:t>Other</w:t>
      </w:r>
      <w:proofErr w:type="gramEnd"/>
      <w:r w:rsidRPr="003E755C">
        <w:t xml:space="preserve"> ethnicities are primarily Middle Eastern, Latin American or African. The number of individuals in the Other ethnic group is small and</w:t>
      </w:r>
      <w:r>
        <w:t>,</w:t>
      </w:r>
      <w:r w:rsidRPr="003E755C">
        <w:t xml:space="preserve"> therefore</w:t>
      </w:r>
      <w:r>
        <w:t>,</w:t>
      </w:r>
      <w:r w:rsidRPr="003E755C">
        <w:t xml:space="preserve"> the Other</w:t>
      </w:r>
      <w:r>
        <w:t xml:space="preserve"> ethnic</w:t>
      </w:r>
      <w:r w:rsidRPr="003E755C">
        <w:t xml:space="preserve"> group is often included with the European group for analysis.</w:t>
      </w:r>
    </w:p>
    <w:p w14:paraId="5F607C61" w14:textId="77777777" w:rsidR="00940461" w:rsidRDefault="00940461" w:rsidP="00925664">
      <w:r w:rsidRPr="003E755C">
        <w:t xml:space="preserve">In </w:t>
      </w:r>
      <w:r>
        <w:t>the web tool</w:t>
      </w:r>
      <w:r w:rsidRPr="003E755C">
        <w:t>, individuals are commonly presented as the following ethnic groups: Māori, Pacific</w:t>
      </w:r>
      <w:r>
        <w:t xml:space="preserve"> peoples</w:t>
      </w:r>
      <w:r w:rsidRPr="003E755C">
        <w:t>, Indian, Asian (excl</w:t>
      </w:r>
      <w:r>
        <w:t>uding</w:t>
      </w:r>
      <w:r w:rsidRPr="003E755C">
        <w:t xml:space="preserve"> Indian) and European or Other. Information on individual ethnic groups that are aggregated in </w:t>
      </w:r>
      <w:r>
        <w:t>the web tool</w:t>
      </w:r>
      <w:r w:rsidRPr="003E755C">
        <w:t xml:space="preserve"> can be made available on request.</w:t>
      </w:r>
    </w:p>
    <w:p w14:paraId="1390894E" w14:textId="57B1EF7C" w:rsidR="00940461" w:rsidRDefault="00940461" w:rsidP="00925664">
      <w:r>
        <w:t xml:space="preserve">The Indian ethnic group is sometimes presented separately from the Asian ethnic group in the web tool. This is because the Indian ethnic group has a more complex pregnancy profile. In general, </w:t>
      </w:r>
      <w:r w:rsidR="00977C87">
        <w:t>people</w:t>
      </w:r>
      <w:r>
        <w:t xml:space="preserve"> in the Indian ethnic group have a higher rate of interventions, and babies have lower birth weight than the Asian ethnic group excluding Indian.</w:t>
      </w:r>
    </w:p>
    <w:p w14:paraId="2AF036AD" w14:textId="77777777" w:rsidR="00940461" w:rsidRDefault="00940461" w:rsidP="00925664">
      <w:pPr>
        <w:pStyle w:val="Heading3"/>
      </w:pPr>
      <w:r w:rsidRPr="003E755C">
        <w:t>Deprivation</w:t>
      </w:r>
    </w:p>
    <w:p w14:paraId="5C6E4D4F" w14:textId="77777777" w:rsidR="00940461" w:rsidRPr="00AE78A4" w:rsidRDefault="00940461" w:rsidP="00940461"/>
    <w:p w14:paraId="0AE712C6" w14:textId="77777777" w:rsidR="006E1804" w:rsidRDefault="00940461" w:rsidP="00925664">
      <w:r w:rsidRPr="003E755C">
        <w:t xml:space="preserve">The </w:t>
      </w:r>
      <w:r w:rsidRPr="003E755C">
        <w:rPr>
          <w:rFonts w:cs="Calibri"/>
        </w:rPr>
        <w:t>New Zealand Deprivation Index</w:t>
      </w:r>
      <w:r w:rsidRPr="003E755C">
        <w:t xml:space="preserve"> (</w:t>
      </w:r>
      <w:proofErr w:type="spellStart"/>
      <w:r w:rsidRPr="003E755C">
        <w:t>NZDep</w:t>
      </w:r>
      <w:proofErr w:type="spellEnd"/>
      <w:r w:rsidRPr="003E755C">
        <w:t xml:space="preserve">) is a measure of socioeconomic status calculated for small geographic areas. The calculation uses nine variables from each </w:t>
      </w:r>
      <w:r w:rsidRPr="003E755C">
        <w:lastRenderedPageBreak/>
        <w:t xml:space="preserve">Census of Population and Dwellings and provides a summary deprivation score between 1 and 10 for each </w:t>
      </w:r>
      <w:proofErr w:type="spellStart"/>
      <w:r w:rsidRPr="003E755C">
        <w:t>meshblock</w:t>
      </w:r>
      <w:proofErr w:type="spellEnd"/>
      <w:r w:rsidRPr="003E755C">
        <w:t xml:space="preserve"> (small geographical unit containing a median of 90</w:t>
      </w:r>
      <w:r>
        <w:t> </w:t>
      </w:r>
      <w:r w:rsidRPr="003E755C">
        <w:t>people)</w:t>
      </w:r>
      <w:r w:rsidR="006E1804">
        <w:t xml:space="preserve">. </w:t>
      </w:r>
    </w:p>
    <w:p w14:paraId="1B0CF3C7" w14:textId="47EB8B79" w:rsidR="00940461" w:rsidRPr="003E755C" w:rsidRDefault="0094796D" w:rsidP="00925664">
      <w:r>
        <w:t>Health New Zealand</w:t>
      </w:r>
      <w:r w:rsidR="00682519">
        <w:t xml:space="preserve"> </w:t>
      </w:r>
      <w:r w:rsidR="00940461" w:rsidRPr="003E755C">
        <w:t xml:space="preserve">maps the </w:t>
      </w:r>
      <w:proofErr w:type="spellStart"/>
      <w:r w:rsidR="00940461" w:rsidRPr="003E755C">
        <w:t>meshblocks</w:t>
      </w:r>
      <w:proofErr w:type="spellEnd"/>
      <w:r w:rsidR="00940461" w:rsidRPr="003E755C">
        <w:t xml:space="preserve"> to domicile codes, which are built up to the relevant geographic scale using weighted average census usually resident population counts. Further information about socioeconomic deprivation in New Zealand is available on the </w:t>
      </w:r>
      <w:hyperlink r:id="rId20" w:history="1">
        <w:r w:rsidR="005932F0" w:rsidRPr="005932F0">
          <w:rPr>
            <w:b/>
            <w:bCs/>
            <w:color w:val="4A442A" w:themeColor="background2" w:themeShade="40"/>
          </w:rPr>
          <w:t>University of Otago website</w:t>
        </w:r>
      </w:hyperlink>
      <w:r w:rsidR="00940461" w:rsidRPr="00FF246C">
        <w:t>.</w:t>
      </w:r>
    </w:p>
    <w:p w14:paraId="5AF0D742" w14:textId="77777777" w:rsidR="00940461" w:rsidRPr="003E755C" w:rsidRDefault="00940461" w:rsidP="00940461"/>
    <w:p w14:paraId="647EE121" w14:textId="6308820F" w:rsidR="00940461" w:rsidRPr="003E755C" w:rsidRDefault="00940461" w:rsidP="00925664">
      <w:pPr>
        <w:keepNext/>
        <w:keepLines/>
      </w:pPr>
      <w:r w:rsidRPr="003E755C">
        <w:t>In th</w:t>
      </w:r>
      <w:r>
        <w:t>e web tool</w:t>
      </w:r>
      <w:r w:rsidRPr="003E755C">
        <w:t>, individuals are categorised into deprivation quintiles, ranging from 1 (least</w:t>
      </w:r>
      <w:r w:rsidR="00925664">
        <w:t xml:space="preserve"> </w:t>
      </w:r>
      <w:r w:rsidRPr="003E755C">
        <w:t>deprived) to 5 (most deprived).</w:t>
      </w:r>
      <w:r>
        <w:t xml:space="preserve"> T</w:t>
      </w:r>
      <w:r w:rsidRPr="003E755C">
        <w:t>he deprivation quintiles are derived from:</w:t>
      </w:r>
    </w:p>
    <w:p w14:paraId="728FAD3D" w14:textId="5B198EBA" w:rsidR="00940461" w:rsidRPr="003E755C" w:rsidRDefault="00940461" w:rsidP="00940461">
      <w:pPr>
        <w:pStyle w:val="Bullet"/>
      </w:pPr>
      <w:r w:rsidRPr="003E755C">
        <w:t xml:space="preserve">the 2006 </w:t>
      </w:r>
      <w:proofErr w:type="spellStart"/>
      <w:r w:rsidRPr="003E755C">
        <w:t>NZDep</w:t>
      </w:r>
      <w:proofErr w:type="spellEnd"/>
      <w:r w:rsidRPr="003E755C">
        <w:t xml:space="preserve"> for </w:t>
      </w:r>
      <w:r w:rsidR="00977C87">
        <w:t>people</w:t>
      </w:r>
      <w:r w:rsidRPr="003E755C">
        <w:t xml:space="preserve"> giving birth or babies born </w:t>
      </w:r>
      <w:r w:rsidR="00F86053">
        <w:t>from 200</w:t>
      </w:r>
      <w:r w:rsidR="00AF67B9">
        <w:t>8</w:t>
      </w:r>
      <w:r w:rsidR="00F86053">
        <w:t xml:space="preserve"> to 2012</w:t>
      </w:r>
    </w:p>
    <w:p w14:paraId="0686AC39" w14:textId="7FF955AE" w:rsidR="00024058" w:rsidRDefault="00940461" w:rsidP="00940461">
      <w:pPr>
        <w:pStyle w:val="Bullet"/>
      </w:pPr>
      <w:r w:rsidRPr="003E755C">
        <w:t xml:space="preserve">the 2013 </w:t>
      </w:r>
      <w:proofErr w:type="spellStart"/>
      <w:r w:rsidRPr="003E755C">
        <w:t>NZDep</w:t>
      </w:r>
      <w:proofErr w:type="spellEnd"/>
      <w:r w:rsidRPr="003E755C">
        <w:t xml:space="preserve"> for </w:t>
      </w:r>
      <w:r w:rsidR="00977C87">
        <w:t>people</w:t>
      </w:r>
      <w:r w:rsidRPr="003E755C">
        <w:t xml:space="preserve"> giving birth or babies born from 201</w:t>
      </w:r>
      <w:r w:rsidR="00F86053">
        <w:t>3</w:t>
      </w:r>
      <w:r w:rsidRPr="003E755C">
        <w:t xml:space="preserve"> </w:t>
      </w:r>
      <w:r w:rsidR="00024058">
        <w:t>to 201</w:t>
      </w:r>
      <w:r w:rsidR="00F86053">
        <w:t>7</w:t>
      </w:r>
    </w:p>
    <w:p w14:paraId="0CF5FFD7" w14:textId="3D6366BD" w:rsidR="00940461" w:rsidRPr="003E755C" w:rsidRDefault="00024058" w:rsidP="00940461">
      <w:pPr>
        <w:pStyle w:val="Bullet"/>
      </w:pPr>
      <w:r>
        <w:t xml:space="preserve">the 2018 </w:t>
      </w:r>
      <w:proofErr w:type="spellStart"/>
      <w:r>
        <w:t>NZDep</w:t>
      </w:r>
      <w:proofErr w:type="spellEnd"/>
      <w:r>
        <w:t xml:space="preserve"> for </w:t>
      </w:r>
      <w:r w:rsidR="00977C87">
        <w:t>people</w:t>
      </w:r>
      <w:r>
        <w:t xml:space="preserve"> giving birth or babies born from 201</w:t>
      </w:r>
      <w:r w:rsidR="00F86053">
        <w:t>8</w:t>
      </w:r>
      <w:r>
        <w:t xml:space="preserve"> onwards.</w:t>
      </w:r>
    </w:p>
    <w:p w14:paraId="54648630" w14:textId="77777777" w:rsidR="00940461" w:rsidRPr="003E755C" w:rsidRDefault="00940461" w:rsidP="00940461"/>
    <w:p w14:paraId="2F7CCA49" w14:textId="77777777" w:rsidR="00940461" w:rsidRPr="003E755C" w:rsidRDefault="00940461" w:rsidP="00925664">
      <w:r>
        <w:t>This measure is designed so a</w:t>
      </w:r>
      <w:r w:rsidRPr="003E755C">
        <w:t>pproximately equal numbers of the population reside in areas associated with each of the five deprivation quintile areas.</w:t>
      </w:r>
    </w:p>
    <w:p w14:paraId="61692D1B" w14:textId="77777777" w:rsidR="00940461" w:rsidRDefault="00940461" w:rsidP="00925664">
      <w:pPr>
        <w:pStyle w:val="Heading3"/>
      </w:pPr>
      <w:r w:rsidRPr="003E755C">
        <w:t>Type of birth</w:t>
      </w:r>
    </w:p>
    <w:p w14:paraId="1AF455CE" w14:textId="77777777" w:rsidR="00940461" w:rsidRPr="00AE78A4" w:rsidRDefault="00940461" w:rsidP="00940461"/>
    <w:p w14:paraId="2A8C7004" w14:textId="33BE77C8" w:rsidR="00940461" w:rsidRPr="003E755C" w:rsidRDefault="00940461" w:rsidP="00925664">
      <w:r w:rsidRPr="003E755C">
        <w:t xml:space="preserve">Information on types of birth procedure is only available for </w:t>
      </w:r>
      <w:r w:rsidR="00977C87">
        <w:t>people</w:t>
      </w:r>
      <w:r w:rsidRPr="003E755C">
        <w:t xml:space="preserve"> giving birth at a maternity facility. </w:t>
      </w:r>
      <w:r w:rsidR="00977C87">
        <w:t>People</w:t>
      </w:r>
      <w:r w:rsidRPr="003E755C">
        <w:t xml:space="preserve"> giving birth at home are assumed to have had a spontaneous vertex birth.</w:t>
      </w:r>
    </w:p>
    <w:p w14:paraId="68B21B6C" w14:textId="77777777" w:rsidR="00940461" w:rsidRPr="003E755C" w:rsidRDefault="00940461" w:rsidP="00925664">
      <w:pPr>
        <w:ind w:hanging="426"/>
      </w:pPr>
    </w:p>
    <w:p w14:paraId="13D2F380" w14:textId="2E43743C" w:rsidR="00940461" w:rsidRPr="003E755C" w:rsidRDefault="00940461" w:rsidP="00925664">
      <w:r w:rsidRPr="003E755C">
        <w:t xml:space="preserve">Some </w:t>
      </w:r>
      <w:r w:rsidR="00977C87">
        <w:t>people</w:t>
      </w:r>
      <w:r w:rsidRPr="003E755C">
        <w:t xml:space="preserve"> have more than one birth procedure reported for the birth of their baby. </w:t>
      </w:r>
      <w:r>
        <w:t>The web tool</w:t>
      </w:r>
      <w:r w:rsidRPr="003E755C">
        <w:t xml:space="preserve"> uses a priority system by which a maximum of one procedure type is reported per </w:t>
      </w:r>
      <w:r w:rsidR="00516A3A">
        <w:t>person</w:t>
      </w:r>
      <w:r w:rsidRPr="003E755C">
        <w:t xml:space="preserve"> giving birth. Table </w:t>
      </w:r>
      <w:r>
        <w:rPr>
          <w:noProof/>
        </w:rPr>
        <w:t>1</w:t>
      </w:r>
      <w:r w:rsidRPr="003E755C">
        <w:t xml:space="preserve"> shows the priority system, and how </w:t>
      </w:r>
      <w:r>
        <w:t>the web tool</w:t>
      </w:r>
      <w:r w:rsidRPr="003E755C">
        <w:t xml:space="preserve"> has aggregated each birth procedure into a type of birth for reporting purposes.</w:t>
      </w:r>
    </w:p>
    <w:p w14:paraId="1ED4333E" w14:textId="77777777" w:rsidR="00940461" w:rsidRPr="003E755C" w:rsidRDefault="00940461" w:rsidP="00940461"/>
    <w:p w14:paraId="4DBE9EC6" w14:textId="4A610A8C" w:rsidR="00940461" w:rsidRDefault="00940461" w:rsidP="00940461">
      <w:pPr>
        <w:pStyle w:val="Table"/>
      </w:pPr>
      <w:bookmarkStart w:id="48" w:name="_Toc41575586"/>
      <w:bookmarkStart w:id="49" w:name="_Toc142896569"/>
      <w:r w:rsidRPr="003E755C">
        <w:t xml:space="preserve">Table </w:t>
      </w:r>
      <w:r>
        <w:rPr>
          <w:noProof/>
        </w:rPr>
        <w:t>1</w:t>
      </w:r>
      <w:r w:rsidRPr="003E755C">
        <w:rPr>
          <w:noProof/>
        </w:rPr>
        <w:t>:</w:t>
      </w:r>
      <w:r w:rsidRPr="003E755C">
        <w:t xml:space="preserve"> Priority for reporting birth procedures</w:t>
      </w:r>
      <w:bookmarkEnd w:id="48"/>
      <w:bookmarkEnd w:id="49"/>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20" w:firstRow="1" w:lastRow="0" w:firstColumn="0" w:lastColumn="0" w:noHBand="0" w:noVBand="1"/>
      </w:tblPr>
      <w:tblGrid>
        <w:gridCol w:w="959"/>
        <w:gridCol w:w="2693"/>
        <w:gridCol w:w="2693"/>
      </w:tblGrid>
      <w:tr w:rsidR="00024058" w:rsidRPr="00FF246C" w14:paraId="2A85CDFC" w14:textId="77777777" w:rsidTr="004C3C10">
        <w:trPr>
          <w:cantSplit/>
        </w:trPr>
        <w:tc>
          <w:tcPr>
            <w:tcW w:w="959" w:type="dxa"/>
            <w:tcBorders>
              <w:top w:val="nil"/>
              <w:bottom w:val="nil"/>
            </w:tcBorders>
            <w:shd w:val="clear" w:color="auto" w:fill="D9D9D9" w:themeFill="background1" w:themeFillShade="D9"/>
          </w:tcPr>
          <w:p w14:paraId="35EECD2F" w14:textId="77777777" w:rsidR="00024058" w:rsidRPr="00FF246C" w:rsidRDefault="00024058" w:rsidP="004C3C10">
            <w:pPr>
              <w:pStyle w:val="TableText"/>
              <w:rPr>
                <w:b/>
              </w:rPr>
            </w:pPr>
            <w:r w:rsidRPr="00FF246C">
              <w:rPr>
                <w:b/>
              </w:rPr>
              <w:t>Priority</w:t>
            </w:r>
          </w:p>
        </w:tc>
        <w:tc>
          <w:tcPr>
            <w:tcW w:w="2693" w:type="dxa"/>
            <w:tcBorders>
              <w:top w:val="nil"/>
              <w:bottom w:val="nil"/>
            </w:tcBorders>
            <w:shd w:val="clear" w:color="auto" w:fill="D9D9D9" w:themeFill="background1" w:themeFillShade="D9"/>
          </w:tcPr>
          <w:p w14:paraId="25424D35" w14:textId="77777777" w:rsidR="00024058" w:rsidRPr="00FF246C" w:rsidRDefault="00024058" w:rsidP="004C3C10">
            <w:pPr>
              <w:pStyle w:val="TableText"/>
              <w:rPr>
                <w:b/>
              </w:rPr>
            </w:pPr>
            <w:r w:rsidRPr="00FF246C">
              <w:rPr>
                <w:b/>
              </w:rPr>
              <w:t>Birth procedure</w:t>
            </w:r>
          </w:p>
        </w:tc>
        <w:tc>
          <w:tcPr>
            <w:tcW w:w="2693" w:type="dxa"/>
            <w:tcBorders>
              <w:top w:val="nil"/>
              <w:bottom w:val="nil"/>
            </w:tcBorders>
            <w:shd w:val="clear" w:color="auto" w:fill="D9D9D9" w:themeFill="background1" w:themeFillShade="D9"/>
          </w:tcPr>
          <w:p w14:paraId="7B98A884" w14:textId="77777777" w:rsidR="00024058" w:rsidRPr="00FF246C" w:rsidRDefault="00024058" w:rsidP="004C3C10">
            <w:pPr>
              <w:pStyle w:val="TableText"/>
              <w:rPr>
                <w:b/>
              </w:rPr>
            </w:pPr>
            <w:r w:rsidRPr="00FF246C">
              <w:rPr>
                <w:b/>
              </w:rPr>
              <w:t>Type of birth (aggregated)</w:t>
            </w:r>
          </w:p>
        </w:tc>
      </w:tr>
      <w:tr w:rsidR="00024058" w:rsidRPr="003E755C" w14:paraId="4DB3920F" w14:textId="77777777" w:rsidTr="004C3C10">
        <w:trPr>
          <w:cantSplit/>
        </w:trPr>
        <w:tc>
          <w:tcPr>
            <w:tcW w:w="959" w:type="dxa"/>
            <w:tcBorders>
              <w:top w:val="nil"/>
            </w:tcBorders>
            <w:shd w:val="clear" w:color="auto" w:fill="auto"/>
          </w:tcPr>
          <w:p w14:paraId="6A3C041A" w14:textId="77777777" w:rsidR="00024058" w:rsidRPr="003E755C" w:rsidRDefault="00024058" w:rsidP="004C3C10">
            <w:pPr>
              <w:pStyle w:val="TableText"/>
            </w:pPr>
            <w:r w:rsidRPr="003E755C">
              <w:t>1</w:t>
            </w:r>
          </w:p>
        </w:tc>
        <w:tc>
          <w:tcPr>
            <w:tcW w:w="2693" w:type="dxa"/>
            <w:tcBorders>
              <w:top w:val="nil"/>
            </w:tcBorders>
            <w:shd w:val="clear" w:color="auto" w:fill="auto"/>
          </w:tcPr>
          <w:p w14:paraId="1B764532" w14:textId="77777777" w:rsidR="00024058" w:rsidRPr="003E755C" w:rsidRDefault="00024058" w:rsidP="004C3C10">
            <w:pPr>
              <w:pStyle w:val="TableText"/>
            </w:pPr>
            <w:r w:rsidRPr="003E755C">
              <w:t>Emergency caesarean</w:t>
            </w:r>
          </w:p>
        </w:tc>
        <w:tc>
          <w:tcPr>
            <w:tcW w:w="2693" w:type="dxa"/>
            <w:tcBorders>
              <w:top w:val="nil"/>
            </w:tcBorders>
            <w:shd w:val="clear" w:color="auto" w:fill="auto"/>
          </w:tcPr>
          <w:p w14:paraId="23494A49" w14:textId="77777777" w:rsidR="00024058" w:rsidRPr="003E755C" w:rsidRDefault="00024058" w:rsidP="004C3C10">
            <w:pPr>
              <w:pStyle w:val="TableText"/>
            </w:pPr>
            <w:r w:rsidRPr="003E755C">
              <w:t>Caesarean section</w:t>
            </w:r>
          </w:p>
        </w:tc>
      </w:tr>
      <w:tr w:rsidR="00024058" w:rsidRPr="003E755C" w14:paraId="1D5B7F09" w14:textId="77777777" w:rsidTr="004C3C10">
        <w:trPr>
          <w:cantSplit/>
        </w:trPr>
        <w:tc>
          <w:tcPr>
            <w:tcW w:w="959" w:type="dxa"/>
            <w:shd w:val="clear" w:color="auto" w:fill="auto"/>
          </w:tcPr>
          <w:p w14:paraId="7CF7247C" w14:textId="77777777" w:rsidR="00024058" w:rsidRPr="003E755C" w:rsidRDefault="00024058" w:rsidP="004C3C10">
            <w:pPr>
              <w:pStyle w:val="TableText"/>
            </w:pPr>
            <w:r w:rsidRPr="003E755C">
              <w:t>2</w:t>
            </w:r>
          </w:p>
        </w:tc>
        <w:tc>
          <w:tcPr>
            <w:tcW w:w="2693" w:type="dxa"/>
            <w:shd w:val="clear" w:color="auto" w:fill="auto"/>
          </w:tcPr>
          <w:p w14:paraId="303F9D7D" w14:textId="77777777" w:rsidR="00024058" w:rsidRPr="003E755C" w:rsidRDefault="00024058" w:rsidP="004C3C10">
            <w:pPr>
              <w:pStyle w:val="TableText"/>
            </w:pPr>
            <w:r w:rsidRPr="003E755C">
              <w:t>Elective caesarean</w:t>
            </w:r>
          </w:p>
        </w:tc>
        <w:tc>
          <w:tcPr>
            <w:tcW w:w="2693" w:type="dxa"/>
            <w:shd w:val="clear" w:color="auto" w:fill="auto"/>
          </w:tcPr>
          <w:p w14:paraId="13898261" w14:textId="77777777" w:rsidR="00024058" w:rsidRPr="003E755C" w:rsidRDefault="00024058" w:rsidP="004C3C10">
            <w:pPr>
              <w:pStyle w:val="TableText"/>
            </w:pPr>
            <w:r w:rsidRPr="003E755C">
              <w:t>Caesarean section</w:t>
            </w:r>
          </w:p>
        </w:tc>
      </w:tr>
      <w:tr w:rsidR="00024058" w:rsidRPr="003E755C" w14:paraId="0FA17914" w14:textId="77777777" w:rsidTr="004C3C10">
        <w:trPr>
          <w:cantSplit/>
        </w:trPr>
        <w:tc>
          <w:tcPr>
            <w:tcW w:w="959" w:type="dxa"/>
            <w:shd w:val="clear" w:color="auto" w:fill="auto"/>
          </w:tcPr>
          <w:p w14:paraId="41F0430A" w14:textId="0BE6B01C" w:rsidR="00024058" w:rsidRPr="003E755C" w:rsidRDefault="008A788A" w:rsidP="004C3C10">
            <w:pPr>
              <w:pStyle w:val="TableText"/>
            </w:pPr>
            <w:r>
              <w:t>3</w:t>
            </w:r>
          </w:p>
        </w:tc>
        <w:tc>
          <w:tcPr>
            <w:tcW w:w="2693" w:type="dxa"/>
            <w:shd w:val="clear" w:color="auto" w:fill="auto"/>
          </w:tcPr>
          <w:p w14:paraId="3948A143" w14:textId="77777777" w:rsidR="00024058" w:rsidRPr="003E755C" w:rsidRDefault="00024058" w:rsidP="004C3C10">
            <w:pPr>
              <w:pStyle w:val="TableText"/>
            </w:pPr>
            <w:r w:rsidRPr="003E755C">
              <w:t>Assisted breech</w:t>
            </w:r>
          </w:p>
        </w:tc>
        <w:tc>
          <w:tcPr>
            <w:tcW w:w="2693" w:type="dxa"/>
            <w:shd w:val="clear" w:color="auto" w:fill="auto"/>
          </w:tcPr>
          <w:p w14:paraId="325F5DE2" w14:textId="11CF5A01" w:rsidR="00024058" w:rsidRPr="003E755C" w:rsidRDefault="00024058" w:rsidP="006E1804">
            <w:pPr>
              <w:pStyle w:val="TableText"/>
              <w:tabs>
                <w:tab w:val="right" w:pos="2579"/>
              </w:tabs>
            </w:pPr>
            <w:r w:rsidRPr="003E755C">
              <w:t xml:space="preserve">Assisted </w:t>
            </w:r>
            <w:r>
              <w:t xml:space="preserve">vaginal </w:t>
            </w:r>
            <w:r w:rsidRPr="003E755C">
              <w:t>birth</w:t>
            </w:r>
            <w:r w:rsidR="00707580">
              <w:tab/>
            </w:r>
          </w:p>
        </w:tc>
      </w:tr>
      <w:tr w:rsidR="00024058" w:rsidRPr="003E755C" w14:paraId="0C16F34C" w14:textId="77777777" w:rsidTr="004C3C10">
        <w:trPr>
          <w:cantSplit/>
        </w:trPr>
        <w:tc>
          <w:tcPr>
            <w:tcW w:w="959" w:type="dxa"/>
            <w:shd w:val="clear" w:color="auto" w:fill="auto"/>
          </w:tcPr>
          <w:p w14:paraId="136DDEF2" w14:textId="5C726581" w:rsidR="00024058" w:rsidRPr="003E755C" w:rsidRDefault="00515905" w:rsidP="004C3C10">
            <w:pPr>
              <w:pStyle w:val="TableText"/>
            </w:pPr>
            <w:r>
              <w:t>4</w:t>
            </w:r>
          </w:p>
        </w:tc>
        <w:tc>
          <w:tcPr>
            <w:tcW w:w="2693" w:type="dxa"/>
            <w:shd w:val="clear" w:color="auto" w:fill="auto"/>
          </w:tcPr>
          <w:p w14:paraId="790E9F8F" w14:textId="4EC7CBAB" w:rsidR="00024058" w:rsidRPr="003E755C" w:rsidRDefault="00024058" w:rsidP="004C3C10">
            <w:pPr>
              <w:pStyle w:val="TableText"/>
            </w:pPr>
            <w:r w:rsidRPr="003E755C">
              <w:t xml:space="preserve">Forceps and </w:t>
            </w:r>
            <w:r w:rsidR="002F7B20">
              <w:t>vacuum extraction</w:t>
            </w:r>
          </w:p>
        </w:tc>
        <w:tc>
          <w:tcPr>
            <w:tcW w:w="2693" w:type="dxa"/>
            <w:shd w:val="clear" w:color="auto" w:fill="auto"/>
          </w:tcPr>
          <w:p w14:paraId="410C3340" w14:textId="7289DF18" w:rsidR="00024058" w:rsidRPr="003E755C" w:rsidRDefault="00024058" w:rsidP="004C3C10">
            <w:pPr>
              <w:pStyle w:val="TableText"/>
            </w:pPr>
            <w:r>
              <w:t>Instrumental vaginal birth</w:t>
            </w:r>
          </w:p>
        </w:tc>
      </w:tr>
      <w:tr w:rsidR="00024058" w:rsidRPr="003E755C" w14:paraId="4B1042DC" w14:textId="77777777" w:rsidTr="004C3C10">
        <w:trPr>
          <w:cantSplit/>
        </w:trPr>
        <w:tc>
          <w:tcPr>
            <w:tcW w:w="959" w:type="dxa"/>
            <w:shd w:val="clear" w:color="auto" w:fill="auto"/>
          </w:tcPr>
          <w:p w14:paraId="6780644D" w14:textId="24EEACF5" w:rsidR="00024058" w:rsidRPr="003E755C" w:rsidRDefault="00515905" w:rsidP="004C3C10">
            <w:pPr>
              <w:pStyle w:val="TableText"/>
            </w:pPr>
            <w:r>
              <w:t>5</w:t>
            </w:r>
          </w:p>
        </w:tc>
        <w:tc>
          <w:tcPr>
            <w:tcW w:w="2693" w:type="dxa"/>
            <w:shd w:val="clear" w:color="auto" w:fill="auto"/>
          </w:tcPr>
          <w:p w14:paraId="4394D8EE" w14:textId="77777777" w:rsidR="00024058" w:rsidRPr="003E755C" w:rsidRDefault="00024058" w:rsidP="004C3C10">
            <w:pPr>
              <w:pStyle w:val="TableText"/>
            </w:pPr>
            <w:r w:rsidRPr="003E755C">
              <w:t>Forceps</w:t>
            </w:r>
          </w:p>
        </w:tc>
        <w:tc>
          <w:tcPr>
            <w:tcW w:w="2693" w:type="dxa"/>
            <w:shd w:val="clear" w:color="auto" w:fill="auto"/>
          </w:tcPr>
          <w:p w14:paraId="4052FF13" w14:textId="7ED0084E" w:rsidR="00024058" w:rsidRPr="003E755C" w:rsidRDefault="00024058" w:rsidP="004C3C10">
            <w:pPr>
              <w:pStyle w:val="TableText"/>
            </w:pPr>
            <w:r>
              <w:t>Instrumental vaginal birth</w:t>
            </w:r>
          </w:p>
        </w:tc>
      </w:tr>
      <w:tr w:rsidR="00024058" w:rsidRPr="003E755C" w14:paraId="5B95BFD4" w14:textId="77777777" w:rsidTr="004C3C10">
        <w:trPr>
          <w:cantSplit/>
        </w:trPr>
        <w:tc>
          <w:tcPr>
            <w:tcW w:w="959" w:type="dxa"/>
            <w:shd w:val="clear" w:color="auto" w:fill="auto"/>
          </w:tcPr>
          <w:p w14:paraId="49E1CC49" w14:textId="5CFE6E06" w:rsidR="00024058" w:rsidRPr="003E755C" w:rsidRDefault="00515905" w:rsidP="004C3C10">
            <w:pPr>
              <w:pStyle w:val="TableText"/>
            </w:pPr>
            <w:r>
              <w:t>6</w:t>
            </w:r>
          </w:p>
        </w:tc>
        <w:tc>
          <w:tcPr>
            <w:tcW w:w="2693" w:type="dxa"/>
            <w:shd w:val="clear" w:color="auto" w:fill="auto"/>
          </w:tcPr>
          <w:p w14:paraId="7666E89A" w14:textId="61DD507C" w:rsidR="00024058" w:rsidRPr="003E755C" w:rsidRDefault="002F7B20" w:rsidP="004C3C10">
            <w:pPr>
              <w:pStyle w:val="TableText"/>
            </w:pPr>
            <w:r>
              <w:t>Vacuum extraction</w:t>
            </w:r>
          </w:p>
        </w:tc>
        <w:tc>
          <w:tcPr>
            <w:tcW w:w="2693" w:type="dxa"/>
            <w:shd w:val="clear" w:color="auto" w:fill="auto"/>
          </w:tcPr>
          <w:p w14:paraId="64F66536" w14:textId="3E6341D7" w:rsidR="00024058" w:rsidRPr="003E755C" w:rsidRDefault="00024058" w:rsidP="004C3C10">
            <w:pPr>
              <w:pStyle w:val="TableText"/>
            </w:pPr>
            <w:r>
              <w:t>Instrumental vaginal birth</w:t>
            </w:r>
          </w:p>
        </w:tc>
      </w:tr>
      <w:tr w:rsidR="00515905" w:rsidRPr="003E755C" w14:paraId="42B6D1FF" w14:textId="77777777" w:rsidTr="002446D5">
        <w:trPr>
          <w:cantSplit/>
        </w:trPr>
        <w:tc>
          <w:tcPr>
            <w:tcW w:w="959" w:type="dxa"/>
            <w:shd w:val="clear" w:color="auto" w:fill="auto"/>
          </w:tcPr>
          <w:p w14:paraId="5FED32C7" w14:textId="674A26B1" w:rsidR="00515905" w:rsidRPr="003E755C" w:rsidRDefault="00515905" w:rsidP="002446D5">
            <w:pPr>
              <w:pStyle w:val="TableText"/>
            </w:pPr>
            <w:r>
              <w:t>7</w:t>
            </w:r>
          </w:p>
        </w:tc>
        <w:tc>
          <w:tcPr>
            <w:tcW w:w="2693" w:type="dxa"/>
            <w:shd w:val="clear" w:color="auto" w:fill="auto"/>
          </w:tcPr>
          <w:p w14:paraId="29C1E38C" w14:textId="77777777" w:rsidR="00515905" w:rsidRPr="003E755C" w:rsidRDefault="00515905" w:rsidP="002446D5">
            <w:pPr>
              <w:pStyle w:val="TableText"/>
            </w:pPr>
            <w:r>
              <w:t>Other assisted birth</w:t>
            </w:r>
          </w:p>
        </w:tc>
        <w:tc>
          <w:tcPr>
            <w:tcW w:w="2693" w:type="dxa"/>
            <w:shd w:val="clear" w:color="auto" w:fill="auto"/>
          </w:tcPr>
          <w:p w14:paraId="0E4330E1" w14:textId="77777777" w:rsidR="00515905" w:rsidRPr="003E755C" w:rsidRDefault="00515905" w:rsidP="002446D5">
            <w:pPr>
              <w:pStyle w:val="TableText"/>
              <w:tabs>
                <w:tab w:val="right" w:pos="2579"/>
              </w:tabs>
            </w:pPr>
            <w:r>
              <w:t>Assisted vaginal birth</w:t>
            </w:r>
          </w:p>
        </w:tc>
      </w:tr>
      <w:tr w:rsidR="00515905" w:rsidRPr="003E755C" w14:paraId="34C9D751" w14:textId="77777777" w:rsidTr="002446D5">
        <w:trPr>
          <w:cantSplit/>
        </w:trPr>
        <w:tc>
          <w:tcPr>
            <w:tcW w:w="959" w:type="dxa"/>
            <w:shd w:val="clear" w:color="auto" w:fill="auto"/>
          </w:tcPr>
          <w:p w14:paraId="0AB8A596" w14:textId="05D3FF7D" w:rsidR="00515905" w:rsidRPr="003E755C" w:rsidRDefault="00515905" w:rsidP="002446D5">
            <w:pPr>
              <w:pStyle w:val="TableText"/>
            </w:pPr>
            <w:r>
              <w:t>8</w:t>
            </w:r>
          </w:p>
        </w:tc>
        <w:tc>
          <w:tcPr>
            <w:tcW w:w="2693" w:type="dxa"/>
            <w:shd w:val="clear" w:color="auto" w:fill="auto"/>
          </w:tcPr>
          <w:p w14:paraId="68B52602" w14:textId="77777777" w:rsidR="00515905" w:rsidRPr="003E755C" w:rsidRDefault="00515905" w:rsidP="002446D5">
            <w:pPr>
              <w:pStyle w:val="TableText"/>
            </w:pPr>
            <w:r w:rsidRPr="003E755C">
              <w:t>Spontaneous breech</w:t>
            </w:r>
          </w:p>
        </w:tc>
        <w:tc>
          <w:tcPr>
            <w:tcW w:w="2693" w:type="dxa"/>
            <w:shd w:val="clear" w:color="auto" w:fill="auto"/>
          </w:tcPr>
          <w:p w14:paraId="0880159D" w14:textId="77777777" w:rsidR="00515905" w:rsidRPr="003E755C" w:rsidRDefault="00515905" w:rsidP="002446D5">
            <w:pPr>
              <w:pStyle w:val="TableText"/>
            </w:pPr>
            <w:r w:rsidRPr="003E755C">
              <w:t>Spontaneous vaginal birth</w:t>
            </w:r>
          </w:p>
        </w:tc>
      </w:tr>
      <w:tr w:rsidR="00024058" w:rsidRPr="003E755C" w14:paraId="4144CBDD" w14:textId="77777777" w:rsidTr="004C3C10">
        <w:trPr>
          <w:cantSplit/>
        </w:trPr>
        <w:tc>
          <w:tcPr>
            <w:tcW w:w="959" w:type="dxa"/>
            <w:shd w:val="clear" w:color="auto" w:fill="auto"/>
          </w:tcPr>
          <w:p w14:paraId="1AED017C" w14:textId="640022FB" w:rsidR="00024058" w:rsidRPr="003E755C" w:rsidRDefault="008A788A" w:rsidP="004C3C10">
            <w:pPr>
              <w:pStyle w:val="TableText"/>
            </w:pPr>
            <w:r>
              <w:t>9</w:t>
            </w:r>
          </w:p>
        </w:tc>
        <w:tc>
          <w:tcPr>
            <w:tcW w:w="2693" w:type="dxa"/>
            <w:shd w:val="clear" w:color="auto" w:fill="auto"/>
          </w:tcPr>
          <w:p w14:paraId="115EA0E1" w14:textId="77777777" w:rsidR="00024058" w:rsidRPr="003E755C" w:rsidRDefault="00024058" w:rsidP="004C3C10">
            <w:pPr>
              <w:pStyle w:val="TableText"/>
            </w:pPr>
            <w:r w:rsidRPr="003E755C">
              <w:t>Spontaneous vertex</w:t>
            </w:r>
          </w:p>
        </w:tc>
        <w:tc>
          <w:tcPr>
            <w:tcW w:w="2693" w:type="dxa"/>
            <w:shd w:val="clear" w:color="auto" w:fill="auto"/>
          </w:tcPr>
          <w:p w14:paraId="764E9F5E" w14:textId="77777777" w:rsidR="00024058" w:rsidRPr="003E755C" w:rsidRDefault="00024058" w:rsidP="004C3C10">
            <w:pPr>
              <w:pStyle w:val="TableText"/>
            </w:pPr>
            <w:r w:rsidRPr="003E755C">
              <w:t>Spontaneous vaginal birth</w:t>
            </w:r>
          </w:p>
        </w:tc>
      </w:tr>
      <w:tr w:rsidR="00024058" w:rsidRPr="00AF16D8" w14:paraId="3F71D8F5" w14:textId="77777777" w:rsidTr="004C3C10">
        <w:trPr>
          <w:cantSplit/>
        </w:trPr>
        <w:tc>
          <w:tcPr>
            <w:tcW w:w="959" w:type="dxa"/>
            <w:shd w:val="clear" w:color="auto" w:fill="auto"/>
          </w:tcPr>
          <w:p w14:paraId="074DBAB9" w14:textId="786C4BD8" w:rsidR="00024058" w:rsidRPr="003E755C" w:rsidRDefault="00024058" w:rsidP="004C3C10">
            <w:pPr>
              <w:pStyle w:val="TableText"/>
            </w:pPr>
            <w:r w:rsidRPr="003E755C">
              <w:t>1</w:t>
            </w:r>
            <w:r w:rsidR="008A788A">
              <w:t>0</w:t>
            </w:r>
          </w:p>
        </w:tc>
        <w:tc>
          <w:tcPr>
            <w:tcW w:w="2693" w:type="dxa"/>
            <w:shd w:val="clear" w:color="auto" w:fill="auto"/>
          </w:tcPr>
          <w:p w14:paraId="4C011217" w14:textId="77777777" w:rsidR="00024058" w:rsidRPr="003E755C" w:rsidRDefault="00024058" w:rsidP="004C3C10">
            <w:pPr>
              <w:pStyle w:val="TableText"/>
            </w:pPr>
            <w:r w:rsidRPr="003E755C">
              <w:t>Not stated</w:t>
            </w:r>
          </w:p>
        </w:tc>
        <w:tc>
          <w:tcPr>
            <w:tcW w:w="2693" w:type="dxa"/>
            <w:shd w:val="clear" w:color="auto" w:fill="auto"/>
          </w:tcPr>
          <w:p w14:paraId="601FCFC0" w14:textId="77777777" w:rsidR="00024058" w:rsidRPr="003E755C" w:rsidRDefault="00024058" w:rsidP="004C3C10">
            <w:pPr>
              <w:pStyle w:val="TableText"/>
            </w:pPr>
            <w:r w:rsidRPr="003E755C">
              <w:t>Unknown</w:t>
            </w:r>
          </w:p>
        </w:tc>
      </w:tr>
    </w:tbl>
    <w:p w14:paraId="3D98BB9C" w14:textId="77777777" w:rsidR="00940461" w:rsidRPr="00950E2D" w:rsidRDefault="00940461" w:rsidP="00940461">
      <w:pPr>
        <w:pStyle w:val="Heading3"/>
      </w:pPr>
      <w:r w:rsidRPr="0054388F">
        <w:lastRenderedPageBreak/>
        <w:t>Counting births and babies</w:t>
      </w:r>
    </w:p>
    <w:p w14:paraId="1B86D9E6" w14:textId="461E24DA" w:rsidR="00760C0C" w:rsidRDefault="00BD4D6D" w:rsidP="00940461">
      <w:pPr>
        <w:keepLines/>
      </w:pPr>
      <w:r>
        <w:t xml:space="preserve">When </w:t>
      </w:r>
      <w:r w:rsidR="00940461" w:rsidRPr="00950E2D">
        <w:t xml:space="preserve">the </w:t>
      </w:r>
      <w:r>
        <w:t xml:space="preserve">term </w:t>
      </w:r>
      <w:r w:rsidR="00940461">
        <w:t>‘</w:t>
      </w:r>
      <w:r w:rsidR="00977C87">
        <w:t>people</w:t>
      </w:r>
      <w:r w:rsidR="00940461" w:rsidRPr="00950E2D">
        <w:t xml:space="preserve"> giving birth</w:t>
      </w:r>
      <w:r w:rsidR="00940461">
        <w:t>’</w:t>
      </w:r>
      <w:r w:rsidR="00940461" w:rsidRPr="00950E2D">
        <w:t xml:space="preserve"> </w:t>
      </w:r>
      <w:r>
        <w:t>is used in the web tool</w:t>
      </w:r>
      <w:r w:rsidR="00940461" w:rsidRPr="00950E2D">
        <w:t xml:space="preserve">, births are counted using the number of </w:t>
      </w:r>
      <w:r w:rsidR="00977C87">
        <w:t>people</w:t>
      </w:r>
      <w:r w:rsidR="00940461" w:rsidRPr="00950E2D">
        <w:t xml:space="preserve"> giving birth during the calendar year</w:t>
      </w:r>
      <w:r w:rsidR="00940461">
        <w:t>,</w:t>
      </w:r>
      <w:r w:rsidR="00940461" w:rsidRPr="00950E2D">
        <w:t xml:space="preserve"> </w:t>
      </w:r>
      <w:proofErr w:type="spellStart"/>
      <w:r w:rsidR="00940461" w:rsidRPr="00950E2D">
        <w:t>ie</w:t>
      </w:r>
      <w:proofErr w:type="spellEnd"/>
      <w:r w:rsidR="00940461" w:rsidRPr="00950E2D">
        <w:t xml:space="preserve">, between 1 January and 31 December. </w:t>
      </w:r>
      <w:r w:rsidR="00760C0C" w:rsidRPr="00950E2D">
        <w:t>A </w:t>
      </w:r>
      <w:r w:rsidR="00977C87">
        <w:t>person</w:t>
      </w:r>
      <w:r w:rsidR="00760C0C" w:rsidRPr="00950E2D">
        <w:t xml:space="preserve"> who had twins or a multiple birth is counted as having had one birth. A </w:t>
      </w:r>
      <w:r w:rsidR="00977C87">
        <w:t>person</w:t>
      </w:r>
      <w:r w:rsidR="00760C0C" w:rsidRPr="00950E2D">
        <w:t xml:space="preserve"> who gave birth twice within the same calendar year is counted </w:t>
      </w:r>
      <w:r w:rsidR="00760C0C">
        <w:t>twice</w:t>
      </w:r>
      <w:r w:rsidR="00760C0C" w:rsidRPr="00950E2D">
        <w:t>.</w:t>
      </w:r>
    </w:p>
    <w:p w14:paraId="0D014C15" w14:textId="77777777" w:rsidR="00760C0C" w:rsidRDefault="00760C0C" w:rsidP="00940461">
      <w:pPr>
        <w:keepLines/>
      </w:pPr>
    </w:p>
    <w:p w14:paraId="4E64B9A7" w14:textId="5013F651" w:rsidR="000C5299" w:rsidRPr="00950E2D" w:rsidRDefault="00AD2691" w:rsidP="00BD4D6D">
      <w:pPr>
        <w:keepLines/>
      </w:pPr>
      <w:r w:rsidRPr="00AD2691">
        <w:t xml:space="preserve">The number of births </w:t>
      </w:r>
      <w:r>
        <w:t xml:space="preserve">presented in the web tool </w:t>
      </w:r>
      <w:r w:rsidRPr="00AD2691">
        <w:t xml:space="preserve">include </w:t>
      </w:r>
      <w:r w:rsidR="00BD4D6D">
        <w:t xml:space="preserve">only </w:t>
      </w:r>
      <w:r w:rsidRPr="00AD2691">
        <w:t>live births recorded in the Maternity Collection (MAT) at any gestation</w:t>
      </w:r>
      <w:r w:rsidR="00BD4D6D">
        <w:t>,</w:t>
      </w:r>
      <w:r w:rsidR="00316774">
        <w:t xml:space="preserve"> and </w:t>
      </w:r>
      <w:r w:rsidR="00316774">
        <w:rPr>
          <w:rStyle w:val="ui-provider"/>
        </w:rPr>
        <w:t xml:space="preserve">where a birth has a registration or </w:t>
      </w:r>
      <w:r w:rsidR="00316774" w:rsidRPr="00316774">
        <w:rPr>
          <w:rStyle w:val="Strong"/>
          <w:b w:val="0"/>
          <w:bCs w:val="0"/>
        </w:rPr>
        <w:t>birth record</w:t>
      </w:r>
      <w:r w:rsidR="00316774">
        <w:rPr>
          <w:rStyle w:val="ui-provider"/>
        </w:rPr>
        <w:t xml:space="preserve"> reported in the National Minimum Dataset (NMDS)</w:t>
      </w:r>
      <w:r w:rsidRPr="00AD2691">
        <w:t xml:space="preserve">. Where a birth has an equivalent death registration recorded in the New Zealand Mortality Collection, the birth is also excluded from the analysis. </w:t>
      </w:r>
    </w:p>
    <w:p w14:paraId="7BC2998D" w14:textId="77777777" w:rsidR="00940461" w:rsidRPr="00950E2D" w:rsidRDefault="00940461" w:rsidP="00940461"/>
    <w:p w14:paraId="7389B8D2" w14:textId="2F021578" w:rsidR="00940461" w:rsidRDefault="00940461" w:rsidP="00940461">
      <w:r w:rsidRPr="00950E2D">
        <w:t xml:space="preserve">In the </w:t>
      </w:r>
      <w:r>
        <w:t>‘</w:t>
      </w:r>
      <w:r w:rsidRPr="00950E2D">
        <w:t>Babies</w:t>
      </w:r>
      <w:r>
        <w:t>’</w:t>
      </w:r>
      <w:r w:rsidRPr="00950E2D">
        <w:t xml:space="preserve"> </w:t>
      </w:r>
      <w:r w:rsidR="00BD4D6D">
        <w:t>section of the web tool</w:t>
      </w:r>
      <w:r w:rsidRPr="00950E2D">
        <w:t>, the numbers presented only include live-born babies at any gestation. Babies resulting from a twin</w:t>
      </w:r>
      <w:r w:rsidR="003754E2">
        <w:t>,</w:t>
      </w:r>
      <w:r w:rsidRPr="00950E2D">
        <w:t xml:space="preserve"> or a multiple pregnancy are counted </w:t>
      </w:r>
      <w:r>
        <w:t>individually</w:t>
      </w:r>
      <w:r w:rsidRPr="00950E2D">
        <w:t>.</w:t>
      </w:r>
      <w:r w:rsidR="0054388F">
        <w:t xml:space="preserve"> </w:t>
      </w:r>
    </w:p>
    <w:p w14:paraId="398D6DBA" w14:textId="77777777" w:rsidR="0005274E" w:rsidRDefault="0005274E" w:rsidP="00940461"/>
    <w:p w14:paraId="665AD4C1" w14:textId="637698EF" w:rsidR="00BF3A9D" w:rsidRDefault="00BF3A9D" w:rsidP="00BF3A9D">
      <w:r>
        <w:t xml:space="preserve">Each year, a small proportion of births are recorded in MAT without a birth status. These records are notably less complete than records for live births and are not included in this web tool. Most of these records are reported as planned homebirths but </w:t>
      </w:r>
      <w:r w:rsidR="0005274E">
        <w:t>could</w:t>
      </w:r>
      <w:r>
        <w:t xml:space="preserve"> also include unplanned homebirths and out of hospital births. </w:t>
      </w:r>
    </w:p>
    <w:p w14:paraId="174E55C0" w14:textId="494B1398" w:rsidR="00BF3A9D" w:rsidRDefault="00BF3A9D" w:rsidP="00BF3A9D">
      <w:r>
        <w:t>From 20</w:t>
      </w:r>
      <w:r w:rsidR="00F86053">
        <w:t>08</w:t>
      </w:r>
      <w:r>
        <w:t xml:space="preserve"> to 202</w:t>
      </w:r>
      <w:r w:rsidR="00B5483D">
        <w:t>3</w:t>
      </w:r>
      <w:r>
        <w:t>, the proportion of records where birth status was not reported ranged from 0.</w:t>
      </w:r>
      <w:r w:rsidR="00B5483D">
        <w:t>1</w:t>
      </w:r>
      <w:r>
        <w:t xml:space="preserve"> to </w:t>
      </w:r>
      <w:r w:rsidR="00B5483D">
        <w:t>0.6</w:t>
      </w:r>
      <w:r>
        <w:t xml:space="preserve">% of total births in any given year. </w:t>
      </w:r>
      <w:r w:rsidR="0094796D">
        <w:t>Health New Zealand</w:t>
      </w:r>
      <w:r>
        <w:t xml:space="preserve"> is currently confirming information about these births. Where possible, records will be updated</w:t>
      </w:r>
      <w:r w:rsidR="00154942">
        <w:t>,</w:t>
      </w:r>
      <w:r>
        <w:t xml:space="preserve"> and these changes will be reflected in future updates of the web tool.</w:t>
      </w:r>
    </w:p>
    <w:p w14:paraId="7E0D43FA" w14:textId="77777777" w:rsidR="00940461" w:rsidRPr="00950E2D" w:rsidRDefault="00940461" w:rsidP="00940461">
      <w:pPr>
        <w:pStyle w:val="Heading3"/>
      </w:pPr>
      <w:r w:rsidRPr="00950E2D">
        <w:t>Proportions</w:t>
      </w:r>
    </w:p>
    <w:p w14:paraId="5DF5BE96" w14:textId="77777777" w:rsidR="00940461" w:rsidRPr="00950E2D" w:rsidRDefault="00940461" w:rsidP="00940461">
      <w:pPr>
        <w:spacing w:after="60"/>
      </w:pPr>
      <w:r w:rsidRPr="00950E2D">
        <w:t xml:space="preserve">Proportions are expressed as a percentage. The denominator for proportion calculations is the total for each variable for which the information was </w:t>
      </w:r>
      <w:proofErr w:type="gramStart"/>
      <w:r w:rsidRPr="00950E2D">
        <w:t>recorded, and</w:t>
      </w:r>
      <w:proofErr w:type="gramEnd"/>
      <w:r w:rsidRPr="00950E2D">
        <w:t xml:space="preserve"> excludes </w:t>
      </w:r>
      <w:r>
        <w:t>‘</w:t>
      </w:r>
      <w:r w:rsidRPr="00950E2D">
        <w:t>Unknown</w:t>
      </w:r>
      <w:r>
        <w:t>’</w:t>
      </w:r>
      <w:r w:rsidRPr="00950E2D">
        <w:t xml:space="preserve"> categories. For example:</w:t>
      </w:r>
    </w:p>
    <w:p w14:paraId="379D6892" w14:textId="77777777" w:rsidR="00940461" w:rsidRPr="00950E2D" w:rsidRDefault="00940461" w:rsidP="00940461">
      <w:r w:rsidRPr="00950E2D">
        <w:rPr>
          <w:noProof/>
          <w:lang w:eastAsia="en-NZ"/>
        </w:rPr>
        <w:drawing>
          <wp:inline distT="0" distB="0" distL="0" distR="0" wp14:anchorId="478ABD9B" wp14:editId="3098CAF0">
            <wp:extent cx="5145578" cy="698526"/>
            <wp:effectExtent l="0" t="0" r="0" b="6350"/>
            <wp:docPr id="14" name="Picture 14" descr="Proportion of male babies = (number of male babies * 100) / (total number of babies - babies of unknown sex)" title="Example for calculating a propor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6184" cy="698608"/>
                    </a:xfrm>
                    <a:prstGeom prst="rect">
                      <a:avLst/>
                    </a:prstGeom>
                    <a:noFill/>
                    <a:ln>
                      <a:noFill/>
                    </a:ln>
                  </pic:spPr>
                </pic:pic>
              </a:graphicData>
            </a:graphic>
          </wp:inline>
        </w:drawing>
      </w:r>
    </w:p>
    <w:p w14:paraId="2CC167FB" w14:textId="77777777" w:rsidR="00940461" w:rsidRDefault="00940461" w:rsidP="00940461"/>
    <w:p w14:paraId="12BED1D7" w14:textId="77777777" w:rsidR="00940461" w:rsidRPr="00950E2D" w:rsidRDefault="00940461" w:rsidP="00940461">
      <w:pPr>
        <w:jc w:val="right"/>
      </w:pPr>
    </w:p>
    <w:p w14:paraId="3D84EDC9" w14:textId="77777777" w:rsidR="00940461" w:rsidRPr="00950E2D" w:rsidRDefault="00940461" w:rsidP="00940461">
      <w:r w:rsidRPr="00950E2D">
        <w:t>All proportions were calculated using raw data. Summarised information presented may be slightly different from the sum of proportions presented in the tables due to rounding.</w:t>
      </w:r>
    </w:p>
    <w:p w14:paraId="2FA31934" w14:textId="77777777" w:rsidR="00940461" w:rsidRPr="00AF16D8" w:rsidRDefault="00940461" w:rsidP="00940461">
      <w:pPr>
        <w:rPr>
          <w:highlight w:val="yellow"/>
        </w:rPr>
      </w:pPr>
    </w:p>
    <w:p w14:paraId="1F0AA9EC" w14:textId="77777777" w:rsidR="00940461" w:rsidRPr="00950E2D" w:rsidRDefault="00940461" w:rsidP="00940461">
      <w:pPr>
        <w:pStyle w:val="Heading3"/>
      </w:pPr>
      <w:r w:rsidRPr="00950E2D">
        <w:t>Birth rates</w:t>
      </w:r>
    </w:p>
    <w:p w14:paraId="772587E4" w14:textId="6623A4FC" w:rsidR="00940461" w:rsidRPr="00950E2D" w:rsidRDefault="00940461" w:rsidP="00940461">
      <w:r w:rsidRPr="00950E2D">
        <w:t xml:space="preserve">A birth rate shows the proportion of </w:t>
      </w:r>
      <w:r w:rsidR="00977C87">
        <w:t>people</w:t>
      </w:r>
      <w:r w:rsidRPr="00950E2D">
        <w:t xml:space="preserve"> giving birth out of the female population who are of reproductive age (15–44 years). It is expressed as births per 1</w:t>
      </w:r>
      <w:r>
        <w:t>,</w:t>
      </w:r>
      <w:r w:rsidRPr="00950E2D">
        <w:t>000 females of reproductive age.</w:t>
      </w:r>
    </w:p>
    <w:p w14:paraId="75DB28C4" w14:textId="77777777" w:rsidR="00940461" w:rsidRPr="00950E2D" w:rsidRDefault="00940461" w:rsidP="00940461"/>
    <w:p w14:paraId="73B7D99E" w14:textId="16817E8D" w:rsidR="00940461" w:rsidRPr="00950E2D" w:rsidRDefault="00940461" w:rsidP="00940461">
      <w:pPr>
        <w:spacing w:after="60"/>
      </w:pPr>
      <w:r w:rsidRPr="00950E2D">
        <w:lastRenderedPageBreak/>
        <w:t>Rates for a specific group (</w:t>
      </w:r>
      <w:proofErr w:type="spellStart"/>
      <w:r w:rsidRPr="00950E2D">
        <w:t>eg</w:t>
      </w:r>
      <w:proofErr w:type="spellEnd"/>
      <w:r w:rsidRPr="00950E2D">
        <w:t xml:space="preserve">, Māori, those residing in </w:t>
      </w:r>
      <w:r w:rsidR="00A029D0">
        <w:t xml:space="preserve">deprivation </w:t>
      </w:r>
      <w:r w:rsidRPr="00950E2D">
        <w:t>quintile 3 or the 30–34 years age group) are calculated using the best available population for that group. For example:</w:t>
      </w:r>
    </w:p>
    <w:p w14:paraId="6F246A52" w14:textId="77777777" w:rsidR="00940461" w:rsidRPr="00A01FD7" w:rsidRDefault="00940461" w:rsidP="00940461">
      <w:r w:rsidRPr="00A01FD7">
        <w:rPr>
          <w:noProof/>
          <w:lang w:eastAsia="en-NZ"/>
        </w:rPr>
        <w:drawing>
          <wp:inline distT="0" distB="0" distL="0" distR="0" wp14:anchorId="70AE14AE" wp14:editId="615C3997">
            <wp:extent cx="3150523" cy="295587"/>
            <wp:effectExtent l="0" t="0" r="0" b="9525"/>
            <wp:docPr id="36" name="Picture 36" descr="Maori birth rate = number of Maori women giving birth * 1000 / female Maori population aged 15-44 years" title="Example for calculating birth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9120" cy="295455"/>
                    </a:xfrm>
                    <a:prstGeom prst="rect">
                      <a:avLst/>
                    </a:prstGeom>
                    <a:noFill/>
                    <a:ln>
                      <a:noFill/>
                    </a:ln>
                  </pic:spPr>
                </pic:pic>
              </a:graphicData>
            </a:graphic>
          </wp:inline>
        </w:drawing>
      </w:r>
    </w:p>
    <w:p w14:paraId="630FC998" w14:textId="77777777" w:rsidR="00940461" w:rsidRPr="00A01FD7" w:rsidRDefault="00940461" w:rsidP="00940461"/>
    <w:p w14:paraId="6FB5A528" w14:textId="2BEE1873" w:rsidR="00940461" w:rsidRPr="00A01FD7" w:rsidRDefault="00940461" w:rsidP="00940461">
      <w:r w:rsidRPr="00A01FD7">
        <w:t xml:space="preserve">Teens aged under 15 years and </w:t>
      </w:r>
      <w:r w:rsidR="00977C87">
        <w:t>people</w:t>
      </w:r>
      <w:r w:rsidRPr="00A01FD7">
        <w:t xml:space="preserve"> aged 45 years and over giving birth account for a very small proportion of the total number of </w:t>
      </w:r>
      <w:r w:rsidR="00977C87">
        <w:t>people</w:t>
      </w:r>
      <w:r w:rsidRPr="00A01FD7">
        <w:t xml:space="preserve"> giving birth each year (&lt;0.5%). They are included in the numerator to calculate birth rates (as part of the &lt;20 years and 40+ years age groups, respectively). The denominator used is limited to the female population aged 15–44 years.</w:t>
      </w:r>
    </w:p>
    <w:p w14:paraId="268DE0AD" w14:textId="77777777" w:rsidR="00940461" w:rsidRPr="00A01FD7" w:rsidRDefault="00940461" w:rsidP="00940461"/>
    <w:p w14:paraId="2BF10B1D" w14:textId="4447F9E3" w:rsidR="00940461" w:rsidRPr="00A01FD7" w:rsidRDefault="00940461" w:rsidP="00940461">
      <w:pPr>
        <w:keepLines/>
      </w:pPr>
      <w:r w:rsidRPr="00A01FD7">
        <w:t xml:space="preserve">More than one population data set may have been used within a set of birth rate calculations. </w:t>
      </w:r>
    </w:p>
    <w:p w14:paraId="59442F33" w14:textId="77777777" w:rsidR="00940461" w:rsidRPr="00A01FD7" w:rsidRDefault="00940461" w:rsidP="00940461"/>
    <w:p w14:paraId="27D3A54D" w14:textId="6B49B218" w:rsidR="00940461" w:rsidRPr="00A01FD7" w:rsidRDefault="008D17BE" w:rsidP="00940461">
      <w:r>
        <w:t xml:space="preserve">Rates for </w:t>
      </w:r>
      <w:r w:rsidR="00755E47">
        <w:t>districts/</w:t>
      </w:r>
      <w:r w:rsidR="00940461">
        <w:t>DHB r</w:t>
      </w:r>
      <w:r w:rsidR="00940461" w:rsidRPr="00A01FD7">
        <w:t>egio</w:t>
      </w:r>
      <w:r>
        <w:t>ns</w:t>
      </w:r>
      <w:r w:rsidR="00940461" w:rsidRPr="00A01FD7">
        <w:t xml:space="preserve"> were calculated based on the residence of </w:t>
      </w:r>
      <w:r w:rsidR="00977C87">
        <w:t>people</w:t>
      </w:r>
      <w:r w:rsidR="00940461" w:rsidRPr="00A01FD7">
        <w:t xml:space="preserve"> giving birth. Rates have not been standardised for differences in population structures</w:t>
      </w:r>
      <w:r w:rsidR="00940461">
        <w:t>,</w:t>
      </w:r>
      <w:r w:rsidR="00940461" w:rsidRPr="00A01FD7">
        <w:t xml:space="preserve"> </w:t>
      </w:r>
      <w:proofErr w:type="spellStart"/>
      <w:r w:rsidR="00940461" w:rsidRPr="00A01FD7">
        <w:t>ie</w:t>
      </w:r>
      <w:proofErr w:type="spellEnd"/>
      <w:r w:rsidR="00940461" w:rsidRPr="00A01FD7">
        <w:t xml:space="preserve">, birth rates are crude and not </w:t>
      </w:r>
      <w:proofErr w:type="gramStart"/>
      <w:r w:rsidR="00940461" w:rsidRPr="00A01FD7">
        <w:t>age-standardised</w:t>
      </w:r>
      <w:proofErr w:type="gramEnd"/>
      <w:r w:rsidR="00940461" w:rsidRPr="00A01FD7">
        <w:t>.</w:t>
      </w:r>
    </w:p>
    <w:p w14:paraId="7D79326B" w14:textId="77777777" w:rsidR="00940461" w:rsidRPr="00A01FD7" w:rsidRDefault="00940461" w:rsidP="00940461">
      <w:pPr>
        <w:pStyle w:val="Heading3"/>
      </w:pPr>
      <w:r w:rsidRPr="00A01FD7">
        <w:t>Proportions vs birth rates</w:t>
      </w:r>
    </w:p>
    <w:p w14:paraId="2D901C99" w14:textId="7F5DC715" w:rsidR="00940461" w:rsidRPr="00A01FD7" w:rsidRDefault="00940461" w:rsidP="00940461">
      <w:r w:rsidRPr="00A01FD7">
        <w:t xml:space="preserve">In this </w:t>
      </w:r>
      <w:r>
        <w:t>web tool</w:t>
      </w:r>
      <w:r w:rsidRPr="00A01FD7">
        <w:t xml:space="preserve">, proportions (expressed as a percentage) are used to describe and compare the characteristics of </w:t>
      </w:r>
      <w:r w:rsidR="00977C87">
        <w:t>people</w:t>
      </w:r>
      <w:r w:rsidRPr="00A01FD7">
        <w:t xml:space="preserve"> giving birth or of live-born babies. Proportions have been calculated using the number of </w:t>
      </w:r>
      <w:r w:rsidR="00977C87">
        <w:t>people</w:t>
      </w:r>
      <w:r w:rsidRPr="00A01FD7">
        <w:t xml:space="preserve"> giving birth or of live-born babies as the denominator.</w:t>
      </w:r>
    </w:p>
    <w:p w14:paraId="0CA5D873" w14:textId="0B340BC8" w:rsidR="00940461" w:rsidRPr="00A01FD7" w:rsidRDefault="00940461" w:rsidP="00940461">
      <w:r w:rsidRPr="00A01FD7">
        <w:t xml:space="preserve">In addition, birth rates are also presented for </w:t>
      </w:r>
      <w:r w:rsidR="00977C87">
        <w:t>people</w:t>
      </w:r>
      <w:r w:rsidRPr="00A01FD7">
        <w:t xml:space="preserve"> giving birth in each main demographic group</w:t>
      </w:r>
      <w:r>
        <w:t>,</w:t>
      </w:r>
      <w:r w:rsidRPr="00A01FD7">
        <w:t xml:space="preserve"> </w:t>
      </w:r>
      <w:proofErr w:type="spellStart"/>
      <w:r w:rsidRPr="00A01FD7">
        <w:t>ie</w:t>
      </w:r>
      <w:proofErr w:type="spellEnd"/>
      <w:r w:rsidRPr="00A01FD7">
        <w:t>, age group, ethnic group and neighbourhood deprivation quintile. They have been calculated using the female population of reproductive age as the denominator.</w:t>
      </w:r>
    </w:p>
    <w:p w14:paraId="516D7676" w14:textId="682CD050" w:rsidR="00940461" w:rsidRPr="00A01FD7" w:rsidRDefault="00940461" w:rsidP="00940461">
      <w:r w:rsidRPr="00A01FD7">
        <w:t xml:space="preserve">Birth rates can provide helpful context, as they account for the size of the population in relation to the number of </w:t>
      </w:r>
      <w:r w:rsidR="00977C87">
        <w:t>people</w:t>
      </w:r>
      <w:r w:rsidRPr="00A01FD7">
        <w:t xml:space="preserve"> giving birth for that demographic group. </w:t>
      </w:r>
      <w:r>
        <w:t>Table 2</w:t>
      </w:r>
      <w:r w:rsidRPr="00A01FD7">
        <w:t xml:space="preserve"> shows </w:t>
      </w:r>
      <w:r>
        <w:t xml:space="preserve">some examples of </w:t>
      </w:r>
      <w:r w:rsidRPr="00A01FD7">
        <w:t>how the proportion and birth rate for Māori compare with that for the European or Other ethnic group, where:</w:t>
      </w:r>
    </w:p>
    <w:p w14:paraId="6F668008" w14:textId="49448263" w:rsidR="00940461" w:rsidRPr="00BD7CB0" w:rsidRDefault="00940461" w:rsidP="00940461">
      <w:pPr>
        <w:pStyle w:val="Bullet"/>
      </w:pPr>
      <w:r w:rsidRPr="00BD7CB0">
        <w:t>2</w:t>
      </w:r>
      <w:r w:rsidR="002446D5" w:rsidRPr="00BD7CB0">
        <w:t>6</w:t>
      </w:r>
      <w:r w:rsidRPr="00BD7CB0">
        <w:t xml:space="preserve">% of </w:t>
      </w:r>
      <w:r w:rsidR="00977C87">
        <w:t>those</w:t>
      </w:r>
      <w:r w:rsidRPr="00BD7CB0">
        <w:t xml:space="preserve"> who gave birth were Māori while 4</w:t>
      </w:r>
      <w:r w:rsidR="002446D5" w:rsidRPr="00BD7CB0">
        <w:t>4</w:t>
      </w:r>
      <w:r w:rsidRPr="00BD7CB0">
        <w:t xml:space="preserve">% were of European or </w:t>
      </w:r>
      <w:proofErr w:type="gramStart"/>
      <w:r w:rsidRPr="00BD7CB0">
        <w:t>Other</w:t>
      </w:r>
      <w:proofErr w:type="gramEnd"/>
      <w:r w:rsidRPr="00BD7CB0">
        <w:t xml:space="preserve"> ethnicity</w:t>
      </w:r>
    </w:p>
    <w:p w14:paraId="4A4A93B7" w14:textId="5400CF9F" w:rsidR="00940461" w:rsidRDefault="00940461" w:rsidP="00940461">
      <w:pPr>
        <w:pStyle w:val="Bullet"/>
      </w:pPr>
      <w:r w:rsidRPr="00A01FD7">
        <w:t xml:space="preserve">the birth rate for Māori was 1.7 times the rate for </w:t>
      </w:r>
      <w:r w:rsidR="00977C87">
        <w:t>those</w:t>
      </w:r>
      <w:r w:rsidRPr="00A01FD7">
        <w:t xml:space="preserve"> in the European or Other ethnic group.</w:t>
      </w:r>
    </w:p>
    <w:p w14:paraId="2A11A108" w14:textId="77777777" w:rsidR="00940461" w:rsidRDefault="00940461">
      <w:r>
        <w:br w:type="page"/>
      </w:r>
    </w:p>
    <w:p w14:paraId="2FBD5630" w14:textId="77777777" w:rsidR="00940461" w:rsidRPr="00A01FD7" w:rsidRDefault="00940461" w:rsidP="00940461">
      <w:pPr>
        <w:pStyle w:val="Table"/>
      </w:pPr>
      <w:bookmarkStart w:id="50" w:name="_Toc41575587"/>
      <w:bookmarkStart w:id="51" w:name="_Toc142896570"/>
      <w:r w:rsidRPr="00A01FD7">
        <w:lastRenderedPageBreak/>
        <w:t xml:space="preserve">Table </w:t>
      </w:r>
      <w:r>
        <w:rPr>
          <w:noProof/>
        </w:rPr>
        <w:t>2</w:t>
      </w:r>
      <w:r w:rsidRPr="00A01FD7">
        <w:t xml:space="preserve">: </w:t>
      </w:r>
      <w:r>
        <w:t>Examples of c</w:t>
      </w:r>
      <w:r w:rsidRPr="00A01FD7">
        <w:t xml:space="preserve">omparing proportions and birth rates between </w:t>
      </w:r>
      <w:r>
        <w:t xml:space="preserve">the </w:t>
      </w:r>
      <w:r w:rsidRPr="00A01FD7">
        <w:t>Māori and the European or Other ethnic group</w:t>
      </w:r>
      <w:r>
        <w:t>s</w:t>
      </w:r>
      <w:bookmarkEnd w:id="50"/>
      <w:bookmarkEnd w:id="51"/>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Caption w:val="Table 1: Comparing proportions and birth rates between the Maori and European or Other ethnic groups"/>
      </w:tblPr>
      <w:tblGrid>
        <w:gridCol w:w="1418"/>
        <w:gridCol w:w="3331"/>
        <w:gridCol w:w="3331"/>
      </w:tblGrid>
      <w:tr w:rsidR="00940461" w:rsidRPr="00D50E2E" w14:paraId="4DE6FA1A" w14:textId="77777777" w:rsidTr="00940461">
        <w:trPr>
          <w:cantSplit/>
          <w:tblHeader/>
        </w:trPr>
        <w:tc>
          <w:tcPr>
            <w:tcW w:w="1418" w:type="dxa"/>
            <w:tcBorders>
              <w:top w:val="nil"/>
              <w:bottom w:val="nil"/>
            </w:tcBorders>
            <w:shd w:val="clear" w:color="auto" w:fill="D9D9D9" w:themeFill="background1" w:themeFillShade="D9"/>
          </w:tcPr>
          <w:p w14:paraId="0DA04CF4" w14:textId="77777777" w:rsidR="00940461" w:rsidRPr="00D50E2E" w:rsidRDefault="00940461" w:rsidP="00940461">
            <w:pPr>
              <w:pStyle w:val="TableText"/>
              <w:keepNext/>
              <w:rPr>
                <w:b/>
              </w:rPr>
            </w:pPr>
          </w:p>
        </w:tc>
        <w:tc>
          <w:tcPr>
            <w:tcW w:w="3331" w:type="dxa"/>
            <w:tcBorders>
              <w:top w:val="nil"/>
              <w:bottom w:val="nil"/>
            </w:tcBorders>
            <w:shd w:val="clear" w:color="auto" w:fill="D9D9D9" w:themeFill="background1" w:themeFillShade="D9"/>
            <w:vAlign w:val="center"/>
          </w:tcPr>
          <w:p w14:paraId="59B4DFA1" w14:textId="77777777" w:rsidR="00940461" w:rsidRPr="00D50E2E" w:rsidRDefault="00940461" w:rsidP="00940461">
            <w:pPr>
              <w:pStyle w:val="TableText"/>
              <w:keepNext/>
              <w:jc w:val="center"/>
              <w:rPr>
                <w:b/>
              </w:rPr>
            </w:pPr>
            <w:r w:rsidRPr="00D50E2E">
              <w:rPr>
                <w:b/>
              </w:rPr>
              <w:t>Māori</w:t>
            </w:r>
          </w:p>
        </w:tc>
        <w:tc>
          <w:tcPr>
            <w:tcW w:w="3331" w:type="dxa"/>
            <w:tcBorders>
              <w:top w:val="nil"/>
              <w:bottom w:val="nil"/>
            </w:tcBorders>
            <w:shd w:val="clear" w:color="auto" w:fill="D9D9D9" w:themeFill="background1" w:themeFillShade="D9"/>
            <w:vAlign w:val="center"/>
          </w:tcPr>
          <w:p w14:paraId="0AF4016A" w14:textId="77777777" w:rsidR="00940461" w:rsidRPr="00D50E2E" w:rsidRDefault="00940461" w:rsidP="00940461">
            <w:pPr>
              <w:pStyle w:val="TableText"/>
              <w:keepNext/>
              <w:jc w:val="center"/>
              <w:rPr>
                <w:b/>
              </w:rPr>
            </w:pPr>
            <w:r w:rsidRPr="00D50E2E">
              <w:rPr>
                <w:b/>
              </w:rPr>
              <w:t>European or Other</w:t>
            </w:r>
          </w:p>
        </w:tc>
      </w:tr>
      <w:tr w:rsidR="00940461" w:rsidRPr="00A01FD7" w14:paraId="23B2AC59" w14:textId="77777777" w:rsidTr="00940461">
        <w:trPr>
          <w:cantSplit/>
        </w:trPr>
        <w:tc>
          <w:tcPr>
            <w:tcW w:w="8080" w:type="dxa"/>
            <w:gridSpan w:val="3"/>
            <w:tcBorders>
              <w:top w:val="nil"/>
            </w:tcBorders>
            <w:shd w:val="clear" w:color="auto" w:fill="auto"/>
          </w:tcPr>
          <w:p w14:paraId="311592EF" w14:textId="77777777" w:rsidR="00940461" w:rsidRPr="00D50E2E" w:rsidRDefault="00940461" w:rsidP="00940461">
            <w:pPr>
              <w:pStyle w:val="TableText"/>
              <w:keepNext/>
              <w:rPr>
                <w:b/>
              </w:rPr>
            </w:pPr>
            <w:r w:rsidRPr="00D50E2E">
              <w:rPr>
                <w:b/>
              </w:rPr>
              <w:t>Proportion (%)</w:t>
            </w:r>
          </w:p>
        </w:tc>
      </w:tr>
      <w:tr w:rsidR="00940461" w:rsidRPr="00A01FD7" w14:paraId="266CD188" w14:textId="77777777" w:rsidTr="00940461">
        <w:trPr>
          <w:cantSplit/>
        </w:trPr>
        <w:tc>
          <w:tcPr>
            <w:tcW w:w="1418" w:type="dxa"/>
          </w:tcPr>
          <w:p w14:paraId="188A9DCA" w14:textId="77777777" w:rsidR="00940461" w:rsidRPr="00A01FD7" w:rsidRDefault="00940461" w:rsidP="00940461">
            <w:pPr>
              <w:pStyle w:val="TableText"/>
              <w:keepNext/>
            </w:pPr>
            <w:r w:rsidRPr="00A01FD7">
              <w:t>Formula</w:t>
            </w:r>
          </w:p>
        </w:tc>
        <w:tc>
          <w:tcPr>
            <w:tcW w:w="3331" w:type="dxa"/>
          </w:tcPr>
          <w:p w14:paraId="18D3FE7D" w14:textId="190100EF" w:rsidR="00940461" w:rsidRPr="00A01FD7" w:rsidRDefault="00977C87" w:rsidP="00940461">
            <w:pPr>
              <w:pStyle w:val="TableText"/>
              <w:keepNext/>
            </w:pPr>
            <w:r>
              <w:t>People</w:t>
            </w:r>
            <w:r w:rsidR="00940461" w:rsidRPr="00A01FD7">
              <w:t xml:space="preserve"> giving birth in the Māori ethnic group/All </w:t>
            </w:r>
            <w:r>
              <w:t>people</w:t>
            </w:r>
            <w:r w:rsidR="00940461" w:rsidRPr="00A01FD7">
              <w:t xml:space="preserve"> giving birth with known ethnicity * 100</w:t>
            </w:r>
          </w:p>
        </w:tc>
        <w:tc>
          <w:tcPr>
            <w:tcW w:w="3331" w:type="dxa"/>
          </w:tcPr>
          <w:p w14:paraId="17D6CC6B" w14:textId="1229E0D5" w:rsidR="00940461" w:rsidRPr="00A01FD7" w:rsidRDefault="00977C87" w:rsidP="00940461">
            <w:pPr>
              <w:pStyle w:val="TableText"/>
              <w:keepNext/>
            </w:pPr>
            <w:r>
              <w:t>People</w:t>
            </w:r>
            <w:r w:rsidRPr="00A01FD7">
              <w:t xml:space="preserve"> </w:t>
            </w:r>
            <w:r w:rsidR="00940461" w:rsidRPr="00A01FD7">
              <w:t xml:space="preserve">giving birth in the European or Other ethnic group/All </w:t>
            </w:r>
            <w:r>
              <w:t>people</w:t>
            </w:r>
            <w:r w:rsidR="00940461" w:rsidRPr="00A01FD7">
              <w:t xml:space="preserve"> giving birth with known ethnicity * 100</w:t>
            </w:r>
          </w:p>
        </w:tc>
      </w:tr>
      <w:tr w:rsidR="00940461" w:rsidRPr="00A01FD7" w14:paraId="7EB02FC7" w14:textId="77777777" w:rsidTr="00940461">
        <w:trPr>
          <w:cantSplit/>
        </w:trPr>
        <w:tc>
          <w:tcPr>
            <w:tcW w:w="1418" w:type="dxa"/>
          </w:tcPr>
          <w:p w14:paraId="37AF0BC6" w14:textId="77777777" w:rsidR="00940461" w:rsidRPr="00A01FD7" w:rsidRDefault="00940461" w:rsidP="00940461">
            <w:pPr>
              <w:pStyle w:val="TableText"/>
              <w:keepNext/>
            </w:pPr>
            <w:r w:rsidRPr="00A01FD7">
              <w:t>Calculation</w:t>
            </w:r>
          </w:p>
        </w:tc>
        <w:tc>
          <w:tcPr>
            <w:tcW w:w="3331" w:type="dxa"/>
          </w:tcPr>
          <w:p w14:paraId="51637BB4" w14:textId="77777777" w:rsidR="00940461" w:rsidRPr="00A01FD7" w:rsidRDefault="00940461" w:rsidP="00940461">
            <w:pPr>
              <w:pStyle w:val="TableText"/>
              <w:keepNext/>
            </w:pPr>
            <w:r>
              <w:t>(14,689/58,926</w:t>
            </w:r>
            <w:r w:rsidRPr="00A01FD7">
              <w:t>) * 100</w:t>
            </w:r>
          </w:p>
        </w:tc>
        <w:tc>
          <w:tcPr>
            <w:tcW w:w="3331" w:type="dxa"/>
          </w:tcPr>
          <w:p w14:paraId="708D7AE2" w14:textId="77777777" w:rsidR="00940461" w:rsidRPr="00A01FD7" w:rsidRDefault="00940461" w:rsidP="00940461">
            <w:pPr>
              <w:pStyle w:val="TableText"/>
              <w:keepNext/>
            </w:pPr>
            <w:r w:rsidRPr="00A01FD7">
              <w:t>(2</w:t>
            </w:r>
            <w:r>
              <w:t>8</w:t>
            </w:r>
            <w:r w:rsidRPr="00A01FD7">
              <w:t>,</w:t>
            </w:r>
            <w:r>
              <w:t>892/58</w:t>
            </w:r>
            <w:r w:rsidRPr="00A01FD7">
              <w:t>,</w:t>
            </w:r>
            <w:r>
              <w:t>926</w:t>
            </w:r>
            <w:r w:rsidRPr="00A01FD7">
              <w:t>) * 100</w:t>
            </w:r>
          </w:p>
        </w:tc>
      </w:tr>
      <w:tr w:rsidR="00940461" w:rsidRPr="00A01FD7" w14:paraId="323BA6D6" w14:textId="77777777" w:rsidTr="00940461">
        <w:trPr>
          <w:cantSplit/>
        </w:trPr>
        <w:tc>
          <w:tcPr>
            <w:tcW w:w="1418" w:type="dxa"/>
          </w:tcPr>
          <w:p w14:paraId="4825D2EA" w14:textId="77777777" w:rsidR="00940461" w:rsidRPr="00A01FD7" w:rsidRDefault="00940461" w:rsidP="00940461">
            <w:pPr>
              <w:pStyle w:val="TableText"/>
              <w:keepNext/>
            </w:pPr>
            <w:r w:rsidRPr="00A01FD7">
              <w:t>Value</w:t>
            </w:r>
          </w:p>
        </w:tc>
        <w:tc>
          <w:tcPr>
            <w:tcW w:w="3331" w:type="dxa"/>
          </w:tcPr>
          <w:p w14:paraId="6E192AF4" w14:textId="77777777" w:rsidR="00940461" w:rsidRPr="00A01FD7" w:rsidRDefault="00940461" w:rsidP="00940461">
            <w:pPr>
              <w:pStyle w:val="TableText"/>
              <w:keepNext/>
            </w:pPr>
            <w:r>
              <w:t>24.9</w:t>
            </w:r>
            <w:r w:rsidRPr="00A01FD7">
              <w:t>%</w:t>
            </w:r>
          </w:p>
        </w:tc>
        <w:tc>
          <w:tcPr>
            <w:tcW w:w="3331" w:type="dxa"/>
          </w:tcPr>
          <w:p w14:paraId="5691CB93" w14:textId="77777777" w:rsidR="00940461" w:rsidRPr="00A01FD7" w:rsidRDefault="00940461" w:rsidP="00940461">
            <w:pPr>
              <w:pStyle w:val="TableText"/>
              <w:keepNext/>
            </w:pPr>
            <w:r>
              <w:t>49.0</w:t>
            </w:r>
            <w:r w:rsidRPr="00A01FD7">
              <w:t>%</w:t>
            </w:r>
          </w:p>
        </w:tc>
      </w:tr>
      <w:tr w:rsidR="00940461" w:rsidRPr="00A01FD7" w14:paraId="5E851BC9" w14:textId="77777777" w:rsidTr="00940461">
        <w:trPr>
          <w:cantSplit/>
        </w:trPr>
        <w:tc>
          <w:tcPr>
            <w:tcW w:w="1418" w:type="dxa"/>
            <w:tcBorders>
              <w:bottom w:val="single" w:sz="4" w:space="0" w:color="7F7F7F" w:themeColor="text1" w:themeTint="80"/>
            </w:tcBorders>
          </w:tcPr>
          <w:p w14:paraId="357C30D1" w14:textId="77777777" w:rsidR="00940461" w:rsidRPr="00A01FD7" w:rsidRDefault="00940461" w:rsidP="00940461">
            <w:pPr>
              <w:pStyle w:val="TableText"/>
              <w:keepNext/>
            </w:pPr>
            <w:r w:rsidRPr="00A01FD7">
              <w:t>Interpretation</w:t>
            </w:r>
          </w:p>
        </w:tc>
        <w:tc>
          <w:tcPr>
            <w:tcW w:w="3331" w:type="dxa"/>
            <w:tcBorders>
              <w:bottom w:val="single" w:sz="4" w:space="0" w:color="7F7F7F" w:themeColor="text1" w:themeTint="80"/>
            </w:tcBorders>
          </w:tcPr>
          <w:p w14:paraId="786989EE" w14:textId="67AD6281" w:rsidR="00940461" w:rsidRPr="00A01FD7" w:rsidRDefault="00940461" w:rsidP="00940461">
            <w:pPr>
              <w:pStyle w:val="TableText"/>
              <w:keepNext/>
            </w:pPr>
            <w:r w:rsidRPr="00A01FD7">
              <w:t xml:space="preserve">For every 100 </w:t>
            </w:r>
            <w:r w:rsidR="00977C87">
              <w:t>people</w:t>
            </w:r>
            <w:r w:rsidRPr="00A01FD7">
              <w:t xml:space="preserve"> giving birth, 2</w:t>
            </w:r>
            <w:r>
              <w:t>5 </w:t>
            </w:r>
            <w:r w:rsidRPr="00A01FD7">
              <w:t>were Māori</w:t>
            </w:r>
          </w:p>
        </w:tc>
        <w:tc>
          <w:tcPr>
            <w:tcW w:w="3331" w:type="dxa"/>
            <w:tcBorders>
              <w:bottom w:val="single" w:sz="4" w:space="0" w:color="7F7F7F" w:themeColor="text1" w:themeTint="80"/>
            </w:tcBorders>
          </w:tcPr>
          <w:p w14:paraId="03DD5EA9" w14:textId="457E582A" w:rsidR="00940461" w:rsidRPr="00A01FD7" w:rsidRDefault="00940461" w:rsidP="00940461">
            <w:pPr>
              <w:pStyle w:val="TableText"/>
              <w:keepNext/>
            </w:pPr>
            <w:r w:rsidRPr="00A01FD7">
              <w:t xml:space="preserve">For </w:t>
            </w:r>
            <w:r>
              <w:t xml:space="preserve">every 100 </w:t>
            </w:r>
            <w:r w:rsidR="00977C87">
              <w:t>people</w:t>
            </w:r>
            <w:r>
              <w:t xml:space="preserve"> giving birth, 49 </w:t>
            </w:r>
            <w:r w:rsidRPr="00A01FD7">
              <w:t>were of European or Other ethnicities</w:t>
            </w:r>
          </w:p>
        </w:tc>
      </w:tr>
      <w:tr w:rsidR="00940461" w:rsidRPr="00A01FD7" w14:paraId="7D301BE4" w14:textId="77777777" w:rsidTr="00940461">
        <w:trPr>
          <w:cantSplit/>
        </w:trPr>
        <w:tc>
          <w:tcPr>
            <w:tcW w:w="8080" w:type="dxa"/>
            <w:gridSpan w:val="3"/>
            <w:tcBorders>
              <w:top w:val="single" w:sz="4" w:space="0" w:color="7F7F7F" w:themeColor="text1" w:themeTint="80"/>
            </w:tcBorders>
            <w:shd w:val="clear" w:color="auto" w:fill="auto"/>
          </w:tcPr>
          <w:p w14:paraId="3387D62C" w14:textId="77777777" w:rsidR="00940461" w:rsidRPr="00D50E2E" w:rsidRDefault="00940461" w:rsidP="00940461">
            <w:pPr>
              <w:pStyle w:val="TableText"/>
              <w:keepNext/>
              <w:rPr>
                <w:b/>
              </w:rPr>
            </w:pPr>
            <w:r w:rsidRPr="00D50E2E">
              <w:rPr>
                <w:b/>
              </w:rPr>
              <w:t>Birth rate (births per 1,000 females of reproductive age)</w:t>
            </w:r>
          </w:p>
        </w:tc>
      </w:tr>
      <w:tr w:rsidR="00940461" w:rsidRPr="00A01FD7" w14:paraId="00A976F6" w14:textId="77777777" w:rsidTr="00940461">
        <w:trPr>
          <w:cantSplit/>
        </w:trPr>
        <w:tc>
          <w:tcPr>
            <w:tcW w:w="1418" w:type="dxa"/>
          </w:tcPr>
          <w:p w14:paraId="39AAE5BA" w14:textId="77777777" w:rsidR="00940461" w:rsidRPr="00A01FD7" w:rsidRDefault="00940461" w:rsidP="00940461">
            <w:pPr>
              <w:pStyle w:val="TableText"/>
            </w:pPr>
            <w:r w:rsidRPr="00A01FD7">
              <w:t>Formula</w:t>
            </w:r>
          </w:p>
        </w:tc>
        <w:tc>
          <w:tcPr>
            <w:tcW w:w="3331" w:type="dxa"/>
          </w:tcPr>
          <w:p w14:paraId="6C3BD99F" w14:textId="0C251090" w:rsidR="00940461" w:rsidRPr="00A01FD7" w:rsidRDefault="00977C87" w:rsidP="00940461">
            <w:pPr>
              <w:pStyle w:val="TableText"/>
            </w:pPr>
            <w:r>
              <w:t>People</w:t>
            </w:r>
            <w:r w:rsidRPr="00A01FD7">
              <w:t xml:space="preserve"> </w:t>
            </w:r>
            <w:r w:rsidR="00940461" w:rsidRPr="00A01FD7">
              <w:t>giving birth in the Māori ethnic group/Female population aged 15–44 years in the Māori ethnic group * 1</w:t>
            </w:r>
            <w:r w:rsidR="00940461">
              <w:t>,</w:t>
            </w:r>
            <w:r w:rsidR="00940461" w:rsidRPr="00A01FD7">
              <w:t>000</w:t>
            </w:r>
          </w:p>
        </w:tc>
        <w:tc>
          <w:tcPr>
            <w:tcW w:w="3331" w:type="dxa"/>
          </w:tcPr>
          <w:p w14:paraId="4F18ACC9" w14:textId="65B8D388" w:rsidR="00940461" w:rsidRPr="00A01FD7" w:rsidRDefault="00977C87" w:rsidP="00940461">
            <w:pPr>
              <w:pStyle w:val="TableText"/>
            </w:pPr>
            <w:r>
              <w:t>People</w:t>
            </w:r>
            <w:r w:rsidRPr="00A01FD7">
              <w:t xml:space="preserve"> </w:t>
            </w:r>
            <w:r w:rsidR="00940461" w:rsidRPr="00A01FD7">
              <w:t>giving birth in the European or Other ethnic group/Female population aged 15–44 years in the European or Other ethnic group * 1</w:t>
            </w:r>
            <w:r w:rsidR="00940461">
              <w:t>,</w:t>
            </w:r>
            <w:r w:rsidR="00940461" w:rsidRPr="00A01FD7">
              <w:t>000</w:t>
            </w:r>
          </w:p>
        </w:tc>
      </w:tr>
      <w:tr w:rsidR="00940461" w:rsidRPr="00A01FD7" w14:paraId="3D81F0AB" w14:textId="77777777" w:rsidTr="00940461">
        <w:trPr>
          <w:cantSplit/>
        </w:trPr>
        <w:tc>
          <w:tcPr>
            <w:tcW w:w="1418" w:type="dxa"/>
          </w:tcPr>
          <w:p w14:paraId="004569FA" w14:textId="77777777" w:rsidR="00940461" w:rsidRPr="00A01FD7" w:rsidRDefault="00940461" w:rsidP="00940461">
            <w:pPr>
              <w:pStyle w:val="TableText"/>
            </w:pPr>
            <w:bookmarkStart w:id="52" w:name="_Hlk41558311"/>
            <w:r w:rsidRPr="00A01FD7">
              <w:t>Calculation</w:t>
            </w:r>
          </w:p>
        </w:tc>
        <w:tc>
          <w:tcPr>
            <w:tcW w:w="3331" w:type="dxa"/>
          </w:tcPr>
          <w:p w14:paraId="01FF4E8D" w14:textId="77777777" w:rsidR="00940461" w:rsidRPr="00A01FD7" w:rsidRDefault="00940461" w:rsidP="00940461">
            <w:pPr>
              <w:pStyle w:val="TableText"/>
            </w:pPr>
            <w:r>
              <w:t>(14,689</w:t>
            </w:r>
            <w:r w:rsidRPr="00A01FD7">
              <w:t>/15</w:t>
            </w:r>
            <w:r>
              <w:t>9</w:t>
            </w:r>
            <w:r w:rsidRPr="00A01FD7">
              <w:t>,</w:t>
            </w:r>
            <w:r>
              <w:t>830</w:t>
            </w:r>
            <w:r w:rsidRPr="00A01FD7">
              <w:t>) * 1</w:t>
            </w:r>
            <w:r>
              <w:t>,</w:t>
            </w:r>
            <w:r w:rsidRPr="00A01FD7">
              <w:t>000</w:t>
            </w:r>
          </w:p>
        </w:tc>
        <w:tc>
          <w:tcPr>
            <w:tcW w:w="3331" w:type="dxa"/>
          </w:tcPr>
          <w:p w14:paraId="3A753513" w14:textId="77777777" w:rsidR="00940461" w:rsidRPr="00A01FD7" w:rsidRDefault="00940461" w:rsidP="00940461">
            <w:pPr>
              <w:pStyle w:val="TableText"/>
            </w:pPr>
            <w:r w:rsidRPr="00A01FD7">
              <w:t>(2</w:t>
            </w:r>
            <w:r>
              <w:t>8</w:t>
            </w:r>
            <w:r w:rsidRPr="00A01FD7">
              <w:t>,</w:t>
            </w:r>
            <w:r>
              <w:t>892/536</w:t>
            </w:r>
            <w:r w:rsidRPr="00A01FD7">
              <w:t>,</w:t>
            </w:r>
            <w:r>
              <w:t>550</w:t>
            </w:r>
            <w:r w:rsidRPr="00A01FD7">
              <w:t>) * 1</w:t>
            </w:r>
            <w:r>
              <w:t>,</w:t>
            </w:r>
            <w:r w:rsidRPr="00A01FD7">
              <w:t>000</w:t>
            </w:r>
          </w:p>
        </w:tc>
      </w:tr>
      <w:tr w:rsidR="00940461" w:rsidRPr="00A01FD7" w14:paraId="377B40C3" w14:textId="77777777" w:rsidTr="00940461">
        <w:trPr>
          <w:cantSplit/>
        </w:trPr>
        <w:tc>
          <w:tcPr>
            <w:tcW w:w="1418" w:type="dxa"/>
          </w:tcPr>
          <w:p w14:paraId="3CFAB700" w14:textId="77777777" w:rsidR="00940461" w:rsidRPr="00A01FD7" w:rsidRDefault="00940461" w:rsidP="00940461">
            <w:pPr>
              <w:pStyle w:val="TableText"/>
            </w:pPr>
            <w:r w:rsidRPr="00A01FD7">
              <w:t>Value</w:t>
            </w:r>
          </w:p>
        </w:tc>
        <w:tc>
          <w:tcPr>
            <w:tcW w:w="3331" w:type="dxa"/>
          </w:tcPr>
          <w:p w14:paraId="794B3D88" w14:textId="77777777" w:rsidR="00940461" w:rsidRPr="00A01FD7" w:rsidRDefault="00940461" w:rsidP="00940461">
            <w:pPr>
              <w:pStyle w:val="TableText"/>
            </w:pPr>
            <w:r>
              <w:t>91.9</w:t>
            </w:r>
            <w:r w:rsidRPr="00A01FD7">
              <w:t xml:space="preserve"> per 1</w:t>
            </w:r>
            <w:r>
              <w:t>,</w:t>
            </w:r>
            <w:r w:rsidRPr="00A01FD7">
              <w:t>000 females of reproductive age</w:t>
            </w:r>
          </w:p>
        </w:tc>
        <w:tc>
          <w:tcPr>
            <w:tcW w:w="3331" w:type="dxa"/>
          </w:tcPr>
          <w:p w14:paraId="568495FF" w14:textId="77777777" w:rsidR="00940461" w:rsidRPr="00A01FD7" w:rsidRDefault="00940461" w:rsidP="00940461">
            <w:pPr>
              <w:pStyle w:val="TableText"/>
            </w:pPr>
            <w:r>
              <w:t>5</w:t>
            </w:r>
            <w:r w:rsidRPr="00A01FD7">
              <w:t>3</w:t>
            </w:r>
            <w:r>
              <w:t>.8</w:t>
            </w:r>
            <w:r w:rsidRPr="00A01FD7">
              <w:t xml:space="preserve"> per 1</w:t>
            </w:r>
            <w:r>
              <w:t>,</w:t>
            </w:r>
            <w:r w:rsidRPr="00A01FD7">
              <w:t>000 females of reproductive age</w:t>
            </w:r>
          </w:p>
        </w:tc>
      </w:tr>
      <w:tr w:rsidR="00940461" w:rsidRPr="00AF16D8" w14:paraId="213B6894" w14:textId="77777777" w:rsidTr="00940461">
        <w:trPr>
          <w:cantSplit/>
        </w:trPr>
        <w:tc>
          <w:tcPr>
            <w:tcW w:w="1418" w:type="dxa"/>
          </w:tcPr>
          <w:p w14:paraId="0E704C9D" w14:textId="77777777" w:rsidR="00940461" w:rsidRPr="00A01FD7" w:rsidRDefault="00940461" w:rsidP="00940461">
            <w:pPr>
              <w:pStyle w:val="TableText"/>
            </w:pPr>
            <w:r w:rsidRPr="00A01FD7">
              <w:t>Interpretation</w:t>
            </w:r>
          </w:p>
        </w:tc>
        <w:tc>
          <w:tcPr>
            <w:tcW w:w="3331" w:type="dxa"/>
          </w:tcPr>
          <w:p w14:paraId="0537D95D" w14:textId="77777777" w:rsidR="00940461" w:rsidRPr="00A01FD7" w:rsidRDefault="00940461" w:rsidP="00940461">
            <w:pPr>
              <w:pStyle w:val="TableText"/>
            </w:pPr>
            <w:r w:rsidRPr="00A01FD7">
              <w:t>For every 1</w:t>
            </w:r>
            <w:r>
              <w:t>,</w:t>
            </w:r>
            <w:r w:rsidRPr="00A01FD7">
              <w:t>000 females aged 15–44 years of Māori ethnicity, 92 gave birth</w:t>
            </w:r>
          </w:p>
        </w:tc>
        <w:tc>
          <w:tcPr>
            <w:tcW w:w="3331" w:type="dxa"/>
          </w:tcPr>
          <w:p w14:paraId="4A9A6C59" w14:textId="77777777" w:rsidR="00940461" w:rsidRPr="00A01FD7" w:rsidRDefault="00940461" w:rsidP="00940461">
            <w:pPr>
              <w:pStyle w:val="TableText"/>
            </w:pPr>
            <w:r w:rsidRPr="00A01FD7">
              <w:t>For every 1</w:t>
            </w:r>
            <w:r>
              <w:t>,</w:t>
            </w:r>
            <w:r w:rsidRPr="00A01FD7">
              <w:t>000 females aged 15–44 years of European or Other ethnicities, 54 gave birth</w:t>
            </w:r>
          </w:p>
        </w:tc>
      </w:tr>
      <w:tr w:rsidR="00940461" w:rsidRPr="00A01FD7" w14:paraId="27B7D0C8" w14:textId="77777777" w:rsidTr="00940461">
        <w:trPr>
          <w:cantSplit/>
        </w:trPr>
        <w:tc>
          <w:tcPr>
            <w:tcW w:w="1418" w:type="dxa"/>
            <w:shd w:val="clear" w:color="auto" w:fill="FFFFFF" w:themeFill="background1"/>
          </w:tcPr>
          <w:p w14:paraId="7F27ABDC" w14:textId="77777777" w:rsidR="00940461" w:rsidRPr="00A01FD7" w:rsidRDefault="00940461" w:rsidP="00940461">
            <w:pPr>
              <w:pStyle w:val="TableText"/>
            </w:pPr>
          </w:p>
        </w:tc>
        <w:tc>
          <w:tcPr>
            <w:tcW w:w="3331" w:type="dxa"/>
            <w:shd w:val="clear" w:color="auto" w:fill="FFFFFF" w:themeFill="background1"/>
          </w:tcPr>
          <w:p w14:paraId="2FF91CAC" w14:textId="77777777" w:rsidR="00940461" w:rsidRPr="00A01FD7" w:rsidRDefault="00940461" w:rsidP="00940461">
            <w:pPr>
              <w:pStyle w:val="TableText"/>
            </w:pPr>
          </w:p>
        </w:tc>
        <w:tc>
          <w:tcPr>
            <w:tcW w:w="3331" w:type="dxa"/>
            <w:shd w:val="clear" w:color="auto" w:fill="FFFFFF" w:themeFill="background1"/>
          </w:tcPr>
          <w:p w14:paraId="02CDAECE" w14:textId="77777777" w:rsidR="00940461" w:rsidRPr="00A01FD7" w:rsidRDefault="00940461" w:rsidP="00940461">
            <w:pPr>
              <w:pStyle w:val="TableText"/>
            </w:pPr>
          </w:p>
        </w:tc>
      </w:tr>
      <w:bookmarkEnd w:id="52"/>
      <w:tr w:rsidR="00940461" w:rsidRPr="00A01FD7" w14:paraId="64C8B855" w14:textId="77777777" w:rsidTr="00940461">
        <w:trPr>
          <w:cantSplit/>
        </w:trPr>
        <w:tc>
          <w:tcPr>
            <w:tcW w:w="8080" w:type="dxa"/>
            <w:gridSpan w:val="3"/>
            <w:shd w:val="clear" w:color="auto" w:fill="D9D9D9" w:themeFill="background1" w:themeFillShade="D9"/>
          </w:tcPr>
          <w:p w14:paraId="51D1481F" w14:textId="440AABA9" w:rsidR="00940461" w:rsidRPr="001E755A" w:rsidRDefault="00940461" w:rsidP="00940461">
            <w:pPr>
              <w:pStyle w:val="TableText"/>
              <w:rPr>
                <w:b/>
              </w:rPr>
            </w:pPr>
            <w:r w:rsidRPr="001E755A">
              <w:rPr>
                <w:b/>
              </w:rPr>
              <w:t>P</w:t>
            </w:r>
            <w:r w:rsidR="00FD1628">
              <w:rPr>
                <w:b/>
              </w:rPr>
              <w:t>ro</w:t>
            </w:r>
            <w:r w:rsidRPr="001E755A">
              <w:rPr>
                <w:b/>
              </w:rPr>
              <w:t>portion (%) with two variables</w:t>
            </w:r>
            <w:r>
              <w:rPr>
                <w:b/>
              </w:rPr>
              <w:t xml:space="preserve">, </w:t>
            </w:r>
            <w:proofErr w:type="spellStart"/>
            <w:r>
              <w:rPr>
                <w:b/>
              </w:rPr>
              <w:t>eg</w:t>
            </w:r>
            <w:proofErr w:type="spellEnd"/>
            <w:r>
              <w:rPr>
                <w:b/>
              </w:rPr>
              <w:t>, ethnicity and place of birth</w:t>
            </w:r>
          </w:p>
        </w:tc>
      </w:tr>
      <w:tr w:rsidR="00940461" w:rsidRPr="00A01FD7" w14:paraId="7821C6CB" w14:textId="77777777" w:rsidTr="00940461">
        <w:trPr>
          <w:cantSplit/>
        </w:trPr>
        <w:tc>
          <w:tcPr>
            <w:tcW w:w="1418" w:type="dxa"/>
          </w:tcPr>
          <w:p w14:paraId="03548460" w14:textId="77777777" w:rsidR="00940461" w:rsidRPr="00A01FD7" w:rsidRDefault="00940461" w:rsidP="00940461">
            <w:pPr>
              <w:pStyle w:val="TableText"/>
            </w:pPr>
            <w:r w:rsidRPr="00A01FD7">
              <w:t>Formula</w:t>
            </w:r>
          </w:p>
        </w:tc>
        <w:tc>
          <w:tcPr>
            <w:tcW w:w="3331" w:type="dxa"/>
          </w:tcPr>
          <w:p w14:paraId="5C671524" w14:textId="3A152F9C" w:rsidR="00940461" w:rsidRPr="00A01FD7" w:rsidRDefault="00977C87" w:rsidP="00940461">
            <w:pPr>
              <w:pStyle w:val="TableText"/>
            </w:pPr>
            <w:r>
              <w:t>People</w:t>
            </w:r>
            <w:r w:rsidRPr="00A01FD7">
              <w:t xml:space="preserve"> giving birth in the Māori ethnic group</w:t>
            </w:r>
            <w:r>
              <w:t xml:space="preserve"> </w:t>
            </w:r>
            <w:r w:rsidR="00940461">
              <w:t>at a secondary facility</w:t>
            </w:r>
            <w:r w:rsidR="00940461" w:rsidRPr="00A01FD7">
              <w:t xml:space="preserve">/All </w:t>
            </w:r>
            <w:r w:rsidR="00940461">
              <w:t xml:space="preserve">Māori </w:t>
            </w:r>
            <w:r w:rsidR="00EC4FB2">
              <w:t>people</w:t>
            </w:r>
            <w:r w:rsidR="00940461" w:rsidRPr="00A01FD7">
              <w:t xml:space="preserve"> giving birth </w:t>
            </w:r>
            <w:r w:rsidR="00940461">
              <w:t>in all recorded places</w:t>
            </w:r>
            <w:r w:rsidR="00940461" w:rsidRPr="00A01FD7">
              <w:t xml:space="preserve"> *</w:t>
            </w:r>
            <w:r w:rsidR="00A029D0">
              <w:t xml:space="preserve"> </w:t>
            </w:r>
            <w:r w:rsidR="00940461" w:rsidRPr="00A01FD7">
              <w:t>100</w:t>
            </w:r>
          </w:p>
        </w:tc>
        <w:tc>
          <w:tcPr>
            <w:tcW w:w="3331" w:type="dxa"/>
          </w:tcPr>
          <w:p w14:paraId="79A2DDBE" w14:textId="417C0BED" w:rsidR="00940461" w:rsidRPr="00A01FD7" w:rsidRDefault="00977C87" w:rsidP="00940461">
            <w:pPr>
              <w:pStyle w:val="TableText"/>
            </w:pPr>
            <w:r>
              <w:t>People</w:t>
            </w:r>
            <w:r w:rsidRPr="00A01FD7">
              <w:t xml:space="preserve"> </w:t>
            </w:r>
            <w:r w:rsidR="00940461" w:rsidRPr="00A01FD7">
              <w:t xml:space="preserve">giving birth </w:t>
            </w:r>
            <w:r w:rsidR="00940461">
              <w:t xml:space="preserve">at a secondary facility </w:t>
            </w:r>
            <w:r w:rsidR="00940461" w:rsidRPr="00A01FD7">
              <w:t xml:space="preserve">in the European or Other ethnic group/All </w:t>
            </w:r>
            <w:r w:rsidR="00EC4FB2">
              <w:t>people</w:t>
            </w:r>
            <w:r w:rsidR="00940461" w:rsidRPr="00A01FD7">
              <w:t xml:space="preserve"> giving birth </w:t>
            </w:r>
            <w:r w:rsidR="00940461">
              <w:t xml:space="preserve">in all recorded places, in the European or Other ethnic group </w:t>
            </w:r>
            <w:r w:rsidR="00940461" w:rsidRPr="00A01FD7">
              <w:t>* 100</w:t>
            </w:r>
          </w:p>
        </w:tc>
      </w:tr>
      <w:tr w:rsidR="00940461" w:rsidRPr="00A01FD7" w14:paraId="1FE2F173" w14:textId="77777777" w:rsidTr="00940461">
        <w:trPr>
          <w:cantSplit/>
        </w:trPr>
        <w:tc>
          <w:tcPr>
            <w:tcW w:w="1418" w:type="dxa"/>
          </w:tcPr>
          <w:p w14:paraId="42D454DA" w14:textId="77777777" w:rsidR="00940461" w:rsidRPr="00A01FD7" w:rsidRDefault="00940461" w:rsidP="00940461">
            <w:pPr>
              <w:pStyle w:val="TableText"/>
            </w:pPr>
            <w:r>
              <w:t>Calculation</w:t>
            </w:r>
          </w:p>
        </w:tc>
        <w:tc>
          <w:tcPr>
            <w:tcW w:w="3331" w:type="dxa"/>
          </w:tcPr>
          <w:p w14:paraId="66C819D1" w14:textId="44288D02" w:rsidR="00940461" w:rsidRPr="00A01FD7" w:rsidRDefault="00940461" w:rsidP="00940461">
            <w:pPr>
              <w:pStyle w:val="TableText"/>
            </w:pPr>
            <w:r>
              <w:t>(7272/14</w:t>
            </w:r>
            <w:r w:rsidR="00A029D0">
              <w:t>,</w:t>
            </w:r>
            <w:r>
              <w:t>070)</w:t>
            </w:r>
            <w:r w:rsidR="00A029D0">
              <w:t xml:space="preserve"> </w:t>
            </w:r>
            <w:r>
              <w:t>*</w:t>
            </w:r>
            <w:r w:rsidR="00A029D0">
              <w:t xml:space="preserve"> </w:t>
            </w:r>
            <w:r>
              <w:t>100</w:t>
            </w:r>
          </w:p>
        </w:tc>
        <w:tc>
          <w:tcPr>
            <w:tcW w:w="3331" w:type="dxa"/>
          </w:tcPr>
          <w:p w14:paraId="259352F9" w14:textId="1A71BE57" w:rsidR="00940461" w:rsidRPr="00A01FD7" w:rsidRDefault="00940461" w:rsidP="00940461">
            <w:pPr>
              <w:pStyle w:val="TableText"/>
            </w:pPr>
            <w:r>
              <w:t>(11728/26</w:t>
            </w:r>
            <w:r w:rsidR="00A029D0">
              <w:t>,</w:t>
            </w:r>
            <w:r>
              <w:t>698)</w:t>
            </w:r>
            <w:r w:rsidR="00A029D0">
              <w:t xml:space="preserve"> </w:t>
            </w:r>
            <w:r>
              <w:t>*</w:t>
            </w:r>
            <w:r w:rsidR="00A029D0">
              <w:t xml:space="preserve"> </w:t>
            </w:r>
            <w:r>
              <w:t>100</w:t>
            </w:r>
          </w:p>
        </w:tc>
      </w:tr>
      <w:tr w:rsidR="00940461" w:rsidRPr="00A01FD7" w14:paraId="4C885CB9" w14:textId="77777777" w:rsidTr="00940461">
        <w:trPr>
          <w:cantSplit/>
        </w:trPr>
        <w:tc>
          <w:tcPr>
            <w:tcW w:w="1418" w:type="dxa"/>
          </w:tcPr>
          <w:p w14:paraId="60559E32" w14:textId="77777777" w:rsidR="00940461" w:rsidRDefault="00940461" w:rsidP="00940461">
            <w:pPr>
              <w:pStyle w:val="TableText"/>
            </w:pPr>
            <w:r>
              <w:t>Value</w:t>
            </w:r>
          </w:p>
        </w:tc>
        <w:tc>
          <w:tcPr>
            <w:tcW w:w="3331" w:type="dxa"/>
          </w:tcPr>
          <w:p w14:paraId="4FA2C0B3" w14:textId="77777777" w:rsidR="00940461" w:rsidRPr="00A01FD7" w:rsidRDefault="00940461" w:rsidP="00940461">
            <w:pPr>
              <w:pStyle w:val="TableText"/>
            </w:pPr>
            <w:r>
              <w:t>49.7%</w:t>
            </w:r>
          </w:p>
        </w:tc>
        <w:tc>
          <w:tcPr>
            <w:tcW w:w="3331" w:type="dxa"/>
          </w:tcPr>
          <w:p w14:paraId="31C77961" w14:textId="77777777" w:rsidR="00940461" w:rsidRPr="00A01FD7" w:rsidRDefault="00940461" w:rsidP="00940461">
            <w:pPr>
              <w:pStyle w:val="TableText"/>
            </w:pPr>
            <w:r>
              <w:t>42.0%</w:t>
            </w:r>
          </w:p>
        </w:tc>
      </w:tr>
      <w:tr w:rsidR="00940461" w:rsidRPr="00A01FD7" w14:paraId="7E886BE6" w14:textId="77777777" w:rsidTr="00940461">
        <w:trPr>
          <w:cantSplit/>
        </w:trPr>
        <w:tc>
          <w:tcPr>
            <w:tcW w:w="1418" w:type="dxa"/>
          </w:tcPr>
          <w:p w14:paraId="265A00EC" w14:textId="77777777" w:rsidR="00940461" w:rsidRDefault="00940461" w:rsidP="00940461">
            <w:pPr>
              <w:pStyle w:val="TableText"/>
            </w:pPr>
            <w:r>
              <w:t>Interpretation</w:t>
            </w:r>
          </w:p>
        </w:tc>
        <w:tc>
          <w:tcPr>
            <w:tcW w:w="3331" w:type="dxa"/>
          </w:tcPr>
          <w:p w14:paraId="65E21DCC" w14:textId="4EE25345" w:rsidR="00940461" w:rsidRPr="00A01FD7" w:rsidRDefault="00940461" w:rsidP="00940461">
            <w:pPr>
              <w:pStyle w:val="TableText"/>
            </w:pPr>
            <w:r w:rsidRPr="00A01FD7">
              <w:t xml:space="preserve">For every 100 </w:t>
            </w:r>
            <w:r>
              <w:t xml:space="preserve">Māori </w:t>
            </w:r>
            <w:r w:rsidRPr="00A01FD7">
              <w:t>giving birth</w:t>
            </w:r>
            <w:r>
              <w:t xml:space="preserve"> in all recorded places</w:t>
            </w:r>
            <w:r w:rsidRPr="00A01FD7">
              <w:t xml:space="preserve">, </w:t>
            </w:r>
            <w:r>
              <w:t>50 gave birth in a secondary facility</w:t>
            </w:r>
          </w:p>
        </w:tc>
        <w:tc>
          <w:tcPr>
            <w:tcW w:w="3331" w:type="dxa"/>
          </w:tcPr>
          <w:p w14:paraId="2E9E0090" w14:textId="4249BA03" w:rsidR="00940461" w:rsidRPr="00A01FD7" w:rsidRDefault="00940461" w:rsidP="00940461">
            <w:pPr>
              <w:pStyle w:val="TableText"/>
            </w:pPr>
            <w:r w:rsidRPr="00A01FD7">
              <w:t xml:space="preserve">For every 100 </w:t>
            </w:r>
            <w:r w:rsidR="00EC4FB2">
              <w:t>people</w:t>
            </w:r>
            <w:r w:rsidRPr="00A01FD7">
              <w:t xml:space="preserve"> </w:t>
            </w:r>
            <w:r>
              <w:t xml:space="preserve">of European or Other ethnicity </w:t>
            </w:r>
            <w:r w:rsidRPr="00A01FD7">
              <w:t>giving birth</w:t>
            </w:r>
            <w:r>
              <w:t xml:space="preserve"> in all recorded places</w:t>
            </w:r>
            <w:r w:rsidRPr="00A01FD7">
              <w:t xml:space="preserve">, </w:t>
            </w:r>
            <w:r>
              <w:t>42 gave birth in a secondary facility</w:t>
            </w:r>
          </w:p>
        </w:tc>
      </w:tr>
    </w:tbl>
    <w:p w14:paraId="52A063B8" w14:textId="77777777" w:rsidR="00940461" w:rsidRDefault="00940461" w:rsidP="00940461"/>
    <w:p w14:paraId="6E1E6BC6" w14:textId="77777777" w:rsidR="000D1931" w:rsidRDefault="000D1931" w:rsidP="00940461"/>
    <w:p w14:paraId="20197448" w14:textId="77777777" w:rsidR="000D1931" w:rsidRDefault="000D1931" w:rsidP="00940461"/>
    <w:p w14:paraId="0B8EB09F" w14:textId="77777777" w:rsidR="000D1931" w:rsidRDefault="000D1931" w:rsidP="00940461"/>
    <w:p w14:paraId="7C1A7BA8" w14:textId="77777777" w:rsidR="00686C9E" w:rsidRPr="00A01FD7" w:rsidRDefault="00686C9E" w:rsidP="00D50E2E"/>
    <w:p w14:paraId="1F06C934" w14:textId="77777777" w:rsidR="00940461" w:rsidRPr="00A01FD7" w:rsidRDefault="00940461" w:rsidP="00940461">
      <w:pPr>
        <w:pStyle w:val="Heading2"/>
      </w:pPr>
      <w:bookmarkStart w:id="53" w:name="_Toc41575613"/>
      <w:bookmarkStart w:id="54" w:name="_Toc165466920"/>
      <w:bookmarkEnd w:id="36"/>
      <w:bookmarkEnd w:id="37"/>
      <w:bookmarkEnd w:id="38"/>
      <w:r w:rsidRPr="00A01FD7">
        <w:lastRenderedPageBreak/>
        <w:t>Additional information</w:t>
      </w:r>
      <w:bookmarkEnd w:id="53"/>
      <w:bookmarkEnd w:id="54"/>
    </w:p>
    <w:p w14:paraId="62619C64" w14:textId="77777777" w:rsidR="00940461" w:rsidRPr="00A01FD7" w:rsidRDefault="00940461" w:rsidP="00940461">
      <w:pPr>
        <w:keepNext/>
      </w:pPr>
    </w:p>
    <w:p w14:paraId="55B993A0" w14:textId="65DA945C" w:rsidR="00940461" w:rsidRPr="00A01FD7" w:rsidRDefault="00940461" w:rsidP="00940461">
      <w:pPr>
        <w:keepNext/>
        <w:keepLines/>
      </w:pPr>
      <w:r w:rsidRPr="002C78BA">
        <w:t xml:space="preserve">Please contact the </w:t>
      </w:r>
      <w:hyperlink r:id="rId23" w:history="1">
        <w:r>
          <w:rPr>
            <w:rStyle w:val="Hyperlink"/>
          </w:rPr>
          <w:t>Data</w:t>
        </w:r>
        <w:r w:rsidRPr="002C78BA">
          <w:rPr>
            <w:rStyle w:val="Hyperlink"/>
          </w:rPr>
          <w:t xml:space="preserve"> Services team</w:t>
        </w:r>
      </w:hyperlink>
      <w:r w:rsidRPr="00AD7F5F">
        <w:rPr>
          <w:rStyle w:val="Hyperlink"/>
        </w:rPr>
        <w:t xml:space="preserve"> </w:t>
      </w:r>
      <w:r w:rsidRPr="002C78BA">
        <w:t xml:space="preserve">at </w:t>
      </w:r>
      <w:r w:rsidR="0094796D">
        <w:t>Health New Zealand</w:t>
      </w:r>
      <w:r w:rsidRPr="002C78BA">
        <w:t xml:space="preserve"> if you would like further information not included in this </w:t>
      </w:r>
      <w:r>
        <w:t>web tool</w:t>
      </w:r>
      <w:r w:rsidRPr="002C78BA">
        <w:t xml:space="preserve">. </w:t>
      </w:r>
      <w:r w:rsidR="0094796D">
        <w:t>Health New Zealand</w:t>
      </w:r>
      <w:r w:rsidR="00A31AD1" w:rsidRPr="002C78BA">
        <w:t xml:space="preserve"> </w:t>
      </w:r>
      <w:r w:rsidR="003754E2" w:rsidRPr="00A01FD7">
        <w:t>can</w:t>
      </w:r>
      <w:r w:rsidRPr="00A01FD7">
        <w:t xml:space="preserve"> produce customised data extracts tailored to your needs. These may incur a charge (at Official Information Act rates). The contact details are as follows:</w:t>
      </w:r>
    </w:p>
    <w:p w14:paraId="4B613F29" w14:textId="77777777" w:rsidR="00940461" w:rsidRPr="00A01FD7" w:rsidRDefault="00940461" w:rsidP="00940461">
      <w:pPr>
        <w:keepNext/>
        <w:spacing w:before="120"/>
        <w:ind w:left="567"/>
      </w:pPr>
      <w:r w:rsidRPr="00A01FD7">
        <w:t>Postal address:</w:t>
      </w:r>
      <w:r w:rsidRPr="00A01FD7">
        <w:tab/>
      </w:r>
      <w:r>
        <w:t>Data</w:t>
      </w:r>
      <w:r w:rsidRPr="00A01FD7">
        <w:t xml:space="preserve"> Services</w:t>
      </w:r>
    </w:p>
    <w:p w14:paraId="6CC0E028" w14:textId="2C28C364" w:rsidR="00940461" w:rsidRPr="00A01FD7" w:rsidRDefault="0094796D" w:rsidP="00940461">
      <w:pPr>
        <w:keepNext/>
        <w:ind w:left="2268"/>
      </w:pPr>
      <w:r>
        <w:t>Health New Zealand</w:t>
      </w:r>
    </w:p>
    <w:p w14:paraId="3E645DAF" w14:textId="77777777" w:rsidR="00940461" w:rsidRPr="00A01FD7" w:rsidRDefault="00940461" w:rsidP="00940461">
      <w:pPr>
        <w:keepNext/>
        <w:ind w:left="2268"/>
      </w:pPr>
      <w:r w:rsidRPr="00A01FD7">
        <w:t>PO Box 5013</w:t>
      </w:r>
    </w:p>
    <w:p w14:paraId="2B6AE5DB" w14:textId="77777777" w:rsidR="00940461" w:rsidRPr="00A01FD7" w:rsidRDefault="00940461" w:rsidP="00940461">
      <w:pPr>
        <w:keepNext/>
        <w:ind w:left="2268"/>
      </w:pPr>
      <w:r w:rsidRPr="00A01FD7">
        <w:t>Wellington 6145</w:t>
      </w:r>
    </w:p>
    <w:p w14:paraId="3F00CFE3" w14:textId="77777777" w:rsidR="00940461" w:rsidRPr="00A01FD7" w:rsidRDefault="00940461" w:rsidP="00940461">
      <w:pPr>
        <w:spacing w:after="120"/>
        <w:ind w:left="2268"/>
      </w:pPr>
      <w:r w:rsidRPr="00A01FD7">
        <w:t>New Zealand</w:t>
      </w:r>
    </w:p>
    <w:p w14:paraId="1D33FC54" w14:textId="77777777" w:rsidR="00940461" w:rsidRPr="00A01FD7" w:rsidRDefault="00940461" w:rsidP="00940461">
      <w:pPr>
        <w:spacing w:after="120"/>
        <w:ind w:left="2268" w:hanging="1701"/>
      </w:pPr>
      <w:r w:rsidRPr="00A01FD7">
        <w:t>Email:</w:t>
      </w:r>
      <w:r w:rsidRPr="00A01FD7">
        <w:tab/>
      </w:r>
      <w:hyperlink r:id="rId24" w:history="1">
        <w:r w:rsidRPr="00F2547D">
          <w:rPr>
            <w:rStyle w:val="Hyperlink"/>
          </w:rPr>
          <w:t>data-enquiries@health.govt.nz</w:t>
        </w:r>
      </w:hyperlink>
    </w:p>
    <w:p w14:paraId="6E63D337" w14:textId="77777777" w:rsidR="00940461" w:rsidRPr="00A01FD7" w:rsidRDefault="00940461" w:rsidP="00940461">
      <w:pPr>
        <w:spacing w:after="120"/>
        <w:ind w:left="2268" w:hanging="1701"/>
      </w:pPr>
      <w:r w:rsidRPr="00A01FD7">
        <w:t>Phone:</w:t>
      </w:r>
      <w:r w:rsidRPr="00A01FD7">
        <w:tab/>
        <w:t>(04) 496 2000</w:t>
      </w:r>
    </w:p>
    <w:p w14:paraId="06AAE7BC" w14:textId="77777777" w:rsidR="00940461" w:rsidRPr="00AF16D8" w:rsidRDefault="00940461" w:rsidP="00940461">
      <w:pPr>
        <w:rPr>
          <w:highlight w:val="yellow"/>
        </w:rPr>
      </w:pPr>
    </w:p>
    <w:p w14:paraId="6588C96C" w14:textId="77777777" w:rsidR="00940461" w:rsidRDefault="00940461" w:rsidP="00940461">
      <w:pPr>
        <w:pStyle w:val="Heading2"/>
      </w:pPr>
      <w:bookmarkStart w:id="55" w:name="_Toc41575614"/>
      <w:bookmarkStart w:id="56" w:name="_Toc165466921"/>
      <w:r>
        <w:t>Key terms used</w:t>
      </w:r>
      <w:bookmarkEnd w:id="55"/>
      <w:bookmarkEnd w:id="56"/>
    </w:p>
    <w:p w14:paraId="4BA421EE" w14:textId="7F6580D3" w:rsidR="00940461" w:rsidRPr="006E055D" w:rsidRDefault="00516A3A" w:rsidP="000D1931">
      <w:pPr>
        <w:pStyle w:val="Heading3"/>
      </w:pPr>
      <w:r>
        <w:t>District/</w:t>
      </w:r>
      <w:r w:rsidR="00940461" w:rsidRPr="006E055D">
        <w:t xml:space="preserve">District Health Board </w:t>
      </w:r>
      <w:r w:rsidR="00AE2A37">
        <w:t>region</w:t>
      </w:r>
    </w:p>
    <w:p w14:paraId="72B67E4D" w14:textId="0A9B8AEC" w:rsidR="00940461" w:rsidRDefault="00940461" w:rsidP="000D1931">
      <w:pPr>
        <w:keepNext/>
      </w:pPr>
      <w:r w:rsidRPr="003731A2">
        <w:t xml:space="preserve">The geographic distribution of </w:t>
      </w:r>
      <w:r w:rsidR="00977C87">
        <w:t>people</w:t>
      </w:r>
      <w:r w:rsidRPr="003731A2">
        <w:t xml:space="preserve"> giving birth is based on </w:t>
      </w:r>
      <w:r>
        <w:t xml:space="preserve">the </w:t>
      </w:r>
      <w:r w:rsidR="00AE2A37">
        <w:t>district (</w:t>
      </w:r>
      <w:r w:rsidR="00B5483D">
        <w:t>f</w:t>
      </w:r>
      <w:r w:rsidR="00582929">
        <w:t>or</w:t>
      </w:r>
      <w:r w:rsidR="00B5483D">
        <w:t>mer</w:t>
      </w:r>
      <w:r w:rsidR="00582929">
        <w:t xml:space="preserve"> </w:t>
      </w:r>
      <w:r w:rsidRPr="003731A2">
        <w:t>DHB region</w:t>
      </w:r>
      <w:r w:rsidR="00AE2A37">
        <w:t xml:space="preserve">) </w:t>
      </w:r>
      <w:r w:rsidRPr="003731A2">
        <w:t xml:space="preserve">of the </w:t>
      </w:r>
      <w:r w:rsidR="00977C87">
        <w:t>person</w:t>
      </w:r>
      <w:r>
        <w:t>’</w:t>
      </w:r>
      <w:r w:rsidRPr="003731A2">
        <w:t xml:space="preserve">s residence. Rates and numbers </w:t>
      </w:r>
      <w:r>
        <w:t xml:space="preserve">presented by </w:t>
      </w:r>
      <w:r w:rsidR="00AE2A37">
        <w:t>district</w:t>
      </w:r>
      <w:r w:rsidRPr="003731A2">
        <w:t xml:space="preserve"> are intended to reflect the usually resident population of the </w:t>
      </w:r>
      <w:r w:rsidR="00AE2A37">
        <w:t>district</w:t>
      </w:r>
      <w:r w:rsidRPr="003731A2">
        <w:t xml:space="preserve"> and not necessarily the facilities run by </w:t>
      </w:r>
      <w:r>
        <w:t>t</w:t>
      </w:r>
      <w:r w:rsidRPr="003731A2">
        <w:t xml:space="preserve">hat </w:t>
      </w:r>
      <w:r w:rsidR="00AE2A37">
        <w:t>district</w:t>
      </w:r>
      <w:r w:rsidRPr="003731A2">
        <w:t>.</w:t>
      </w:r>
      <w:r w:rsidR="00AE2A37">
        <w:t xml:space="preserve"> The terms district and DHB region are used interchangeably throughout the web tool.</w:t>
      </w:r>
    </w:p>
    <w:p w14:paraId="5E183DD1" w14:textId="77777777" w:rsidR="00940461" w:rsidRPr="003E7A85" w:rsidRDefault="00940461" w:rsidP="000D1931">
      <w:pPr>
        <w:pStyle w:val="Heading3"/>
      </w:pPr>
      <w:r>
        <w:t>Parity</w:t>
      </w:r>
    </w:p>
    <w:p w14:paraId="535221BC" w14:textId="394292BF" w:rsidR="00940461" w:rsidRDefault="00940461" w:rsidP="00E00A59">
      <w:pPr>
        <w:pStyle w:val="Box"/>
        <w:pBdr>
          <w:top w:val="none" w:sz="0" w:space="0" w:color="auto"/>
          <w:left w:val="none" w:sz="0" w:space="0" w:color="auto"/>
          <w:bottom w:val="none" w:sz="0" w:space="0" w:color="auto"/>
          <w:right w:val="none" w:sz="0" w:space="0" w:color="auto"/>
        </w:pBdr>
        <w:ind w:left="0"/>
      </w:pPr>
      <w:r w:rsidRPr="006E055D">
        <w:t xml:space="preserve">Parity refers to the number of times a </w:t>
      </w:r>
      <w:r w:rsidR="00977C87">
        <w:t>person</w:t>
      </w:r>
      <w:r w:rsidRPr="006E055D">
        <w:t xml:space="preserve"> has previously given birth, including stillbirths. Parity data is primarily sourced from LMC claim forms, with additional data from some </w:t>
      </w:r>
      <w:r w:rsidR="00755E47">
        <w:t>district</w:t>
      </w:r>
      <w:r w:rsidRPr="006E055D">
        <w:t xml:space="preserve"> primary maternity services. It is, therefore, only available for </w:t>
      </w:r>
      <w:r w:rsidR="00977C87">
        <w:t>people</w:t>
      </w:r>
      <w:r w:rsidRPr="006E055D">
        <w:t xml:space="preserve"> registered with an LMC or </w:t>
      </w:r>
      <w:r w:rsidR="00755E47">
        <w:t>district</w:t>
      </w:r>
      <w:r w:rsidRPr="006E055D">
        <w:t xml:space="preserve"> primary maternity service (approximately 95% of </w:t>
      </w:r>
      <w:r w:rsidR="00EC4FB2">
        <w:t>people</w:t>
      </w:r>
      <w:r w:rsidRPr="006E055D">
        <w:t xml:space="preserve"> giving birth).</w:t>
      </w:r>
    </w:p>
    <w:p w14:paraId="10E50696" w14:textId="77777777" w:rsidR="00940461" w:rsidRPr="006E055D" w:rsidRDefault="00940461" w:rsidP="000D1931">
      <w:pPr>
        <w:pStyle w:val="Heading3"/>
      </w:pPr>
      <w:r>
        <w:t>Body Mass index</w:t>
      </w:r>
    </w:p>
    <w:p w14:paraId="03B8E154" w14:textId="448CA856" w:rsidR="00686C9E" w:rsidRDefault="00940461" w:rsidP="00E00A59">
      <w:pPr>
        <w:pStyle w:val="Box"/>
        <w:pBdr>
          <w:top w:val="none" w:sz="0" w:space="0" w:color="auto"/>
          <w:left w:val="none" w:sz="0" w:space="0" w:color="auto"/>
          <w:bottom w:val="none" w:sz="0" w:space="0" w:color="auto"/>
          <w:right w:val="none" w:sz="0" w:space="0" w:color="auto"/>
        </w:pBdr>
        <w:ind w:left="0"/>
        <w:rPr>
          <w:highlight w:val="yellow"/>
        </w:rPr>
      </w:pPr>
      <w:r w:rsidRPr="00C054DC">
        <w:t>Body mass index (BMI) is a ratio used to determine healthy weight ranges, and it has been used to define the medical standard for overweight and obesity. It is defined as weight in kilograms divided by the square of height in metres. The BMI range for each weight category is as follows:</w:t>
      </w:r>
    </w:p>
    <w:p w14:paraId="66A90C9C" w14:textId="77777777" w:rsidR="000D1931" w:rsidRPr="00AF16D8" w:rsidRDefault="000D1931" w:rsidP="0043138A">
      <w:pPr>
        <w:rPr>
          <w:highlight w:val="yellow"/>
        </w:rPr>
      </w:pPr>
    </w:p>
    <w:p w14:paraId="7E55A63E" w14:textId="77777777" w:rsidR="00940461" w:rsidRPr="00C054DC" w:rsidRDefault="00940461" w:rsidP="00940461">
      <w:pPr>
        <w:pStyle w:val="Box"/>
        <w:pBdr>
          <w:top w:val="none" w:sz="0" w:space="0" w:color="auto"/>
          <w:left w:val="none" w:sz="0" w:space="0" w:color="auto"/>
          <w:bottom w:val="none" w:sz="0" w:space="0" w:color="auto"/>
          <w:right w:val="none" w:sz="0" w:space="0" w:color="auto"/>
        </w:pBdr>
        <w:ind w:left="426"/>
      </w:pPr>
      <w:r w:rsidRPr="0032371A">
        <w:rPr>
          <w:b/>
        </w:rPr>
        <w:t>Underweight:</w:t>
      </w:r>
      <w:r w:rsidRPr="00C054DC">
        <w:t xml:space="preserve"> &lt;19</w:t>
      </w:r>
      <w:r>
        <w:t xml:space="preserve"> </w:t>
      </w:r>
      <w:r w:rsidRPr="00C054DC">
        <w:br/>
      </w:r>
      <w:r w:rsidRPr="0032371A">
        <w:rPr>
          <w:b/>
        </w:rPr>
        <w:t>Healthy weight:</w:t>
      </w:r>
      <w:r w:rsidRPr="00C054DC">
        <w:t xml:space="preserve"> 19–24</w:t>
      </w:r>
      <w:r w:rsidRPr="00C054DC">
        <w:br/>
      </w:r>
      <w:r w:rsidRPr="0032371A">
        <w:rPr>
          <w:b/>
        </w:rPr>
        <w:lastRenderedPageBreak/>
        <w:t>Overweight:</w:t>
      </w:r>
      <w:r w:rsidRPr="00C054DC">
        <w:t xml:space="preserve"> 25–29</w:t>
      </w:r>
      <w:r w:rsidRPr="00C054DC">
        <w:br/>
      </w:r>
      <w:r w:rsidRPr="0032371A">
        <w:rPr>
          <w:b/>
        </w:rPr>
        <w:t>Obese:</w:t>
      </w:r>
      <w:r w:rsidRPr="00C054DC">
        <w:t xml:space="preserve"> 30+</w:t>
      </w:r>
    </w:p>
    <w:p w14:paraId="36D7961B" w14:textId="24B0D7FA" w:rsidR="00940461" w:rsidRPr="00C054DC" w:rsidRDefault="00940461" w:rsidP="000D1931">
      <w:pPr>
        <w:pStyle w:val="Box"/>
        <w:pBdr>
          <w:top w:val="none" w:sz="0" w:space="0" w:color="auto"/>
          <w:left w:val="none" w:sz="0" w:space="0" w:color="auto"/>
          <w:bottom w:val="none" w:sz="0" w:space="0" w:color="auto"/>
          <w:right w:val="none" w:sz="0" w:space="0" w:color="auto"/>
        </w:pBdr>
        <w:ind w:left="0"/>
      </w:pPr>
      <w:r w:rsidRPr="00C054DC">
        <w:t xml:space="preserve">Height and weight measurements for calculating BMI are taken during first registration with a </w:t>
      </w:r>
      <w:r w:rsidR="00977C87">
        <w:t>person</w:t>
      </w:r>
      <w:r>
        <w:t>’</w:t>
      </w:r>
      <w:r w:rsidRPr="00C054DC">
        <w:t>s primary maternity care provider. This usually happens during the first trimester of pregnancy.</w:t>
      </w:r>
    </w:p>
    <w:p w14:paraId="4B6A4BAA" w14:textId="77777777" w:rsidR="00193157" w:rsidRDefault="00940461" w:rsidP="000D1931">
      <w:pPr>
        <w:pStyle w:val="Box"/>
        <w:pBdr>
          <w:top w:val="none" w:sz="0" w:space="0" w:color="auto"/>
          <w:left w:val="none" w:sz="0" w:space="0" w:color="auto"/>
          <w:bottom w:val="none" w:sz="0" w:space="0" w:color="auto"/>
          <w:right w:val="none" w:sz="0" w:space="0" w:color="auto"/>
        </w:pBdr>
        <w:ind w:left="0"/>
      </w:pPr>
      <w:r>
        <w:t>B</w:t>
      </w:r>
      <w:r w:rsidRPr="00C054DC">
        <w:t xml:space="preserve">MI data is primarily sourced from LMC claim forms, with additional data from some </w:t>
      </w:r>
      <w:r w:rsidR="00755E47">
        <w:t>district</w:t>
      </w:r>
      <w:r w:rsidRPr="00C054DC">
        <w:t xml:space="preserve"> primary maternity services.</w:t>
      </w:r>
      <w:r>
        <w:t xml:space="preserve"> </w:t>
      </w:r>
      <w:r w:rsidRPr="00C054DC">
        <w:t>It is</w:t>
      </w:r>
      <w:r>
        <w:t>,</w:t>
      </w:r>
      <w:r w:rsidRPr="00C054DC">
        <w:t xml:space="preserve"> therefore</w:t>
      </w:r>
      <w:r>
        <w:t>,</w:t>
      </w:r>
      <w:r w:rsidRPr="00C054DC">
        <w:t xml:space="preserve"> only available for </w:t>
      </w:r>
      <w:r w:rsidR="00977C87">
        <w:t>people</w:t>
      </w:r>
      <w:r w:rsidRPr="00C054DC">
        <w:t xml:space="preserve"> registered with an LMC or with a </w:t>
      </w:r>
      <w:r w:rsidR="00755E47">
        <w:t>district</w:t>
      </w:r>
      <w:r w:rsidRPr="00C054DC">
        <w:t xml:space="preserve"> primary maternity service (approximately 95% of </w:t>
      </w:r>
      <w:r w:rsidR="00AF67B9">
        <w:t>people</w:t>
      </w:r>
      <w:r w:rsidRPr="00C054DC">
        <w:t xml:space="preserve"> giving birth</w:t>
      </w:r>
      <w:r w:rsidR="00A31AD1">
        <w:t>)</w:t>
      </w:r>
      <w:r>
        <w:t>.</w:t>
      </w:r>
      <w:r w:rsidR="00193157">
        <w:t xml:space="preserve"> </w:t>
      </w:r>
    </w:p>
    <w:p w14:paraId="07A64DC6" w14:textId="7D1C8D6B" w:rsidR="00940461" w:rsidRDefault="00193157" w:rsidP="000D1931">
      <w:pPr>
        <w:pStyle w:val="Box"/>
        <w:pBdr>
          <w:top w:val="none" w:sz="0" w:space="0" w:color="auto"/>
          <w:left w:val="none" w:sz="0" w:space="0" w:color="auto"/>
          <w:bottom w:val="none" w:sz="0" w:space="0" w:color="auto"/>
          <w:right w:val="none" w:sz="0" w:space="0" w:color="auto"/>
        </w:pBdr>
        <w:ind w:left="0"/>
      </w:pPr>
      <w:r w:rsidRPr="00193157">
        <w:t xml:space="preserve">Data on BMI </w:t>
      </w:r>
      <w:r>
        <w:t>is</w:t>
      </w:r>
      <w:r w:rsidRPr="00193157">
        <w:t xml:space="preserve"> no longer collected post 2021, due to changes introduced in the Primary Maternity Services Notice 2021.</w:t>
      </w:r>
    </w:p>
    <w:p w14:paraId="7D939022" w14:textId="77777777" w:rsidR="00940461" w:rsidRDefault="00940461" w:rsidP="00940461">
      <w:pPr>
        <w:pStyle w:val="Heading3"/>
      </w:pPr>
      <w:r>
        <w:t>Maternal smoking status</w:t>
      </w:r>
    </w:p>
    <w:p w14:paraId="4D6F46AB" w14:textId="77777777" w:rsidR="00193157" w:rsidRDefault="00940461" w:rsidP="00940461">
      <w:pPr>
        <w:pStyle w:val="Box"/>
        <w:pBdr>
          <w:top w:val="none" w:sz="0" w:space="0" w:color="auto"/>
          <w:left w:val="none" w:sz="0" w:space="0" w:color="auto"/>
          <w:bottom w:val="none" w:sz="0" w:space="0" w:color="auto"/>
          <w:right w:val="none" w:sz="0" w:space="0" w:color="auto"/>
        </w:pBdr>
        <w:ind w:left="0"/>
      </w:pPr>
      <w:r w:rsidRPr="00BE0458">
        <w:t xml:space="preserve">Maternal smoking status </w:t>
      </w:r>
      <w:r>
        <w:t>presented in the web tool is</w:t>
      </w:r>
      <w:r w:rsidRPr="00BE0458">
        <w:t xml:space="preserve"> at two weeks after birth. Smoking data is primarily sourced from LMC claim forms, with additional data from some </w:t>
      </w:r>
      <w:r w:rsidR="00755E47">
        <w:t>district</w:t>
      </w:r>
      <w:r w:rsidRPr="00BE0458">
        <w:t xml:space="preserve"> primary maternity services. It is</w:t>
      </w:r>
      <w:r>
        <w:t>,</w:t>
      </w:r>
      <w:r w:rsidRPr="00BE0458">
        <w:t xml:space="preserve"> therefore</w:t>
      </w:r>
      <w:r>
        <w:t>,</w:t>
      </w:r>
      <w:r w:rsidRPr="00BE0458">
        <w:t xml:space="preserve"> only available for </w:t>
      </w:r>
      <w:r w:rsidR="00977C87">
        <w:t>people</w:t>
      </w:r>
      <w:r w:rsidRPr="00BE0458">
        <w:t xml:space="preserve"> registered with an LMC or with a </w:t>
      </w:r>
      <w:r w:rsidR="00755E47">
        <w:t>district</w:t>
      </w:r>
      <w:r w:rsidRPr="00BE0458">
        <w:t xml:space="preserve"> primary maternity service (approximately 95% of </w:t>
      </w:r>
      <w:r w:rsidR="00AF67B9">
        <w:t>people</w:t>
      </w:r>
      <w:r w:rsidRPr="00BE0458">
        <w:t xml:space="preserve"> giving birth).</w:t>
      </w:r>
      <w:r w:rsidR="00193157">
        <w:t xml:space="preserve"> </w:t>
      </w:r>
    </w:p>
    <w:p w14:paraId="210D62A3" w14:textId="47E59418" w:rsidR="00940461" w:rsidRDefault="00193157" w:rsidP="00940461">
      <w:pPr>
        <w:pStyle w:val="Box"/>
        <w:pBdr>
          <w:top w:val="none" w:sz="0" w:space="0" w:color="auto"/>
          <w:left w:val="none" w:sz="0" w:space="0" w:color="auto"/>
          <w:bottom w:val="none" w:sz="0" w:space="0" w:color="auto"/>
          <w:right w:val="none" w:sz="0" w:space="0" w:color="auto"/>
        </w:pBdr>
        <w:ind w:left="0"/>
      </w:pPr>
      <w:r w:rsidRPr="00193157">
        <w:t xml:space="preserve">Data on smoking status </w:t>
      </w:r>
      <w:r>
        <w:t>is</w:t>
      </w:r>
      <w:r w:rsidRPr="00193157">
        <w:t xml:space="preserve"> no longer collected post 2021, due to changes introduced in the Primary Maternity Services Notice 2021.</w:t>
      </w:r>
    </w:p>
    <w:p w14:paraId="198DCB7A" w14:textId="77777777" w:rsidR="00940461" w:rsidRPr="00BE0458" w:rsidRDefault="00940461" w:rsidP="00940461">
      <w:pPr>
        <w:pStyle w:val="Heading3"/>
      </w:pPr>
      <w:r>
        <w:t>Primary maternity care</w:t>
      </w:r>
    </w:p>
    <w:p w14:paraId="6FC3CD00" w14:textId="35BC7F4C" w:rsidR="00940461" w:rsidRPr="00746DFB" w:rsidRDefault="00940461" w:rsidP="00940461">
      <w:pPr>
        <w:pStyle w:val="Box"/>
        <w:pBdr>
          <w:top w:val="none" w:sz="0" w:space="0" w:color="auto"/>
          <w:left w:val="none" w:sz="0" w:space="0" w:color="auto"/>
          <w:bottom w:val="none" w:sz="0" w:space="0" w:color="auto"/>
          <w:right w:val="none" w:sz="0" w:space="0" w:color="auto"/>
        </w:pBdr>
        <w:ind w:left="0"/>
      </w:pPr>
      <w:r w:rsidRPr="00746DFB">
        <w:t xml:space="preserve">Primary maternity care is usually provided by a community-based LMC. An LMC provides a </w:t>
      </w:r>
      <w:r w:rsidR="00755E47">
        <w:t xml:space="preserve">pregnant </w:t>
      </w:r>
      <w:r w:rsidR="00977C87">
        <w:t>person</w:t>
      </w:r>
      <w:r w:rsidRPr="00746DFB">
        <w:t xml:space="preserve"> and </w:t>
      </w:r>
      <w:r w:rsidR="00D942F1">
        <w:t>their</w:t>
      </w:r>
      <w:r w:rsidRPr="00746DFB">
        <w:t xml:space="preserve"> baby with continuity of care throughout pregnancy, labour and birth and the postnatal period.</w:t>
      </w:r>
    </w:p>
    <w:p w14:paraId="459C765B" w14:textId="0E8957DF" w:rsidR="00940461" w:rsidRPr="00746DFB" w:rsidRDefault="00755E47" w:rsidP="00940461">
      <w:pPr>
        <w:pStyle w:val="Box"/>
        <w:pBdr>
          <w:top w:val="none" w:sz="0" w:space="0" w:color="auto"/>
          <w:left w:val="none" w:sz="0" w:space="0" w:color="auto"/>
          <w:bottom w:val="none" w:sz="0" w:space="0" w:color="auto"/>
          <w:right w:val="none" w:sz="0" w:space="0" w:color="auto"/>
        </w:pBdr>
        <w:ind w:left="0"/>
      </w:pPr>
      <w:r>
        <w:t xml:space="preserve">Pregnant </w:t>
      </w:r>
      <w:r w:rsidR="00977C87">
        <w:t>people</w:t>
      </w:r>
      <w:r w:rsidR="00940461" w:rsidRPr="00746DFB">
        <w:t xml:space="preserve"> who do not access an LMC, either through choice or lack of availability, are entitled to receive primary maternity services from their </w:t>
      </w:r>
      <w:r>
        <w:t>district</w:t>
      </w:r>
      <w:r w:rsidR="00940461" w:rsidRPr="00746DFB">
        <w:t xml:space="preserve">. Collection of data from </w:t>
      </w:r>
      <w:r>
        <w:t>district</w:t>
      </w:r>
      <w:r w:rsidR="00940461" w:rsidRPr="00746DFB">
        <w:t xml:space="preserve"> prim</w:t>
      </w:r>
      <w:r w:rsidR="00940461">
        <w:t xml:space="preserve">ary maternity services is under </w:t>
      </w:r>
      <w:r w:rsidR="00940461" w:rsidRPr="00746DFB">
        <w:t xml:space="preserve">way; currently, only some </w:t>
      </w:r>
      <w:r>
        <w:t>districts</w:t>
      </w:r>
      <w:r w:rsidR="00940461" w:rsidRPr="00746DFB">
        <w:t xml:space="preserve"> have provided their data.</w:t>
      </w:r>
    </w:p>
    <w:p w14:paraId="1E75568E" w14:textId="382D7068" w:rsidR="00940461" w:rsidRPr="0088690C" w:rsidRDefault="003754E2" w:rsidP="00940461">
      <w:pPr>
        <w:pStyle w:val="Box"/>
        <w:pBdr>
          <w:top w:val="none" w:sz="0" w:space="0" w:color="auto"/>
          <w:left w:val="none" w:sz="0" w:space="0" w:color="auto"/>
          <w:bottom w:val="none" w:sz="0" w:space="0" w:color="auto"/>
          <w:right w:val="none" w:sz="0" w:space="0" w:color="auto"/>
        </w:pBdr>
        <w:ind w:left="0"/>
      </w:pPr>
      <w:r>
        <w:t>Most</w:t>
      </w:r>
      <w:r w:rsidR="00940461" w:rsidRPr="00C33006">
        <w:t xml:space="preserve"> </w:t>
      </w:r>
      <w:r w:rsidR="00977C87">
        <w:t>people</w:t>
      </w:r>
      <w:r w:rsidR="00940461" w:rsidRPr="00C33006">
        <w:t xml:space="preserve"> </w:t>
      </w:r>
      <w:r w:rsidR="00940461">
        <w:t xml:space="preserve">recently </w:t>
      </w:r>
      <w:r w:rsidR="00940461" w:rsidRPr="00C33006">
        <w:t>giving birth received primary maternity care from an LMC</w:t>
      </w:r>
      <w:r>
        <w:t>,</w:t>
      </w:r>
      <w:r w:rsidR="00940461" w:rsidRPr="00C33006">
        <w:t xml:space="preserve"> but a small percentage received care from a </w:t>
      </w:r>
      <w:r w:rsidR="00755E47">
        <w:t>district</w:t>
      </w:r>
      <w:r w:rsidR="00940461" w:rsidRPr="00C33006">
        <w:t xml:space="preserve"> primary maternity</w:t>
      </w:r>
      <w:r w:rsidR="00940461" w:rsidRPr="0088690C">
        <w:t xml:space="preserve"> service. </w:t>
      </w:r>
      <w:r w:rsidR="00755E47">
        <w:t xml:space="preserve">Pregnant </w:t>
      </w:r>
      <w:r w:rsidR="00977C87">
        <w:t>people</w:t>
      </w:r>
      <w:r w:rsidR="00940461">
        <w:t xml:space="preserve"> whose p</w:t>
      </w:r>
      <w:r w:rsidR="00940461" w:rsidRPr="0088690C">
        <w:t xml:space="preserve">rovision of care was unknown </w:t>
      </w:r>
      <w:r w:rsidR="00940461">
        <w:t>were</w:t>
      </w:r>
      <w:r w:rsidR="00940461" w:rsidRPr="0088690C">
        <w:t xml:space="preserve"> most likely </w:t>
      </w:r>
      <w:r w:rsidR="00940461">
        <w:t xml:space="preserve">to have </w:t>
      </w:r>
      <w:r w:rsidR="00940461" w:rsidRPr="0088690C">
        <w:t xml:space="preserve">received care from their respective </w:t>
      </w:r>
      <w:r w:rsidR="00755E47">
        <w:t>district</w:t>
      </w:r>
      <w:r w:rsidR="00940461" w:rsidRPr="0088690C">
        <w:t xml:space="preserve"> primary maternity services (not yet reporting),</w:t>
      </w:r>
      <w:r w:rsidR="00940461" w:rsidRPr="00E845CD">
        <w:rPr>
          <w:vertAlign w:val="superscript"/>
        </w:rPr>
        <w:footnoteReference w:id="2"/>
      </w:r>
      <w:r w:rsidR="00940461" w:rsidRPr="0088690C">
        <w:t xml:space="preserve"> but some may not have received any primary maternity care.</w:t>
      </w:r>
    </w:p>
    <w:p w14:paraId="168642BB" w14:textId="77777777" w:rsidR="000D1931" w:rsidRPr="00B81A19" w:rsidRDefault="000D1931" w:rsidP="000D1931">
      <w:pPr>
        <w:pStyle w:val="Heading4"/>
        <w:ind w:left="426" w:hanging="426"/>
      </w:pPr>
      <w:bookmarkStart w:id="57" w:name="_Toc431462718"/>
      <w:bookmarkStart w:id="58" w:name="_Toc479583256"/>
      <w:bookmarkStart w:id="59" w:name="_Toc485542624"/>
      <w:bookmarkEnd w:id="39"/>
      <w:bookmarkEnd w:id="40"/>
      <w:bookmarkEnd w:id="41"/>
      <w:bookmarkEnd w:id="42"/>
      <w:bookmarkEnd w:id="43"/>
      <w:bookmarkEnd w:id="44"/>
      <w:r w:rsidRPr="00B81A19">
        <w:t>Registration with a Lead Maternity Carer</w:t>
      </w:r>
    </w:p>
    <w:p w14:paraId="54EF481A" w14:textId="6111B402" w:rsidR="00401AB0" w:rsidRPr="00B81A19" w:rsidRDefault="000D1931" w:rsidP="000D1931">
      <w:pPr>
        <w:pStyle w:val="Box"/>
        <w:pBdr>
          <w:top w:val="none" w:sz="0" w:space="0" w:color="auto"/>
          <w:left w:val="none" w:sz="0" w:space="0" w:color="auto"/>
          <w:bottom w:val="none" w:sz="0" w:space="0" w:color="auto"/>
          <w:right w:val="none" w:sz="0" w:space="0" w:color="auto"/>
        </w:pBdr>
        <w:ind w:left="0"/>
      </w:pPr>
      <w:r w:rsidRPr="00B81A19">
        <w:t>Most LMCs are midwives, but a GP meeting the required criteria</w:t>
      </w:r>
      <w:r>
        <w:t>,</w:t>
      </w:r>
      <w:r w:rsidRPr="00B81A19">
        <w:t xml:space="preserve"> or an obstetrician may also provide LMC services. A description of LMC services from registration to discharge is available </w:t>
      </w:r>
      <w:r>
        <w:t>in the Primary Maternity Services Notice 20</w:t>
      </w:r>
      <w:r w:rsidR="00380126">
        <w:t>21</w:t>
      </w:r>
      <w:r w:rsidR="00BC4C2E">
        <w:t xml:space="preserve"> </w:t>
      </w:r>
      <w:r>
        <w:t xml:space="preserve">on the Ministry of Health website </w:t>
      </w:r>
      <w:hyperlink r:id="rId25" w:history="1">
        <w:r w:rsidR="00380126" w:rsidRPr="00E75DF6">
          <w:rPr>
            <w:rStyle w:val="Hyperlink"/>
          </w:rPr>
          <w:t>https://www.health.govt.nz/publication/primary-maternity-services-notice-2021</w:t>
        </w:r>
      </w:hyperlink>
    </w:p>
    <w:p w14:paraId="11C38656" w14:textId="77777777" w:rsidR="000D1931" w:rsidRPr="00B81A19" w:rsidRDefault="000D1931" w:rsidP="000D1931">
      <w:pPr>
        <w:pStyle w:val="Box"/>
        <w:pBdr>
          <w:top w:val="none" w:sz="0" w:space="0" w:color="auto"/>
          <w:left w:val="none" w:sz="0" w:space="0" w:color="auto"/>
          <w:bottom w:val="none" w:sz="0" w:space="0" w:color="auto"/>
          <w:right w:val="none" w:sz="0" w:space="0" w:color="auto"/>
        </w:pBdr>
        <w:ind w:left="0"/>
      </w:pPr>
      <w:r w:rsidRPr="00B81A19">
        <w:rPr>
          <w:b/>
        </w:rPr>
        <w:lastRenderedPageBreak/>
        <w:t>Registration</w:t>
      </w:r>
      <w:r w:rsidRPr="00B81A19">
        <w:t xml:space="preserve"> refers to </w:t>
      </w:r>
      <w:r>
        <w:t>selecting</w:t>
      </w:r>
      <w:r w:rsidRPr="00B81A19">
        <w:t xml:space="preserve"> an LMC and </w:t>
      </w:r>
      <w:r>
        <w:t>documenting</w:t>
      </w:r>
      <w:r w:rsidRPr="00B81A19">
        <w:t xml:space="preserve"> this selection.</w:t>
      </w:r>
    </w:p>
    <w:p w14:paraId="15054313" w14:textId="77777777" w:rsidR="000D1931" w:rsidRDefault="000D1931" w:rsidP="000D1931">
      <w:pPr>
        <w:pStyle w:val="Box"/>
        <w:pBdr>
          <w:top w:val="none" w:sz="0" w:space="0" w:color="auto"/>
          <w:left w:val="none" w:sz="0" w:space="0" w:color="auto"/>
          <w:bottom w:val="none" w:sz="0" w:space="0" w:color="auto"/>
          <w:right w:val="none" w:sz="0" w:space="0" w:color="auto"/>
        </w:pBdr>
        <w:ind w:left="0"/>
      </w:pPr>
      <w:r w:rsidRPr="00B81A19">
        <w:rPr>
          <w:b/>
        </w:rPr>
        <w:t>Discharge</w:t>
      </w:r>
      <w:r w:rsidRPr="00B81A19">
        <w:t xml:space="preserve"> refers to the end of an LMC care episode, which occurs four to six weeks after the baby</w:t>
      </w:r>
      <w:r>
        <w:t>’</w:t>
      </w:r>
      <w:r w:rsidRPr="00B81A19">
        <w:t>s birth.</w:t>
      </w:r>
    </w:p>
    <w:p w14:paraId="05EADB5D" w14:textId="77777777" w:rsidR="000D1931" w:rsidRPr="00B81A19" w:rsidRDefault="000D1931" w:rsidP="000D1931">
      <w:pPr>
        <w:pStyle w:val="Box"/>
        <w:pBdr>
          <w:top w:val="none" w:sz="0" w:space="0" w:color="auto"/>
          <w:left w:val="none" w:sz="0" w:space="0" w:color="auto"/>
          <w:bottom w:val="none" w:sz="0" w:space="0" w:color="auto"/>
          <w:right w:val="none" w:sz="0" w:space="0" w:color="auto"/>
        </w:pBdr>
        <w:ind w:left="0"/>
      </w:pPr>
      <w:r w:rsidRPr="00B81A19">
        <w:t xml:space="preserve">Information presented in </w:t>
      </w:r>
      <w:r>
        <w:t>web tool</w:t>
      </w:r>
      <w:r w:rsidRPr="00B81A19">
        <w:t xml:space="preserve"> may not</w:t>
      </w:r>
      <w:r>
        <w:t xml:space="preserve"> </w:t>
      </w:r>
      <w:r w:rsidRPr="00B81A19">
        <w:t>fully reflect the collaborative and complex nature of primary maternity care. LMCs may work in a group or as solo</w:t>
      </w:r>
      <w:r>
        <w:t xml:space="preserve"> </w:t>
      </w:r>
      <w:r w:rsidRPr="00B81A19">
        <w:t>practitioners</w:t>
      </w:r>
      <w:r>
        <w:t xml:space="preserve"> </w:t>
      </w:r>
      <w:r w:rsidRPr="00B81A19">
        <w:t>with a back-up LMC for when they are not available. This publication does not present analysis of non-LMC maternity services such as maternity-rel</w:t>
      </w:r>
      <w:r>
        <w:t>ated GP visits or pregnancy ultrasound scans</w:t>
      </w:r>
      <w:r w:rsidRPr="00B81A19">
        <w:t>.</w:t>
      </w:r>
    </w:p>
    <w:p w14:paraId="1DEE3FC0" w14:textId="56CF5D96" w:rsidR="000D1931" w:rsidRPr="00B81A19" w:rsidRDefault="000D1931" w:rsidP="000D1931">
      <w:pPr>
        <w:pStyle w:val="Box"/>
        <w:pBdr>
          <w:top w:val="none" w:sz="0" w:space="0" w:color="auto"/>
          <w:left w:val="none" w:sz="0" w:space="0" w:color="auto"/>
          <w:bottom w:val="none" w:sz="0" w:space="0" w:color="auto"/>
          <w:right w:val="none" w:sz="0" w:space="0" w:color="auto"/>
        </w:pBdr>
        <w:ind w:left="0"/>
      </w:pPr>
      <w:r>
        <w:t>Data presented in the web tool is</w:t>
      </w:r>
      <w:r w:rsidRPr="00B81A19">
        <w:t xml:space="preserve"> sourced from LMC claim forms submitted to </w:t>
      </w:r>
      <w:r w:rsidR="0094796D">
        <w:t>Health New Zealand</w:t>
      </w:r>
      <w:r w:rsidRPr="00B81A19">
        <w:t xml:space="preserve"> for payment of services</w:t>
      </w:r>
      <w:r>
        <w:t>.</w:t>
      </w:r>
    </w:p>
    <w:p w14:paraId="58106EBB" w14:textId="77777777" w:rsidR="000D1931" w:rsidRPr="00AF16D8" w:rsidRDefault="000D1931" w:rsidP="000D1931">
      <w:pPr>
        <w:ind w:left="426"/>
        <w:rPr>
          <w:highlight w:val="yellow"/>
        </w:rPr>
      </w:pPr>
    </w:p>
    <w:p w14:paraId="0974EECD" w14:textId="089D2FAA" w:rsidR="000D1931" w:rsidRPr="007229CD" w:rsidRDefault="000D1931" w:rsidP="000D1931">
      <w:r w:rsidRPr="007229CD">
        <w:t xml:space="preserve">Variations in the proportion of </w:t>
      </w:r>
      <w:r w:rsidR="00755E47">
        <w:t xml:space="preserve">pregnant </w:t>
      </w:r>
      <w:r w:rsidR="00977C87">
        <w:t>people</w:t>
      </w:r>
      <w:r w:rsidRPr="007229CD">
        <w:t xml:space="preserve"> registered with an LMC likely reflect the LMC workforce availability. </w:t>
      </w:r>
      <w:r w:rsidR="00755E47">
        <w:t>District</w:t>
      </w:r>
      <w:r w:rsidRPr="007229CD">
        <w:t xml:space="preserve"> primary maternity services are expected to be avail</w:t>
      </w:r>
      <w:r>
        <w:t xml:space="preserve">able for </w:t>
      </w:r>
      <w:r w:rsidR="00977C87">
        <w:t>people</w:t>
      </w:r>
      <w:r>
        <w:t xml:space="preserve"> who do not register with</w:t>
      </w:r>
      <w:r w:rsidRPr="007229CD">
        <w:t xml:space="preserve"> an LMC (through choice or availability).</w:t>
      </w:r>
    </w:p>
    <w:p w14:paraId="65F9F368" w14:textId="304DD262" w:rsidR="000D1931" w:rsidRDefault="000D1931" w:rsidP="000D1931">
      <w:pPr>
        <w:pStyle w:val="Heading4"/>
      </w:pPr>
      <w:bookmarkStart w:id="60" w:name="_Toc405887010"/>
      <w:bookmarkStart w:id="61" w:name="_Ref409532078"/>
      <w:bookmarkStart w:id="62" w:name="_Toc412122404"/>
      <w:r w:rsidRPr="004C69AF">
        <w:t xml:space="preserve">Registration with </w:t>
      </w:r>
      <w:r w:rsidR="00755E47">
        <w:t>district</w:t>
      </w:r>
      <w:r w:rsidRPr="004C69AF">
        <w:t xml:space="preserve"> primary maternity services</w:t>
      </w:r>
    </w:p>
    <w:p w14:paraId="40FBBAD1" w14:textId="019CBC89" w:rsidR="000D1931" w:rsidRDefault="00755E47" w:rsidP="000D1931">
      <w:pPr>
        <w:pStyle w:val="Box"/>
        <w:keepLines/>
        <w:pBdr>
          <w:top w:val="none" w:sz="0" w:space="0" w:color="auto"/>
          <w:left w:val="none" w:sz="0" w:space="0" w:color="auto"/>
          <w:bottom w:val="none" w:sz="0" w:space="0" w:color="auto"/>
          <w:right w:val="none" w:sz="0" w:space="0" w:color="auto"/>
        </w:pBdr>
        <w:ind w:left="0"/>
      </w:pPr>
      <w:r>
        <w:t xml:space="preserve">Pregnant </w:t>
      </w:r>
      <w:r w:rsidR="00977C87">
        <w:t>people</w:t>
      </w:r>
      <w:r w:rsidR="000D1931">
        <w:t xml:space="preserve"> who do not register with an LMC, either through choice or lack of availability, are entitled to care from </w:t>
      </w:r>
      <w:r>
        <w:t>district</w:t>
      </w:r>
      <w:r w:rsidR="000D1931">
        <w:t xml:space="preserve">-funded primary maternity services. These services </w:t>
      </w:r>
      <w:r w:rsidR="003754E2">
        <w:t>include</w:t>
      </w:r>
      <w:r w:rsidR="000D1931">
        <w:t xml:space="preserve"> </w:t>
      </w:r>
      <w:r>
        <w:t>district</w:t>
      </w:r>
      <w:r w:rsidR="000D1931">
        <w:t xml:space="preserve"> caseload midwives, </w:t>
      </w:r>
      <w:r>
        <w:t>district</w:t>
      </w:r>
      <w:r w:rsidR="000D1931">
        <w:t xml:space="preserve"> primary midwifery teams and shared case arrangements.</w:t>
      </w:r>
    </w:p>
    <w:p w14:paraId="143ABC32" w14:textId="00BE7D6E" w:rsidR="000D1931" w:rsidRDefault="000D1931" w:rsidP="000D1931">
      <w:pPr>
        <w:pStyle w:val="Box"/>
        <w:pBdr>
          <w:top w:val="none" w:sz="0" w:space="0" w:color="auto"/>
          <w:left w:val="none" w:sz="0" w:space="0" w:color="auto"/>
          <w:bottom w:val="none" w:sz="0" w:space="0" w:color="auto"/>
          <w:right w:val="none" w:sz="0" w:space="0" w:color="auto"/>
        </w:pBdr>
        <w:ind w:left="0"/>
      </w:pPr>
      <w:r>
        <w:t xml:space="preserve">Provision of </w:t>
      </w:r>
      <w:r w:rsidR="00755E47">
        <w:t>district</w:t>
      </w:r>
      <w:r>
        <w:t xml:space="preserve"> primary maternity services became available in 2007. Collection of data from </w:t>
      </w:r>
      <w:r w:rsidR="00755E47">
        <w:t xml:space="preserve">district </w:t>
      </w:r>
      <w:r>
        <w:t xml:space="preserve">primary maternity services began in 2014. Currently, only some </w:t>
      </w:r>
      <w:r w:rsidR="00755E47">
        <w:t xml:space="preserve">districts </w:t>
      </w:r>
      <w:r>
        <w:t>have provided their data.</w:t>
      </w:r>
    </w:p>
    <w:p w14:paraId="2C527C98" w14:textId="77777777" w:rsidR="000D1931" w:rsidRPr="004C69AF" w:rsidRDefault="000D1931" w:rsidP="000D1931">
      <w:pPr>
        <w:pStyle w:val="Heading3"/>
      </w:pPr>
      <w:bookmarkStart w:id="63" w:name="_Ref405539912"/>
      <w:bookmarkStart w:id="64" w:name="_Toc405887011"/>
      <w:bookmarkStart w:id="65" w:name="_Toc412122405"/>
      <w:bookmarkStart w:id="66" w:name="_Toc431462729"/>
      <w:bookmarkStart w:id="67" w:name="_Toc479583267"/>
      <w:bookmarkStart w:id="68" w:name="_Toc485542635"/>
      <w:bookmarkEnd w:id="60"/>
      <w:bookmarkEnd w:id="61"/>
      <w:bookmarkEnd w:id="62"/>
      <w:r w:rsidRPr="004C69AF">
        <w:t>Type of birth</w:t>
      </w:r>
      <w:bookmarkEnd w:id="63"/>
      <w:bookmarkEnd w:id="64"/>
      <w:bookmarkEnd w:id="65"/>
      <w:bookmarkEnd w:id="66"/>
      <w:bookmarkEnd w:id="67"/>
      <w:bookmarkEnd w:id="68"/>
    </w:p>
    <w:p w14:paraId="7382900F" w14:textId="6DA2A2F4" w:rsidR="000D1931" w:rsidRPr="004C69AF" w:rsidRDefault="000D1931" w:rsidP="000D1931">
      <w:pPr>
        <w:pStyle w:val="Box"/>
        <w:pBdr>
          <w:top w:val="none" w:sz="0" w:space="0" w:color="auto"/>
          <w:left w:val="none" w:sz="0" w:space="0" w:color="auto"/>
          <w:bottom w:val="none" w:sz="0" w:space="0" w:color="auto"/>
          <w:right w:val="none" w:sz="0" w:space="0" w:color="auto"/>
        </w:pBdr>
        <w:ind w:left="0"/>
      </w:pPr>
      <w:r w:rsidRPr="004C69AF">
        <w:t xml:space="preserve">The numbers presented in </w:t>
      </w:r>
      <w:r>
        <w:t>the web tool</w:t>
      </w:r>
      <w:r w:rsidRPr="004C69AF">
        <w:t xml:space="preserve"> refer to the number of </w:t>
      </w:r>
      <w:r w:rsidR="00977C87">
        <w:t>people</w:t>
      </w:r>
      <w:r w:rsidRPr="004C69AF">
        <w:t xml:space="preserve"> giving birth, not the number of delivery procedures. A priority system is used to report a</w:t>
      </w:r>
      <w:r>
        <w:t xml:space="preserve"> procedure type for </w:t>
      </w:r>
      <w:r w:rsidR="00977C87">
        <w:t>people</w:t>
      </w:r>
      <w:r>
        <w:t xml:space="preserve"> reported to have</w:t>
      </w:r>
      <w:r w:rsidRPr="004C69AF">
        <w:t xml:space="preserve"> more than one of the delivery procedures described (see </w:t>
      </w:r>
      <w:r>
        <w:t>Analytical methods section</w:t>
      </w:r>
      <w:r w:rsidRPr="004C69AF">
        <w:t xml:space="preserve"> for more information). Types of birth have been grouped into the following aggregated categories.</w:t>
      </w:r>
    </w:p>
    <w:p w14:paraId="72DD7C2B" w14:textId="77777777" w:rsidR="000D1931" w:rsidRPr="004C69AF" w:rsidRDefault="000D1931" w:rsidP="000D1931">
      <w:pPr>
        <w:pStyle w:val="Box"/>
        <w:pBdr>
          <w:top w:val="none" w:sz="0" w:space="0" w:color="auto"/>
          <w:left w:val="none" w:sz="0" w:space="0" w:color="auto"/>
          <w:bottom w:val="none" w:sz="0" w:space="0" w:color="auto"/>
          <w:right w:val="none" w:sz="0" w:space="0" w:color="auto"/>
        </w:pBdr>
        <w:ind w:left="0"/>
      </w:pPr>
      <w:r w:rsidRPr="004C69AF">
        <w:rPr>
          <w:b/>
        </w:rPr>
        <w:t>Spontaneous vaginal birth</w:t>
      </w:r>
      <w:r w:rsidRPr="004C69AF">
        <w:t>: birth of a baby without any obstetric delivery assistance to facilitate delivery; includes spontaneous breech birth (vaginal birth in which the baby</w:t>
      </w:r>
      <w:r>
        <w:t>’</w:t>
      </w:r>
      <w:r w:rsidRPr="004C69AF">
        <w:t xml:space="preserve">s buttocks or lower limbs precede </w:t>
      </w:r>
      <w:r>
        <w:t>its head). These births may</w:t>
      </w:r>
      <w:r w:rsidRPr="004C69AF">
        <w:t xml:space="preserve"> include</w:t>
      </w:r>
      <w:r>
        <w:t xml:space="preserve"> labour</w:t>
      </w:r>
      <w:r w:rsidRPr="004C69AF">
        <w:t xml:space="preserve"> interventions such as induction or augmentation prior to delivery.</w:t>
      </w:r>
    </w:p>
    <w:p w14:paraId="768BCA94" w14:textId="47D66725" w:rsidR="000D1931" w:rsidRDefault="000D1931" w:rsidP="000D1931">
      <w:pPr>
        <w:pStyle w:val="Box"/>
        <w:pBdr>
          <w:top w:val="none" w:sz="0" w:space="0" w:color="auto"/>
          <w:left w:val="none" w:sz="0" w:space="0" w:color="auto"/>
          <w:bottom w:val="none" w:sz="0" w:space="0" w:color="auto"/>
          <w:right w:val="none" w:sz="0" w:space="0" w:color="auto"/>
        </w:pBdr>
        <w:ind w:left="0"/>
      </w:pPr>
      <w:r w:rsidRPr="004C69AF">
        <w:t xml:space="preserve">Spontaneous vaginal birth is known to provide multiple benefits for the </w:t>
      </w:r>
      <w:r w:rsidR="00977C87">
        <w:t>person</w:t>
      </w:r>
      <w:r w:rsidRPr="004C69AF">
        <w:t xml:space="preserve"> and her baby. These benefits are evident at time of birth and have long-term effects for </w:t>
      </w:r>
      <w:proofErr w:type="gramStart"/>
      <w:r w:rsidRPr="004C69AF">
        <w:t>society as a whole</w:t>
      </w:r>
      <w:proofErr w:type="gramEnd"/>
      <w:r w:rsidRPr="004C69AF">
        <w:t xml:space="preserve">. It specifically contributes to the physical and emotional wellbeing of </w:t>
      </w:r>
      <w:r w:rsidR="00AF67B9">
        <w:t>pregnant people</w:t>
      </w:r>
      <w:r w:rsidRPr="004C69AF">
        <w:t xml:space="preserve"> and babies by:</w:t>
      </w:r>
    </w:p>
    <w:p w14:paraId="6BE7918A" w14:textId="77777777" w:rsidR="000D1931" w:rsidRPr="004C69AF" w:rsidRDefault="000D1931" w:rsidP="000D1931">
      <w:pPr>
        <w:pStyle w:val="BoxBullet"/>
        <w:pBdr>
          <w:top w:val="none" w:sz="0" w:space="0" w:color="auto"/>
          <w:left w:val="none" w:sz="0" w:space="0" w:color="auto"/>
          <w:bottom w:val="none" w:sz="0" w:space="0" w:color="auto"/>
          <w:right w:val="none" w:sz="0" w:space="0" w:color="auto"/>
        </w:pBdr>
        <w:ind w:left="0" w:firstLine="0"/>
      </w:pPr>
      <w:r w:rsidRPr="004C69AF">
        <w:t xml:space="preserve">preparing the baby for birth </w:t>
      </w:r>
      <w:proofErr w:type="gramStart"/>
      <w:r w:rsidRPr="004C69AF">
        <w:t>as a result of</w:t>
      </w:r>
      <w:proofErr w:type="gramEnd"/>
      <w:r w:rsidRPr="004C69AF">
        <w:t xml:space="preserve"> </w:t>
      </w:r>
      <w:r>
        <w:t xml:space="preserve">the </w:t>
      </w:r>
      <w:r w:rsidRPr="004C69AF">
        <w:t>mother</w:t>
      </w:r>
      <w:r>
        <w:t>’</w:t>
      </w:r>
      <w:r w:rsidRPr="004C69AF">
        <w:t xml:space="preserve">s hormonal response in </w:t>
      </w:r>
      <w:r>
        <w:tab/>
      </w:r>
      <w:r w:rsidRPr="004C69AF">
        <w:t>spontaneous labour</w:t>
      </w:r>
    </w:p>
    <w:p w14:paraId="2DC74C0D" w14:textId="77777777" w:rsidR="000D1931" w:rsidRPr="004C69AF" w:rsidRDefault="000D1931" w:rsidP="000D1931">
      <w:pPr>
        <w:pStyle w:val="BoxBullet"/>
        <w:pBdr>
          <w:top w:val="none" w:sz="0" w:space="0" w:color="auto"/>
          <w:left w:val="none" w:sz="0" w:space="0" w:color="auto"/>
          <w:bottom w:val="none" w:sz="0" w:space="0" w:color="auto"/>
          <w:right w:val="none" w:sz="0" w:space="0" w:color="auto"/>
        </w:pBdr>
        <w:tabs>
          <w:tab w:val="num" w:pos="567"/>
        </w:tabs>
        <w:ind w:left="567" w:hanging="567"/>
        <w:rPr>
          <w:rFonts w:cs="Georgia"/>
          <w:color w:val="000000"/>
          <w:szCs w:val="22"/>
          <w:lang w:eastAsia="en-NZ"/>
        </w:rPr>
      </w:pPr>
      <w:r w:rsidRPr="004C69AF">
        <w:t>i</w:t>
      </w:r>
      <w:r w:rsidRPr="004C69AF">
        <w:rPr>
          <w:rFonts w:cs="Georgia"/>
          <w:color w:val="000000"/>
          <w:szCs w:val="22"/>
          <w:lang w:eastAsia="en-NZ"/>
        </w:rPr>
        <w:t>nitiating the bonding process through sight, touch and smell, from immediate skin-to-skin contact between mother and baby after birth</w:t>
      </w:r>
    </w:p>
    <w:p w14:paraId="51BD5E5F" w14:textId="77777777" w:rsidR="000D1931" w:rsidRPr="004C69AF" w:rsidRDefault="000D1931" w:rsidP="000D1931">
      <w:pPr>
        <w:pStyle w:val="BoxBullet"/>
        <w:pBdr>
          <w:top w:val="none" w:sz="0" w:space="0" w:color="auto"/>
          <w:left w:val="none" w:sz="0" w:space="0" w:color="auto"/>
          <w:bottom w:val="none" w:sz="0" w:space="0" w:color="auto"/>
          <w:right w:val="none" w:sz="0" w:space="0" w:color="auto"/>
        </w:pBdr>
        <w:tabs>
          <w:tab w:val="num" w:pos="567"/>
        </w:tabs>
        <w:ind w:left="567" w:hanging="567"/>
      </w:pPr>
      <w:r w:rsidRPr="004C69AF">
        <w:t>reassuring the baby with ongoing attachment to a familiar environment</w:t>
      </w:r>
      <w:r>
        <w:t>,</w:t>
      </w:r>
      <w:r w:rsidRPr="004C69AF">
        <w:t xml:space="preserve"> </w:t>
      </w:r>
      <w:proofErr w:type="spellStart"/>
      <w:r w:rsidRPr="004C69AF">
        <w:t>ie</w:t>
      </w:r>
      <w:proofErr w:type="spellEnd"/>
      <w:r w:rsidRPr="004C69AF">
        <w:t>, the mother</w:t>
      </w:r>
    </w:p>
    <w:p w14:paraId="68DA3F92" w14:textId="77777777" w:rsidR="000D1931" w:rsidRPr="004C69AF" w:rsidRDefault="000D1931" w:rsidP="000D1931">
      <w:pPr>
        <w:pStyle w:val="BoxBullet"/>
        <w:pBdr>
          <w:top w:val="none" w:sz="0" w:space="0" w:color="auto"/>
          <w:left w:val="none" w:sz="0" w:space="0" w:color="auto"/>
          <w:bottom w:val="none" w:sz="0" w:space="0" w:color="auto"/>
          <w:right w:val="none" w:sz="0" w:space="0" w:color="auto"/>
        </w:pBdr>
        <w:tabs>
          <w:tab w:val="num" w:pos="567"/>
        </w:tabs>
        <w:ind w:left="0" w:firstLine="0"/>
      </w:pPr>
      <w:r w:rsidRPr="004C69AF">
        <w:lastRenderedPageBreak/>
        <w:t>reducing risk of respiratory difficulties for the baby after birth</w:t>
      </w:r>
    </w:p>
    <w:p w14:paraId="17C5B4CF" w14:textId="77777777" w:rsidR="000D1931" w:rsidRPr="004C69AF" w:rsidRDefault="000D1931" w:rsidP="000D1931">
      <w:pPr>
        <w:pStyle w:val="BoxBullet"/>
        <w:pBdr>
          <w:top w:val="none" w:sz="0" w:space="0" w:color="auto"/>
          <w:left w:val="none" w:sz="0" w:space="0" w:color="auto"/>
          <w:bottom w:val="none" w:sz="0" w:space="0" w:color="auto"/>
          <w:right w:val="none" w:sz="0" w:space="0" w:color="auto"/>
        </w:pBdr>
        <w:tabs>
          <w:tab w:val="num" w:pos="567"/>
        </w:tabs>
        <w:ind w:left="567" w:hanging="567"/>
      </w:pPr>
      <w:r w:rsidRPr="004C69AF">
        <w:t>exposing the baby to normal flora from the mother, so that it colonises the</w:t>
      </w:r>
      <w:r>
        <w:t xml:space="preserve"> </w:t>
      </w:r>
      <w:r w:rsidRPr="004C69AF">
        <w:t>baby</w:t>
      </w:r>
      <w:r>
        <w:t>’</w:t>
      </w:r>
      <w:r w:rsidRPr="004C69AF">
        <w:t>s intestine</w:t>
      </w:r>
    </w:p>
    <w:p w14:paraId="16B62AD7" w14:textId="77777777" w:rsidR="000D1931" w:rsidRPr="004C69AF" w:rsidRDefault="000D1931" w:rsidP="000D1931">
      <w:pPr>
        <w:pStyle w:val="BoxBullet"/>
        <w:pBdr>
          <w:top w:val="none" w:sz="0" w:space="0" w:color="auto"/>
          <w:left w:val="none" w:sz="0" w:space="0" w:color="auto"/>
          <w:bottom w:val="none" w:sz="0" w:space="0" w:color="auto"/>
          <w:right w:val="none" w:sz="0" w:space="0" w:color="auto"/>
        </w:pBdr>
        <w:tabs>
          <w:tab w:val="num" w:pos="567"/>
        </w:tabs>
        <w:ind w:left="567" w:hanging="567"/>
      </w:pPr>
      <w:r w:rsidRPr="004C69AF">
        <w:t>promoting early initiation of breastfeeding, thereby supporting exclusive breastfeeding for a longer duration</w:t>
      </w:r>
    </w:p>
    <w:p w14:paraId="65963213" w14:textId="166F156A" w:rsidR="000D1931" w:rsidRDefault="000D1931" w:rsidP="000D1931">
      <w:pPr>
        <w:pStyle w:val="BoxBullet"/>
        <w:pBdr>
          <w:top w:val="none" w:sz="0" w:space="0" w:color="auto"/>
          <w:left w:val="none" w:sz="0" w:space="0" w:color="auto"/>
          <w:bottom w:val="none" w:sz="0" w:space="0" w:color="auto"/>
          <w:right w:val="none" w:sz="0" w:space="0" w:color="auto"/>
        </w:pBdr>
        <w:tabs>
          <w:tab w:val="num" w:pos="567"/>
        </w:tabs>
        <w:ind w:left="567" w:hanging="567"/>
      </w:pPr>
      <w:r w:rsidRPr="004C69AF">
        <w:t>contributing to an easier transition to motherhood with easier physical recovery following birth (Levine 2001; Jordan 2005; Penders 2006; Chalmers 2010; Gregory 2012).</w:t>
      </w:r>
    </w:p>
    <w:p w14:paraId="4E0BF70A" w14:textId="77777777" w:rsidR="000D1931" w:rsidRPr="004C69AF" w:rsidRDefault="000D1931" w:rsidP="000D1931"/>
    <w:p w14:paraId="3C11294D" w14:textId="2E159CA1" w:rsidR="000D1931" w:rsidRDefault="000D1931" w:rsidP="000D1931">
      <w:pPr>
        <w:pStyle w:val="Box"/>
        <w:keepNext/>
        <w:pBdr>
          <w:top w:val="none" w:sz="0" w:space="0" w:color="auto"/>
          <w:left w:val="none" w:sz="0" w:space="0" w:color="auto"/>
          <w:bottom w:val="none" w:sz="0" w:space="0" w:color="auto"/>
          <w:right w:val="none" w:sz="0" w:space="0" w:color="auto"/>
        </w:pBdr>
        <w:ind w:left="0"/>
      </w:pPr>
      <w:r w:rsidRPr="004C69AF">
        <w:rPr>
          <w:b/>
        </w:rPr>
        <w:t>Assisted birth</w:t>
      </w:r>
      <w:r w:rsidRPr="004C69AF">
        <w:t>: vaginal birth</w:t>
      </w:r>
      <w:r>
        <w:t>,</w:t>
      </w:r>
      <w:r w:rsidRPr="004C69AF">
        <w:t xml:space="preserve"> including assisted breech birth</w:t>
      </w:r>
      <w:r w:rsidR="00115838">
        <w:t>.</w:t>
      </w:r>
    </w:p>
    <w:p w14:paraId="20F3BC90" w14:textId="4FF573FA" w:rsidR="00115838" w:rsidRPr="00115838" w:rsidRDefault="00115838" w:rsidP="000D1931">
      <w:pPr>
        <w:pStyle w:val="Box"/>
        <w:keepNext/>
        <w:pBdr>
          <w:top w:val="none" w:sz="0" w:space="0" w:color="auto"/>
          <w:left w:val="none" w:sz="0" w:space="0" w:color="auto"/>
          <w:bottom w:val="none" w:sz="0" w:space="0" w:color="auto"/>
          <w:right w:val="none" w:sz="0" w:space="0" w:color="auto"/>
        </w:pBdr>
        <w:ind w:left="0"/>
      </w:pPr>
      <w:r>
        <w:rPr>
          <w:b/>
          <w:bCs/>
        </w:rPr>
        <w:t xml:space="preserve">Instrumental vaginal birth: </w:t>
      </w:r>
      <w:r>
        <w:t xml:space="preserve">vaginal birth requiring obstetric delivery assistance </w:t>
      </w:r>
      <w:proofErr w:type="spellStart"/>
      <w:r>
        <w:t>eg</w:t>
      </w:r>
      <w:proofErr w:type="spellEnd"/>
      <w:r>
        <w:t xml:space="preserve">, forceps, </w:t>
      </w:r>
      <w:r w:rsidR="002F7B20">
        <w:t>vacuum extraction</w:t>
      </w:r>
      <w:r>
        <w:t>.</w:t>
      </w:r>
    </w:p>
    <w:p w14:paraId="796A53AC" w14:textId="77777777" w:rsidR="000D1931" w:rsidRDefault="000D1931" w:rsidP="000D1931">
      <w:pPr>
        <w:pStyle w:val="Box"/>
        <w:pBdr>
          <w:top w:val="none" w:sz="0" w:space="0" w:color="auto"/>
          <w:left w:val="none" w:sz="0" w:space="0" w:color="auto"/>
          <w:bottom w:val="none" w:sz="0" w:space="0" w:color="auto"/>
          <w:right w:val="none" w:sz="0" w:space="0" w:color="auto"/>
        </w:pBdr>
        <w:ind w:left="0"/>
      </w:pPr>
      <w:r w:rsidRPr="004C69AF">
        <w:rPr>
          <w:b/>
        </w:rPr>
        <w:t>Caesarean section</w:t>
      </w:r>
      <w:r w:rsidRPr="004C69AF">
        <w:t>: delivery involving an operation through an abdominal incision.</w:t>
      </w:r>
    </w:p>
    <w:p w14:paraId="7F18F27B" w14:textId="77777777" w:rsidR="000D1931" w:rsidRPr="000F2041" w:rsidRDefault="000D1931" w:rsidP="000D1931">
      <w:pPr>
        <w:pStyle w:val="Heading4"/>
      </w:pPr>
      <w:r w:rsidRPr="000F2041">
        <w:t>Breech births</w:t>
      </w:r>
    </w:p>
    <w:p w14:paraId="7B1B4267" w14:textId="77777777" w:rsidR="000D1931" w:rsidRPr="000F2041" w:rsidRDefault="000D1931" w:rsidP="000D1931">
      <w:pPr>
        <w:pStyle w:val="Box"/>
        <w:pBdr>
          <w:top w:val="none" w:sz="0" w:space="0" w:color="auto"/>
          <w:left w:val="none" w:sz="0" w:space="0" w:color="auto"/>
          <w:bottom w:val="none" w:sz="0" w:space="0" w:color="auto"/>
          <w:right w:val="none" w:sz="0" w:space="0" w:color="auto"/>
        </w:pBdr>
        <w:ind w:left="0"/>
      </w:pPr>
      <w:r w:rsidRPr="000F2041">
        <w:t xml:space="preserve">Breech birth in this </w:t>
      </w:r>
      <w:r>
        <w:t>web tool</w:t>
      </w:r>
      <w:r w:rsidRPr="000F2041">
        <w:t xml:space="preserve"> refers to a vaginal birth of a baby </w:t>
      </w:r>
      <w:r>
        <w:t>where</w:t>
      </w:r>
      <w:r w:rsidRPr="000F2041">
        <w:t xml:space="preserve"> the buttocks or lower limbs </w:t>
      </w:r>
      <w:r>
        <w:t>precede</w:t>
      </w:r>
      <w:r w:rsidRPr="000F2041">
        <w:t xml:space="preserve"> the head.</w:t>
      </w:r>
    </w:p>
    <w:p w14:paraId="5FCF7502" w14:textId="77777777" w:rsidR="000D1931" w:rsidRPr="000F2041" w:rsidRDefault="000D1931" w:rsidP="000D1931">
      <w:pPr>
        <w:pStyle w:val="Box"/>
        <w:pBdr>
          <w:top w:val="none" w:sz="0" w:space="0" w:color="auto"/>
          <w:left w:val="none" w:sz="0" w:space="0" w:color="auto"/>
          <w:bottom w:val="none" w:sz="0" w:space="0" w:color="auto"/>
          <w:right w:val="none" w:sz="0" w:space="0" w:color="auto"/>
        </w:pBdr>
        <w:ind w:left="0"/>
      </w:pPr>
      <w:r w:rsidRPr="000F2041">
        <w:rPr>
          <w:b/>
        </w:rPr>
        <w:t>Spontaneous breech</w:t>
      </w:r>
      <w:r w:rsidRPr="000F2041">
        <w:t xml:space="preserve"> refers to the birth of a baby from a breech presentation without obstetric intervention to facilitate delivery, but which may include other obstetric procedures such as induction.</w:t>
      </w:r>
    </w:p>
    <w:p w14:paraId="34C8B6DA" w14:textId="77777777" w:rsidR="000D1931" w:rsidRPr="000F2041" w:rsidRDefault="000D1931" w:rsidP="000D1931">
      <w:pPr>
        <w:pStyle w:val="Box"/>
        <w:pBdr>
          <w:top w:val="none" w:sz="0" w:space="0" w:color="auto"/>
          <w:left w:val="none" w:sz="0" w:space="0" w:color="auto"/>
          <w:bottom w:val="none" w:sz="0" w:space="0" w:color="auto"/>
          <w:right w:val="none" w:sz="0" w:space="0" w:color="auto"/>
        </w:pBdr>
        <w:ind w:left="0"/>
      </w:pPr>
      <w:r w:rsidRPr="000F2041">
        <w:rPr>
          <w:b/>
        </w:rPr>
        <w:t xml:space="preserve">Assisted breech </w:t>
      </w:r>
      <w:r w:rsidRPr="000F2041">
        <w:t>refers to</w:t>
      </w:r>
      <w:r w:rsidRPr="000F2041">
        <w:rPr>
          <w:b/>
        </w:rPr>
        <w:t xml:space="preserve"> </w:t>
      </w:r>
      <w:r w:rsidRPr="000F2041">
        <w:t>an assisted vaginal birth in which a baby being born feet or buttocks first is delivered spontaneously as far as its umbilicus and is then extracted. It may include the use of forceps.</w:t>
      </w:r>
    </w:p>
    <w:p w14:paraId="131B9CF8" w14:textId="77777777" w:rsidR="000D1931" w:rsidRPr="000F2041" w:rsidRDefault="000D1931" w:rsidP="000D1931">
      <w:pPr>
        <w:pStyle w:val="Box"/>
        <w:pBdr>
          <w:top w:val="none" w:sz="0" w:space="0" w:color="auto"/>
          <w:left w:val="none" w:sz="0" w:space="0" w:color="auto"/>
          <w:bottom w:val="none" w:sz="0" w:space="0" w:color="auto"/>
          <w:right w:val="none" w:sz="0" w:space="0" w:color="auto"/>
        </w:pBdr>
        <w:ind w:left="0"/>
      </w:pPr>
      <w:r w:rsidRPr="000F2041">
        <w:rPr>
          <w:b/>
        </w:rPr>
        <w:t xml:space="preserve">Breech extraction </w:t>
      </w:r>
      <w:r w:rsidRPr="000F2041">
        <w:t>refers to</w:t>
      </w:r>
      <w:r w:rsidRPr="000F2041">
        <w:rPr>
          <w:b/>
        </w:rPr>
        <w:t xml:space="preserve"> </w:t>
      </w:r>
      <w:r w:rsidRPr="000F2041">
        <w:t>an assisted vaginal birth, performed by grasping the baby</w:t>
      </w:r>
      <w:r>
        <w:t>’</w:t>
      </w:r>
      <w:r w:rsidRPr="000F2041">
        <w:t>s feet or buttocks before any part of the trunk is born and delivering by traction. It may include the use of forceps.</w:t>
      </w:r>
    </w:p>
    <w:p w14:paraId="25618C6B" w14:textId="77777777" w:rsidR="000D1931" w:rsidRPr="00587ABB" w:rsidRDefault="000D1931" w:rsidP="00F21C98">
      <w:pPr>
        <w:pStyle w:val="Heading4"/>
      </w:pPr>
      <w:r w:rsidRPr="00587ABB">
        <w:t>Caesarean sections</w:t>
      </w:r>
    </w:p>
    <w:p w14:paraId="2A54B2CC" w14:textId="31372EEB" w:rsidR="000D1931" w:rsidRPr="00587ABB" w:rsidRDefault="000D1931" w:rsidP="00F21C98">
      <w:pPr>
        <w:pStyle w:val="Box"/>
        <w:pBdr>
          <w:top w:val="none" w:sz="0" w:space="0" w:color="auto"/>
          <w:left w:val="none" w:sz="0" w:space="0" w:color="auto"/>
          <w:bottom w:val="none" w:sz="0" w:space="0" w:color="auto"/>
          <w:right w:val="none" w:sz="0" w:space="0" w:color="auto"/>
        </w:pBdr>
        <w:ind w:left="0"/>
      </w:pPr>
      <w:r w:rsidRPr="00587ABB">
        <w:rPr>
          <w:b/>
        </w:rPr>
        <w:t>Emergency caesarean section</w:t>
      </w:r>
      <w:r w:rsidRPr="00587ABB">
        <w:t xml:space="preserve"> refers to a</w:t>
      </w:r>
      <w:r>
        <w:t>n unplanned</w:t>
      </w:r>
      <w:r w:rsidRPr="00587ABB">
        <w:t xml:space="preserve"> caesarean section performed urgently for the health of the </w:t>
      </w:r>
      <w:r w:rsidR="00977C87">
        <w:t>person</w:t>
      </w:r>
      <w:r w:rsidRPr="00587ABB">
        <w:t xml:space="preserve"> or baby, once labour has started.</w:t>
      </w:r>
    </w:p>
    <w:p w14:paraId="0E5C125B" w14:textId="77777777" w:rsidR="000D1931" w:rsidRDefault="00F21C98" w:rsidP="00F21C98">
      <w:pPr>
        <w:pStyle w:val="Box"/>
        <w:pBdr>
          <w:top w:val="none" w:sz="0" w:space="0" w:color="auto"/>
          <w:left w:val="none" w:sz="0" w:space="0" w:color="auto"/>
          <w:bottom w:val="none" w:sz="0" w:space="0" w:color="auto"/>
          <w:right w:val="none" w:sz="0" w:space="0" w:color="auto"/>
        </w:pBdr>
        <w:ind w:left="0"/>
      </w:pPr>
      <w:r>
        <w:rPr>
          <w:b/>
        </w:rPr>
        <w:t>E</w:t>
      </w:r>
      <w:r w:rsidR="000D1931" w:rsidRPr="00587ABB">
        <w:rPr>
          <w:b/>
        </w:rPr>
        <w:t>lective caesarean section</w:t>
      </w:r>
      <w:r w:rsidR="000D1931" w:rsidRPr="00587ABB">
        <w:t xml:space="preserve"> refers to a caesarean section performed as a planned procedure before or following the onset of labour, where the decision to have a caesarean section was made before labour.</w:t>
      </w:r>
    </w:p>
    <w:p w14:paraId="7D38E327" w14:textId="77777777" w:rsidR="00F21C98" w:rsidRDefault="00F21C98" w:rsidP="00F21C98">
      <w:pPr>
        <w:pStyle w:val="Box"/>
        <w:pBdr>
          <w:top w:val="none" w:sz="0" w:space="0" w:color="auto"/>
          <w:left w:val="none" w:sz="0" w:space="0" w:color="auto"/>
          <w:bottom w:val="none" w:sz="0" w:space="0" w:color="auto"/>
          <w:right w:val="none" w:sz="0" w:space="0" w:color="auto"/>
        </w:pBdr>
        <w:ind w:left="0"/>
      </w:pPr>
    </w:p>
    <w:p w14:paraId="41FE995A" w14:textId="77777777" w:rsidR="00F21C98" w:rsidRPr="00980C14" w:rsidRDefault="00F21C98" w:rsidP="00F21C98">
      <w:pPr>
        <w:pStyle w:val="Heading3"/>
      </w:pPr>
      <w:bookmarkStart w:id="69" w:name="_Ref405539914"/>
      <w:bookmarkStart w:id="70" w:name="_Toc405887013"/>
      <w:bookmarkStart w:id="71" w:name="_Toc412122407"/>
      <w:bookmarkStart w:id="72" w:name="_Toc431462730"/>
      <w:bookmarkStart w:id="73" w:name="_Toc479583268"/>
      <w:bookmarkStart w:id="74" w:name="_Toc485542636"/>
      <w:r w:rsidRPr="00980C14">
        <w:t>Interventions</w:t>
      </w:r>
      <w:bookmarkEnd w:id="69"/>
      <w:bookmarkEnd w:id="70"/>
      <w:bookmarkEnd w:id="71"/>
      <w:bookmarkEnd w:id="72"/>
      <w:bookmarkEnd w:id="73"/>
      <w:bookmarkEnd w:id="74"/>
    </w:p>
    <w:p w14:paraId="5F4DE5C3" w14:textId="598F4C99" w:rsidR="00F21C98" w:rsidRPr="00980C14" w:rsidRDefault="00F21C98" w:rsidP="00F21C98">
      <w:pPr>
        <w:pStyle w:val="Box"/>
        <w:keepNext/>
        <w:pBdr>
          <w:top w:val="none" w:sz="0" w:space="0" w:color="auto"/>
          <w:left w:val="none" w:sz="0" w:space="0" w:color="auto"/>
          <w:bottom w:val="none" w:sz="0" w:space="0" w:color="auto"/>
          <w:right w:val="none" w:sz="0" w:space="0" w:color="auto"/>
        </w:pBdr>
        <w:ind w:left="0"/>
      </w:pPr>
      <w:r>
        <w:t>The web tool</w:t>
      </w:r>
      <w:r w:rsidRPr="00980C14">
        <w:t xml:space="preserve"> describes </w:t>
      </w:r>
      <w:r w:rsidR="00977C87">
        <w:t>people</w:t>
      </w:r>
      <w:r w:rsidRPr="00980C14">
        <w:t xml:space="preserve"> </w:t>
      </w:r>
      <w:r>
        <w:t>having an</w:t>
      </w:r>
      <w:r w:rsidRPr="00980C14">
        <w:t xml:space="preserve"> obstetric intervention (induction, augmentation, epidural or episiotomy) during labour and birth.</w:t>
      </w:r>
      <w:r>
        <w:t xml:space="preserve"> This does not include all possible interventions.</w:t>
      </w:r>
    </w:p>
    <w:p w14:paraId="4A746266" w14:textId="77777777" w:rsidR="00F21C98" w:rsidRPr="00980C14" w:rsidRDefault="00F21C98" w:rsidP="00F21C98">
      <w:pPr>
        <w:pStyle w:val="Box"/>
        <w:pBdr>
          <w:top w:val="none" w:sz="0" w:space="0" w:color="auto"/>
          <w:left w:val="none" w:sz="0" w:space="0" w:color="auto"/>
          <w:bottom w:val="none" w:sz="0" w:space="0" w:color="auto"/>
          <w:right w:val="none" w:sz="0" w:space="0" w:color="auto"/>
        </w:pBdr>
        <w:ind w:left="0"/>
      </w:pPr>
      <w:r w:rsidRPr="00980C14">
        <w:rPr>
          <w:b/>
        </w:rPr>
        <w:t xml:space="preserve">Induction </w:t>
      </w:r>
      <w:r w:rsidRPr="00980C14">
        <w:t>refers to the process</w:t>
      </w:r>
      <w:r w:rsidRPr="00980C14">
        <w:rPr>
          <w:b/>
        </w:rPr>
        <w:t xml:space="preserve"> </w:t>
      </w:r>
      <w:r w:rsidRPr="00980C14">
        <w:t>of artificially stimulating the uterus to start labour by artificial rupture of membranes or pharmacological means.</w:t>
      </w:r>
    </w:p>
    <w:p w14:paraId="6DEFC6DB" w14:textId="77777777" w:rsidR="00F21C98" w:rsidRPr="00980C14" w:rsidRDefault="00F21C98" w:rsidP="00F21C98">
      <w:pPr>
        <w:pStyle w:val="Box"/>
        <w:pBdr>
          <w:top w:val="none" w:sz="0" w:space="0" w:color="auto"/>
          <w:left w:val="none" w:sz="0" w:space="0" w:color="auto"/>
          <w:bottom w:val="none" w:sz="0" w:space="0" w:color="auto"/>
          <w:right w:val="none" w:sz="0" w:space="0" w:color="auto"/>
        </w:pBdr>
        <w:ind w:left="0"/>
      </w:pPr>
      <w:r w:rsidRPr="00980C14">
        <w:rPr>
          <w:b/>
        </w:rPr>
        <w:lastRenderedPageBreak/>
        <w:t>Augmentation</w:t>
      </w:r>
      <w:r w:rsidRPr="00980C14">
        <w:t xml:space="preserve"> refers to the process of stimulating the uterus to increase the frequency, duration and intensity of contractions after the onset of spontaneous labour by artificial rupture of membranes or pharmacological means.</w:t>
      </w:r>
    </w:p>
    <w:p w14:paraId="22ACBDAA" w14:textId="77777777" w:rsidR="00F21C98" w:rsidRPr="00980C14" w:rsidRDefault="00F21C98" w:rsidP="00F21C98">
      <w:pPr>
        <w:pStyle w:val="Box"/>
        <w:pBdr>
          <w:top w:val="none" w:sz="0" w:space="0" w:color="auto"/>
          <w:left w:val="none" w:sz="0" w:space="0" w:color="auto"/>
          <w:bottom w:val="none" w:sz="0" w:space="0" w:color="auto"/>
          <w:right w:val="none" w:sz="0" w:space="0" w:color="auto"/>
        </w:pBdr>
        <w:ind w:left="0"/>
      </w:pPr>
      <w:r w:rsidRPr="00980C14">
        <w:rPr>
          <w:b/>
        </w:rPr>
        <w:t>Epidural</w:t>
      </w:r>
      <w:r w:rsidRPr="00980C14">
        <w:t xml:space="preserve"> refers to a regional analgesic agent being injected into the epidural space of the spinal cord.</w:t>
      </w:r>
    </w:p>
    <w:p w14:paraId="57F4F135" w14:textId="79BA7C27" w:rsidR="00F21C98" w:rsidRPr="00980C14" w:rsidRDefault="00465238" w:rsidP="00F21C98">
      <w:pPr>
        <w:pStyle w:val="Box"/>
        <w:pBdr>
          <w:top w:val="none" w:sz="0" w:space="0" w:color="auto"/>
          <w:left w:val="none" w:sz="0" w:space="0" w:color="auto"/>
          <w:bottom w:val="none" w:sz="0" w:space="0" w:color="auto"/>
          <w:right w:val="none" w:sz="0" w:space="0" w:color="auto"/>
        </w:pBdr>
        <w:ind w:left="0"/>
      </w:pPr>
      <w:r w:rsidRPr="00980C14">
        <w:rPr>
          <w:b/>
        </w:rPr>
        <w:t>Episiotomy</w:t>
      </w:r>
      <w:r w:rsidR="00F21C98" w:rsidRPr="00980C14">
        <w:t xml:space="preserve"> refers to an incision of the perineal tissue surrounding the vagina at the time of birth to facilitate delivery.</w:t>
      </w:r>
    </w:p>
    <w:p w14:paraId="6AD65EE9" w14:textId="17C09259" w:rsidR="00F21C98" w:rsidRPr="00980C14" w:rsidRDefault="00977C87" w:rsidP="00F21C98">
      <w:pPr>
        <w:pStyle w:val="Box"/>
        <w:pBdr>
          <w:top w:val="none" w:sz="0" w:space="0" w:color="auto"/>
          <w:left w:val="none" w:sz="0" w:space="0" w:color="auto"/>
          <w:bottom w:val="none" w:sz="0" w:space="0" w:color="auto"/>
          <w:right w:val="none" w:sz="0" w:space="0" w:color="auto"/>
        </w:pBdr>
        <w:ind w:left="0"/>
      </w:pPr>
      <w:r>
        <w:t>People</w:t>
      </w:r>
      <w:r w:rsidR="00F21C98" w:rsidRPr="00980C14">
        <w:t xml:space="preserve"> who had their labour both induced and augmented are recorded as having had an induction only. Therefore, the number of augmentations presented may be lower than the true number.</w:t>
      </w:r>
    </w:p>
    <w:p w14:paraId="3D03F69F" w14:textId="0D428CF8" w:rsidR="00F21C98" w:rsidRPr="00204781" w:rsidRDefault="00F21C98" w:rsidP="00F21C98">
      <w:pPr>
        <w:pStyle w:val="Box"/>
        <w:pBdr>
          <w:top w:val="none" w:sz="0" w:space="0" w:color="auto"/>
          <w:left w:val="none" w:sz="0" w:space="0" w:color="auto"/>
          <w:bottom w:val="none" w:sz="0" w:space="0" w:color="auto"/>
          <w:right w:val="none" w:sz="0" w:space="0" w:color="auto"/>
        </w:pBdr>
        <w:ind w:left="0"/>
      </w:pPr>
      <w:r w:rsidRPr="00980C14">
        <w:t xml:space="preserve">The number and percentage of inductions, augmentations and epidurals presented </w:t>
      </w:r>
      <w:r>
        <w:t xml:space="preserve">in the web tool </w:t>
      </w:r>
      <w:r w:rsidRPr="00980C14">
        <w:t xml:space="preserve">does not include </w:t>
      </w:r>
      <w:r w:rsidR="00977C87">
        <w:t>people</w:t>
      </w:r>
      <w:r w:rsidRPr="00980C14">
        <w:t xml:space="preserve"> giving birth by elective caesarean section. The number and percentage of episiotomies is limited to vaginal births (all births excluding caesarean sections). It should be noted that </w:t>
      </w:r>
      <w:r w:rsidR="00977C87">
        <w:t>people</w:t>
      </w:r>
      <w:r w:rsidRPr="00980C14">
        <w:t xml:space="preserve"> giving birth may have had more than one of these interventions.</w:t>
      </w:r>
    </w:p>
    <w:p w14:paraId="5C1913D7" w14:textId="77777777" w:rsidR="00F21C98" w:rsidRPr="00AF16D8" w:rsidRDefault="00F21C98" w:rsidP="00F21C98">
      <w:pPr>
        <w:rPr>
          <w:highlight w:val="yellow"/>
        </w:rPr>
      </w:pPr>
    </w:p>
    <w:p w14:paraId="491B1664" w14:textId="77777777" w:rsidR="00F21C98" w:rsidRPr="00805E6C" w:rsidRDefault="00F21C98" w:rsidP="00F21C98">
      <w:pPr>
        <w:pStyle w:val="Heading3"/>
      </w:pPr>
      <w:bookmarkStart w:id="75" w:name="_Ref405539915"/>
      <w:bookmarkStart w:id="76" w:name="_Ref405805370"/>
      <w:bookmarkStart w:id="77" w:name="_Toc405887012"/>
      <w:bookmarkStart w:id="78" w:name="_Toc412122406"/>
      <w:bookmarkStart w:id="79" w:name="_Toc431462731"/>
      <w:bookmarkStart w:id="80" w:name="_Toc479583269"/>
      <w:bookmarkStart w:id="81" w:name="_Toc485542637"/>
      <w:r w:rsidRPr="00805E6C">
        <w:t>Plurality</w:t>
      </w:r>
      <w:bookmarkEnd w:id="75"/>
      <w:bookmarkEnd w:id="76"/>
      <w:bookmarkEnd w:id="77"/>
      <w:bookmarkEnd w:id="78"/>
      <w:bookmarkEnd w:id="79"/>
      <w:bookmarkEnd w:id="80"/>
      <w:bookmarkEnd w:id="81"/>
    </w:p>
    <w:p w14:paraId="2F36DAC3" w14:textId="77777777" w:rsidR="00F21C98" w:rsidRPr="00805E6C" w:rsidRDefault="00F21C98" w:rsidP="00F21C98">
      <w:pPr>
        <w:pStyle w:val="Box"/>
        <w:keepNext/>
        <w:pBdr>
          <w:top w:val="none" w:sz="0" w:space="0" w:color="auto"/>
          <w:left w:val="none" w:sz="0" w:space="0" w:color="auto"/>
          <w:bottom w:val="none" w:sz="0" w:space="0" w:color="auto"/>
          <w:right w:val="none" w:sz="0" w:space="0" w:color="auto"/>
        </w:pBdr>
        <w:ind w:left="0"/>
      </w:pPr>
      <w:r w:rsidRPr="00805E6C">
        <w:t>Plurality is the number of babies resulting from a pregnancy.</w:t>
      </w:r>
    </w:p>
    <w:p w14:paraId="66733BE9" w14:textId="77777777" w:rsidR="00F21C98" w:rsidRPr="00805E6C" w:rsidRDefault="00F21C98" w:rsidP="00F21C98">
      <w:pPr>
        <w:pStyle w:val="Box"/>
        <w:keepNext/>
        <w:pBdr>
          <w:top w:val="none" w:sz="0" w:space="0" w:color="auto"/>
          <w:left w:val="none" w:sz="0" w:space="0" w:color="auto"/>
          <w:bottom w:val="none" w:sz="0" w:space="0" w:color="auto"/>
          <w:right w:val="none" w:sz="0" w:space="0" w:color="auto"/>
        </w:pBdr>
        <w:ind w:left="0"/>
      </w:pPr>
      <w:r w:rsidRPr="00805E6C">
        <w:rPr>
          <w:b/>
        </w:rPr>
        <w:t>Singleton pregnancy</w:t>
      </w:r>
      <w:r w:rsidRPr="00805E6C">
        <w:t xml:space="preserve"> refers to being pregnant with one baby.</w:t>
      </w:r>
    </w:p>
    <w:p w14:paraId="6DCE4803" w14:textId="77777777" w:rsidR="00F21C98" w:rsidRPr="00805E6C" w:rsidRDefault="00F21C98" w:rsidP="00F21C98">
      <w:pPr>
        <w:pStyle w:val="Box"/>
        <w:keepNext/>
        <w:pBdr>
          <w:top w:val="none" w:sz="0" w:space="0" w:color="auto"/>
          <w:left w:val="none" w:sz="0" w:space="0" w:color="auto"/>
          <w:bottom w:val="none" w:sz="0" w:space="0" w:color="auto"/>
          <w:right w:val="none" w:sz="0" w:space="0" w:color="auto"/>
        </w:pBdr>
        <w:ind w:left="0"/>
      </w:pPr>
      <w:r w:rsidRPr="00805E6C">
        <w:rPr>
          <w:b/>
        </w:rPr>
        <w:t>Twin</w:t>
      </w:r>
      <w:r w:rsidRPr="00805E6C">
        <w:t xml:space="preserve"> </w:t>
      </w:r>
      <w:r w:rsidRPr="00805E6C">
        <w:rPr>
          <w:b/>
        </w:rPr>
        <w:t xml:space="preserve">pregnancy </w:t>
      </w:r>
      <w:r w:rsidRPr="00805E6C">
        <w:t>refers to being</w:t>
      </w:r>
      <w:r w:rsidRPr="00805E6C">
        <w:rPr>
          <w:b/>
        </w:rPr>
        <w:t xml:space="preserve"> </w:t>
      </w:r>
      <w:r w:rsidRPr="00805E6C">
        <w:t>pregnant with two babies.</w:t>
      </w:r>
    </w:p>
    <w:p w14:paraId="1DAD8A49" w14:textId="77777777" w:rsidR="00F21C98" w:rsidRPr="00805E6C" w:rsidRDefault="00F21C98" w:rsidP="00F21C98">
      <w:pPr>
        <w:pStyle w:val="Box"/>
        <w:keepNext/>
        <w:pBdr>
          <w:top w:val="none" w:sz="0" w:space="0" w:color="auto"/>
          <w:left w:val="none" w:sz="0" w:space="0" w:color="auto"/>
          <w:bottom w:val="none" w:sz="0" w:space="0" w:color="auto"/>
          <w:right w:val="none" w:sz="0" w:space="0" w:color="auto"/>
        </w:pBdr>
        <w:ind w:left="0"/>
      </w:pPr>
      <w:r w:rsidRPr="00805E6C">
        <w:rPr>
          <w:b/>
        </w:rPr>
        <w:t>Multiple</w:t>
      </w:r>
      <w:r w:rsidRPr="00805E6C">
        <w:t xml:space="preserve"> </w:t>
      </w:r>
      <w:r w:rsidRPr="00805E6C">
        <w:rPr>
          <w:b/>
        </w:rPr>
        <w:t>pregnancy</w:t>
      </w:r>
      <w:r w:rsidRPr="00805E6C">
        <w:t xml:space="preserve"> refers to being pregnant with three or more babies.</w:t>
      </w:r>
    </w:p>
    <w:p w14:paraId="259EDB47" w14:textId="77777777" w:rsidR="000D1931" w:rsidRDefault="000D1931" w:rsidP="000D1931">
      <w:pPr>
        <w:pStyle w:val="Box"/>
        <w:pBdr>
          <w:top w:val="none" w:sz="0" w:space="0" w:color="auto"/>
          <w:left w:val="none" w:sz="0" w:space="0" w:color="auto"/>
          <w:bottom w:val="none" w:sz="0" w:space="0" w:color="auto"/>
          <w:right w:val="none" w:sz="0" w:space="0" w:color="auto"/>
        </w:pBdr>
        <w:ind w:left="0"/>
        <w:rPr>
          <w:szCs w:val="21"/>
        </w:rPr>
      </w:pPr>
    </w:p>
    <w:p w14:paraId="5A4EF494" w14:textId="77777777" w:rsidR="00F21C98" w:rsidRPr="00A67AD1" w:rsidRDefault="00F21C98" w:rsidP="00F21C98">
      <w:pPr>
        <w:pStyle w:val="Heading3"/>
      </w:pPr>
      <w:bookmarkStart w:id="82" w:name="_Toc431462732"/>
      <w:bookmarkStart w:id="83" w:name="_Toc479583270"/>
      <w:bookmarkStart w:id="84" w:name="_Toc485542638"/>
      <w:r w:rsidRPr="00A67AD1">
        <w:t>Place of birth</w:t>
      </w:r>
      <w:bookmarkEnd w:id="82"/>
      <w:bookmarkEnd w:id="83"/>
      <w:bookmarkEnd w:id="84"/>
    </w:p>
    <w:p w14:paraId="2209BE0A" w14:textId="2D0FC497" w:rsidR="00F21C98" w:rsidRPr="00A67AD1" w:rsidRDefault="00977C87" w:rsidP="00F21C98">
      <w:pPr>
        <w:pStyle w:val="Box"/>
        <w:keepLines/>
        <w:pBdr>
          <w:top w:val="none" w:sz="0" w:space="0" w:color="auto"/>
          <w:left w:val="none" w:sz="0" w:space="0" w:color="auto"/>
          <w:bottom w:val="none" w:sz="0" w:space="0" w:color="auto"/>
          <w:right w:val="none" w:sz="0" w:space="0" w:color="auto"/>
        </w:pBdr>
        <w:ind w:left="0"/>
      </w:pPr>
      <w:r>
        <w:t>People</w:t>
      </w:r>
      <w:r w:rsidR="00F21C98" w:rsidRPr="00A67AD1">
        <w:t xml:space="preserve"> are entitled to choose where they give birth. This may include a secondary or tertiary hospital, a primary </w:t>
      </w:r>
      <w:r w:rsidR="00F21C98">
        <w:t>maternity facility,</w:t>
      </w:r>
      <w:r w:rsidR="00F21C98" w:rsidRPr="00A67AD1">
        <w:t xml:space="preserve"> or at home. </w:t>
      </w:r>
      <w:r>
        <w:t>People</w:t>
      </w:r>
      <w:r w:rsidR="00F21C98" w:rsidRPr="00A67AD1">
        <w:t xml:space="preserve"> are entitled to give birth at a facility with greater clinical capacity than their expected clinical need. Primary </w:t>
      </w:r>
      <w:r w:rsidR="00F21C98">
        <w:t xml:space="preserve">maternity facilities </w:t>
      </w:r>
      <w:r w:rsidR="00F21C98" w:rsidRPr="00A67AD1">
        <w:t xml:space="preserve">and home births are recommended for well, healthy </w:t>
      </w:r>
      <w:r>
        <w:t>people</w:t>
      </w:r>
      <w:r w:rsidR="00F21C98" w:rsidRPr="00A67AD1">
        <w:t xml:space="preserve"> likely to experience normal birth (Birthplace in England Collaborative Group 2011; NICE 2014).</w:t>
      </w:r>
      <w:r w:rsidR="00F21C98">
        <w:t xml:space="preserve"> </w:t>
      </w:r>
      <w:r w:rsidR="00F21C98" w:rsidRPr="00A67AD1">
        <w:t xml:space="preserve">Place of birth usually reflects the local configuration of facilities and LMC access agreements, in addition to clinical need and the </w:t>
      </w:r>
      <w:r w:rsidR="008C756F">
        <w:t>person</w:t>
      </w:r>
      <w:r w:rsidR="00F21C98">
        <w:t>’</w:t>
      </w:r>
      <w:r w:rsidR="00F21C98" w:rsidRPr="00A67AD1">
        <w:t>s preference.</w:t>
      </w:r>
    </w:p>
    <w:p w14:paraId="6ACC4B2A" w14:textId="77777777" w:rsidR="00F21C98" w:rsidRPr="00AF16D8" w:rsidRDefault="00F21C98" w:rsidP="00F21C98">
      <w:pPr>
        <w:rPr>
          <w:highlight w:val="yellow"/>
        </w:rPr>
      </w:pPr>
    </w:p>
    <w:p w14:paraId="3A6C79AD" w14:textId="77777777" w:rsidR="00F21C98" w:rsidRPr="00D86DE5" w:rsidRDefault="00F21C98" w:rsidP="00F21C98">
      <w:pPr>
        <w:pStyle w:val="Heading3"/>
      </w:pPr>
      <w:r w:rsidRPr="00D86DE5">
        <w:t>Maternity facilities</w:t>
      </w:r>
    </w:p>
    <w:p w14:paraId="6E84BF95" w14:textId="2D0745AF" w:rsidR="00F21C98" w:rsidRPr="00D86DE5" w:rsidRDefault="00F21C98" w:rsidP="00F21C98">
      <w:pPr>
        <w:pStyle w:val="Box"/>
        <w:keepLines/>
        <w:pBdr>
          <w:top w:val="none" w:sz="0" w:space="0" w:color="auto"/>
          <w:left w:val="none" w:sz="0" w:space="0" w:color="auto"/>
          <w:bottom w:val="none" w:sz="0" w:space="0" w:color="auto"/>
          <w:right w:val="none" w:sz="0" w:space="0" w:color="auto"/>
        </w:pBdr>
        <w:ind w:left="0"/>
      </w:pPr>
      <w:r w:rsidRPr="00D86DE5">
        <w:t xml:space="preserve">A maternity facility is a place that </w:t>
      </w:r>
      <w:r w:rsidR="00977C87">
        <w:t>people</w:t>
      </w:r>
      <w:r w:rsidRPr="00D86DE5">
        <w:t xml:space="preserve"> attend, or are resident in, for the primary purpose of receiving maternity care, usually during labour and birth. It may be classed as primary, secondary or tertiary depending on the availability of specialist services (Ministry of Health 2012). This section describes </w:t>
      </w:r>
      <w:r w:rsidR="00977C87">
        <w:t>people</w:t>
      </w:r>
      <w:r w:rsidRPr="00D86DE5">
        <w:t xml:space="preserve"> giving birth at a maternity facility.</w:t>
      </w:r>
    </w:p>
    <w:p w14:paraId="75B699E2" w14:textId="4B3104F9" w:rsidR="00F21C98" w:rsidRDefault="00F21C98" w:rsidP="00F21C98">
      <w:pPr>
        <w:pStyle w:val="Box"/>
        <w:pBdr>
          <w:top w:val="none" w:sz="0" w:space="0" w:color="auto"/>
          <w:left w:val="none" w:sz="0" w:space="0" w:color="auto"/>
          <w:bottom w:val="none" w:sz="0" w:space="0" w:color="auto"/>
          <w:right w:val="none" w:sz="0" w:space="0" w:color="auto"/>
        </w:pBdr>
        <w:ind w:left="0"/>
      </w:pPr>
      <w:r w:rsidRPr="00D86DE5">
        <w:rPr>
          <w:b/>
        </w:rPr>
        <w:lastRenderedPageBreak/>
        <w:t>Primary facility</w:t>
      </w:r>
      <w:r w:rsidRPr="00D86DE5">
        <w:t xml:space="preserve"> refers to a maternity unit that provides care for </w:t>
      </w:r>
      <w:r w:rsidR="00977C87">
        <w:t>people</w:t>
      </w:r>
      <w:r w:rsidRPr="00D86DE5">
        <w:t xml:space="preserve"> expected to experience normal birth with care provision from midwives. It is usually community-based and specifically for </w:t>
      </w:r>
      <w:r w:rsidR="00977C87">
        <w:t>people</w:t>
      </w:r>
      <w:r w:rsidRPr="00D86DE5">
        <w:t xml:space="preserve"> assessed as being at low risk of complications for labour and birth care. Access to specialist secondary maternity services and care will require transfer to a secondary/tertiary facility. Primary facilities do not provide epidural analgesia or operative birth services.</w:t>
      </w:r>
    </w:p>
    <w:p w14:paraId="3A7929E1" w14:textId="77777777" w:rsidR="000E3B92" w:rsidRDefault="00F21C98" w:rsidP="00F21C98">
      <w:pPr>
        <w:pStyle w:val="Box"/>
        <w:pBdr>
          <w:top w:val="none" w:sz="0" w:space="0" w:color="auto"/>
          <w:left w:val="none" w:sz="0" w:space="0" w:color="auto"/>
          <w:bottom w:val="none" w:sz="0" w:space="0" w:color="auto"/>
          <w:right w:val="none" w:sz="0" w:space="0" w:color="auto"/>
        </w:pBdr>
        <w:ind w:left="0"/>
      </w:pPr>
      <w:r w:rsidRPr="00D86DE5">
        <w:rPr>
          <w:b/>
        </w:rPr>
        <w:t>Secondary facility</w:t>
      </w:r>
      <w:r w:rsidRPr="00D86DE5">
        <w:t xml:space="preserve"> refers to a hospital that can provide care for normal births, complicated pregnancies and births including operative births and caesarean sections plus specialist adjunct services including anaesthetics and paediatrics. As a minimum, secondary facilities include an obstetrician rostered on site during working hours and on call after hours, with access to support from an anaesthetist, paediatrician, radiological, laboratory and neonatal services.</w:t>
      </w:r>
    </w:p>
    <w:p w14:paraId="4570CC4D" w14:textId="22C44961" w:rsidR="00F21C98" w:rsidRDefault="00F21C98" w:rsidP="00F21C98">
      <w:pPr>
        <w:pStyle w:val="Box"/>
        <w:pBdr>
          <w:top w:val="none" w:sz="0" w:space="0" w:color="auto"/>
          <w:left w:val="none" w:sz="0" w:space="0" w:color="auto"/>
          <w:bottom w:val="none" w:sz="0" w:space="0" w:color="auto"/>
          <w:right w:val="none" w:sz="0" w:space="0" w:color="auto"/>
        </w:pBdr>
        <w:ind w:left="0"/>
      </w:pPr>
      <w:r w:rsidRPr="00D86DE5">
        <w:rPr>
          <w:b/>
        </w:rPr>
        <w:t>Tertiary facility</w:t>
      </w:r>
      <w:r w:rsidRPr="00D86DE5">
        <w:t xml:space="preserve"> refers to a hospital that can provide care for </w:t>
      </w:r>
      <w:r w:rsidR="00977C87">
        <w:t>people</w:t>
      </w:r>
      <w:r w:rsidRPr="00D86DE5">
        <w:t xml:space="preserve"> with high-risk, complex pregnancies by specialised multidisciplinary teams. Tertiary maternity care includes an obstetric specialist or registrar immediately available on site 24 hours a day. Tertiary maternity care includes an on-site, level 3, neonatal service.</w:t>
      </w:r>
    </w:p>
    <w:p w14:paraId="15C05F3C" w14:textId="77777777" w:rsidR="00FF74B2" w:rsidRDefault="00FF74B2" w:rsidP="00F21C98">
      <w:pPr>
        <w:pStyle w:val="Box"/>
        <w:pBdr>
          <w:top w:val="none" w:sz="0" w:space="0" w:color="auto"/>
          <w:left w:val="none" w:sz="0" w:space="0" w:color="auto"/>
          <w:bottom w:val="none" w:sz="0" w:space="0" w:color="auto"/>
          <w:right w:val="none" w:sz="0" w:space="0" w:color="auto"/>
        </w:pBdr>
        <w:ind w:left="0"/>
      </w:pPr>
    </w:p>
    <w:p w14:paraId="135A783F" w14:textId="77777777" w:rsidR="00F21C98" w:rsidRDefault="00F21C98" w:rsidP="00F21C98">
      <w:pPr>
        <w:pStyle w:val="Heading3"/>
      </w:pPr>
      <w:r w:rsidRPr="00540134">
        <w:t>Home births</w:t>
      </w:r>
    </w:p>
    <w:p w14:paraId="10C3CD4D" w14:textId="77777777" w:rsidR="00F21C98" w:rsidRDefault="00F21C98" w:rsidP="00F21C98">
      <w:pPr>
        <w:pStyle w:val="Box"/>
        <w:pBdr>
          <w:top w:val="none" w:sz="0" w:space="0" w:color="auto"/>
          <w:left w:val="none" w:sz="0" w:space="0" w:color="auto"/>
          <w:bottom w:val="none" w:sz="0" w:space="0" w:color="auto"/>
          <w:right w:val="none" w:sz="0" w:space="0" w:color="auto"/>
        </w:pBdr>
        <w:ind w:left="0"/>
      </w:pPr>
      <w:r w:rsidRPr="00540134">
        <w:rPr>
          <w:b/>
        </w:rPr>
        <w:t>Intended home birth</w:t>
      </w:r>
      <w:r w:rsidRPr="00540134">
        <w:t xml:space="preserve"> refers to a birth for which there is a documented plan to give birth at home and the management of the labour commences at home.</w:t>
      </w:r>
    </w:p>
    <w:p w14:paraId="42A7B03B" w14:textId="36AE21B4" w:rsidR="00F21C98" w:rsidRDefault="00F21C98" w:rsidP="00F21C98">
      <w:pPr>
        <w:pStyle w:val="Box"/>
        <w:pBdr>
          <w:top w:val="none" w:sz="0" w:space="0" w:color="auto"/>
          <w:left w:val="none" w:sz="0" w:space="0" w:color="auto"/>
          <w:bottom w:val="none" w:sz="0" w:space="0" w:color="auto"/>
          <w:right w:val="none" w:sz="0" w:space="0" w:color="auto"/>
        </w:pBdr>
        <w:ind w:left="0"/>
      </w:pPr>
      <w:r w:rsidRPr="00540134">
        <w:rPr>
          <w:b/>
        </w:rPr>
        <w:t xml:space="preserve">Home birth </w:t>
      </w:r>
      <w:r w:rsidRPr="00540134">
        <w:t>refers to</w:t>
      </w:r>
      <w:r w:rsidRPr="00B157E0">
        <w:t xml:space="preserve"> </w:t>
      </w:r>
      <w:r w:rsidRPr="00540134">
        <w:t>a</w:t>
      </w:r>
      <w:r>
        <w:t>n intended home</w:t>
      </w:r>
      <w:r w:rsidRPr="00540134">
        <w:t xml:space="preserve"> birth that took place in a person</w:t>
      </w:r>
      <w:r>
        <w:t>’</w:t>
      </w:r>
      <w:r w:rsidRPr="00540134">
        <w:t>s home and not in a maternity</w:t>
      </w:r>
      <w:r>
        <w:t xml:space="preserve"> facility.</w:t>
      </w:r>
      <w:bookmarkStart w:id="85" w:name="_Ref405542282"/>
      <w:bookmarkStart w:id="86" w:name="_Toc405887017"/>
      <w:bookmarkStart w:id="87" w:name="_Toc412122411"/>
      <w:bookmarkStart w:id="88" w:name="_Toc431462735"/>
      <w:bookmarkStart w:id="89" w:name="_Toc479583273"/>
      <w:bookmarkStart w:id="90" w:name="_Toc485542641"/>
    </w:p>
    <w:p w14:paraId="514FD16E" w14:textId="77777777" w:rsidR="00FF74B2" w:rsidRDefault="00FF74B2" w:rsidP="00F21C98">
      <w:pPr>
        <w:pStyle w:val="Box"/>
        <w:pBdr>
          <w:top w:val="none" w:sz="0" w:space="0" w:color="auto"/>
          <w:left w:val="none" w:sz="0" w:space="0" w:color="auto"/>
          <w:bottom w:val="none" w:sz="0" w:space="0" w:color="auto"/>
          <w:right w:val="none" w:sz="0" w:space="0" w:color="auto"/>
        </w:pBdr>
        <w:ind w:left="0"/>
      </w:pPr>
    </w:p>
    <w:p w14:paraId="3620962F" w14:textId="77777777" w:rsidR="00F21C98" w:rsidRDefault="00F21C98" w:rsidP="00F21C98">
      <w:pPr>
        <w:pStyle w:val="Heading3"/>
      </w:pPr>
      <w:r w:rsidRPr="00C21528">
        <w:t>Birthweight</w:t>
      </w:r>
      <w:bookmarkEnd w:id="85"/>
      <w:bookmarkEnd w:id="86"/>
      <w:bookmarkEnd w:id="87"/>
      <w:bookmarkEnd w:id="88"/>
      <w:bookmarkEnd w:id="89"/>
      <w:bookmarkEnd w:id="90"/>
    </w:p>
    <w:p w14:paraId="1B2E5F3F" w14:textId="77777777" w:rsidR="00F21C98" w:rsidRDefault="00F21C98" w:rsidP="00F21C98">
      <w:pPr>
        <w:pStyle w:val="Box"/>
        <w:pBdr>
          <w:top w:val="none" w:sz="0" w:space="0" w:color="auto"/>
          <w:left w:val="none" w:sz="0" w:space="0" w:color="auto"/>
          <w:bottom w:val="none" w:sz="0" w:space="0" w:color="auto"/>
          <w:right w:val="none" w:sz="0" w:space="0" w:color="auto"/>
        </w:pBdr>
        <w:ind w:left="0"/>
      </w:pPr>
      <w:r w:rsidRPr="00C21528">
        <w:t xml:space="preserve">Birthweight is the first weight of the </w:t>
      </w:r>
      <w:proofErr w:type="spellStart"/>
      <w:r w:rsidRPr="00C21528">
        <w:t>fetus</w:t>
      </w:r>
      <w:proofErr w:type="spellEnd"/>
      <w:r w:rsidRPr="00C21528">
        <w:t xml:space="preserve"> or baby obtained after birth, preferably measured within the first hour of life before significant postnatal weight loss has occurred (WHO 1975).</w:t>
      </w:r>
    </w:p>
    <w:p w14:paraId="5D08A304" w14:textId="77777777" w:rsidR="00F21C98" w:rsidRPr="00C21528" w:rsidRDefault="00F21C98" w:rsidP="00F21C98">
      <w:pPr>
        <w:pStyle w:val="Box"/>
        <w:pBdr>
          <w:top w:val="none" w:sz="0" w:space="0" w:color="auto"/>
          <w:left w:val="none" w:sz="0" w:space="0" w:color="auto"/>
          <w:bottom w:val="none" w:sz="0" w:space="0" w:color="auto"/>
          <w:right w:val="none" w:sz="0" w:space="0" w:color="auto"/>
        </w:pBdr>
        <w:ind w:left="0"/>
      </w:pPr>
      <w:r w:rsidRPr="00C21528">
        <w:rPr>
          <w:b/>
        </w:rPr>
        <w:t xml:space="preserve">Low birthweight </w:t>
      </w:r>
      <w:r w:rsidRPr="00C21528">
        <w:t>refers to a birthweight of less than 2.5</w:t>
      </w:r>
      <w:r>
        <w:t> </w:t>
      </w:r>
      <w:r w:rsidRPr="00C21528">
        <w:t>kg at any gestation.</w:t>
      </w:r>
      <w:r w:rsidR="00251580">
        <w:t xml:space="preserve"> </w:t>
      </w:r>
      <w:r w:rsidRPr="00C21528">
        <w:t xml:space="preserve">Prematurity, multiple pregnancy and restricted </w:t>
      </w:r>
      <w:proofErr w:type="spellStart"/>
      <w:r w:rsidRPr="00C21528">
        <w:t>fetal</w:t>
      </w:r>
      <w:proofErr w:type="spellEnd"/>
      <w:r w:rsidRPr="00C21528">
        <w:t xml:space="preserve"> (intra-uterine) growth are possible contributors to a baby</w:t>
      </w:r>
      <w:r>
        <w:t>’</w:t>
      </w:r>
      <w:r w:rsidRPr="00C21528">
        <w:t xml:space="preserve">s low weight at birth. Low birthweight is associated with increased risk of </w:t>
      </w:r>
      <w:proofErr w:type="spellStart"/>
      <w:r w:rsidRPr="00C21528">
        <w:t>fetal</w:t>
      </w:r>
      <w:proofErr w:type="spellEnd"/>
      <w:r w:rsidRPr="00C21528">
        <w:t xml:space="preserve"> and neonatal mortality and morbidity, as well as inhibited growth and cognitive development (WHO and UNICEF 2004).</w:t>
      </w:r>
    </w:p>
    <w:p w14:paraId="2F62B3F6" w14:textId="77777777" w:rsidR="00F21C98" w:rsidRPr="00C21528" w:rsidRDefault="00F21C98" w:rsidP="00251580">
      <w:pPr>
        <w:pStyle w:val="Box"/>
        <w:keepNext/>
        <w:pBdr>
          <w:top w:val="none" w:sz="0" w:space="0" w:color="auto"/>
          <w:left w:val="none" w:sz="0" w:space="0" w:color="auto"/>
          <w:bottom w:val="none" w:sz="0" w:space="0" w:color="auto"/>
          <w:right w:val="none" w:sz="0" w:space="0" w:color="auto"/>
        </w:pBdr>
        <w:ind w:left="0"/>
      </w:pPr>
      <w:r w:rsidRPr="00C21528">
        <w:rPr>
          <w:b/>
        </w:rPr>
        <w:t xml:space="preserve">Normal birthweight </w:t>
      </w:r>
      <w:r w:rsidRPr="00C21528">
        <w:t>refers to a birthweight between 2.5</w:t>
      </w:r>
      <w:r>
        <w:t> </w:t>
      </w:r>
      <w:r w:rsidRPr="00C21528">
        <w:t>kg and 4.4</w:t>
      </w:r>
      <w:r>
        <w:t> </w:t>
      </w:r>
      <w:r w:rsidRPr="00C21528">
        <w:t>kg.</w:t>
      </w:r>
    </w:p>
    <w:p w14:paraId="789EA03B" w14:textId="77777777" w:rsidR="00F21C98" w:rsidRPr="00C21528" w:rsidRDefault="00F21C98" w:rsidP="00251580">
      <w:pPr>
        <w:pStyle w:val="Box"/>
        <w:keepNext/>
        <w:pBdr>
          <w:top w:val="none" w:sz="0" w:space="0" w:color="auto"/>
          <w:left w:val="none" w:sz="0" w:space="0" w:color="auto"/>
          <w:bottom w:val="none" w:sz="0" w:space="0" w:color="auto"/>
          <w:right w:val="none" w:sz="0" w:space="0" w:color="auto"/>
        </w:pBdr>
        <w:ind w:left="0"/>
      </w:pPr>
      <w:r w:rsidRPr="00C21528">
        <w:rPr>
          <w:b/>
        </w:rPr>
        <w:t>High birthweight</w:t>
      </w:r>
      <w:r w:rsidRPr="00C21528">
        <w:t xml:space="preserve"> refers to a birthweight of 4.5</w:t>
      </w:r>
      <w:r>
        <w:t> </w:t>
      </w:r>
      <w:r w:rsidRPr="00C21528">
        <w:t>kg or more.</w:t>
      </w:r>
    </w:p>
    <w:p w14:paraId="7875FCA7" w14:textId="77777777" w:rsidR="00F21C98" w:rsidRPr="00AF16D8" w:rsidRDefault="00F21C98" w:rsidP="00F21C98">
      <w:pPr>
        <w:keepNext/>
        <w:ind w:left="426"/>
        <w:rPr>
          <w:highlight w:val="yellow"/>
        </w:rPr>
      </w:pPr>
    </w:p>
    <w:p w14:paraId="616A915F" w14:textId="6B4A8367" w:rsidR="00F21C98" w:rsidRDefault="00F21C98" w:rsidP="00251580">
      <w:pPr>
        <w:keepLines/>
      </w:pPr>
      <w:r>
        <w:t xml:space="preserve">Some </w:t>
      </w:r>
      <w:r w:rsidR="008C756F">
        <w:t>districts/</w:t>
      </w:r>
      <w:r w:rsidRPr="00961A2F">
        <w:t>DHB regions show</w:t>
      </w:r>
      <w:r>
        <w:t>ed</w:t>
      </w:r>
      <w:r w:rsidRPr="00961A2F">
        <w:t xml:space="preserve"> fluctu</w:t>
      </w:r>
      <w:r>
        <w:t xml:space="preserve">ations in the proportion of low </w:t>
      </w:r>
      <w:r w:rsidRPr="00961A2F">
        <w:t xml:space="preserve">birthweight babies over the same time. These percentages </w:t>
      </w:r>
      <w:r>
        <w:t xml:space="preserve">may </w:t>
      </w:r>
      <w:r w:rsidRPr="00961A2F">
        <w:t>have been calculated based on small numbers and should be interpreted with caution.</w:t>
      </w:r>
    </w:p>
    <w:p w14:paraId="52D41B05" w14:textId="385D78EC" w:rsidR="00251580" w:rsidRPr="002058B7" w:rsidRDefault="00251580" w:rsidP="00251580">
      <w:pPr>
        <w:pStyle w:val="Heading3"/>
      </w:pPr>
      <w:bookmarkStart w:id="91" w:name="_Ref410124242"/>
      <w:bookmarkStart w:id="92" w:name="_Toc412122412"/>
      <w:bookmarkStart w:id="93" w:name="_Toc431462736"/>
      <w:bookmarkStart w:id="94" w:name="_Toc479583274"/>
      <w:bookmarkStart w:id="95" w:name="_Toc485542642"/>
      <w:r w:rsidRPr="002058B7">
        <w:lastRenderedPageBreak/>
        <w:t>Gestation</w:t>
      </w:r>
      <w:bookmarkEnd w:id="91"/>
      <w:bookmarkEnd w:id="92"/>
      <w:bookmarkEnd w:id="93"/>
      <w:bookmarkEnd w:id="94"/>
      <w:bookmarkEnd w:id="95"/>
    </w:p>
    <w:p w14:paraId="2E1D77CB" w14:textId="77777777" w:rsidR="00251580" w:rsidRDefault="00251580" w:rsidP="00251580">
      <w:pPr>
        <w:pStyle w:val="Box"/>
        <w:keepNext/>
        <w:pBdr>
          <w:top w:val="none" w:sz="0" w:space="0" w:color="auto"/>
          <w:left w:val="none" w:sz="0" w:space="0" w:color="auto"/>
          <w:bottom w:val="none" w:sz="0" w:space="0" w:color="auto"/>
          <w:right w:val="none" w:sz="0" w:space="0" w:color="auto"/>
        </w:pBdr>
        <w:ind w:left="0"/>
      </w:pPr>
      <w:r w:rsidRPr="002058B7">
        <w:t>Gestation is the duration of pregnancy measured from the first day of the last normal menstrual period to the delivery date, expressed in completed weeks (WHO 1975).</w:t>
      </w:r>
    </w:p>
    <w:p w14:paraId="3B896C94" w14:textId="77777777" w:rsidR="00251580" w:rsidRPr="002058B7" w:rsidRDefault="00251580" w:rsidP="00251580">
      <w:pPr>
        <w:pStyle w:val="Box"/>
        <w:keepNext/>
        <w:pBdr>
          <w:top w:val="none" w:sz="0" w:space="0" w:color="auto"/>
          <w:left w:val="none" w:sz="0" w:space="0" w:color="auto"/>
          <w:bottom w:val="none" w:sz="0" w:space="0" w:color="auto"/>
          <w:right w:val="none" w:sz="0" w:space="0" w:color="auto"/>
        </w:pBdr>
        <w:ind w:left="0"/>
      </w:pPr>
      <w:r w:rsidRPr="002058B7">
        <w:t>Gestational age may also be derived from clinical assessment during pregnancy, or from an examination of the baby after birth.</w:t>
      </w:r>
    </w:p>
    <w:p w14:paraId="22174EB2" w14:textId="77777777" w:rsidR="00251580" w:rsidRPr="002058B7" w:rsidRDefault="00251580" w:rsidP="00251580">
      <w:pPr>
        <w:pStyle w:val="Box"/>
        <w:keepNext/>
        <w:pBdr>
          <w:top w:val="none" w:sz="0" w:space="0" w:color="auto"/>
          <w:left w:val="none" w:sz="0" w:space="0" w:color="auto"/>
          <w:bottom w:val="none" w:sz="0" w:space="0" w:color="auto"/>
          <w:right w:val="none" w:sz="0" w:space="0" w:color="auto"/>
        </w:pBdr>
        <w:ind w:left="0"/>
      </w:pPr>
      <w:r w:rsidRPr="002058B7">
        <w:rPr>
          <w:b/>
        </w:rPr>
        <w:t>Preterm</w:t>
      </w:r>
      <w:r w:rsidRPr="002058B7">
        <w:t xml:space="preserve"> refers to</w:t>
      </w:r>
      <w:r>
        <w:t xml:space="preserve"> babies born before 37 </w:t>
      </w:r>
      <w:r w:rsidRPr="002058B7">
        <w:t xml:space="preserve">weeks </w:t>
      </w:r>
      <w:r>
        <w:t xml:space="preserve">of </w:t>
      </w:r>
      <w:r w:rsidRPr="002058B7">
        <w:t>gestation.</w:t>
      </w:r>
    </w:p>
    <w:p w14:paraId="7332CFD6" w14:textId="77777777" w:rsidR="00251580" w:rsidRPr="002058B7" w:rsidRDefault="00251580" w:rsidP="00251580">
      <w:pPr>
        <w:pStyle w:val="Box"/>
        <w:keepNext/>
        <w:pBdr>
          <w:top w:val="none" w:sz="0" w:space="0" w:color="auto"/>
          <w:left w:val="none" w:sz="0" w:space="0" w:color="auto"/>
          <w:bottom w:val="none" w:sz="0" w:space="0" w:color="auto"/>
          <w:right w:val="none" w:sz="0" w:space="0" w:color="auto"/>
        </w:pBdr>
        <w:ind w:left="0"/>
      </w:pPr>
      <w:r w:rsidRPr="002058B7">
        <w:rPr>
          <w:b/>
        </w:rPr>
        <w:t xml:space="preserve">Term </w:t>
      </w:r>
      <w:r w:rsidRPr="002058B7">
        <w:t>refers to babies born between 37</w:t>
      </w:r>
      <w:r>
        <w:t>.0</w:t>
      </w:r>
      <w:r w:rsidRPr="002058B7">
        <w:t xml:space="preserve"> and 41</w:t>
      </w:r>
      <w:r>
        <w:t>.6</w:t>
      </w:r>
      <w:r w:rsidRPr="002058B7">
        <w:t xml:space="preserve"> weeks</w:t>
      </w:r>
      <w:r>
        <w:t xml:space="preserve"> of</w:t>
      </w:r>
      <w:r w:rsidRPr="002058B7">
        <w:t xml:space="preserve"> gestation. </w:t>
      </w:r>
    </w:p>
    <w:p w14:paraId="7F5C4863" w14:textId="77777777" w:rsidR="00251580" w:rsidRPr="002058B7" w:rsidRDefault="00251580" w:rsidP="00251580">
      <w:pPr>
        <w:keepNext/>
      </w:pPr>
    </w:p>
    <w:p w14:paraId="6F653FCC" w14:textId="77777777" w:rsidR="00251580" w:rsidRPr="004F7398" w:rsidRDefault="00251580" w:rsidP="00251580">
      <w:pPr>
        <w:pStyle w:val="Heading3"/>
      </w:pPr>
      <w:bookmarkStart w:id="96" w:name="_Ref405542283"/>
      <w:bookmarkStart w:id="97" w:name="_Toc405887018"/>
      <w:bookmarkStart w:id="98" w:name="_Toc412122413"/>
      <w:bookmarkStart w:id="99" w:name="_Toc431462737"/>
      <w:bookmarkStart w:id="100" w:name="_Toc479583275"/>
      <w:bookmarkStart w:id="101" w:name="_Toc485542643"/>
      <w:r w:rsidRPr="004F7398">
        <w:t>Breastfeeding</w:t>
      </w:r>
      <w:bookmarkEnd w:id="96"/>
      <w:bookmarkEnd w:id="97"/>
      <w:bookmarkEnd w:id="98"/>
      <w:bookmarkEnd w:id="99"/>
      <w:bookmarkEnd w:id="100"/>
      <w:bookmarkEnd w:id="101"/>
    </w:p>
    <w:p w14:paraId="1A4D576B" w14:textId="593C1369" w:rsidR="00251580" w:rsidRPr="004F7398" w:rsidRDefault="00251580" w:rsidP="00251580">
      <w:pPr>
        <w:pStyle w:val="Box"/>
        <w:keepNext/>
        <w:pBdr>
          <w:top w:val="none" w:sz="0" w:space="0" w:color="auto"/>
          <w:left w:val="none" w:sz="0" w:space="0" w:color="auto"/>
          <w:bottom w:val="none" w:sz="0" w:space="0" w:color="auto"/>
          <w:right w:val="none" w:sz="0" w:space="0" w:color="auto"/>
        </w:pBdr>
        <w:ind w:left="0"/>
      </w:pPr>
      <w:r w:rsidRPr="004F7398">
        <w:t>Breast milk is the perfect food for an infant as it contributes positively to</w:t>
      </w:r>
      <w:r>
        <w:t xml:space="preserve"> both</w:t>
      </w:r>
      <w:r w:rsidRPr="004F7398">
        <w:t xml:space="preserve"> infant and maternal health. </w:t>
      </w:r>
      <w:r w:rsidR="0094796D">
        <w:t>Health New Zealand</w:t>
      </w:r>
      <w:r w:rsidRPr="004F7398">
        <w:t xml:space="preserve"> uses the following standard breastfeeding definitions for New Zealand (Ministry of Health</w:t>
      </w:r>
      <w:r w:rsidR="00D52C7C">
        <w:t>,</w:t>
      </w:r>
      <w:r w:rsidRPr="004F7398">
        <w:t xml:space="preserve"> 20</w:t>
      </w:r>
      <w:r w:rsidR="00D52C7C">
        <w:t>20)</w:t>
      </w:r>
      <w:r w:rsidRPr="004F7398">
        <w:t>.</w:t>
      </w:r>
    </w:p>
    <w:p w14:paraId="241F6356" w14:textId="4F751486" w:rsidR="00251580" w:rsidRPr="004F7398" w:rsidRDefault="00251580" w:rsidP="00251580">
      <w:pPr>
        <w:pStyle w:val="Box"/>
        <w:keepNext/>
        <w:keepLines/>
        <w:pBdr>
          <w:top w:val="none" w:sz="0" w:space="0" w:color="auto"/>
          <w:left w:val="none" w:sz="0" w:space="0" w:color="auto"/>
          <w:bottom w:val="none" w:sz="0" w:space="0" w:color="auto"/>
          <w:right w:val="none" w:sz="0" w:space="0" w:color="auto"/>
        </w:pBdr>
        <w:ind w:left="0"/>
      </w:pPr>
      <w:r w:rsidRPr="004F7398">
        <w:rPr>
          <w:b/>
        </w:rPr>
        <w:t xml:space="preserve">Exclusive: </w:t>
      </w:r>
      <w:r w:rsidRPr="004F7398">
        <w:t xml:space="preserve">the infant who has never, to the </w:t>
      </w:r>
      <w:r w:rsidR="003756B3">
        <w:t>parent’s</w:t>
      </w:r>
      <w:r w:rsidRPr="004F7398">
        <w:t xml:space="preserve"> knowledge, had any water, formula or other liquid or solid food. Only breast milk (from the breast or expressed) and prescribed medicines (defined in the Medicines Act 1981) have been given to the baby from birth.</w:t>
      </w:r>
    </w:p>
    <w:p w14:paraId="6332AE4F" w14:textId="77777777" w:rsidR="00251580" w:rsidRPr="004F7398" w:rsidRDefault="00251580" w:rsidP="00251580">
      <w:pPr>
        <w:pStyle w:val="Box"/>
        <w:keepNext/>
        <w:pBdr>
          <w:top w:val="none" w:sz="0" w:space="0" w:color="auto"/>
          <w:left w:val="none" w:sz="0" w:space="0" w:color="auto"/>
          <w:bottom w:val="none" w:sz="0" w:space="0" w:color="auto"/>
          <w:right w:val="none" w:sz="0" w:space="0" w:color="auto"/>
        </w:pBdr>
        <w:ind w:left="0"/>
      </w:pPr>
      <w:r w:rsidRPr="004F7398">
        <w:rPr>
          <w:b/>
        </w:rPr>
        <w:t>Fully:</w:t>
      </w:r>
      <w:r w:rsidRPr="004F7398">
        <w:t xml:space="preserve"> the infant has taken breast milk only, and no other liquids or solids except a minimal amount of water or prescribed medicines, in the past 48 hours.</w:t>
      </w:r>
    </w:p>
    <w:p w14:paraId="2A560543" w14:textId="77777777" w:rsidR="00251580" w:rsidRPr="004F7398" w:rsidRDefault="00251580" w:rsidP="00251580">
      <w:pPr>
        <w:pStyle w:val="Box"/>
        <w:keepNext/>
        <w:pBdr>
          <w:top w:val="none" w:sz="0" w:space="0" w:color="auto"/>
          <w:left w:val="none" w:sz="0" w:space="0" w:color="auto"/>
          <w:bottom w:val="none" w:sz="0" w:space="0" w:color="auto"/>
          <w:right w:val="none" w:sz="0" w:space="0" w:color="auto"/>
        </w:pBdr>
        <w:ind w:left="0"/>
      </w:pPr>
      <w:r w:rsidRPr="004F7398">
        <w:rPr>
          <w:b/>
        </w:rPr>
        <w:t xml:space="preserve">Partial: </w:t>
      </w:r>
      <w:r w:rsidRPr="004F7398">
        <w:t>the infant has taken some breast milk and some infant formula or other solid food in the past 48 hours.</w:t>
      </w:r>
    </w:p>
    <w:p w14:paraId="411498C8" w14:textId="77777777" w:rsidR="00251580" w:rsidRPr="004F7398" w:rsidRDefault="00251580" w:rsidP="00251580">
      <w:pPr>
        <w:pStyle w:val="Box"/>
        <w:keepNext/>
        <w:pBdr>
          <w:top w:val="none" w:sz="0" w:space="0" w:color="auto"/>
          <w:left w:val="none" w:sz="0" w:space="0" w:color="auto"/>
          <w:bottom w:val="none" w:sz="0" w:space="0" w:color="auto"/>
          <w:right w:val="none" w:sz="0" w:space="0" w:color="auto"/>
        </w:pBdr>
        <w:ind w:left="0"/>
      </w:pPr>
      <w:r w:rsidRPr="004F7398">
        <w:rPr>
          <w:b/>
        </w:rPr>
        <w:t>Artificial:</w:t>
      </w:r>
      <w:r w:rsidRPr="004F7398">
        <w:t xml:space="preserve"> the infant has had no breast milk but has had alternative liquid such as infant formula, with or without solid food in the past 48 hours.</w:t>
      </w:r>
    </w:p>
    <w:p w14:paraId="4E360866" w14:textId="5903D490" w:rsidR="00251580" w:rsidRPr="004F7398" w:rsidRDefault="00251580" w:rsidP="00251580">
      <w:pPr>
        <w:pStyle w:val="Box"/>
        <w:keepLines/>
        <w:pBdr>
          <w:top w:val="none" w:sz="0" w:space="0" w:color="auto"/>
          <w:left w:val="none" w:sz="0" w:space="0" w:color="auto"/>
          <w:bottom w:val="none" w:sz="0" w:space="0" w:color="auto"/>
          <w:right w:val="none" w:sz="0" w:space="0" w:color="auto"/>
        </w:pBdr>
        <w:ind w:left="0"/>
      </w:pPr>
      <w:r w:rsidRPr="004F7398">
        <w:t xml:space="preserve">The data presented regarding breastfeeding is primarily sourced from LMC claim forms, with additional data from some </w:t>
      </w:r>
      <w:r w:rsidR="00582929">
        <w:t>district</w:t>
      </w:r>
      <w:r w:rsidRPr="004F7398">
        <w:t xml:space="preserve"> primary maternity services. It is</w:t>
      </w:r>
      <w:r>
        <w:t>,</w:t>
      </w:r>
      <w:r w:rsidRPr="004F7398">
        <w:t xml:space="preserve"> therefore</w:t>
      </w:r>
      <w:r>
        <w:t>,</w:t>
      </w:r>
      <w:r w:rsidRPr="004F7398">
        <w:t xml:space="preserve"> only available for babies of </w:t>
      </w:r>
      <w:r w:rsidR="00977C87">
        <w:t>people</w:t>
      </w:r>
      <w:r w:rsidRPr="004F7398">
        <w:t xml:space="preserve"> registered with an LMC or with a </w:t>
      </w:r>
      <w:r w:rsidR="00582929">
        <w:t>district</w:t>
      </w:r>
      <w:r w:rsidRPr="004F7398">
        <w:t xml:space="preserve"> primary maternity service (approximately 95% of </w:t>
      </w:r>
      <w:r w:rsidR="00977C87">
        <w:t>people</w:t>
      </w:r>
      <w:r w:rsidRPr="004F7398">
        <w:t xml:space="preserve"> giving birth).</w:t>
      </w:r>
    </w:p>
    <w:p w14:paraId="09ECFF6F" w14:textId="77777777" w:rsidR="00251580" w:rsidRPr="005B510E" w:rsidRDefault="00251580" w:rsidP="00251580">
      <w:pPr>
        <w:keepLines/>
        <w:rPr>
          <w:highlight w:val="green"/>
        </w:rPr>
      </w:pPr>
    </w:p>
    <w:p w14:paraId="640FF8A6" w14:textId="77777777" w:rsidR="00F21C98" w:rsidRPr="005B510E" w:rsidRDefault="00F21C98" w:rsidP="00F21C98">
      <w:pPr>
        <w:ind w:left="426"/>
        <w:rPr>
          <w:highlight w:val="green"/>
        </w:rPr>
      </w:pPr>
    </w:p>
    <w:p w14:paraId="53C2E267" w14:textId="77777777" w:rsidR="00F21C98" w:rsidRPr="00540134" w:rsidRDefault="00F21C98" w:rsidP="00F21C98">
      <w:pPr>
        <w:pStyle w:val="Box"/>
        <w:keepNext/>
        <w:pBdr>
          <w:top w:val="none" w:sz="0" w:space="0" w:color="auto"/>
          <w:left w:val="none" w:sz="0" w:space="0" w:color="auto"/>
          <w:bottom w:val="none" w:sz="0" w:space="0" w:color="auto"/>
          <w:right w:val="none" w:sz="0" w:space="0" w:color="auto"/>
        </w:pBdr>
        <w:ind w:left="0"/>
      </w:pPr>
    </w:p>
    <w:p w14:paraId="76746B0C" w14:textId="77777777" w:rsidR="00F21C98" w:rsidRPr="00EC7BA2" w:rsidRDefault="00F21C98" w:rsidP="00F21C98">
      <w:pPr>
        <w:ind w:left="426"/>
      </w:pPr>
    </w:p>
    <w:p w14:paraId="6B3B9F32" w14:textId="77777777" w:rsidR="00F21C98" w:rsidRPr="000D1931" w:rsidRDefault="00F21C98" w:rsidP="000D1931">
      <w:pPr>
        <w:pStyle w:val="Box"/>
        <w:pBdr>
          <w:top w:val="none" w:sz="0" w:space="0" w:color="auto"/>
          <w:left w:val="none" w:sz="0" w:space="0" w:color="auto"/>
          <w:bottom w:val="none" w:sz="0" w:space="0" w:color="auto"/>
          <w:right w:val="none" w:sz="0" w:space="0" w:color="auto"/>
        </w:pBdr>
        <w:ind w:left="0"/>
        <w:rPr>
          <w:szCs w:val="21"/>
        </w:rPr>
      </w:pPr>
    </w:p>
    <w:bookmarkEnd w:id="45"/>
    <w:bookmarkEnd w:id="46"/>
    <w:bookmarkEnd w:id="47"/>
    <w:bookmarkEnd w:id="57"/>
    <w:bookmarkEnd w:id="58"/>
    <w:bookmarkEnd w:id="59"/>
    <w:p w14:paraId="69573A79" w14:textId="77777777" w:rsidR="00686C9E" w:rsidRPr="00AF16D8" w:rsidRDefault="00686C9E" w:rsidP="00686C9E">
      <w:pPr>
        <w:rPr>
          <w:highlight w:val="yellow"/>
        </w:rPr>
      </w:pPr>
    </w:p>
    <w:p w14:paraId="526B10CB" w14:textId="77777777" w:rsidR="00686C9E" w:rsidRPr="00E05550" w:rsidRDefault="00686C9E" w:rsidP="00AC6F79">
      <w:pPr>
        <w:pStyle w:val="Heading1"/>
      </w:pPr>
      <w:bookmarkStart w:id="102" w:name="_Toc412122415"/>
      <w:bookmarkStart w:id="103" w:name="_Toc431462739"/>
      <w:bookmarkStart w:id="104" w:name="_Toc479583277"/>
      <w:bookmarkStart w:id="105" w:name="_Toc485542645"/>
      <w:bookmarkStart w:id="106" w:name="_Toc165466922"/>
      <w:r w:rsidRPr="00E05550">
        <w:lastRenderedPageBreak/>
        <w:t>References</w:t>
      </w:r>
      <w:bookmarkEnd w:id="102"/>
      <w:bookmarkEnd w:id="103"/>
      <w:bookmarkEnd w:id="104"/>
      <w:bookmarkEnd w:id="105"/>
      <w:bookmarkEnd w:id="106"/>
    </w:p>
    <w:p w14:paraId="7070179B" w14:textId="77777777" w:rsidR="00030A5F" w:rsidRDefault="00030A5F" w:rsidP="00030A5F">
      <w:pPr>
        <w:pStyle w:val="References"/>
      </w:pPr>
      <w:bookmarkStart w:id="107" w:name="_Ref400698239"/>
      <w:bookmarkStart w:id="108" w:name="_Toc405887020"/>
      <w:bookmarkStart w:id="109" w:name="_Toc412122416"/>
      <w:r w:rsidRPr="00F163A1">
        <w:t xml:space="preserve">APHO. 2008. </w:t>
      </w:r>
      <w:r w:rsidRPr="00F163A1">
        <w:rPr>
          <w:i/>
        </w:rPr>
        <w:t>Technical Briefing 3: Commonly used public health statistics and their confidence intervals</w:t>
      </w:r>
      <w:r w:rsidRPr="00F163A1">
        <w:t>. London: Association of Public Health Observatories.</w:t>
      </w:r>
    </w:p>
    <w:p w14:paraId="174689AD" w14:textId="77777777" w:rsidR="00030A5F" w:rsidRPr="00F163A1" w:rsidRDefault="00030A5F" w:rsidP="00030A5F">
      <w:pPr>
        <w:pStyle w:val="References"/>
      </w:pPr>
      <w:r>
        <w:t xml:space="preserve">Baumfeld Y, Walfisch A, </w:t>
      </w:r>
      <w:proofErr w:type="spellStart"/>
      <w:r>
        <w:t>Wainstock</w:t>
      </w:r>
      <w:proofErr w:type="spellEnd"/>
      <w:r>
        <w:t xml:space="preserve"> T, Segal I, Sergienko R, Landau D. Sheiner E. 2018. Elective </w:t>
      </w:r>
      <w:proofErr w:type="spellStart"/>
      <w:r>
        <w:t>Cesarean</w:t>
      </w:r>
      <w:proofErr w:type="spellEnd"/>
      <w:r>
        <w:t xml:space="preserve"> delivery at term and the long-term risk for respiratory morbidity of the offspring. </w:t>
      </w:r>
      <w:r w:rsidRPr="00F163A1">
        <w:rPr>
          <w:i/>
        </w:rPr>
        <w:t xml:space="preserve">European Journal of </w:t>
      </w:r>
      <w:proofErr w:type="spellStart"/>
      <w:r w:rsidRPr="00F163A1">
        <w:rPr>
          <w:i/>
        </w:rPr>
        <w:t>Pediatrics</w:t>
      </w:r>
      <w:proofErr w:type="spellEnd"/>
      <w:r>
        <w:t>. 177:1653-1659. DOI 10.1007/s00431-018-3225-8. (accessed 10 July 2020).</w:t>
      </w:r>
    </w:p>
    <w:p w14:paraId="081C68C6" w14:textId="77777777" w:rsidR="00030A5F" w:rsidRDefault="00030A5F" w:rsidP="00030A5F">
      <w:pPr>
        <w:pStyle w:val="References"/>
      </w:pPr>
      <w:r w:rsidRPr="00F163A1">
        <w:t xml:space="preserve">Birthplace in England Collaborative Group. 2011. Perinatal and maternal outcomes by planned place of birth for healthy women with </w:t>
      </w:r>
      <w:proofErr w:type="gramStart"/>
      <w:r w:rsidRPr="00F163A1">
        <w:t>low risk</w:t>
      </w:r>
      <w:proofErr w:type="gramEnd"/>
      <w:r w:rsidRPr="00F163A1">
        <w:t xml:space="preserve"> pregnancies: the Birthplace in England national prospective cohort study. </w:t>
      </w:r>
      <w:r w:rsidRPr="00F163A1">
        <w:rPr>
          <w:i/>
        </w:rPr>
        <w:t>BMJ</w:t>
      </w:r>
      <w:r w:rsidRPr="00F163A1">
        <w:t xml:space="preserve"> 343: d7400.</w:t>
      </w:r>
    </w:p>
    <w:p w14:paraId="44EC2CE0" w14:textId="77777777" w:rsidR="00030A5F" w:rsidRPr="00E05550" w:rsidRDefault="00030A5F" w:rsidP="00030A5F">
      <w:pPr>
        <w:pStyle w:val="References"/>
      </w:pPr>
      <w:r>
        <w:t xml:space="preserve">Bourdillon K, McCausland T, Jones S. 2020. The impact of birth-related injury and pain on breastfeeding outcomes. </w:t>
      </w:r>
      <w:r w:rsidRPr="008311BA">
        <w:rPr>
          <w:i/>
        </w:rPr>
        <w:t>British Journal of Midwifery</w:t>
      </w:r>
      <w:r>
        <w:t>. (28)1.52-61. (accessed 13 July 2020).</w:t>
      </w:r>
    </w:p>
    <w:p w14:paraId="33826903" w14:textId="77777777" w:rsidR="00030A5F" w:rsidRDefault="00030A5F" w:rsidP="00030A5F">
      <w:pPr>
        <w:pStyle w:val="References"/>
      </w:pPr>
      <w:proofErr w:type="spellStart"/>
      <w:r>
        <w:t>Cooijmans</w:t>
      </w:r>
      <w:proofErr w:type="spellEnd"/>
      <w:r>
        <w:t xml:space="preserve"> K, </w:t>
      </w:r>
      <w:proofErr w:type="spellStart"/>
      <w:r>
        <w:t>Beijers</w:t>
      </w:r>
      <w:proofErr w:type="spellEnd"/>
      <w:r>
        <w:t xml:space="preserve"> R, Rovers A &amp; de </w:t>
      </w:r>
      <w:proofErr w:type="spellStart"/>
      <w:r>
        <w:t>Weerth</w:t>
      </w:r>
      <w:proofErr w:type="spellEnd"/>
      <w:r>
        <w:t xml:space="preserve"> C. 2017. Effectiveness of skin-to-skin contact versus care-as-usual in mothers and their full-term infants: study protocol for a parallel-group randomized controlled trial. </w:t>
      </w:r>
      <w:r w:rsidRPr="008311BA">
        <w:rPr>
          <w:i/>
        </w:rPr>
        <w:t xml:space="preserve">BMC </w:t>
      </w:r>
      <w:proofErr w:type="spellStart"/>
      <w:r w:rsidRPr="008311BA">
        <w:rPr>
          <w:i/>
        </w:rPr>
        <w:t>Pediatrics</w:t>
      </w:r>
      <w:proofErr w:type="spellEnd"/>
      <w:r>
        <w:t>. 17:154. DOI 10.1186/s2887-017-0906-9. (accessed 13 July 2020).</w:t>
      </w:r>
    </w:p>
    <w:p w14:paraId="2D03778D" w14:textId="77777777" w:rsidR="00030A5F" w:rsidRDefault="00030A5F" w:rsidP="00030A5F">
      <w:pPr>
        <w:pStyle w:val="References"/>
      </w:pPr>
      <w:r>
        <w:t xml:space="preserve">Coxon K, Chisholm A, </w:t>
      </w:r>
      <w:proofErr w:type="spellStart"/>
      <w:r>
        <w:t>Malour</w:t>
      </w:r>
      <w:proofErr w:type="spellEnd"/>
      <w:r>
        <w:t xml:space="preserve"> R, Rowe R, Hollowell J. 2017. What influences </w:t>
      </w:r>
      <w:proofErr w:type="gramStart"/>
      <w:r>
        <w:t>birth place</w:t>
      </w:r>
      <w:proofErr w:type="gramEnd"/>
      <w:r>
        <w:t xml:space="preserve"> preferences, choices and decision-making amongst healthy women with straightforward pregnancies in the UK? A qualitative evidence synthesis using a ‘best fit’ framework approach</w:t>
      </w:r>
      <w:r w:rsidRPr="00F163A1">
        <w:rPr>
          <w:i/>
        </w:rPr>
        <w:t>. BMC Pregnancy and Childbirth</w:t>
      </w:r>
      <w:r>
        <w:t>. 17:103. DOI 10.1186/s12884-017-1279-7. (accessed 13 July 2020).</w:t>
      </w:r>
    </w:p>
    <w:p w14:paraId="790E1F6E" w14:textId="67169D65" w:rsidR="00030A5F" w:rsidRPr="00EE4C18" w:rsidRDefault="00030A5F" w:rsidP="00030A5F">
      <w:pPr>
        <w:pStyle w:val="References"/>
      </w:pPr>
      <w:r>
        <w:t xml:space="preserve">Farry A, McAra-Couper J, Weldon MC, Clemons J. 2019. Comparing perinatal outcomes for healthy pregnant women presenting at primary and tertiary settings in South Auckland: A retrospective cohort study. </w:t>
      </w:r>
      <w:r w:rsidRPr="00F163A1">
        <w:rPr>
          <w:i/>
        </w:rPr>
        <w:t>New Zealand College of Midwives Journal</w:t>
      </w:r>
      <w:r>
        <w:t xml:space="preserve"> (55):5-13.</w:t>
      </w:r>
      <w:r w:rsidR="00967A1B">
        <w:t xml:space="preserve"> </w:t>
      </w:r>
      <w:hyperlink r:id="rId26" w:history="1">
        <w:r w:rsidR="00967A1B" w:rsidRPr="00F83BE9">
          <w:rPr>
            <w:rStyle w:val="Hyperlink"/>
          </w:rPr>
          <w:t>www.researchgate.net/publication/333798434_Comparing_perinatal_outcomes_for_healthy_pregnant_women_presenting_at_primary_and_tertiary_settings_in_South_Auckland_A_retrospective_cohort_study</w:t>
        </w:r>
      </w:hyperlink>
      <w:r w:rsidRPr="00EE4C18">
        <w:t xml:space="preserve"> (accessed 16 July 2020)</w:t>
      </w:r>
    </w:p>
    <w:p w14:paraId="2DD8BC8B" w14:textId="77777777" w:rsidR="00030A5F" w:rsidRPr="00E05550" w:rsidRDefault="00030A5F" w:rsidP="00030A5F">
      <w:pPr>
        <w:pStyle w:val="References"/>
      </w:pPr>
      <w:r>
        <w:t xml:space="preserve">Homer C, Cheah S, Rossiter C, Dahlen H, Ellwood D, </w:t>
      </w:r>
      <w:proofErr w:type="spellStart"/>
      <w:r>
        <w:t>Foureur</w:t>
      </w:r>
      <w:proofErr w:type="spellEnd"/>
      <w:r>
        <w:t xml:space="preserve"> M, Forster D, McLachlan H, Oats J, </w:t>
      </w:r>
      <w:proofErr w:type="spellStart"/>
      <w:r>
        <w:t>Sibbritt</w:t>
      </w:r>
      <w:proofErr w:type="spellEnd"/>
      <w:r>
        <w:t xml:space="preserve"> D, Thornton C, Scarf V. 2019. Maternal and perinatal outcomes by planned place of birth in Australia 2000-2012: a linked population data study. </w:t>
      </w:r>
      <w:r w:rsidRPr="00F163A1">
        <w:rPr>
          <w:i/>
        </w:rPr>
        <w:t>BMJ</w:t>
      </w:r>
      <w:r>
        <w:t xml:space="preserve"> </w:t>
      </w:r>
      <w:r w:rsidRPr="00F163A1">
        <w:rPr>
          <w:i/>
        </w:rPr>
        <w:t>Open.</w:t>
      </w:r>
      <w:r>
        <w:t xml:space="preserve"> 9(10): e029192.DOI:10.1136/bmjopen-2019-029192. (accessed 13 July 2020).</w:t>
      </w:r>
    </w:p>
    <w:p w14:paraId="6EC5E474" w14:textId="77777777" w:rsidR="00030A5F" w:rsidRPr="00E05550" w:rsidRDefault="00030A5F" w:rsidP="00030A5F">
      <w:pPr>
        <w:pStyle w:val="References"/>
      </w:pPr>
      <w:r w:rsidRPr="00E05550">
        <w:t xml:space="preserve">Jordan S, Emery S, Bradshaw C, et al. 2005. The impact of intrapartum analgesia on infant feeding. </w:t>
      </w:r>
      <w:r w:rsidRPr="00AC6F79">
        <w:rPr>
          <w:i/>
        </w:rPr>
        <w:t>British Journal of Obstetrics &amp; Gynaecology</w:t>
      </w:r>
      <w:r w:rsidRPr="00E05550">
        <w:t xml:space="preserve"> 112: 927–34. DOI: 10.1111/j.1471-0528.2005. 00548.x (accessed 22 October 2015).</w:t>
      </w:r>
    </w:p>
    <w:p w14:paraId="38DA2CAE" w14:textId="77777777" w:rsidR="00030A5F" w:rsidRPr="00E05550" w:rsidRDefault="00030A5F" w:rsidP="00030A5F">
      <w:pPr>
        <w:pStyle w:val="References"/>
      </w:pPr>
      <w:bookmarkStart w:id="110" w:name="_Hlk45793148"/>
      <w:r>
        <w:t xml:space="preserve">Li J, </w:t>
      </w:r>
      <w:proofErr w:type="spellStart"/>
      <w:r>
        <w:t>Dizzell</w:t>
      </w:r>
      <w:proofErr w:type="spellEnd"/>
      <w:r>
        <w:t xml:space="preserve"> S, Jones S, Kanji S, Lau J, Mousseau A, Yousuf E, Holloway A, Ratcliffe E, Stearns J, Morrison K, Hutton E. 2019. Early life exposures and the development of the infant gut microbiome: A Review. </w:t>
      </w:r>
      <w:r w:rsidRPr="00F163A1">
        <w:rPr>
          <w:i/>
        </w:rPr>
        <w:t>Canadian Journal of Midwifery Research and Practice.</w:t>
      </w:r>
      <w:r>
        <w:t xml:space="preserve"> (18)2: 8-24. </w:t>
      </w:r>
      <w:bookmarkEnd w:id="110"/>
      <w:r>
        <w:t>(accessed 13 July 2020).</w:t>
      </w:r>
    </w:p>
    <w:p w14:paraId="02059A3C" w14:textId="1A97623C" w:rsidR="005B3412" w:rsidRPr="00967A1B" w:rsidRDefault="00030A5F" w:rsidP="00030A5F">
      <w:pPr>
        <w:pStyle w:val="References"/>
        <w:rPr>
          <w:rStyle w:val="Hyperlink"/>
        </w:rPr>
      </w:pPr>
      <w:r w:rsidRPr="00F163A1">
        <w:lastRenderedPageBreak/>
        <w:t xml:space="preserve">Ministry of Health. </w:t>
      </w:r>
      <w:r w:rsidR="00CC1E91">
        <w:t>2020</w:t>
      </w:r>
      <w:r w:rsidRPr="00F163A1">
        <w:t xml:space="preserve">. </w:t>
      </w:r>
      <w:r w:rsidR="00A84BD7">
        <w:t>National Breastfeeding Strategy for New Zealand Aotearoa/</w:t>
      </w:r>
      <w:proofErr w:type="spellStart"/>
      <w:r w:rsidR="00A84BD7">
        <w:t>Rautaki</w:t>
      </w:r>
      <w:proofErr w:type="spellEnd"/>
      <w:r w:rsidR="00A84BD7">
        <w:t xml:space="preserve"> </w:t>
      </w:r>
      <w:proofErr w:type="spellStart"/>
      <w:r w:rsidR="00A84BD7">
        <w:t>Whakamana</w:t>
      </w:r>
      <w:proofErr w:type="spellEnd"/>
      <w:r w:rsidR="00A84BD7">
        <w:t xml:space="preserve"> </w:t>
      </w:r>
      <w:proofErr w:type="spellStart"/>
      <w:r w:rsidR="00A84BD7">
        <w:t>Whāngote</w:t>
      </w:r>
      <w:proofErr w:type="spellEnd"/>
      <w:r w:rsidR="00A84BD7">
        <w:t>.</w:t>
      </w:r>
      <w:r w:rsidR="005B3412" w:rsidRPr="005B3412">
        <w:t xml:space="preserve"> </w:t>
      </w:r>
      <w:r w:rsidR="00967A1B">
        <w:rPr>
          <w:b/>
          <w:bCs/>
        </w:rPr>
        <w:fldChar w:fldCharType="begin"/>
      </w:r>
      <w:r w:rsidR="00967A1B">
        <w:rPr>
          <w:b/>
          <w:bCs/>
        </w:rPr>
        <w:instrText xml:space="preserve"> HYPERLINK "http://www.health.govt.nz/our-work/life-stages/breastfeeding/national-breastfeeding-strategy-new-zealand-aotearoa-rautaki-whakamana-whangote" </w:instrText>
      </w:r>
      <w:r w:rsidR="00967A1B">
        <w:rPr>
          <w:b/>
          <w:bCs/>
        </w:rPr>
      </w:r>
      <w:r w:rsidR="00967A1B">
        <w:rPr>
          <w:b/>
          <w:bCs/>
        </w:rPr>
        <w:fldChar w:fldCharType="separate"/>
      </w:r>
      <w:r w:rsidR="00967A1B" w:rsidRPr="00967A1B">
        <w:rPr>
          <w:rStyle w:val="Hyperlink"/>
          <w:bCs/>
        </w:rPr>
        <w:t>www.health.govt.nz/our-work/life-stages/breastfeeding/national-breastfeeding-strategy-new-zealand-aotearoa-rautaki-whakamana-whangote</w:t>
      </w:r>
    </w:p>
    <w:p w14:paraId="4A682B04" w14:textId="35E5E2EC" w:rsidR="00A2058B" w:rsidRDefault="00967A1B" w:rsidP="00030A5F">
      <w:pPr>
        <w:pStyle w:val="References"/>
      </w:pPr>
      <w:r>
        <w:rPr>
          <w:b/>
          <w:bCs/>
        </w:rPr>
        <w:fldChar w:fldCharType="end"/>
      </w:r>
      <w:r w:rsidR="00A2058B" w:rsidRPr="00A2058B">
        <w:t xml:space="preserve">Ministry of Health. 2021. </w:t>
      </w:r>
      <w:r w:rsidR="00A2058B" w:rsidRPr="00A2058B">
        <w:rPr>
          <w:i/>
          <w:iCs/>
        </w:rPr>
        <w:t>Primary Maternity Services Notice 2021 Pursuant to Section 88 of the New Zealand and Public Health and Disability Act 2000</w:t>
      </w:r>
      <w:r w:rsidR="00A2058B" w:rsidRPr="00A2058B">
        <w:t>. Wellington: Ministry of Health</w:t>
      </w:r>
      <w:r w:rsidR="00380126">
        <w:t>.</w:t>
      </w:r>
    </w:p>
    <w:p w14:paraId="457A93D0" w14:textId="77777777" w:rsidR="00030A5F" w:rsidRPr="00E05550" w:rsidRDefault="00030A5F" w:rsidP="00030A5F">
      <w:pPr>
        <w:pStyle w:val="References"/>
      </w:pPr>
      <w:r w:rsidRPr="00F163A1">
        <w:t xml:space="preserve">Ministry of Health. 2017. </w:t>
      </w:r>
      <w:r w:rsidRPr="00F163A1">
        <w:rPr>
          <w:i/>
        </w:rPr>
        <w:t>Ethnicity Data Protocols</w:t>
      </w:r>
      <w:r w:rsidRPr="00F163A1">
        <w:t>. Wellington: Ministry of Health.</w:t>
      </w:r>
    </w:p>
    <w:p w14:paraId="0A8574F2" w14:textId="38876BF4" w:rsidR="00030A5F" w:rsidRPr="00F163A1" w:rsidRDefault="00030A5F" w:rsidP="00030A5F">
      <w:pPr>
        <w:pStyle w:val="References"/>
      </w:pPr>
      <w:r w:rsidRPr="00F163A1">
        <w:t xml:space="preserve">Ministry of Health. 2012. </w:t>
      </w:r>
      <w:r w:rsidRPr="00F163A1">
        <w:rPr>
          <w:i/>
        </w:rPr>
        <w:t>Guidelines for Consultation with Obstetric and Related Medical Services (Referral Guidelines)</w:t>
      </w:r>
      <w:r w:rsidRPr="00F163A1">
        <w:t>. Wellington: Ministry of Health</w:t>
      </w:r>
    </w:p>
    <w:p w14:paraId="3CE42E59" w14:textId="77777777" w:rsidR="00030A5F" w:rsidRPr="00F163A1" w:rsidRDefault="00030A5F" w:rsidP="00030A5F">
      <w:pPr>
        <w:pStyle w:val="References"/>
      </w:pPr>
      <w:r w:rsidRPr="00F163A1">
        <w:t xml:space="preserve">NICE. 2014. </w:t>
      </w:r>
      <w:r w:rsidRPr="00F163A1">
        <w:rPr>
          <w:i/>
        </w:rPr>
        <w:t>Intrapartum Care: Care of healthy women and their babies during childbirth (NICE clinical guideline 190)</w:t>
      </w:r>
      <w:r w:rsidRPr="00F163A1">
        <w:t>. London: National Institute of Health and Care Excellence.</w:t>
      </w:r>
    </w:p>
    <w:p w14:paraId="18D2DC49" w14:textId="77777777" w:rsidR="00030A5F" w:rsidRPr="00F163A1" w:rsidRDefault="00030A5F" w:rsidP="00030A5F">
      <w:pPr>
        <w:pStyle w:val="References"/>
      </w:pPr>
      <w:r w:rsidRPr="00F163A1">
        <w:t xml:space="preserve">OECD. 2019. Caesarean sections. In: </w:t>
      </w:r>
      <w:r w:rsidRPr="00F163A1">
        <w:rPr>
          <w:i/>
        </w:rPr>
        <w:t xml:space="preserve">Health </w:t>
      </w:r>
      <w:proofErr w:type="gramStart"/>
      <w:r w:rsidRPr="00F163A1">
        <w:rPr>
          <w:i/>
        </w:rPr>
        <w:t>at a Glance</w:t>
      </w:r>
      <w:proofErr w:type="gramEnd"/>
      <w:r w:rsidRPr="00F163A1">
        <w:rPr>
          <w:i/>
        </w:rPr>
        <w:t xml:space="preserve"> 2019: OECD Indicators</w:t>
      </w:r>
      <w:r w:rsidRPr="00F163A1">
        <w:t>. OECD Publishing.</w:t>
      </w:r>
    </w:p>
    <w:p w14:paraId="6C5988BA" w14:textId="77777777" w:rsidR="00030A5F" w:rsidRPr="00F163A1" w:rsidRDefault="00030A5F" w:rsidP="00030A5F">
      <w:pPr>
        <w:pStyle w:val="References"/>
      </w:pPr>
      <w:r w:rsidRPr="00F163A1">
        <w:t xml:space="preserve">Redshaw M, </w:t>
      </w:r>
      <w:proofErr w:type="spellStart"/>
      <w:r w:rsidRPr="00F163A1">
        <w:t>Hennergan</w:t>
      </w:r>
      <w:proofErr w:type="spellEnd"/>
      <w:r w:rsidRPr="00F163A1">
        <w:t xml:space="preserve"> H, Kruske S. 2014. Holding the baby: Early mother-infant contact after childbirth</w:t>
      </w:r>
      <w:r w:rsidRPr="00265C59">
        <w:rPr>
          <w:i/>
        </w:rPr>
        <w:t>. Midwifery.</w:t>
      </w:r>
      <w:r w:rsidRPr="00F163A1">
        <w:t xml:space="preserve"> 30: e177-e187. (accessed 13 July 2020)</w:t>
      </w:r>
    </w:p>
    <w:p w14:paraId="2908BFC5" w14:textId="77777777" w:rsidR="00030A5F" w:rsidRPr="00F163A1" w:rsidRDefault="00030A5F" w:rsidP="00030A5F">
      <w:pPr>
        <w:pStyle w:val="References"/>
      </w:pPr>
      <w:r w:rsidRPr="00F163A1">
        <w:t xml:space="preserve">WHO. 1975. </w:t>
      </w:r>
      <w:r w:rsidRPr="00F163A1">
        <w:rPr>
          <w:i/>
        </w:rPr>
        <w:t>International Classification of Diseases (Volume 1): 1975 revision</w:t>
      </w:r>
      <w:r w:rsidRPr="00F163A1">
        <w:t>. Geneva: World Health Organization.</w:t>
      </w:r>
    </w:p>
    <w:p w14:paraId="4FB1BFC8" w14:textId="77777777" w:rsidR="00030A5F" w:rsidRPr="00F163A1" w:rsidRDefault="00030A5F" w:rsidP="00030A5F">
      <w:pPr>
        <w:pStyle w:val="References"/>
      </w:pPr>
      <w:r w:rsidRPr="00F163A1">
        <w:t xml:space="preserve">WHO. 2005. </w:t>
      </w:r>
      <w:r w:rsidRPr="00F163A1">
        <w:rPr>
          <w:i/>
        </w:rPr>
        <w:t>Maternal and Newborn Health in the WHO European Region: The challenges and the way forward: Fact sheet EURO/03/05</w:t>
      </w:r>
      <w:r w:rsidRPr="00F163A1">
        <w:t>. Copenhagen: World Health Organization.</w:t>
      </w:r>
    </w:p>
    <w:p w14:paraId="711745FA" w14:textId="77777777" w:rsidR="00030A5F" w:rsidRPr="00F163A1" w:rsidRDefault="00030A5F" w:rsidP="00030A5F">
      <w:pPr>
        <w:pStyle w:val="References"/>
      </w:pPr>
      <w:r w:rsidRPr="00F163A1">
        <w:t xml:space="preserve">United Nations Children’s Fund (UNICEF), World Health Organisation (WHO) 2019. UNICEF-WHO </w:t>
      </w:r>
      <w:r w:rsidRPr="00F163A1">
        <w:rPr>
          <w:i/>
        </w:rPr>
        <w:t>Low Birthweight estimates: Levels and Trends 2000-2015.</w:t>
      </w:r>
      <w:r w:rsidRPr="00F163A1">
        <w:t>Geneva: World Health Organization.</w:t>
      </w:r>
    </w:p>
    <w:p w14:paraId="24E47E5C" w14:textId="77777777" w:rsidR="00686C9E" w:rsidRPr="00AF16D8" w:rsidRDefault="00686C9E" w:rsidP="00686C9E">
      <w:pPr>
        <w:rPr>
          <w:highlight w:val="yellow"/>
        </w:rPr>
      </w:pPr>
    </w:p>
    <w:p w14:paraId="6CD050AF" w14:textId="77777777" w:rsidR="00686C9E" w:rsidRDefault="00686C9E" w:rsidP="00AC6F79">
      <w:pPr>
        <w:pStyle w:val="Heading1"/>
      </w:pPr>
      <w:bookmarkStart w:id="111" w:name="_Ref413143428"/>
      <w:bookmarkStart w:id="112" w:name="_Toc431462740"/>
      <w:bookmarkStart w:id="113" w:name="_Toc479583278"/>
      <w:bookmarkStart w:id="114" w:name="_Toc485542646"/>
      <w:bookmarkStart w:id="115" w:name="_Toc165466923"/>
      <w:r w:rsidRPr="00C87FBC">
        <w:lastRenderedPageBreak/>
        <w:t>Glossary</w:t>
      </w:r>
      <w:bookmarkEnd w:id="107"/>
      <w:bookmarkEnd w:id="108"/>
      <w:bookmarkEnd w:id="109"/>
      <w:bookmarkEnd w:id="111"/>
      <w:bookmarkEnd w:id="112"/>
      <w:bookmarkEnd w:id="113"/>
      <w:bookmarkEnd w:id="114"/>
      <w:bookmarkEnd w:id="115"/>
    </w:p>
    <w:tbl>
      <w:tblPr>
        <w:tblW w:w="8330" w:type="dxa"/>
        <w:tblLayout w:type="fixed"/>
        <w:tblLook w:val="0420" w:firstRow="1" w:lastRow="0" w:firstColumn="0" w:lastColumn="0" w:noHBand="0" w:noVBand="1"/>
      </w:tblPr>
      <w:tblGrid>
        <w:gridCol w:w="2376"/>
        <w:gridCol w:w="5954"/>
      </w:tblGrid>
      <w:tr w:rsidR="00686C9E" w:rsidRPr="00AC6F79" w14:paraId="74F39F24" w14:textId="77777777" w:rsidTr="00AC6F79">
        <w:trPr>
          <w:cantSplit/>
          <w:tblHeader/>
        </w:trPr>
        <w:tc>
          <w:tcPr>
            <w:tcW w:w="2376" w:type="dxa"/>
          </w:tcPr>
          <w:p w14:paraId="0EB42B6F" w14:textId="77777777" w:rsidR="00686C9E" w:rsidRPr="00AC6F79" w:rsidRDefault="00686C9E" w:rsidP="00AC6F79">
            <w:pPr>
              <w:rPr>
                <w:rFonts w:cs="Segoe UI"/>
                <w:b/>
                <w:sz w:val="20"/>
              </w:rPr>
            </w:pPr>
            <w:r w:rsidRPr="00AC6F79">
              <w:rPr>
                <w:rFonts w:cs="Segoe UI"/>
                <w:b/>
                <w:sz w:val="20"/>
              </w:rPr>
              <w:t>Term</w:t>
            </w:r>
          </w:p>
        </w:tc>
        <w:tc>
          <w:tcPr>
            <w:tcW w:w="5954" w:type="dxa"/>
          </w:tcPr>
          <w:p w14:paraId="30F2FD7E" w14:textId="77777777" w:rsidR="00686C9E" w:rsidRPr="00AC6F79" w:rsidRDefault="00686C9E" w:rsidP="00AC6F79">
            <w:pPr>
              <w:rPr>
                <w:rFonts w:cs="Segoe UI"/>
                <w:b/>
                <w:sz w:val="20"/>
              </w:rPr>
            </w:pPr>
            <w:r w:rsidRPr="00AC6F79">
              <w:rPr>
                <w:rFonts w:cs="Segoe UI"/>
                <w:b/>
                <w:sz w:val="20"/>
              </w:rPr>
              <w:t>Definition</w:t>
            </w:r>
          </w:p>
        </w:tc>
      </w:tr>
      <w:tr w:rsidR="00030A5F" w:rsidRPr="00C87FBC" w14:paraId="10311BBD" w14:textId="77777777" w:rsidTr="00AC6F79">
        <w:trPr>
          <w:cantSplit/>
        </w:trPr>
        <w:tc>
          <w:tcPr>
            <w:tcW w:w="2376" w:type="dxa"/>
          </w:tcPr>
          <w:p w14:paraId="412D1626" w14:textId="77777777" w:rsidR="00030A5F" w:rsidRPr="00AC6F79" w:rsidRDefault="00030A5F" w:rsidP="00030A5F">
            <w:pPr>
              <w:spacing w:before="120"/>
              <w:rPr>
                <w:rFonts w:cs="Segoe UI"/>
                <w:sz w:val="20"/>
              </w:rPr>
            </w:pPr>
            <w:r w:rsidRPr="00AC6F79">
              <w:rPr>
                <w:rFonts w:cs="Segoe UI"/>
                <w:sz w:val="20"/>
              </w:rPr>
              <w:t>Artificially fed</w:t>
            </w:r>
          </w:p>
        </w:tc>
        <w:tc>
          <w:tcPr>
            <w:tcW w:w="5954" w:type="dxa"/>
          </w:tcPr>
          <w:p w14:paraId="79B78332" w14:textId="77777777" w:rsidR="00030A5F" w:rsidRPr="00AC6F79" w:rsidRDefault="00030A5F" w:rsidP="00030A5F">
            <w:pPr>
              <w:spacing w:before="120"/>
              <w:rPr>
                <w:rFonts w:cs="Segoe UI"/>
                <w:sz w:val="20"/>
              </w:rPr>
            </w:pPr>
            <w:r w:rsidRPr="00AC6F79">
              <w:rPr>
                <w:rFonts w:cs="Segoe UI"/>
                <w:sz w:val="20"/>
              </w:rPr>
              <w:t>A newborn who has had no breast milk but has had alternative liquid such as infant formula with or without solid food in the past 48 hours.</w:t>
            </w:r>
          </w:p>
        </w:tc>
      </w:tr>
      <w:tr w:rsidR="00030A5F" w:rsidRPr="00C87FBC" w14:paraId="1CA4B7AC" w14:textId="77777777" w:rsidTr="00AC6F79">
        <w:trPr>
          <w:cantSplit/>
        </w:trPr>
        <w:tc>
          <w:tcPr>
            <w:tcW w:w="2376" w:type="dxa"/>
          </w:tcPr>
          <w:p w14:paraId="4701DDD4" w14:textId="77777777" w:rsidR="00030A5F" w:rsidRPr="00AC6F79" w:rsidRDefault="00030A5F" w:rsidP="00030A5F">
            <w:pPr>
              <w:spacing w:before="120"/>
              <w:rPr>
                <w:rFonts w:cs="Segoe UI"/>
                <w:sz w:val="20"/>
              </w:rPr>
            </w:pPr>
            <w:r w:rsidRPr="00AC6F79">
              <w:rPr>
                <w:rFonts w:cs="Segoe UI"/>
                <w:sz w:val="20"/>
              </w:rPr>
              <w:t>Assisted birth</w:t>
            </w:r>
          </w:p>
        </w:tc>
        <w:tc>
          <w:tcPr>
            <w:tcW w:w="5954" w:type="dxa"/>
          </w:tcPr>
          <w:p w14:paraId="2DA7E263" w14:textId="177917EA" w:rsidR="00030A5F" w:rsidRPr="00AC6F79" w:rsidRDefault="00030A5F" w:rsidP="00030A5F">
            <w:pPr>
              <w:spacing w:before="120"/>
              <w:rPr>
                <w:rFonts w:cs="Segoe UI"/>
                <w:sz w:val="20"/>
              </w:rPr>
            </w:pPr>
            <w:r w:rsidRPr="00AC6F79">
              <w:rPr>
                <w:rFonts w:cs="Segoe UI"/>
                <w:sz w:val="20"/>
              </w:rPr>
              <w:t>A</w:t>
            </w:r>
            <w:r w:rsidR="00AA588B">
              <w:rPr>
                <w:rFonts w:cs="Segoe UI"/>
                <w:sz w:val="20"/>
              </w:rPr>
              <w:t>n assisted</w:t>
            </w:r>
            <w:r w:rsidRPr="00AC6F79">
              <w:rPr>
                <w:rFonts w:cs="Segoe UI"/>
                <w:sz w:val="20"/>
              </w:rPr>
              <w:t xml:space="preserve"> vaginal birth</w:t>
            </w:r>
            <w:r w:rsidR="00AA588B">
              <w:rPr>
                <w:rFonts w:cs="Segoe UI"/>
                <w:sz w:val="20"/>
              </w:rPr>
              <w:t>. I</w:t>
            </w:r>
            <w:r w:rsidRPr="00AC6F79">
              <w:rPr>
                <w:rFonts w:cs="Segoe UI"/>
                <w:sz w:val="20"/>
              </w:rPr>
              <w:t>nclud</w:t>
            </w:r>
            <w:r w:rsidR="00AA588B">
              <w:rPr>
                <w:rFonts w:cs="Segoe UI"/>
                <w:sz w:val="20"/>
              </w:rPr>
              <w:t>es</w:t>
            </w:r>
            <w:r w:rsidRPr="00AC6F79">
              <w:rPr>
                <w:rFonts w:cs="Segoe UI"/>
                <w:sz w:val="20"/>
              </w:rPr>
              <w:t xml:space="preserve"> </w:t>
            </w:r>
            <w:r w:rsidR="00AA588B">
              <w:rPr>
                <w:rFonts w:cs="Segoe UI"/>
                <w:sz w:val="20"/>
              </w:rPr>
              <w:t xml:space="preserve">assisted </w:t>
            </w:r>
            <w:r w:rsidRPr="00AC6F79">
              <w:rPr>
                <w:rFonts w:cs="Segoe UI"/>
                <w:sz w:val="20"/>
              </w:rPr>
              <w:t>breech birth</w:t>
            </w:r>
            <w:r w:rsidR="00B71EDD">
              <w:rPr>
                <w:rFonts w:cs="Segoe UI"/>
                <w:sz w:val="20"/>
              </w:rPr>
              <w:t xml:space="preserve">. </w:t>
            </w:r>
            <w:r w:rsidR="00AA588B">
              <w:rPr>
                <w:rFonts w:cs="Segoe UI"/>
                <w:sz w:val="20"/>
              </w:rPr>
              <w:t xml:space="preserve"> </w:t>
            </w:r>
          </w:p>
        </w:tc>
      </w:tr>
      <w:tr w:rsidR="003E6864" w:rsidRPr="00C87FBC" w14:paraId="7092D19D" w14:textId="77777777" w:rsidTr="00AC6F79">
        <w:trPr>
          <w:cantSplit/>
        </w:trPr>
        <w:tc>
          <w:tcPr>
            <w:tcW w:w="2376" w:type="dxa"/>
          </w:tcPr>
          <w:p w14:paraId="07FD2595" w14:textId="77777777" w:rsidR="003E6864" w:rsidRPr="00AC6F79" w:rsidRDefault="003E6864" w:rsidP="003E6864">
            <w:pPr>
              <w:spacing w:before="120"/>
              <w:rPr>
                <w:rFonts w:cs="Segoe UI"/>
                <w:sz w:val="20"/>
              </w:rPr>
            </w:pPr>
            <w:r w:rsidRPr="00AC6F79">
              <w:rPr>
                <w:rFonts w:cs="Segoe UI"/>
                <w:sz w:val="20"/>
              </w:rPr>
              <w:t>Assisted breech birth</w:t>
            </w:r>
          </w:p>
        </w:tc>
        <w:tc>
          <w:tcPr>
            <w:tcW w:w="5954" w:type="dxa"/>
          </w:tcPr>
          <w:p w14:paraId="1597833F" w14:textId="77777777" w:rsidR="003E6864" w:rsidRPr="00AC6F79" w:rsidRDefault="003E6864" w:rsidP="003E6864">
            <w:pPr>
              <w:spacing w:before="120"/>
              <w:rPr>
                <w:rFonts w:cs="Segoe UI"/>
                <w:i/>
                <w:sz w:val="20"/>
              </w:rPr>
            </w:pPr>
            <w:r w:rsidRPr="00AC6F79">
              <w:rPr>
                <w:rFonts w:cs="Segoe UI"/>
                <w:sz w:val="20"/>
              </w:rPr>
              <w:t xml:space="preserve">An assisted vaginal birth in which a baby being born feet or buttocks first is delivered spontaneously as far as its umbilicus and is then extracted. It may include the use of forceps. See also </w:t>
            </w:r>
            <w:r w:rsidRPr="00AC6F79">
              <w:rPr>
                <w:rFonts w:cs="Segoe UI"/>
                <w:i/>
                <w:sz w:val="20"/>
              </w:rPr>
              <w:t>Assisted birth</w:t>
            </w:r>
            <w:r w:rsidRPr="00AC6F79">
              <w:rPr>
                <w:rFonts w:cs="Segoe UI"/>
                <w:sz w:val="20"/>
              </w:rPr>
              <w:t xml:space="preserve">; </w:t>
            </w:r>
            <w:r w:rsidRPr="00AC6F79">
              <w:rPr>
                <w:rFonts w:cs="Segoe UI"/>
                <w:i/>
                <w:sz w:val="20"/>
              </w:rPr>
              <w:t>Breech birth</w:t>
            </w:r>
            <w:r w:rsidRPr="00AC6F79">
              <w:rPr>
                <w:rFonts w:cs="Segoe UI"/>
                <w:sz w:val="20"/>
              </w:rPr>
              <w:t>.</w:t>
            </w:r>
          </w:p>
        </w:tc>
      </w:tr>
      <w:tr w:rsidR="003E6864" w:rsidRPr="00C87FBC" w14:paraId="489E7882" w14:textId="77777777" w:rsidTr="00AC6F79">
        <w:trPr>
          <w:cantSplit/>
        </w:trPr>
        <w:tc>
          <w:tcPr>
            <w:tcW w:w="2376" w:type="dxa"/>
          </w:tcPr>
          <w:p w14:paraId="4B806A0C" w14:textId="77777777" w:rsidR="003E6864" w:rsidRPr="00AC6F79" w:rsidRDefault="003E6864" w:rsidP="003E6864">
            <w:pPr>
              <w:spacing w:before="120"/>
              <w:rPr>
                <w:rFonts w:cs="Segoe UI"/>
                <w:sz w:val="20"/>
              </w:rPr>
            </w:pPr>
            <w:r w:rsidRPr="00AC6F79">
              <w:rPr>
                <w:rFonts w:cs="Segoe UI"/>
                <w:sz w:val="20"/>
              </w:rPr>
              <w:t>Augmentation (of labour)</w:t>
            </w:r>
          </w:p>
        </w:tc>
        <w:tc>
          <w:tcPr>
            <w:tcW w:w="5954" w:type="dxa"/>
          </w:tcPr>
          <w:p w14:paraId="18712B7F" w14:textId="77777777" w:rsidR="003E6864" w:rsidRPr="00AC6F79" w:rsidRDefault="003E6864" w:rsidP="003E6864">
            <w:pPr>
              <w:spacing w:before="120"/>
              <w:rPr>
                <w:rFonts w:cs="Segoe UI"/>
                <w:sz w:val="20"/>
              </w:rPr>
            </w:pPr>
            <w:r w:rsidRPr="00AC6F79">
              <w:rPr>
                <w:rFonts w:cs="Segoe UI"/>
                <w:sz w:val="20"/>
              </w:rPr>
              <w:t>The process of stimulating the uterus to increase the frequency, duration and intensity of contractions after the onset of spontaneous labour by artificial rupture of membranes or pharmacological means.</w:t>
            </w:r>
          </w:p>
        </w:tc>
      </w:tr>
      <w:tr w:rsidR="003E6864" w:rsidRPr="00C87FBC" w14:paraId="2767A993" w14:textId="77777777" w:rsidTr="00AC6F79">
        <w:trPr>
          <w:cantSplit/>
        </w:trPr>
        <w:tc>
          <w:tcPr>
            <w:tcW w:w="2376" w:type="dxa"/>
          </w:tcPr>
          <w:p w14:paraId="0281F71C" w14:textId="77777777" w:rsidR="003E6864" w:rsidRPr="00AC6F79" w:rsidRDefault="003E6864" w:rsidP="003E6864">
            <w:pPr>
              <w:spacing w:before="120"/>
              <w:rPr>
                <w:rFonts w:cs="Segoe UI"/>
                <w:sz w:val="20"/>
              </w:rPr>
            </w:pPr>
            <w:r w:rsidRPr="00AC6F79">
              <w:rPr>
                <w:rFonts w:cs="Segoe UI"/>
                <w:sz w:val="20"/>
              </w:rPr>
              <w:t>Birth</w:t>
            </w:r>
          </w:p>
        </w:tc>
        <w:tc>
          <w:tcPr>
            <w:tcW w:w="5954" w:type="dxa"/>
          </w:tcPr>
          <w:p w14:paraId="4EF1A584" w14:textId="77777777" w:rsidR="003E6864" w:rsidRPr="00AC6F79" w:rsidRDefault="003E6864" w:rsidP="003E6864">
            <w:pPr>
              <w:spacing w:before="120"/>
              <w:rPr>
                <w:rFonts w:cs="Segoe UI"/>
                <w:sz w:val="20"/>
              </w:rPr>
            </w:pPr>
            <w:r w:rsidRPr="00AC6F79">
              <w:rPr>
                <w:rFonts w:cs="Segoe UI"/>
                <w:sz w:val="20"/>
              </w:rPr>
              <w:t xml:space="preserve">The delivery of a live-born or stillborn baby (or babies, in the case of a twin/multiple birth). See also </w:t>
            </w:r>
            <w:r w:rsidRPr="00AC6F79">
              <w:rPr>
                <w:rFonts w:cs="Segoe UI"/>
                <w:i/>
                <w:sz w:val="20"/>
              </w:rPr>
              <w:t>Live-born baby</w:t>
            </w:r>
            <w:r w:rsidRPr="00AC6F79">
              <w:rPr>
                <w:rFonts w:cs="Segoe UI"/>
                <w:sz w:val="20"/>
              </w:rPr>
              <w:t>;</w:t>
            </w:r>
            <w:r w:rsidRPr="00AC6F79">
              <w:rPr>
                <w:rFonts w:cs="Segoe UI"/>
                <w:i/>
                <w:sz w:val="20"/>
              </w:rPr>
              <w:t xml:space="preserve"> Stillborn baby</w:t>
            </w:r>
            <w:r w:rsidRPr="00AC6F79">
              <w:rPr>
                <w:rFonts w:cs="Segoe UI"/>
                <w:sz w:val="20"/>
              </w:rPr>
              <w:t>.</w:t>
            </w:r>
          </w:p>
        </w:tc>
      </w:tr>
      <w:tr w:rsidR="003E6864" w:rsidRPr="00C87FBC" w14:paraId="1256C1DB" w14:textId="77777777" w:rsidTr="00AC6F79">
        <w:trPr>
          <w:cantSplit/>
        </w:trPr>
        <w:tc>
          <w:tcPr>
            <w:tcW w:w="2376" w:type="dxa"/>
          </w:tcPr>
          <w:p w14:paraId="4EE1371B" w14:textId="77777777" w:rsidR="003E6864" w:rsidRPr="00AC6F79" w:rsidRDefault="003E6864" w:rsidP="003E6864">
            <w:pPr>
              <w:spacing w:before="120"/>
              <w:rPr>
                <w:rFonts w:cs="Segoe UI"/>
                <w:sz w:val="20"/>
              </w:rPr>
            </w:pPr>
            <w:r w:rsidRPr="00AC6F79">
              <w:rPr>
                <w:rFonts w:cs="Segoe UI"/>
                <w:sz w:val="20"/>
              </w:rPr>
              <w:t>Birth rate</w:t>
            </w:r>
          </w:p>
        </w:tc>
        <w:tc>
          <w:tcPr>
            <w:tcW w:w="5954" w:type="dxa"/>
          </w:tcPr>
          <w:p w14:paraId="310BE452" w14:textId="77777777" w:rsidR="003E6864" w:rsidRPr="00AC6F79" w:rsidRDefault="003E6864" w:rsidP="003E6864">
            <w:pPr>
              <w:spacing w:before="120"/>
              <w:rPr>
                <w:rFonts w:cs="Segoe UI"/>
                <w:sz w:val="20"/>
              </w:rPr>
            </w:pPr>
            <w:r w:rsidRPr="00AC6F79">
              <w:rPr>
                <w:rFonts w:cs="Segoe UI"/>
                <w:noProof/>
                <w:sz w:val="20"/>
                <w:lang w:eastAsia="en-NZ"/>
              </w:rPr>
              <w:drawing>
                <wp:inline distT="0" distB="0" distL="0" distR="0" wp14:anchorId="080531AA" wp14:editId="4A4F0AF1">
                  <wp:extent cx="3324225" cy="390525"/>
                  <wp:effectExtent l="0" t="0" r="9525" b="9525"/>
                  <wp:docPr id="64" name="Picture 64" descr="Number of women giving birth / female population of reproductive age * 100" title="Birth rate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24225" cy="390525"/>
                          </a:xfrm>
                          <a:prstGeom prst="rect">
                            <a:avLst/>
                          </a:prstGeom>
                          <a:noFill/>
                          <a:ln>
                            <a:noFill/>
                          </a:ln>
                        </pic:spPr>
                      </pic:pic>
                    </a:graphicData>
                  </a:graphic>
                </wp:inline>
              </w:drawing>
            </w:r>
          </w:p>
          <w:p w14:paraId="3042EBA4" w14:textId="77777777" w:rsidR="003E6864" w:rsidRPr="00AC6F79" w:rsidRDefault="003E6864" w:rsidP="003E6864">
            <w:pPr>
              <w:spacing w:before="120"/>
              <w:rPr>
                <w:rFonts w:cs="Segoe UI"/>
                <w:sz w:val="20"/>
              </w:rPr>
            </w:pPr>
            <w:r w:rsidRPr="00AC6F79">
              <w:rPr>
                <w:rFonts w:cs="Segoe UI"/>
                <w:sz w:val="20"/>
              </w:rPr>
              <w:t xml:space="preserve">See also </w:t>
            </w:r>
            <w:r w:rsidRPr="00AC6F79">
              <w:rPr>
                <w:rFonts w:cs="Segoe UI"/>
                <w:i/>
                <w:sz w:val="20"/>
              </w:rPr>
              <w:t>Reproductive age</w:t>
            </w:r>
            <w:r w:rsidRPr="00AC6F79">
              <w:rPr>
                <w:rFonts w:cs="Segoe UI"/>
                <w:sz w:val="20"/>
              </w:rPr>
              <w:t>.</w:t>
            </w:r>
          </w:p>
        </w:tc>
      </w:tr>
      <w:tr w:rsidR="003E6864" w:rsidRPr="00C87FBC" w14:paraId="30BBA51A" w14:textId="77777777" w:rsidTr="00AC6F79">
        <w:trPr>
          <w:cantSplit/>
        </w:trPr>
        <w:tc>
          <w:tcPr>
            <w:tcW w:w="2376" w:type="dxa"/>
          </w:tcPr>
          <w:p w14:paraId="2557A8C8" w14:textId="77777777" w:rsidR="003E6864" w:rsidRPr="00AC6F79" w:rsidRDefault="003E6864" w:rsidP="003E6864">
            <w:pPr>
              <w:spacing w:before="120"/>
              <w:rPr>
                <w:rFonts w:cs="Segoe UI"/>
                <w:sz w:val="20"/>
              </w:rPr>
            </w:pPr>
            <w:r w:rsidRPr="00AC6F79">
              <w:rPr>
                <w:rFonts w:cs="Segoe UI"/>
                <w:sz w:val="20"/>
              </w:rPr>
              <w:t>Birthweight</w:t>
            </w:r>
          </w:p>
        </w:tc>
        <w:tc>
          <w:tcPr>
            <w:tcW w:w="5954" w:type="dxa"/>
          </w:tcPr>
          <w:p w14:paraId="2EF2B94E" w14:textId="77777777" w:rsidR="003E6864" w:rsidRPr="00AC6F79" w:rsidRDefault="003E6864" w:rsidP="003E6864">
            <w:pPr>
              <w:spacing w:before="120"/>
              <w:rPr>
                <w:rFonts w:cs="Segoe UI"/>
                <w:sz w:val="20"/>
              </w:rPr>
            </w:pPr>
            <w:r w:rsidRPr="00AC6F79">
              <w:rPr>
                <w:rFonts w:cs="Segoe UI"/>
                <w:sz w:val="20"/>
              </w:rPr>
              <w:t xml:space="preserve">The first weight of the </w:t>
            </w:r>
            <w:proofErr w:type="spellStart"/>
            <w:r w:rsidRPr="00AC6F79">
              <w:rPr>
                <w:rFonts w:cs="Segoe UI"/>
                <w:sz w:val="20"/>
              </w:rPr>
              <w:t>fetus</w:t>
            </w:r>
            <w:proofErr w:type="spellEnd"/>
            <w:r w:rsidRPr="00AC6F79">
              <w:rPr>
                <w:rFonts w:cs="Segoe UI"/>
                <w:sz w:val="20"/>
              </w:rPr>
              <w:t xml:space="preserve"> or newborn obtained after birth, preferably measured within the first hour of life before significant postnatal weight loss has occurred (WHO 1975).</w:t>
            </w:r>
          </w:p>
        </w:tc>
      </w:tr>
      <w:tr w:rsidR="003E6864" w:rsidRPr="00C87FBC" w14:paraId="298D18EB" w14:textId="77777777" w:rsidTr="00AC6F79">
        <w:trPr>
          <w:cantSplit/>
        </w:trPr>
        <w:tc>
          <w:tcPr>
            <w:tcW w:w="2376" w:type="dxa"/>
          </w:tcPr>
          <w:p w14:paraId="29B9A007" w14:textId="77777777" w:rsidR="003E6864" w:rsidRPr="00AC6F79" w:rsidRDefault="003E6864" w:rsidP="003E6864">
            <w:pPr>
              <w:spacing w:before="120"/>
              <w:rPr>
                <w:rFonts w:cs="Segoe UI"/>
                <w:sz w:val="20"/>
              </w:rPr>
            </w:pPr>
            <w:r w:rsidRPr="00AC6F79">
              <w:rPr>
                <w:rFonts w:cs="Segoe UI"/>
                <w:sz w:val="20"/>
              </w:rPr>
              <w:t>Breastfed, exclusive</w:t>
            </w:r>
          </w:p>
        </w:tc>
        <w:tc>
          <w:tcPr>
            <w:tcW w:w="5954" w:type="dxa"/>
          </w:tcPr>
          <w:p w14:paraId="513CEE41" w14:textId="1CC10F98" w:rsidR="003E6864" w:rsidRPr="00AC6F79" w:rsidRDefault="003E6864" w:rsidP="003E6864">
            <w:pPr>
              <w:spacing w:before="120"/>
              <w:rPr>
                <w:rFonts w:cs="Segoe UI"/>
                <w:sz w:val="20"/>
              </w:rPr>
            </w:pPr>
            <w:r w:rsidRPr="00AC6F79">
              <w:rPr>
                <w:rFonts w:cs="Segoe UI"/>
                <w:sz w:val="20"/>
              </w:rPr>
              <w:t xml:space="preserve">An infant who has never, to the </w:t>
            </w:r>
            <w:r w:rsidR="008C756F">
              <w:rPr>
                <w:rFonts w:cs="Segoe UI"/>
                <w:sz w:val="20"/>
              </w:rPr>
              <w:t>parent</w:t>
            </w:r>
            <w:r w:rsidRPr="00AC6F79">
              <w:rPr>
                <w:rFonts w:cs="Segoe UI"/>
                <w:sz w:val="20"/>
              </w:rPr>
              <w:t>’s knowledge, had any water, formula or other liquid or solid food. Only breast milk (from the breast or expressed) and prescribed medicines (defined in the Medicines Act 1981) have been given to the baby from birth.</w:t>
            </w:r>
          </w:p>
        </w:tc>
      </w:tr>
      <w:tr w:rsidR="003E6864" w:rsidRPr="00C87FBC" w14:paraId="57A90DE3" w14:textId="77777777" w:rsidTr="00AC6F79">
        <w:trPr>
          <w:cantSplit/>
        </w:trPr>
        <w:tc>
          <w:tcPr>
            <w:tcW w:w="2376" w:type="dxa"/>
          </w:tcPr>
          <w:p w14:paraId="2501B907" w14:textId="77777777" w:rsidR="003E6864" w:rsidRPr="00AC6F79" w:rsidRDefault="003E6864" w:rsidP="003E6864">
            <w:pPr>
              <w:spacing w:before="120"/>
              <w:rPr>
                <w:rFonts w:cs="Segoe UI"/>
                <w:sz w:val="20"/>
              </w:rPr>
            </w:pPr>
            <w:r w:rsidRPr="00AC6F79">
              <w:rPr>
                <w:rFonts w:cs="Segoe UI"/>
                <w:sz w:val="20"/>
              </w:rPr>
              <w:t>Breastfed, fully</w:t>
            </w:r>
          </w:p>
        </w:tc>
        <w:tc>
          <w:tcPr>
            <w:tcW w:w="5954" w:type="dxa"/>
          </w:tcPr>
          <w:p w14:paraId="4E240A39" w14:textId="77777777" w:rsidR="003E6864" w:rsidRPr="00AC6F79" w:rsidRDefault="003E6864" w:rsidP="003E6864">
            <w:pPr>
              <w:spacing w:before="120"/>
              <w:rPr>
                <w:rFonts w:cs="Segoe UI"/>
                <w:sz w:val="20"/>
              </w:rPr>
            </w:pPr>
            <w:r w:rsidRPr="00AC6F79">
              <w:rPr>
                <w:rFonts w:cs="Segoe UI"/>
                <w:sz w:val="20"/>
              </w:rPr>
              <w:t>An infant who has taken breast milk only, and no other liquids or solids except a minimal amount of water or prescribed medicines, in the past 48 hours.</w:t>
            </w:r>
          </w:p>
        </w:tc>
      </w:tr>
      <w:tr w:rsidR="003E6864" w:rsidRPr="00C87FBC" w14:paraId="52327034" w14:textId="77777777" w:rsidTr="00AC6F79">
        <w:trPr>
          <w:cantSplit/>
        </w:trPr>
        <w:tc>
          <w:tcPr>
            <w:tcW w:w="2376" w:type="dxa"/>
          </w:tcPr>
          <w:p w14:paraId="0B86ADDC" w14:textId="77777777" w:rsidR="003E6864" w:rsidRPr="00AC6F79" w:rsidRDefault="003E6864" w:rsidP="003E6864">
            <w:pPr>
              <w:spacing w:before="120"/>
              <w:rPr>
                <w:rFonts w:cs="Segoe UI"/>
                <w:sz w:val="20"/>
              </w:rPr>
            </w:pPr>
            <w:r w:rsidRPr="00AC6F79">
              <w:rPr>
                <w:rFonts w:cs="Segoe UI"/>
                <w:sz w:val="20"/>
              </w:rPr>
              <w:t>Breastfed, partial</w:t>
            </w:r>
          </w:p>
        </w:tc>
        <w:tc>
          <w:tcPr>
            <w:tcW w:w="5954" w:type="dxa"/>
          </w:tcPr>
          <w:p w14:paraId="48C89615" w14:textId="77777777" w:rsidR="003E6864" w:rsidRPr="00AC6F79" w:rsidRDefault="003E6864" w:rsidP="003E6864">
            <w:pPr>
              <w:spacing w:before="120"/>
              <w:rPr>
                <w:rFonts w:cs="Segoe UI"/>
                <w:sz w:val="20"/>
              </w:rPr>
            </w:pPr>
            <w:r w:rsidRPr="00AC6F79">
              <w:rPr>
                <w:rFonts w:cs="Segoe UI"/>
                <w:sz w:val="20"/>
              </w:rPr>
              <w:t>An infant who has taken some breast milk and some infant formula or other solid food in the past 48 hours.</w:t>
            </w:r>
          </w:p>
        </w:tc>
      </w:tr>
      <w:tr w:rsidR="003E6864" w:rsidRPr="00C87FBC" w14:paraId="2553FB0E" w14:textId="77777777" w:rsidTr="00AC6F79">
        <w:trPr>
          <w:cantSplit/>
        </w:trPr>
        <w:tc>
          <w:tcPr>
            <w:tcW w:w="2376" w:type="dxa"/>
          </w:tcPr>
          <w:p w14:paraId="74076D27" w14:textId="77777777" w:rsidR="003E6864" w:rsidRPr="00AC6F79" w:rsidRDefault="003E6864" w:rsidP="003E6864">
            <w:pPr>
              <w:spacing w:before="120"/>
              <w:rPr>
                <w:rFonts w:cs="Segoe UI"/>
                <w:sz w:val="20"/>
              </w:rPr>
            </w:pPr>
            <w:r w:rsidRPr="00AC6F79">
              <w:rPr>
                <w:rFonts w:cs="Segoe UI"/>
                <w:sz w:val="20"/>
              </w:rPr>
              <w:t>Breech birth</w:t>
            </w:r>
          </w:p>
        </w:tc>
        <w:tc>
          <w:tcPr>
            <w:tcW w:w="5954" w:type="dxa"/>
          </w:tcPr>
          <w:p w14:paraId="5BF37172" w14:textId="77777777" w:rsidR="003E6864" w:rsidRPr="00AC6F79" w:rsidRDefault="003E6864" w:rsidP="003E6864">
            <w:pPr>
              <w:spacing w:before="120"/>
              <w:rPr>
                <w:rFonts w:cs="Segoe UI"/>
                <w:sz w:val="20"/>
              </w:rPr>
            </w:pPr>
            <w:r w:rsidRPr="00AC6F79">
              <w:rPr>
                <w:rFonts w:cs="Segoe UI"/>
                <w:sz w:val="20"/>
              </w:rPr>
              <w:t>A vaginal birth of a baby by the buttocks or lower limbs first rather than the head. May be spontaneous or assisted.</w:t>
            </w:r>
          </w:p>
        </w:tc>
      </w:tr>
      <w:tr w:rsidR="003E6864" w:rsidRPr="00C87FBC" w14:paraId="6EB1ED9F" w14:textId="77777777" w:rsidTr="00AC6F79">
        <w:trPr>
          <w:cantSplit/>
        </w:trPr>
        <w:tc>
          <w:tcPr>
            <w:tcW w:w="2376" w:type="dxa"/>
          </w:tcPr>
          <w:p w14:paraId="21D31D5B" w14:textId="77777777" w:rsidR="003E6864" w:rsidRPr="00AC6F79" w:rsidRDefault="003E6864" w:rsidP="003E6864">
            <w:pPr>
              <w:spacing w:before="120"/>
              <w:rPr>
                <w:rFonts w:cs="Segoe UI"/>
                <w:sz w:val="20"/>
              </w:rPr>
            </w:pPr>
            <w:r w:rsidRPr="00AC6F79">
              <w:rPr>
                <w:rFonts w:cs="Segoe UI"/>
                <w:sz w:val="20"/>
              </w:rPr>
              <w:t>Breech extraction</w:t>
            </w:r>
          </w:p>
        </w:tc>
        <w:tc>
          <w:tcPr>
            <w:tcW w:w="5954" w:type="dxa"/>
          </w:tcPr>
          <w:p w14:paraId="3B19FAA9" w14:textId="75187E2C" w:rsidR="003E6864" w:rsidRPr="00AC6F79" w:rsidRDefault="003E6864" w:rsidP="003E6864">
            <w:pPr>
              <w:spacing w:before="120"/>
              <w:rPr>
                <w:rFonts w:cs="Segoe UI"/>
                <w:sz w:val="20"/>
              </w:rPr>
            </w:pPr>
            <w:r w:rsidRPr="00AC6F79">
              <w:rPr>
                <w:rFonts w:cs="Segoe UI"/>
                <w:sz w:val="20"/>
              </w:rPr>
              <w:t xml:space="preserve">An assisted vaginal birth performed by grasping the baby’s feet or buttocks before any part of the trunk is born and delivering by traction. It may include the use of forceps. See also </w:t>
            </w:r>
            <w:r w:rsidRPr="00AC6F79">
              <w:rPr>
                <w:rFonts w:cs="Segoe UI"/>
                <w:i/>
                <w:sz w:val="20"/>
              </w:rPr>
              <w:t>Assisted</w:t>
            </w:r>
            <w:r w:rsidR="0021268B">
              <w:rPr>
                <w:rFonts w:cs="Segoe UI"/>
                <w:i/>
                <w:sz w:val="20"/>
              </w:rPr>
              <w:t xml:space="preserve"> breech</w:t>
            </w:r>
            <w:r w:rsidRPr="00AC6F79">
              <w:rPr>
                <w:rFonts w:cs="Segoe UI"/>
                <w:i/>
                <w:sz w:val="20"/>
              </w:rPr>
              <w:t xml:space="preserve"> birth</w:t>
            </w:r>
            <w:r w:rsidRPr="00AC6F79">
              <w:rPr>
                <w:rFonts w:cs="Segoe UI"/>
                <w:sz w:val="20"/>
              </w:rPr>
              <w:t xml:space="preserve">; </w:t>
            </w:r>
            <w:r w:rsidRPr="00AC6F79">
              <w:rPr>
                <w:rFonts w:cs="Segoe UI"/>
                <w:i/>
                <w:sz w:val="20"/>
              </w:rPr>
              <w:t>Breech birth</w:t>
            </w:r>
            <w:r w:rsidRPr="00AC6F79">
              <w:rPr>
                <w:rFonts w:cs="Segoe UI"/>
                <w:sz w:val="20"/>
              </w:rPr>
              <w:t>.</w:t>
            </w:r>
          </w:p>
        </w:tc>
      </w:tr>
      <w:tr w:rsidR="003E6864" w:rsidRPr="00AF16D8" w14:paraId="367757FE" w14:textId="77777777" w:rsidTr="00AC6F79">
        <w:trPr>
          <w:cantSplit/>
        </w:trPr>
        <w:tc>
          <w:tcPr>
            <w:tcW w:w="2376" w:type="dxa"/>
          </w:tcPr>
          <w:p w14:paraId="3AF5F0DC" w14:textId="77777777" w:rsidR="003E6864" w:rsidRPr="00AC6F79" w:rsidRDefault="003E6864" w:rsidP="003E6864">
            <w:pPr>
              <w:spacing w:before="120"/>
              <w:rPr>
                <w:rFonts w:cs="Segoe UI"/>
                <w:sz w:val="20"/>
              </w:rPr>
            </w:pPr>
            <w:r w:rsidRPr="00AC6F79">
              <w:rPr>
                <w:rFonts w:cs="Segoe UI"/>
                <w:sz w:val="20"/>
              </w:rPr>
              <w:t>Caesarean section</w:t>
            </w:r>
          </w:p>
        </w:tc>
        <w:tc>
          <w:tcPr>
            <w:tcW w:w="5954" w:type="dxa"/>
          </w:tcPr>
          <w:p w14:paraId="08260AC2" w14:textId="77777777" w:rsidR="003E6864" w:rsidRPr="00AC6F79" w:rsidRDefault="003E6864" w:rsidP="003E6864">
            <w:pPr>
              <w:spacing w:before="120"/>
              <w:rPr>
                <w:rFonts w:cs="Segoe UI"/>
                <w:sz w:val="20"/>
              </w:rPr>
            </w:pPr>
            <w:r w:rsidRPr="00AC6F79">
              <w:rPr>
                <w:rFonts w:cs="Segoe UI"/>
                <w:sz w:val="20"/>
              </w:rPr>
              <w:t>An operative delivery through an abdominal incision.</w:t>
            </w:r>
          </w:p>
        </w:tc>
      </w:tr>
      <w:tr w:rsidR="003E6864" w:rsidRPr="00AF16D8" w14:paraId="0F56282E" w14:textId="77777777" w:rsidTr="00AC6F79">
        <w:trPr>
          <w:cantSplit/>
        </w:trPr>
        <w:tc>
          <w:tcPr>
            <w:tcW w:w="2376" w:type="dxa"/>
          </w:tcPr>
          <w:p w14:paraId="1B7788DD" w14:textId="77777777" w:rsidR="003E6864" w:rsidRPr="00AC6F79" w:rsidRDefault="003E6864" w:rsidP="003E6864">
            <w:pPr>
              <w:spacing w:before="120"/>
              <w:rPr>
                <w:rFonts w:cs="Segoe UI"/>
                <w:sz w:val="20"/>
              </w:rPr>
            </w:pPr>
            <w:r w:rsidRPr="00AC6F79">
              <w:rPr>
                <w:rFonts w:cs="Segoe UI"/>
                <w:sz w:val="20"/>
              </w:rPr>
              <w:lastRenderedPageBreak/>
              <w:t>Confidence interval</w:t>
            </w:r>
          </w:p>
        </w:tc>
        <w:tc>
          <w:tcPr>
            <w:tcW w:w="5954" w:type="dxa"/>
          </w:tcPr>
          <w:p w14:paraId="53CA34BD" w14:textId="77777777" w:rsidR="003E6864" w:rsidRPr="00AC6F79" w:rsidRDefault="003E6864" w:rsidP="003E6864">
            <w:pPr>
              <w:spacing w:before="120"/>
              <w:rPr>
                <w:rFonts w:cs="Segoe UI"/>
                <w:sz w:val="20"/>
              </w:rPr>
            </w:pPr>
            <w:r w:rsidRPr="00AC6F79">
              <w:rPr>
                <w:rFonts w:cs="Segoe UI"/>
                <w:sz w:val="20"/>
              </w:rPr>
              <w:t>A range of values used to describe the uncertainty around a single value, used to estimate the true value in a population. Confidence intervals describe how different an estimate could have been if chance had led to a different set of data.</w:t>
            </w:r>
          </w:p>
        </w:tc>
      </w:tr>
      <w:tr w:rsidR="003E6864" w:rsidRPr="00AF16D8" w14:paraId="0B728E41" w14:textId="77777777" w:rsidTr="00AC6F79">
        <w:trPr>
          <w:cantSplit/>
        </w:trPr>
        <w:tc>
          <w:tcPr>
            <w:tcW w:w="2376" w:type="dxa"/>
          </w:tcPr>
          <w:p w14:paraId="7750274D" w14:textId="77777777" w:rsidR="003E6864" w:rsidRPr="00AC6F79" w:rsidRDefault="003E6864" w:rsidP="003E6864">
            <w:pPr>
              <w:spacing w:before="120"/>
              <w:rPr>
                <w:rFonts w:cs="Segoe UI"/>
                <w:sz w:val="20"/>
              </w:rPr>
            </w:pPr>
            <w:r w:rsidRPr="00AC6F79">
              <w:rPr>
                <w:rFonts w:cs="Segoe UI"/>
                <w:sz w:val="20"/>
              </w:rPr>
              <w:t>Denominator</w:t>
            </w:r>
          </w:p>
        </w:tc>
        <w:tc>
          <w:tcPr>
            <w:tcW w:w="5954" w:type="dxa"/>
          </w:tcPr>
          <w:p w14:paraId="5900B6D2" w14:textId="77777777" w:rsidR="003E6864" w:rsidRPr="00AC6F79" w:rsidRDefault="003E6864" w:rsidP="003E6864">
            <w:pPr>
              <w:spacing w:before="120"/>
              <w:rPr>
                <w:rFonts w:cs="Segoe UI"/>
                <w:i/>
                <w:sz w:val="20"/>
              </w:rPr>
            </w:pPr>
            <w:r w:rsidRPr="00AC6F79">
              <w:rPr>
                <w:rFonts w:cs="Segoe UI"/>
                <w:sz w:val="20"/>
              </w:rPr>
              <w:t>The number that appears at the bottom of a fraction, used to calculate proportions. See also</w:t>
            </w:r>
            <w:r w:rsidRPr="00AC6F79">
              <w:rPr>
                <w:rFonts w:cs="Segoe UI"/>
                <w:i/>
                <w:sz w:val="20"/>
              </w:rPr>
              <w:t xml:space="preserve"> Proportion</w:t>
            </w:r>
            <w:r w:rsidRPr="00AC6F79">
              <w:rPr>
                <w:rFonts w:cs="Segoe UI"/>
                <w:sz w:val="20"/>
              </w:rPr>
              <w:t>.</w:t>
            </w:r>
          </w:p>
        </w:tc>
      </w:tr>
      <w:tr w:rsidR="003E6864" w:rsidRPr="00AF16D8" w14:paraId="1C0C25C2" w14:textId="77777777" w:rsidTr="00AC6F79">
        <w:trPr>
          <w:cantSplit/>
        </w:trPr>
        <w:tc>
          <w:tcPr>
            <w:tcW w:w="2376" w:type="dxa"/>
          </w:tcPr>
          <w:p w14:paraId="44C7FFAC" w14:textId="77777777" w:rsidR="003E6864" w:rsidRPr="00AC6F79" w:rsidRDefault="003E6864" w:rsidP="003E6864">
            <w:pPr>
              <w:spacing w:before="120"/>
              <w:rPr>
                <w:rFonts w:cs="Segoe UI"/>
                <w:sz w:val="20"/>
              </w:rPr>
            </w:pPr>
            <w:r w:rsidRPr="00AC6F79">
              <w:rPr>
                <w:rFonts w:cs="Segoe UI"/>
                <w:sz w:val="20"/>
              </w:rPr>
              <w:t>Deprivation quintile</w:t>
            </w:r>
          </w:p>
        </w:tc>
        <w:tc>
          <w:tcPr>
            <w:tcW w:w="5954" w:type="dxa"/>
          </w:tcPr>
          <w:p w14:paraId="47A83BD5" w14:textId="52986CDD" w:rsidR="003E6864" w:rsidRPr="00AC6F79" w:rsidRDefault="003E6864" w:rsidP="003E6864">
            <w:pPr>
              <w:spacing w:before="120"/>
              <w:rPr>
                <w:rFonts w:cs="Segoe UI"/>
                <w:sz w:val="20"/>
              </w:rPr>
            </w:pPr>
            <w:r w:rsidRPr="00AC6F79">
              <w:rPr>
                <w:rFonts w:cs="Segoe UI"/>
                <w:sz w:val="20"/>
              </w:rPr>
              <w:t xml:space="preserve">A measure of </w:t>
            </w:r>
            <w:r w:rsidR="002868D5">
              <w:rPr>
                <w:rFonts w:cs="Segoe UI"/>
                <w:sz w:val="20"/>
              </w:rPr>
              <w:t>deprivation</w:t>
            </w:r>
            <w:r w:rsidRPr="00AC6F79">
              <w:rPr>
                <w:rFonts w:cs="Segoe UI"/>
                <w:sz w:val="20"/>
              </w:rPr>
              <w:t xml:space="preserve"> derived from the 2006</w:t>
            </w:r>
            <w:r w:rsidR="002868D5">
              <w:rPr>
                <w:rFonts w:cs="Segoe UI"/>
                <w:sz w:val="20"/>
              </w:rPr>
              <w:t xml:space="preserve">, </w:t>
            </w:r>
            <w:r w:rsidRPr="00AC6F79">
              <w:rPr>
                <w:rFonts w:cs="Segoe UI"/>
                <w:sz w:val="20"/>
              </w:rPr>
              <w:t>2013</w:t>
            </w:r>
            <w:r w:rsidR="002868D5">
              <w:rPr>
                <w:rFonts w:cs="Segoe UI"/>
                <w:sz w:val="20"/>
              </w:rPr>
              <w:t xml:space="preserve"> or 2018</w:t>
            </w:r>
            <w:r w:rsidRPr="00AC6F79">
              <w:rPr>
                <w:rFonts w:cs="Segoe UI"/>
                <w:sz w:val="20"/>
              </w:rPr>
              <w:t xml:space="preserve"> </w:t>
            </w:r>
            <w:r w:rsidR="002868D5">
              <w:rPr>
                <w:rFonts w:cs="Segoe UI"/>
                <w:sz w:val="20"/>
              </w:rPr>
              <w:t>indexes of socioeconomic d</w:t>
            </w:r>
            <w:r w:rsidRPr="00AC6F79">
              <w:rPr>
                <w:rFonts w:cs="Segoe UI"/>
                <w:sz w:val="20"/>
              </w:rPr>
              <w:t>eprivation. The measure is calculated for small geographical units, which are then built up to the relevant geographic scale using weighted average ‘usually resident population’ counts from the Census. Deprivation quintiles of residence range from 1 (least deprived) to 5 (most deprived). Approximately equal numbers of the total population reside in areas associated with each of the quintiles.</w:t>
            </w:r>
          </w:p>
        </w:tc>
      </w:tr>
      <w:tr w:rsidR="003E6864" w:rsidRPr="00AF16D8" w14:paraId="18D58990" w14:textId="77777777" w:rsidTr="00AC6F79">
        <w:trPr>
          <w:cantSplit/>
        </w:trPr>
        <w:tc>
          <w:tcPr>
            <w:tcW w:w="2376" w:type="dxa"/>
          </w:tcPr>
          <w:p w14:paraId="191152FA" w14:textId="608A197C" w:rsidR="003E6864" w:rsidRPr="00AC6F79" w:rsidRDefault="00AC5C03" w:rsidP="003E6864">
            <w:pPr>
              <w:spacing w:before="120"/>
              <w:rPr>
                <w:rFonts w:cs="Segoe UI"/>
                <w:sz w:val="20"/>
              </w:rPr>
            </w:pPr>
            <w:r>
              <w:rPr>
                <w:rFonts w:cs="Segoe UI"/>
                <w:sz w:val="20"/>
              </w:rPr>
              <w:t>District/</w:t>
            </w:r>
            <w:r w:rsidR="003E6864" w:rsidRPr="00AC6F79">
              <w:rPr>
                <w:rFonts w:cs="Segoe UI"/>
                <w:sz w:val="20"/>
              </w:rPr>
              <w:t>District health board (DHB)</w:t>
            </w:r>
          </w:p>
        </w:tc>
        <w:tc>
          <w:tcPr>
            <w:tcW w:w="5954" w:type="dxa"/>
          </w:tcPr>
          <w:p w14:paraId="48A90FF2" w14:textId="0AB8599E" w:rsidR="003E6864" w:rsidRPr="00AC6F79" w:rsidRDefault="00582929" w:rsidP="003E6864">
            <w:pPr>
              <w:spacing w:before="120"/>
              <w:rPr>
                <w:rFonts w:cs="Segoe UI"/>
                <w:sz w:val="20"/>
              </w:rPr>
            </w:pPr>
            <w:r>
              <w:rPr>
                <w:rFonts w:cs="Segoe UI"/>
                <w:sz w:val="20"/>
              </w:rPr>
              <w:t xml:space="preserve">Up to 30 June 2022, DHBs were </w:t>
            </w:r>
            <w:r w:rsidR="003E6864" w:rsidRPr="00AC6F79">
              <w:rPr>
                <w:rFonts w:cs="Segoe UI"/>
                <w:sz w:val="20"/>
              </w:rPr>
              <w:t>organisation</w:t>
            </w:r>
            <w:r>
              <w:rPr>
                <w:rFonts w:cs="Segoe UI"/>
                <w:sz w:val="20"/>
              </w:rPr>
              <w:t>s</w:t>
            </w:r>
            <w:r w:rsidR="003E6864" w:rsidRPr="00AC6F79">
              <w:rPr>
                <w:rFonts w:cs="Segoe UI"/>
                <w:sz w:val="20"/>
              </w:rPr>
              <w:t xml:space="preserve"> established under Section 19 of the New Zealand Public Health and Disability Act 2000, acting within a defined geographic region.</w:t>
            </w:r>
            <w:r>
              <w:rPr>
                <w:rFonts w:cs="Segoe UI"/>
                <w:sz w:val="20"/>
              </w:rPr>
              <w:t xml:space="preserve"> From 1 July 2022, DHBs were abolished </w:t>
            </w:r>
            <w:r w:rsidR="00A71DC2">
              <w:rPr>
                <w:rFonts w:cs="Segoe UI"/>
                <w:sz w:val="20"/>
              </w:rPr>
              <w:t xml:space="preserve">under the health system reforms </w:t>
            </w:r>
            <w:r>
              <w:rPr>
                <w:rFonts w:cs="Segoe UI"/>
                <w:sz w:val="20"/>
              </w:rPr>
              <w:t xml:space="preserve">and </w:t>
            </w:r>
            <w:r w:rsidR="00A71DC2">
              <w:rPr>
                <w:rFonts w:cs="Segoe UI"/>
                <w:sz w:val="20"/>
              </w:rPr>
              <w:t xml:space="preserve">are </w:t>
            </w:r>
            <w:r>
              <w:rPr>
                <w:rFonts w:cs="Segoe UI"/>
                <w:sz w:val="20"/>
              </w:rPr>
              <w:t xml:space="preserve">now referred to as districts. </w:t>
            </w:r>
          </w:p>
        </w:tc>
      </w:tr>
      <w:tr w:rsidR="003E6864" w:rsidRPr="00AF16D8" w14:paraId="49E4C3E7" w14:textId="77777777" w:rsidTr="00AC6F79">
        <w:trPr>
          <w:cantSplit/>
        </w:trPr>
        <w:tc>
          <w:tcPr>
            <w:tcW w:w="2376" w:type="dxa"/>
          </w:tcPr>
          <w:p w14:paraId="530B1A33" w14:textId="77777777" w:rsidR="003E6864" w:rsidRPr="00AC6F79" w:rsidRDefault="003E6864" w:rsidP="003E6864">
            <w:pPr>
              <w:spacing w:before="120"/>
              <w:rPr>
                <w:rFonts w:cs="Segoe UI"/>
                <w:sz w:val="20"/>
              </w:rPr>
            </w:pPr>
            <w:r w:rsidRPr="00AC6F79">
              <w:rPr>
                <w:rFonts w:cs="Segoe UI"/>
                <w:sz w:val="20"/>
              </w:rPr>
              <w:t>Domicile code</w:t>
            </w:r>
          </w:p>
        </w:tc>
        <w:tc>
          <w:tcPr>
            <w:tcW w:w="5954" w:type="dxa"/>
          </w:tcPr>
          <w:p w14:paraId="6BF8FBE7" w14:textId="28D0E109" w:rsidR="003E6864" w:rsidRPr="00AC6F79" w:rsidRDefault="003E6864" w:rsidP="003E6864">
            <w:pPr>
              <w:spacing w:before="120"/>
              <w:rPr>
                <w:rFonts w:cs="Segoe UI"/>
                <w:sz w:val="20"/>
              </w:rPr>
            </w:pPr>
            <w:r w:rsidRPr="00AC6F79">
              <w:rPr>
                <w:rFonts w:cs="Segoe UI"/>
                <w:sz w:val="20"/>
              </w:rPr>
              <w:t xml:space="preserve">A code representing the usual residential address of the </w:t>
            </w:r>
            <w:r w:rsidR="00977C87">
              <w:rPr>
                <w:rFonts w:cs="Segoe UI"/>
                <w:sz w:val="20"/>
              </w:rPr>
              <w:t>person</w:t>
            </w:r>
            <w:r w:rsidRPr="00AC6F79">
              <w:rPr>
                <w:rFonts w:cs="Segoe UI"/>
                <w:sz w:val="20"/>
              </w:rPr>
              <w:t xml:space="preserve"> giving birth or the live-born baby.</w:t>
            </w:r>
          </w:p>
        </w:tc>
      </w:tr>
      <w:tr w:rsidR="003E6864" w:rsidRPr="00AF16D8" w14:paraId="76C7EC43" w14:textId="77777777" w:rsidTr="00AC6F79">
        <w:trPr>
          <w:cantSplit/>
        </w:trPr>
        <w:tc>
          <w:tcPr>
            <w:tcW w:w="2376" w:type="dxa"/>
          </w:tcPr>
          <w:p w14:paraId="683C5FD7" w14:textId="77777777" w:rsidR="003E6864" w:rsidRPr="00AC6F79" w:rsidRDefault="003E6864" w:rsidP="003E6864">
            <w:pPr>
              <w:spacing w:before="120"/>
              <w:rPr>
                <w:rFonts w:cs="Segoe UI"/>
                <w:sz w:val="20"/>
              </w:rPr>
            </w:pPr>
            <w:r w:rsidRPr="00AC6F79">
              <w:rPr>
                <w:rFonts w:cs="Segoe UI"/>
                <w:sz w:val="20"/>
              </w:rPr>
              <w:t>Elective caesarean section</w:t>
            </w:r>
          </w:p>
        </w:tc>
        <w:tc>
          <w:tcPr>
            <w:tcW w:w="5954" w:type="dxa"/>
          </w:tcPr>
          <w:p w14:paraId="6F359CA9" w14:textId="77777777" w:rsidR="003E6864" w:rsidRPr="00AC6F79" w:rsidRDefault="003E6864" w:rsidP="003E6864">
            <w:pPr>
              <w:spacing w:before="120"/>
              <w:rPr>
                <w:rFonts w:cs="Segoe UI"/>
                <w:sz w:val="20"/>
              </w:rPr>
            </w:pPr>
            <w:r w:rsidRPr="00AC6F79">
              <w:rPr>
                <w:rFonts w:cs="Segoe UI"/>
                <w:sz w:val="20"/>
              </w:rPr>
              <w:t xml:space="preserve">A caesarean section performed as a planned procedure before or following the onset of labour, where the decision to have a caesarean section was made before labour. See also </w:t>
            </w:r>
            <w:r w:rsidRPr="00AC6F79">
              <w:rPr>
                <w:rFonts w:cs="Segoe UI"/>
                <w:i/>
                <w:sz w:val="20"/>
              </w:rPr>
              <w:t>Caesarean section</w:t>
            </w:r>
            <w:r w:rsidRPr="00AC6F79">
              <w:rPr>
                <w:rFonts w:cs="Segoe UI"/>
                <w:sz w:val="20"/>
              </w:rPr>
              <w:t>.</w:t>
            </w:r>
          </w:p>
        </w:tc>
      </w:tr>
      <w:tr w:rsidR="003E6864" w:rsidRPr="00AF16D8" w14:paraId="5A40371C" w14:textId="77777777" w:rsidTr="00AC6F79">
        <w:trPr>
          <w:cantSplit/>
        </w:trPr>
        <w:tc>
          <w:tcPr>
            <w:tcW w:w="2376" w:type="dxa"/>
          </w:tcPr>
          <w:p w14:paraId="6EBFC3B1" w14:textId="77777777" w:rsidR="003E6864" w:rsidRPr="00AC6F79" w:rsidRDefault="003E6864" w:rsidP="003E6864">
            <w:pPr>
              <w:spacing w:before="120"/>
              <w:rPr>
                <w:rFonts w:cs="Segoe UI"/>
                <w:sz w:val="20"/>
              </w:rPr>
            </w:pPr>
            <w:r w:rsidRPr="00AC6F79">
              <w:rPr>
                <w:rFonts w:cs="Segoe UI"/>
                <w:sz w:val="20"/>
              </w:rPr>
              <w:t>Emergency caesarean section</w:t>
            </w:r>
          </w:p>
        </w:tc>
        <w:tc>
          <w:tcPr>
            <w:tcW w:w="5954" w:type="dxa"/>
          </w:tcPr>
          <w:p w14:paraId="4DC35928" w14:textId="77777777" w:rsidR="003E6864" w:rsidRPr="00AC6F79" w:rsidRDefault="003E6864" w:rsidP="003E6864">
            <w:pPr>
              <w:spacing w:before="120"/>
              <w:rPr>
                <w:rFonts w:cs="Segoe UI"/>
                <w:sz w:val="20"/>
              </w:rPr>
            </w:pPr>
            <w:r w:rsidRPr="00AC6F79">
              <w:rPr>
                <w:rFonts w:cs="Segoe UI"/>
                <w:sz w:val="20"/>
              </w:rPr>
              <w:t xml:space="preserve">A caesarean section performed urgently once labour has started. See also </w:t>
            </w:r>
            <w:r w:rsidRPr="00AC6F79">
              <w:rPr>
                <w:rFonts w:cs="Segoe UI"/>
                <w:i/>
                <w:sz w:val="20"/>
              </w:rPr>
              <w:t>Caesarean section</w:t>
            </w:r>
            <w:r w:rsidRPr="00AC6F79">
              <w:rPr>
                <w:rFonts w:cs="Segoe UI"/>
                <w:sz w:val="20"/>
              </w:rPr>
              <w:t>.</w:t>
            </w:r>
          </w:p>
        </w:tc>
      </w:tr>
      <w:tr w:rsidR="003E6864" w:rsidRPr="00AF16D8" w14:paraId="42EE10E4" w14:textId="77777777" w:rsidTr="00AC6F79">
        <w:trPr>
          <w:cantSplit/>
        </w:trPr>
        <w:tc>
          <w:tcPr>
            <w:tcW w:w="2376" w:type="dxa"/>
          </w:tcPr>
          <w:p w14:paraId="6C8F165E" w14:textId="77777777" w:rsidR="003E6864" w:rsidRPr="00AC6F79" w:rsidRDefault="003E6864" w:rsidP="003E6864">
            <w:pPr>
              <w:spacing w:before="120"/>
              <w:rPr>
                <w:rFonts w:cs="Segoe UI"/>
                <w:sz w:val="20"/>
              </w:rPr>
            </w:pPr>
            <w:r w:rsidRPr="00AC6F79">
              <w:rPr>
                <w:rFonts w:cs="Segoe UI"/>
                <w:sz w:val="20"/>
              </w:rPr>
              <w:t>Epidural</w:t>
            </w:r>
          </w:p>
        </w:tc>
        <w:tc>
          <w:tcPr>
            <w:tcW w:w="5954" w:type="dxa"/>
          </w:tcPr>
          <w:p w14:paraId="485A1540" w14:textId="77777777" w:rsidR="003E6864" w:rsidRPr="00AC6F79" w:rsidRDefault="003E6864" w:rsidP="003E6864">
            <w:pPr>
              <w:spacing w:before="120"/>
              <w:rPr>
                <w:rFonts w:cs="Segoe UI"/>
                <w:sz w:val="20"/>
              </w:rPr>
            </w:pPr>
            <w:r w:rsidRPr="00AC6F79">
              <w:rPr>
                <w:rFonts w:cs="Segoe UI"/>
                <w:sz w:val="20"/>
              </w:rPr>
              <w:t>A regional analgesic agent injected into the epidural space of the spinal cord.</w:t>
            </w:r>
          </w:p>
        </w:tc>
      </w:tr>
      <w:tr w:rsidR="003E6864" w:rsidRPr="00AF16D8" w14:paraId="6B258ACE" w14:textId="77777777" w:rsidTr="00AC6F79">
        <w:trPr>
          <w:cantSplit/>
        </w:trPr>
        <w:tc>
          <w:tcPr>
            <w:tcW w:w="2376" w:type="dxa"/>
          </w:tcPr>
          <w:p w14:paraId="420AD019" w14:textId="77777777" w:rsidR="003E6864" w:rsidRPr="00AC6F79" w:rsidRDefault="003E6864" w:rsidP="003E6864">
            <w:pPr>
              <w:spacing w:before="120"/>
              <w:rPr>
                <w:rFonts w:cs="Segoe UI"/>
                <w:sz w:val="20"/>
              </w:rPr>
            </w:pPr>
            <w:r w:rsidRPr="00AC6F79">
              <w:rPr>
                <w:rFonts w:cs="Segoe UI"/>
                <w:sz w:val="20"/>
              </w:rPr>
              <w:t>Episiotomy</w:t>
            </w:r>
          </w:p>
        </w:tc>
        <w:tc>
          <w:tcPr>
            <w:tcW w:w="5954" w:type="dxa"/>
          </w:tcPr>
          <w:p w14:paraId="33DE1DAF" w14:textId="77777777" w:rsidR="003E6864" w:rsidRPr="00AC6F79" w:rsidRDefault="003E6864" w:rsidP="003E6864">
            <w:pPr>
              <w:spacing w:before="120"/>
              <w:rPr>
                <w:rFonts w:cs="Segoe UI"/>
                <w:sz w:val="20"/>
              </w:rPr>
            </w:pPr>
            <w:r w:rsidRPr="00AC6F79">
              <w:rPr>
                <w:rFonts w:cs="Segoe UI"/>
                <w:sz w:val="20"/>
              </w:rPr>
              <w:t>An incision of the perineal tissue surrounding the vagina at the time of birth to facilitate delivery.</w:t>
            </w:r>
          </w:p>
        </w:tc>
      </w:tr>
      <w:tr w:rsidR="003E6864" w:rsidRPr="00AF16D8" w14:paraId="2C6F59E4" w14:textId="77777777" w:rsidTr="00AC6F79">
        <w:trPr>
          <w:cantSplit/>
        </w:trPr>
        <w:tc>
          <w:tcPr>
            <w:tcW w:w="2376" w:type="dxa"/>
          </w:tcPr>
          <w:p w14:paraId="1A4ADE93" w14:textId="77777777" w:rsidR="003E6864" w:rsidRPr="00AC6F79" w:rsidRDefault="003E6864" w:rsidP="003E6864">
            <w:pPr>
              <w:spacing w:before="120"/>
              <w:rPr>
                <w:rFonts w:cs="Segoe UI"/>
                <w:sz w:val="20"/>
              </w:rPr>
            </w:pPr>
            <w:r w:rsidRPr="00AC6F79">
              <w:rPr>
                <w:rFonts w:cs="Segoe UI"/>
                <w:sz w:val="20"/>
              </w:rPr>
              <w:t>Ethnicity, ethnic group</w:t>
            </w:r>
          </w:p>
        </w:tc>
        <w:tc>
          <w:tcPr>
            <w:tcW w:w="5954" w:type="dxa"/>
          </w:tcPr>
          <w:p w14:paraId="454969DF" w14:textId="77777777" w:rsidR="003E6864" w:rsidRPr="00AC6F79" w:rsidRDefault="003E6864" w:rsidP="003E6864">
            <w:pPr>
              <w:spacing w:before="120"/>
              <w:rPr>
                <w:rFonts w:cs="Segoe UI"/>
                <w:sz w:val="20"/>
              </w:rPr>
            </w:pPr>
            <w:r w:rsidRPr="00AC6F79">
              <w:rPr>
                <w:rFonts w:cs="Segoe UI"/>
                <w:sz w:val="20"/>
              </w:rPr>
              <w:t xml:space="preserve">Ethnicity is the ethnic group or groups that people may identify with or feel they belong to. Ethnicity is self-perceived; a person may identify with more than one ethnic group (Ministry of Health 2004). See also </w:t>
            </w:r>
            <w:r w:rsidRPr="00AC6F79">
              <w:rPr>
                <w:rFonts w:cs="Segoe UI"/>
                <w:i/>
                <w:sz w:val="20"/>
              </w:rPr>
              <w:t>Prioritised ethnicity</w:t>
            </w:r>
            <w:r w:rsidRPr="00AC6F79">
              <w:rPr>
                <w:rFonts w:cs="Segoe UI"/>
                <w:sz w:val="20"/>
              </w:rPr>
              <w:t>.</w:t>
            </w:r>
          </w:p>
        </w:tc>
      </w:tr>
      <w:tr w:rsidR="003E6864" w:rsidRPr="00AF16D8" w14:paraId="773BE1AA" w14:textId="77777777" w:rsidTr="00AC6F79">
        <w:trPr>
          <w:cantSplit/>
        </w:trPr>
        <w:tc>
          <w:tcPr>
            <w:tcW w:w="2376" w:type="dxa"/>
          </w:tcPr>
          <w:p w14:paraId="46D85D6A" w14:textId="77777777" w:rsidR="003E6864" w:rsidRPr="00AC6F79" w:rsidRDefault="003E6864" w:rsidP="003E6864">
            <w:pPr>
              <w:spacing w:before="120"/>
              <w:rPr>
                <w:rFonts w:cs="Segoe UI"/>
                <w:sz w:val="20"/>
              </w:rPr>
            </w:pPr>
            <w:r w:rsidRPr="00AC6F79">
              <w:rPr>
                <w:rFonts w:cs="Segoe UI"/>
                <w:sz w:val="20"/>
              </w:rPr>
              <w:t>Facility (maternity)</w:t>
            </w:r>
          </w:p>
        </w:tc>
        <w:tc>
          <w:tcPr>
            <w:tcW w:w="5954" w:type="dxa"/>
          </w:tcPr>
          <w:p w14:paraId="75848053" w14:textId="77777777" w:rsidR="003E6864" w:rsidRPr="00AC6F79" w:rsidRDefault="003E6864" w:rsidP="003E6864">
            <w:pPr>
              <w:spacing w:before="120"/>
              <w:rPr>
                <w:rFonts w:cs="Segoe UI"/>
                <w:sz w:val="20"/>
              </w:rPr>
            </w:pPr>
            <w:r w:rsidRPr="00AC6F79">
              <w:rPr>
                <w:rFonts w:cs="Segoe UI"/>
                <w:sz w:val="20"/>
              </w:rPr>
              <w:t xml:space="preserve">See </w:t>
            </w:r>
            <w:r w:rsidRPr="00AC6F79">
              <w:rPr>
                <w:rFonts w:cs="Segoe UI"/>
                <w:i/>
                <w:sz w:val="20"/>
              </w:rPr>
              <w:t>Maternity facili</w:t>
            </w:r>
            <w:r>
              <w:rPr>
                <w:rFonts w:cs="Segoe UI"/>
                <w:i/>
                <w:sz w:val="20"/>
              </w:rPr>
              <w:t>ty</w:t>
            </w:r>
            <w:r w:rsidRPr="00AC6F79">
              <w:rPr>
                <w:rFonts w:cs="Segoe UI"/>
                <w:sz w:val="20"/>
              </w:rPr>
              <w:t>.</w:t>
            </w:r>
          </w:p>
        </w:tc>
      </w:tr>
      <w:tr w:rsidR="003E6864" w:rsidRPr="00AF16D8" w14:paraId="44FCE766" w14:textId="77777777" w:rsidTr="00AC6F79">
        <w:trPr>
          <w:cantSplit/>
        </w:trPr>
        <w:tc>
          <w:tcPr>
            <w:tcW w:w="2376" w:type="dxa"/>
          </w:tcPr>
          <w:p w14:paraId="4F4D3E27" w14:textId="77777777" w:rsidR="003E6864" w:rsidRPr="00AC6F79" w:rsidRDefault="003E6864" w:rsidP="003E6864">
            <w:pPr>
              <w:spacing w:before="120"/>
              <w:rPr>
                <w:rFonts w:cs="Segoe UI"/>
                <w:sz w:val="20"/>
              </w:rPr>
            </w:pPr>
            <w:r w:rsidRPr="00AC6F79">
              <w:rPr>
                <w:rFonts w:cs="Segoe UI"/>
                <w:sz w:val="20"/>
              </w:rPr>
              <w:t>Forceps</w:t>
            </w:r>
          </w:p>
        </w:tc>
        <w:tc>
          <w:tcPr>
            <w:tcW w:w="5954" w:type="dxa"/>
          </w:tcPr>
          <w:p w14:paraId="615640B2" w14:textId="0721816D" w:rsidR="003E6864" w:rsidRPr="00AC6F79" w:rsidRDefault="003E6864" w:rsidP="003E6864">
            <w:pPr>
              <w:spacing w:before="120"/>
              <w:rPr>
                <w:rFonts w:cs="Segoe UI"/>
                <w:sz w:val="20"/>
              </w:rPr>
            </w:pPr>
            <w:r w:rsidRPr="00AC6F79">
              <w:rPr>
                <w:rFonts w:cs="Segoe UI"/>
                <w:sz w:val="20"/>
              </w:rPr>
              <w:t xml:space="preserve">See </w:t>
            </w:r>
            <w:r>
              <w:rPr>
                <w:rFonts w:cs="Segoe UI"/>
                <w:i/>
                <w:sz w:val="20"/>
              </w:rPr>
              <w:t>Instrumental</w:t>
            </w:r>
            <w:r w:rsidRPr="00AC6F79">
              <w:rPr>
                <w:rFonts w:cs="Segoe UI"/>
                <w:i/>
                <w:sz w:val="20"/>
              </w:rPr>
              <w:t xml:space="preserve"> birth, forceps</w:t>
            </w:r>
            <w:r w:rsidRPr="00AC6F79">
              <w:rPr>
                <w:rFonts w:cs="Segoe UI"/>
                <w:sz w:val="20"/>
              </w:rPr>
              <w:t>.</w:t>
            </w:r>
          </w:p>
        </w:tc>
      </w:tr>
      <w:tr w:rsidR="003E6864" w:rsidRPr="00AF16D8" w14:paraId="7A626D22" w14:textId="77777777" w:rsidTr="00AC6F79">
        <w:trPr>
          <w:cantSplit/>
        </w:trPr>
        <w:tc>
          <w:tcPr>
            <w:tcW w:w="2376" w:type="dxa"/>
          </w:tcPr>
          <w:p w14:paraId="3545FBC3" w14:textId="77777777" w:rsidR="003E6864" w:rsidRPr="00AC6F79" w:rsidRDefault="003E6864" w:rsidP="003E6864">
            <w:pPr>
              <w:spacing w:before="120"/>
              <w:rPr>
                <w:rFonts w:cs="Segoe UI"/>
                <w:sz w:val="20"/>
              </w:rPr>
            </w:pPr>
            <w:r w:rsidRPr="00AC6F79">
              <w:rPr>
                <w:rFonts w:cs="Segoe UI"/>
                <w:sz w:val="20"/>
              </w:rPr>
              <w:t>Gestation, gestational age</w:t>
            </w:r>
          </w:p>
        </w:tc>
        <w:tc>
          <w:tcPr>
            <w:tcW w:w="5954" w:type="dxa"/>
          </w:tcPr>
          <w:p w14:paraId="58D83B29" w14:textId="77777777" w:rsidR="003E6864" w:rsidRPr="00AC6F79" w:rsidRDefault="003E6864" w:rsidP="003E6864">
            <w:pPr>
              <w:spacing w:before="120"/>
              <w:rPr>
                <w:rFonts w:cs="Segoe UI"/>
                <w:sz w:val="20"/>
              </w:rPr>
            </w:pPr>
            <w:r w:rsidRPr="00AC6F79">
              <w:rPr>
                <w:rFonts w:cs="Segoe UI"/>
                <w:sz w:val="20"/>
              </w:rPr>
              <w:t>The duration of pregnancy measured from the first day of the last normal menstrual period to the delivery date, expressed in completed weeks (WHO 1975). Gestational age may also be derived from clinical assessment during pregnancy or from an examination of the baby after birth.</w:t>
            </w:r>
          </w:p>
        </w:tc>
      </w:tr>
      <w:tr w:rsidR="003E6864" w:rsidRPr="00AF16D8" w14:paraId="476B7E64" w14:textId="77777777" w:rsidTr="00AC6F79">
        <w:trPr>
          <w:cantSplit/>
        </w:trPr>
        <w:tc>
          <w:tcPr>
            <w:tcW w:w="2376" w:type="dxa"/>
          </w:tcPr>
          <w:p w14:paraId="2D019801" w14:textId="77777777" w:rsidR="003E6864" w:rsidRPr="00AC6F79" w:rsidRDefault="003E6864" w:rsidP="003E6864">
            <w:pPr>
              <w:spacing w:before="120"/>
              <w:rPr>
                <w:rFonts w:cs="Segoe UI"/>
                <w:sz w:val="20"/>
              </w:rPr>
            </w:pPr>
            <w:r w:rsidRPr="00AC6F79">
              <w:rPr>
                <w:rFonts w:cs="Segoe UI"/>
                <w:sz w:val="20"/>
              </w:rPr>
              <w:t>Home birth</w:t>
            </w:r>
          </w:p>
        </w:tc>
        <w:tc>
          <w:tcPr>
            <w:tcW w:w="5954" w:type="dxa"/>
          </w:tcPr>
          <w:p w14:paraId="31313282" w14:textId="77777777" w:rsidR="003E6864" w:rsidRPr="00AC6F79" w:rsidRDefault="003E6864" w:rsidP="003E6864">
            <w:pPr>
              <w:spacing w:before="120"/>
              <w:rPr>
                <w:rFonts w:cs="Segoe UI"/>
                <w:i/>
                <w:sz w:val="20"/>
              </w:rPr>
            </w:pPr>
            <w:r w:rsidRPr="00AC6F79">
              <w:rPr>
                <w:rFonts w:cs="Segoe UI"/>
                <w:sz w:val="20"/>
              </w:rPr>
              <w:t>A birth that takes place in a person’s home and not in a maternity facility. See also</w:t>
            </w:r>
            <w:r w:rsidRPr="00AC6F79">
              <w:rPr>
                <w:rFonts w:cs="Segoe UI"/>
                <w:i/>
                <w:sz w:val="20"/>
              </w:rPr>
              <w:t xml:space="preserve"> Intended home birth</w:t>
            </w:r>
            <w:r w:rsidRPr="00AC6F79">
              <w:rPr>
                <w:rFonts w:cs="Segoe UI"/>
                <w:sz w:val="20"/>
              </w:rPr>
              <w:t>.</w:t>
            </w:r>
          </w:p>
        </w:tc>
      </w:tr>
      <w:tr w:rsidR="003E6864" w:rsidRPr="00AF16D8" w14:paraId="1FE02D1D" w14:textId="77777777" w:rsidTr="00AC6F79">
        <w:trPr>
          <w:cantSplit/>
        </w:trPr>
        <w:tc>
          <w:tcPr>
            <w:tcW w:w="2376" w:type="dxa"/>
          </w:tcPr>
          <w:p w14:paraId="01DCA204" w14:textId="77777777" w:rsidR="003E6864" w:rsidRPr="00AC6F79" w:rsidRDefault="003E6864" w:rsidP="003E6864">
            <w:pPr>
              <w:spacing w:before="120"/>
              <w:rPr>
                <w:rFonts w:cs="Segoe UI"/>
                <w:sz w:val="20"/>
              </w:rPr>
            </w:pPr>
            <w:r>
              <w:rPr>
                <w:rFonts w:cs="Segoe UI"/>
                <w:sz w:val="20"/>
              </w:rPr>
              <w:t>I</w:t>
            </w:r>
            <w:r w:rsidRPr="00AC6F79">
              <w:rPr>
                <w:rFonts w:cs="Segoe UI"/>
                <w:sz w:val="20"/>
              </w:rPr>
              <w:t>atrogenic</w:t>
            </w:r>
          </w:p>
        </w:tc>
        <w:tc>
          <w:tcPr>
            <w:tcW w:w="5954" w:type="dxa"/>
          </w:tcPr>
          <w:p w14:paraId="08402536" w14:textId="77777777" w:rsidR="003E6864" w:rsidRPr="00AC6F79" w:rsidRDefault="003E6864" w:rsidP="003E6864">
            <w:pPr>
              <w:spacing w:before="120"/>
              <w:rPr>
                <w:rFonts w:cs="Segoe UI"/>
                <w:sz w:val="20"/>
              </w:rPr>
            </w:pPr>
            <w:r w:rsidRPr="00AC6F79">
              <w:rPr>
                <w:rFonts w:cs="Segoe UI"/>
                <w:sz w:val="20"/>
              </w:rPr>
              <w:t>Relating to illness caused by medical examination or treatment.</w:t>
            </w:r>
          </w:p>
        </w:tc>
      </w:tr>
      <w:tr w:rsidR="003E6864" w:rsidRPr="00AF16D8" w14:paraId="69530ACF" w14:textId="77777777" w:rsidTr="00AC6F79">
        <w:trPr>
          <w:cantSplit/>
        </w:trPr>
        <w:tc>
          <w:tcPr>
            <w:tcW w:w="2376" w:type="dxa"/>
          </w:tcPr>
          <w:p w14:paraId="762F673F" w14:textId="77777777" w:rsidR="003E6864" w:rsidRPr="00AC6F79" w:rsidRDefault="003E6864" w:rsidP="003E6864">
            <w:pPr>
              <w:spacing w:before="120"/>
              <w:rPr>
                <w:rFonts w:cs="Segoe UI"/>
                <w:sz w:val="20"/>
              </w:rPr>
            </w:pPr>
            <w:r w:rsidRPr="00AC6F79">
              <w:rPr>
                <w:rFonts w:cs="Segoe UI"/>
                <w:sz w:val="20"/>
              </w:rPr>
              <w:lastRenderedPageBreak/>
              <w:t>Induction (of labour)</w:t>
            </w:r>
          </w:p>
        </w:tc>
        <w:tc>
          <w:tcPr>
            <w:tcW w:w="5954" w:type="dxa"/>
          </w:tcPr>
          <w:p w14:paraId="1398D5E9" w14:textId="77777777" w:rsidR="003E6864" w:rsidRPr="00AC6F79" w:rsidRDefault="003E6864" w:rsidP="003E6864">
            <w:pPr>
              <w:spacing w:before="120"/>
              <w:rPr>
                <w:rFonts w:cs="Segoe UI"/>
                <w:sz w:val="20"/>
              </w:rPr>
            </w:pPr>
            <w:r w:rsidRPr="00AC6F79">
              <w:rPr>
                <w:rFonts w:cs="Segoe UI"/>
                <w:sz w:val="20"/>
              </w:rPr>
              <w:t>The process of artificially stimulating the uterus to start labour by artificial rupture of membranes or pharmacological means.</w:t>
            </w:r>
          </w:p>
        </w:tc>
      </w:tr>
      <w:tr w:rsidR="003E6864" w:rsidRPr="00C87FBC" w14:paraId="30450723" w14:textId="77777777" w:rsidTr="002446D5">
        <w:trPr>
          <w:cantSplit/>
        </w:trPr>
        <w:tc>
          <w:tcPr>
            <w:tcW w:w="2376" w:type="dxa"/>
          </w:tcPr>
          <w:p w14:paraId="77BC4B10" w14:textId="77777777" w:rsidR="003E6864" w:rsidRDefault="003E6864" w:rsidP="002446D5">
            <w:pPr>
              <w:spacing w:before="120"/>
              <w:rPr>
                <w:rFonts w:cs="Segoe UI"/>
                <w:sz w:val="20"/>
              </w:rPr>
            </w:pPr>
            <w:r>
              <w:rPr>
                <w:rFonts w:cs="Segoe UI"/>
                <w:sz w:val="20"/>
              </w:rPr>
              <w:t>Instrumental birth</w:t>
            </w:r>
          </w:p>
        </w:tc>
        <w:tc>
          <w:tcPr>
            <w:tcW w:w="5954" w:type="dxa"/>
          </w:tcPr>
          <w:p w14:paraId="0D988C24" w14:textId="77777777" w:rsidR="003E6864" w:rsidRPr="00AC6F79" w:rsidRDefault="003E6864" w:rsidP="002446D5">
            <w:pPr>
              <w:spacing w:before="120"/>
              <w:rPr>
                <w:rFonts w:cs="Segoe UI"/>
                <w:sz w:val="20"/>
              </w:rPr>
            </w:pPr>
            <w:r>
              <w:rPr>
                <w:rFonts w:cs="Segoe UI"/>
                <w:sz w:val="20"/>
              </w:rPr>
              <w:t xml:space="preserve">A vaginal birth </w:t>
            </w:r>
            <w:r w:rsidRPr="00AC6F79">
              <w:rPr>
                <w:rFonts w:cs="Segoe UI"/>
                <w:sz w:val="20"/>
              </w:rPr>
              <w:t>receiving obstetric assistance (</w:t>
            </w:r>
            <w:proofErr w:type="spellStart"/>
            <w:r w:rsidRPr="00AC6F79">
              <w:rPr>
                <w:rFonts w:cs="Segoe UI"/>
                <w:sz w:val="20"/>
              </w:rPr>
              <w:t>eg</w:t>
            </w:r>
            <w:proofErr w:type="spellEnd"/>
            <w:r w:rsidRPr="00AC6F79">
              <w:rPr>
                <w:rFonts w:cs="Segoe UI"/>
                <w:sz w:val="20"/>
              </w:rPr>
              <w:t>, forceps, vacuum</w:t>
            </w:r>
            <w:r>
              <w:rPr>
                <w:rFonts w:cs="Segoe UI"/>
                <w:sz w:val="20"/>
              </w:rPr>
              <w:t xml:space="preserve"> extraction</w:t>
            </w:r>
            <w:r w:rsidRPr="00AC6F79">
              <w:rPr>
                <w:rFonts w:cs="Segoe UI"/>
                <w:sz w:val="20"/>
              </w:rPr>
              <w:t>).</w:t>
            </w:r>
          </w:p>
        </w:tc>
      </w:tr>
      <w:tr w:rsidR="003E6864" w:rsidRPr="00C87FBC" w14:paraId="118CA4AA" w14:textId="77777777" w:rsidTr="002446D5">
        <w:trPr>
          <w:cantSplit/>
        </w:trPr>
        <w:tc>
          <w:tcPr>
            <w:tcW w:w="2376" w:type="dxa"/>
          </w:tcPr>
          <w:p w14:paraId="632F9D2F" w14:textId="77777777" w:rsidR="003E6864" w:rsidRPr="00AC6F79" w:rsidRDefault="003E6864" w:rsidP="002446D5">
            <w:pPr>
              <w:spacing w:before="120"/>
              <w:rPr>
                <w:rFonts w:cs="Segoe UI"/>
                <w:sz w:val="20"/>
              </w:rPr>
            </w:pPr>
            <w:r>
              <w:rPr>
                <w:rFonts w:cs="Segoe UI"/>
                <w:sz w:val="20"/>
              </w:rPr>
              <w:t>Instrumental</w:t>
            </w:r>
            <w:r w:rsidRPr="00AC6F79">
              <w:rPr>
                <w:rFonts w:cs="Segoe UI"/>
                <w:sz w:val="20"/>
              </w:rPr>
              <w:t xml:space="preserve"> birth, forceps</w:t>
            </w:r>
          </w:p>
        </w:tc>
        <w:tc>
          <w:tcPr>
            <w:tcW w:w="5954" w:type="dxa"/>
          </w:tcPr>
          <w:p w14:paraId="34ADFB40" w14:textId="77777777" w:rsidR="003E6864" w:rsidRPr="00AC6F79" w:rsidRDefault="003E6864" w:rsidP="002446D5">
            <w:pPr>
              <w:spacing w:before="120"/>
              <w:rPr>
                <w:rFonts w:cs="Segoe UI"/>
                <w:sz w:val="20"/>
              </w:rPr>
            </w:pPr>
            <w:r w:rsidRPr="00AC6F79">
              <w:rPr>
                <w:rFonts w:cs="Segoe UI"/>
                <w:sz w:val="20"/>
              </w:rPr>
              <w:t xml:space="preserve">An </w:t>
            </w:r>
            <w:r>
              <w:rPr>
                <w:rFonts w:cs="Segoe UI"/>
                <w:sz w:val="20"/>
              </w:rPr>
              <w:t>instrumental</w:t>
            </w:r>
            <w:r w:rsidRPr="00AC6F79">
              <w:rPr>
                <w:rFonts w:cs="Segoe UI"/>
                <w:sz w:val="20"/>
              </w:rPr>
              <w:t xml:space="preserve"> vaginal birth using a metallic obstetric instrument. See also </w:t>
            </w:r>
            <w:r>
              <w:rPr>
                <w:rFonts w:cs="Segoe UI"/>
                <w:i/>
                <w:sz w:val="20"/>
              </w:rPr>
              <w:t>Instrumental</w:t>
            </w:r>
            <w:r w:rsidRPr="00AC6F79">
              <w:rPr>
                <w:rFonts w:cs="Segoe UI"/>
                <w:i/>
                <w:sz w:val="20"/>
              </w:rPr>
              <w:t xml:space="preserve"> birth</w:t>
            </w:r>
            <w:r w:rsidRPr="00AC6F79">
              <w:rPr>
                <w:rFonts w:cs="Segoe UI"/>
                <w:sz w:val="20"/>
              </w:rPr>
              <w:t>.</w:t>
            </w:r>
          </w:p>
        </w:tc>
      </w:tr>
      <w:tr w:rsidR="003E6864" w:rsidRPr="00C87FBC" w14:paraId="5B22706B" w14:textId="77777777" w:rsidTr="002446D5">
        <w:trPr>
          <w:cantSplit/>
        </w:trPr>
        <w:tc>
          <w:tcPr>
            <w:tcW w:w="2376" w:type="dxa"/>
          </w:tcPr>
          <w:p w14:paraId="5B95BC23" w14:textId="77777777" w:rsidR="003E6864" w:rsidRPr="00AC6F79" w:rsidRDefault="003E6864" w:rsidP="002446D5">
            <w:pPr>
              <w:spacing w:before="120"/>
              <w:rPr>
                <w:rFonts w:cs="Segoe UI"/>
                <w:sz w:val="20"/>
              </w:rPr>
            </w:pPr>
            <w:r>
              <w:rPr>
                <w:rFonts w:cs="Segoe UI"/>
                <w:sz w:val="20"/>
              </w:rPr>
              <w:t>Instrumental</w:t>
            </w:r>
            <w:r w:rsidRPr="00AC6F79">
              <w:rPr>
                <w:rFonts w:cs="Segoe UI"/>
                <w:sz w:val="20"/>
              </w:rPr>
              <w:t xml:space="preserve"> birth, </w:t>
            </w:r>
            <w:r>
              <w:rPr>
                <w:rFonts w:cs="Segoe UI"/>
                <w:sz w:val="20"/>
              </w:rPr>
              <w:t>vacuum extraction</w:t>
            </w:r>
          </w:p>
        </w:tc>
        <w:tc>
          <w:tcPr>
            <w:tcW w:w="5954" w:type="dxa"/>
          </w:tcPr>
          <w:p w14:paraId="1A5F7544" w14:textId="77777777" w:rsidR="003E6864" w:rsidRPr="00AC6F79" w:rsidRDefault="003E6864" w:rsidP="002446D5">
            <w:pPr>
              <w:spacing w:before="120"/>
              <w:rPr>
                <w:rFonts w:cs="Segoe UI"/>
                <w:sz w:val="20"/>
              </w:rPr>
            </w:pPr>
            <w:r w:rsidRPr="00AC6F79">
              <w:rPr>
                <w:rFonts w:cs="Segoe UI"/>
                <w:sz w:val="20"/>
              </w:rPr>
              <w:t xml:space="preserve">An </w:t>
            </w:r>
            <w:r>
              <w:rPr>
                <w:rFonts w:cs="Segoe UI"/>
                <w:sz w:val="20"/>
              </w:rPr>
              <w:t>instrumental</w:t>
            </w:r>
            <w:r w:rsidRPr="00AC6F79">
              <w:rPr>
                <w:rFonts w:cs="Segoe UI"/>
                <w:sz w:val="20"/>
              </w:rPr>
              <w:t xml:space="preserve"> vaginal birth using a suction cap applied to the baby’s head. See also </w:t>
            </w:r>
            <w:r>
              <w:rPr>
                <w:rFonts w:cs="Segoe UI"/>
                <w:i/>
                <w:sz w:val="20"/>
              </w:rPr>
              <w:t>Instrumental</w:t>
            </w:r>
            <w:r w:rsidRPr="00AC6F79">
              <w:rPr>
                <w:rFonts w:cs="Segoe UI"/>
                <w:i/>
                <w:sz w:val="20"/>
              </w:rPr>
              <w:t xml:space="preserve"> birth</w:t>
            </w:r>
            <w:r w:rsidRPr="00AC6F79">
              <w:rPr>
                <w:rFonts w:cs="Segoe UI"/>
                <w:sz w:val="20"/>
              </w:rPr>
              <w:t>.</w:t>
            </w:r>
          </w:p>
        </w:tc>
      </w:tr>
      <w:tr w:rsidR="003E6864" w:rsidRPr="00AF16D8" w14:paraId="792A4ED6" w14:textId="77777777" w:rsidTr="00AC6F79">
        <w:trPr>
          <w:cantSplit/>
        </w:trPr>
        <w:tc>
          <w:tcPr>
            <w:tcW w:w="2376" w:type="dxa"/>
          </w:tcPr>
          <w:p w14:paraId="31D285C3" w14:textId="77777777" w:rsidR="003E6864" w:rsidRPr="00AC6F79" w:rsidRDefault="003E6864" w:rsidP="003E6864">
            <w:pPr>
              <w:spacing w:before="120"/>
              <w:rPr>
                <w:rFonts w:cs="Segoe UI"/>
                <w:sz w:val="20"/>
              </w:rPr>
            </w:pPr>
            <w:r w:rsidRPr="00AC6F79">
              <w:rPr>
                <w:rFonts w:cs="Segoe UI"/>
                <w:sz w:val="20"/>
              </w:rPr>
              <w:t>Intended home birth</w:t>
            </w:r>
          </w:p>
        </w:tc>
        <w:tc>
          <w:tcPr>
            <w:tcW w:w="5954" w:type="dxa"/>
          </w:tcPr>
          <w:p w14:paraId="74624627" w14:textId="77777777" w:rsidR="003E6864" w:rsidRPr="00AC6F79" w:rsidRDefault="003E6864" w:rsidP="003E6864">
            <w:pPr>
              <w:spacing w:before="120"/>
              <w:rPr>
                <w:rFonts w:cs="Segoe UI"/>
                <w:sz w:val="20"/>
              </w:rPr>
            </w:pPr>
            <w:r w:rsidRPr="00AC6F79">
              <w:rPr>
                <w:rFonts w:cs="Segoe UI"/>
                <w:sz w:val="20"/>
              </w:rPr>
              <w:t>A birth for which there is a documented plan to give birth at home and the management of the labour commences at home. The birth may or may not occur at home.</w:t>
            </w:r>
          </w:p>
        </w:tc>
      </w:tr>
      <w:tr w:rsidR="003E6864" w:rsidRPr="00AF16D8" w14:paraId="23FA1A3E" w14:textId="77777777" w:rsidTr="00AC6F79">
        <w:trPr>
          <w:cantSplit/>
        </w:trPr>
        <w:tc>
          <w:tcPr>
            <w:tcW w:w="2376" w:type="dxa"/>
          </w:tcPr>
          <w:p w14:paraId="671F4D91" w14:textId="77777777" w:rsidR="003E6864" w:rsidRPr="00AC6F79" w:rsidRDefault="003E6864" w:rsidP="003E6864">
            <w:pPr>
              <w:spacing w:before="120"/>
              <w:rPr>
                <w:rFonts w:cs="Segoe UI"/>
                <w:sz w:val="20"/>
              </w:rPr>
            </w:pPr>
            <w:r w:rsidRPr="00AC6F79">
              <w:rPr>
                <w:rFonts w:cs="Segoe UI"/>
                <w:sz w:val="20"/>
              </w:rPr>
              <w:t>Intervention</w:t>
            </w:r>
          </w:p>
        </w:tc>
        <w:tc>
          <w:tcPr>
            <w:tcW w:w="5954" w:type="dxa"/>
          </w:tcPr>
          <w:p w14:paraId="36EFAE2F" w14:textId="77777777" w:rsidR="003E6864" w:rsidRPr="00AC6F79" w:rsidRDefault="003E6864" w:rsidP="003E6864">
            <w:pPr>
              <w:spacing w:before="120"/>
              <w:rPr>
                <w:rFonts w:cs="Segoe UI"/>
                <w:sz w:val="20"/>
              </w:rPr>
            </w:pPr>
            <w:r w:rsidRPr="00AC6F79">
              <w:rPr>
                <w:rFonts w:cs="Segoe UI"/>
                <w:sz w:val="20"/>
              </w:rPr>
              <w:t xml:space="preserve">An induction or augmentation of labour, an epidural during labour or an episiotomy. See also </w:t>
            </w:r>
            <w:r w:rsidRPr="00AC6F79">
              <w:rPr>
                <w:rFonts w:cs="Segoe UI"/>
                <w:i/>
                <w:sz w:val="20"/>
              </w:rPr>
              <w:t>Augmentation</w:t>
            </w:r>
            <w:r w:rsidRPr="00AC6F79">
              <w:rPr>
                <w:rFonts w:cs="Segoe UI"/>
                <w:sz w:val="20"/>
              </w:rPr>
              <w:t>;</w:t>
            </w:r>
            <w:r w:rsidRPr="00AC6F79">
              <w:rPr>
                <w:rFonts w:cs="Segoe UI"/>
                <w:i/>
                <w:sz w:val="20"/>
              </w:rPr>
              <w:t xml:space="preserve"> Epidural</w:t>
            </w:r>
            <w:r w:rsidRPr="00AC6F79">
              <w:rPr>
                <w:rFonts w:cs="Segoe UI"/>
                <w:sz w:val="20"/>
              </w:rPr>
              <w:t>;</w:t>
            </w:r>
            <w:r w:rsidRPr="00AC6F79">
              <w:rPr>
                <w:rFonts w:cs="Segoe UI"/>
                <w:i/>
                <w:sz w:val="20"/>
              </w:rPr>
              <w:t xml:space="preserve"> Episiotomy</w:t>
            </w:r>
            <w:r w:rsidRPr="00AC6F79">
              <w:rPr>
                <w:rFonts w:cs="Segoe UI"/>
                <w:sz w:val="20"/>
              </w:rPr>
              <w:t>;</w:t>
            </w:r>
            <w:r w:rsidRPr="00AC6F79">
              <w:rPr>
                <w:rFonts w:cs="Segoe UI"/>
                <w:i/>
                <w:sz w:val="20"/>
              </w:rPr>
              <w:t xml:space="preserve"> Induction</w:t>
            </w:r>
            <w:r w:rsidRPr="00AC6F79">
              <w:rPr>
                <w:rFonts w:cs="Segoe UI"/>
                <w:sz w:val="20"/>
              </w:rPr>
              <w:t>.</w:t>
            </w:r>
          </w:p>
        </w:tc>
      </w:tr>
      <w:tr w:rsidR="003E6864" w:rsidRPr="00AF16D8" w14:paraId="149A782A" w14:textId="77777777" w:rsidTr="00AC6F79">
        <w:trPr>
          <w:cantSplit/>
        </w:trPr>
        <w:tc>
          <w:tcPr>
            <w:tcW w:w="2376" w:type="dxa"/>
          </w:tcPr>
          <w:p w14:paraId="4CCD75D8" w14:textId="77777777" w:rsidR="003E6864" w:rsidRPr="00AC6F79" w:rsidRDefault="003E6864" w:rsidP="003E6864">
            <w:pPr>
              <w:spacing w:before="120"/>
              <w:rPr>
                <w:rFonts w:cs="Segoe UI"/>
                <w:sz w:val="20"/>
              </w:rPr>
            </w:pPr>
            <w:r w:rsidRPr="00AC6F79">
              <w:rPr>
                <w:rFonts w:cs="Segoe UI"/>
                <w:sz w:val="20"/>
              </w:rPr>
              <w:t>Lead Maternity Carer (LMC)</w:t>
            </w:r>
          </w:p>
        </w:tc>
        <w:tc>
          <w:tcPr>
            <w:tcW w:w="5954" w:type="dxa"/>
          </w:tcPr>
          <w:p w14:paraId="012EB797" w14:textId="77777777" w:rsidR="003E6864" w:rsidRPr="00AC6F79" w:rsidRDefault="003E6864" w:rsidP="003E6864">
            <w:pPr>
              <w:spacing w:before="120"/>
              <w:rPr>
                <w:rFonts w:cs="Segoe UI"/>
                <w:sz w:val="20"/>
              </w:rPr>
            </w:pPr>
            <w:r w:rsidRPr="00AC6F79">
              <w:rPr>
                <w:rFonts w:cs="Segoe UI"/>
                <w:sz w:val="20"/>
              </w:rPr>
              <w:t>A person who:</w:t>
            </w:r>
          </w:p>
          <w:p w14:paraId="7845C058" w14:textId="77777777" w:rsidR="003E6864" w:rsidRPr="00AC6F79" w:rsidRDefault="003E6864" w:rsidP="003E6864">
            <w:pPr>
              <w:pStyle w:val="TableBullet"/>
              <w:spacing w:before="60" w:after="0"/>
              <w:rPr>
                <w:sz w:val="20"/>
              </w:rPr>
            </w:pPr>
            <w:r w:rsidRPr="00AC6F79">
              <w:rPr>
                <w:sz w:val="20"/>
              </w:rPr>
              <w:t>is:</w:t>
            </w:r>
          </w:p>
          <w:p w14:paraId="26F0DB6B" w14:textId="77777777" w:rsidR="003E6864" w:rsidRPr="00AC6F79" w:rsidRDefault="003E6864" w:rsidP="003E6864">
            <w:pPr>
              <w:pStyle w:val="TableDash"/>
              <w:spacing w:before="30"/>
              <w:ind w:left="568" w:hanging="284"/>
              <w:rPr>
                <w:sz w:val="20"/>
                <w:szCs w:val="20"/>
              </w:rPr>
            </w:pPr>
            <w:r w:rsidRPr="00AC6F79">
              <w:rPr>
                <w:sz w:val="20"/>
                <w:szCs w:val="20"/>
              </w:rPr>
              <w:t>a general practitioner with a Diploma in Obstetrics (or equivalent, as determined by the New Zealand College of General Practitioners); or</w:t>
            </w:r>
          </w:p>
          <w:p w14:paraId="011E6906" w14:textId="77777777" w:rsidR="003E6864" w:rsidRPr="00AC6F79" w:rsidRDefault="003E6864" w:rsidP="003E6864">
            <w:pPr>
              <w:pStyle w:val="TableDash"/>
              <w:spacing w:before="30"/>
              <w:ind w:left="568" w:hanging="284"/>
              <w:rPr>
                <w:sz w:val="20"/>
                <w:szCs w:val="20"/>
              </w:rPr>
            </w:pPr>
            <w:r w:rsidRPr="00AC6F79">
              <w:rPr>
                <w:sz w:val="20"/>
                <w:szCs w:val="20"/>
              </w:rPr>
              <w:t>a midwife; or</w:t>
            </w:r>
          </w:p>
          <w:p w14:paraId="06AFB3CB" w14:textId="77777777" w:rsidR="003E6864" w:rsidRPr="00AC6F79" w:rsidRDefault="003E6864" w:rsidP="003E6864">
            <w:pPr>
              <w:pStyle w:val="TableDash"/>
              <w:spacing w:before="30"/>
              <w:ind w:left="568" w:hanging="284"/>
              <w:rPr>
                <w:sz w:val="20"/>
                <w:szCs w:val="20"/>
              </w:rPr>
            </w:pPr>
            <w:r w:rsidRPr="00AC6F79">
              <w:rPr>
                <w:sz w:val="20"/>
                <w:szCs w:val="20"/>
              </w:rPr>
              <w:t>an obstetrician; and</w:t>
            </w:r>
          </w:p>
          <w:p w14:paraId="1D913775" w14:textId="77777777" w:rsidR="003E6864" w:rsidRPr="00AC6F79" w:rsidRDefault="003E6864" w:rsidP="003E6864">
            <w:pPr>
              <w:pStyle w:val="TableBullet"/>
              <w:spacing w:before="60" w:after="0"/>
              <w:rPr>
                <w:sz w:val="20"/>
              </w:rPr>
            </w:pPr>
            <w:r w:rsidRPr="00AC6F79">
              <w:rPr>
                <w:sz w:val="20"/>
              </w:rPr>
              <w:t>is either:</w:t>
            </w:r>
          </w:p>
          <w:p w14:paraId="67095822" w14:textId="77777777" w:rsidR="003E6864" w:rsidRPr="00AC6F79" w:rsidRDefault="003E6864" w:rsidP="003E6864">
            <w:pPr>
              <w:pStyle w:val="TableDash"/>
              <w:spacing w:before="30"/>
              <w:ind w:left="568" w:hanging="284"/>
              <w:rPr>
                <w:sz w:val="20"/>
                <w:szCs w:val="20"/>
              </w:rPr>
            </w:pPr>
            <w:r w:rsidRPr="00AC6F79">
              <w:rPr>
                <w:sz w:val="20"/>
                <w:szCs w:val="20"/>
              </w:rPr>
              <w:t>a maternity provider in his or her own right; or</w:t>
            </w:r>
          </w:p>
          <w:p w14:paraId="6C8703A0" w14:textId="77777777" w:rsidR="003E6864" w:rsidRPr="00AC6F79" w:rsidRDefault="003E6864" w:rsidP="003E6864">
            <w:pPr>
              <w:pStyle w:val="TableDash"/>
              <w:spacing w:before="30"/>
              <w:ind w:left="568" w:hanging="284"/>
              <w:rPr>
                <w:sz w:val="20"/>
                <w:szCs w:val="20"/>
              </w:rPr>
            </w:pPr>
            <w:r w:rsidRPr="00AC6F79">
              <w:rPr>
                <w:sz w:val="20"/>
                <w:szCs w:val="20"/>
              </w:rPr>
              <w:t>an employee or contractor of a maternity provider; and</w:t>
            </w:r>
          </w:p>
          <w:p w14:paraId="12A30F9B" w14:textId="2A0C0950" w:rsidR="003E6864" w:rsidRPr="00AC6F79" w:rsidRDefault="003E6864" w:rsidP="003E6864">
            <w:pPr>
              <w:pStyle w:val="TableDash"/>
              <w:spacing w:before="30"/>
              <w:ind w:left="568" w:hanging="284"/>
            </w:pPr>
            <w:r w:rsidRPr="00AC6F79">
              <w:rPr>
                <w:sz w:val="20"/>
                <w:szCs w:val="20"/>
              </w:rPr>
              <w:t xml:space="preserve">has been selected by the </w:t>
            </w:r>
            <w:r w:rsidR="00977C87">
              <w:rPr>
                <w:sz w:val="20"/>
                <w:szCs w:val="20"/>
              </w:rPr>
              <w:t>person</w:t>
            </w:r>
            <w:r w:rsidRPr="00AC6F79">
              <w:rPr>
                <w:sz w:val="20"/>
                <w:szCs w:val="20"/>
              </w:rPr>
              <w:t xml:space="preserve"> to provide her lead maternity care.</w:t>
            </w:r>
          </w:p>
        </w:tc>
      </w:tr>
      <w:tr w:rsidR="003E6864" w:rsidRPr="00AF16D8" w14:paraId="0F7AE6CB" w14:textId="77777777" w:rsidTr="00AC6F79">
        <w:trPr>
          <w:cantSplit/>
        </w:trPr>
        <w:tc>
          <w:tcPr>
            <w:tcW w:w="2376" w:type="dxa"/>
          </w:tcPr>
          <w:p w14:paraId="0500A858" w14:textId="77777777" w:rsidR="003E6864" w:rsidRPr="00AC6F79" w:rsidRDefault="003E6864" w:rsidP="003E6864">
            <w:pPr>
              <w:spacing w:before="120"/>
              <w:rPr>
                <w:rFonts w:cs="Segoe UI"/>
                <w:sz w:val="20"/>
              </w:rPr>
            </w:pPr>
            <w:r w:rsidRPr="00AC6F79">
              <w:rPr>
                <w:rFonts w:cs="Segoe UI"/>
                <w:sz w:val="20"/>
              </w:rPr>
              <w:t>Live-born baby, live birth</w:t>
            </w:r>
          </w:p>
        </w:tc>
        <w:tc>
          <w:tcPr>
            <w:tcW w:w="5954" w:type="dxa"/>
          </w:tcPr>
          <w:p w14:paraId="0546FD95" w14:textId="77777777" w:rsidR="003E6864" w:rsidRPr="00AC6F79" w:rsidRDefault="003E6864" w:rsidP="003E6864">
            <w:pPr>
              <w:spacing w:before="120"/>
              <w:rPr>
                <w:rFonts w:cs="Segoe UI"/>
                <w:sz w:val="20"/>
              </w:rPr>
            </w:pPr>
            <w:r w:rsidRPr="00AC6F79">
              <w:rPr>
                <w:rFonts w:cs="Segoe UI"/>
                <w:sz w:val="20"/>
              </w:rPr>
              <w:t>The complete expulsion or extraction from its mother of a product of conception, irrespective of duration of pregnancy, which, after such separation, breathes or shows any other evidence of life, such as beating of the heart, pulsation of the umbilical cord, or definite movement of voluntary muscles, whether or not the umbilical cord has been cut or the placenta is attached; each product of such a birth is considered live-born (WHO 1975).</w:t>
            </w:r>
          </w:p>
        </w:tc>
      </w:tr>
      <w:tr w:rsidR="003E6864" w:rsidRPr="00AF16D8" w14:paraId="1340FC38" w14:textId="77777777" w:rsidTr="00AC6F79">
        <w:trPr>
          <w:cantSplit/>
        </w:trPr>
        <w:tc>
          <w:tcPr>
            <w:tcW w:w="2376" w:type="dxa"/>
          </w:tcPr>
          <w:p w14:paraId="78F4ACEB" w14:textId="77777777" w:rsidR="003E6864" w:rsidRPr="00AC6F79" w:rsidRDefault="003E6864" w:rsidP="003E6864">
            <w:pPr>
              <w:spacing w:before="120"/>
              <w:rPr>
                <w:rFonts w:cs="Segoe UI"/>
                <w:sz w:val="20"/>
              </w:rPr>
            </w:pPr>
            <w:r w:rsidRPr="00AC6F79">
              <w:rPr>
                <w:rFonts w:cs="Segoe UI"/>
                <w:sz w:val="20"/>
              </w:rPr>
              <w:t>Low birthweight</w:t>
            </w:r>
          </w:p>
        </w:tc>
        <w:tc>
          <w:tcPr>
            <w:tcW w:w="5954" w:type="dxa"/>
          </w:tcPr>
          <w:p w14:paraId="5D9AB5E5" w14:textId="77777777" w:rsidR="003E6864" w:rsidRPr="00AC6F79" w:rsidRDefault="003E6864" w:rsidP="003E6864">
            <w:pPr>
              <w:spacing w:before="120"/>
              <w:rPr>
                <w:rFonts w:cs="Segoe UI"/>
                <w:sz w:val="20"/>
              </w:rPr>
            </w:pPr>
            <w:r w:rsidRPr="00AC6F79">
              <w:rPr>
                <w:rFonts w:cs="Segoe UI"/>
                <w:sz w:val="20"/>
              </w:rPr>
              <w:t xml:space="preserve">A birthweight of less than 2.5 kg (WHO 1975). See also </w:t>
            </w:r>
            <w:r w:rsidRPr="00AC6F79">
              <w:rPr>
                <w:rFonts w:cs="Segoe UI"/>
                <w:i/>
                <w:sz w:val="20"/>
              </w:rPr>
              <w:t>Birthweight</w:t>
            </w:r>
            <w:r w:rsidRPr="00AC6F79">
              <w:rPr>
                <w:rFonts w:cs="Segoe UI"/>
                <w:sz w:val="20"/>
              </w:rPr>
              <w:t>.</w:t>
            </w:r>
          </w:p>
        </w:tc>
      </w:tr>
      <w:tr w:rsidR="003E6864" w:rsidRPr="00AF16D8" w14:paraId="21D3C38E" w14:textId="77777777" w:rsidTr="00AC6F79">
        <w:trPr>
          <w:cantSplit/>
        </w:trPr>
        <w:tc>
          <w:tcPr>
            <w:tcW w:w="2376" w:type="dxa"/>
          </w:tcPr>
          <w:p w14:paraId="3F18A4A5" w14:textId="77777777" w:rsidR="003E6864" w:rsidRPr="00AC6F79" w:rsidRDefault="003E6864" w:rsidP="003E6864">
            <w:pPr>
              <w:spacing w:before="120"/>
              <w:rPr>
                <w:rFonts w:cs="Segoe UI"/>
                <w:sz w:val="20"/>
              </w:rPr>
            </w:pPr>
            <w:r w:rsidRPr="00AC6F79">
              <w:rPr>
                <w:rFonts w:cs="Segoe UI"/>
                <w:sz w:val="20"/>
              </w:rPr>
              <w:t>Maternity facility</w:t>
            </w:r>
          </w:p>
        </w:tc>
        <w:tc>
          <w:tcPr>
            <w:tcW w:w="5954" w:type="dxa"/>
          </w:tcPr>
          <w:p w14:paraId="2F711F8A" w14:textId="77777777" w:rsidR="003E6864" w:rsidRPr="00AC6F79" w:rsidRDefault="003E6864" w:rsidP="003E6864">
            <w:pPr>
              <w:spacing w:before="120"/>
              <w:rPr>
                <w:rFonts w:cs="Segoe UI"/>
                <w:sz w:val="20"/>
              </w:rPr>
            </w:pPr>
            <w:r w:rsidRPr="00AC6F79">
              <w:rPr>
                <w:rFonts w:cs="Segoe UI"/>
                <w:sz w:val="20"/>
              </w:rPr>
              <w:t xml:space="preserve">A facility that provides maternity services in accordance with the Tier Two Service Specification available from the Ministry of Health. See also </w:t>
            </w:r>
            <w:r w:rsidRPr="00AC6F79">
              <w:rPr>
                <w:rFonts w:cs="Segoe UI"/>
                <w:i/>
                <w:sz w:val="20"/>
              </w:rPr>
              <w:t>Primary facility</w:t>
            </w:r>
            <w:r w:rsidRPr="00AC6F79">
              <w:rPr>
                <w:rFonts w:cs="Segoe UI"/>
                <w:sz w:val="20"/>
              </w:rPr>
              <w:t xml:space="preserve">; </w:t>
            </w:r>
            <w:r w:rsidRPr="00AC6F79">
              <w:rPr>
                <w:rFonts w:cs="Segoe UI"/>
                <w:i/>
                <w:sz w:val="20"/>
              </w:rPr>
              <w:t>Secondary facility</w:t>
            </w:r>
            <w:r w:rsidRPr="00AC6F79">
              <w:rPr>
                <w:rFonts w:cs="Segoe UI"/>
                <w:sz w:val="20"/>
              </w:rPr>
              <w:t xml:space="preserve">; </w:t>
            </w:r>
            <w:r w:rsidRPr="00AC6F79">
              <w:rPr>
                <w:rFonts w:cs="Segoe UI"/>
                <w:i/>
                <w:sz w:val="20"/>
              </w:rPr>
              <w:t>Tertiary facility</w:t>
            </w:r>
            <w:r w:rsidRPr="00AC6F79">
              <w:rPr>
                <w:rFonts w:cs="Segoe UI"/>
                <w:sz w:val="20"/>
              </w:rPr>
              <w:t>.</w:t>
            </w:r>
          </w:p>
        </w:tc>
      </w:tr>
      <w:tr w:rsidR="003E6864" w:rsidRPr="00AF16D8" w14:paraId="54C2DB45" w14:textId="77777777" w:rsidTr="00AC6F79">
        <w:trPr>
          <w:cantSplit/>
        </w:trPr>
        <w:tc>
          <w:tcPr>
            <w:tcW w:w="2376" w:type="dxa"/>
          </w:tcPr>
          <w:p w14:paraId="1853E975" w14:textId="77777777" w:rsidR="003E6864" w:rsidRPr="00AC6F79" w:rsidRDefault="003E6864" w:rsidP="003E6864">
            <w:pPr>
              <w:spacing w:before="120"/>
              <w:rPr>
                <w:rFonts w:cs="Segoe UI"/>
                <w:sz w:val="20"/>
              </w:rPr>
            </w:pPr>
            <w:r w:rsidRPr="00AC6F79">
              <w:rPr>
                <w:rFonts w:cs="Segoe UI"/>
                <w:sz w:val="20"/>
              </w:rPr>
              <w:t>National Health Index (NHI) number</w:t>
            </w:r>
          </w:p>
        </w:tc>
        <w:tc>
          <w:tcPr>
            <w:tcW w:w="5954" w:type="dxa"/>
          </w:tcPr>
          <w:p w14:paraId="662FD9C9" w14:textId="4D14FC7D" w:rsidR="003E6864" w:rsidRPr="00AC6F79" w:rsidRDefault="003E6864" w:rsidP="003E6864">
            <w:pPr>
              <w:spacing w:before="120"/>
              <w:rPr>
                <w:rFonts w:cs="Segoe UI"/>
                <w:sz w:val="20"/>
              </w:rPr>
            </w:pPr>
            <w:r w:rsidRPr="00AC6F79">
              <w:rPr>
                <w:rFonts w:cs="Segoe UI"/>
                <w:sz w:val="20"/>
              </w:rPr>
              <w:t xml:space="preserve">A unique identifier number allocated to individual service users by the National Health Index, managed by </w:t>
            </w:r>
            <w:r w:rsidR="0094796D">
              <w:rPr>
                <w:rFonts w:cs="Segoe UI"/>
                <w:sz w:val="20"/>
              </w:rPr>
              <w:t>Health New Zealand</w:t>
            </w:r>
            <w:r w:rsidRPr="00AC6F79">
              <w:rPr>
                <w:rFonts w:cs="Segoe UI"/>
                <w:sz w:val="20"/>
              </w:rPr>
              <w:t>.</w:t>
            </w:r>
          </w:p>
        </w:tc>
      </w:tr>
      <w:tr w:rsidR="003E6864" w:rsidRPr="00AF16D8" w14:paraId="797F3530" w14:textId="77777777" w:rsidTr="00AC6F79">
        <w:trPr>
          <w:cantSplit/>
        </w:trPr>
        <w:tc>
          <w:tcPr>
            <w:tcW w:w="2376" w:type="dxa"/>
          </w:tcPr>
          <w:p w14:paraId="5262CB72" w14:textId="77777777" w:rsidR="003E6864" w:rsidRPr="00AC6F79" w:rsidRDefault="003E6864" w:rsidP="003E6864">
            <w:pPr>
              <w:spacing w:before="120"/>
              <w:rPr>
                <w:rFonts w:cs="Segoe UI"/>
                <w:sz w:val="20"/>
              </w:rPr>
            </w:pPr>
            <w:r w:rsidRPr="00AC6F79">
              <w:rPr>
                <w:rFonts w:cs="Segoe UI"/>
                <w:sz w:val="20"/>
              </w:rPr>
              <w:t>National Maternity Collection (MAT)</w:t>
            </w:r>
          </w:p>
        </w:tc>
        <w:tc>
          <w:tcPr>
            <w:tcW w:w="5954" w:type="dxa"/>
          </w:tcPr>
          <w:p w14:paraId="3323A50A" w14:textId="5A7DA35D" w:rsidR="003E6864" w:rsidRPr="00AC6F79" w:rsidRDefault="003E6864" w:rsidP="003E6864">
            <w:pPr>
              <w:spacing w:before="120"/>
              <w:rPr>
                <w:rFonts w:cs="Segoe UI"/>
                <w:sz w:val="20"/>
              </w:rPr>
            </w:pPr>
            <w:r w:rsidRPr="00AC6F79">
              <w:rPr>
                <w:rFonts w:cs="Segoe UI"/>
                <w:sz w:val="20"/>
              </w:rPr>
              <w:t>A collection of demographic and clinical information about</w:t>
            </w:r>
            <w:r w:rsidR="003756B3">
              <w:rPr>
                <w:rFonts w:cs="Segoe UI"/>
                <w:sz w:val="20"/>
              </w:rPr>
              <w:t xml:space="preserve"> </w:t>
            </w:r>
            <w:r w:rsidR="008C756F">
              <w:rPr>
                <w:rFonts w:cs="Segoe UI"/>
                <w:sz w:val="20"/>
              </w:rPr>
              <w:t>pregnant people</w:t>
            </w:r>
            <w:r w:rsidRPr="00AC6F79">
              <w:rPr>
                <w:rFonts w:cs="Segoe UI"/>
                <w:sz w:val="20"/>
              </w:rPr>
              <w:t xml:space="preserve"> and live-born babies from maternity services provided up to nine months before and three months after birth.</w:t>
            </w:r>
          </w:p>
        </w:tc>
      </w:tr>
      <w:tr w:rsidR="003E6864" w:rsidRPr="00AF16D8" w14:paraId="0CEFFE1F" w14:textId="77777777" w:rsidTr="00AC6F79">
        <w:trPr>
          <w:cantSplit/>
        </w:trPr>
        <w:tc>
          <w:tcPr>
            <w:tcW w:w="2376" w:type="dxa"/>
          </w:tcPr>
          <w:p w14:paraId="20287A5C" w14:textId="77777777" w:rsidR="003E6864" w:rsidRPr="00AC6F79" w:rsidRDefault="003E6864" w:rsidP="003E6864">
            <w:pPr>
              <w:spacing w:before="120"/>
              <w:rPr>
                <w:rFonts w:cs="Segoe UI"/>
                <w:sz w:val="20"/>
              </w:rPr>
            </w:pPr>
            <w:r w:rsidRPr="00AC6F79">
              <w:rPr>
                <w:rFonts w:cs="Segoe UI"/>
                <w:sz w:val="20"/>
              </w:rPr>
              <w:lastRenderedPageBreak/>
              <w:t>National Minimum Dataset (NMDS)</w:t>
            </w:r>
          </w:p>
        </w:tc>
        <w:tc>
          <w:tcPr>
            <w:tcW w:w="5954" w:type="dxa"/>
          </w:tcPr>
          <w:p w14:paraId="4BEAE214" w14:textId="77777777" w:rsidR="003E6864" w:rsidRPr="00AC6F79" w:rsidRDefault="003E6864" w:rsidP="003E6864">
            <w:pPr>
              <w:spacing w:before="120"/>
              <w:rPr>
                <w:rFonts w:cs="Segoe UI"/>
                <w:sz w:val="20"/>
              </w:rPr>
            </w:pPr>
            <w:r w:rsidRPr="00AC6F79">
              <w:rPr>
                <w:rFonts w:cs="Segoe UI"/>
                <w:sz w:val="20"/>
              </w:rPr>
              <w:t>A collection of health data that is collected routinely from all people discharged from a hospital in New Zealand.</w:t>
            </w:r>
          </w:p>
        </w:tc>
      </w:tr>
      <w:tr w:rsidR="003E6864" w:rsidRPr="00AF16D8" w14:paraId="14DD20F0" w14:textId="77777777" w:rsidTr="00AC6F79">
        <w:trPr>
          <w:cantSplit/>
        </w:trPr>
        <w:tc>
          <w:tcPr>
            <w:tcW w:w="2376" w:type="dxa"/>
          </w:tcPr>
          <w:p w14:paraId="6DF4B178" w14:textId="77777777" w:rsidR="003E6864" w:rsidRPr="00AC6F79" w:rsidRDefault="003E6864" w:rsidP="003E6864">
            <w:pPr>
              <w:spacing w:before="120"/>
              <w:rPr>
                <w:rFonts w:cs="Segoe UI"/>
                <w:sz w:val="20"/>
              </w:rPr>
            </w:pPr>
            <w:r w:rsidRPr="00AC6F79">
              <w:rPr>
                <w:rFonts w:cs="Segoe UI"/>
                <w:sz w:val="20"/>
              </w:rPr>
              <w:t>Numerator</w:t>
            </w:r>
          </w:p>
        </w:tc>
        <w:tc>
          <w:tcPr>
            <w:tcW w:w="5954" w:type="dxa"/>
          </w:tcPr>
          <w:p w14:paraId="5F492A00" w14:textId="77777777" w:rsidR="003E6864" w:rsidRPr="00AC6F79" w:rsidRDefault="003E6864" w:rsidP="003E6864">
            <w:pPr>
              <w:spacing w:before="120"/>
              <w:rPr>
                <w:rFonts w:cs="Segoe UI"/>
                <w:sz w:val="20"/>
              </w:rPr>
            </w:pPr>
            <w:r w:rsidRPr="00AC6F79">
              <w:rPr>
                <w:rFonts w:cs="Segoe UI"/>
                <w:sz w:val="20"/>
              </w:rPr>
              <w:t xml:space="preserve">The number that appears at the top of a fraction, used to calculate proportions. See also </w:t>
            </w:r>
            <w:r w:rsidRPr="00AC6F79">
              <w:rPr>
                <w:rFonts w:cs="Segoe UI"/>
                <w:i/>
                <w:sz w:val="20"/>
              </w:rPr>
              <w:t>Proportion</w:t>
            </w:r>
            <w:r w:rsidRPr="00AC6F79">
              <w:rPr>
                <w:rFonts w:cs="Segoe UI"/>
                <w:sz w:val="20"/>
              </w:rPr>
              <w:t>.</w:t>
            </w:r>
          </w:p>
        </w:tc>
      </w:tr>
      <w:tr w:rsidR="003E6864" w:rsidRPr="00AF16D8" w14:paraId="62B90C97" w14:textId="77777777" w:rsidTr="00AC6F79">
        <w:trPr>
          <w:cantSplit/>
        </w:trPr>
        <w:tc>
          <w:tcPr>
            <w:tcW w:w="2376" w:type="dxa"/>
          </w:tcPr>
          <w:p w14:paraId="02454FFD" w14:textId="77777777" w:rsidR="003E6864" w:rsidRPr="00AC6F79" w:rsidRDefault="003E6864" w:rsidP="003E6864">
            <w:pPr>
              <w:spacing w:before="120"/>
              <w:rPr>
                <w:rFonts w:cs="Segoe UI"/>
                <w:sz w:val="20"/>
              </w:rPr>
            </w:pPr>
            <w:r w:rsidRPr="00AC6F79">
              <w:rPr>
                <w:rFonts w:cs="Segoe UI"/>
                <w:sz w:val="20"/>
              </w:rPr>
              <w:t>Parity</w:t>
            </w:r>
          </w:p>
        </w:tc>
        <w:tc>
          <w:tcPr>
            <w:tcW w:w="5954" w:type="dxa"/>
          </w:tcPr>
          <w:p w14:paraId="381A4440" w14:textId="3F08CA7D" w:rsidR="003E6864" w:rsidRPr="00AC6F79" w:rsidRDefault="003E6864" w:rsidP="003E6864">
            <w:pPr>
              <w:spacing w:before="120"/>
              <w:rPr>
                <w:rFonts w:cs="Segoe UI"/>
                <w:sz w:val="20"/>
              </w:rPr>
            </w:pPr>
            <w:r w:rsidRPr="00AC6F79">
              <w:rPr>
                <w:rFonts w:cs="Segoe UI"/>
                <w:sz w:val="20"/>
              </w:rPr>
              <w:t xml:space="preserve">The number of times a </w:t>
            </w:r>
            <w:r w:rsidR="00977C87">
              <w:rPr>
                <w:rFonts w:cs="Segoe UI"/>
                <w:sz w:val="20"/>
              </w:rPr>
              <w:t>person</w:t>
            </w:r>
            <w:r w:rsidRPr="00AC6F79">
              <w:rPr>
                <w:rFonts w:cs="Segoe UI"/>
                <w:sz w:val="20"/>
              </w:rPr>
              <w:t xml:space="preserve"> has previously given birth, including stillbirths.</w:t>
            </w:r>
          </w:p>
        </w:tc>
      </w:tr>
      <w:tr w:rsidR="003E6864" w:rsidRPr="00AF16D8" w14:paraId="16B07742" w14:textId="77777777" w:rsidTr="00AC6F79">
        <w:trPr>
          <w:cantSplit/>
        </w:trPr>
        <w:tc>
          <w:tcPr>
            <w:tcW w:w="2376" w:type="dxa"/>
          </w:tcPr>
          <w:p w14:paraId="7024D651" w14:textId="77777777" w:rsidR="003E6864" w:rsidRPr="00AC6F79" w:rsidRDefault="003E6864" w:rsidP="003E6864">
            <w:pPr>
              <w:spacing w:before="120"/>
              <w:rPr>
                <w:rFonts w:cs="Segoe UI"/>
                <w:sz w:val="20"/>
              </w:rPr>
            </w:pPr>
            <w:r w:rsidRPr="00AC6F79">
              <w:rPr>
                <w:rFonts w:cs="Segoe UI"/>
                <w:sz w:val="20"/>
              </w:rPr>
              <w:t>Plurality</w:t>
            </w:r>
          </w:p>
        </w:tc>
        <w:tc>
          <w:tcPr>
            <w:tcW w:w="5954" w:type="dxa"/>
          </w:tcPr>
          <w:p w14:paraId="503EDCFB" w14:textId="77777777" w:rsidR="003E6864" w:rsidRPr="00AC6F79" w:rsidRDefault="003E6864" w:rsidP="003E6864">
            <w:pPr>
              <w:spacing w:before="120"/>
              <w:rPr>
                <w:rFonts w:cs="Segoe UI"/>
                <w:sz w:val="20"/>
              </w:rPr>
            </w:pPr>
            <w:r w:rsidRPr="00AC6F79">
              <w:rPr>
                <w:rFonts w:cs="Segoe UI"/>
                <w:sz w:val="20"/>
              </w:rPr>
              <w:t>The number of babies resulting from a pregnancy.</w:t>
            </w:r>
          </w:p>
        </w:tc>
      </w:tr>
      <w:tr w:rsidR="003E6864" w:rsidRPr="00AF16D8" w14:paraId="756A7176" w14:textId="77777777" w:rsidTr="00AC6F79">
        <w:trPr>
          <w:cantSplit/>
        </w:trPr>
        <w:tc>
          <w:tcPr>
            <w:tcW w:w="2376" w:type="dxa"/>
          </w:tcPr>
          <w:p w14:paraId="0ADBCBF0" w14:textId="77777777" w:rsidR="003E6864" w:rsidRPr="00AC6F79" w:rsidRDefault="003E6864" w:rsidP="003E6864">
            <w:pPr>
              <w:spacing w:before="120"/>
              <w:rPr>
                <w:rFonts w:cs="Segoe UI"/>
                <w:sz w:val="20"/>
              </w:rPr>
            </w:pPr>
            <w:r w:rsidRPr="00AC6F79">
              <w:rPr>
                <w:rFonts w:cs="Segoe UI"/>
                <w:sz w:val="20"/>
              </w:rPr>
              <w:t>Postnatal</w:t>
            </w:r>
          </w:p>
        </w:tc>
        <w:tc>
          <w:tcPr>
            <w:tcW w:w="5954" w:type="dxa"/>
          </w:tcPr>
          <w:p w14:paraId="2D2B6911" w14:textId="77777777" w:rsidR="003E6864" w:rsidRPr="00AC6F79" w:rsidRDefault="003E6864" w:rsidP="003E6864">
            <w:pPr>
              <w:spacing w:before="120"/>
              <w:rPr>
                <w:rFonts w:cs="Segoe UI"/>
                <w:sz w:val="20"/>
              </w:rPr>
            </w:pPr>
            <w:r w:rsidRPr="00AC6F79">
              <w:rPr>
                <w:rFonts w:cs="Segoe UI"/>
                <w:sz w:val="20"/>
              </w:rPr>
              <w:t>The period following birth, up to six weeks after birth.</w:t>
            </w:r>
          </w:p>
        </w:tc>
      </w:tr>
      <w:tr w:rsidR="003E6864" w:rsidRPr="00AF16D8" w14:paraId="3D851D68" w14:textId="77777777" w:rsidTr="00AC6F79">
        <w:trPr>
          <w:cantSplit/>
        </w:trPr>
        <w:tc>
          <w:tcPr>
            <w:tcW w:w="2376" w:type="dxa"/>
          </w:tcPr>
          <w:p w14:paraId="0F8FB63A" w14:textId="77777777" w:rsidR="003E6864" w:rsidRPr="00AC6F79" w:rsidRDefault="003E6864" w:rsidP="003E6864">
            <w:pPr>
              <w:spacing w:before="120"/>
              <w:rPr>
                <w:rFonts w:cs="Segoe UI"/>
                <w:sz w:val="20"/>
              </w:rPr>
            </w:pPr>
            <w:r w:rsidRPr="00AC6F79">
              <w:rPr>
                <w:rFonts w:cs="Segoe UI"/>
                <w:sz w:val="20"/>
              </w:rPr>
              <w:t>Preterm birth, preterm labour</w:t>
            </w:r>
          </w:p>
        </w:tc>
        <w:tc>
          <w:tcPr>
            <w:tcW w:w="5954" w:type="dxa"/>
          </w:tcPr>
          <w:p w14:paraId="174E9A60" w14:textId="77777777" w:rsidR="003E6864" w:rsidRPr="00AC6F79" w:rsidRDefault="003E6864" w:rsidP="003E6864">
            <w:pPr>
              <w:spacing w:before="120"/>
              <w:rPr>
                <w:rFonts w:cs="Segoe UI"/>
                <w:sz w:val="20"/>
              </w:rPr>
            </w:pPr>
            <w:r w:rsidRPr="00AC6F79">
              <w:rPr>
                <w:rFonts w:cs="Segoe UI"/>
                <w:sz w:val="20"/>
              </w:rPr>
              <w:t xml:space="preserve">Birth or labour before 37 completed </w:t>
            </w:r>
            <w:proofErr w:type="gramStart"/>
            <w:r w:rsidRPr="00AC6F79">
              <w:rPr>
                <w:rFonts w:cs="Segoe UI"/>
                <w:sz w:val="20"/>
              </w:rPr>
              <w:t>weeks’</w:t>
            </w:r>
            <w:proofErr w:type="gramEnd"/>
            <w:r w:rsidRPr="00AC6F79">
              <w:rPr>
                <w:rFonts w:cs="Segoe UI"/>
                <w:sz w:val="20"/>
              </w:rPr>
              <w:t xml:space="preserve"> of gestation (WHO 1975).</w:t>
            </w:r>
            <w:r>
              <w:rPr>
                <w:rFonts w:cs="Segoe UI"/>
                <w:sz w:val="20"/>
              </w:rPr>
              <w:t xml:space="preserve"> </w:t>
            </w:r>
            <w:r w:rsidRPr="00AC6F79">
              <w:rPr>
                <w:rFonts w:cs="Segoe UI"/>
                <w:sz w:val="20"/>
              </w:rPr>
              <w:t xml:space="preserve">See also </w:t>
            </w:r>
            <w:r w:rsidRPr="00AC6F79">
              <w:rPr>
                <w:rFonts w:cs="Segoe UI"/>
                <w:i/>
                <w:sz w:val="20"/>
              </w:rPr>
              <w:t>Gestation</w:t>
            </w:r>
            <w:r w:rsidRPr="00AC6F79">
              <w:rPr>
                <w:rFonts w:cs="Segoe UI"/>
                <w:sz w:val="20"/>
              </w:rPr>
              <w:t>.</w:t>
            </w:r>
          </w:p>
        </w:tc>
      </w:tr>
      <w:tr w:rsidR="003E6864" w:rsidRPr="00AF16D8" w14:paraId="313EBE56" w14:textId="77777777" w:rsidTr="00AC6F79">
        <w:trPr>
          <w:cantSplit/>
        </w:trPr>
        <w:tc>
          <w:tcPr>
            <w:tcW w:w="2376" w:type="dxa"/>
          </w:tcPr>
          <w:p w14:paraId="36C5F207" w14:textId="77777777" w:rsidR="003E6864" w:rsidRPr="00AC6F79" w:rsidRDefault="003E6864" w:rsidP="003E6864">
            <w:pPr>
              <w:spacing w:before="120"/>
              <w:rPr>
                <w:rFonts w:cs="Segoe UI"/>
                <w:sz w:val="20"/>
              </w:rPr>
            </w:pPr>
            <w:r w:rsidRPr="00AC6F79">
              <w:rPr>
                <w:rFonts w:cs="Segoe UI"/>
                <w:sz w:val="20"/>
              </w:rPr>
              <w:t>Primary maternity facility, primary facility</w:t>
            </w:r>
          </w:p>
        </w:tc>
        <w:tc>
          <w:tcPr>
            <w:tcW w:w="5954" w:type="dxa"/>
          </w:tcPr>
          <w:p w14:paraId="62E2C8D0" w14:textId="75A1FD05" w:rsidR="003E6864" w:rsidRPr="00AC6F79" w:rsidRDefault="003E6864" w:rsidP="003E6864">
            <w:pPr>
              <w:spacing w:before="120"/>
              <w:rPr>
                <w:rFonts w:cs="Segoe UI"/>
                <w:sz w:val="20"/>
              </w:rPr>
            </w:pPr>
            <w:r w:rsidRPr="00AC6F79">
              <w:rPr>
                <w:rFonts w:cs="Segoe UI"/>
                <w:sz w:val="20"/>
              </w:rPr>
              <w:t xml:space="preserve">A maternity unit that provides care for normal births with care provision from midwives. It is specifically for </w:t>
            </w:r>
            <w:r w:rsidR="00977C87">
              <w:rPr>
                <w:rFonts w:cs="Segoe UI"/>
                <w:sz w:val="20"/>
              </w:rPr>
              <w:t>people</w:t>
            </w:r>
            <w:r w:rsidRPr="00AC6F79">
              <w:rPr>
                <w:rFonts w:cs="Segoe UI"/>
                <w:sz w:val="20"/>
              </w:rPr>
              <w:t xml:space="preserve"> assessed as being at low risk of complications for labour and birth care. Access to specialist secondary maternity services and care will require transfer to a secondary or tertiary facility. Primary facilities do not provide epidural analgesia or operative birth services. See also </w:t>
            </w:r>
            <w:r w:rsidRPr="00AC6F79">
              <w:rPr>
                <w:rFonts w:cs="Segoe UI"/>
                <w:i/>
                <w:sz w:val="20"/>
              </w:rPr>
              <w:t>Maternity facility</w:t>
            </w:r>
            <w:r w:rsidRPr="00AC6F79">
              <w:rPr>
                <w:rFonts w:cs="Segoe UI"/>
                <w:sz w:val="20"/>
              </w:rPr>
              <w:t>.</w:t>
            </w:r>
          </w:p>
        </w:tc>
      </w:tr>
      <w:tr w:rsidR="003E6864" w:rsidRPr="00AF16D8" w14:paraId="6D22E46F" w14:textId="77777777" w:rsidTr="00AC6F79">
        <w:trPr>
          <w:cantSplit/>
        </w:trPr>
        <w:tc>
          <w:tcPr>
            <w:tcW w:w="2376" w:type="dxa"/>
          </w:tcPr>
          <w:p w14:paraId="4F18BCDD" w14:textId="6C2BCDD2" w:rsidR="003E6864" w:rsidRPr="00AC6F79" w:rsidRDefault="003E6864" w:rsidP="003E6864">
            <w:pPr>
              <w:spacing w:before="120"/>
              <w:rPr>
                <w:rFonts w:cs="Segoe UI"/>
                <w:sz w:val="20"/>
              </w:rPr>
            </w:pPr>
            <w:r w:rsidRPr="00AC6F79">
              <w:rPr>
                <w:rFonts w:cs="Segoe UI"/>
                <w:sz w:val="20"/>
              </w:rPr>
              <w:t>Primary Maternity Services Notice 2</w:t>
            </w:r>
            <w:r w:rsidR="00380126">
              <w:rPr>
                <w:rFonts w:cs="Segoe UI"/>
                <w:sz w:val="20"/>
              </w:rPr>
              <w:t>021</w:t>
            </w:r>
          </w:p>
        </w:tc>
        <w:tc>
          <w:tcPr>
            <w:tcW w:w="5954" w:type="dxa"/>
          </w:tcPr>
          <w:p w14:paraId="0312390A" w14:textId="382E8E44" w:rsidR="003E6864" w:rsidRPr="00AC6F79" w:rsidRDefault="003E6864" w:rsidP="003E6864">
            <w:pPr>
              <w:spacing w:before="120"/>
              <w:rPr>
                <w:rFonts w:cs="Segoe UI"/>
                <w:sz w:val="20"/>
              </w:rPr>
            </w:pPr>
            <w:r w:rsidRPr="00AC6F79">
              <w:rPr>
                <w:rFonts w:cs="Segoe UI"/>
                <w:sz w:val="20"/>
              </w:rPr>
              <w:t>Notice pursuant to Section 88 of the New Zealand Public Health and Disability Act 2000 that came into force on 1 July 20</w:t>
            </w:r>
            <w:r w:rsidR="00380126">
              <w:rPr>
                <w:rFonts w:cs="Segoe UI"/>
                <w:sz w:val="20"/>
              </w:rPr>
              <w:t>21</w:t>
            </w:r>
            <w:r w:rsidRPr="00AC6F79">
              <w:rPr>
                <w:rFonts w:cs="Segoe UI"/>
                <w:sz w:val="20"/>
              </w:rPr>
              <w:t>.</w:t>
            </w:r>
            <w:r>
              <w:rPr>
                <w:rFonts w:cs="Segoe UI"/>
                <w:sz w:val="20"/>
              </w:rPr>
              <w:t xml:space="preserve"> </w:t>
            </w:r>
          </w:p>
        </w:tc>
      </w:tr>
      <w:tr w:rsidR="003E6864" w:rsidRPr="00AF16D8" w14:paraId="3E1CC295" w14:textId="77777777" w:rsidTr="00AC6F79">
        <w:trPr>
          <w:cantSplit/>
        </w:trPr>
        <w:tc>
          <w:tcPr>
            <w:tcW w:w="2376" w:type="dxa"/>
          </w:tcPr>
          <w:p w14:paraId="6EA2722E" w14:textId="77777777" w:rsidR="003E6864" w:rsidRPr="00AC6F79" w:rsidRDefault="003E6864" w:rsidP="003E6864">
            <w:pPr>
              <w:spacing w:before="120"/>
              <w:rPr>
                <w:rFonts w:cs="Segoe UI"/>
                <w:sz w:val="20"/>
              </w:rPr>
            </w:pPr>
            <w:r w:rsidRPr="00AC6F79">
              <w:rPr>
                <w:rFonts w:cs="Segoe UI"/>
                <w:sz w:val="20"/>
              </w:rPr>
              <w:t>Prioritised ethnicity</w:t>
            </w:r>
          </w:p>
        </w:tc>
        <w:tc>
          <w:tcPr>
            <w:tcW w:w="5954" w:type="dxa"/>
          </w:tcPr>
          <w:p w14:paraId="69034937" w14:textId="77777777" w:rsidR="003E6864" w:rsidRPr="00AC6F79" w:rsidRDefault="003E6864" w:rsidP="003E6864">
            <w:pPr>
              <w:spacing w:before="120"/>
              <w:rPr>
                <w:rFonts w:cs="Segoe UI"/>
                <w:sz w:val="20"/>
              </w:rPr>
            </w:pPr>
            <w:r w:rsidRPr="00AC6F79">
              <w:rPr>
                <w:rFonts w:cs="Segoe UI"/>
                <w:sz w:val="20"/>
              </w:rPr>
              <w:t xml:space="preserve">A system by which </w:t>
            </w:r>
            <w:proofErr w:type="gramStart"/>
            <w:r w:rsidRPr="00AC6F79">
              <w:rPr>
                <w:rFonts w:cs="Segoe UI"/>
                <w:sz w:val="20"/>
              </w:rPr>
              <w:t>each individual</w:t>
            </w:r>
            <w:proofErr w:type="gramEnd"/>
            <w:r w:rsidRPr="00AC6F79">
              <w:rPr>
                <w:rFonts w:cs="Segoe UI"/>
                <w:sz w:val="20"/>
              </w:rPr>
              <w:t xml:space="preserve"> is allocated to a single ethnic group using the priority system Māori &gt; Pacific peoples &gt; Indian &gt; Asian (excluding Indian) &gt; European &gt; Other. See also </w:t>
            </w:r>
            <w:r w:rsidRPr="00AC6F79">
              <w:rPr>
                <w:rFonts w:cs="Segoe UI"/>
                <w:i/>
                <w:sz w:val="20"/>
              </w:rPr>
              <w:t>Ethnicity.</w:t>
            </w:r>
          </w:p>
        </w:tc>
      </w:tr>
      <w:tr w:rsidR="003E6864" w:rsidRPr="00C87FBC" w14:paraId="7E9441F8" w14:textId="77777777" w:rsidTr="00AC6F79">
        <w:trPr>
          <w:cantSplit/>
        </w:trPr>
        <w:tc>
          <w:tcPr>
            <w:tcW w:w="2376" w:type="dxa"/>
          </w:tcPr>
          <w:p w14:paraId="7061B4C7" w14:textId="77777777" w:rsidR="003E6864" w:rsidRPr="00AC6F79" w:rsidRDefault="003E6864" w:rsidP="003E6864">
            <w:pPr>
              <w:spacing w:before="120"/>
              <w:rPr>
                <w:rFonts w:cs="Segoe UI"/>
                <w:sz w:val="20"/>
              </w:rPr>
            </w:pPr>
            <w:r w:rsidRPr="00AC6F79">
              <w:rPr>
                <w:rFonts w:cs="Segoe UI"/>
                <w:sz w:val="20"/>
              </w:rPr>
              <w:t>Proportion</w:t>
            </w:r>
          </w:p>
        </w:tc>
        <w:tc>
          <w:tcPr>
            <w:tcW w:w="5954" w:type="dxa"/>
          </w:tcPr>
          <w:p w14:paraId="6F6130A6" w14:textId="3728C02E" w:rsidR="003E6864" w:rsidRPr="00AC6F79" w:rsidRDefault="003E6864" w:rsidP="003E6864">
            <w:pPr>
              <w:spacing w:before="120"/>
              <w:rPr>
                <w:rFonts w:cs="Segoe UI"/>
                <w:sz w:val="20"/>
              </w:rPr>
            </w:pPr>
            <w:r w:rsidRPr="00AC6F79">
              <w:rPr>
                <w:rFonts w:cs="Segoe UI"/>
                <w:sz w:val="20"/>
              </w:rPr>
              <w:t xml:space="preserve">A part, share or number considered in comparative relation to a whole. Proportions are calculated by dividing the numerator by the </w:t>
            </w:r>
            <w:r w:rsidR="003754E2" w:rsidRPr="00AC6F79">
              <w:rPr>
                <w:rFonts w:cs="Segoe UI"/>
                <w:sz w:val="20"/>
              </w:rPr>
              <w:t>denominator and</w:t>
            </w:r>
            <w:r w:rsidRPr="00AC6F79">
              <w:rPr>
                <w:rFonts w:cs="Segoe UI"/>
                <w:sz w:val="20"/>
              </w:rPr>
              <w:t xml:space="preserve"> are expressed as a percentage in this </w:t>
            </w:r>
            <w:r>
              <w:rPr>
                <w:rFonts w:cs="Segoe UI"/>
                <w:sz w:val="20"/>
              </w:rPr>
              <w:t>web tool</w:t>
            </w:r>
            <w:r w:rsidRPr="00AC6F79">
              <w:rPr>
                <w:rFonts w:cs="Segoe UI"/>
                <w:sz w:val="20"/>
              </w:rPr>
              <w:t>.</w:t>
            </w:r>
            <w:r w:rsidRPr="00AC6F79">
              <w:rPr>
                <w:rFonts w:cs="Segoe UI"/>
                <w:i/>
                <w:sz w:val="20"/>
              </w:rPr>
              <w:t xml:space="preserve"> </w:t>
            </w:r>
            <w:r w:rsidRPr="00AC6F79">
              <w:rPr>
                <w:rFonts w:cs="Segoe UI"/>
                <w:sz w:val="20"/>
              </w:rPr>
              <w:t xml:space="preserve">See also </w:t>
            </w:r>
            <w:r w:rsidRPr="00AC6F79">
              <w:rPr>
                <w:rFonts w:cs="Segoe UI"/>
                <w:i/>
                <w:sz w:val="20"/>
              </w:rPr>
              <w:t>Denominator</w:t>
            </w:r>
            <w:r w:rsidRPr="00AC6F79">
              <w:rPr>
                <w:rFonts w:cs="Segoe UI"/>
                <w:sz w:val="20"/>
              </w:rPr>
              <w:t>;</w:t>
            </w:r>
            <w:r w:rsidRPr="00AC6F79">
              <w:rPr>
                <w:rFonts w:cs="Segoe UI"/>
                <w:i/>
                <w:sz w:val="20"/>
              </w:rPr>
              <w:t xml:space="preserve"> Numerator</w:t>
            </w:r>
            <w:r w:rsidRPr="00AC6F79">
              <w:rPr>
                <w:rFonts w:cs="Segoe UI"/>
                <w:sz w:val="20"/>
              </w:rPr>
              <w:t>.</w:t>
            </w:r>
          </w:p>
        </w:tc>
      </w:tr>
      <w:tr w:rsidR="003E6864" w:rsidRPr="00C87FBC" w14:paraId="0F92E091" w14:textId="77777777" w:rsidTr="00AC6F79">
        <w:trPr>
          <w:cantSplit/>
        </w:trPr>
        <w:tc>
          <w:tcPr>
            <w:tcW w:w="2376" w:type="dxa"/>
          </w:tcPr>
          <w:p w14:paraId="18B3B611" w14:textId="77777777" w:rsidR="003E6864" w:rsidRPr="00AC6F79" w:rsidRDefault="003E6864" w:rsidP="003E6864">
            <w:pPr>
              <w:spacing w:before="120"/>
              <w:rPr>
                <w:rFonts w:cs="Segoe UI"/>
                <w:sz w:val="20"/>
              </w:rPr>
            </w:pPr>
            <w:r w:rsidRPr="00AC6F79">
              <w:rPr>
                <w:rFonts w:cs="Segoe UI"/>
                <w:sz w:val="20"/>
              </w:rPr>
              <w:t>Reproductive age</w:t>
            </w:r>
          </w:p>
        </w:tc>
        <w:tc>
          <w:tcPr>
            <w:tcW w:w="5954" w:type="dxa"/>
          </w:tcPr>
          <w:p w14:paraId="415C5E1A" w14:textId="77777777" w:rsidR="003E6864" w:rsidRPr="00AC6F79" w:rsidRDefault="003E6864" w:rsidP="003E6864">
            <w:pPr>
              <w:spacing w:before="120"/>
              <w:rPr>
                <w:rFonts w:cs="Segoe UI"/>
                <w:sz w:val="20"/>
              </w:rPr>
            </w:pPr>
            <w:r w:rsidRPr="00AC6F79">
              <w:rPr>
                <w:rFonts w:cs="Segoe UI"/>
                <w:sz w:val="20"/>
              </w:rPr>
              <w:t>Aged between 15 and 44 years.</w:t>
            </w:r>
          </w:p>
        </w:tc>
      </w:tr>
      <w:tr w:rsidR="003E6864" w:rsidRPr="00C87FBC" w14:paraId="7E900140" w14:textId="77777777" w:rsidTr="00AC6F79">
        <w:trPr>
          <w:cantSplit/>
        </w:trPr>
        <w:tc>
          <w:tcPr>
            <w:tcW w:w="2376" w:type="dxa"/>
          </w:tcPr>
          <w:p w14:paraId="10BDDB58" w14:textId="77777777" w:rsidR="003E6864" w:rsidRPr="00AC6F79" w:rsidRDefault="003E6864" w:rsidP="003E6864">
            <w:pPr>
              <w:spacing w:before="120"/>
              <w:rPr>
                <w:rFonts w:cs="Segoe UI"/>
                <w:sz w:val="20"/>
              </w:rPr>
            </w:pPr>
            <w:r w:rsidRPr="00AC6F79">
              <w:rPr>
                <w:rFonts w:cs="Segoe UI"/>
                <w:sz w:val="20"/>
              </w:rPr>
              <w:t>Secondary maternity facility, secondary facility</w:t>
            </w:r>
          </w:p>
        </w:tc>
        <w:tc>
          <w:tcPr>
            <w:tcW w:w="5954" w:type="dxa"/>
          </w:tcPr>
          <w:p w14:paraId="5E946914" w14:textId="77777777" w:rsidR="003E6864" w:rsidRPr="00AC6F79" w:rsidRDefault="003E6864" w:rsidP="003E6864">
            <w:pPr>
              <w:spacing w:before="120"/>
              <w:rPr>
                <w:rFonts w:cs="Segoe UI"/>
                <w:sz w:val="20"/>
              </w:rPr>
            </w:pPr>
            <w:r w:rsidRPr="00AC6F79">
              <w:rPr>
                <w:rFonts w:cs="Segoe UI"/>
                <w:sz w:val="20"/>
              </w:rPr>
              <w:t xml:space="preserve">A hospital that can provide care for normal births, complicated pregnancies and births, including operative births and caesarean sections, plus specialist adjunct services including anaesthetics and paediatrics. As a minimum, secondary facilities include an obstetrician rostered on site during working hours and on call after hours, with access to support from an anaesthetist, paediatrician, radiological, laboratory and neonatal services (Ministry of Health 2012). See also </w:t>
            </w:r>
            <w:r w:rsidRPr="00AC6F79">
              <w:rPr>
                <w:rFonts w:cs="Segoe UI"/>
                <w:i/>
                <w:sz w:val="20"/>
              </w:rPr>
              <w:t>Maternity facility</w:t>
            </w:r>
            <w:r w:rsidRPr="00AC6F79">
              <w:rPr>
                <w:rFonts w:cs="Segoe UI"/>
                <w:sz w:val="20"/>
              </w:rPr>
              <w:t>.</w:t>
            </w:r>
          </w:p>
        </w:tc>
      </w:tr>
      <w:tr w:rsidR="003E6864" w:rsidRPr="00C87FBC" w14:paraId="0C4872B9" w14:textId="77777777" w:rsidTr="00AC6F79">
        <w:trPr>
          <w:cantSplit/>
        </w:trPr>
        <w:tc>
          <w:tcPr>
            <w:tcW w:w="2376" w:type="dxa"/>
          </w:tcPr>
          <w:p w14:paraId="758CDE0C" w14:textId="77777777" w:rsidR="003E6864" w:rsidRPr="00AC6F79" w:rsidRDefault="003E6864" w:rsidP="003E6864">
            <w:pPr>
              <w:spacing w:before="120"/>
              <w:rPr>
                <w:rFonts w:cs="Segoe UI"/>
                <w:sz w:val="20"/>
              </w:rPr>
            </w:pPr>
            <w:r w:rsidRPr="00AC6F79">
              <w:rPr>
                <w:rFonts w:cs="Segoe UI"/>
                <w:sz w:val="20"/>
              </w:rPr>
              <w:t>Spontaneous breech birth</w:t>
            </w:r>
          </w:p>
        </w:tc>
        <w:tc>
          <w:tcPr>
            <w:tcW w:w="5954" w:type="dxa"/>
          </w:tcPr>
          <w:p w14:paraId="382F5E7B" w14:textId="77777777" w:rsidR="003E6864" w:rsidRPr="00AC6F79" w:rsidRDefault="003E6864" w:rsidP="003E6864">
            <w:pPr>
              <w:spacing w:before="120"/>
              <w:rPr>
                <w:rFonts w:cs="Segoe UI"/>
                <w:sz w:val="20"/>
              </w:rPr>
            </w:pPr>
            <w:r w:rsidRPr="00AC6F79">
              <w:rPr>
                <w:rFonts w:cs="Segoe UI"/>
                <w:sz w:val="20"/>
              </w:rPr>
              <w:t xml:space="preserve">The birth of a baby in a breech presentation without obstetric intervention to facilitate delivery. See also </w:t>
            </w:r>
            <w:r w:rsidRPr="00AC6F79">
              <w:rPr>
                <w:rFonts w:cs="Segoe UI"/>
                <w:i/>
                <w:sz w:val="20"/>
              </w:rPr>
              <w:t>Breech birth</w:t>
            </w:r>
            <w:r w:rsidRPr="00AC6F79">
              <w:rPr>
                <w:rFonts w:cs="Segoe UI"/>
                <w:sz w:val="20"/>
              </w:rPr>
              <w:t>;</w:t>
            </w:r>
            <w:r w:rsidRPr="00AC6F79">
              <w:rPr>
                <w:rFonts w:cs="Segoe UI"/>
                <w:i/>
                <w:sz w:val="20"/>
              </w:rPr>
              <w:t xml:space="preserve"> Spontaneous vaginal birth</w:t>
            </w:r>
            <w:r w:rsidRPr="00AC6F79">
              <w:rPr>
                <w:rFonts w:cs="Segoe UI"/>
                <w:sz w:val="20"/>
              </w:rPr>
              <w:t>.</w:t>
            </w:r>
          </w:p>
        </w:tc>
      </w:tr>
      <w:tr w:rsidR="003E6864" w:rsidRPr="00C87FBC" w14:paraId="43139F93" w14:textId="77777777" w:rsidTr="00AC6F79">
        <w:trPr>
          <w:cantSplit/>
        </w:trPr>
        <w:tc>
          <w:tcPr>
            <w:tcW w:w="2376" w:type="dxa"/>
          </w:tcPr>
          <w:p w14:paraId="5265D51C" w14:textId="77777777" w:rsidR="003E6864" w:rsidRPr="00AC6F79" w:rsidRDefault="003E6864" w:rsidP="003E6864">
            <w:pPr>
              <w:spacing w:before="120"/>
              <w:rPr>
                <w:rFonts w:cs="Segoe UI"/>
                <w:sz w:val="20"/>
              </w:rPr>
            </w:pPr>
            <w:r w:rsidRPr="00AC6F79">
              <w:rPr>
                <w:rFonts w:cs="Segoe UI"/>
                <w:sz w:val="20"/>
              </w:rPr>
              <w:t>Spontaneous vaginal birth</w:t>
            </w:r>
          </w:p>
        </w:tc>
        <w:tc>
          <w:tcPr>
            <w:tcW w:w="5954" w:type="dxa"/>
          </w:tcPr>
          <w:p w14:paraId="27AD6BF7" w14:textId="77777777" w:rsidR="003E6864" w:rsidRPr="00AC6F79" w:rsidRDefault="003E6864" w:rsidP="003E6864">
            <w:pPr>
              <w:spacing w:before="120"/>
              <w:rPr>
                <w:rFonts w:cs="Segoe UI"/>
                <w:sz w:val="20"/>
              </w:rPr>
            </w:pPr>
            <w:r w:rsidRPr="00AC6F79">
              <w:rPr>
                <w:rFonts w:cs="Segoe UI"/>
                <w:sz w:val="20"/>
              </w:rPr>
              <w:t>A vaginal birth without obstetric intervention to facilitate delivery. Includes spontaneous vertex and spontaneous breech births.</w:t>
            </w:r>
          </w:p>
        </w:tc>
      </w:tr>
      <w:tr w:rsidR="003E6864" w:rsidRPr="00C87FBC" w14:paraId="58DABBFB" w14:textId="77777777" w:rsidTr="00AC6F79">
        <w:trPr>
          <w:cantSplit/>
        </w:trPr>
        <w:tc>
          <w:tcPr>
            <w:tcW w:w="2376" w:type="dxa"/>
          </w:tcPr>
          <w:p w14:paraId="62DD90C2" w14:textId="77777777" w:rsidR="003E6864" w:rsidRPr="00AC6F79" w:rsidRDefault="003E6864" w:rsidP="003E6864">
            <w:pPr>
              <w:spacing w:before="120"/>
              <w:rPr>
                <w:rFonts w:cs="Segoe UI"/>
                <w:sz w:val="20"/>
              </w:rPr>
            </w:pPr>
            <w:r w:rsidRPr="00AC6F79">
              <w:rPr>
                <w:rFonts w:cs="Segoe UI"/>
                <w:sz w:val="20"/>
              </w:rPr>
              <w:t>Spontaneous vertex birth</w:t>
            </w:r>
          </w:p>
        </w:tc>
        <w:tc>
          <w:tcPr>
            <w:tcW w:w="5954" w:type="dxa"/>
          </w:tcPr>
          <w:p w14:paraId="690751D1" w14:textId="77777777" w:rsidR="003E6864" w:rsidRPr="00AC6F79" w:rsidRDefault="003E6864" w:rsidP="003E6864">
            <w:pPr>
              <w:spacing w:before="120"/>
              <w:rPr>
                <w:rFonts w:cs="Segoe UI"/>
                <w:sz w:val="20"/>
              </w:rPr>
            </w:pPr>
            <w:r w:rsidRPr="00AC6F79">
              <w:rPr>
                <w:rFonts w:cs="Segoe UI"/>
                <w:sz w:val="20"/>
              </w:rPr>
              <w:t xml:space="preserve">The birth of a baby in a vertex presentation without any obstetric intervention to facilitate delivery. See also </w:t>
            </w:r>
            <w:r w:rsidRPr="00AC6F79">
              <w:rPr>
                <w:rFonts w:cs="Segoe UI"/>
                <w:i/>
                <w:sz w:val="20"/>
              </w:rPr>
              <w:t>Spontaneous vaginal birth</w:t>
            </w:r>
            <w:r w:rsidRPr="00AC6F79">
              <w:rPr>
                <w:rFonts w:cs="Segoe UI"/>
                <w:sz w:val="20"/>
              </w:rPr>
              <w:t>.</w:t>
            </w:r>
          </w:p>
        </w:tc>
      </w:tr>
      <w:tr w:rsidR="003E6864" w:rsidRPr="00C87FBC" w14:paraId="017296BC" w14:textId="77777777" w:rsidTr="00AC6F79">
        <w:trPr>
          <w:cantSplit/>
        </w:trPr>
        <w:tc>
          <w:tcPr>
            <w:tcW w:w="2376" w:type="dxa"/>
          </w:tcPr>
          <w:p w14:paraId="5A6A6C17" w14:textId="77777777" w:rsidR="003E6864" w:rsidRPr="00AC6F79" w:rsidRDefault="003E6864" w:rsidP="003E6864">
            <w:pPr>
              <w:spacing w:before="120"/>
              <w:rPr>
                <w:rFonts w:cs="Segoe UI"/>
                <w:sz w:val="20"/>
              </w:rPr>
            </w:pPr>
            <w:r w:rsidRPr="00AC6F79">
              <w:rPr>
                <w:rFonts w:cs="Segoe UI"/>
                <w:sz w:val="20"/>
              </w:rPr>
              <w:lastRenderedPageBreak/>
              <w:t>Stillbirth, stillborn baby</w:t>
            </w:r>
          </w:p>
        </w:tc>
        <w:tc>
          <w:tcPr>
            <w:tcW w:w="5954" w:type="dxa"/>
          </w:tcPr>
          <w:p w14:paraId="3FC19B60" w14:textId="77777777" w:rsidR="003E6864" w:rsidRPr="00AC6F79" w:rsidRDefault="003E6864" w:rsidP="003E6864">
            <w:pPr>
              <w:spacing w:before="120"/>
              <w:rPr>
                <w:rFonts w:cs="Segoe UI"/>
                <w:sz w:val="20"/>
              </w:rPr>
            </w:pPr>
            <w:r w:rsidRPr="00AC6F79">
              <w:rPr>
                <w:rFonts w:cs="Segoe UI"/>
                <w:sz w:val="20"/>
              </w:rPr>
              <w:t xml:space="preserve">A dead </w:t>
            </w:r>
            <w:proofErr w:type="spellStart"/>
            <w:r w:rsidRPr="00AC6F79">
              <w:rPr>
                <w:rFonts w:cs="Segoe UI"/>
                <w:sz w:val="20"/>
              </w:rPr>
              <w:t>fetus</w:t>
            </w:r>
            <w:proofErr w:type="spellEnd"/>
            <w:r w:rsidRPr="00AC6F79">
              <w:rPr>
                <w:rFonts w:cs="Segoe UI"/>
                <w:sz w:val="20"/>
              </w:rPr>
              <w:t xml:space="preserve"> that (a) weighed 400 g or more when issued from its mother, or (b) issued from its mother after the 20th week of pregnancy (Births, Deaths, Marriages, and Relationships Registration Act 1995). See also </w:t>
            </w:r>
            <w:r w:rsidRPr="00AC6F79">
              <w:rPr>
                <w:rFonts w:cs="Segoe UI"/>
                <w:i/>
                <w:sz w:val="20"/>
              </w:rPr>
              <w:t>Birth</w:t>
            </w:r>
            <w:r w:rsidRPr="00AC6F79">
              <w:rPr>
                <w:rFonts w:cs="Segoe UI"/>
                <w:sz w:val="20"/>
              </w:rPr>
              <w:t>.</w:t>
            </w:r>
          </w:p>
        </w:tc>
      </w:tr>
      <w:tr w:rsidR="003E6864" w:rsidRPr="00C87FBC" w14:paraId="7B38077B" w14:textId="77777777" w:rsidTr="00AC6F79">
        <w:trPr>
          <w:cantSplit/>
        </w:trPr>
        <w:tc>
          <w:tcPr>
            <w:tcW w:w="2376" w:type="dxa"/>
          </w:tcPr>
          <w:p w14:paraId="240D4A25" w14:textId="77777777" w:rsidR="003E6864" w:rsidRPr="00AC6F79" w:rsidRDefault="003E6864" w:rsidP="003E6864">
            <w:pPr>
              <w:spacing w:before="120"/>
              <w:rPr>
                <w:rFonts w:cs="Segoe UI"/>
                <w:sz w:val="20"/>
              </w:rPr>
            </w:pPr>
            <w:r w:rsidRPr="00AC6F79">
              <w:rPr>
                <w:rFonts w:cs="Segoe UI"/>
                <w:sz w:val="20"/>
              </w:rPr>
              <w:t>Term birth, term labour</w:t>
            </w:r>
          </w:p>
        </w:tc>
        <w:tc>
          <w:tcPr>
            <w:tcW w:w="5954" w:type="dxa"/>
          </w:tcPr>
          <w:p w14:paraId="2CE2287D" w14:textId="77777777" w:rsidR="003E6864" w:rsidRPr="00AC6F79" w:rsidRDefault="003E6864" w:rsidP="003E6864">
            <w:pPr>
              <w:spacing w:before="120"/>
              <w:rPr>
                <w:rFonts w:cs="Segoe UI"/>
                <w:sz w:val="20"/>
              </w:rPr>
            </w:pPr>
            <w:r w:rsidRPr="00AC6F79">
              <w:rPr>
                <w:rFonts w:cs="Segoe UI"/>
                <w:sz w:val="20"/>
              </w:rPr>
              <w:t xml:space="preserve">Birth or labour at 37–41 completed weeks’ gestation (WHO 1975). See also </w:t>
            </w:r>
            <w:r w:rsidRPr="00AC6F79">
              <w:rPr>
                <w:rFonts w:cs="Segoe UI"/>
                <w:i/>
                <w:sz w:val="20"/>
              </w:rPr>
              <w:t>Gestation</w:t>
            </w:r>
            <w:r w:rsidRPr="00AC6F79">
              <w:rPr>
                <w:rFonts w:cs="Segoe UI"/>
                <w:sz w:val="20"/>
              </w:rPr>
              <w:t>.</w:t>
            </w:r>
          </w:p>
        </w:tc>
      </w:tr>
      <w:tr w:rsidR="003E6864" w:rsidRPr="00C87FBC" w14:paraId="32C83AE2" w14:textId="77777777" w:rsidTr="00AC6F79">
        <w:trPr>
          <w:cantSplit/>
        </w:trPr>
        <w:tc>
          <w:tcPr>
            <w:tcW w:w="2376" w:type="dxa"/>
          </w:tcPr>
          <w:p w14:paraId="2F83E77E" w14:textId="77777777" w:rsidR="003E6864" w:rsidRPr="00AC6F79" w:rsidRDefault="003E6864" w:rsidP="003E6864">
            <w:pPr>
              <w:spacing w:before="120"/>
              <w:rPr>
                <w:rFonts w:cs="Segoe UI"/>
                <w:sz w:val="20"/>
              </w:rPr>
            </w:pPr>
            <w:r w:rsidRPr="00AC6F79">
              <w:rPr>
                <w:rFonts w:cs="Segoe UI"/>
                <w:sz w:val="20"/>
              </w:rPr>
              <w:t>Tertiary maternity facility, tertiary facility</w:t>
            </w:r>
          </w:p>
        </w:tc>
        <w:tc>
          <w:tcPr>
            <w:tcW w:w="5954" w:type="dxa"/>
          </w:tcPr>
          <w:p w14:paraId="72549AEC" w14:textId="2E4EC70B" w:rsidR="003E6864" w:rsidRPr="00AC6F79" w:rsidRDefault="003E6864" w:rsidP="003E6864">
            <w:pPr>
              <w:spacing w:before="120"/>
              <w:rPr>
                <w:rFonts w:cs="Segoe UI"/>
                <w:sz w:val="20"/>
              </w:rPr>
            </w:pPr>
            <w:r w:rsidRPr="00AC6F79">
              <w:rPr>
                <w:rFonts w:cs="Segoe UI"/>
                <w:sz w:val="20"/>
              </w:rPr>
              <w:t xml:space="preserve">A hospital that can provide care for </w:t>
            </w:r>
            <w:r w:rsidR="00977C87">
              <w:rPr>
                <w:rFonts w:cs="Segoe UI"/>
                <w:sz w:val="20"/>
              </w:rPr>
              <w:t>people</w:t>
            </w:r>
            <w:r w:rsidRPr="00AC6F79">
              <w:rPr>
                <w:rFonts w:cs="Segoe UI"/>
                <w:sz w:val="20"/>
              </w:rPr>
              <w:t xml:space="preserve"> with high-risk, complex pregnancies, by specialised multidisciplinary teams. Tertiary maternity care includes an obstetric specialist or registrar immediately available on site 24 hours a day and an on-site, level 3 neonatal service (Ministry of Health 2012). See also </w:t>
            </w:r>
            <w:r w:rsidRPr="00AC6F79">
              <w:rPr>
                <w:rFonts w:cs="Segoe UI"/>
                <w:i/>
                <w:sz w:val="20"/>
              </w:rPr>
              <w:t>Maternity facility</w:t>
            </w:r>
            <w:r w:rsidRPr="00AC6F79">
              <w:rPr>
                <w:rFonts w:cs="Segoe UI"/>
                <w:sz w:val="20"/>
              </w:rPr>
              <w:t>.</w:t>
            </w:r>
          </w:p>
        </w:tc>
      </w:tr>
      <w:tr w:rsidR="003E6864" w:rsidRPr="00C87FBC" w14:paraId="33231618" w14:textId="77777777" w:rsidTr="00AC6F79">
        <w:trPr>
          <w:cantSplit/>
        </w:trPr>
        <w:tc>
          <w:tcPr>
            <w:tcW w:w="2376" w:type="dxa"/>
          </w:tcPr>
          <w:p w14:paraId="4687C05A" w14:textId="77777777" w:rsidR="003E6864" w:rsidRPr="00AC6F79" w:rsidRDefault="003E6864" w:rsidP="003E6864">
            <w:pPr>
              <w:spacing w:before="120"/>
              <w:rPr>
                <w:rFonts w:cs="Segoe UI"/>
                <w:sz w:val="20"/>
              </w:rPr>
            </w:pPr>
            <w:r w:rsidRPr="00AC6F79">
              <w:rPr>
                <w:rFonts w:cs="Segoe UI"/>
                <w:sz w:val="20"/>
              </w:rPr>
              <w:t>Trimester</w:t>
            </w:r>
          </w:p>
        </w:tc>
        <w:tc>
          <w:tcPr>
            <w:tcW w:w="5954" w:type="dxa"/>
          </w:tcPr>
          <w:p w14:paraId="60EB04C6" w14:textId="50F598D1" w:rsidR="003E6864" w:rsidRPr="00AC6F79" w:rsidRDefault="003E6864" w:rsidP="003E6864">
            <w:pPr>
              <w:spacing w:before="120"/>
              <w:rPr>
                <w:rFonts w:cs="Segoe UI"/>
                <w:sz w:val="20"/>
              </w:rPr>
            </w:pPr>
            <w:r w:rsidRPr="00AC6F79">
              <w:rPr>
                <w:rFonts w:cs="Segoe UI"/>
                <w:sz w:val="20"/>
              </w:rPr>
              <w:t xml:space="preserve">One of three periods into which a </w:t>
            </w:r>
            <w:r w:rsidR="005835DE">
              <w:rPr>
                <w:rFonts w:cs="Segoe UI"/>
                <w:sz w:val="20"/>
              </w:rPr>
              <w:t>person’s</w:t>
            </w:r>
            <w:r w:rsidRPr="00AC6F79">
              <w:rPr>
                <w:rFonts w:cs="Segoe UI"/>
                <w:sz w:val="20"/>
              </w:rPr>
              <w:t xml:space="preserve"> pregnancy is divided: first trimester: &lt;13 weeks’ gestation; second trimester:</w:t>
            </w:r>
            <w:r>
              <w:rPr>
                <w:rFonts w:cs="Segoe UI"/>
                <w:sz w:val="20"/>
              </w:rPr>
              <w:br/>
            </w:r>
            <w:r w:rsidRPr="00AC6F79">
              <w:rPr>
                <w:rFonts w:cs="Segoe UI"/>
                <w:sz w:val="20"/>
              </w:rPr>
              <w:t>13–28 weeks’ gestation; third trimester: 29+ weeks’ gestation.</w:t>
            </w:r>
          </w:p>
        </w:tc>
      </w:tr>
      <w:tr w:rsidR="003E6864" w:rsidRPr="00C87FBC" w14:paraId="210B7119" w14:textId="77777777" w:rsidTr="00AC6F79">
        <w:trPr>
          <w:cantSplit/>
        </w:trPr>
        <w:tc>
          <w:tcPr>
            <w:tcW w:w="2376" w:type="dxa"/>
          </w:tcPr>
          <w:p w14:paraId="64135B5A" w14:textId="4219AA2E" w:rsidR="003E6864" w:rsidRPr="00AC6F79" w:rsidRDefault="003E6864" w:rsidP="003E6864">
            <w:pPr>
              <w:spacing w:before="120"/>
              <w:rPr>
                <w:rFonts w:cs="Segoe UI"/>
                <w:sz w:val="20"/>
              </w:rPr>
            </w:pPr>
            <w:r>
              <w:rPr>
                <w:rFonts w:cs="Segoe UI"/>
                <w:sz w:val="20"/>
              </w:rPr>
              <w:t>Vacuum extraction</w:t>
            </w:r>
          </w:p>
        </w:tc>
        <w:tc>
          <w:tcPr>
            <w:tcW w:w="5954" w:type="dxa"/>
          </w:tcPr>
          <w:p w14:paraId="55A47438" w14:textId="6DA28AE3" w:rsidR="003E6864" w:rsidRPr="00AC6F79" w:rsidRDefault="003E6864" w:rsidP="003E6864">
            <w:pPr>
              <w:spacing w:before="120"/>
              <w:rPr>
                <w:rFonts w:cs="Segoe UI"/>
                <w:sz w:val="20"/>
              </w:rPr>
            </w:pPr>
            <w:r w:rsidRPr="00AC6F79">
              <w:rPr>
                <w:rFonts w:cs="Segoe UI"/>
                <w:sz w:val="20"/>
              </w:rPr>
              <w:t xml:space="preserve">See </w:t>
            </w:r>
            <w:r w:rsidR="00854D1C">
              <w:rPr>
                <w:rFonts w:cs="Segoe UI"/>
                <w:i/>
                <w:sz w:val="20"/>
              </w:rPr>
              <w:t>Instrumental</w:t>
            </w:r>
            <w:r w:rsidRPr="00AC6F79">
              <w:rPr>
                <w:rFonts w:cs="Segoe UI"/>
                <w:i/>
                <w:sz w:val="20"/>
              </w:rPr>
              <w:t xml:space="preserve"> birth</w:t>
            </w:r>
            <w:r w:rsidRPr="00AC6F79">
              <w:rPr>
                <w:rFonts w:cs="Segoe UI"/>
                <w:sz w:val="20"/>
              </w:rPr>
              <w:t>,</w:t>
            </w:r>
            <w:r w:rsidRPr="00AC6F79">
              <w:rPr>
                <w:rFonts w:cs="Segoe UI"/>
                <w:i/>
                <w:sz w:val="20"/>
              </w:rPr>
              <w:t xml:space="preserve"> </w:t>
            </w:r>
            <w:r>
              <w:rPr>
                <w:rFonts w:cs="Segoe UI"/>
                <w:i/>
                <w:sz w:val="20"/>
              </w:rPr>
              <w:t>vacuum extraction</w:t>
            </w:r>
            <w:r w:rsidRPr="00AC6F79">
              <w:rPr>
                <w:rFonts w:cs="Segoe UI"/>
                <w:sz w:val="20"/>
              </w:rPr>
              <w:t>.</w:t>
            </w:r>
          </w:p>
        </w:tc>
      </w:tr>
      <w:tr w:rsidR="003E6864" w:rsidRPr="00C87FBC" w14:paraId="112A36DF" w14:textId="77777777" w:rsidTr="00AC6F79">
        <w:trPr>
          <w:cantSplit/>
        </w:trPr>
        <w:tc>
          <w:tcPr>
            <w:tcW w:w="2376" w:type="dxa"/>
          </w:tcPr>
          <w:p w14:paraId="4EFE7D02" w14:textId="77777777" w:rsidR="003E6864" w:rsidRPr="00AC6F79" w:rsidRDefault="003E6864" w:rsidP="003E6864">
            <w:pPr>
              <w:spacing w:before="120"/>
              <w:rPr>
                <w:rFonts w:cs="Segoe UI"/>
                <w:sz w:val="20"/>
              </w:rPr>
            </w:pPr>
            <w:r w:rsidRPr="00AC6F79">
              <w:rPr>
                <w:rFonts w:cs="Segoe UI"/>
                <w:sz w:val="20"/>
              </w:rPr>
              <w:t>Well Child/Tamariki Ora</w:t>
            </w:r>
          </w:p>
        </w:tc>
        <w:tc>
          <w:tcPr>
            <w:tcW w:w="5954" w:type="dxa"/>
          </w:tcPr>
          <w:p w14:paraId="140EA705" w14:textId="77777777" w:rsidR="003E6864" w:rsidRPr="00AC6F79" w:rsidRDefault="003E6864" w:rsidP="003E6864">
            <w:pPr>
              <w:spacing w:before="120"/>
              <w:rPr>
                <w:rFonts w:cs="Segoe UI"/>
                <w:sz w:val="20"/>
              </w:rPr>
            </w:pPr>
            <w:r w:rsidRPr="00AC6F79">
              <w:rPr>
                <w:rFonts w:cs="Segoe UI"/>
                <w:sz w:val="20"/>
              </w:rPr>
              <w:t>The Well Child/Tamariki Ora programme is a package of universal health services offered free to all New Zealand families/whānau for children from birth to five years.</w:t>
            </w:r>
          </w:p>
        </w:tc>
      </w:tr>
    </w:tbl>
    <w:p w14:paraId="16535D57" w14:textId="77777777" w:rsidR="00686C9E" w:rsidRPr="00C87FBC" w:rsidRDefault="00686C9E" w:rsidP="00686C9E"/>
    <w:p w14:paraId="17308748" w14:textId="77777777" w:rsidR="00686C9E" w:rsidRPr="00C87FBC" w:rsidRDefault="00686C9E" w:rsidP="00AC6F79">
      <w:pPr>
        <w:pStyle w:val="Heading1"/>
      </w:pPr>
      <w:bookmarkStart w:id="116" w:name="_Toc405887021"/>
      <w:bookmarkStart w:id="117" w:name="_Toc412122417"/>
      <w:bookmarkStart w:id="118" w:name="_Toc431462741"/>
      <w:bookmarkStart w:id="119" w:name="_Toc479583279"/>
      <w:bookmarkStart w:id="120" w:name="_Toc485542647"/>
      <w:bookmarkStart w:id="121" w:name="_Toc165466924"/>
      <w:r w:rsidRPr="00C87FBC">
        <w:lastRenderedPageBreak/>
        <w:t>Appendices</w:t>
      </w:r>
      <w:bookmarkEnd w:id="116"/>
      <w:bookmarkEnd w:id="117"/>
      <w:bookmarkEnd w:id="118"/>
      <w:bookmarkEnd w:id="119"/>
      <w:bookmarkEnd w:id="120"/>
      <w:bookmarkEnd w:id="121"/>
    </w:p>
    <w:p w14:paraId="3BC2A33B" w14:textId="77777777" w:rsidR="00686C9E" w:rsidRPr="00AD57BB" w:rsidRDefault="00686C9E" w:rsidP="00AC6F79">
      <w:r w:rsidRPr="00C87FBC">
        <w:t>The appendices are as follows:</w:t>
      </w:r>
    </w:p>
    <w:p w14:paraId="34FCF29D" w14:textId="77777777" w:rsidR="00686C9E" w:rsidRPr="00C87FBC" w:rsidRDefault="00686C9E" w:rsidP="00AC6F79">
      <w:pPr>
        <w:pStyle w:val="Bullet"/>
      </w:pPr>
      <w:r w:rsidRPr="00C87FBC">
        <w:t>Appendix 1: Maternity model of care</w:t>
      </w:r>
    </w:p>
    <w:p w14:paraId="66F44541" w14:textId="77777777" w:rsidR="00686C9E" w:rsidRPr="00C87FBC" w:rsidRDefault="00686C9E" w:rsidP="00AC6F79">
      <w:pPr>
        <w:pStyle w:val="Bullet"/>
      </w:pPr>
      <w:r w:rsidRPr="00C87FBC">
        <w:t>Appendix 2: National Maternity Collection</w:t>
      </w:r>
    </w:p>
    <w:p w14:paraId="52C676F9" w14:textId="77777777" w:rsidR="00686C9E" w:rsidRPr="00C87FBC" w:rsidRDefault="00686C9E" w:rsidP="00AC6F79"/>
    <w:p w14:paraId="56F4A501" w14:textId="77777777" w:rsidR="00CB2AC0" w:rsidRPr="00C87FBC" w:rsidRDefault="00CB2AC0" w:rsidP="00CB2AC0">
      <w:pPr>
        <w:pStyle w:val="Heading2"/>
        <w:keepNext w:val="0"/>
        <w:pageBreakBefore/>
        <w:spacing w:before="0"/>
      </w:pPr>
      <w:bookmarkStart w:id="122" w:name="_Ref401917457"/>
      <w:bookmarkStart w:id="123" w:name="_Toc405887022"/>
      <w:bookmarkStart w:id="124" w:name="_Toc412122418"/>
      <w:bookmarkStart w:id="125" w:name="_Ref413143300"/>
      <w:bookmarkStart w:id="126" w:name="_Toc431462742"/>
      <w:bookmarkStart w:id="127" w:name="_Toc479583280"/>
      <w:bookmarkStart w:id="128" w:name="_Toc485542648"/>
      <w:bookmarkStart w:id="129" w:name="_Toc41575618"/>
      <w:bookmarkStart w:id="130" w:name="_Toc165466925"/>
      <w:bookmarkStart w:id="131" w:name="_Ref400705619"/>
      <w:r w:rsidRPr="00C87FBC">
        <w:lastRenderedPageBreak/>
        <w:t>Appendix 1:</w:t>
      </w:r>
      <w:r>
        <w:br/>
      </w:r>
      <w:r w:rsidRPr="00C87FBC">
        <w:t>Maternity model of care</w:t>
      </w:r>
      <w:bookmarkEnd w:id="122"/>
      <w:bookmarkEnd w:id="123"/>
      <w:bookmarkEnd w:id="124"/>
      <w:bookmarkEnd w:id="125"/>
      <w:bookmarkEnd w:id="126"/>
      <w:bookmarkEnd w:id="127"/>
      <w:bookmarkEnd w:id="128"/>
      <w:bookmarkEnd w:id="129"/>
      <w:bookmarkEnd w:id="130"/>
    </w:p>
    <w:p w14:paraId="026AF3FB" w14:textId="78F45A19" w:rsidR="00CB2AC0" w:rsidRPr="00C87FBC" w:rsidRDefault="00CB2AC0" w:rsidP="00CB2AC0">
      <w:r w:rsidRPr="00C87FBC">
        <w:t xml:space="preserve">Maternity services in New Zealand are classified according to the level of complexity of clinical care a </w:t>
      </w:r>
      <w:r w:rsidR="00653383">
        <w:t xml:space="preserve">pregnant </w:t>
      </w:r>
      <w:r w:rsidR="00977C87">
        <w:t>person</w:t>
      </w:r>
      <w:r w:rsidRPr="00C87FBC">
        <w:t xml:space="preserve"> and </w:t>
      </w:r>
      <w:r w:rsidR="00C505E5">
        <w:t>their</w:t>
      </w:r>
      <w:r w:rsidRPr="00C87FBC">
        <w:t xml:space="preserve"> baby require – either primary, secondary or tertiary. Maternity services are provided by a range of practitioners (midwives, GPs, medical specialists, radiologists and childbirth educators) and in a range of settings (a </w:t>
      </w:r>
      <w:r w:rsidR="00C505E5">
        <w:t>person’s</w:t>
      </w:r>
      <w:r>
        <w:t xml:space="preserve"> home, consulting rooms </w:t>
      </w:r>
      <w:r w:rsidRPr="00C87FBC">
        <w:t>and hospitals).</w:t>
      </w:r>
    </w:p>
    <w:p w14:paraId="5C1E84C7" w14:textId="77777777" w:rsidR="00CB2AC0" w:rsidRPr="00C87FBC" w:rsidRDefault="00CB2AC0" w:rsidP="00CB2AC0"/>
    <w:p w14:paraId="19D8A0A9" w14:textId="2FFC45DA" w:rsidR="00CB2AC0" w:rsidRPr="00C87FBC" w:rsidRDefault="00CB2AC0" w:rsidP="00CB2AC0">
      <w:r w:rsidRPr="00C87FBC">
        <w:t xml:space="preserve">There are a range of employment and contracting models in place for maternity services, including direct </w:t>
      </w:r>
      <w:r w:rsidR="0094796D">
        <w:t>Health New Zealand</w:t>
      </w:r>
      <w:r w:rsidRPr="00C87FBC">
        <w:t xml:space="preserve"> funding, private funding or a mix of these. Most maternity services are free to eligible </w:t>
      </w:r>
      <w:r w:rsidR="00977C87">
        <w:t>people</w:t>
      </w:r>
      <w:r w:rsidRPr="00C87FBC">
        <w:t>, although some services have co</w:t>
      </w:r>
      <w:r>
        <w:noBreakHyphen/>
      </w:r>
      <w:r w:rsidRPr="00C87FBC">
        <w:t>payments.</w:t>
      </w:r>
    </w:p>
    <w:p w14:paraId="2698401F" w14:textId="77777777" w:rsidR="00CB2AC0" w:rsidRPr="00AF16D8" w:rsidRDefault="00CB2AC0" w:rsidP="00CB2AC0">
      <w:pPr>
        <w:rPr>
          <w:highlight w:val="yellow"/>
        </w:rPr>
      </w:pPr>
    </w:p>
    <w:p w14:paraId="39E0BF1A" w14:textId="77777777" w:rsidR="00CB2AC0" w:rsidRPr="00C87FBC" w:rsidRDefault="00CB2AC0" w:rsidP="00CB2AC0">
      <w:pPr>
        <w:pStyle w:val="Heading3"/>
      </w:pPr>
      <w:r w:rsidRPr="00C87FBC">
        <w:t>Primary maternity care</w:t>
      </w:r>
    </w:p>
    <w:p w14:paraId="7E101A1D" w14:textId="0DE52D49" w:rsidR="00CB2AC0" w:rsidRPr="00AD57BB" w:rsidRDefault="00CB2AC0" w:rsidP="00CB2AC0">
      <w:r w:rsidRPr="00AD57BB">
        <w:t>The Primary Maternity Services Notice 20</w:t>
      </w:r>
      <w:r w:rsidR="00380126">
        <w:t>21</w:t>
      </w:r>
      <w:r w:rsidRPr="00AD57BB">
        <w:t>, pursuant to Section 88 of the New Zealand Public Health and Disability Act 2000, sets out the objectives of primary maternity services, which are to:</w:t>
      </w:r>
    </w:p>
    <w:p w14:paraId="4AC6CA4A" w14:textId="7A868F1F" w:rsidR="00CB2AC0" w:rsidRPr="00C87FBC" w:rsidRDefault="00CB2AC0" w:rsidP="00CB2AC0">
      <w:pPr>
        <w:pStyle w:val="Bullet"/>
      </w:pPr>
      <w:r w:rsidRPr="00C87FBC">
        <w:t xml:space="preserve">give each </w:t>
      </w:r>
      <w:r w:rsidR="00977C87">
        <w:t>pregnant person</w:t>
      </w:r>
      <w:r w:rsidRPr="00C87FBC">
        <w:t xml:space="preserve">, </w:t>
      </w:r>
      <w:r w:rsidR="00977C87">
        <w:t>their</w:t>
      </w:r>
      <w:r w:rsidRPr="00C87FBC">
        <w:t xml:space="preserve"> partner and </w:t>
      </w:r>
      <w:r w:rsidR="00977C87">
        <w:t>their</w:t>
      </w:r>
      <w:r w:rsidR="00977C87" w:rsidRPr="00C87FBC">
        <w:t xml:space="preserve"> </w:t>
      </w:r>
      <w:r w:rsidRPr="00C87FBC">
        <w:t xml:space="preserve">family/whānau every opportunity to have a fulfilling outcome to </w:t>
      </w:r>
      <w:r w:rsidR="00977C87">
        <w:t>their</w:t>
      </w:r>
      <w:r w:rsidR="00977C87" w:rsidRPr="00C87FBC">
        <w:t xml:space="preserve"> </w:t>
      </w:r>
      <w:r w:rsidRPr="00C87FBC">
        <w:t>pregnancy and childbirth by facilitating the provision of primary maternity services that are safe, informed by evidence and based on partnership, information and choice</w:t>
      </w:r>
    </w:p>
    <w:p w14:paraId="474B472F" w14:textId="172D995E" w:rsidR="00CB2AC0" w:rsidRPr="00C87FBC" w:rsidRDefault="00CB2AC0" w:rsidP="00CB2AC0">
      <w:pPr>
        <w:pStyle w:val="Bullet"/>
      </w:pPr>
      <w:r w:rsidRPr="00C87FBC">
        <w:t xml:space="preserve">recognise that pregnancy and childbirth are a normal life stage </w:t>
      </w:r>
    </w:p>
    <w:p w14:paraId="2DF6A8CC" w14:textId="45655B45" w:rsidR="00CB2AC0" w:rsidRPr="00C87FBC" w:rsidRDefault="00CB2AC0" w:rsidP="00CB2AC0">
      <w:pPr>
        <w:pStyle w:val="Bullet"/>
      </w:pPr>
      <w:r w:rsidRPr="00C87FBC">
        <w:t xml:space="preserve">provide the </w:t>
      </w:r>
      <w:r w:rsidR="00977C87">
        <w:t>pregnant person</w:t>
      </w:r>
      <w:r w:rsidRPr="00C87FBC">
        <w:t xml:space="preserve"> with continuity of care through </w:t>
      </w:r>
      <w:r w:rsidR="00977C87">
        <w:t>their</w:t>
      </w:r>
      <w:r w:rsidR="00977C87" w:rsidRPr="00C87FBC">
        <w:t xml:space="preserve"> </w:t>
      </w:r>
      <w:r w:rsidRPr="00C87FBC">
        <w:t xml:space="preserve">LMC, who is responsible for assessing </w:t>
      </w:r>
      <w:r w:rsidR="00977C87">
        <w:t>their</w:t>
      </w:r>
      <w:r w:rsidR="00977C87" w:rsidRPr="00C87FBC">
        <w:t xml:space="preserve"> </w:t>
      </w:r>
      <w:r w:rsidRPr="00C87FBC">
        <w:t xml:space="preserve">needs, and planning </w:t>
      </w:r>
      <w:r w:rsidR="00977C87">
        <w:t>their</w:t>
      </w:r>
      <w:r w:rsidR="00977C87" w:rsidRPr="00C87FBC">
        <w:t xml:space="preserve"> </w:t>
      </w:r>
      <w:r w:rsidRPr="00C87FBC">
        <w:t xml:space="preserve">care with </w:t>
      </w:r>
      <w:r w:rsidR="00977C87">
        <w:t>them</w:t>
      </w:r>
      <w:r w:rsidRPr="00C87FBC">
        <w:t xml:space="preserve"> and the care of </w:t>
      </w:r>
      <w:r w:rsidR="00977C87">
        <w:t>their</w:t>
      </w:r>
      <w:r w:rsidR="00977C87" w:rsidRPr="00C87FBC">
        <w:t xml:space="preserve"> </w:t>
      </w:r>
      <w:r w:rsidRPr="00C87FBC">
        <w:t>baby</w:t>
      </w:r>
    </w:p>
    <w:p w14:paraId="6AB661F7" w14:textId="2AE16E96" w:rsidR="00CB2AC0" w:rsidRPr="00C87FBC" w:rsidRDefault="00CB2AC0" w:rsidP="00CB2AC0">
      <w:pPr>
        <w:pStyle w:val="Bullet"/>
        <w:rPr>
          <w:spacing w:val="-2"/>
        </w:rPr>
      </w:pPr>
      <w:r w:rsidRPr="00C87FBC">
        <w:rPr>
          <w:spacing w:val="-2"/>
        </w:rPr>
        <w:t xml:space="preserve">facilitate the provision of appropriate additional care for those </w:t>
      </w:r>
      <w:r w:rsidR="00977C87">
        <w:rPr>
          <w:spacing w:val="-2"/>
        </w:rPr>
        <w:t>pregnant people</w:t>
      </w:r>
      <w:r w:rsidRPr="00C87FBC">
        <w:rPr>
          <w:spacing w:val="-2"/>
        </w:rPr>
        <w:t xml:space="preserve"> and babies who need it.</w:t>
      </w:r>
    </w:p>
    <w:p w14:paraId="71D921FC" w14:textId="77777777" w:rsidR="00CB2AC0" w:rsidRPr="00C87FBC" w:rsidRDefault="00CB2AC0" w:rsidP="00CB2AC0"/>
    <w:p w14:paraId="31F9B7E9" w14:textId="6106F431" w:rsidR="00CB2AC0" w:rsidRPr="00C87FBC" w:rsidRDefault="00CB2AC0" w:rsidP="00CB2AC0">
      <w:r w:rsidRPr="00C87FBC">
        <w:t xml:space="preserve">All eligible </w:t>
      </w:r>
      <w:r w:rsidR="00653383">
        <w:t xml:space="preserve">pregnant </w:t>
      </w:r>
      <w:r w:rsidR="00977C87">
        <w:t>people</w:t>
      </w:r>
      <w:r w:rsidRPr="00C87FBC">
        <w:t xml:space="preserve"> in New Zealand are entitled to continuity of primary maternity care through an LMC. </w:t>
      </w:r>
      <w:r w:rsidR="00653383">
        <w:t xml:space="preserve">Pregnant </w:t>
      </w:r>
      <w:r w:rsidR="00977C87">
        <w:t>people</w:t>
      </w:r>
      <w:r w:rsidRPr="00C87FBC">
        <w:t xml:space="preserve"> who choose a midwife or GP as their LMC receive this care for free. </w:t>
      </w:r>
      <w:r w:rsidR="00653383">
        <w:t xml:space="preserve">Pregnant </w:t>
      </w:r>
      <w:r w:rsidR="00977C87">
        <w:t>people</w:t>
      </w:r>
      <w:r w:rsidR="00653383" w:rsidRPr="00C87FBC">
        <w:t xml:space="preserve"> </w:t>
      </w:r>
      <w:r w:rsidRPr="00C87FBC">
        <w:t>may also choose to receiv</w:t>
      </w:r>
      <w:r>
        <w:t>e primary maternity care from a private</w:t>
      </w:r>
      <w:r w:rsidRPr="00C87FBC">
        <w:t xml:space="preserve"> obstetrician operating as an LMC, but they usually </w:t>
      </w:r>
      <w:proofErr w:type="gramStart"/>
      <w:r w:rsidRPr="00C87FBC">
        <w:t>have to</w:t>
      </w:r>
      <w:proofErr w:type="gramEnd"/>
      <w:r w:rsidRPr="00C87FBC">
        <w:t xml:space="preserve"> pay a co-payment for this care.</w:t>
      </w:r>
    </w:p>
    <w:p w14:paraId="541126C2" w14:textId="77777777" w:rsidR="00CB2AC0" w:rsidRPr="00C87FBC" w:rsidRDefault="00CB2AC0" w:rsidP="00CB2AC0"/>
    <w:p w14:paraId="3108B466" w14:textId="39FB76D4" w:rsidR="00CB2AC0" w:rsidRPr="00C87FBC" w:rsidRDefault="00653383" w:rsidP="00CB2AC0">
      <w:r>
        <w:t xml:space="preserve">Pregnant </w:t>
      </w:r>
      <w:r w:rsidR="00977C87">
        <w:t>people</w:t>
      </w:r>
      <w:r w:rsidRPr="00C87FBC">
        <w:t xml:space="preserve"> </w:t>
      </w:r>
      <w:r w:rsidR="00CB2AC0" w:rsidRPr="00C87FBC">
        <w:t xml:space="preserve">who do not access an LMC, either through choice or lack of availability, are entitled to receive primary maternity services from their </w:t>
      </w:r>
      <w:r w:rsidR="009310E0">
        <w:t>district</w:t>
      </w:r>
      <w:r w:rsidR="00CB2AC0" w:rsidRPr="00C87FBC">
        <w:t xml:space="preserve">. </w:t>
      </w:r>
      <w:r>
        <w:t xml:space="preserve">Pregnant </w:t>
      </w:r>
      <w:r w:rsidR="00977C87">
        <w:t>people</w:t>
      </w:r>
      <w:r w:rsidRPr="00C87FBC">
        <w:t xml:space="preserve"> </w:t>
      </w:r>
      <w:r w:rsidR="00CB2AC0" w:rsidRPr="00C87FBC">
        <w:t xml:space="preserve">are less likely to receive continuity of care within a </w:t>
      </w:r>
      <w:r w:rsidR="00E21B83">
        <w:t>district</w:t>
      </w:r>
      <w:r w:rsidR="00CB2AC0" w:rsidRPr="00C87FBC">
        <w:t xml:space="preserve"> primary maternity services service than they are with an LMC. The Primary Maternity Services Tier Two Service Specification sets the requirement for the delivery of </w:t>
      </w:r>
      <w:r w:rsidR="00E21B83">
        <w:t>district</w:t>
      </w:r>
      <w:r w:rsidR="00CB2AC0" w:rsidRPr="00C87FBC">
        <w:t xml:space="preserve"> primary maternity services and is largely analogous to the Primary Maternity Services Notices 20</w:t>
      </w:r>
      <w:r w:rsidR="00380126">
        <w:t>21</w:t>
      </w:r>
      <w:r w:rsidR="00CB2AC0" w:rsidRPr="00C87FBC">
        <w:t>.</w:t>
      </w:r>
    </w:p>
    <w:p w14:paraId="67509CBA" w14:textId="77777777" w:rsidR="00CB2AC0" w:rsidRPr="003E755C" w:rsidRDefault="00CB2AC0" w:rsidP="00CB2AC0">
      <w:pPr>
        <w:pStyle w:val="Heading3"/>
      </w:pPr>
      <w:r w:rsidRPr="003E755C">
        <w:lastRenderedPageBreak/>
        <w:t>Place of birth</w:t>
      </w:r>
    </w:p>
    <w:p w14:paraId="1A99743F" w14:textId="5C6C40CA" w:rsidR="00CB2AC0" w:rsidRPr="003E755C" w:rsidRDefault="009D2AF1" w:rsidP="00CB2AC0">
      <w:r>
        <w:t xml:space="preserve">Pregnant </w:t>
      </w:r>
      <w:r w:rsidR="00977C87">
        <w:t>people</w:t>
      </w:r>
      <w:r w:rsidR="00CB2AC0" w:rsidRPr="003E755C">
        <w:t xml:space="preserve"> are entitled to choose where they give birth. This may include a tertiary hospital, secondary hospital, primary </w:t>
      </w:r>
      <w:r w:rsidR="00CB2AC0">
        <w:t>maternity facilities</w:t>
      </w:r>
      <w:r w:rsidR="00CB2AC0" w:rsidRPr="003E755C">
        <w:t xml:space="preserve"> or at home. </w:t>
      </w:r>
      <w:r>
        <w:t xml:space="preserve">Pregnant </w:t>
      </w:r>
      <w:r w:rsidR="00977C87">
        <w:t>people</w:t>
      </w:r>
      <w:r w:rsidRPr="003E755C">
        <w:t xml:space="preserve"> </w:t>
      </w:r>
      <w:r w:rsidR="00CB2AC0" w:rsidRPr="003E755C">
        <w:t xml:space="preserve">are entitled to give birth at a facility with greater clinical capacity than their expected clinical need. Primary </w:t>
      </w:r>
      <w:r w:rsidR="00CB2AC0">
        <w:t xml:space="preserve">maternity facilities </w:t>
      </w:r>
      <w:r w:rsidR="00CB2AC0" w:rsidRPr="003E755C">
        <w:t>and home birth</w:t>
      </w:r>
      <w:r w:rsidR="00CB2AC0">
        <w:t>s</w:t>
      </w:r>
      <w:r w:rsidR="00CB2AC0" w:rsidRPr="003E755C">
        <w:t xml:space="preserve"> are recommended for </w:t>
      </w:r>
      <w:r>
        <w:t xml:space="preserve">pregnant </w:t>
      </w:r>
      <w:r w:rsidR="00977C87">
        <w:t>people</w:t>
      </w:r>
      <w:r w:rsidRPr="003E755C">
        <w:t xml:space="preserve"> </w:t>
      </w:r>
      <w:r w:rsidR="00CB2AC0" w:rsidRPr="003E755C">
        <w:t xml:space="preserve">likely to experience normal birth. Place of birth usually reflects the local configuration of facilities and LMC access agreements, in addition to clinical need and the </w:t>
      </w:r>
      <w:r w:rsidR="00977C87">
        <w:t>person</w:t>
      </w:r>
      <w:r w:rsidR="00CB2AC0">
        <w:t>’</w:t>
      </w:r>
      <w:r w:rsidR="00CB2AC0" w:rsidRPr="003E755C">
        <w:t>s preference.</w:t>
      </w:r>
    </w:p>
    <w:p w14:paraId="0C0D6537" w14:textId="77777777" w:rsidR="00CB2AC0" w:rsidRPr="003E755C" w:rsidRDefault="00CB2AC0" w:rsidP="00CB2AC0"/>
    <w:p w14:paraId="78F097AA" w14:textId="77777777" w:rsidR="00CB2AC0" w:rsidRPr="003E755C" w:rsidRDefault="00CB2AC0" w:rsidP="00CB2AC0">
      <w:pPr>
        <w:pStyle w:val="Heading3"/>
      </w:pPr>
      <w:r w:rsidRPr="003E755C">
        <w:t>Current funding model</w:t>
      </w:r>
    </w:p>
    <w:p w14:paraId="55ADC9CD" w14:textId="5B952664" w:rsidR="00D2392D" w:rsidRDefault="003754E2" w:rsidP="00D2392D">
      <w:r>
        <w:t>Most</w:t>
      </w:r>
      <w:r w:rsidR="00D2392D">
        <w:t xml:space="preserve"> pregnant </w:t>
      </w:r>
      <w:r w:rsidR="00977C87">
        <w:t>people</w:t>
      </w:r>
      <w:r w:rsidR="00D2392D">
        <w:t xml:space="preserve"> receive primary maternity services funded through the Primary Maternity Services Notice 2021 (The Notice). The Notice is a modular, fee-for-service model that specifies service expectations and funds Lead Maternity Care (LMC) services, non LMC first trimester and urgent care, primary maternity ultrasounds and some specialist services.</w:t>
      </w:r>
    </w:p>
    <w:p w14:paraId="07239ECF" w14:textId="77777777" w:rsidR="00D2392D" w:rsidRDefault="00D2392D" w:rsidP="00D2392D"/>
    <w:p w14:paraId="7C901CCC" w14:textId="7F918E0C" w:rsidR="00D2392D" w:rsidRDefault="0094796D" w:rsidP="00D2392D">
      <w:r>
        <w:t>Health New Zealand</w:t>
      </w:r>
      <w:r w:rsidR="00D2392D">
        <w:t xml:space="preserve"> also funds primary maternity services within </w:t>
      </w:r>
      <w:r>
        <w:t>Health New Zealand</w:t>
      </w:r>
      <w:r w:rsidR="00D2392D">
        <w:t xml:space="preserve"> </w:t>
      </w:r>
      <w:r w:rsidR="00126EB7">
        <w:t>d</w:t>
      </w:r>
      <w:r w:rsidR="00D2392D">
        <w:t xml:space="preserve">istricts (formerly known as district health boards (DHBs)). The </w:t>
      </w:r>
      <w:r w:rsidR="00126EB7">
        <w:t>d</w:t>
      </w:r>
      <w:r w:rsidR="00D2392D">
        <w:t xml:space="preserve">istricts are defined in the DHB Service Coverage Schedule as the ‘[primary maternity service] provider of last resort’ and are expected to meet the primary maternity service needs of pregnant </w:t>
      </w:r>
      <w:r w:rsidR="00977C87">
        <w:t>people</w:t>
      </w:r>
      <w:r w:rsidR="00D2392D">
        <w:t xml:space="preserve"> who do not receive care from a midwife LMC funded via the Notice. This includes pregnant </w:t>
      </w:r>
      <w:r w:rsidR="00977C87">
        <w:t>people</w:t>
      </w:r>
      <w:r w:rsidR="00D2392D">
        <w:t xml:space="preserve"> with no LMC and the midwife component of care for pregnant </w:t>
      </w:r>
      <w:r w:rsidR="00977C87">
        <w:t>people</w:t>
      </w:r>
      <w:r w:rsidR="00D2392D">
        <w:t xml:space="preserve"> who are under the care of an obstetric or GP LMC.</w:t>
      </w:r>
    </w:p>
    <w:p w14:paraId="3FADC7C1" w14:textId="77777777" w:rsidR="00D2392D" w:rsidRDefault="00D2392D" w:rsidP="00D2392D"/>
    <w:p w14:paraId="08D50485" w14:textId="34982CA9" w:rsidR="00D2392D" w:rsidRDefault="00D2392D" w:rsidP="00D2392D">
      <w:r>
        <w:t xml:space="preserve">The extent of primary maternity services being provided by </w:t>
      </w:r>
      <w:r w:rsidR="0094796D">
        <w:t>Health New Zealand</w:t>
      </w:r>
      <w:r>
        <w:t xml:space="preserve"> </w:t>
      </w:r>
      <w:r w:rsidR="00126EB7">
        <w:t>d</w:t>
      </w:r>
      <w:r>
        <w:t xml:space="preserve">istricts varies significantly, ranging from </w:t>
      </w:r>
      <w:r w:rsidR="00126EB7">
        <w:t>d</w:t>
      </w:r>
      <w:r>
        <w:t xml:space="preserve">istricts that do not currently provide any primary maternity services to </w:t>
      </w:r>
      <w:r w:rsidR="00126EB7">
        <w:t>d</w:t>
      </w:r>
      <w:r>
        <w:t xml:space="preserve">istricts that provide primary maternity services to a notable proportion of their </w:t>
      </w:r>
      <w:r w:rsidR="00977C87">
        <w:t>people</w:t>
      </w:r>
      <w:r>
        <w:t xml:space="preserve"> giving birth. This has changed considerably over time.</w:t>
      </w:r>
    </w:p>
    <w:p w14:paraId="6F1B07C7" w14:textId="77777777" w:rsidR="00D2392D" w:rsidRDefault="00D2392D" w:rsidP="00D2392D"/>
    <w:p w14:paraId="60689CB8" w14:textId="1AEC10B9" w:rsidR="00686C9E" w:rsidRPr="00AF16D8" w:rsidRDefault="0094796D" w:rsidP="00D2392D">
      <w:pPr>
        <w:rPr>
          <w:highlight w:val="yellow"/>
        </w:rPr>
      </w:pPr>
      <w:r>
        <w:t>Health New Zealand</w:t>
      </w:r>
      <w:r w:rsidR="00D2392D">
        <w:t xml:space="preserve"> funds all secondary and tertiary maternity facilities and services within the </w:t>
      </w:r>
      <w:r w:rsidR="00126EB7">
        <w:t>d</w:t>
      </w:r>
      <w:r w:rsidR="00D2392D">
        <w:t xml:space="preserve">istricts. These services and facilities are free for all eligible </w:t>
      </w:r>
      <w:r w:rsidR="00977C87">
        <w:t>people</w:t>
      </w:r>
      <w:r w:rsidR="00D2392D">
        <w:t xml:space="preserve"> and access is based on clinical need.</w:t>
      </w:r>
    </w:p>
    <w:p w14:paraId="6FD24A19" w14:textId="77777777" w:rsidR="00CB2AC0" w:rsidRPr="003E755C" w:rsidRDefault="00CB2AC0" w:rsidP="00CB2AC0">
      <w:pPr>
        <w:pStyle w:val="Heading2"/>
        <w:keepNext w:val="0"/>
        <w:pageBreakBefore/>
        <w:spacing w:before="0"/>
      </w:pPr>
      <w:bookmarkStart w:id="132" w:name="_Ref404612824"/>
      <w:bookmarkStart w:id="133" w:name="_Toc405887023"/>
      <w:bookmarkStart w:id="134" w:name="_Toc412122419"/>
      <w:bookmarkStart w:id="135" w:name="_Toc431462743"/>
      <w:bookmarkStart w:id="136" w:name="_Toc479583281"/>
      <w:bookmarkStart w:id="137" w:name="_Toc485542649"/>
      <w:bookmarkStart w:id="138" w:name="_Toc41575619"/>
      <w:bookmarkStart w:id="139" w:name="_Toc165466926"/>
      <w:bookmarkStart w:id="140" w:name="_Ref401917935"/>
      <w:bookmarkStart w:id="141" w:name="_Ref401917968"/>
      <w:r w:rsidRPr="003E755C">
        <w:lastRenderedPageBreak/>
        <w:t>Appendix 2: National Maternity Collection</w:t>
      </w:r>
      <w:bookmarkEnd w:id="132"/>
      <w:bookmarkEnd w:id="133"/>
      <w:bookmarkEnd w:id="134"/>
      <w:bookmarkEnd w:id="135"/>
      <w:bookmarkEnd w:id="136"/>
      <w:bookmarkEnd w:id="137"/>
      <w:bookmarkEnd w:id="138"/>
      <w:bookmarkEnd w:id="139"/>
    </w:p>
    <w:p w14:paraId="71719093" w14:textId="5676E8C7" w:rsidR="00CB2AC0" w:rsidRPr="003E755C" w:rsidRDefault="0094796D" w:rsidP="00CB2AC0">
      <w:r>
        <w:t>Health New Zealand</w:t>
      </w:r>
      <w:r w:rsidR="00CA3FBC">
        <w:t>’s</w:t>
      </w:r>
      <w:r w:rsidR="00CB2AC0" w:rsidRPr="003E755C">
        <w:t xml:space="preserve"> National Maternity Collection provides statistical, demographic and clinical information about selected maternity services up to nine months before and three months after a birth. It collates data about each pregnancy that results in birth and each live-born baby separately from:</w:t>
      </w:r>
    </w:p>
    <w:p w14:paraId="2CC43C08" w14:textId="4AE695DF" w:rsidR="00CB2AC0" w:rsidRPr="003E755C" w:rsidRDefault="00CB2AC0" w:rsidP="00CB2AC0">
      <w:pPr>
        <w:pStyle w:val="Bullet"/>
      </w:pPr>
      <w:r w:rsidRPr="003E755C">
        <w:t xml:space="preserve">inpatient and day-patient health event data during pregnancy, birth and the postnatal period for </w:t>
      </w:r>
      <w:r w:rsidR="00653383">
        <w:t xml:space="preserve">pregnant </w:t>
      </w:r>
      <w:r w:rsidR="00977C87">
        <w:t>people</w:t>
      </w:r>
      <w:r w:rsidR="00653383" w:rsidRPr="00C87FBC">
        <w:t xml:space="preserve"> </w:t>
      </w:r>
      <w:r w:rsidRPr="003E755C">
        <w:t>giving birth and their babies, sourced from the National Minimum Dataset (NMDS)</w:t>
      </w:r>
    </w:p>
    <w:p w14:paraId="7F3FD6A5" w14:textId="61527D23" w:rsidR="00CB2AC0" w:rsidRPr="003E755C" w:rsidRDefault="00CB2AC0" w:rsidP="00CB2AC0">
      <w:pPr>
        <w:pStyle w:val="Bullet"/>
      </w:pPr>
      <w:r w:rsidRPr="003E755C">
        <w:t>Lead Maternity Carer (LMC) claim forms for primary maternity services provided under the Primary Maternity Services Notice 20</w:t>
      </w:r>
      <w:r w:rsidR="00380126">
        <w:t>21</w:t>
      </w:r>
    </w:p>
    <w:p w14:paraId="4F1A6CAE" w14:textId="12730797" w:rsidR="00CB2AC0" w:rsidRPr="003E755C" w:rsidRDefault="00CB2AC0" w:rsidP="00CB2AC0">
      <w:pPr>
        <w:pStyle w:val="Bullet"/>
      </w:pPr>
      <w:r w:rsidRPr="003E755C">
        <w:t xml:space="preserve">primary maternity services provided by </w:t>
      </w:r>
      <w:r w:rsidR="00E21B83">
        <w:t>districts</w:t>
      </w:r>
      <w:r w:rsidRPr="003E755C">
        <w:t xml:space="preserve"> to </w:t>
      </w:r>
      <w:r w:rsidR="00653383">
        <w:t xml:space="preserve">pregnant </w:t>
      </w:r>
      <w:r w:rsidR="00977C87">
        <w:t>people</w:t>
      </w:r>
      <w:r w:rsidR="00653383" w:rsidRPr="00C87FBC">
        <w:t xml:space="preserve"> </w:t>
      </w:r>
      <w:r w:rsidRPr="003E755C">
        <w:t>who do not have a midwife LMC.</w:t>
      </w:r>
      <w:r w:rsidRPr="00DC32DC">
        <w:rPr>
          <w:rStyle w:val="FootnoteReference"/>
        </w:rPr>
        <w:footnoteReference w:id="3"/>
      </w:r>
    </w:p>
    <w:p w14:paraId="43C8290D" w14:textId="77777777" w:rsidR="00CB2AC0" w:rsidRPr="00AF16D8" w:rsidRDefault="00CB2AC0" w:rsidP="00CB2AC0">
      <w:pPr>
        <w:rPr>
          <w:highlight w:val="yellow"/>
        </w:rPr>
      </w:pPr>
    </w:p>
    <w:p w14:paraId="70DBA964" w14:textId="77777777" w:rsidR="00CB2AC0" w:rsidRPr="00AF16D8" w:rsidRDefault="00CB2AC0" w:rsidP="00CB2AC0">
      <w:pPr>
        <w:rPr>
          <w:highlight w:val="yellow"/>
        </w:rPr>
      </w:pPr>
      <w:r w:rsidRPr="003E755C">
        <w:t xml:space="preserve">These sources are collected for administrative purposes, including the funding of maternity </w:t>
      </w:r>
      <w:r w:rsidRPr="00C7187F">
        <w:t xml:space="preserve">services. </w:t>
      </w:r>
    </w:p>
    <w:p w14:paraId="35FE6115" w14:textId="77777777" w:rsidR="00CB2AC0" w:rsidRDefault="00CB2AC0" w:rsidP="00CB2AC0">
      <w:pPr>
        <w:rPr>
          <w:highlight w:val="yellow"/>
        </w:rPr>
      </w:pPr>
    </w:p>
    <w:p w14:paraId="7ADF30ED" w14:textId="77777777" w:rsidR="00CB2AC0" w:rsidRPr="003E755C" w:rsidRDefault="00CB2AC0" w:rsidP="00CB2AC0">
      <w:pPr>
        <w:pStyle w:val="Heading3"/>
      </w:pPr>
      <w:r w:rsidRPr="003E755C">
        <w:t>National Minimum Dataset</w:t>
      </w:r>
    </w:p>
    <w:p w14:paraId="5F64ED2E" w14:textId="77777777" w:rsidR="00CB2AC0" w:rsidRPr="003E755C" w:rsidRDefault="00CB2AC0" w:rsidP="00CB2AC0">
      <w:r w:rsidRPr="003E755C">
        <w:t xml:space="preserve">The NMDS stores administrative information routinely collected for all publicly funded inpatients of a New Zealand maternity facility (publicly and privately funded hospitals and </w:t>
      </w:r>
      <w:r>
        <w:t>primary maternity facilities</w:t>
      </w:r>
      <w:r w:rsidRPr="003E755C">
        <w:t>). This information contains a large amount of demographic and clinical data, including data on diagnoses and procedures used. The information is assigned standardised codes that are internationally comparable. The classification system used is the International Statistical Classification of Diseases and Related Health Problems, 10th Revision, Australian Modification (ICD-10-AM). This system is designed for the classification of morbidity and mortality information for statistical, epidemiological and clinical purposes. Refer to the NMDS Data Dictionary for more information on the data held in the NMDS.</w:t>
      </w:r>
    </w:p>
    <w:p w14:paraId="3DEBEBEE" w14:textId="77777777" w:rsidR="00CB2AC0" w:rsidRPr="00AF16D8" w:rsidRDefault="00CB2AC0" w:rsidP="00CB2AC0">
      <w:pPr>
        <w:rPr>
          <w:highlight w:val="yellow"/>
        </w:rPr>
      </w:pPr>
    </w:p>
    <w:p w14:paraId="1EC6EAB8" w14:textId="77777777" w:rsidR="00CB2AC0" w:rsidRPr="003E755C" w:rsidRDefault="00CB2AC0" w:rsidP="00CB2AC0">
      <w:pPr>
        <w:pStyle w:val="Heading3"/>
      </w:pPr>
      <w:r w:rsidRPr="003E755C">
        <w:t>Lead Maternity Carer claims data</w:t>
      </w:r>
    </w:p>
    <w:p w14:paraId="502765D7" w14:textId="40F6E1D1" w:rsidR="00CB2AC0" w:rsidRDefault="00CB2AC0" w:rsidP="00CB2AC0">
      <w:pPr>
        <w:keepLines/>
      </w:pPr>
      <w:r w:rsidRPr="003E755C">
        <w:t xml:space="preserve">This data set contains information on </w:t>
      </w:r>
      <w:r w:rsidR="00653383">
        <w:t xml:space="preserve">pregnant </w:t>
      </w:r>
      <w:r w:rsidR="00977C87">
        <w:t>people</w:t>
      </w:r>
      <w:r w:rsidR="00653383" w:rsidRPr="00C87FBC">
        <w:t xml:space="preserve"> </w:t>
      </w:r>
      <w:r w:rsidRPr="003E755C">
        <w:t>and babies who access primary maternity services funded under the Primary Maternity Services Notice 20</w:t>
      </w:r>
      <w:r w:rsidR="00380126">
        <w:t>21</w:t>
      </w:r>
      <w:r w:rsidRPr="003E755C">
        <w:t xml:space="preserve">. This information is received through the claim forms and includes all </w:t>
      </w:r>
      <w:r w:rsidR="00977C87">
        <w:t>people</w:t>
      </w:r>
      <w:r w:rsidRPr="003E755C">
        <w:t xml:space="preserve"> registered with an LMC. Data sourced from LMC claim forms includes details on registration with an LMC, as well as other antenatal and postnatal factors (</w:t>
      </w:r>
      <w:proofErr w:type="spellStart"/>
      <w:r w:rsidRPr="003E755C">
        <w:t>eg</w:t>
      </w:r>
      <w:proofErr w:type="spellEnd"/>
      <w:r w:rsidRPr="003E755C">
        <w:t>, parity, breastfeeding status).</w:t>
      </w:r>
    </w:p>
    <w:p w14:paraId="01DF30DB" w14:textId="57310F5B" w:rsidR="00375C35" w:rsidRDefault="00375C35" w:rsidP="00CB2AC0">
      <w:pPr>
        <w:keepLines/>
      </w:pPr>
    </w:p>
    <w:p w14:paraId="6EA1F53E" w14:textId="202FB344" w:rsidR="00375C35" w:rsidRPr="003E755C" w:rsidRDefault="00375C35" w:rsidP="00375C35">
      <w:pPr>
        <w:pStyle w:val="Heading3"/>
      </w:pPr>
      <w:r w:rsidRPr="003E755C">
        <w:lastRenderedPageBreak/>
        <w:t>D</w:t>
      </w:r>
      <w:r w:rsidR="00203817">
        <w:t>istrict</w:t>
      </w:r>
      <w:r w:rsidRPr="003E755C">
        <w:t>-funded primary maternity services data</w:t>
      </w:r>
    </w:p>
    <w:bookmarkEnd w:id="131"/>
    <w:bookmarkEnd w:id="140"/>
    <w:bookmarkEnd w:id="141"/>
    <w:p w14:paraId="057D3418" w14:textId="5EEDFA4D" w:rsidR="00686C9E" w:rsidRPr="00AF16D8" w:rsidRDefault="00D2392D" w:rsidP="00D2392D">
      <w:pPr>
        <w:rPr>
          <w:highlight w:val="yellow"/>
        </w:rPr>
      </w:pPr>
      <w:r w:rsidRPr="00D2392D">
        <w:t xml:space="preserve">Collection of the data set from </w:t>
      </w:r>
      <w:r w:rsidR="00203817">
        <w:t>d</w:t>
      </w:r>
      <w:r w:rsidRPr="00D2392D">
        <w:t>istrict-funded primary maternity services is under way. This data set contains information (</w:t>
      </w:r>
      <w:proofErr w:type="gramStart"/>
      <w:r w:rsidRPr="00D2392D">
        <w:t>similar to</w:t>
      </w:r>
      <w:proofErr w:type="gramEnd"/>
      <w:r w:rsidRPr="00D2392D">
        <w:t xml:space="preserve"> LMC claims data) on </w:t>
      </w:r>
      <w:r w:rsidR="00977C87">
        <w:t>people</w:t>
      </w:r>
      <w:r w:rsidRPr="00D2392D">
        <w:t xml:space="preserve"> who access </w:t>
      </w:r>
      <w:r w:rsidR="0094796D">
        <w:t>Health New Zealand</w:t>
      </w:r>
      <w:r w:rsidRPr="00D2392D">
        <w:t xml:space="preserve"> </w:t>
      </w:r>
      <w:r w:rsidR="00203817">
        <w:t>d</w:t>
      </w:r>
      <w:r w:rsidRPr="00D2392D">
        <w:t xml:space="preserve">istrict primary maternity services, including case loading midwifery teams, primary midwifery teams and shared care arrangements. Once complete, this data set will increase the scope of information </w:t>
      </w:r>
      <w:r w:rsidR="0094796D">
        <w:t>Health New Zealand</w:t>
      </w:r>
      <w:r w:rsidRPr="00D2392D">
        <w:t xml:space="preserve"> holds on those who access primary maternity services, and their babies.</w:t>
      </w:r>
    </w:p>
    <w:sectPr w:rsidR="00686C9E" w:rsidRPr="00AF16D8" w:rsidSect="006F4136">
      <w:footerReference w:type="default" r:id="rId28"/>
      <w:pgSz w:w="11907" w:h="16834" w:code="9"/>
      <w:pgMar w:top="1418" w:right="1701" w:bottom="1134" w:left="1843" w:header="284" w:footer="425"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42F58" w14:textId="77777777" w:rsidR="002446D5" w:rsidRDefault="002446D5">
      <w:r>
        <w:separator/>
      </w:r>
    </w:p>
    <w:p w14:paraId="71492067" w14:textId="77777777" w:rsidR="002446D5" w:rsidRDefault="002446D5"/>
  </w:endnote>
  <w:endnote w:type="continuationSeparator" w:id="0">
    <w:p w14:paraId="7925D94D" w14:textId="77777777" w:rsidR="002446D5" w:rsidRDefault="002446D5">
      <w:r>
        <w:continuationSeparator/>
      </w:r>
    </w:p>
    <w:p w14:paraId="3C0E4D1E" w14:textId="77777777" w:rsidR="002446D5" w:rsidRDefault="00244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774CF" w14:textId="565B013D" w:rsidR="002446D5" w:rsidRPr="00581136" w:rsidRDefault="002446D5" w:rsidP="005A79E5">
    <w:pPr>
      <w:pStyle w:val="Footer"/>
      <w:pBdr>
        <w:bottom w:val="single" w:sz="4" w:space="1" w:color="auto"/>
      </w:pBdr>
      <w:tabs>
        <w:tab w:val="right" w:pos="9639"/>
      </w:tabs>
      <w:rPr>
        <w:b/>
      </w:rPr>
    </w:pPr>
    <w:r w:rsidRPr="00581136">
      <w:rPr>
        <w:b/>
      </w:rPr>
      <w:t>Released 20</w:t>
    </w:r>
    <w:r>
      <w:rPr>
        <w:b/>
      </w:rPr>
      <w:t>2</w:t>
    </w:r>
    <w:r w:rsidR="003B399F">
      <w:rPr>
        <w:b/>
      </w:rPr>
      <w:t>5</w:t>
    </w:r>
    <w:r w:rsidRPr="00581136">
      <w:rPr>
        <w:b/>
      </w:rPr>
      <w:tab/>
    </w:r>
    <w:r w:rsidR="006849B8">
      <w:rPr>
        <w:b/>
      </w:rPr>
      <w:t>tewhatuora</w:t>
    </w:r>
    <w:r w:rsidRPr="00581136">
      <w:rPr>
        <w:b/>
      </w:rPr>
      <w:t>.govt.nz</w:t>
    </w:r>
  </w:p>
  <w:p w14:paraId="71F9062F" w14:textId="77777777" w:rsidR="002446D5" w:rsidRPr="005A79E5" w:rsidRDefault="002446D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2446D5" w14:paraId="0CC04B80" w14:textId="77777777" w:rsidTr="00D662F8">
      <w:trPr>
        <w:cantSplit/>
      </w:trPr>
      <w:tc>
        <w:tcPr>
          <w:tcW w:w="709" w:type="dxa"/>
          <w:vAlign w:val="center"/>
        </w:tcPr>
        <w:p w14:paraId="27145A96" w14:textId="77777777" w:rsidR="002446D5" w:rsidRPr="00931466" w:rsidRDefault="002446D5"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52E3EB22" w14:textId="0D927C6D" w:rsidR="002446D5" w:rsidRDefault="002446D5" w:rsidP="00DF6245">
          <w:pPr>
            <w:pStyle w:val="RectoFooter"/>
            <w:jc w:val="left"/>
          </w:pPr>
          <w:r>
            <w:t>REPORT ON MATERNITY</w:t>
          </w:r>
          <w:r w:rsidR="0021410D">
            <w:t>: futher information</w:t>
          </w:r>
        </w:p>
      </w:tc>
    </w:tr>
  </w:tbl>
  <w:p w14:paraId="481D204D" w14:textId="77777777" w:rsidR="002446D5" w:rsidRPr="00571223" w:rsidRDefault="002446D5" w:rsidP="00571223">
    <w:pPr>
      <w:pStyle w:val="Verso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2446D5" w14:paraId="08F93E7B" w14:textId="77777777" w:rsidTr="0021410D">
      <w:trPr>
        <w:cantSplit/>
      </w:trPr>
      <w:tc>
        <w:tcPr>
          <w:tcW w:w="8080" w:type="dxa"/>
          <w:vAlign w:val="center"/>
        </w:tcPr>
        <w:p w14:paraId="12184A26" w14:textId="0B2931E7" w:rsidR="002446D5" w:rsidRDefault="002446D5" w:rsidP="00DF6245">
          <w:pPr>
            <w:pStyle w:val="RectoFooter"/>
          </w:pPr>
          <w:r>
            <w:t>REPORT ON MATERNITY</w:t>
          </w:r>
          <w:r w:rsidR="0021410D">
            <w:t xml:space="preserve">: </w:t>
          </w:r>
          <w:r>
            <w:t>futher information</w:t>
          </w:r>
        </w:p>
      </w:tc>
      <w:tc>
        <w:tcPr>
          <w:tcW w:w="709" w:type="dxa"/>
          <w:vAlign w:val="center"/>
        </w:tcPr>
        <w:p w14:paraId="48E15EA8" w14:textId="77777777" w:rsidR="002446D5" w:rsidRPr="00931466" w:rsidRDefault="002446D5"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5CDEBA4A" w14:textId="77777777" w:rsidR="002446D5" w:rsidRPr="00581EB8" w:rsidRDefault="002446D5" w:rsidP="00581EB8">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2446D5" w14:paraId="54CB114D" w14:textId="77777777" w:rsidTr="0021410D">
      <w:trPr>
        <w:cantSplit/>
        <w:trHeight w:val="352"/>
      </w:trPr>
      <w:tc>
        <w:tcPr>
          <w:tcW w:w="8080" w:type="dxa"/>
          <w:vAlign w:val="center"/>
        </w:tcPr>
        <w:p w14:paraId="23C763D8" w14:textId="6DFCC13C" w:rsidR="002446D5" w:rsidRDefault="0021410D" w:rsidP="0021410D">
          <w:pPr>
            <w:pStyle w:val="RectoFooter"/>
          </w:pPr>
          <w:r>
            <w:t>REPORT ON MATERNITY: futher information</w:t>
          </w:r>
        </w:p>
      </w:tc>
      <w:tc>
        <w:tcPr>
          <w:tcW w:w="709" w:type="dxa"/>
          <w:vAlign w:val="center"/>
        </w:tcPr>
        <w:p w14:paraId="334E1010" w14:textId="77777777" w:rsidR="002446D5" w:rsidRPr="00931466" w:rsidRDefault="002446D5" w:rsidP="0021410D">
          <w:pPr>
            <w:pStyle w:val="Footer"/>
            <w:ind w:left="-147" w:firstLine="2"/>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103</w:t>
          </w:r>
          <w:r w:rsidRPr="00931466">
            <w:rPr>
              <w:rStyle w:val="PageNumber"/>
            </w:rPr>
            <w:fldChar w:fldCharType="end"/>
          </w:r>
        </w:p>
      </w:tc>
    </w:tr>
  </w:tbl>
  <w:p w14:paraId="0D638880" w14:textId="77777777" w:rsidR="002446D5" w:rsidRPr="00581EB8" w:rsidRDefault="002446D5"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B8CBF" w14:textId="77777777" w:rsidR="002446D5" w:rsidRPr="00A26E6B" w:rsidRDefault="002446D5" w:rsidP="00A26E6B"/>
  </w:footnote>
  <w:footnote w:type="continuationSeparator" w:id="0">
    <w:p w14:paraId="4D32F7DC" w14:textId="77777777" w:rsidR="002446D5" w:rsidRDefault="002446D5">
      <w:r>
        <w:continuationSeparator/>
      </w:r>
    </w:p>
    <w:p w14:paraId="375B977A" w14:textId="77777777" w:rsidR="002446D5" w:rsidRDefault="002446D5"/>
  </w:footnote>
  <w:footnote w:id="1">
    <w:p w14:paraId="58FF4401" w14:textId="7CE4D948" w:rsidR="002446D5" w:rsidRPr="00744723" w:rsidRDefault="002446D5" w:rsidP="00882A40">
      <w:pPr>
        <w:pStyle w:val="FootnoteText"/>
      </w:pPr>
      <w:r w:rsidRPr="00D50E2E">
        <w:rPr>
          <w:rStyle w:val="FootnoteReference"/>
        </w:rPr>
        <w:footnoteRef/>
      </w:r>
      <w:r>
        <w:tab/>
      </w:r>
      <w:r w:rsidRPr="00801B23">
        <w:t xml:space="preserve">Data on maternal deaths and stillborn babies is recorded in the Mortality Collection and is not included in the National Maternity Collection. Statistics about maternal deaths are presented in the </w:t>
      </w:r>
      <w:hyperlink r:id="rId1" w:history="1">
        <w:r w:rsidR="003B399F">
          <w:rPr>
            <w:rStyle w:val="Hyperlink"/>
            <w:rFonts w:cs="Arial"/>
          </w:rPr>
          <w:t>mortality data web tool</w:t>
        </w:r>
      </w:hyperlink>
      <w:r w:rsidRPr="00801B23">
        <w:t xml:space="preserve">. Statistics about stillborn babies are presented in the </w:t>
      </w:r>
      <w:hyperlink r:id="rId2" w:history="1">
        <w:proofErr w:type="spellStart"/>
        <w:r w:rsidR="003B399F">
          <w:rPr>
            <w:rStyle w:val="Hyperlink"/>
            <w:rFonts w:cs="Arial"/>
          </w:rPr>
          <w:t>fetal</w:t>
        </w:r>
        <w:proofErr w:type="spellEnd"/>
        <w:r w:rsidR="003B399F">
          <w:rPr>
            <w:rStyle w:val="Hyperlink"/>
            <w:rFonts w:cs="Arial"/>
          </w:rPr>
          <w:t xml:space="preserve"> and infant deaths web tool</w:t>
        </w:r>
      </w:hyperlink>
      <w:r w:rsidRPr="00801B23">
        <w:t xml:space="preserve"> and in the </w:t>
      </w:r>
      <w:hyperlink r:id="rId3" w:history="1">
        <w:r w:rsidRPr="00801B23">
          <w:rPr>
            <w:rStyle w:val="Hyperlink"/>
          </w:rPr>
          <w:t>annual report</w:t>
        </w:r>
      </w:hyperlink>
      <w:r w:rsidRPr="00801B23">
        <w:t xml:space="preserve"> of</w:t>
      </w:r>
      <w:r>
        <w:t xml:space="preserve"> the Perinatal and Maternal Mortality Review Committee.</w:t>
      </w:r>
    </w:p>
  </w:footnote>
  <w:footnote w:id="2">
    <w:p w14:paraId="5B929052" w14:textId="6F8F0F93" w:rsidR="002446D5" w:rsidRDefault="002446D5" w:rsidP="00940461">
      <w:pPr>
        <w:pStyle w:val="FootnoteText"/>
        <w:ind w:left="426" w:hanging="142"/>
      </w:pPr>
      <w:r w:rsidRPr="00427B87">
        <w:rPr>
          <w:rStyle w:val="FootnoteReference"/>
        </w:rPr>
        <w:footnoteRef/>
      </w:r>
      <w:r>
        <w:tab/>
        <w:t xml:space="preserve">Not all </w:t>
      </w:r>
      <w:r w:rsidR="00E21B83">
        <w:t>districts</w:t>
      </w:r>
      <w:r>
        <w:t xml:space="preserve"> provide primary maternity services and not all </w:t>
      </w:r>
      <w:r w:rsidR="00E21B83">
        <w:t xml:space="preserve">districts </w:t>
      </w:r>
      <w:r>
        <w:t>who provide maternity primary services have reported to the National Maternity Collection. Collection of this data (from 2014 onwards) is under way.</w:t>
      </w:r>
    </w:p>
  </w:footnote>
  <w:footnote w:id="3">
    <w:p w14:paraId="5D9A8DD5" w14:textId="64B32061" w:rsidR="002446D5" w:rsidRDefault="002446D5" w:rsidP="00CB2AC0">
      <w:pPr>
        <w:pStyle w:val="FootnoteText"/>
      </w:pPr>
      <w:r w:rsidRPr="00AD57BB">
        <w:rPr>
          <w:rStyle w:val="FootnoteReference"/>
        </w:rPr>
        <w:footnoteRef/>
      </w:r>
      <w:r w:rsidRPr="007F4DEB">
        <w:tab/>
      </w:r>
      <w:r w:rsidRPr="006A522D">
        <w:t>Collection of this data</w:t>
      </w:r>
      <w:r>
        <w:t xml:space="preserve"> </w:t>
      </w:r>
      <w:r w:rsidRPr="006A522D">
        <w:t xml:space="preserve">set </w:t>
      </w:r>
      <w:r>
        <w:t xml:space="preserve">(from 2014 onwards) </w:t>
      </w:r>
      <w:r w:rsidRPr="006A522D">
        <w:t>is under</w:t>
      </w:r>
      <w:r>
        <w:t xml:space="preserve"> way and is incomplete </w:t>
      </w:r>
      <w:proofErr w:type="gramStart"/>
      <w:r>
        <w:t>at this time</w:t>
      </w:r>
      <w:proofErr w:type="gramEnd"/>
      <w:r>
        <w:t>. Data currently available in the National Maternity Collection has been included in this web tool</w:t>
      </w:r>
      <w:r w:rsidRPr="00EE4C18">
        <w:t>.</w:t>
      </w:r>
    </w:p>
    <w:p w14:paraId="0C9DD82E" w14:textId="42F5751C" w:rsidR="002446D5" w:rsidRDefault="002446D5" w:rsidP="00CB2AC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2446D5" w14:paraId="6DA8FDE9" w14:textId="77777777" w:rsidTr="005A79E5">
      <w:trPr>
        <w:cantSplit/>
      </w:trPr>
      <w:tc>
        <w:tcPr>
          <w:tcW w:w="5210" w:type="dxa"/>
        </w:tcPr>
        <w:p w14:paraId="2CB0904D" w14:textId="0854AC09" w:rsidR="002446D5" w:rsidRDefault="0049006F" w:rsidP="00D50E2E">
          <w:pPr>
            <w:pStyle w:val="Header"/>
          </w:pPr>
          <w:r>
            <w:rPr>
              <w:rFonts w:ascii="Arial" w:hAnsi="Arial" w:cs="Arial"/>
              <w:noProof/>
              <w:color w:val="000000" w:themeColor="text1"/>
            </w:rPr>
            <w:drawing>
              <wp:inline distT="0" distB="0" distL="0" distR="0" wp14:anchorId="33587ACF" wp14:editId="5377081D">
                <wp:extent cx="1796994" cy="342529"/>
                <wp:effectExtent l="0" t="0" r="0" b="635"/>
                <wp:docPr id="7" name="Picture 7" descr="Health 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ealth NZ logo"/>
                        <pic:cNvPicPr/>
                      </pic:nvPicPr>
                      <pic:blipFill rotWithShape="1">
                        <a:blip r:embed="rId1" cstate="print">
                          <a:extLst>
                            <a:ext uri="{28A0092B-C50C-407E-A947-70E740481C1C}">
                              <a14:useLocalDpi xmlns:a14="http://schemas.microsoft.com/office/drawing/2010/main" val="0"/>
                            </a:ext>
                          </a:extLst>
                        </a:blip>
                        <a:srcRect l="5227" t="18069" r="4683" b="18084"/>
                        <a:stretch/>
                      </pic:blipFill>
                      <pic:spPr bwMode="auto">
                        <a:xfrm>
                          <a:off x="0" y="0"/>
                          <a:ext cx="1825288" cy="347922"/>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C9C9266" w14:textId="77777777" w:rsidR="002446D5" w:rsidRDefault="002446D5" w:rsidP="00D50E2E">
          <w:pPr>
            <w:pStyle w:val="Header"/>
            <w:jc w:val="right"/>
          </w:pPr>
          <w:r>
            <w:rPr>
              <w:noProof/>
              <w:lang w:eastAsia="en-NZ"/>
            </w:rPr>
            <w:drawing>
              <wp:inline distT="0" distB="0" distL="0" distR="0" wp14:anchorId="79BDBDBE" wp14:editId="7F250D78">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0721CFF4" w14:textId="77777777" w:rsidR="002446D5" w:rsidRDefault="00244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24AE9" w14:textId="77777777" w:rsidR="002446D5" w:rsidRDefault="002446D5"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41421" w14:textId="77777777" w:rsidR="002446D5" w:rsidRDefault="002446D5"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0" w15:restartNumberingAfterBreak="0">
    <w:nsid w:val="21F27E54"/>
    <w:multiLevelType w:val="hybridMultilevel"/>
    <w:tmpl w:val="70A00620"/>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1"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3"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4"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5"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6" w15:restartNumberingAfterBreak="0">
    <w:nsid w:val="32731413"/>
    <w:multiLevelType w:val="multilevel"/>
    <w:tmpl w:val="8CEE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22F89"/>
    <w:multiLevelType w:val="hybridMultilevel"/>
    <w:tmpl w:val="8F1A7D7E"/>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8"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1"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2" w15:restartNumberingAfterBreak="0">
    <w:nsid w:val="51AE4C47"/>
    <w:multiLevelType w:val="multilevel"/>
    <w:tmpl w:val="F29E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8853E7"/>
    <w:multiLevelType w:val="multilevel"/>
    <w:tmpl w:val="F300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6"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7"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8"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9"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30"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31"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3"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5"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6"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63452905">
    <w:abstractNumId w:val="34"/>
  </w:num>
  <w:num w:numId="2" w16cid:durableId="1326543756">
    <w:abstractNumId w:val="27"/>
  </w:num>
  <w:num w:numId="3" w16cid:durableId="2124571757">
    <w:abstractNumId w:val="18"/>
  </w:num>
  <w:num w:numId="4" w16cid:durableId="621571941">
    <w:abstractNumId w:val="19"/>
  </w:num>
  <w:num w:numId="5" w16cid:durableId="1218125064">
    <w:abstractNumId w:val="0"/>
  </w:num>
  <w:num w:numId="6" w16cid:durableId="1271082425">
    <w:abstractNumId w:val="36"/>
  </w:num>
  <w:num w:numId="7" w16cid:durableId="596985164">
    <w:abstractNumId w:val="13"/>
  </w:num>
  <w:num w:numId="8" w16cid:durableId="1669208942">
    <w:abstractNumId w:val="2"/>
  </w:num>
  <w:num w:numId="9" w16cid:durableId="1655910433">
    <w:abstractNumId w:val="33"/>
  </w:num>
  <w:num w:numId="10" w16cid:durableId="424886991">
    <w:abstractNumId w:val="1"/>
  </w:num>
  <w:num w:numId="11" w16cid:durableId="293295552">
    <w:abstractNumId w:val="31"/>
  </w:num>
  <w:num w:numId="12" w16cid:durableId="1767117590">
    <w:abstractNumId w:val="3"/>
  </w:num>
  <w:num w:numId="13" w16cid:durableId="1229421471">
    <w:abstractNumId w:val="7"/>
  </w:num>
  <w:num w:numId="14" w16cid:durableId="1114323460">
    <w:abstractNumId w:val="5"/>
  </w:num>
  <w:num w:numId="15" w16cid:durableId="45954395">
    <w:abstractNumId w:val="8"/>
  </w:num>
  <w:num w:numId="16" w16cid:durableId="433748554">
    <w:abstractNumId w:val="24"/>
  </w:num>
  <w:num w:numId="17" w16cid:durableId="2080858409">
    <w:abstractNumId w:val="11"/>
  </w:num>
  <w:num w:numId="18" w16cid:durableId="1228998333">
    <w:abstractNumId w:val="29"/>
  </w:num>
  <w:num w:numId="19" w16cid:durableId="176500755">
    <w:abstractNumId w:val="12"/>
  </w:num>
  <w:num w:numId="20" w16cid:durableId="767624590">
    <w:abstractNumId w:val="21"/>
  </w:num>
  <w:num w:numId="21" w16cid:durableId="648216679">
    <w:abstractNumId w:val="6"/>
  </w:num>
  <w:num w:numId="22" w16cid:durableId="780804149">
    <w:abstractNumId w:val="4"/>
  </w:num>
  <w:num w:numId="23" w16cid:durableId="1770271435">
    <w:abstractNumId w:val="26"/>
  </w:num>
  <w:num w:numId="24" w16cid:durableId="1677808172">
    <w:abstractNumId w:val="25"/>
  </w:num>
  <w:num w:numId="25" w16cid:durableId="2144691822">
    <w:abstractNumId w:val="35"/>
  </w:num>
  <w:num w:numId="26" w16cid:durableId="1404908184">
    <w:abstractNumId w:val="14"/>
  </w:num>
  <w:num w:numId="27" w16cid:durableId="737677321">
    <w:abstractNumId w:val="30"/>
  </w:num>
  <w:num w:numId="28" w16cid:durableId="268705662">
    <w:abstractNumId w:val="28"/>
  </w:num>
  <w:num w:numId="29" w16cid:durableId="426194660">
    <w:abstractNumId w:val="20"/>
  </w:num>
  <w:num w:numId="30" w16cid:durableId="1210149470">
    <w:abstractNumId w:val="9"/>
  </w:num>
  <w:num w:numId="31" w16cid:durableId="619143265">
    <w:abstractNumId w:val="32"/>
  </w:num>
  <w:num w:numId="32" w16cid:durableId="997462885">
    <w:abstractNumId w:val="15"/>
  </w:num>
  <w:num w:numId="33" w16cid:durableId="952324767">
    <w:abstractNumId w:val="17"/>
  </w:num>
  <w:num w:numId="34" w16cid:durableId="2094274617">
    <w:abstractNumId w:val="10"/>
  </w:num>
  <w:num w:numId="35" w16cid:durableId="641891002">
    <w:abstractNumId w:val="22"/>
  </w:num>
  <w:num w:numId="36" w16cid:durableId="2116556662">
    <w:abstractNumId w:val="16"/>
  </w:num>
  <w:num w:numId="37" w16cid:durableId="25373329">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256"/>
    <w:rsid w:val="000025B8"/>
    <w:rsid w:val="0001026B"/>
    <w:rsid w:val="00015D07"/>
    <w:rsid w:val="00021176"/>
    <w:rsid w:val="00024058"/>
    <w:rsid w:val="00025A6F"/>
    <w:rsid w:val="00025A9D"/>
    <w:rsid w:val="0002618D"/>
    <w:rsid w:val="00030A5F"/>
    <w:rsid w:val="00030B26"/>
    <w:rsid w:val="00030E84"/>
    <w:rsid w:val="00032C0A"/>
    <w:rsid w:val="00035257"/>
    <w:rsid w:val="00035D68"/>
    <w:rsid w:val="00036B8C"/>
    <w:rsid w:val="0004543F"/>
    <w:rsid w:val="0005274E"/>
    <w:rsid w:val="00054B44"/>
    <w:rsid w:val="0006011C"/>
    <w:rsid w:val="0006228D"/>
    <w:rsid w:val="00062A47"/>
    <w:rsid w:val="00072BD6"/>
    <w:rsid w:val="00075B78"/>
    <w:rsid w:val="000763E9"/>
    <w:rsid w:val="00082CD6"/>
    <w:rsid w:val="0008437D"/>
    <w:rsid w:val="00085AFE"/>
    <w:rsid w:val="00094800"/>
    <w:rsid w:val="000A1787"/>
    <w:rsid w:val="000A41ED"/>
    <w:rsid w:val="000B0730"/>
    <w:rsid w:val="000B344F"/>
    <w:rsid w:val="000C5299"/>
    <w:rsid w:val="000D1931"/>
    <w:rsid w:val="000D19F4"/>
    <w:rsid w:val="000D21A6"/>
    <w:rsid w:val="000D58DD"/>
    <w:rsid w:val="000E2220"/>
    <w:rsid w:val="000E3B92"/>
    <w:rsid w:val="000F2AE2"/>
    <w:rsid w:val="000F2BFF"/>
    <w:rsid w:val="00102063"/>
    <w:rsid w:val="00102B1B"/>
    <w:rsid w:val="0010541C"/>
    <w:rsid w:val="00106F93"/>
    <w:rsid w:val="00111D50"/>
    <w:rsid w:val="00113B8E"/>
    <w:rsid w:val="00115838"/>
    <w:rsid w:val="0012053C"/>
    <w:rsid w:val="00122363"/>
    <w:rsid w:val="00126EB7"/>
    <w:rsid w:val="001342C7"/>
    <w:rsid w:val="0013585C"/>
    <w:rsid w:val="00141D95"/>
    <w:rsid w:val="00142261"/>
    <w:rsid w:val="00142954"/>
    <w:rsid w:val="001460E0"/>
    <w:rsid w:val="001472F0"/>
    <w:rsid w:val="00147F71"/>
    <w:rsid w:val="00150A6E"/>
    <w:rsid w:val="0015383E"/>
    <w:rsid w:val="00154942"/>
    <w:rsid w:val="0016468A"/>
    <w:rsid w:val="0018662D"/>
    <w:rsid w:val="00191AD1"/>
    <w:rsid w:val="00193157"/>
    <w:rsid w:val="00197427"/>
    <w:rsid w:val="001A21B4"/>
    <w:rsid w:val="001A5CF5"/>
    <w:rsid w:val="001B34F8"/>
    <w:rsid w:val="001B39D2"/>
    <w:rsid w:val="001B4BF8"/>
    <w:rsid w:val="001B5800"/>
    <w:rsid w:val="001B709A"/>
    <w:rsid w:val="001C4326"/>
    <w:rsid w:val="001C665E"/>
    <w:rsid w:val="001D2DDF"/>
    <w:rsid w:val="001D3541"/>
    <w:rsid w:val="001D3E4E"/>
    <w:rsid w:val="001D758A"/>
    <w:rsid w:val="001E1439"/>
    <w:rsid w:val="001E254A"/>
    <w:rsid w:val="001E7386"/>
    <w:rsid w:val="001F45A7"/>
    <w:rsid w:val="00201A01"/>
    <w:rsid w:val="00203817"/>
    <w:rsid w:val="00206267"/>
    <w:rsid w:val="0020754B"/>
    <w:rsid w:val="002104D3"/>
    <w:rsid w:val="0021268B"/>
    <w:rsid w:val="00213A33"/>
    <w:rsid w:val="0021410D"/>
    <w:rsid w:val="002148B9"/>
    <w:rsid w:val="0021763B"/>
    <w:rsid w:val="00217DD9"/>
    <w:rsid w:val="00221AD7"/>
    <w:rsid w:val="002446D5"/>
    <w:rsid w:val="00246A75"/>
    <w:rsid w:val="00246DB1"/>
    <w:rsid w:val="002476B5"/>
    <w:rsid w:val="00251580"/>
    <w:rsid w:val="002520CC"/>
    <w:rsid w:val="00253ECF"/>
    <w:rsid w:val="002546A1"/>
    <w:rsid w:val="002628F4"/>
    <w:rsid w:val="00275D08"/>
    <w:rsid w:val="00281792"/>
    <w:rsid w:val="002858E3"/>
    <w:rsid w:val="00286669"/>
    <w:rsid w:val="002868D5"/>
    <w:rsid w:val="0029190A"/>
    <w:rsid w:val="00292C5A"/>
    <w:rsid w:val="00295241"/>
    <w:rsid w:val="002A4DFC"/>
    <w:rsid w:val="002B047D"/>
    <w:rsid w:val="002B732B"/>
    <w:rsid w:val="002B76A7"/>
    <w:rsid w:val="002C099A"/>
    <w:rsid w:val="002C2219"/>
    <w:rsid w:val="002C2552"/>
    <w:rsid w:val="002C3821"/>
    <w:rsid w:val="002D0DF2"/>
    <w:rsid w:val="002D1084"/>
    <w:rsid w:val="002D23BD"/>
    <w:rsid w:val="002D6821"/>
    <w:rsid w:val="002E0936"/>
    <w:rsid w:val="002E0B47"/>
    <w:rsid w:val="002E7E51"/>
    <w:rsid w:val="002F4685"/>
    <w:rsid w:val="002F4725"/>
    <w:rsid w:val="002F486D"/>
    <w:rsid w:val="002F7213"/>
    <w:rsid w:val="002F7B20"/>
    <w:rsid w:val="0030382F"/>
    <w:rsid w:val="0030408D"/>
    <w:rsid w:val="003060E4"/>
    <w:rsid w:val="003160E7"/>
    <w:rsid w:val="00316774"/>
    <w:rsid w:val="0031739E"/>
    <w:rsid w:val="0032371A"/>
    <w:rsid w:val="0032751D"/>
    <w:rsid w:val="003309CA"/>
    <w:rsid w:val="003325AB"/>
    <w:rsid w:val="003332D1"/>
    <w:rsid w:val="0033412B"/>
    <w:rsid w:val="00341161"/>
    <w:rsid w:val="00343365"/>
    <w:rsid w:val="003445F4"/>
    <w:rsid w:val="00353501"/>
    <w:rsid w:val="00353734"/>
    <w:rsid w:val="00353D62"/>
    <w:rsid w:val="003606F8"/>
    <w:rsid w:val="00361D9E"/>
    <w:rsid w:val="003648EF"/>
    <w:rsid w:val="003673E6"/>
    <w:rsid w:val="003734AE"/>
    <w:rsid w:val="003754E2"/>
    <w:rsid w:val="003756B3"/>
    <w:rsid w:val="00375C35"/>
    <w:rsid w:val="00377264"/>
    <w:rsid w:val="003779D2"/>
    <w:rsid w:val="00380126"/>
    <w:rsid w:val="00385E38"/>
    <w:rsid w:val="00394A29"/>
    <w:rsid w:val="003A1FA7"/>
    <w:rsid w:val="003A26A5"/>
    <w:rsid w:val="003A3761"/>
    <w:rsid w:val="003A512D"/>
    <w:rsid w:val="003A5FEA"/>
    <w:rsid w:val="003B1D10"/>
    <w:rsid w:val="003B3317"/>
    <w:rsid w:val="003B399F"/>
    <w:rsid w:val="003C76D4"/>
    <w:rsid w:val="003D0FAE"/>
    <w:rsid w:val="003D137D"/>
    <w:rsid w:val="003D2CC5"/>
    <w:rsid w:val="003D7E7C"/>
    <w:rsid w:val="003E04C1"/>
    <w:rsid w:val="003E0887"/>
    <w:rsid w:val="003E6864"/>
    <w:rsid w:val="003E74C8"/>
    <w:rsid w:val="003E7C46"/>
    <w:rsid w:val="003F2106"/>
    <w:rsid w:val="003F52A7"/>
    <w:rsid w:val="003F7013"/>
    <w:rsid w:val="00400B93"/>
    <w:rsid w:val="00401AB0"/>
    <w:rsid w:val="0040240C"/>
    <w:rsid w:val="004107F0"/>
    <w:rsid w:val="00413021"/>
    <w:rsid w:val="004207BE"/>
    <w:rsid w:val="00427B87"/>
    <w:rsid w:val="004301C6"/>
    <w:rsid w:val="0043138A"/>
    <w:rsid w:val="0043478F"/>
    <w:rsid w:val="0043602B"/>
    <w:rsid w:val="00440BE0"/>
    <w:rsid w:val="00442C1C"/>
    <w:rsid w:val="0044584B"/>
    <w:rsid w:val="00445DC3"/>
    <w:rsid w:val="00447CB7"/>
    <w:rsid w:val="00455CC9"/>
    <w:rsid w:val="00456F22"/>
    <w:rsid w:val="00457DEE"/>
    <w:rsid w:val="00460826"/>
    <w:rsid w:val="00460EA7"/>
    <w:rsid w:val="0046195B"/>
    <w:rsid w:val="0046362D"/>
    <w:rsid w:val="00464D8E"/>
    <w:rsid w:val="00465238"/>
    <w:rsid w:val="0046596D"/>
    <w:rsid w:val="004762A7"/>
    <w:rsid w:val="00484FD9"/>
    <w:rsid w:val="00487C04"/>
    <w:rsid w:val="0049006F"/>
    <w:rsid w:val="004907E1"/>
    <w:rsid w:val="004A035B"/>
    <w:rsid w:val="004A2108"/>
    <w:rsid w:val="004A38D7"/>
    <w:rsid w:val="004A778C"/>
    <w:rsid w:val="004B1F7A"/>
    <w:rsid w:val="004B48C7"/>
    <w:rsid w:val="004C2E6A"/>
    <w:rsid w:val="004C3C10"/>
    <w:rsid w:val="004C64B8"/>
    <w:rsid w:val="004D2A2D"/>
    <w:rsid w:val="004D479F"/>
    <w:rsid w:val="004D6689"/>
    <w:rsid w:val="004D7DD7"/>
    <w:rsid w:val="004E1D1D"/>
    <w:rsid w:val="004E5E10"/>
    <w:rsid w:val="004E7AC8"/>
    <w:rsid w:val="004F0C94"/>
    <w:rsid w:val="005019AE"/>
    <w:rsid w:val="00503749"/>
    <w:rsid w:val="00504CF4"/>
    <w:rsid w:val="0050635B"/>
    <w:rsid w:val="005151C2"/>
    <w:rsid w:val="00515905"/>
    <w:rsid w:val="00516A3A"/>
    <w:rsid w:val="0053199F"/>
    <w:rsid w:val="00531E12"/>
    <w:rsid w:val="00533B90"/>
    <w:rsid w:val="00537D55"/>
    <w:rsid w:val="005410F8"/>
    <w:rsid w:val="0054388F"/>
    <w:rsid w:val="005448EC"/>
    <w:rsid w:val="00545963"/>
    <w:rsid w:val="00546643"/>
    <w:rsid w:val="00550256"/>
    <w:rsid w:val="00553165"/>
    <w:rsid w:val="00553958"/>
    <w:rsid w:val="00556BB7"/>
    <w:rsid w:val="0055763D"/>
    <w:rsid w:val="00561516"/>
    <w:rsid w:val="005621F2"/>
    <w:rsid w:val="0056329D"/>
    <w:rsid w:val="00567B58"/>
    <w:rsid w:val="00571223"/>
    <w:rsid w:val="005763E0"/>
    <w:rsid w:val="00577A9A"/>
    <w:rsid w:val="00581136"/>
    <w:rsid w:val="00581EB8"/>
    <w:rsid w:val="00582929"/>
    <w:rsid w:val="005835DE"/>
    <w:rsid w:val="005932F0"/>
    <w:rsid w:val="005A27CA"/>
    <w:rsid w:val="005A43BD"/>
    <w:rsid w:val="005A79E5"/>
    <w:rsid w:val="005A7A1C"/>
    <w:rsid w:val="005B3412"/>
    <w:rsid w:val="005D034C"/>
    <w:rsid w:val="005E226E"/>
    <w:rsid w:val="005E2636"/>
    <w:rsid w:val="006015D7"/>
    <w:rsid w:val="00601B21"/>
    <w:rsid w:val="006041F0"/>
    <w:rsid w:val="00605C6D"/>
    <w:rsid w:val="006120CA"/>
    <w:rsid w:val="00624174"/>
    <w:rsid w:val="00626CF8"/>
    <w:rsid w:val="00626FE2"/>
    <w:rsid w:val="00630C9A"/>
    <w:rsid w:val="006314AF"/>
    <w:rsid w:val="0063499D"/>
    <w:rsid w:val="00634ED8"/>
    <w:rsid w:val="00636D7D"/>
    <w:rsid w:val="00637408"/>
    <w:rsid w:val="00642868"/>
    <w:rsid w:val="00647AFE"/>
    <w:rsid w:val="00650BC9"/>
    <w:rsid w:val="00651061"/>
    <w:rsid w:val="006512BC"/>
    <w:rsid w:val="00653383"/>
    <w:rsid w:val="00653A5A"/>
    <w:rsid w:val="006554AC"/>
    <w:rsid w:val="006575F4"/>
    <w:rsid w:val="006579E6"/>
    <w:rsid w:val="00660682"/>
    <w:rsid w:val="00660F74"/>
    <w:rsid w:val="00663EDC"/>
    <w:rsid w:val="00671078"/>
    <w:rsid w:val="006758CA"/>
    <w:rsid w:val="00680A04"/>
    <w:rsid w:val="00682519"/>
    <w:rsid w:val="006849B8"/>
    <w:rsid w:val="00685B63"/>
    <w:rsid w:val="0068687E"/>
    <w:rsid w:val="00686C9E"/>
    <w:rsid w:val="00686D80"/>
    <w:rsid w:val="006909C3"/>
    <w:rsid w:val="00691291"/>
    <w:rsid w:val="00694895"/>
    <w:rsid w:val="00694BFC"/>
    <w:rsid w:val="00697E2E"/>
    <w:rsid w:val="006A25A2"/>
    <w:rsid w:val="006A3B87"/>
    <w:rsid w:val="006A51B1"/>
    <w:rsid w:val="006B0E73"/>
    <w:rsid w:val="006B1E3D"/>
    <w:rsid w:val="006B4A4D"/>
    <w:rsid w:val="006B5695"/>
    <w:rsid w:val="006B7B2E"/>
    <w:rsid w:val="006C78EB"/>
    <w:rsid w:val="006D058C"/>
    <w:rsid w:val="006D1660"/>
    <w:rsid w:val="006D63E5"/>
    <w:rsid w:val="006E1753"/>
    <w:rsid w:val="006E1804"/>
    <w:rsid w:val="006E3911"/>
    <w:rsid w:val="006E6A85"/>
    <w:rsid w:val="006F1B67"/>
    <w:rsid w:val="006F3A06"/>
    <w:rsid w:val="006F4136"/>
    <w:rsid w:val="006F4D9C"/>
    <w:rsid w:val="006F6B55"/>
    <w:rsid w:val="0070091D"/>
    <w:rsid w:val="00702854"/>
    <w:rsid w:val="00707580"/>
    <w:rsid w:val="0071741C"/>
    <w:rsid w:val="00724DD6"/>
    <w:rsid w:val="00742B90"/>
    <w:rsid w:val="0074434D"/>
    <w:rsid w:val="007461AE"/>
    <w:rsid w:val="00753AFB"/>
    <w:rsid w:val="00755E47"/>
    <w:rsid w:val="007570C4"/>
    <w:rsid w:val="007605B8"/>
    <w:rsid w:val="00760C0C"/>
    <w:rsid w:val="00771B1E"/>
    <w:rsid w:val="00773C95"/>
    <w:rsid w:val="00780EAF"/>
    <w:rsid w:val="0078171E"/>
    <w:rsid w:val="00782AEB"/>
    <w:rsid w:val="00783086"/>
    <w:rsid w:val="0078658E"/>
    <w:rsid w:val="007920E2"/>
    <w:rsid w:val="0079566E"/>
    <w:rsid w:val="00795B34"/>
    <w:rsid w:val="007A067F"/>
    <w:rsid w:val="007A49B2"/>
    <w:rsid w:val="007B06BF"/>
    <w:rsid w:val="007B15E0"/>
    <w:rsid w:val="007B1770"/>
    <w:rsid w:val="007B4A61"/>
    <w:rsid w:val="007B4D3E"/>
    <w:rsid w:val="007B7C70"/>
    <w:rsid w:val="007B7DEB"/>
    <w:rsid w:val="007C06D0"/>
    <w:rsid w:val="007D0B8F"/>
    <w:rsid w:val="007D2151"/>
    <w:rsid w:val="007D23CC"/>
    <w:rsid w:val="007D3B90"/>
    <w:rsid w:val="007D42CC"/>
    <w:rsid w:val="007D5DE4"/>
    <w:rsid w:val="007D7C3A"/>
    <w:rsid w:val="007E0777"/>
    <w:rsid w:val="007E1341"/>
    <w:rsid w:val="007E15F4"/>
    <w:rsid w:val="007E1B41"/>
    <w:rsid w:val="007E1EC4"/>
    <w:rsid w:val="007E30B9"/>
    <w:rsid w:val="007E74F1"/>
    <w:rsid w:val="007F0F0C"/>
    <w:rsid w:val="007F1288"/>
    <w:rsid w:val="007F554E"/>
    <w:rsid w:val="00800A8A"/>
    <w:rsid w:val="0080155C"/>
    <w:rsid w:val="008052E1"/>
    <w:rsid w:val="00822F2C"/>
    <w:rsid w:val="00823DEE"/>
    <w:rsid w:val="008305E8"/>
    <w:rsid w:val="00836165"/>
    <w:rsid w:val="0084640C"/>
    <w:rsid w:val="0085477F"/>
    <w:rsid w:val="00854D1C"/>
    <w:rsid w:val="00855EB9"/>
    <w:rsid w:val="00856088"/>
    <w:rsid w:val="00860826"/>
    <w:rsid w:val="00860BA2"/>
    <w:rsid w:val="00860E21"/>
    <w:rsid w:val="00863117"/>
    <w:rsid w:val="0086388B"/>
    <w:rsid w:val="008642E5"/>
    <w:rsid w:val="00864488"/>
    <w:rsid w:val="008707BD"/>
    <w:rsid w:val="00870A36"/>
    <w:rsid w:val="00872D93"/>
    <w:rsid w:val="0087711D"/>
    <w:rsid w:val="00880470"/>
    <w:rsid w:val="00880D94"/>
    <w:rsid w:val="00882A40"/>
    <w:rsid w:val="008844B4"/>
    <w:rsid w:val="00886F64"/>
    <w:rsid w:val="008924DE"/>
    <w:rsid w:val="00897CE9"/>
    <w:rsid w:val="008A3755"/>
    <w:rsid w:val="008A5E80"/>
    <w:rsid w:val="008A788A"/>
    <w:rsid w:val="008B19DC"/>
    <w:rsid w:val="008B22CF"/>
    <w:rsid w:val="008B264F"/>
    <w:rsid w:val="008B6F83"/>
    <w:rsid w:val="008B7FD8"/>
    <w:rsid w:val="008C2973"/>
    <w:rsid w:val="008C6324"/>
    <w:rsid w:val="008C64C4"/>
    <w:rsid w:val="008C756F"/>
    <w:rsid w:val="008D17BE"/>
    <w:rsid w:val="008D74D5"/>
    <w:rsid w:val="008D78DB"/>
    <w:rsid w:val="008E0ED1"/>
    <w:rsid w:val="008E3A07"/>
    <w:rsid w:val="008E537B"/>
    <w:rsid w:val="008F288C"/>
    <w:rsid w:val="008F29BE"/>
    <w:rsid w:val="008F4AE5"/>
    <w:rsid w:val="008F51EB"/>
    <w:rsid w:val="008F610C"/>
    <w:rsid w:val="008F6924"/>
    <w:rsid w:val="00900197"/>
    <w:rsid w:val="00901314"/>
    <w:rsid w:val="00902F55"/>
    <w:rsid w:val="0090582B"/>
    <w:rsid w:val="009060C0"/>
    <w:rsid w:val="009105C2"/>
    <w:rsid w:val="00911523"/>
    <w:rsid w:val="009133F5"/>
    <w:rsid w:val="0091756F"/>
    <w:rsid w:val="00920A27"/>
    <w:rsid w:val="00921216"/>
    <w:rsid w:val="009216CC"/>
    <w:rsid w:val="00925664"/>
    <w:rsid w:val="00926083"/>
    <w:rsid w:val="00930D08"/>
    <w:rsid w:val="009310E0"/>
    <w:rsid w:val="00931466"/>
    <w:rsid w:val="00932D69"/>
    <w:rsid w:val="0093527A"/>
    <w:rsid w:val="00935589"/>
    <w:rsid w:val="00935B85"/>
    <w:rsid w:val="00935BA4"/>
    <w:rsid w:val="00937225"/>
    <w:rsid w:val="00940461"/>
    <w:rsid w:val="00944647"/>
    <w:rsid w:val="0094796D"/>
    <w:rsid w:val="0095565C"/>
    <w:rsid w:val="00964AB6"/>
    <w:rsid w:val="00966F9A"/>
    <w:rsid w:val="00967A1B"/>
    <w:rsid w:val="00977B8A"/>
    <w:rsid w:val="00977C87"/>
    <w:rsid w:val="00982971"/>
    <w:rsid w:val="009845AD"/>
    <w:rsid w:val="00984835"/>
    <w:rsid w:val="009933EF"/>
    <w:rsid w:val="00995BA0"/>
    <w:rsid w:val="009A03F7"/>
    <w:rsid w:val="009A08B1"/>
    <w:rsid w:val="009A2BA4"/>
    <w:rsid w:val="009A418B"/>
    <w:rsid w:val="009A426F"/>
    <w:rsid w:val="009A42D5"/>
    <w:rsid w:val="009A4473"/>
    <w:rsid w:val="009A4C32"/>
    <w:rsid w:val="009A600B"/>
    <w:rsid w:val="009B05C9"/>
    <w:rsid w:val="009B286C"/>
    <w:rsid w:val="009C151C"/>
    <w:rsid w:val="009C440A"/>
    <w:rsid w:val="009D18B3"/>
    <w:rsid w:val="009D2AF1"/>
    <w:rsid w:val="009D5125"/>
    <w:rsid w:val="009D60B8"/>
    <w:rsid w:val="009D7D4B"/>
    <w:rsid w:val="009E36ED"/>
    <w:rsid w:val="009E3C8C"/>
    <w:rsid w:val="009E6B04"/>
    <w:rsid w:val="009E6B77"/>
    <w:rsid w:val="009E7119"/>
    <w:rsid w:val="009F079F"/>
    <w:rsid w:val="009F460A"/>
    <w:rsid w:val="00A0044F"/>
    <w:rsid w:val="00A0122F"/>
    <w:rsid w:val="00A029D0"/>
    <w:rsid w:val="00A033A3"/>
    <w:rsid w:val="00A043FB"/>
    <w:rsid w:val="00A06BE4"/>
    <w:rsid w:val="00A0729C"/>
    <w:rsid w:val="00A07671"/>
    <w:rsid w:val="00A07779"/>
    <w:rsid w:val="00A1166A"/>
    <w:rsid w:val="00A11C7A"/>
    <w:rsid w:val="00A13601"/>
    <w:rsid w:val="00A2058B"/>
    <w:rsid w:val="00A20B2E"/>
    <w:rsid w:val="00A24F33"/>
    <w:rsid w:val="00A25069"/>
    <w:rsid w:val="00A26E6B"/>
    <w:rsid w:val="00A3068F"/>
    <w:rsid w:val="00A3145B"/>
    <w:rsid w:val="00A31AD1"/>
    <w:rsid w:val="00A339D0"/>
    <w:rsid w:val="00A41002"/>
    <w:rsid w:val="00A4201A"/>
    <w:rsid w:val="00A428F9"/>
    <w:rsid w:val="00A42B8B"/>
    <w:rsid w:val="00A5465D"/>
    <w:rsid w:val="00A553CE"/>
    <w:rsid w:val="00A5677A"/>
    <w:rsid w:val="00A56DCC"/>
    <w:rsid w:val="00A625E8"/>
    <w:rsid w:val="00A63DFF"/>
    <w:rsid w:val="00A6490D"/>
    <w:rsid w:val="00A71DC2"/>
    <w:rsid w:val="00A7415D"/>
    <w:rsid w:val="00A80363"/>
    <w:rsid w:val="00A80939"/>
    <w:rsid w:val="00A83E9D"/>
    <w:rsid w:val="00A84BD7"/>
    <w:rsid w:val="00A87C05"/>
    <w:rsid w:val="00A9169D"/>
    <w:rsid w:val="00AA0D97"/>
    <w:rsid w:val="00AA240C"/>
    <w:rsid w:val="00AA588B"/>
    <w:rsid w:val="00AA769E"/>
    <w:rsid w:val="00AC101C"/>
    <w:rsid w:val="00AC20F3"/>
    <w:rsid w:val="00AC5C03"/>
    <w:rsid w:val="00AC67C8"/>
    <w:rsid w:val="00AC6F79"/>
    <w:rsid w:val="00AD2691"/>
    <w:rsid w:val="00AD4CF1"/>
    <w:rsid w:val="00AD5988"/>
    <w:rsid w:val="00AD6293"/>
    <w:rsid w:val="00AE2A37"/>
    <w:rsid w:val="00AE3DAD"/>
    <w:rsid w:val="00AF0123"/>
    <w:rsid w:val="00AF67B9"/>
    <w:rsid w:val="00AF7800"/>
    <w:rsid w:val="00B00CF5"/>
    <w:rsid w:val="00B02D87"/>
    <w:rsid w:val="00B072E0"/>
    <w:rsid w:val="00B1007E"/>
    <w:rsid w:val="00B157E0"/>
    <w:rsid w:val="00B2144A"/>
    <w:rsid w:val="00B253F6"/>
    <w:rsid w:val="00B26675"/>
    <w:rsid w:val="00B305DB"/>
    <w:rsid w:val="00B332F8"/>
    <w:rsid w:val="00B3492B"/>
    <w:rsid w:val="00B372C8"/>
    <w:rsid w:val="00B401BE"/>
    <w:rsid w:val="00B4646F"/>
    <w:rsid w:val="00B51CD9"/>
    <w:rsid w:val="00B5483D"/>
    <w:rsid w:val="00B55C7D"/>
    <w:rsid w:val="00B63038"/>
    <w:rsid w:val="00B64BD8"/>
    <w:rsid w:val="00B65966"/>
    <w:rsid w:val="00B701D1"/>
    <w:rsid w:val="00B71EDD"/>
    <w:rsid w:val="00B73AF2"/>
    <w:rsid w:val="00B7551A"/>
    <w:rsid w:val="00B77044"/>
    <w:rsid w:val="00B773F1"/>
    <w:rsid w:val="00B86AB1"/>
    <w:rsid w:val="00B87A3B"/>
    <w:rsid w:val="00B87DE7"/>
    <w:rsid w:val="00BA18A3"/>
    <w:rsid w:val="00BA75D4"/>
    <w:rsid w:val="00BB04B5"/>
    <w:rsid w:val="00BB2A06"/>
    <w:rsid w:val="00BB2CBB"/>
    <w:rsid w:val="00BB4198"/>
    <w:rsid w:val="00BB5254"/>
    <w:rsid w:val="00BB6CB7"/>
    <w:rsid w:val="00BC03EE"/>
    <w:rsid w:val="00BC29CA"/>
    <w:rsid w:val="00BC2FB7"/>
    <w:rsid w:val="00BC4C2E"/>
    <w:rsid w:val="00BC59F1"/>
    <w:rsid w:val="00BD4D6D"/>
    <w:rsid w:val="00BD5A34"/>
    <w:rsid w:val="00BD7CB0"/>
    <w:rsid w:val="00BF3A9D"/>
    <w:rsid w:val="00BF3DE1"/>
    <w:rsid w:val="00BF43EA"/>
    <w:rsid w:val="00BF4843"/>
    <w:rsid w:val="00BF5205"/>
    <w:rsid w:val="00C04C29"/>
    <w:rsid w:val="00C05132"/>
    <w:rsid w:val="00C10D11"/>
    <w:rsid w:val="00C12508"/>
    <w:rsid w:val="00C16BCD"/>
    <w:rsid w:val="00C23728"/>
    <w:rsid w:val="00C3026C"/>
    <w:rsid w:val="00C313A9"/>
    <w:rsid w:val="00C33229"/>
    <w:rsid w:val="00C3672A"/>
    <w:rsid w:val="00C441CF"/>
    <w:rsid w:val="00C44856"/>
    <w:rsid w:val="00C45AA2"/>
    <w:rsid w:val="00C4792C"/>
    <w:rsid w:val="00C505E5"/>
    <w:rsid w:val="00C55A13"/>
    <w:rsid w:val="00C55BEF"/>
    <w:rsid w:val="00C601AF"/>
    <w:rsid w:val="00C60BAC"/>
    <w:rsid w:val="00C61A63"/>
    <w:rsid w:val="00C63F39"/>
    <w:rsid w:val="00C66253"/>
    <w:rsid w:val="00C66296"/>
    <w:rsid w:val="00C7394D"/>
    <w:rsid w:val="00C77282"/>
    <w:rsid w:val="00C84DE5"/>
    <w:rsid w:val="00C86248"/>
    <w:rsid w:val="00C90B31"/>
    <w:rsid w:val="00C9640B"/>
    <w:rsid w:val="00CA0D6F"/>
    <w:rsid w:val="00CA18C6"/>
    <w:rsid w:val="00CA3FBC"/>
    <w:rsid w:val="00CA4C33"/>
    <w:rsid w:val="00CA6F4A"/>
    <w:rsid w:val="00CB2AC0"/>
    <w:rsid w:val="00CB6427"/>
    <w:rsid w:val="00CC0FBE"/>
    <w:rsid w:val="00CC1E91"/>
    <w:rsid w:val="00CD2119"/>
    <w:rsid w:val="00CD237A"/>
    <w:rsid w:val="00CD36AC"/>
    <w:rsid w:val="00CE080E"/>
    <w:rsid w:val="00CE13A3"/>
    <w:rsid w:val="00CE36BC"/>
    <w:rsid w:val="00CE73AF"/>
    <w:rsid w:val="00CF1747"/>
    <w:rsid w:val="00CF60ED"/>
    <w:rsid w:val="00CF7D6C"/>
    <w:rsid w:val="00D05D74"/>
    <w:rsid w:val="00D077C8"/>
    <w:rsid w:val="00D20C59"/>
    <w:rsid w:val="00D23323"/>
    <w:rsid w:val="00D2392A"/>
    <w:rsid w:val="00D2392D"/>
    <w:rsid w:val="00D25FFE"/>
    <w:rsid w:val="00D37D80"/>
    <w:rsid w:val="00D42EB5"/>
    <w:rsid w:val="00D43079"/>
    <w:rsid w:val="00D4476F"/>
    <w:rsid w:val="00D50573"/>
    <w:rsid w:val="00D50E2E"/>
    <w:rsid w:val="00D52C7C"/>
    <w:rsid w:val="00D54D50"/>
    <w:rsid w:val="00D560B4"/>
    <w:rsid w:val="00D57BE2"/>
    <w:rsid w:val="00D60480"/>
    <w:rsid w:val="00D628A0"/>
    <w:rsid w:val="00D662F8"/>
    <w:rsid w:val="00D66797"/>
    <w:rsid w:val="00D7087C"/>
    <w:rsid w:val="00D70C3C"/>
    <w:rsid w:val="00D71DF7"/>
    <w:rsid w:val="00D71FF0"/>
    <w:rsid w:val="00D72BE5"/>
    <w:rsid w:val="00D81462"/>
    <w:rsid w:val="00D82F26"/>
    <w:rsid w:val="00D8390C"/>
    <w:rsid w:val="00D863D0"/>
    <w:rsid w:val="00D86FB9"/>
    <w:rsid w:val="00D87C87"/>
    <w:rsid w:val="00D90BB4"/>
    <w:rsid w:val="00D90E07"/>
    <w:rsid w:val="00D931AF"/>
    <w:rsid w:val="00D9328A"/>
    <w:rsid w:val="00D932C2"/>
    <w:rsid w:val="00D942F1"/>
    <w:rsid w:val="00DA6211"/>
    <w:rsid w:val="00DB2242"/>
    <w:rsid w:val="00DB39CF"/>
    <w:rsid w:val="00DB63FA"/>
    <w:rsid w:val="00DB7256"/>
    <w:rsid w:val="00DC0021"/>
    <w:rsid w:val="00DC0401"/>
    <w:rsid w:val="00DC16E0"/>
    <w:rsid w:val="00DC20BD"/>
    <w:rsid w:val="00DC32DC"/>
    <w:rsid w:val="00DD0BCD"/>
    <w:rsid w:val="00DD2835"/>
    <w:rsid w:val="00DD447A"/>
    <w:rsid w:val="00DE0610"/>
    <w:rsid w:val="00DE3B20"/>
    <w:rsid w:val="00DE6C94"/>
    <w:rsid w:val="00DE6FD7"/>
    <w:rsid w:val="00DE7D9D"/>
    <w:rsid w:val="00DF6245"/>
    <w:rsid w:val="00E00A59"/>
    <w:rsid w:val="00E014A5"/>
    <w:rsid w:val="00E133F3"/>
    <w:rsid w:val="00E21B83"/>
    <w:rsid w:val="00E23271"/>
    <w:rsid w:val="00E24F80"/>
    <w:rsid w:val="00E259F3"/>
    <w:rsid w:val="00E30985"/>
    <w:rsid w:val="00E316CE"/>
    <w:rsid w:val="00E33238"/>
    <w:rsid w:val="00E376B7"/>
    <w:rsid w:val="00E42F5D"/>
    <w:rsid w:val="00E4486C"/>
    <w:rsid w:val="00E460B6"/>
    <w:rsid w:val="00E511D5"/>
    <w:rsid w:val="00E60249"/>
    <w:rsid w:val="00E65269"/>
    <w:rsid w:val="00E70960"/>
    <w:rsid w:val="00E76D66"/>
    <w:rsid w:val="00E826DA"/>
    <w:rsid w:val="00E845CD"/>
    <w:rsid w:val="00E92D0C"/>
    <w:rsid w:val="00E945EA"/>
    <w:rsid w:val="00E97AAE"/>
    <w:rsid w:val="00EA796A"/>
    <w:rsid w:val="00EB1856"/>
    <w:rsid w:val="00EB6925"/>
    <w:rsid w:val="00EC1AF0"/>
    <w:rsid w:val="00EC4FB2"/>
    <w:rsid w:val="00EC50CE"/>
    <w:rsid w:val="00EC5B34"/>
    <w:rsid w:val="00ED021E"/>
    <w:rsid w:val="00ED323C"/>
    <w:rsid w:val="00EE0071"/>
    <w:rsid w:val="00EE2D5C"/>
    <w:rsid w:val="00EE4ADE"/>
    <w:rsid w:val="00EE4DE8"/>
    <w:rsid w:val="00EE5CB7"/>
    <w:rsid w:val="00EF518D"/>
    <w:rsid w:val="00F024FE"/>
    <w:rsid w:val="00F05AD4"/>
    <w:rsid w:val="00F10EB6"/>
    <w:rsid w:val="00F13F07"/>
    <w:rsid w:val="00F140B2"/>
    <w:rsid w:val="00F14D56"/>
    <w:rsid w:val="00F15CA2"/>
    <w:rsid w:val="00F16E46"/>
    <w:rsid w:val="00F21C98"/>
    <w:rsid w:val="00F2413D"/>
    <w:rsid w:val="00F25970"/>
    <w:rsid w:val="00F30D2D"/>
    <w:rsid w:val="00F311A9"/>
    <w:rsid w:val="00F5180D"/>
    <w:rsid w:val="00F574E3"/>
    <w:rsid w:val="00F63781"/>
    <w:rsid w:val="00F67496"/>
    <w:rsid w:val="00F801BA"/>
    <w:rsid w:val="00F86053"/>
    <w:rsid w:val="00F9366A"/>
    <w:rsid w:val="00F93FDA"/>
    <w:rsid w:val="00F946C9"/>
    <w:rsid w:val="00F95992"/>
    <w:rsid w:val="00FA0EA5"/>
    <w:rsid w:val="00FA10DD"/>
    <w:rsid w:val="00FA74EE"/>
    <w:rsid w:val="00FC3711"/>
    <w:rsid w:val="00FC46E7"/>
    <w:rsid w:val="00FC5D25"/>
    <w:rsid w:val="00FD0D7E"/>
    <w:rsid w:val="00FD1628"/>
    <w:rsid w:val="00FD1BD5"/>
    <w:rsid w:val="00FD4FFB"/>
    <w:rsid w:val="00FE6E13"/>
    <w:rsid w:val="00FF15F6"/>
    <w:rsid w:val="00FF246C"/>
    <w:rsid w:val="00FF527C"/>
    <w:rsid w:val="00FF65CD"/>
    <w:rsid w:val="00FF74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6A3392BE"/>
  <w15:docId w15:val="{D83CBA81-0CD2-4CAB-AC2C-9106BD95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EE0071"/>
    <w:pPr>
      <w:pageBreakBefore/>
      <w:spacing w:after="360"/>
      <w:outlineLvl w:val="0"/>
    </w:pPr>
    <w:rPr>
      <w:b/>
      <w:color w:val="23305D"/>
      <w:spacing w:val="-10"/>
      <w:sz w:val="72"/>
    </w:rPr>
  </w:style>
  <w:style w:type="paragraph" w:styleId="Heading2">
    <w:name w:val="heading 2"/>
    <w:basedOn w:val="Normal"/>
    <w:next w:val="Normal"/>
    <w:link w:val="Heading2Char"/>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2C099A"/>
    <w:pPr>
      <w:tabs>
        <w:tab w:val="right" w:pos="8080"/>
      </w:tabs>
      <w:spacing w:before="300"/>
    </w:pPr>
    <w:rPr>
      <w:rFonts w:ascii="Segoe UI Semibold" w:hAnsi="Segoe UI Semibold"/>
      <w:sz w:val="24"/>
    </w:rPr>
  </w:style>
  <w:style w:type="paragraph" w:styleId="TOC2">
    <w:name w:val="toc 2"/>
    <w:basedOn w:val="Normal"/>
    <w:next w:val="Normal"/>
    <w:uiPriority w:val="39"/>
    <w:qFormat/>
    <w:rsid w:val="002C099A"/>
    <w:pPr>
      <w:tabs>
        <w:tab w:val="right" w:pos="8080"/>
      </w:tabs>
      <w:spacing w:before="60"/>
      <w:ind w:left="284"/>
    </w:pPr>
    <w:rPr>
      <w:sz w:val="22"/>
    </w:rPr>
  </w:style>
  <w:style w:type="paragraph" w:styleId="TOC3">
    <w:name w:val="toc 3"/>
    <w:basedOn w:val="Normal"/>
    <w:next w:val="Normal"/>
    <w:uiPriority w:val="39"/>
    <w:rsid w:val="002C099A"/>
    <w:pPr>
      <w:tabs>
        <w:tab w:val="right" w:pos="8080"/>
      </w:tabs>
      <w:spacing w:before="120"/>
      <w:ind w:left="1276"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62A47"/>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rsid w:val="00EE0071"/>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paragraph" w:styleId="BalloonText">
    <w:name w:val="Balloon Text"/>
    <w:basedOn w:val="Normal"/>
    <w:link w:val="BalloonTextChar"/>
    <w:semiHidden/>
    <w:unhideWhenUsed/>
    <w:rsid w:val="0087711D"/>
    <w:rPr>
      <w:rFonts w:cs="Segoe UI"/>
      <w:sz w:val="18"/>
      <w:szCs w:val="18"/>
    </w:rPr>
  </w:style>
  <w:style w:type="character" w:customStyle="1" w:styleId="BalloonTextChar">
    <w:name w:val="Balloon Text Char"/>
    <w:basedOn w:val="DefaultParagraphFont"/>
    <w:link w:val="BalloonText"/>
    <w:semiHidden/>
    <w:rsid w:val="0087711D"/>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D8390C"/>
    <w:rPr>
      <w:color w:val="800080" w:themeColor="followedHyperlink"/>
      <w:u w:val="single"/>
    </w:rPr>
  </w:style>
  <w:style w:type="character" w:styleId="CommentReference">
    <w:name w:val="annotation reference"/>
    <w:basedOn w:val="DefaultParagraphFont"/>
    <w:uiPriority w:val="99"/>
    <w:semiHidden/>
    <w:unhideWhenUsed/>
    <w:rsid w:val="00897CE9"/>
    <w:rPr>
      <w:sz w:val="16"/>
      <w:szCs w:val="16"/>
    </w:rPr>
  </w:style>
  <w:style w:type="paragraph" w:styleId="CommentText">
    <w:name w:val="annotation text"/>
    <w:basedOn w:val="Normal"/>
    <w:link w:val="CommentTextChar"/>
    <w:uiPriority w:val="99"/>
    <w:semiHidden/>
    <w:unhideWhenUsed/>
    <w:rsid w:val="00897CE9"/>
    <w:rPr>
      <w:rFonts w:ascii="Georgia" w:hAnsi="Georgia"/>
      <w:sz w:val="20"/>
    </w:rPr>
  </w:style>
  <w:style w:type="character" w:customStyle="1" w:styleId="CommentTextChar">
    <w:name w:val="Comment Text Char"/>
    <w:basedOn w:val="DefaultParagraphFont"/>
    <w:link w:val="CommentText"/>
    <w:uiPriority w:val="99"/>
    <w:semiHidden/>
    <w:rsid w:val="00897CE9"/>
    <w:rPr>
      <w:rFonts w:ascii="Georgia" w:hAnsi="Georgia"/>
      <w:lang w:eastAsia="en-GB"/>
    </w:rPr>
  </w:style>
  <w:style w:type="character" w:styleId="UnresolvedMention">
    <w:name w:val="Unresolved Mention"/>
    <w:basedOn w:val="DefaultParagraphFont"/>
    <w:uiPriority w:val="99"/>
    <w:semiHidden/>
    <w:unhideWhenUsed/>
    <w:rsid w:val="00AA0D9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4388F"/>
    <w:rPr>
      <w:rFonts w:ascii="Segoe UI" w:hAnsi="Segoe UI"/>
      <w:b/>
      <w:bCs/>
    </w:rPr>
  </w:style>
  <w:style w:type="character" w:customStyle="1" w:styleId="CommentSubjectChar">
    <w:name w:val="Comment Subject Char"/>
    <w:basedOn w:val="CommentTextChar"/>
    <w:link w:val="CommentSubject"/>
    <w:uiPriority w:val="99"/>
    <w:semiHidden/>
    <w:rsid w:val="0054388F"/>
    <w:rPr>
      <w:rFonts w:ascii="Segoe UI" w:hAnsi="Segoe UI"/>
      <w:b/>
      <w:bCs/>
      <w:lang w:eastAsia="en-GB"/>
    </w:rPr>
  </w:style>
  <w:style w:type="paragraph" w:styleId="NormalWeb">
    <w:name w:val="Normal (Web)"/>
    <w:basedOn w:val="Normal"/>
    <w:uiPriority w:val="99"/>
    <w:semiHidden/>
    <w:unhideWhenUsed/>
    <w:rsid w:val="00E70960"/>
    <w:pPr>
      <w:spacing w:before="100" w:beforeAutospacing="1" w:after="100" w:afterAutospacing="1"/>
    </w:pPr>
    <w:rPr>
      <w:rFonts w:ascii="Times New Roman" w:hAnsi="Times New Roman"/>
      <w:sz w:val="24"/>
      <w:szCs w:val="24"/>
      <w:lang w:eastAsia="en-NZ"/>
    </w:rPr>
  </w:style>
  <w:style w:type="character" w:styleId="Strong">
    <w:name w:val="Strong"/>
    <w:basedOn w:val="DefaultParagraphFont"/>
    <w:uiPriority w:val="22"/>
    <w:qFormat/>
    <w:rsid w:val="00E70960"/>
    <w:rPr>
      <w:b/>
      <w:bCs/>
    </w:rPr>
  </w:style>
  <w:style w:type="character" w:customStyle="1" w:styleId="ui-provider">
    <w:name w:val="ui-provider"/>
    <w:basedOn w:val="DefaultParagraphFont"/>
    <w:rsid w:val="00316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50131">
      <w:bodyDiv w:val="1"/>
      <w:marLeft w:val="0"/>
      <w:marRight w:val="0"/>
      <w:marTop w:val="0"/>
      <w:marBottom w:val="0"/>
      <w:divBdr>
        <w:top w:val="none" w:sz="0" w:space="0" w:color="auto"/>
        <w:left w:val="none" w:sz="0" w:space="0" w:color="auto"/>
        <w:bottom w:val="none" w:sz="0" w:space="0" w:color="auto"/>
        <w:right w:val="none" w:sz="0" w:space="0" w:color="auto"/>
      </w:divBdr>
    </w:div>
    <w:div w:id="1283878492">
      <w:bodyDiv w:val="1"/>
      <w:marLeft w:val="0"/>
      <w:marRight w:val="0"/>
      <w:marTop w:val="0"/>
      <w:marBottom w:val="0"/>
      <w:divBdr>
        <w:top w:val="none" w:sz="0" w:space="0" w:color="auto"/>
        <w:left w:val="none" w:sz="0" w:space="0" w:color="auto"/>
        <w:bottom w:val="none" w:sz="0" w:space="0" w:color="auto"/>
        <w:right w:val="none" w:sz="0" w:space="0" w:color="auto"/>
      </w:divBdr>
    </w:div>
    <w:div w:id="179178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health.govt.nz/publication/primary-maternity-services-notice-2021" TargetMode="External"/><Relationship Id="rId26" Type="http://schemas.openxmlformats.org/officeDocument/2006/relationships/hyperlink" Target="http://www.researchgate.net/publication/333798434_Comparing_perinatal_outcomes_for_healthy_pregnant_women_presenting_at_primary_and_tertiary_settings_in_South_Auckland_A_retrospective_cohort_study" TargetMode="Externa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tats.govt.nz/methods/population-statistics-user-guide" TargetMode="External"/><Relationship Id="rId25" Type="http://schemas.openxmlformats.org/officeDocument/2006/relationships/hyperlink" Target="https://www.health.govt.nz/publication/primary-maternity-services-notice-2021" TargetMode="External"/><Relationship Id="rId2" Type="http://schemas.openxmlformats.org/officeDocument/2006/relationships/numbering" Target="numbering.xml"/><Relationship Id="rId16" Type="http://schemas.openxmlformats.org/officeDocument/2006/relationships/hyperlink" Target="http://www.stats.govt.nz/" TargetMode="External"/><Relationship Id="rId20" Type="http://schemas.openxmlformats.org/officeDocument/2006/relationships/hyperlink" Target="http://www.otago.ac.nz/wellington/departments/publichealth/research/hirp/otago020194.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data-enquiries@health.govt.nz"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data-enquiries@health.govt.nz" TargetMode="Externa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mailto:data-enquiries@health.govt.n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image" Target="media/image6.em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qsc.govt.nz/resources/resource-library/fifteenth-annual-report-of-the-perinatal-and-maternal-mortality-review-committee-reporting-mortality-and-morbidity-2020/" TargetMode="External"/><Relationship Id="rId2" Type="http://schemas.openxmlformats.org/officeDocument/2006/relationships/hyperlink" Target="https://www.tewhatuora.govt.nz/for-health-professionals/data-and-statistics/fetal-and-infant-death/web-tool" TargetMode="External"/><Relationship Id="rId1" Type="http://schemas.openxmlformats.org/officeDocument/2006/relationships/hyperlink" Target="https://www.tewhatuora.govt.nz/for-health-professionals/data-and-statistics/mortality/data-web-too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17180-134B-43F2-B7D7-09676733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6608</TotalTime>
  <Pages>31</Pages>
  <Words>8863</Words>
  <Characters>51403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Report on maternity 2017</vt:lpstr>
    </vt:vector>
  </TitlesOfParts>
  <Company>Microsoft</Company>
  <LinksUpToDate>false</LinksUpToDate>
  <CharactersWithSpaces>60146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maternity 2017</dc:title>
  <dc:creator>Ministry of Health</dc:creator>
  <cp:lastModifiedBy>Emma Woods</cp:lastModifiedBy>
  <cp:revision>65</cp:revision>
  <cp:lastPrinted>2015-11-17T05:02:00Z</cp:lastPrinted>
  <dcterms:created xsi:type="dcterms:W3CDTF">2022-07-20T22:56:00Z</dcterms:created>
  <dcterms:modified xsi:type="dcterms:W3CDTF">2025-07-16T21:58:00Z</dcterms:modified>
</cp:coreProperties>
</file>