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1609837"/>
        <w:docPartObj>
          <w:docPartGallery w:val="Cover Pages"/>
          <w:docPartUnique/>
        </w:docPartObj>
      </w:sdtPr>
      <w:sdtEndPr/>
      <w:sdtContent>
        <w:p w14:paraId="4E5058FC" w14:textId="77777777" w:rsidR="00C30DE4" w:rsidRDefault="00C30DE4" w:rsidP="00A1599C">
          <w:r>
            <w:rPr>
              <w:noProof/>
              <w:lang w:eastAsia="en-NZ"/>
            </w:rPr>
            <mc:AlternateContent>
              <mc:Choice Requires="wps">
                <w:drawing>
                  <wp:anchor distT="0" distB="0" distL="114300" distR="114300" simplePos="0" relativeHeight="251632640" behindDoc="0" locked="0" layoutInCell="1" allowOverlap="1" wp14:anchorId="0FE4BB27" wp14:editId="54EC8176">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z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36C279DD" w14:textId="6D669A83" w:rsidR="00811909" w:rsidRDefault="003638B7" w:rsidP="00A1599C">
                                    <w:pPr>
                                      <w:pStyle w:val="Title"/>
                                    </w:pPr>
                                    <w:r>
                                      <w:rPr>
                                        <w:b/>
                                        <w:sz w:val="72"/>
                                      </w:rPr>
                                      <w:t>The New Zealand Casemix System</w:t>
                                    </w:r>
                                  </w:p>
                                </w:sdtContent>
                              </w:sdt>
                              <w:p w14:paraId="5DC9EB79" w14:textId="77777777" w:rsidR="00811909" w:rsidRDefault="00811909" w:rsidP="00A1599C">
                                <w:pPr>
                                  <w:rPr>
                                    <w:b/>
                                    <w:sz w:val="44"/>
                                  </w:rPr>
                                </w:pPr>
                                <w:r w:rsidRPr="00A1599C">
                                  <w:rPr>
                                    <w:b/>
                                    <w:sz w:val="44"/>
                                  </w:rPr>
                                  <w:t>An Overview</w:t>
                                </w:r>
                                <w:r>
                                  <w:rPr>
                                    <w:b/>
                                    <w:sz w:val="44"/>
                                  </w:rPr>
                                  <w:t xml:space="preserve"> </w:t>
                                </w:r>
                              </w:p>
                              <w:p w14:paraId="265B7925" w14:textId="77777777" w:rsidR="00811909" w:rsidRDefault="00811909" w:rsidP="00A1599C">
                                <w:pPr>
                                  <w:rPr>
                                    <w:b/>
                                    <w:sz w:val="44"/>
                                  </w:rPr>
                                </w:pPr>
                              </w:p>
                              <w:p w14:paraId="1E434168" w14:textId="77777777" w:rsidR="00811909" w:rsidRPr="00A1599C" w:rsidRDefault="00811909" w:rsidP="00A1599C">
                                <w:pPr>
                                  <w:rPr>
                                    <w:b/>
                                    <w:sz w:val="44"/>
                                  </w:rPr>
                                </w:pPr>
                                <w:r>
                                  <w:rPr>
                                    <w:b/>
                                    <w:sz w:val="44"/>
                                  </w:rPr>
                                  <w:t>CASEMIX PROJECT GROUP</w:t>
                                </w:r>
                              </w:p>
                              <w:p w14:paraId="1530F8C4" w14:textId="77777777" w:rsidR="00811909" w:rsidRDefault="003638B7" w:rsidP="00A1599C">
                                <w:pPr>
                                  <w:rPr>
                                    <w:b/>
                                    <w:sz w:val="44"/>
                                  </w:rPr>
                                </w:pPr>
                                <w:r>
                                  <w:rPr>
                                    <w:b/>
                                    <w:sz w:val="44"/>
                                  </w:rPr>
                                  <w:t>December</w:t>
                                </w:r>
                                <w:r w:rsidR="00811909">
                                  <w:rPr>
                                    <w:b/>
                                    <w:sz w:val="44"/>
                                  </w:rPr>
                                  <w:t xml:space="preserve"> </w:t>
                                </w:r>
                                <w:r w:rsidR="00811909" w:rsidRPr="00A1599C">
                                  <w:rPr>
                                    <w:b/>
                                    <w:sz w:val="44"/>
                                  </w:rPr>
                                  <w:t>2015</w:t>
                                </w:r>
                                <w:r w:rsidR="00811909">
                                  <w:rPr>
                                    <w:b/>
                                    <w:sz w:val="44"/>
                                  </w:rPr>
                                  <w:t xml:space="preserve"> v1.2</w:t>
                                </w:r>
                              </w:p>
                              <w:sdt>
                                <w:sdtPr>
                                  <w:alias w:val="Abstract"/>
                                  <w:id w:val="307982498"/>
                                  <w:showingPlcHdr/>
                                  <w:dataBinding w:prefixMappings="xmlns:ns0='http://schemas.microsoft.com/office/2006/coverPageProps'" w:xpath="/ns0:CoverPageProperties[1]/ns0:Abstract[1]" w:storeItemID="{55AF091B-3C7A-41E3-B477-F2FDAA23CFDA}"/>
                                  <w:text/>
                                </w:sdtPr>
                                <w:sdtEndPr/>
                                <w:sdtContent>
                                  <w:p w14:paraId="12C443B5" w14:textId="77777777" w:rsidR="00811909" w:rsidRDefault="00811909" w:rsidP="00A1599C">
                                    <w: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0FE4BB27" id="Rectangle 47" o:spid="_x0000_s1026" style="position:absolute;margin-left:0;margin-top:0;width:422.3pt;height:760.3pt;z-index:2516326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" fillcolor="#4f81bd [3204]" stroked="f" strokeweight="2pt">
                    <v:textbox inset="21.6pt,1in,21.6pt">
                      <w:txbxContent>
                        <w:sdt>
                          <w:sdtPr>
                            <w:rPr>
                              <w:b/>
                              <w:sz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36C279DD" w14:textId="6D669A83" w:rsidR="00811909" w:rsidRDefault="003638B7" w:rsidP="00A1599C">
                              <w:pPr>
                                <w:pStyle w:val="Title"/>
                              </w:pPr>
                              <w:r>
                                <w:rPr>
                                  <w:b/>
                                  <w:sz w:val="72"/>
                                </w:rPr>
                                <w:t>The New Zealand Casemix System</w:t>
                              </w:r>
                            </w:p>
                          </w:sdtContent>
                        </w:sdt>
                        <w:p w14:paraId="5DC9EB79" w14:textId="77777777" w:rsidR="00811909" w:rsidRDefault="00811909" w:rsidP="00A1599C">
                          <w:pPr>
                            <w:rPr>
                              <w:b/>
                              <w:sz w:val="44"/>
                            </w:rPr>
                          </w:pPr>
                          <w:r w:rsidRPr="00A1599C">
                            <w:rPr>
                              <w:b/>
                              <w:sz w:val="44"/>
                            </w:rPr>
                            <w:t>An Overview</w:t>
                          </w:r>
                          <w:r>
                            <w:rPr>
                              <w:b/>
                              <w:sz w:val="44"/>
                            </w:rPr>
                            <w:t xml:space="preserve"> </w:t>
                          </w:r>
                        </w:p>
                        <w:p w14:paraId="265B7925" w14:textId="77777777" w:rsidR="00811909" w:rsidRDefault="00811909" w:rsidP="00A1599C">
                          <w:pPr>
                            <w:rPr>
                              <w:b/>
                              <w:sz w:val="44"/>
                            </w:rPr>
                          </w:pPr>
                        </w:p>
                        <w:p w14:paraId="1E434168" w14:textId="77777777" w:rsidR="00811909" w:rsidRPr="00A1599C" w:rsidRDefault="00811909" w:rsidP="00A1599C">
                          <w:pPr>
                            <w:rPr>
                              <w:b/>
                              <w:sz w:val="44"/>
                            </w:rPr>
                          </w:pPr>
                          <w:r>
                            <w:rPr>
                              <w:b/>
                              <w:sz w:val="44"/>
                            </w:rPr>
                            <w:t>CASEMIX PROJECT GROUP</w:t>
                          </w:r>
                        </w:p>
                        <w:p w14:paraId="1530F8C4" w14:textId="77777777" w:rsidR="00811909" w:rsidRDefault="003638B7" w:rsidP="00A1599C">
                          <w:pPr>
                            <w:rPr>
                              <w:b/>
                              <w:sz w:val="44"/>
                            </w:rPr>
                          </w:pPr>
                          <w:r>
                            <w:rPr>
                              <w:b/>
                              <w:sz w:val="44"/>
                            </w:rPr>
                            <w:t>December</w:t>
                          </w:r>
                          <w:r w:rsidR="00811909">
                            <w:rPr>
                              <w:b/>
                              <w:sz w:val="44"/>
                            </w:rPr>
                            <w:t xml:space="preserve"> </w:t>
                          </w:r>
                          <w:r w:rsidR="00811909" w:rsidRPr="00A1599C">
                            <w:rPr>
                              <w:b/>
                              <w:sz w:val="44"/>
                            </w:rPr>
                            <w:t>2015</w:t>
                          </w:r>
                          <w:r w:rsidR="00811909">
                            <w:rPr>
                              <w:b/>
                              <w:sz w:val="44"/>
                            </w:rPr>
                            <w:t xml:space="preserve"> v1.2</w:t>
                          </w:r>
                        </w:p>
                        <w:sdt>
                          <w:sdtPr>
                            <w:alias w:val="Abstract"/>
                            <w:id w:val="307982498"/>
                            <w:showingPlcHdr/>
                            <w:dataBinding w:prefixMappings="xmlns:ns0='http://schemas.microsoft.com/office/2006/coverPageProps'" w:xpath="/ns0:CoverPageProperties[1]/ns0:Abstract[1]" w:storeItemID="{55AF091B-3C7A-41E3-B477-F2FDAA23CFDA}"/>
                            <w:text/>
                          </w:sdtPr>
                          <w:sdtEndPr/>
                          <w:sdtContent>
                            <w:p w14:paraId="12C443B5" w14:textId="77777777" w:rsidR="00811909" w:rsidRDefault="00811909" w:rsidP="00A1599C">
                              <w:r>
                                <w:t xml:space="preserve">     </w:t>
                              </w:r>
                            </w:p>
                          </w:sdtContent>
                        </w:sdt>
                      </w:txbxContent>
                    </v:textbox>
                    <w10:wrap anchorx="page" anchory="page"/>
                  </v:rect>
                </w:pict>
              </mc:Fallback>
            </mc:AlternateContent>
          </w:r>
          <w:r>
            <w:rPr>
              <w:noProof/>
              <w:lang w:eastAsia="en-NZ"/>
            </w:rPr>
            <mc:AlternateContent>
              <mc:Choice Requires="wps">
                <w:drawing>
                  <wp:anchor distT="0" distB="0" distL="114300" distR="114300" simplePos="0" relativeHeight="251633664" behindDoc="0" locked="0" layoutInCell="1" allowOverlap="1" wp14:anchorId="102F71D9" wp14:editId="072F4D7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030CACFA" w14:textId="77777777" w:rsidR="00811909" w:rsidRDefault="00811909" w:rsidP="00A1599C">
                                    <w:pPr>
                                      <w:pStyle w:val="Subtitle"/>
                                    </w:pPr>
                                    <w: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02F71D9" id="Rectangle 48" o:spid="_x0000_s1027" style="position:absolute;margin-left:0;margin-top:0;width:148.1pt;height:760.3pt;z-index:2516336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fillcolor="#1f497d [3215]" stroked="f" strokeweight="2pt">
                    <v:textbox inset="14.4pt,,14.4pt">
                      <w:txbxContent>
                        <w:sdt>
                          <w:sdt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030CACFA" w14:textId="77777777" w:rsidR="00811909" w:rsidRDefault="00811909" w:rsidP="00A1599C">
                              <w:pPr>
                                <w:pStyle w:val="Subtitle"/>
                              </w:pPr>
                              <w:r>
                                <w:t xml:space="preserve">     </w:t>
                              </w:r>
                            </w:p>
                          </w:sdtContent>
                        </w:sdt>
                      </w:txbxContent>
                    </v:textbox>
                    <w10:wrap anchorx="page" anchory="page"/>
                  </v:rect>
                </w:pict>
              </mc:Fallback>
            </mc:AlternateContent>
          </w:r>
        </w:p>
        <w:p w14:paraId="7B72A917" w14:textId="77777777" w:rsidR="00C30DE4" w:rsidRDefault="00C30DE4" w:rsidP="00A1599C"/>
        <w:p w14:paraId="78CDC69F" w14:textId="77777777" w:rsidR="0045571D" w:rsidRDefault="00C30DE4" w:rsidP="00A1599C">
          <w:r>
            <w:br w:type="page"/>
          </w:r>
        </w:p>
        <w:p w14:paraId="0949B7ED" w14:textId="77777777" w:rsidR="0045571D" w:rsidRDefault="0045571D" w:rsidP="00A1599C"/>
        <w:p w14:paraId="6C21C3CE" w14:textId="77777777" w:rsidR="0045571D" w:rsidRDefault="0045571D" w:rsidP="00A1599C"/>
        <w:p w14:paraId="6661A554" w14:textId="77777777" w:rsidR="0045571D" w:rsidRDefault="0045571D" w:rsidP="00A1599C"/>
        <w:p w14:paraId="4B106C25" w14:textId="77777777" w:rsidR="0045571D" w:rsidRDefault="0045571D" w:rsidP="00A1599C"/>
        <w:p w14:paraId="50119F1B" w14:textId="77777777" w:rsidR="0045571D" w:rsidRDefault="0045571D" w:rsidP="00A1599C"/>
        <w:p w14:paraId="4F11BC94" w14:textId="77777777" w:rsidR="0045571D" w:rsidRDefault="0045571D" w:rsidP="00A1599C"/>
        <w:p w14:paraId="767C5793" w14:textId="77777777" w:rsidR="0045571D" w:rsidRDefault="0045571D" w:rsidP="00A1599C"/>
        <w:p w14:paraId="1B388C21" w14:textId="77777777" w:rsidR="0045571D" w:rsidRDefault="0045571D" w:rsidP="00A1599C"/>
        <w:p w14:paraId="63648CDA" w14:textId="77777777" w:rsidR="0045571D" w:rsidRDefault="0045571D" w:rsidP="00A1599C"/>
        <w:p w14:paraId="237C703F" w14:textId="77777777" w:rsidR="0045571D" w:rsidRDefault="0045571D" w:rsidP="00A1599C"/>
        <w:p w14:paraId="77EAEDAF" w14:textId="77777777" w:rsidR="0045571D" w:rsidRDefault="0045571D" w:rsidP="00A1599C"/>
        <w:p w14:paraId="0AAD59C0" w14:textId="77777777" w:rsidR="0045571D" w:rsidRPr="00A1599C" w:rsidRDefault="0045571D" w:rsidP="0045571D">
          <w:r w:rsidRPr="00A1599C">
            <w:t xml:space="preserve">The information contained in this document was deemed to be accurate at the time of distribution. </w:t>
          </w:r>
        </w:p>
        <w:p w14:paraId="3758C1F0" w14:textId="77777777" w:rsidR="0045571D" w:rsidRPr="00A1599C" w:rsidRDefault="0045571D" w:rsidP="0045571D">
          <w:r w:rsidRPr="00A1599C">
            <w:t>This document has been developed by C</w:t>
          </w:r>
          <w:r>
            <w:t>a</w:t>
          </w:r>
          <w:r w:rsidRPr="00A1599C">
            <w:t>se</w:t>
          </w:r>
          <w:r>
            <w:t>m</w:t>
          </w:r>
          <w:r w:rsidRPr="00A1599C">
            <w:t>i</w:t>
          </w:r>
          <w:r>
            <w:t>x</w:t>
          </w:r>
          <w:r w:rsidRPr="00A1599C">
            <w:t xml:space="preserve"> </w:t>
          </w:r>
          <w:r w:rsidR="00546822">
            <w:t xml:space="preserve">Project </w:t>
          </w:r>
          <w:r w:rsidRPr="00A1599C">
            <w:t xml:space="preserve">Group.  The Information within this document may be reproduced in whole or in part for informing relevant stakeholders subject to the inclusion of acknowledgement of the source. </w:t>
          </w:r>
        </w:p>
        <w:p w14:paraId="6314EDF3" w14:textId="77777777" w:rsidR="0045571D" w:rsidRPr="00A1599C" w:rsidRDefault="0045571D" w:rsidP="0045571D">
          <w:pPr>
            <w:pStyle w:val="Heading4"/>
          </w:pPr>
          <w:r w:rsidRPr="00A1599C">
            <w:t>Acknowledgements:</w:t>
          </w:r>
        </w:p>
        <w:p w14:paraId="34F97458" w14:textId="77777777" w:rsidR="0045571D" w:rsidRDefault="0045571D" w:rsidP="0045571D">
          <w:r>
            <w:t xml:space="preserve">Principal writers of this document were Michael Rains (Principal Analyst, DHB Shared Services) and Tracy Thompson (Senior Analyst – Classification Specialist, Ministry of Health). Comments on early drafts were sought from and provided by the Casemix </w:t>
          </w:r>
          <w:r w:rsidR="00546822">
            <w:t>Project</w:t>
          </w:r>
          <w:r>
            <w:t xml:space="preserve"> Group, and other District Health Board or Ministry of Health personnel.</w:t>
          </w:r>
        </w:p>
        <w:p w14:paraId="60F1317A" w14:textId="77777777" w:rsidR="00862EA1" w:rsidRPr="00A1599C" w:rsidRDefault="00862EA1" w:rsidP="00862EA1">
          <w:r>
            <w:t>E</w:t>
          </w:r>
          <w:r w:rsidRPr="00A1599C">
            <w:t xml:space="preserve">nquiries or comments about the information in this document should be directed to: </w:t>
          </w:r>
        </w:p>
        <w:p w14:paraId="20040989" w14:textId="77777777" w:rsidR="00862EA1" w:rsidRDefault="00862EA1" w:rsidP="00862EA1">
          <w:pPr>
            <w:spacing w:after="120"/>
          </w:pPr>
          <w:r>
            <w:t xml:space="preserve">Michael Rains – </w:t>
          </w:r>
          <w:hyperlink r:id="rId8" w:history="1">
            <w:r w:rsidRPr="0063554B">
              <w:rPr>
                <w:rStyle w:val="Hyperlink"/>
              </w:rPr>
              <w:t>michael.rains@dhbss.health.nz</w:t>
            </w:r>
          </w:hyperlink>
          <w:r>
            <w:t xml:space="preserve">, or </w:t>
          </w:r>
        </w:p>
        <w:p w14:paraId="55EE9C0B" w14:textId="77777777" w:rsidR="00862EA1" w:rsidRPr="00A1599C" w:rsidRDefault="00862EA1" w:rsidP="00862EA1">
          <w:pPr>
            <w:spacing w:after="120"/>
          </w:pPr>
          <w:r>
            <w:t xml:space="preserve">for coding specific questions to: Tracy Thompson – </w:t>
          </w:r>
          <w:hyperlink r:id="rId9" w:history="1">
            <w:r w:rsidRPr="0031235C">
              <w:rPr>
                <w:rStyle w:val="Hyperlink"/>
              </w:rPr>
              <w:t>coding_helpdesk@moh.govt.nz</w:t>
            </w:r>
          </w:hyperlink>
          <w:r>
            <w:t xml:space="preserve"> or</w:t>
          </w:r>
        </w:p>
        <w:p w14:paraId="3DE53294" w14:textId="77777777" w:rsidR="00862EA1" w:rsidRDefault="00862EA1" w:rsidP="00862EA1">
          <w:pPr>
            <w:spacing w:after="120"/>
          </w:pPr>
          <w:r>
            <w:t xml:space="preserve">for advice on using NMDS data to: Angela Pidd – </w:t>
          </w:r>
          <w:hyperlink r:id="rId10" w:history="1">
            <w:r w:rsidRPr="0031235C">
              <w:rPr>
                <w:rStyle w:val="Hyperlink"/>
              </w:rPr>
              <w:t>operations@moh.govt.nz</w:t>
            </w:r>
          </w:hyperlink>
        </w:p>
        <w:p w14:paraId="1CD236C7" w14:textId="77777777" w:rsidR="00862EA1" w:rsidRDefault="00862EA1" w:rsidP="0045571D">
          <w:pPr>
            <w:spacing w:after="0" w:line="240" w:lineRule="auto"/>
          </w:pPr>
        </w:p>
        <w:p w14:paraId="478C300F" w14:textId="77777777" w:rsidR="00862EA1" w:rsidRPr="00862EA1" w:rsidRDefault="00862EA1" w:rsidP="0045571D">
          <w:pPr>
            <w:spacing w:after="0" w:line="240" w:lineRule="auto"/>
            <w:rPr>
              <w:b/>
            </w:rPr>
          </w:pPr>
          <w:r w:rsidRPr="00862EA1">
            <w:rPr>
              <w:b/>
            </w:rPr>
            <w:t xml:space="preserve">The New Zealand Casemix System – An Overview </w:t>
          </w:r>
        </w:p>
        <w:p w14:paraId="681C7907" w14:textId="77777777" w:rsidR="00862EA1" w:rsidRDefault="00862EA1" w:rsidP="0045571D">
          <w:pPr>
            <w:spacing w:after="0" w:line="240" w:lineRule="auto"/>
          </w:pPr>
        </w:p>
        <w:p w14:paraId="275BE99F" w14:textId="77777777" w:rsidR="0022766D" w:rsidRDefault="0022766D" w:rsidP="0022766D">
          <w:pPr>
            <w:spacing w:after="0" w:line="240" w:lineRule="auto"/>
          </w:pPr>
          <w:r>
            <w:t>ISBN: 978-0-947491-19-2</w:t>
          </w:r>
        </w:p>
        <w:p w14:paraId="0C1E37B4" w14:textId="77777777" w:rsidR="0022766D" w:rsidRDefault="0022766D" w:rsidP="0022766D">
          <w:pPr>
            <w:spacing w:after="0" w:line="240" w:lineRule="auto"/>
          </w:pPr>
          <w:r>
            <w:t>HP 6283</w:t>
          </w:r>
        </w:p>
        <w:p w14:paraId="7E4BBE0B" w14:textId="77777777" w:rsidR="0045571D" w:rsidRDefault="0045571D" w:rsidP="0045571D"/>
        <w:p w14:paraId="3AC69B0A" w14:textId="77777777" w:rsidR="00AC6A02" w:rsidRDefault="0045571D" w:rsidP="00AC6A02">
          <w:pPr>
            <w:spacing w:after="0"/>
          </w:pPr>
          <w:r>
            <w:t xml:space="preserve">Produced by the New Zealand Casemix </w:t>
          </w:r>
          <w:r w:rsidR="00546822">
            <w:t xml:space="preserve">Project </w:t>
          </w:r>
          <w:r>
            <w:t>Group</w:t>
          </w:r>
        </w:p>
        <w:p w14:paraId="7036AFF6" w14:textId="77777777" w:rsidR="0045571D" w:rsidRDefault="00AC6A02" w:rsidP="0045571D">
          <w:r>
            <w:t xml:space="preserve">Publication </w:t>
          </w:r>
          <w:r w:rsidR="003638B7">
            <w:t>December</w:t>
          </w:r>
          <w:r w:rsidR="00731AD8">
            <w:t xml:space="preserve"> 2015 v1.2</w:t>
          </w:r>
          <w:r w:rsidR="0045571D">
            <w:br w:type="page"/>
          </w:r>
        </w:p>
      </w:sdtContent>
    </w:sdt>
    <w:sdt>
      <w:sdtPr>
        <w:rPr>
          <w:rFonts w:asciiTheme="minorHAnsi" w:eastAsiaTheme="minorEastAsia" w:hAnsiTheme="minorHAnsi" w:cstheme="minorBidi"/>
          <w:b w:val="0"/>
          <w:bCs w:val="0"/>
          <w:color w:val="auto"/>
          <w:sz w:val="22"/>
          <w:szCs w:val="22"/>
          <w:lang w:bidi="ar-SA"/>
        </w:rPr>
        <w:id w:val="579805650"/>
        <w:docPartObj>
          <w:docPartGallery w:val="Table of Contents"/>
          <w:docPartUnique/>
        </w:docPartObj>
      </w:sdtPr>
      <w:sdtEndPr>
        <w:rPr>
          <w:noProof/>
        </w:rPr>
      </w:sdtEndPr>
      <w:sdtContent>
        <w:p w14:paraId="7D096EB1" w14:textId="77777777" w:rsidR="00C30DE4" w:rsidRDefault="00C30DE4" w:rsidP="0045571D">
          <w:pPr>
            <w:pStyle w:val="TOCHeading"/>
          </w:pPr>
          <w:r>
            <w:t>Table of Contents</w:t>
          </w:r>
        </w:p>
        <w:p w14:paraId="6DE88617" w14:textId="77777777" w:rsidR="0048292D" w:rsidRDefault="00C30DE4">
          <w:pPr>
            <w:pStyle w:val="TOC1"/>
            <w:tabs>
              <w:tab w:val="right" w:leader="dot" w:pos="9060"/>
            </w:tabs>
            <w:rPr>
              <w:noProof/>
              <w:lang w:eastAsia="en-NZ"/>
            </w:rPr>
          </w:pPr>
          <w:r>
            <w:fldChar w:fldCharType="begin"/>
          </w:r>
          <w:r>
            <w:instrText xml:space="preserve"> TOC \o "1-2" \h \z \u </w:instrText>
          </w:r>
          <w:r>
            <w:fldChar w:fldCharType="separate"/>
          </w:r>
          <w:hyperlink w:anchor="_Toc437260925" w:history="1">
            <w:r w:rsidR="0048292D" w:rsidRPr="0072617D">
              <w:rPr>
                <w:rStyle w:val="Hyperlink"/>
                <w:noProof/>
              </w:rPr>
              <w:t>Introduction</w:t>
            </w:r>
            <w:r w:rsidR="0048292D">
              <w:rPr>
                <w:noProof/>
                <w:webHidden/>
              </w:rPr>
              <w:tab/>
            </w:r>
            <w:r w:rsidR="0048292D">
              <w:rPr>
                <w:noProof/>
                <w:webHidden/>
              </w:rPr>
              <w:fldChar w:fldCharType="begin"/>
            </w:r>
            <w:r w:rsidR="0048292D">
              <w:rPr>
                <w:noProof/>
                <w:webHidden/>
              </w:rPr>
              <w:instrText xml:space="preserve"> PAGEREF _Toc437260925 \h </w:instrText>
            </w:r>
            <w:r w:rsidR="0048292D">
              <w:rPr>
                <w:noProof/>
                <w:webHidden/>
              </w:rPr>
            </w:r>
            <w:r w:rsidR="0048292D">
              <w:rPr>
                <w:noProof/>
                <w:webHidden/>
              </w:rPr>
              <w:fldChar w:fldCharType="separate"/>
            </w:r>
            <w:r w:rsidR="007346C8">
              <w:rPr>
                <w:noProof/>
                <w:webHidden/>
              </w:rPr>
              <w:t>3</w:t>
            </w:r>
            <w:r w:rsidR="0048292D">
              <w:rPr>
                <w:noProof/>
                <w:webHidden/>
              </w:rPr>
              <w:fldChar w:fldCharType="end"/>
            </w:r>
          </w:hyperlink>
        </w:p>
        <w:p w14:paraId="0C6D220F" w14:textId="77777777" w:rsidR="0048292D" w:rsidRDefault="00735638">
          <w:pPr>
            <w:pStyle w:val="TOC1"/>
            <w:tabs>
              <w:tab w:val="right" w:leader="dot" w:pos="9060"/>
            </w:tabs>
            <w:rPr>
              <w:noProof/>
              <w:lang w:eastAsia="en-NZ"/>
            </w:rPr>
          </w:pPr>
          <w:hyperlink w:anchor="_Toc437260926" w:history="1">
            <w:r w:rsidR="0048292D" w:rsidRPr="0072617D">
              <w:rPr>
                <w:rStyle w:val="Hyperlink"/>
                <w:noProof/>
              </w:rPr>
              <w:t>Part I: The Idea of Casemix</w:t>
            </w:r>
            <w:r w:rsidR="0048292D">
              <w:rPr>
                <w:noProof/>
                <w:webHidden/>
              </w:rPr>
              <w:tab/>
            </w:r>
            <w:r w:rsidR="0048292D">
              <w:rPr>
                <w:noProof/>
                <w:webHidden/>
              </w:rPr>
              <w:fldChar w:fldCharType="begin"/>
            </w:r>
            <w:r w:rsidR="0048292D">
              <w:rPr>
                <w:noProof/>
                <w:webHidden/>
              </w:rPr>
              <w:instrText xml:space="preserve"> PAGEREF _Toc437260926 \h </w:instrText>
            </w:r>
            <w:r w:rsidR="0048292D">
              <w:rPr>
                <w:noProof/>
                <w:webHidden/>
              </w:rPr>
            </w:r>
            <w:r w:rsidR="0048292D">
              <w:rPr>
                <w:noProof/>
                <w:webHidden/>
              </w:rPr>
              <w:fldChar w:fldCharType="separate"/>
            </w:r>
            <w:r w:rsidR="007346C8">
              <w:rPr>
                <w:noProof/>
                <w:webHidden/>
              </w:rPr>
              <w:t>4</w:t>
            </w:r>
            <w:r w:rsidR="0048292D">
              <w:rPr>
                <w:noProof/>
                <w:webHidden/>
              </w:rPr>
              <w:fldChar w:fldCharType="end"/>
            </w:r>
          </w:hyperlink>
        </w:p>
        <w:p w14:paraId="51C05D1C" w14:textId="77777777" w:rsidR="0048292D" w:rsidRDefault="00735638">
          <w:pPr>
            <w:pStyle w:val="TOC2"/>
            <w:tabs>
              <w:tab w:val="right" w:leader="dot" w:pos="9060"/>
            </w:tabs>
            <w:rPr>
              <w:noProof/>
              <w:lang w:eastAsia="en-NZ"/>
            </w:rPr>
          </w:pPr>
          <w:hyperlink w:anchor="_Toc437260927" w:history="1">
            <w:r w:rsidR="0048292D" w:rsidRPr="0072617D">
              <w:rPr>
                <w:rStyle w:val="Hyperlink"/>
                <w:noProof/>
              </w:rPr>
              <w:t>History – Early to Recent</w:t>
            </w:r>
            <w:r w:rsidR="0048292D">
              <w:rPr>
                <w:noProof/>
                <w:webHidden/>
              </w:rPr>
              <w:tab/>
            </w:r>
            <w:r w:rsidR="0048292D">
              <w:rPr>
                <w:noProof/>
                <w:webHidden/>
              </w:rPr>
              <w:fldChar w:fldCharType="begin"/>
            </w:r>
            <w:r w:rsidR="0048292D">
              <w:rPr>
                <w:noProof/>
                <w:webHidden/>
              </w:rPr>
              <w:instrText xml:space="preserve"> PAGEREF _Toc437260927 \h </w:instrText>
            </w:r>
            <w:r w:rsidR="0048292D">
              <w:rPr>
                <w:noProof/>
                <w:webHidden/>
              </w:rPr>
            </w:r>
            <w:r w:rsidR="0048292D">
              <w:rPr>
                <w:noProof/>
                <w:webHidden/>
              </w:rPr>
              <w:fldChar w:fldCharType="separate"/>
            </w:r>
            <w:r w:rsidR="007346C8">
              <w:rPr>
                <w:noProof/>
                <w:webHidden/>
              </w:rPr>
              <w:t>4</w:t>
            </w:r>
            <w:r w:rsidR="0048292D">
              <w:rPr>
                <w:noProof/>
                <w:webHidden/>
              </w:rPr>
              <w:fldChar w:fldCharType="end"/>
            </w:r>
          </w:hyperlink>
        </w:p>
        <w:p w14:paraId="5BC0D5D5" w14:textId="77777777" w:rsidR="0048292D" w:rsidRDefault="00735638">
          <w:pPr>
            <w:pStyle w:val="TOC1"/>
            <w:tabs>
              <w:tab w:val="right" w:leader="dot" w:pos="9060"/>
            </w:tabs>
            <w:rPr>
              <w:noProof/>
              <w:lang w:eastAsia="en-NZ"/>
            </w:rPr>
          </w:pPr>
          <w:hyperlink w:anchor="_Toc437260928" w:history="1">
            <w:r w:rsidR="0048292D" w:rsidRPr="0072617D">
              <w:rPr>
                <w:rStyle w:val="Hyperlink"/>
                <w:noProof/>
              </w:rPr>
              <w:t>Part II: Casemix in General</w:t>
            </w:r>
            <w:r w:rsidR="0048292D">
              <w:rPr>
                <w:noProof/>
                <w:webHidden/>
              </w:rPr>
              <w:tab/>
            </w:r>
            <w:r w:rsidR="0048292D">
              <w:rPr>
                <w:noProof/>
                <w:webHidden/>
              </w:rPr>
              <w:fldChar w:fldCharType="begin"/>
            </w:r>
            <w:r w:rsidR="0048292D">
              <w:rPr>
                <w:noProof/>
                <w:webHidden/>
              </w:rPr>
              <w:instrText xml:space="preserve"> PAGEREF _Toc437260928 \h </w:instrText>
            </w:r>
            <w:r w:rsidR="0048292D">
              <w:rPr>
                <w:noProof/>
                <w:webHidden/>
              </w:rPr>
            </w:r>
            <w:r w:rsidR="0048292D">
              <w:rPr>
                <w:noProof/>
                <w:webHidden/>
              </w:rPr>
              <w:fldChar w:fldCharType="separate"/>
            </w:r>
            <w:r w:rsidR="007346C8">
              <w:rPr>
                <w:noProof/>
                <w:webHidden/>
              </w:rPr>
              <w:t>5</w:t>
            </w:r>
            <w:r w:rsidR="0048292D">
              <w:rPr>
                <w:noProof/>
                <w:webHidden/>
              </w:rPr>
              <w:fldChar w:fldCharType="end"/>
            </w:r>
          </w:hyperlink>
        </w:p>
        <w:p w14:paraId="0FD84458" w14:textId="77777777" w:rsidR="0048292D" w:rsidRDefault="00735638">
          <w:pPr>
            <w:pStyle w:val="TOC2"/>
            <w:tabs>
              <w:tab w:val="right" w:leader="dot" w:pos="9060"/>
            </w:tabs>
            <w:rPr>
              <w:noProof/>
              <w:lang w:eastAsia="en-NZ"/>
            </w:rPr>
          </w:pPr>
          <w:hyperlink w:anchor="_Toc437260929" w:history="1">
            <w:r w:rsidR="0048292D" w:rsidRPr="0072617D">
              <w:rPr>
                <w:rStyle w:val="Hyperlink"/>
                <w:noProof/>
              </w:rPr>
              <w:t>Clinical Coding</w:t>
            </w:r>
            <w:r w:rsidR="0048292D">
              <w:rPr>
                <w:noProof/>
                <w:webHidden/>
              </w:rPr>
              <w:tab/>
            </w:r>
            <w:r w:rsidR="0048292D">
              <w:rPr>
                <w:noProof/>
                <w:webHidden/>
              </w:rPr>
              <w:fldChar w:fldCharType="begin"/>
            </w:r>
            <w:r w:rsidR="0048292D">
              <w:rPr>
                <w:noProof/>
                <w:webHidden/>
              </w:rPr>
              <w:instrText xml:space="preserve"> PAGEREF _Toc437260929 \h </w:instrText>
            </w:r>
            <w:r w:rsidR="0048292D">
              <w:rPr>
                <w:noProof/>
                <w:webHidden/>
              </w:rPr>
            </w:r>
            <w:r w:rsidR="0048292D">
              <w:rPr>
                <w:noProof/>
                <w:webHidden/>
              </w:rPr>
              <w:fldChar w:fldCharType="separate"/>
            </w:r>
            <w:r w:rsidR="007346C8">
              <w:rPr>
                <w:noProof/>
                <w:webHidden/>
              </w:rPr>
              <w:t>6</w:t>
            </w:r>
            <w:r w:rsidR="0048292D">
              <w:rPr>
                <w:noProof/>
                <w:webHidden/>
              </w:rPr>
              <w:fldChar w:fldCharType="end"/>
            </w:r>
          </w:hyperlink>
        </w:p>
        <w:p w14:paraId="76C29006" w14:textId="77777777" w:rsidR="0048292D" w:rsidRDefault="00735638">
          <w:pPr>
            <w:pStyle w:val="TOC2"/>
            <w:tabs>
              <w:tab w:val="right" w:leader="dot" w:pos="9060"/>
            </w:tabs>
            <w:rPr>
              <w:noProof/>
              <w:lang w:eastAsia="en-NZ"/>
            </w:rPr>
          </w:pPr>
          <w:hyperlink w:anchor="_Toc437260930" w:history="1">
            <w:r w:rsidR="0048292D" w:rsidRPr="0072617D">
              <w:rPr>
                <w:rStyle w:val="Hyperlink"/>
                <w:noProof/>
              </w:rPr>
              <w:t>Diagnosis Related Groups (DRGs)</w:t>
            </w:r>
            <w:r w:rsidR="0048292D">
              <w:rPr>
                <w:noProof/>
                <w:webHidden/>
              </w:rPr>
              <w:tab/>
            </w:r>
            <w:r w:rsidR="0048292D">
              <w:rPr>
                <w:noProof/>
                <w:webHidden/>
              </w:rPr>
              <w:fldChar w:fldCharType="begin"/>
            </w:r>
            <w:r w:rsidR="0048292D">
              <w:rPr>
                <w:noProof/>
                <w:webHidden/>
              </w:rPr>
              <w:instrText xml:space="preserve"> PAGEREF _Toc437260930 \h </w:instrText>
            </w:r>
            <w:r w:rsidR="0048292D">
              <w:rPr>
                <w:noProof/>
                <w:webHidden/>
              </w:rPr>
            </w:r>
            <w:r w:rsidR="0048292D">
              <w:rPr>
                <w:noProof/>
                <w:webHidden/>
              </w:rPr>
              <w:fldChar w:fldCharType="separate"/>
            </w:r>
            <w:r w:rsidR="007346C8">
              <w:rPr>
                <w:noProof/>
                <w:webHidden/>
              </w:rPr>
              <w:t>9</w:t>
            </w:r>
            <w:r w:rsidR="0048292D">
              <w:rPr>
                <w:noProof/>
                <w:webHidden/>
              </w:rPr>
              <w:fldChar w:fldCharType="end"/>
            </w:r>
          </w:hyperlink>
        </w:p>
        <w:p w14:paraId="211C2EE4" w14:textId="77777777" w:rsidR="0048292D" w:rsidRDefault="00735638">
          <w:pPr>
            <w:pStyle w:val="TOC2"/>
            <w:tabs>
              <w:tab w:val="right" w:leader="dot" w:pos="9060"/>
            </w:tabs>
            <w:rPr>
              <w:noProof/>
              <w:lang w:eastAsia="en-NZ"/>
            </w:rPr>
          </w:pPr>
          <w:hyperlink w:anchor="_Toc437260931" w:history="1">
            <w:r w:rsidR="0048292D" w:rsidRPr="0072617D">
              <w:rPr>
                <w:rStyle w:val="Hyperlink"/>
                <w:noProof/>
              </w:rPr>
              <w:t>Structure of AR-DRGs</w:t>
            </w:r>
            <w:r w:rsidR="0048292D">
              <w:rPr>
                <w:noProof/>
                <w:webHidden/>
              </w:rPr>
              <w:tab/>
            </w:r>
            <w:r w:rsidR="0048292D">
              <w:rPr>
                <w:noProof/>
                <w:webHidden/>
              </w:rPr>
              <w:fldChar w:fldCharType="begin"/>
            </w:r>
            <w:r w:rsidR="0048292D">
              <w:rPr>
                <w:noProof/>
                <w:webHidden/>
              </w:rPr>
              <w:instrText xml:space="preserve"> PAGEREF _Toc437260931 \h </w:instrText>
            </w:r>
            <w:r w:rsidR="0048292D">
              <w:rPr>
                <w:noProof/>
                <w:webHidden/>
              </w:rPr>
            </w:r>
            <w:r w:rsidR="0048292D">
              <w:rPr>
                <w:noProof/>
                <w:webHidden/>
              </w:rPr>
              <w:fldChar w:fldCharType="separate"/>
            </w:r>
            <w:r w:rsidR="007346C8">
              <w:rPr>
                <w:noProof/>
                <w:webHidden/>
              </w:rPr>
              <w:t>10</w:t>
            </w:r>
            <w:r w:rsidR="0048292D">
              <w:rPr>
                <w:noProof/>
                <w:webHidden/>
              </w:rPr>
              <w:fldChar w:fldCharType="end"/>
            </w:r>
          </w:hyperlink>
        </w:p>
        <w:p w14:paraId="513FAC48" w14:textId="77777777" w:rsidR="0048292D" w:rsidRDefault="00735638">
          <w:pPr>
            <w:pStyle w:val="TOC2"/>
            <w:tabs>
              <w:tab w:val="right" w:leader="dot" w:pos="9060"/>
            </w:tabs>
            <w:rPr>
              <w:noProof/>
              <w:lang w:eastAsia="en-NZ"/>
            </w:rPr>
          </w:pPr>
          <w:hyperlink w:anchor="_Toc437260932" w:history="1">
            <w:r w:rsidR="0048292D" w:rsidRPr="0072617D">
              <w:rPr>
                <w:rStyle w:val="Hyperlink"/>
                <w:noProof/>
              </w:rPr>
              <w:t>National Collection for Admitted Patient Events</w:t>
            </w:r>
            <w:r w:rsidR="0048292D">
              <w:rPr>
                <w:noProof/>
                <w:webHidden/>
              </w:rPr>
              <w:tab/>
            </w:r>
            <w:r w:rsidR="0048292D">
              <w:rPr>
                <w:noProof/>
                <w:webHidden/>
              </w:rPr>
              <w:fldChar w:fldCharType="begin"/>
            </w:r>
            <w:r w:rsidR="0048292D">
              <w:rPr>
                <w:noProof/>
                <w:webHidden/>
              </w:rPr>
              <w:instrText xml:space="preserve"> PAGEREF _Toc437260932 \h </w:instrText>
            </w:r>
            <w:r w:rsidR="0048292D">
              <w:rPr>
                <w:noProof/>
                <w:webHidden/>
              </w:rPr>
            </w:r>
            <w:r w:rsidR="0048292D">
              <w:rPr>
                <w:noProof/>
                <w:webHidden/>
              </w:rPr>
              <w:fldChar w:fldCharType="separate"/>
            </w:r>
            <w:r w:rsidR="007346C8">
              <w:rPr>
                <w:noProof/>
                <w:webHidden/>
              </w:rPr>
              <w:t>17</w:t>
            </w:r>
            <w:r w:rsidR="0048292D">
              <w:rPr>
                <w:noProof/>
                <w:webHidden/>
              </w:rPr>
              <w:fldChar w:fldCharType="end"/>
            </w:r>
          </w:hyperlink>
        </w:p>
        <w:p w14:paraId="12C11CA0" w14:textId="77777777" w:rsidR="0048292D" w:rsidRDefault="00735638">
          <w:pPr>
            <w:pStyle w:val="TOC2"/>
            <w:tabs>
              <w:tab w:val="right" w:leader="dot" w:pos="9060"/>
            </w:tabs>
            <w:rPr>
              <w:noProof/>
              <w:lang w:eastAsia="en-NZ"/>
            </w:rPr>
          </w:pPr>
          <w:hyperlink w:anchor="_Toc437260933" w:history="1">
            <w:r w:rsidR="0048292D" w:rsidRPr="0072617D">
              <w:rPr>
                <w:rStyle w:val="Hyperlink"/>
                <w:noProof/>
              </w:rPr>
              <w:t>Updates to the AR-DRG Classification</w:t>
            </w:r>
            <w:r w:rsidR="0048292D">
              <w:rPr>
                <w:noProof/>
                <w:webHidden/>
              </w:rPr>
              <w:tab/>
            </w:r>
            <w:r w:rsidR="0048292D">
              <w:rPr>
                <w:noProof/>
                <w:webHidden/>
              </w:rPr>
              <w:fldChar w:fldCharType="begin"/>
            </w:r>
            <w:r w:rsidR="0048292D">
              <w:rPr>
                <w:noProof/>
                <w:webHidden/>
              </w:rPr>
              <w:instrText xml:space="preserve"> PAGEREF _Toc437260933 \h </w:instrText>
            </w:r>
            <w:r w:rsidR="0048292D">
              <w:rPr>
                <w:noProof/>
                <w:webHidden/>
              </w:rPr>
            </w:r>
            <w:r w:rsidR="0048292D">
              <w:rPr>
                <w:noProof/>
                <w:webHidden/>
              </w:rPr>
              <w:fldChar w:fldCharType="separate"/>
            </w:r>
            <w:r w:rsidR="007346C8">
              <w:rPr>
                <w:noProof/>
                <w:webHidden/>
              </w:rPr>
              <w:t>18</w:t>
            </w:r>
            <w:r w:rsidR="0048292D">
              <w:rPr>
                <w:noProof/>
                <w:webHidden/>
              </w:rPr>
              <w:fldChar w:fldCharType="end"/>
            </w:r>
          </w:hyperlink>
        </w:p>
        <w:p w14:paraId="1573F122" w14:textId="77777777" w:rsidR="0048292D" w:rsidRDefault="00735638">
          <w:pPr>
            <w:pStyle w:val="TOC2"/>
            <w:tabs>
              <w:tab w:val="right" w:leader="dot" w:pos="9060"/>
            </w:tabs>
            <w:rPr>
              <w:noProof/>
              <w:lang w:eastAsia="en-NZ"/>
            </w:rPr>
          </w:pPr>
          <w:hyperlink w:anchor="_Toc437260934" w:history="1">
            <w:r w:rsidR="0048292D" w:rsidRPr="0072617D">
              <w:rPr>
                <w:rStyle w:val="Hyperlink"/>
                <w:noProof/>
              </w:rPr>
              <w:t>The Grouper</w:t>
            </w:r>
            <w:r w:rsidR="0048292D">
              <w:rPr>
                <w:noProof/>
                <w:webHidden/>
              </w:rPr>
              <w:tab/>
            </w:r>
            <w:r w:rsidR="0048292D">
              <w:rPr>
                <w:noProof/>
                <w:webHidden/>
              </w:rPr>
              <w:fldChar w:fldCharType="begin"/>
            </w:r>
            <w:r w:rsidR="0048292D">
              <w:rPr>
                <w:noProof/>
                <w:webHidden/>
              </w:rPr>
              <w:instrText xml:space="preserve"> PAGEREF _Toc437260934 \h </w:instrText>
            </w:r>
            <w:r w:rsidR="0048292D">
              <w:rPr>
                <w:noProof/>
                <w:webHidden/>
              </w:rPr>
            </w:r>
            <w:r w:rsidR="0048292D">
              <w:rPr>
                <w:noProof/>
                <w:webHidden/>
              </w:rPr>
              <w:fldChar w:fldCharType="separate"/>
            </w:r>
            <w:r w:rsidR="007346C8">
              <w:rPr>
                <w:noProof/>
                <w:webHidden/>
              </w:rPr>
              <w:t>18</w:t>
            </w:r>
            <w:r w:rsidR="0048292D">
              <w:rPr>
                <w:noProof/>
                <w:webHidden/>
              </w:rPr>
              <w:fldChar w:fldCharType="end"/>
            </w:r>
          </w:hyperlink>
        </w:p>
        <w:p w14:paraId="1BF65203" w14:textId="77777777" w:rsidR="0048292D" w:rsidRDefault="00735638">
          <w:pPr>
            <w:pStyle w:val="TOC2"/>
            <w:tabs>
              <w:tab w:val="right" w:leader="dot" w:pos="9060"/>
            </w:tabs>
            <w:rPr>
              <w:noProof/>
              <w:lang w:eastAsia="en-NZ"/>
            </w:rPr>
          </w:pPr>
          <w:hyperlink w:anchor="_Toc437260935" w:history="1">
            <w:r w:rsidR="0048292D" w:rsidRPr="0072617D">
              <w:rPr>
                <w:rStyle w:val="Hyperlink"/>
                <w:noProof/>
              </w:rPr>
              <w:t>Illustration of Relative Cost Profiles and Resource Contributions</w:t>
            </w:r>
            <w:r w:rsidR="0048292D">
              <w:rPr>
                <w:noProof/>
                <w:webHidden/>
              </w:rPr>
              <w:tab/>
            </w:r>
            <w:r w:rsidR="0048292D">
              <w:rPr>
                <w:noProof/>
                <w:webHidden/>
              </w:rPr>
              <w:fldChar w:fldCharType="begin"/>
            </w:r>
            <w:r w:rsidR="0048292D">
              <w:rPr>
                <w:noProof/>
                <w:webHidden/>
              </w:rPr>
              <w:instrText xml:space="preserve"> PAGEREF _Toc437260935 \h </w:instrText>
            </w:r>
            <w:r w:rsidR="0048292D">
              <w:rPr>
                <w:noProof/>
                <w:webHidden/>
              </w:rPr>
            </w:r>
            <w:r w:rsidR="0048292D">
              <w:rPr>
                <w:noProof/>
                <w:webHidden/>
              </w:rPr>
              <w:fldChar w:fldCharType="separate"/>
            </w:r>
            <w:r w:rsidR="007346C8">
              <w:rPr>
                <w:noProof/>
                <w:webHidden/>
              </w:rPr>
              <w:t>18</w:t>
            </w:r>
            <w:r w:rsidR="0048292D">
              <w:rPr>
                <w:noProof/>
                <w:webHidden/>
              </w:rPr>
              <w:fldChar w:fldCharType="end"/>
            </w:r>
          </w:hyperlink>
        </w:p>
        <w:p w14:paraId="53B4FA75" w14:textId="77777777" w:rsidR="0048292D" w:rsidRDefault="00735638">
          <w:pPr>
            <w:pStyle w:val="TOC1"/>
            <w:tabs>
              <w:tab w:val="right" w:leader="dot" w:pos="9060"/>
            </w:tabs>
            <w:rPr>
              <w:noProof/>
              <w:lang w:eastAsia="en-NZ"/>
            </w:rPr>
          </w:pPr>
          <w:hyperlink w:anchor="_Toc437260936" w:history="1">
            <w:r w:rsidR="0048292D" w:rsidRPr="0072617D">
              <w:rPr>
                <w:rStyle w:val="Hyperlink"/>
                <w:noProof/>
              </w:rPr>
              <w:t>Part III: Casemix Based Funding in New Zealand</w:t>
            </w:r>
            <w:r w:rsidR="0048292D">
              <w:rPr>
                <w:noProof/>
                <w:webHidden/>
              </w:rPr>
              <w:tab/>
            </w:r>
            <w:r w:rsidR="0048292D">
              <w:rPr>
                <w:noProof/>
                <w:webHidden/>
              </w:rPr>
              <w:fldChar w:fldCharType="begin"/>
            </w:r>
            <w:r w:rsidR="0048292D">
              <w:rPr>
                <w:noProof/>
                <w:webHidden/>
              </w:rPr>
              <w:instrText xml:space="preserve"> PAGEREF _Toc437260936 \h </w:instrText>
            </w:r>
            <w:r w:rsidR="0048292D">
              <w:rPr>
                <w:noProof/>
                <w:webHidden/>
              </w:rPr>
            </w:r>
            <w:r w:rsidR="0048292D">
              <w:rPr>
                <w:noProof/>
                <w:webHidden/>
              </w:rPr>
              <w:fldChar w:fldCharType="separate"/>
            </w:r>
            <w:r w:rsidR="007346C8">
              <w:rPr>
                <w:noProof/>
                <w:webHidden/>
              </w:rPr>
              <w:t>21</w:t>
            </w:r>
            <w:r w:rsidR="0048292D">
              <w:rPr>
                <w:noProof/>
                <w:webHidden/>
              </w:rPr>
              <w:fldChar w:fldCharType="end"/>
            </w:r>
          </w:hyperlink>
        </w:p>
        <w:p w14:paraId="60F92B46" w14:textId="77777777" w:rsidR="0048292D" w:rsidRDefault="00735638">
          <w:pPr>
            <w:pStyle w:val="TOC2"/>
            <w:tabs>
              <w:tab w:val="right" w:leader="dot" w:pos="9060"/>
            </w:tabs>
            <w:rPr>
              <w:noProof/>
              <w:lang w:eastAsia="en-NZ"/>
            </w:rPr>
          </w:pPr>
          <w:hyperlink w:anchor="_Toc437260937" w:history="1">
            <w:r w:rsidR="0048292D" w:rsidRPr="0072617D">
              <w:rPr>
                <w:rStyle w:val="Hyperlink"/>
                <w:noProof/>
              </w:rPr>
              <w:t>Components of New Zealand’s Casemix System</w:t>
            </w:r>
            <w:r w:rsidR="0048292D">
              <w:rPr>
                <w:noProof/>
                <w:webHidden/>
              </w:rPr>
              <w:tab/>
            </w:r>
            <w:r w:rsidR="0048292D">
              <w:rPr>
                <w:noProof/>
                <w:webHidden/>
              </w:rPr>
              <w:fldChar w:fldCharType="begin"/>
            </w:r>
            <w:r w:rsidR="0048292D">
              <w:rPr>
                <w:noProof/>
                <w:webHidden/>
              </w:rPr>
              <w:instrText xml:space="preserve"> PAGEREF _Toc437260937 \h </w:instrText>
            </w:r>
            <w:r w:rsidR="0048292D">
              <w:rPr>
                <w:noProof/>
                <w:webHidden/>
              </w:rPr>
            </w:r>
            <w:r w:rsidR="0048292D">
              <w:rPr>
                <w:noProof/>
                <w:webHidden/>
              </w:rPr>
              <w:fldChar w:fldCharType="separate"/>
            </w:r>
            <w:r w:rsidR="007346C8">
              <w:rPr>
                <w:noProof/>
                <w:webHidden/>
              </w:rPr>
              <w:t>21</w:t>
            </w:r>
            <w:r w:rsidR="0048292D">
              <w:rPr>
                <w:noProof/>
                <w:webHidden/>
              </w:rPr>
              <w:fldChar w:fldCharType="end"/>
            </w:r>
          </w:hyperlink>
        </w:p>
        <w:p w14:paraId="51FE154A" w14:textId="77777777" w:rsidR="0048292D" w:rsidRDefault="00735638">
          <w:pPr>
            <w:pStyle w:val="TOC2"/>
            <w:tabs>
              <w:tab w:val="right" w:leader="dot" w:pos="9060"/>
            </w:tabs>
            <w:rPr>
              <w:noProof/>
              <w:lang w:eastAsia="en-NZ"/>
            </w:rPr>
          </w:pPr>
          <w:hyperlink w:anchor="_Toc437260938" w:history="1">
            <w:r w:rsidR="0048292D" w:rsidRPr="0072617D">
              <w:rPr>
                <w:rStyle w:val="Hyperlink"/>
                <w:noProof/>
              </w:rPr>
              <w:t>How does Casemix Based Funding Fit Amongst all Hospital Funding?</w:t>
            </w:r>
            <w:r w:rsidR="0048292D">
              <w:rPr>
                <w:noProof/>
                <w:webHidden/>
              </w:rPr>
              <w:tab/>
            </w:r>
            <w:r w:rsidR="0048292D">
              <w:rPr>
                <w:noProof/>
                <w:webHidden/>
              </w:rPr>
              <w:fldChar w:fldCharType="begin"/>
            </w:r>
            <w:r w:rsidR="0048292D">
              <w:rPr>
                <w:noProof/>
                <w:webHidden/>
              </w:rPr>
              <w:instrText xml:space="preserve"> PAGEREF _Toc437260938 \h </w:instrText>
            </w:r>
            <w:r w:rsidR="0048292D">
              <w:rPr>
                <w:noProof/>
                <w:webHidden/>
              </w:rPr>
            </w:r>
            <w:r w:rsidR="0048292D">
              <w:rPr>
                <w:noProof/>
                <w:webHidden/>
              </w:rPr>
              <w:fldChar w:fldCharType="separate"/>
            </w:r>
            <w:r w:rsidR="007346C8">
              <w:rPr>
                <w:noProof/>
                <w:webHidden/>
              </w:rPr>
              <w:t>22</w:t>
            </w:r>
            <w:r w:rsidR="0048292D">
              <w:rPr>
                <w:noProof/>
                <w:webHidden/>
              </w:rPr>
              <w:fldChar w:fldCharType="end"/>
            </w:r>
          </w:hyperlink>
        </w:p>
        <w:p w14:paraId="1B839133" w14:textId="77777777" w:rsidR="0048292D" w:rsidRDefault="00735638">
          <w:pPr>
            <w:pStyle w:val="TOC2"/>
            <w:tabs>
              <w:tab w:val="right" w:leader="dot" w:pos="9060"/>
            </w:tabs>
            <w:rPr>
              <w:noProof/>
              <w:lang w:eastAsia="en-NZ"/>
            </w:rPr>
          </w:pPr>
          <w:hyperlink w:anchor="_Toc437260939" w:history="1">
            <w:r w:rsidR="0048292D" w:rsidRPr="0072617D">
              <w:rPr>
                <w:rStyle w:val="Hyperlink"/>
                <w:noProof/>
              </w:rPr>
              <w:t>New Zealand Casemix Cost Weight Model</w:t>
            </w:r>
            <w:r w:rsidR="0048292D">
              <w:rPr>
                <w:noProof/>
                <w:webHidden/>
              </w:rPr>
              <w:tab/>
            </w:r>
            <w:r w:rsidR="0048292D">
              <w:rPr>
                <w:noProof/>
                <w:webHidden/>
              </w:rPr>
              <w:fldChar w:fldCharType="begin"/>
            </w:r>
            <w:r w:rsidR="0048292D">
              <w:rPr>
                <w:noProof/>
                <w:webHidden/>
              </w:rPr>
              <w:instrText xml:space="preserve"> PAGEREF _Toc437260939 \h </w:instrText>
            </w:r>
            <w:r w:rsidR="0048292D">
              <w:rPr>
                <w:noProof/>
                <w:webHidden/>
              </w:rPr>
            </w:r>
            <w:r w:rsidR="0048292D">
              <w:rPr>
                <w:noProof/>
                <w:webHidden/>
              </w:rPr>
              <w:fldChar w:fldCharType="separate"/>
            </w:r>
            <w:r w:rsidR="007346C8">
              <w:rPr>
                <w:noProof/>
                <w:webHidden/>
              </w:rPr>
              <w:t>22</w:t>
            </w:r>
            <w:r w:rsidR="0048292D">
              <w:rPr>
                <w:noProof/>
                <w:webHidden/>
              </w:rPr>
              <w:fldChar w:fldCharType="end"/>
            </w:r>
          </w:hyperlink>
        </w:p>
        <w:p w14:paraId="216618C9" w14:textId="77777777" w:rsidR="0048292D" w:rsidRDefault="00735638">
          <w:pPr>
            <w:pStyle w:val="TOC2"/>
            <w:tabs>
              <w:tab w:val="right" w:leader="dot" w:pos="9060"/>
            </w:tabs>
            <w:rPr>
              <w:noProof/>
              <w:lang w:eastAsia="en-NZ"/>
            </w:rPr>
          </w:pPr>
          <w:hyperlink w:anchor="_Toc437260940" w:history="1">
            <w:r w:rsidR="0048292D" w:rsidRPr="0072617D">
              <w:rPr>
                <w:rStyle w:val="Hyperlink"/>
                <w:noProof/>
              </w:rPr>
              <w:t>Review Frequency</w:t>
            </w:r>
            <w:r w:rsidR="0048292D">
              <w:rPr>
                <w:noProof/>
                <w:webHidden/>
              </w:rPr>
              <w:tab/>
            </w:r>
            <w:r w:rsidR="0048292D">
              <w:rPr>
                <w:noProof/>
                <w:webHidden/>
              </w:rPr>
              <w:fldChar w:fldCharType="begin"/>
            </w:r>
            <w:r w:rsidR="0048292D">
              <w:rPr>
                <w:noProof/>
                <w:webHidden/>
              </w:rPr>
              <w:instrText xml:space="preserve"> PAGEREF _Toc437260940 \h </w:instrText>
            </w:r>
            <w:r w:rsidR="0048292D">
              <w:rPr>
                <w:noProof/>
                <w:webHidden/>
              </w:rPr>
            </w:r>
            <w:r w:rsidR="0048292D">
              <w:rPr>
                <w:noProof/>
                <w:webHidden/>
              </w:rPr>
              <w:fldChar w:fldCharType="separate"/>
            </w:r>
            <w:r w:rsidR="007346C8">
              <w:rPr>
                <w:noProof/>
                <w:webHidden/>
              </w:rPr>
              <w:t>24</w:t>
            </w:r>
            <w:r w:rsidR="0048292D">
              <w:rPr>
                <w:noProof/>
                <w:webHidden/>
              </w:rPr>
              <w:fldChar w:fldCharType="end"/>
            </w:r>
          </w:hyperlink>
        </w:p>
        <w:p w14:paraId="64D1A6E4" w14:textId="77777777" w:rsidR="0048292D" w:rsidRDefault="00735638">
          <w:pPr>
            <w:pStyle w:val="TOC2"/>
            <w:tabs>
              <w:tab w:val="right" w:leader="dot" w:pos="9060"/>
            </w:tabs>
            <w:rPr>
              <w:noProof/>
              <w:lang w:eastAsia="en-NZ"/>
            </w:rPr>
          </w:pPr>
          <w:hyperlink w:anchor="_Toc437260941" w:history="1">
            <w:r w:rsidR="0048292D" w:rsidRPr="0072617D">
              <w:rPr>
                <w:rStyle w:val="Hyperlink"/>
                <w:noProof/>
              </w:rPr>
              <w:t>New Technology and Other Changes Affecting Cost Profiles</w:t>
            </w:r>
            <w:r w:rsidR="0048292D">
              <w:rPr>
                <w:noProof/>
                <w:webHidden/>
              </w:rPr>
              <w:tab/>
            </w:r>
            <w:r w:rsidR="0048292D">
              <w:rPr>
                <w:noProof/>
                <w:webHidden/>
              </w:rPr>
              <w:fldChar w:fldCharType="begin"/>
            </w:r>
            <w:r w:rsidR="0048292D">
              <w:rPr>
                <w:noProof/>
                <w:webHidden/>
              </w:rPr>
              <w:instrText xml:space="preserve"> PAGEREF _Toc437260941 \h </w:instrText>
            </w:r>
            <w:r w:rsidR="0048292D">
              <w:rPr>
                <w:noProof/>
                <w:webHidden/>
              </w:rPr>
            </w:r>
            <w:r w:rsidR="0048292D">
              <w:rPr>
                <w:noProof/>
                <w:webHidden/>
              </w:rPr>
              <w:fldChar w:fldCharType="separate"/>
            </w:r>
            <w:r w:rsidR="007346C8">
              <w:rPr>
                <w:noProof/>
                <w:webHidden/>
              </w:rPr>
              <w:t>24</w:t>
            </w:r>
            <w:r w:rsidR="0048292D">
              <w:rPr>
                <w:noProof/>
                <w:webHidden/>
              </w:rPr>
              <w:fldChar w:fldCharType="end"/>
            </w:r>
          </w:hyperlink>
        </w:p>
        <w:p w14:paraId="59FC6ACB" w14:textId="77777777" w:rsidR="0048292D" w:rsidRDefault="00735638">
          <w:pPr>
            <w:pStyle w:val="TOC2"/>
            <w:tabs>
              <w:tab w:val="right" w:leader="dot" w:pos="9060"/>
            </w:tabs>
            <w:rPr>
              <w:noProof/>
              <w:lang w:eastAsia="en-NZ"/>
            </w:rPr>
          </w:pPr>
          <w:hyperlink w:anchor="_Toc437260942" w:history="1">
            <w:r w:rsidR="0048292D" w:rsidRPr="0072617D">
              <w:rPr>
                <w:rStyle w:val="Hyperlink"/>
                <w:noProof/>
              </w:rPr>
              <w:t>Co-payment Weights</w:t>
            </w:r>
            <w:r w:rsidR="0048292D">
              <w:rPr>
                <w:noProof/>
                <w:webHidden/>
              </w:rPr>
              <w:tab/>
            </w:r>
            <w:r w:rsidR="0048292D">
              <w:rPr>
                <w:noProof/>
                <w:webHidden/>
              </w:rPr>
              <w:fldChar w:fldCharType="begin"/>
            </w:r>
            <w:r w:rsidR="0048292D">
              <w:rPr>
                <w:noProof/>
                <w:webHidden/>
              </w:rPr>
              <w:instrText xml:space="preserve"> PAGEREF _Toc437260942 \h </w:instrText>
            </w:r>
            <w:r w:rsidR="0048292D">
              <w:rPr>
                <w:noProof/>
                <w:webHidden/>
              </w:rPr>
            </w:r>
            <w:r w:rsidR="0048292D">
              <w:rPr>
                <w:noProof/>
                <w:webHidden/>
              </w:rPr>
              <w:fldChar w:fldCharType="separate"/>
            </w:r>
            <w:r w:rsidR="007346C8">
              <w:rPr>
                <w:noProof/>
                <w:webHidden/>
              </w:rPr>
              <w:t>24</w:t>
            </w:r>
            <w:r w:rsidR="0048292D">
              <w:rPr>
                <w:noProof/>
                <w:webHidden/>
              </w:rPr>
              <w:fldChar w:fldCharType="end"/>
            </w:r>
          </w:hyperlink>
        </w:p>
        <w:p w14:paraId="4399D226" w14:textId="77777777" w:rsidR="0048292D" w:rsidRDefault="00735638">
          <w:pPr>
            <w:pStyle w:val="TOC2"/>
            <w:tabs>
              <w:tab w:val="right" w:leader="dot" w:pos="9060"/>
            </w:tabs>
            <w:rPr>
              <w:noProof/>
              <w:lang w:eastAsia="en-NZ"/>
            </w:rPr>
          </w:pPr>
          <w:hyperlink w:anchor="_Toc437260943" w:history="1">
            <w:r w:rsidR="0048292D" w:rsidRPr="0072617D">
              <w:rPr>
                <w:rStyle w:val="Hyperlink"/>
                <w:noProof/>
              </w:rPr>
              <w:t>DRG Mappings and NZ DRGs</w:t>
            </w:r>
            <w:r w:rsidR="0048292D">
              <w:rPr>
                <w:noProof/>
                <w:webHidden/>
              </w:rPr>
              <w:tab/>
            </w:r>
            <w:r w:rsidR="0048292D">
              <w:rPr>
                <w:noProof/>
                <w:webHidden/>
              </w:rPr>
              <w:fldChar w:fldCharType="begin"/>
            </w:r>
            <w:r w:rsidR="0048292D">
              <w:rPr>
                <w:noProof/>
                <w:webHidden/>
              </w:rPr>
              <w:instrText xml:space="preserve"> PAGEREF _Toc437260943 \h </w:instrText>
            </w:r>
            <w:r w:rsidR="0048292D">
              <w:rPr>
                <w:noProof/>
                <w:webHidden/>
              </w:rPr>
            </w:r>
            <w:r w:rsidR="0048292D">
              <w:rPr>
                <w:noProof/>
                <w:webHidden/>
              </w:rPr>
              <w:fldChar w:fldCharType="separate"/>
            </w:r>
            <w:r w:rsidR="007346C8">
              <w:rPr>
                <w:noProof/>
                <w:webHidden/>
              </w:rPr>
              <w:t>25</w:t>
            </w:r>
            <w:r w:rsidR="0048292D">
              <w:rPr>
                <w:noProof/>
                <w:webHidden/>
              </w:rPr>
              <w:fldChar w:fldCharType="end"/>
            </w:r>
          </w:hyperlink>
        </w:p>
        <w:p w14:paraId="7F1FE4ED" w14:textId="77777777" w:rsidR="0048292D" w:rsidRDefault="00735638">
          <w:pPr>
            <w:pStyle w:val="TOC2"/>
            <w:tabs>
              <w:tab w:val="right" w:leader="dot" w:pos="9060"/>
            </w:tabs>
            <w:rPr>
              <w:noProof/>
              <w:lang w:eastAsia="en-NZ"/>
            </w:rPr>
          </w:pPr>
          <w:hyperlink w:anchor="_Toc437260944" w:history="1">
            <w:r w:rsidR="0048292D" w:rsidRPr="0072617D">
              <w:rPr>
                <w:rStyle w:val="Hyperlink"/>
                <w:noProof/>
              </w:rPr>
              <w:t>The Casemix Framework Document</w:t>
            </w:r>
            <w:r w:rsidR="0048292D">
              <w:rPr>
                <w:noProof/>
                <w:webHidden/>
              </w:rPr>
              <w:tab/>
            </w:r>
            <w:r w:rsidR="0048292D">
              <w:rPr>
                <w:noProof/>
                <w:webHidden/>
              </w:rPr>
              <w:fldChar w:fldCharType="begin"/>
            </w:r>
            <w:r w:rsidR="0048292D">
              <w:rPr>
                <w:noProof/>
                <w:webHidden/>
              </w:rPr>
              <w:instrText xml:space="preserve"> PAGEREF _Toc437260944 \h </w:instrText>
            </w:r>
            <w:r w:rsidR="0048292D">
              <w:rPr>
                <w:noProof/>
                <w:webHidden/>
              </w:rPr>
            </w:r>
            <w:r w:rsidR="0048292D">
              <w:rPr>
                <w:noProof/>
                <w:webHidden/>
              </w:rPr>
              <w:fldChar w:fldCharType="separate"/>
            </w:r>
            <w:r w:rsidR="007346C8">
              <w:rPr>
                <w:noProof/>
                <w:webHidden/>
              </w:rPr>
              <w:t>25</w:t>
            </w:r>
            <w:r w:rsidR="0048292D">
              <w:rPr>
                <w:noProof/>
                <w:webHidden/>
              </w:rPr>
              <w:fldChar w:fldCharType="end"/>
            </w:r>
          </w:hyperlink>
        </w:p>
        <w:p w14:paraId="059E523C" w14:textId="77777777" w:rsidR="0048292D" w:rsidRDefault="00735638">
          <w:pPr>
            <w:pStyle w:val="TOC2"/>
            <w:tabs>
              <w:tab w:val="right" w:leader="dot" w:pos="9060"/>
            </w:tabs>
            <w:rPr>
              <w:noProof/>
              <w:lang w:eastAsia="en-NZ"/>
            </w:rPr>
          </w:pPr>
          <w:hyperlink w:anchor="_Toc437260945" w:history="1">
            <w:r w:rsidR="0048292D" w:rsidRPr="0072617D">
              <w:rPr>
                <w:rStyle w:val="Hyperlink"/>
                <w:noProof/>
              </w:rPr>
              <w:t>Encounters on the Pathway to a New Set of Weights</w:t>
            </w:r>
            <w:r w:rsidR="0048292D">
              <w:rPr>
                <w:noProof/>
                <w:webHidden/>
              </w:rPr>
              <w:tab/>
            </w:r>
            <w:r w:rsidR="0048292D">
              <w:rPr>
                <w:noProof/>
                <w:webHidden/>
              </w:rPr>
              <w:fldChar w:fldCharType="begin"/>
            </w:r>
            <w:r w:rsidR="0048292D">
              <w:rPr>
                <w:noProof/>
                <w:webHidden/>
              </w:rPr>
              <w:instrText xml:space="preserve"> PAGEREF _Toc437260945 \h </w:instrText>
            </w:r>
            <w:r w:rsidR="0048292D">
              <w:rPr>
                <w:noProof/>
                <w:webHidden/>
              </w:rPr>
            </w:r>
            <w:r w:rsidR="0048292D">
              <w:rPr>
                <w:noProof/>
                <w:webHidden/>
              </w:rPr>
              <w:fldChar w:fldCharType="separate"/>
            </w:r>
            <w:r w:rsidR="007346C8">
              <w:rPr>
                <w:noProof/>
                <w:webHidden/>
              </w:rPr>
              <w:t>26</w:t>
            </w:r>
            <w:r w:rsidR="0048292D">
              <w:rPr>
                <w:noProof/>
                <w:webHidden/>
              </w:rPr>
              <w:fldChar w:fldCharType="end"/>
            </w:r>
          </w:hyperlink>
        </w:p>
        <w:p w14:paraId="25C57E46" w14:textId="77777777" w:rsidR="0048292D" w:rsidRDefault="00735638">
          <w:pPr>
            <w:pStyle w:val="TOC2"/>
            <w:tabs>
              <w:tab w:val="right" w:leader="dot" w:pos="9060"/>
            </w:tabs>
            <w:rPr>
              <w:noProof/>
              <w:lang w:eastAsia="en-NZ"/>
            </w:rPr>
          </w:pPr>
          <w:hyperlink w:anchor="_Toc437260946" w:history="1">
            <w:r w:rsidR="0048292D" w:rsidRPr="0072617D">
              <w:rPr>
                <w:rStyle w:val="Hyperlink"/>
                <w:noProof/>
              </w:rPr>
              <w:t>Casemix Group and the National Cost Collection and Pricing Programme</w:t>
            </w:r>
            <w:r w:rsidR="0048292D">
              <w:rPr>
                <w:noProof/>
                <w:webHidden/>
              </w:rPr>
              <w:tab/>
            </w:r>
            <w:r w:rsidR="0048292D">
              <w:rPr>
                <w:noProof/>
                <w:webHidden/>
              </w:rPr>
              <w:fldChar w:fldCharType="begin"/>
            </w:r>
            <w:r w:rsidR="0048292D">
              <w:rPr>
                <w:noProof/>
                <w:webHidden/>
              </w:rPr>
              <w:instrText xml:space="preserve"> PAGEREF _Toc437260946 \h </w:instrText>
            </w:r>
            <w:r w:rsidR="0048292D">
              <w:rPr>
                <w:noProof/>
                <w:webHidden/>
              </w:rPr>
            </w:r>
            <w:r w:rsidR="0048292D">
              <w:rPr>
                <w:noProof/>
                <w:webHidden/>
              </w:rPr>
              <w:fldChar w:fldCharType="separate"/>
            </w:r>
            <w:r w:rsidR="007346C8">
              <w:rPr>
                <w:noProof/>
                <w:webHidden/>
              </w:rPr>
              <w:t>26</w:t>
            </w:r>
            <w:r w:rsidR="0048292D">
              <w:rPr>
                <w:noProof/>
                <w:webHidden/>
              </w:rPr>
              <w:fldChar w:fldCharType="end"/>
            </w:r>
          </w:hyperlink>
        </w:p>
        <w:p w14:paraId="2489F8EE" w14:textId="77777777" w:rsidR="0048292D" w:rsidRDefault="00735638">
          <w:pPr>
            <w:pStyle w:val="TOC2"/>
            <w:tabs>
              <w:tab w:val="right" w:leader="dot" w:pos="9060"/>
            </w:tabs>
            <w:rPr>
              <w:noProof/>
              <w:lang w:eastAsia="en-NZ"/>
            </w:rPr>
          </w:pPr>
          <w:hyperlink w:anchor="_Toc437260947" w:history="1">
            <w:r w:rsidR="0048292D" w:rsidRPr="0072617D">
              <w:rPr>
                <w:rStyle w:val="Hyperlink"/>
                <w:noProof/>
              </w:rPr>
              <w:t>Aspects of the Wider Funding Framework</w:t>
            </w:r>
            <w:r w:rsidR="0048292D">
              <w:rPr>
                <w:noProof/>
                <w:webHidden/>
              </w:rPr>
              <w:tab/>
            </w:r>
            <w:r w:rsidR="0048292D">
              <w:rPr>
                <w:noProof/>
                <w:webHidden/>
              </w:rPr>
              <w:fldChar w:fldCharType="begin"/>
            </w:r>
            <w:r w:rsidR="0048292D">
              <w:rPr>
                <w:noProof/>
                <w:webHidden/>
              </w:rPr>
              <w:instrText xml:space="preserve"> PAGEREF _Toc437260947 \h </w:instrText>
            </w:r>
            <w:r w:rsidR="0048292D">
              <w:rPr>
                <w:noProof/>
                <w:webHidden/>
              </w:rPr>
            </w:r>
            <w:r w:rsidR="0048292D">
              <w:rPr>
                <w:noProof/>
                <w:webHidden/>
              </w:rPr>
              <w:fldChar w:fldCharType="separate"/>
            </w:r>
            <w:r w:rsidR="007346C8">
              <w:rPr>
                <w:noProof/>
                <w:webHidden/>
              </w:rPr>
              <w:t>27</w:t>
            </w:r>
            <w:r w:rsidR="0048292D">
              <w:rPr>
                <w:noProof/>
                <w:webHidden/>
              </w:rPr>
              <w:fldChar w:fldCharType="end"/>
            </w:r>
          </w:hyperlink>
        </w:p>
        <w:p w14:paraId="5C1F9076" w14:textId="77777777" w:rsidR="0048292D" w:rsidRDefault="00735638">
          <w:pPr>
            <w:pStyle w:val="TOC2"/>
            <w:tabs>
              <w:tab w:val="right" w:leader="dot" w:pos="9060"/>
            </w:tabs>
            <w:rPr>
              <w:noProof/>
              <w:lang w:eastAsia="en-NZ"/>
            </w:rPr>
          </w:pPr>
          <w:hyperlink w:anchor="_Toc437260948" w:history="1">
            <w:r w:rsidR="0048292D" w:rsidRPr="0072617D">
              <w:rPr>
                <w:rStyle w:val="Hyperlink"/>
                <w:noProof/>
              </w:rPr>
              <w:t>Implementation in the National Collection</w:t>
            </w:r>
            <w:r w:rsidR="0048292D">
              <w:rPr>
                <w:noProof/>
                <w:webHidden/>
              </w:rPr>
              <w:tab/>
            </w:r>
            <w:r w:rsidR="0048292D">
              <w:rPr>
                <w:noProof/>
                <w:webHidden/>
              </w:rPr>
              <w:fldChar w:fldCharType="begin"/>
            </w:r>
            <w:r w:rsidR="0048292D">
              <w:rPr>
                <w:noProof/>
                <w:webHidden/>
              </w:rPr>
              <w:instrText xml:space="preserve"> PAGEREF _Toc437260948 \h </w:instrText>
            </w:r>
            <w:r w:rsidR="0048292D">
              <w:rPr>
                <w:noProof/>
                <w:webHidden/>
              </w:rPr>
            </w:r>
            <w:r w:rsidR="0048292D">
              <w:rPr>
                <w:noProof/>
                <w:webHidden/>
              </w:rPr>
              <w:fldChar w:fldCharType="separate"/>
            </w:r>
            <w:r w:rsidR="007346C8">
              <w:rPr>
                <w:noProof/>
                <w:webHidden/>
              </w:rPr>
              <w:t>27</w:t>
            </w:r>
            <w:r w:rsidR="0048292D">
              <w:rPr>
                <w:noProof/>
                <w:webHidden/>
              </w:rPr>
              <w:fldChar w:fldCharType="end"/>
            </w:r>
          </w:hyperlink>
        </w:p>
        <w:p w14:paraId="41F5DC14" w14:textId="77777777" w:rsidR="0048292D" w:rsidRDefault="00735638">
          <w:pPr>
            <w:pStyle w:val="TOC1"/>
            <w:tabs>
              <w:tab w:val="right" w:leader="dot" w:pos="9060"/>
            </w:tabs>
            <w:rPr>
              <w:noProof/>
              <w:lang w:eastAsia="en-NZ"/>
            </w:rPr>
          </w:pPr>
          <w:hyperlink w:anchor="_Toc437260949" w:history="1">
            <w:r w:rsidR="0048292D" w:rsidRPr="0072617D">
              <w:rPr>
                <w:rStyle w:val="Hyperlink"/>
                <w:noProof/>
              </w:rPr>
              <w:t>Appendix A – New Zealand Casemix Based Funding Early History</w:t>
            </w:r>
            <w:r w:rsidR="0048292D">
              <w:rPr>
                <w:noProof/>
                <w:webHidden/>
              </w:rPr>
              <w:tab/>
            </w:r>
            <w:r w:rsidR="0048292D">
              <w:rPr>
                <w:noProof/>
                <w:webHidden/>
              </w:rPr>
              <w:fldChar w:fldCharType="begin"/>
            </w:r>
            <w:r w:rsidR="0048292D">
              <w:rPr>
                <w:noProof/>
                <w:webHidden/>
              </w:rPr>
              <w:instrText xml:space="preserve"> PAGEREF _Toc437260949 \h </w:instrText>
            </w:r>
            <w:r w:rsidR="0048292D">
              <w:rPr>
                <w:noProof/>
                <w:webHidden/>
              </w:rPr>
            </w:r>
            <w:r w:rsidR="0048292D">
              <w:rPr>
                <w:noProof/>
                <w:webHidden/>
              </w:rPr>
              <w:fldChar w:fldCharType="separate"/>
            </w:r>
            <w:r w:rsidR="007346C8">
              <w:rPr>
                <w:noProof/>
                <w:webHidden/>
              </w:rPr>
              <w:t>28</w:t>
            </w:r>
            <w:r w:rsidR="0048292D">
              <w:rPr>
                <w:noProof/>
                <w:webHidden/>
              </w:rPr>
              <w:fldChar w:fldCharType="end"/>
            </w:r>
          </w:hyperlink>
        </w:p>
        <w:p w14:paraId="1008C39C" w14:textId="77777777" w:rsidR="0048292D" w:rsidRDefault="00735638">
          <w:pPr>
            <w:pStyle w:val="TOC1"/>
            <w:tabs>
              <w:tab w:val="right" w:leader="dot" w:pos="9060"/>
            </w:tabs>
            <w:rPr>
              <w:noProof/>
              <w:lang w:eastAsia="en-NZ"/>
            </w:rPr>
          </w:pPr>
          <w:hyperlink w:anchor="_Toc437260950" w:history="1">
            <w:r w:rsidR="0048292D" w:rsidRPr="0072617D">
              <w:rPr>
                <w:rStyle w:val="Hyperlink"/>
                <w:noProof/>
              </w:rPr>
              <w:t>Appendix B – Further Information and References</w:t>
            </w:r>
            <w:r w:rsidR="0048292D">
              <w:rPr>
                <w:noProof/>
                <w:webHidden/>
              </w:rPr>
              <w:tab/>
            </w:r>
            <w:r w:rsidR="0048292D">
              <w:rPr>
                <w:noProof/>
                <w:webHidden/>
              </w:rPr>
              <w:fldChar w:fldCharType="begin"/>
            </w:r>
            <w:r w:rsidR="0048292D">
              <w:rPr>
                <w:noProof/>
                <w:webHidden/>
              </w:rPr>
              <w:instrText xml:space="preserve"> PAGEREF _Toc437260950 \h </w:instrText>
            </w:r>
            <w:r w:rsidR="0048292D">
              <w:rPr>
                <w:noProof/>
                <w:webHidden/>
              </w:rPr>
            </w:r>
            <w:r w:rsidR="0048292D">
              <w:rPr>
                <w:noProof/>
                <w:webHidden/>
              </w:rPr>
              <w:fldChar w:fldCharType="separate"/>
            </w:r>
            <w:r w:rsidR="007346C8">
              <w:rPr>
                <w:noProof/>
                <w:webHidden/>
              </w:rPr>
              <w:t>29</w:t>
            </w:r>
            <w:r w:rsidR="0048292D">
              <w:rPr>
                <w:noProof/>
                <w:webHidden/>
              </w:rPr>
              <w:fldChar w:fldCharType="end"/>
            </w:r>
          </w:hyperlink>
        </w:p>
        <w:p w14:paraId="3B44F111" w14:textId="77777777" w:rsidR="0048292D" w:rsidRDefault="00735638">
          <w:pPr>
            <w:pStyle w:val="TOC1"/>
            <w:tabs>
              <w:tab w:val="right" w:leader="dot" w:pos="9060"/>
            </w:tabs>
            <w:rPr>
              <w:noProof/>
              <w:lang w:eastAsia="en-NZ"/>
            </w:rPr>
          </w:pPr>
          <w:hyperlink w:anchor="_Toc437260951" w:history="1">
            <w:r w:rsidR="0048292D" w:rsidRPr="0072617D">
              <w:rPr>
                <w:rStyle w:val="Hyperlink"/>
                <w:noProof/>
              </w:rPr>
              <w:t>Appendix C – Glossary of Abbreviations</w:t>
            </w:r>
            <w:r w:rsidR="0048292D">
              <w:rPr>
                <w:noProof/>
                <w:webHidden/>
              </w:rPr>
              <w:tab/>
            </w:r>
            <w:r w:rsidR="0048292D">
              <w:rPr>
                <w:noProof/>
                <w:webHidden/>
              </w:rPr>
              <w:fldChar w:fldCharType="begin"/>
            </w:r>
            <w:r w:rsidR="0048292D">
              <w:rPr>
                <w:noProof/>
                <w:webHidden/>
              </w:rPr>
              <w:instrText xml:space="preserve"> PAGEREF _Toc437260951 \h </w:instrText>
            </w:r>
            <w:r w:rsidR="0048292D">
              <w:rPr>
                <w:noProof/>
                <w:webHidden/>
              </w:rPr>
            </w:r>
            <w:r w:rsidR="0048292D">
              <w:rPr>
                <w:noProof/>
                <w:webHidden/>
              </w:rPr>
              <w:fldChar w:fldCharType="separate"/>
            </w:r>
            <w:r w:rsidR="007346C8">
              <w:rPr>
                <w:noProof/>
                <w:webHidden/>
              </w:rPr>
              <w:t>30</w:t>
            </w:r>
            <w:r w:rsidR="0048292D">
              <w:rPr>
                <w:noProof/>
                <w:webHidden/>
              </w:rPr>
              <w:fldChar w:fldCharType="end"/>
            </w:r>
          </w:hyperlink>
        </w:p>
        <w:p w14:paraId="5EE0F842" w14:textId="77777777" w:rsidR="00C30DE4" w:rsidRDefault="00C30DE4" w:rsidP="00A1599C">
          <w:r>
            <w:fldChar w:fldCharType="end"/>
          </w:r>
        </w:p>
      </w:sdtContent>
    </w:sdt>
    <w:p w14:paraId="77A0E912" w14:textId="77777777" w:rsidR="00C30DE4" w:rsidRDefault="00C30DE4" w:rsidP="0045571D">
      <w:pPr>
        <w:pStyle w:val="Heading1"/>
      </w:pPr>
    </w:p>
    <w:p w14:paraId="731A435C" w14:textId="77777777" w:rsidR="00A1599C" w:rsidRDefault="00A1599C" w:rsidP="00AC7235">
      <w:pPr>
        <w:pStyle w:val="Default"/>
        <w:rPr>
          <w:sz w:val="20"/>
          <w:szCs w:val="20"/>
        </w:rPr>
      </w:pPr>
    </w:p>
    <w:p w14:paraId="519708F2" w14:textId="77777777" w:rsidR="007E7420" w:rsidRPr="00AC7235" w:rsidRDefault="00AC7235" w:rsidP="0045571D">
      <w:pPr>
        <w:pStyle w:val="Heading1"/>
      </w:pPr>
      <w:bookmarkStart w:id="0" w:name="_Toc437260925"/>
      <w:r>
        <w:lastRenderedPageBreak/>
        <w:t>I</w:t>
      </w:r>
      <w:r w:rsidR="007E7420" w:rsidRPr="00AC7235">
        <w:t>ntroduction</w:t>
      </w:r>
      <w:bookmarkEnd w:id="0"/>
    </w:p>
    <w:p w14:paraId="2A3F14BE" w14:textId="77777777" w:rsidR="002473B3" w:rsidRPr="007D3DD7" w:rsidRDefault="002473B3" w:rsidP="00A1599C">
      <w:pPr>
        <w:rPr>
          <w:lang w:val="en"/>
        </w:rPr>
      </w:pPr>
      <w:r w:rsidRPr="00172DA5">
        <w:rPr>
          <w:lang w:val="en"/>
        </w:rPr>
        <w:t>The purpose of this document is to provide an overv</w:t>
      </w:r>
      <w:r w:rsidR="008B0A8D">
        <w:rPr>
          <w:lang w:val="en"/>
        </w:rPr>
        <w:t>iew of the New Zealand Casemix S</w:t>
      </w:r>
      <w:r w:rsidRPr="00172DA5">
        <w:rPr>
          <w:lang w:val="en"/>
        </w:rPr>
        <w:t>ystem – how it works and how it is used.</w:t>
      </w:r>
      <w:r w:rsidRPr="007E7420">
        <w:t xml:space="preserve"> </w:t>
      </w:r>
      <w:r>
        <w:rPr>
          <w:lang w:val="en"/>
        </w:rPr>
        <w:t xml:space="preserve"> It is intended</w:t>
      </w:r>
      <w:r w:rsidRPr="00D317CE">
        <w:t xml:space="preserve"> to aid clinical staff, clinical </w:t>
      </w:r>
      <w:r w:rsidR="00CC59B5" w:rsidRPr="00D317CE">
        <w:t>coders</w:t>
      </w:r>
      <w:r w:rsidR="00EB4B3D">
        <w:t>, service managers,</w:t>
      </w:r>
      <w:r w:rsidR="00CC59B5" w:rsidRPr="00D317CE">
        <w:t xml:space="preserve"> and</w:t>
      </w:r>
      <w:r w:rsidRPr="00D317CE">
        <w:t xml:space="preserve"> other sector </w:t>
      </w:r>
      <w:r w:rsidR="00EB4B3D">
        <w:t>pa</w:t>
      </w:r>
      <w:r w:rsidRPr="00D317CE">
        <w:t>rt</w:t>
      </w:r>
      <w:r w:rsidR="00EB4B3D">
        <w:t>icipant</w:t>
      </w:r>
      <w:r w:rsidRPr="00D317CE">
        <w:t>s in understanding the casemix system</w:t>
      </w:r>
      <w:r w:rsidR="00F56872">
        <w:t>,</w:t>
      </w:r>
      <w:r w:rsidRPr="00D317CE">
        <w:t xml:space="preserve"> the importance of coding</w:t>
      </w:r>
      <w:r w:rsidR="00F56872">
        <w:t xml:space="preserve">, and how it is applied </w:t>
      </w:r>
      <w:r w:rsidR="00081F38">
        <w:t>in the</w:t>
      </w:r>
      <w:r w:rsidR="00F56872">
        <w:t xml:space="preserve"> funding</w:t>
      </w:r>
      <w:r w:rsidR="00081F38">
        <w:t xml:space="preserve"> of hospital admissions</w:t>
      </w:r>
      <w:r w:rsidRPr="00D317CE">
        <w:t xml:space="preserve">.  </w:t>
      </w:r>
    </w:p>
    <w:p w14:paraId="510B74EB" w14:textId="77777777" w:rsidR="007D3DD7" w:rsidRDefault="007E7420" w:rsidP="00A1599C">
      <w:pPr>
        <w:rPr>
          <w:lang w:val="en"/>
        </w:rPr>
      </w:pPr>
      <w:r w:rsidRPr="00172DA5">
        <w:rPr>
          <w:lang w:val="en"/>
        </w:rPr>
        <w:t xml:space="preserve">Casemix </w:t>
      </w:r>
      <w:r w:rsidR="005C2BE7">
        <w:rPr>
          <w:lang w:val="en"/>
        </w:rPr>
        <w:t xml:space="preserve">concerns the mix of patients treated, as </w:t>
      </w:r>
      <w:r w:rsidRPr="00172DA5">
        <w:rPr>
          <w:lang w:val="en"/>
        </w:rPr>
        <w:t>describe</w:t>
      </w:r>
      <w:r w:rsidR="005C2BE7">
        <w:rPr>
          <w:lang w:val="en"/>
        </w:rPr>
        <w:t>d</w:t>
      </w:r>
      <w:r w:rsidRPr="00172DA5">
        <w:rPr>
          <w:lang w:val="en"/>
        </w:rPr>
        <w:t xml:space="preserve"> </w:t>
      </w:r>
      <w:r w:rsidR="005C2BE7">
        <w:rPr>
          <w:lang w:val="en"/>
        </w:rPr>
        <w:t xml:space="preserve">by </w:t>
      </w:r>
      <w:r w:rsidR="008C2190">
        <w:rPr>
          <w:lang w:val="en"/>
        </w:rPr>
        <w:t>a</w:t>
      </w:r>
      <w:r w:rsidRPr="00172DA5">
        <w:rPr>
          <w:lang w:val="en"/>
        </w:rPr>
        <w:t xml:space="preserve"> system which aggregates information about patients and </w:t>
      </w:r>
      <w:r w:rsidR="00F56872">
        <w:rPr>
          <w:lang w:val="en"/>
        </w:rPr>
        <w:t>t</w:t>
      </w:r>
      <w:r w:rsidRPr="00172DA5">
        <w:rPr>
          <w:lang w:val="en"/>
        </w:rPr>
        <w:t>re</w:t>
      </w:r>
      <w:r w:rsidR="00F56872">
        <w:rPr>
          <w:lang w:val="en"/>
        </w:rPr>
        <w:t>atment</w:t>
      </w:r>
      <w:r w:rsidRPr="00172DA5">
        <w:rPr>
          <w:lang w:val="en"/>
        </w:rPr>
        <w:t xml:space="preserve">s into groups based on the </w:t>
      </w:r>
      <w:r w:rsidR="008E5BC4">
        <w:rPr>
          <w:lang w:val="en"/>
        </w:rPr>
        <w:t xml:space="preserve">health condition or </w:t>
      </w:r>
      <w:r w:rsidRPr="00172DA5">
        <w:rPr>
          <w:lang w:val="en"/>
        </w:rPr>
        <w:t xml:space="preserve">type </w:t>
      </w:r>
      <w:r>
        <w:rPr>
          <w:lang w:val="en"/>
        </w:rPr>
        <w:t>o</w:t>
      </w:r>
      <w:r w:rsidR="008E5BC4">
        <w:rPr>
          <w:lang w:val="en"/>
        </w:rPr>
        <w:t>f</w:t>
      </w:r>
      <w:r w:rsidR="005C2BE7">
        <w:rPr>
          <w:lang w:val="en"/>
        </w:rPr>
        <w:t xml:space="preserve"> procedure</w:t>
      </w:r>
      <w:r w:rsidRPr="00172DA5">
        <w:rPr>
          <w:lang w:val="en"/>
        </w:rPr>
        <w:t>.</w:t>
      </w:r>
      <w:r>
        <w:rPr>
          <w:lang w:val="en"/>
        </w:rPr>
        <w:t xml:space="preserve"> </w:t>
      </w:r>
      <w:r w:rsidRPr="00172DA5">
        <w:rPr>
          <w:lang w:val="en"/>
        </w:rPr>
        <w:t xml:space="preserve">Casemix systems are used </w:t>
      </w:r>
      <w:r>
        <w:rPr>
          <w:lang w:val="en"/>
        </w:rPr>
        <w:t xml:space="preserve">for a variety of purposes including </w:t>
      </w:r>
      <w:r w:rsidRPr="00172DA5">
        <w:rPr>
          <w:lang w:val="en"/>
        </w:rPr>
        <w:t>hospital planning, clinical reviews, fu</w:t>
      </w:r>
      <w:r w:rsidR="007D3DD7">
        <w:rPr>
          <w:lang w:val="en"/>
        </w:rPr>
        <w:t>nding, monitoring, benchmarking and</w:t>
      </w:r>
      <w:r w:rsidRPr="00172DA5">
        <w:rPr>
          <w:lang w:val="en"/>
        </w:rPr>
        <w:t xml:space="preserve"> m</w:t>
      </w:r>
      <w:r w:rsidR="007D3DD7">
        <w:rPr>
          <w:lang w:val="en"/>
        </w:rPr>
        <w:t>anagement</w:t>
      </w:r>
      <w:r w:rsidRPr="00172DA5">
        <w:rPr>
          <w:lang w:val="en"/>
        </w:rPr>
        <w:t xml:space="preserve">. </w:t>
      </w:r>
      <w:r>
        <w:rPr>
          <w:lang w:val="en"/>
        </w:rPr>
        <w:t xml:space="preserve">Internationally they </w:t>
      </w:r>
      <w:r w:rsidR="007D3DD7">
        <w:rPr>
          <w:lang w:val="en"/>
        </w:rPr>
        <w:t xml:space="preserve">have been implemented </w:t>
      </w:r>
      <w:r>
        <w:rPr>
          <w:lang w:val="en"/>
        </w:rPr>
        <w:t>in a variety of settings including</w:t>
      </w:r>
      <w:r w:rsidRPr="00172DA5">
        <w:rPr>
          <w:lang w:val="en"/>
        </w:rPr>
        <w:t xml:space="preserve"> acute,</w:t>
      </w:r>
      <w:r w:rsidR="00181938">
        <w:rPr>
          <w:lang w:val="en"/>
        </w:rPr>
        <w:t xml:space="preserve"> sub-acute and non-acute care.</w:t>
      </w:r>
    </w:p>
    <w:p w14:paraId="3F91488B" w14:textId="77777777" w:rsidR="005C2BE7" w:rsidRDefault="005C2BE7" w:rsidP="00A1599C">
      <w:r>
        <w:t>This</w:t>
      </w:r>
      <w:r w:rsidR="00546822">
        <w:t xml:space="preserve"> publication </w:t>
      </w:r>
      <w:r>
        <w:t>is in t</w:t>
      </w:r>
      <w:r w:rsidR="00181938">
        <w:t>hree</w:t>
      </w:r>
      <w:r>
        <w:t xml:space="preserve"> parts: the first</w:t>
      </w:r>
      <w:r w:rsidR="00181938">
        <w:t xml:space="preserve"> sketches how casemix arose, the second</w:t>
      </w:r>
      <w:r>
        <w:t xml:space="preserve"> concerns </w:t>
      </w:r>
      <w:r w:rsidR="00017405">
        <w:t xml:space="preserve">the </w:t>
      </w:r>
      <w:r>
        <w:t>casemix</w:t>
      </w:r>
      <w:r w:rsidR="00017405">
        <w:t xml:space="preserve"> concept</w:t>
      </w:r>
      <w:r>
        <w:t xml:space="preserve"> in general</w:t>
      </w:r>
      <w:r w:rsidR="00977B49">
        <w:t xml:space="preserve"> </w:t>
      </w:r>
      <w:r w:rsidR="00017405">
        <w:t>i</w:t>
      </w:r>
      <w:r w:rsidR="00977B49">
        <w:t>n</w:t>
      </w:r>
      <w:r w:rsidR="00017405">
        <w:t>clu</w:t>
      </w:r>
      <w:r w:rsidR="00977B49">
        <w:t>d</w:t>
      </w:r>
      <w:r w:rsidR="00017405">
        <w:t>ing</w:t>
      </w:r>
      <w:r w:rsidR="00977B49">
        <w:t xml:space="preserve"> standard facets of the classifications in use in New Zealand</w:t>
      </w:r>
      <w:r w:rsidR="00181938">
        <w:t>,</w:t>
      </w:r>
      <w:r>
        <w:t xml:space="preserve"> and the </w:t>
      </w:r>
      <w:r w:rsidR="00181938">
        <w:t>thir</w:t>
      </w:r>
      <w:r>
        <w:t xml:space="preserve">d </w:t>
      </w:r>
      <w:r w:rsidR="00017405">
        <w:t xml:space="preserve">part </w:t>
      </w:r>
      <w:r>
        <w:t>describes casemix</w:t>
      </w:r>
      <w:r w:rsidR="00094A08">
        <w:t xml:space="preserve"> </w:t>
      </w:r>
      <w:r w:rsidR="00546822">
        <w:t xml:space="preserve">based funding </w:t>
      </w:r>
      <w:r>
        <w:t xml:space="preserve">in </w:t>
      </w:r>
      <w:r w:rsidR="00546822">
        <w:t>New Zealand</w:t>
      </w:r>
      <w:r w:rsidR="00206794">
        <w:t xml:space="preserve"> for public hospital inpatient </w:t>
      </w:r>
      <w:r w:rsidR="004A5280">
        <w:t>a</w:t>
      </w:r>
      <w:r w:rsidR="00206794">
        <w:t>dmissions.</w:t>
      </w:r>
      <w:r w:rsidR="00546822">
        <w:t xml:space="preserve"> </w:t>
      </w:r>
    </w:p>
    <w:p w14:paraId="4398C8EC" w14:textId="77777777" w:rsidR="00045816" w:rsidRDefault="00045816">
      <w:r>
        <w:br w:type="page"/>
      </w:r>
    </w:p>
    <w:p w14:paraId="5760EA10" w14:textId="77777777" w:rsidR="00BA0681" w:rsidRPr="00AC7235" w:rsidRDefault="0027436B" w:rsidP="0045571D">
      <w:pPr>
        <w:pStyle w:val="Heading1"/>
      </w:pPr>
      <w:bookmarkStart w:id="1" w:name="_Toc437260926"/>
      <w:r w:rsidRPr="00AC7235">
        <w:lastRenderedPageBreak/>
        <w:t xml:space="preserve">Part I: </w:t>
      </w:r>
      <w:r w:rsidR="00F11F81" w:rsidRPr="00AC7235">
        <w:t>The Idea of</w:t>
      </w:r>
      <w:r w:rsidR="00D2754D" w:rsidRPr="00AC7235">
        <w:t xml:space="preserve"> </w:t>
      </w:r>
      <w:r w:rsidRPr="00AC7235">
        <w:t>Casemix</w:t>
      </w:r>
      <w:bookmarkEnd w:id="1"/>
    </w:p>
    <w:p w14:paraId="3C0049F8" w14:textId="77777777" w:rsidR="00CD0ADE" w:rsidRPr="00AC7235" w:rsidRDefault="00CD0ADE" w:rsidP="00A1599C">
      <w:pPr>
        <w:pStyle w:val="Heading2"/>
      </w:pPr>
      <w:bookmarkStart w:id="2" w:name="_Toc437260927"/>
      <w:r w:rsidRPr="00AC7235">
        <w:t>History</w:t>
      </w:r>
      <w:r w:rsidR="00D30249" w:rsidRPr="00AC7235">
        <w:t xml:space="preserve"> –</w:t>
      </w:r>
      <w:r w:rsidR="00206794">
        <w:t xml:space="preserve"> </w:t>
      </w:r>
      <w:r w:rsidR="00546822">
        <w:t xml:space="preserve">Early </w:t>
      </w:r>
      <w:r w:rsidR="00EB6A91" w:rsidRPr="00AC7235">
        <w:t>to</w:t>
      </w:r>
      <w:r w:rsidR="00D30249" w:rsidRPr="00AC7235">
        <w:t xml:space="preserve"> Recent</w:t>
      </w:r>
      <w:bookmarkEnd w:id="2"/>
    </w:p>
    <w:p w14:paraId="722286FB" w14:textId="77777777" w:rsidR="00BA2E1C" w:rsidRDefault="00BA2E1C" w:rsidP="00A1599C">
      <w:r w:rsidRPr="00BA2E1C">
        <w:t>The</w:t>
      </w:r>
      <w:r>
        <w:t xml:space="preserve"> notion of casemix has its roots in ideas extending back now for a century when US surgeon Ernest A Codman proposed some methods of standardisation of outputs of a hospital and his </w:t>
      </w:r>
      <w:r w:rsidRPr="00BA2E1C">
        <w:rPr>
          <w:i/>
        </w:rPr>
        <w:t>end result system</w:t>
      </w:r>
      <w:r>
        <w:t xml:space="preserve">. The idea was to compare outputs and outcomes of hospital stays between different hospitals. He authored a book, “The Product of a Hospital”, first published in 1914, and in an address to the </w:t>
      </w:r>
      <w:r w:rsidR="00C16AA6">
        <w:t>Philadelphia</w:t>
      </w:r>
      <w:r>
        <w:t xml:space="preserve"> County Medical Society in 1913 said:</w:t>
      </w:r>
    </w:p>
    <w:p w14:paraId="31A14DDC" w14:textId="77777777" w:rsidR="00BA2E1C" w:rsidRPr="008E7916" w:rsidRDefault="005A69FB" w:rsidP="008E7916">
      <w:pPr>
        <w:ind w:left="426"/>
        <w:rPr>
          <w:i/>
        </w:rPr>
      </w:pPr>
      <w:r>
        <w:rPr>
          <w:i/>
        </w:rPr>
        <w:t>“</w:t>
      </w:r>
      <w:r w:rsidR="00BA2E1C" w:rsidRPr="008E7916">
        <w:rPr>
          <w:i/>
        </w:rPr>
        <w:t>Really the whole hospital problem rests on one question: What happens to the cases?.....We must formulate some method of hospital report showing as nearly as possible what are the results of the treatment obtained at different institutions</w:t>
      </w:r>
      <w:r w:rsidR="00B0648A" w:rsidRPr="008E7916">
        <w:rPr>
          <w:i/>
        </w:rPr>
        <w:t>. This report must be made out and published by each hospital in a uniform manner, so that comparisons will be possible. With such a report as a starting point, those interested can begin to ask questions as to management and efficiency.</w:t>
      </w:r>
      <w:r>
        <w:rPr>
          <w:i/>
        </w:rPr>
        <w:t>”</w:t>
      </w:r>
    </w:p>
    <w:p w14:paraId="1434C25F" w14:textId="77777777" w:rsidR="00BA2E1C" w:rsidRDefault="005C2BE7" w:rsidP="00A1599C">
      <w:r w:rsidRPr="005C2BE7">
        <w:t>Similar notions</w:t>
      </w:r>
      <w:r>
        <w:t xml:space="preserve"> are implicit in a study of UK English hospital costs from the mid-60s</w:t>
      </w:r>
      <w:r w:rsidR="00D30249">
        <w:t xml:space="preserve"> when it was asked why hospitals with </w:t>
      </w:r>
      <w:r w:rsidR="00AE0D85">
        <w:t>v</w:t>
      </w:r>
      <w:r w:rsidR="00D30249">
        <w:t>e</w:t>
      </w:r>
      <w:r w:rsidR="00AE0D85">
        <w:t>r</w:t>
      </w:r>
      <w:r w:rsidR="00D30249">
        <w:t>y different bed</w:t>
      </w:r>
      <w:r w:rsidR="00977B49">
        <w:t xml:space="preserve"> day</w:t>
      </w:r>
      <w:r w:rsidR="00D30249">
        <w:t xml:space="preserve"> or patient numbers could generate similar levels of expenditure. This study was by the then student US economist Martin Feld</w:t>
      </w:r>
      <w:r w:rsidR="000D2B1E">
        <w:t>stei</w:t>
      </w:r>
      <w:r w:rsidR="00D30249">
        <w:t>n.</w:t>
      </w:r>
    </w:p>
    <w:p w14:paraId="47117AFF" w14:textId="77777777" w:rsidR="00D30249" w:rsidRDefault="00D30249" w:rsidP="00A1599C">
      <w:r>
        <w:t>This problem remained one of interest in the US and the significant development of Diagnosis Related Groups, or DRGs, commenced in the late 1960s by Professor</w:t>
      </w:r>
      <w:r w:rsidR="00BD35E3">
        <w:t xml:space="preserve">s </w:t>
      </w:r>
      <w:r>
        <w:t>Robert Fetter</w:t>
      </w:r>
      <w:r w:rsidR="009949CA">
        <w:t>, John Thompson,</w:t>
      </w:r>
      <w:r>
        <w:t xml:space="preserve"> and colleagues at Yale University.</w:t>
      </w:r>
      <w:r w:rsidR="00970853">
        <w:t xml:space="preserve"> This work ev</w:t>
      </w:r>
      <w:r w:rsidR="00AE0D85">
        <w:t>o</w:t>
      </w:r>
      <w:r w:rsidR="00970853">
        <w:t>l</w:t>
      </w:r>
      <w:r w:rsidR="00AE0D85">
        <w:t>v</w:t>
      </w:r>
      <w:r w:rsidR="00970853">
        <w:t>ed f</w:t>
      </w:r>
      <w:r w:rsidR="008A2B10">
        <w:t>r</w:t>
      </w:r>
      <w:r w:rsidR="00970853">
        <w:t>om Medicare registration requirements</w:t>
      </w:r>
      <w:r w:rsidR="00AD0CD8">
        <w:t xml:space="preserve"> and had a heavy dependence on IT developments during the </w:t>
      </w:r>
      <w:r w:rsidR="00EB6A91">
        <w:t xml:space="preserve">late 60s and </w:t>
      </w:r>
      <w:r w:rsidR="00AD0CD8">
        <w:t xml:space="preserve">70s in relation to </w:t>
      </w:r>
      <w:r w:rsidR="00AD0CD8" w:rsidRPr="00AD0CD8">
        <w:rPr>
          <w:i/>
        </w:rPr>
        <w:t>finding a way to measure and cost the output of hospitals</w:t>
      </w:r>
      <w:r w:rsidR="00AD0CD8">
        <w:t>.</w:t>
      </w:r>
    </w:p>
    <w:p w14:paraId="04A8633B" w14:textId="77777777" w:rsidR="004745BD" w:rsidRDefault="00854F1D" w:rsidP="00A1599C">
      <w:r>
        <w:t xml:space="preserve">Several versions of a DRG system were developed, the first in 1973 containing 54 </w:t>
      </w:r>
      <w:r w:rsidRPr="00854F1D">
        <w:rPr>
          <w:i/>
        </w:rPr>
        <w:t>Major Diagnostic Categories</w:t>
      </w:r>
      <w:r>
        <w:t xml:space="preserve"> (MDCs) comprising 333 DRGs. The final original version in this sequence</w:t>
      </w:r>
      <w:r w:rsidR="00D013D1">
        <w:t xml:space="preserve"> was developed by Yale University’s </w:t>
      </w:r>
      <w:r w:rsidR="00C70992">
        <w:t>Health</w:t>
      </w:r>
      <w:r w:rsidR="00D013D1">
        <w:t xml:space="preserve"> Systems Man</w:t>
      </w:r>
      <w:r w:rsidR="002D4A64">
        <w:t>agement Group and was intended to represent</w:t>
      </w:r>
    </w:p>
    <w:p w14:paraId="4AF372B3" w14:textId="77777777" w:rsidR="00AD0CD8" w:rsidRPr="0024507B" w:rsidRDefault="002D4A64" w:rsidP="0024507B">
      <w:pPr>
        <w:ind w:left="426"/>
        <w:rPr>
          <w:i/>
        </w:rPr>
      </w:pPr>
      <w:r w:rsidRPr="0024507B">
        <w:rPr>
          <w:i/>
        </w:rPr>
        <w:t>“an</w:t>
      </w:r>
      <w:r w:rsidR="00630C09">
        <w:rPr>
          <w:i/>
        </w:rPr>
        <w:t xml:space="preserve"> </w:t>
      </w:r>
      <w:r w:rsidRPr="0024507B">
        <w:rPr>
          <w:i/>
        </w:rPr>
        <w:t xml:space="preserve">inpatient classification system that differentiated the amount of hospital resources required to provide care and was clinically coherent in the sense that the groups were expected to evoke a set of clinical responses which resulted in a similar pattern of resources.” </w:t>
      </w:r>
    </w:p>
    <w:p w14:paraId="78841391" w14:textId="77777777" w:rsidR="001A6CCA" w:rsidRDefault="009949CA" w:rsidP="00A1599C">
      <w:r>
        <w:t>The classification finally handed over to the Health Care Financing Administration (HCFA) in the US had 470 DRGs</w:t>
      </w:r>
      <w:r w:rsidR="00977B49">
        <w:t xml:space="preserve"> ranging across 23 Major Diagnostic Categories (MDCs)</w:t>
      </w:r>
      <w:r>
        <w:t>.</w:t>
      </w:r>
    </w:p>
    <w:p w14:paraId="7DEF9A02" w14:textId="77777777" w:rsidR="00414410" w:rsidRDefault="00414410" w:rsidP="00A1599C">
      <w:r>
        <w:t>For further information about New Zealand casemix</w:t>
      </w:r>
      <w:r w:rsidR="00206794">
        <w:t xml:space="preserve"> based</w:t>
      </w:r>
      <w:r>
        <w:t xml:space="preserve"> funding </w:t>
      </w:r>
      <w:r w:rsidR="00D36393">
        <w:t xml:space="preserve">early </w:t>
      </w:r>
      <w:r>
        <w:t>history refer to Appendix A</w:t>
      </w:r>
      <w:r w:rsidR="008430FD">
        <w:t>.</w:t>
      </w:r>
    </w:p>
    <w:p w14:paraId="6BF43423" w14:textId="77777777" w:rsidR="00045816" w:rsidRDefault="00045816">
      <w:pPr>
        <w:rPr>
          <w:rFonts w:asciiTheme="majorHAnsi" w:eastAsiaTheme="majorEastAsia" w:hAnsiTheme="majorHAnsi" w:cstheme="majorBidi"/>
          <w:b/>
          <w:bCs/>
          <w:color w:val="244061" w:themeColor="accent1" w:themeShade="80"/>
          <w:sz w:val="32"/>
          <w:szCs w:val="28"/>
        </w:rPr>
      </w:pPr>
      <w:r>
        <w:br w:type="page"/>
      </w:r>
    </w:p>
    <w:p w14:paraId="128114D5" w14:textId="77777777" w:rsidR="00452DA6" w:rsidRPr="0045571D" w:rsidRDefault="00D2754D" w:rsidP="0045571D">
      <w:pPr>
        <w:pStyle w:val="Heading1"/>
      </w:pPr>
      <w:bookmarkStart w:id="3" w:name="_Toc437260928"/>
      <w:r w:rsidRPr="0045571D">
        <w:lastRenderedPageBreak/>
        <w:t>Part II: Casemix in General</w:t>
      </w:r>
      <w:bookmarkEnd w:id="3"/>
    </w:p>
    <w:p w14:paraId="7D08FB6D" w14:textId="77777777" w:rsidR="00D2754D" w:rsidRDefault="00181938" w:rsidP="00A1599C">
      <w:r>
        <w:t xml:space="preserve">Casemix refers to the range and type of patients treated by a hospital or other health service. A system of output groupings are used based on the clinical coding for the admission </w:t>
      </w:r>
      <w:r w:rsidR="00455186">
        <w:t xml:space="preserve">or other health service contact </w:t>
      </w:r>
      <w:r>
        <w:t>and possibly other characteristics of the patient or the event.</w:t>
      </w:r>
    </w:p>
    <w:p w14:paraId="5CA292CF" w14:textId="77777777" w:rsidR="00912850" w:rsidRDefault="00310DB7" w:rsidP="00A1599C">
      <w:r>
        <w:t>The notion of casemix is very general and can apply to a wide selection of h</w:t>
      </w:r>
      <w:r w:rsidR="00455186">
        <w:t>e</w:t>
      </w:r>
      <w:r>
        <w:t>al</w:t>
      </w:r>
      <w:r w:rsidR="00455186">
        <w:t>th</w:t>
      </w:r>
      <w:r>
        <w:t xml:space="preserve"> services. </w:t>
      </w:r>
      <w:r w:rsidR="00912850">
        <w:t>Examples</w:t>
      </w:r>
      <w:r w:rsidR="00455186">
        <w:t xml:space="preserve"> include</w:t>
      </w:r>
      <w:r w:rsidR="00912850">
        <w:t xml:space="preserve"> hospital admissions for medical or surgical events, resource planning based on indexing of the results of assessments of a person’s functional ca</w:t>
      </w:r>
      <w:r w:rsidR="008646AD">
        <w:t>pa</w:t>
      </w:r>
      <w:r w:rsidR="00912850">
        <w:t xml:space="preserve">bility (InterRAI), or the range of </w:t>
      </w:r>
      <w:r w:rsidR="006E3ABB">
        <w:t>dispensing’s</w:t>
      </w:r>
      <w:r w:rsidR="00912850">
        <w:t xml:space="preserve"> undertaken by pharmacists. </w:t>
      </w:r>
    </w:p>
    <w:p w14:paraId="63E7061C" w14:textId="77777777" w:rsidR="00310DB7" w:rsidRDefault="00912850" w:rsidP="00A1599C">
      <w:r>
        <w:t xml:space="preserve">This document will mainly reflect the notion of casemix for patients admitted to a hospital for treatment. </w:t>
      </w:r>
      <w:r w:rsidR="00455186">
        <w:t xml:space="preserve"> </w:t>
      </w:r>
      <w:r w:rsidR="00310DB7">
        <w:t xml:space="preserve">However, </w:t>
      </w:r>
      <w:r>
        <w:t xml:space="preserve">in this context </w:t>
      </w:r>
      <w:r w:rsidR="00310DB7">
        <w:t xml:space="preserve">it has </w:t>
      </w:r>
      <w:r w:rsidR="00310DB7" w:rsidRPr="00310DB7">
        <w:rPr>
          <w:lang w:val="en-AU"/>
        </w:rPr>
        <w:t>acquired broader connotations of funding, including the tools and information systems used to assist the planning, management and benchmarking of health services</w:t>
      </w:r>
      <w:r w:rsidR="00310DB7">
        <w:rPr>
          <w:lang w:val="en-AU"/>
        </w:rPr>
        <w:t>. These latter aspects will be addressed in Part III.</w:t>
      </w:r>
    </w:p>
    <w:p w14:paraId="30E24421" w14:textId="77777777" w:rsidR="00181938" w:rsidRDefault="00181938" w:rsidP="00A1599C">
      <w:r>
        <w:t>Thus a casemix system depends on using:</w:t>
      </w:r>
    </w:p>
    <w:p w14:paraId="735C654D" w14:textId="77777777" w:rsidR="00181938" w:rsidRDefault="00181938" w:rsidP="00A1599C">
      <w:pPr>
        <w:pStyle w:val="ListParagraph"/>
        <w:numPr>
          <w:ilvl w:val="0"/>
          <w:numId w:val="11"/>
        </w:numPr>
      </w:pPr>
      <w:r w:rsidRPr="00181938">
        <w:t xml:space="preserve">a clinical coding classification to  provide an electronic record of </w:t>
      </w:r>
      <w:r w:rsidR="00977B49">
        <w:t xml:space="preserve">the </w:t>
      </w:r>
      <w:r w:rsidR="005A69FB">
        <w:t>clinical</w:t>
      </w:r>
      <w:r w:rsidRPr="00181938">
        <w:t xml:space="preserve"> notes</w:t>
      </w:r>
      <w:r w:rsidR="008A6A45">
        <w:t xml:space="preserve"> for each event, and</w:t>
      </w:r>
    </w:p>
    <w:p w14:paraId="3AA72778" w14:textId="77777777" w:rsidR="008A6A45" w:rsidRDefault="008A6A45" w:rsidP="00A1599C">
      <w:pPr>
        <w:pStyle w:val="ListParagraph"/>
        <w:numPr>
          <w:ilvl w:val="0"/>
          <w:numId w:val="11"/>
        </w:numPr>
      </w:pPr>
      <w:r>
        <w:t xml:space="preserve">a means of grouping each coded event to </w:t>
      </w:r>
      <w:r w:rsidR="00A476C1" w:rsidRPr="00181938">
        <w:t>Diagnosis Related Groups (DRGs)</w:t>
      </w:r>
      <w:r>
        <w:t xml:space="preserve"> derived from the clinical coding classification being used.</w:t>
      </w:r>
    </w:p>
    <w:p w14:paraId="39A20108" w14:textId="77777777" w:rsidR="008A6A45" w:rsidRPr="008646AD" w:rsidRDefault="00EB4B3D" w:rsidP="00A1599C">
      <w:r>
        <w:t>T</w:t>
      </w:r>
      <w:r w:rsidR="00730923">
        <w:t>hroughout,</w:t>
      </w:r>
      <w:r w:rsidR="008A6A45">
        <w:t xml:space="preserve"> the term DRG </w:t>
      </w:r>
      <w:r w:rsidR="00730923">
        <w:t>will be used</w:t>
      </w:r>
      <w:r w:rsidR="008A6A45">
        <w:t xml:space="preserve"> in a general way, however, especially in Part III, the focus is </w:t>
      </w:r>
      <w:r w:rsidR="008A6A45" w:rsidRPr="008646AD">
        <w:t>largely on medical</w:t>
      </w:r>
      <w:r w:rsidRPr="008646AD">
        <w:t xml:space="preserve"> services</w:t>
      </w:r>
      <w:r w:rsidR="008A6A45" w:rsidRPr="008646AD">
        <w:t>, surg</w:t>
      </w:r>
      <w:r w:rsidRPr="008646AD">
        <w:t>ery</w:t>
      </w:r>
      <w:r w:rsidR="008A6A45" w:rsidRPr="008646AD">
        <w:t>, obstetrics</w:t>
      </w:r>
      <w:r w:rsidRPr="008646AD">
        <w:t>,</w:t>
      </w:r>
      <w:r w:rsidR="008A6A45" w:rsidRPr="008646AD">
        <w:t xml:space="preserve"> and neonatal services.</w:t>
      </w:r>
    </w:p>
    <w:p w14:paraId="170E72F7" w14:textId="77777777" w:rsidR="00CE265E" w:rsidRPr="008646AD" w:rsidRDefault="00730923" w:rsidP="00265D93">
      <w:pPr>
        <w:autoSpaceDE w:val="0"/>
        <w:autoSpaceDN w:val="0"/>
        <w:adjustRightInd w:val="0"/>
        <w:spacing w:after="0" w:line="240" w:lineRule="auto"/>
      </w:pPr>
      <w:r w:rsidRPr="008646AD">
        <w:t>T</w:t>
      </w:r>
      <w:r w:rsidR="008A6A45" w:rsidRPr="008646AD">
        <w:t>he clinical coding classification used</w:t>
      </w:r>
      <w:r w:rsidRPr="008646AD">
        <w:t xml:space="preserve"> </w:t>
      </w:r>
      <w:r w:rsidR="005A69FB" w:rsidRPr="008646AD">
        <w:t>i</w:t>
      </w:r>
      <w:r w:rsidRPr="008646AD">
        <w:t>n New Zealand</w:t>
      </w:r>
      <w:r w:rsidR="008A6A45" w:rsidRPr="008646AD">
        <w:t xml:space="preserve"> is the same as that used in Australia, namely </w:t>
      </w:r>
      <w:r w:rsidR="00265D93" w:rsidRPr="008646AD">
        <w:rPr>
          <w:rFonts w:eastAsiaTheme="minorHAnsi"/>
        </w:rPr>
        <w:t xml:space="preserve">the </w:t>
      </w:r>
      <w:r w:rsidR="00265D93" w:rsidRPr="008646AD">
        <w:rPr>
          <w:rFonts w:ascii="Calibri" w:eastAsiaTheme="minorHAnsi" w:hAnsi="Calibri" w:cs="Calibri"/>
          <w:color w:val="000000"/>
        </w:rPr>
        <w:t xml:space="preserve">Australian Modification of the World Health Organizations (WHO) disease publication </w:t>
      </w:r>
      <w:r w:rsidR="008A6A45" w:rsidRPr="008646AD">
        <w:t>International Statistical Classification of Diseases</w:t>
      </w:r>
      <w:r w:rsidR="00CE265E" w:rsidRPr="008646AD">
        <w:t xml:space="preserve"> and Related Health Problems, </w:t>
      </w:r>
      <w:r w:rsidR="00265D93" w:rsidRPr="008646AD">
        <w:t>Tenth Revision (ICD-10</w:t>
      </w:r>
      <w:r w:rsidR="00931E08" w:rsidRPr="00931E08">
        <w:rPr>
          <w:rStyle w:val="FootnoteReference"/>
          <w:rFonts w:ascii="Arial" w:hAnsi="Arial" w:cs="Arial"/>
        </w:rPr>
        <w:footnoteReference w:id="1"/>
      </w:r>
      <w:r w:rsidR="00265D93" w:rsidRPr="008646AD">
        <w:t xml:space="preserve">). </w:t>
      </w:r>
    </w:p>
    <w:p w14:paraId="205D2627" w14:textId="77777777" w:rsidR="00265D93" w:rsidRPr="00931E08" w:rsidRDefault="00265D93" w:rsidP="00265D93">
      <w:pPr>
        <w:autoSpaceDE w:val="0"/>
        <w:autoSpaceDN w:val="0"/>
        <w:adjustRightInd w:val="0"/>
        <w:spacing w:after="0" w:line="240" w:lineRule="auto"/>
        <w:rPr>
          <w:rFonts w:ascii="Calibri" w:eastAsiaTheme="minorHAnsi" w:hAnsi="Calibri" w:cs="Calibri"/>
          <w:color w:val="000000"/>
        </w:rPr>
      </w:pPr>
    </w:p>
    <w:p w14:paraId="308D7764" w14:textId="77777777" w:rsidR="00CE265E" w:rsidRDefault="00CE265E" w:rsidP="00A1599C">
      <w:r w:rsidRPr="00931E08">
        <w:t>Th</w:t>
      </w:r>
      <w:r w:rsidR="009634D7" w:rsidRPr="00931E08">
        <w:t>e</w:t>
      </w:r>
      <w:r w:rsidR="00931E08">
        <w:t xml:space="preserve"> Australian</w:t>
      </w:r>
      <w:r w:rsidR="001C3636">
        <w:t xml:space="preserve"> Modification </w:t>
      </w:r>
      <w:r w:rsidR="00931E08" w:rsidRPr="00931E08">
        <w:t xml:space="preserve">is </w:t>
      </w:r>
      <w:r w:rsidRPr="00931E08">
        <w:t>revised periodically</w:t>
      </w:r>
      <w:r w:rsidR="00977B49" w:rsidRPr="00931E08">
        <w:t xml:space="preserve">, currently at </w:t>
      </w:r>
      <w:r w:rsidR="00E42E86" w:rsidRPr="00931E08">
        <w:t>two</w:t>
      </w:r>
      <w:r w:rsidR="00977B49" w:rsidRPr="00931E08">
        <w:t>-year intervals</w:t>
      </w:r>
      <w:r w:rsidR="00931E08" w:rsidRPr="00931E08">
        <w:rPr>
          <w:rStyle w:val="FootnoteReference"/>
          <w:rFonts w:ascii="Arial" w:hAnsi="Arial" w:cs="Arial"/>
        </w:rPr>
        <w:footnoteReference w:id="2"/>
      </w:r>
      <w:r w:rsidRPr="00931E08">
        <w:t xml:space="preserve">. The </w:t>
      </w:r>
      <w:r w:rsidR="00931E08">
        <w:t xml:space="preserve">current Edition </w:t>
      </w:r>
      <w:r w:rsidRPr="00931E08">
        <w:t xml:space="preserve">in use in New Zealand is the </w:t>
      </w:r>
      <w:r w:rsidR="00931E08">
        <w:t>8</w:t>
      </w:r>
      <w:r w:rsidR="00931E08" w:rsidRPr="00931E08">
        <w:t>th</w:t>
      </w:r>
      <w:r w:rsidR="00931E08">
        <w:t xml:space="preserve"> Edition which was implemented 1 July 2014. </w:t>
      </w:r>
      <w:r>
        <w:t>New Zealand uses the Australian-developed DRG set AR-DRG v6.0</w:t>
      </w:r>
      <w:r w:rsidR="00977B49">
        <w:t>x</w:t>
      </w:r>
      <w:r>
        <w:t xml:space="preserve"> developed to work with ICD-10-AM</w:t>
      </w:r>
      <w:r w:rsidR="00604F90">
        <w:t>/ACHI 6th</w:t>
      </w:r>
      <w:r>
        <w:t xml:space="preserve"> Edition</w:t>
      </w:r>
      <w:r w:rsidR="00604F90">
        <w:t>.</w:t>
      </w:r>
    </w:p>
    <w:p w14:paraId="3E2A0D45" w14:textId="77777777" w:rsidR="00BF6B16" w:rsidRPr="00931E08" w:rsidRDefault="00BF6B16" w:rsidP="00A1599C">
      <w:r w:rsidRPr="00931E08">
        <w:t>Th</w:t>
      </w:r>
      <w:r w:rsidR="001C3636">
        <w:t>e</w:t>
      </w:r>
      <w:r w:rsidRPr="00931E08">
        <w:t xml:space="preserve"> clinical coding classification consists of:</w:t>
      </w:r>
    </w:p>
    <w:p w14:paraId="6E4BF704" w14:textId="77777777" w:rsidR="00BF6B16" w:rsidRPr="00931E08" w:rsidRDefault="00BF6B16" w:rsidP="00A1599C">
      <w:pPr>
        <w:pStyle w:val="ListParagraph"/>
        <w:numPr>
          <w:ilvl w:val="0"/>
          <w:numId w:val="14"/>
        </w:numPr>
      </w:pPr>
      <w:r w:rsidRPr="00931E08">
        <w:t xml:space="preserve">A disease classification </w:t>
      </w:r>
      <w:r w:rsidR="00847DBC">
        <w:t xml:space="preserve">– </w:t>
      </w:r>
      <w:r w:rsidR="00931E08">
        <w:t xml:space="preserve">The </w:t>
      </w:r>
      <w:r w:rsidRPr="00931E08">
        <w:t xml:space="preserve">International </w:t>
      </w:r>
      <w:r w:rsidR="005D7284">
        <w:t xml:space="preserve">Statistical </w:t>
      </w:r>
      <w:r w:rsidRPr="00931E08">
        <w:t xml:space="preserve">Classification of Diseases </w:t>
      </w:r>
      <w:r w:rsidR="00931E08">
        <w:t xml:space="preserve">and Related Health Problems, Tenth </w:t>
      </w:r>
      <w:r w:rsidRPr="00931E08">
        <w:t>Revision</w:t>
      </w:r>
      <w:r w:rsidR="00931E08">
        <w:t>, Australian Modification (ICD-10-AM)</w:t>
      </w:r>
    </w:p>
    <w:p w14:paraId="73504451" w14:textId="77777777" w:rsidR="00BF6B16" w:rsidRPr="00931E08" w:rsidRDefault="00BF6B16" w:rsidP="001C3636">
      <w:pPr>
        <w:pStyle w:val="ListParagraph"/>
        <w:numPr>
          <w:ilvl w:val="0"/>
          <w:numId w:val="14"/>
        </w:numPr>
      </w:pPr>
      <w:r w:rsidRPr="00931E08">
        <w:lastRenderedPageBreak/>
        <w:t xml:space="preserve">A </w:t>
      </w:r>
      <w:r w:rsidR="009634D7" w:rsidRPr="00931E08">
        <w:t xml:space="preserve">procedure </w:t>
      </w:r>
      <w:r w:rsidRPr="00931E08">
        <w:t xml:space="preserve">classification </w:t>
      </w:r>
      <w:r w:rsidR="00847DBC">
        <w:t xml:space="preserve">– </w:t>
      </w:r>
      <w:r w:rsidR="00931E08">
        <w:t xml:space="preserve">The </w:t>
      </w:r>
      <w:r w:rsidRPr="00931E08">
        <w:t>Australian Classification of Health Interventions</w:t>
      </w:r>
      <w:r w:rsidR="00931E08">
        <w:t xml:space="preserve"> (ACHI)</w:t>
      </w:r>
      <w:r w:rsidR="001C3636">
        <w:t xml:space="preserve">. </w:t>
      </w:r>
      <w:r w:rsidR="001C3636" w:rsidRPr="001C3636">
        <w:t xml:space="preserve">ACHI is based on the Medicare Benefits Schedule (MBS) </w:t>
      </w:r>
      <w:r w:rsidR="00512172">
        <w:t xml:space="preserve">(with some exceptions) </w:t>
      </w:r>
      <w:r w:rsidR="001C3636" w:rsidRPr="001C3636">
        <w:t>for use in Australian clinical practice</w:t>
      </w:r>
    </w:p>
    <w:p w14:paraId="6959DEF8" w14:textId="77777777" w:rsidR="00BF6B16" w:rsidRPr="00931E08" w:rsidRDefault="001C3636" w:rsidP="00A1599C">
      <w:pPr>
        <w:pStyle w:val="ListParagraph"/>
        <w:numPr>
          <w:ilvl w:val="0"/>
          <w:numId w:val="14"/>
        </w:numPr>
      </w:pPr>
      <w:r>
        <w:t xml:space="preserve">Coding standards </w:t>
      </w:r>
      <w:r w:rsidR="005D7284">
        <w:t>–</w:t>
      </w:r>
      <w:r>
        <w:t xml:space="preserve"> </w:t>
      </w:r>
      <w:r w:rsidR="005D7284">
        <w:t xml:space="preserve">The </w:t>
      </w:r>
      <w:r w:rsidR="00BF6B16" w:rsidRPr="00931E08">
        <w:t>Australian Coding Standards</w:t>
      </w:r>
      <w:r w:rsidR="009634D7" w:rsidRPr="00931E08">
        <w:t xml:space="preserve"> (ACS)</w:t>
      </w:r>
      <w:r w:rsidR="00847DBC">
        <w:t xml:space="preserve">.  </w:t>
      </w:r>
      <w:r w:rsidR="005C16D8">
        <w:t xml:space="preserve">The Australian Coding Standards </w:t>
      </w:r>
      <w:r w:rsidR="00847DBC">
        <w:t>are a</w:t>
      </w:r>
      <w:r w:rsidR="00BF6B16" w:rsidRPr="00931E08">
        <w:t xml:space="preserve"> set of rules </w:t>
      </w:r>
      <w:r w:rsidR="004E028F">
        <w:t xml:space="preserve">and national standards </w:t>
      </w:r>
      <w:r w:rsidR="00BF6B16" w:rsidRPr="00931E08">
        <w:t xml:space="preserve">to </w:t>
      </w:r>
      <w:r w:rsidR="004E028F">
        <w:t xml:space="preserve">provide guidance in the application of ICD-10-AM and ACHI codes and </w:t>
      </w:r>
      <w:r w:rsidR="004E028F" w:rsidRPr="00931E08">
        <w:t xml:space="preserve">promote consistency in coding </w:t>
      </w:r>
      <w:r w:rsidR="004E028F">
        <w:t xml:space="preserve">practice. </w:t>
      </w:r>
    </w:p>
    <w:p w14:paraId="37CBC090" w14:textId="77777777" w:rsidR="00730923" w:rsidRDefault="007B4543" w:rsidP="00A1599C">
      <w:r w:rsidRPr="006C26DA">
        <w:t xml:space="preserve">Other jurisdictions that use casemix </w:t>
      </w:r>
      <w:r w:rsidR="0041111C" w:rsidRPr="006C26DA">
        <w:t xml:space="preserve">systems </w:t>
      </w:r>
      <w:r w:rsidRPr="006C26DA">
        <w:t xml:space="preserve">include England, </w:t>
      </w:r>
      <w:r w:rsidR="0041111C" w:rsidRPr="006C26DA">
        <w:t xml:space="preserve">Canada, </w:t>
      </w:r>
      <w:r w:rsidR="00210D68">
        <w:t xml:space="preserve">Ireland, </w:t>
      </w:r>
      <w:r w:rsidR="00CE265E" w:rsidRPr="006C26DA">
        <w:t>and</w:t>
      </w:r>
      <w:r w:rsidRPr="006C26DA">
        <w:t xml:space="preserve"> the Netherlands. </w:t>
      </w:r>
      <w:r w:rsidR="00CE265E" w:rsidRPr="006C26DA">
        <w:t>Norway</w:t>
      </w:r>
      <w:r w:rsidR="00CE265E">
        <w:t xml:space="preserve"> and</w:t>
      </w:r>
      <w:r w:rsidR="00CE265E" w:rsidRPr="006C26DA">
        <w:t xml:space="preserve"> Sweden</w:t>
      </w:r>
      <w:r w:rsidR="00CE265E">
        <w:t xml:space="preserve"> are part of a Nordic consortium that uses the same </w:t>
      </w:r>
      <w:r w:rsidR="00EB4B3D">
        <w:t xml:space="preserve">Nordic-developed </w:t>
      </w:r>
      <w:r w:rsidR="00CE265E">
        <w:t>casemix system.</w:t>
      </w:r>
    </w:p>
    <w:p w14:paraId="1EA72071" w14:textId="77777777" w:rsidR="00210D68" w:rsidRDefault="00210D68" w:rsidP="00A1599C">
      <w:r>
        <w:t>A list of the countries with a Licence Agreement for the AR-DRG Classification System can be found on the</w:t>
      </w:r>
      <w:r w:rsidR="00251BFB">
        <w:t xml:space="preserve"> website of Australia’s</w:t>
      </w:r>
      <w:r>
        <w:t xml:space="preserve"> Independent Hospital Pricing Authority (IHPA) </w:t>
      </w:r>
      <w:hyperlink r:id="rId11" w:history="1">
        <w:r w:rsidRPr="00210D68">
          <w:rPr>
            <w:rStyle w:val="Hyperlink"/>
          </w:rPr>
          <w:t>click here</w:t>
        </w:r>
      </w:hyperlink>
      <w:r>
        <w:t>.</w:t>
      </w:r>
    </w:p>
    <w:p w14:paraId="0C945783" w14:textId="77777777" w:rsidR="00452DA6" w:rsidRPr="00C30DE4" w:rsidRDefault="00452DA6" w:rsidP="00A1599C">
      <w:pPr>
        <w:pStyle w:val="Heading2"/>
      </w:pPr>
      <w:bookmarkStart w:id="4" w:name="_Toc437260929"/>
      <w:r w:rsidRPr="00C30DE4">
        <w:t>Clinical Coding</w:t>
      </w:r>
      <w:bookmarkEnd w:id="4"/>
    </w:p>
    <w:p w14:paraId="31EDE281" w14:textId="77777777" w:rsidR="00452DA6" w:rsidRDefault="00452DA6" w:rsidP="00A1599C">
      <w:r>
        <w:t xml:space="preserve">This process involves a review of the </w:t>
      </w:r>
      <w:r w:rsidR="008E7916">
        <w:t>clinical</w:t>
      </w:r>
      <w:r>
        <w:t xml:space="preserve"> record so that documented clinical information </w:t>
      </w:r>
      <w:r w:rsidR="008E7916">
        <w:t xml:space="preserve">for an episode of care </w:t>
      </w:r>
      <w:r>
        <w:t>can be translated into classification codes</w:t>
      </w:r>
      <w:r w:rsidR="008646AD">
        <w:t xml:space="preserve"> (ICD-10-AM/ACHI)</w:t>
      </w:r>
      <w:r>
        <w:t>.</w:t>
      </w:r>
    </w:p>
    <w:p w14:paraId="0E174542" w14:textId="77777777" w:rsidR="004218BB" w:rsidRDefault="00640189" w:rsidP="00FA676E">
      <w:pPr>
        <w:jc w:val="center"/>
        <w:rPr>
          <w:noProof/>
          <w:lang w:eastAsia="en-NZ"/>
        </w:rPr>
      </w:pPr>
      <w:r>
        <w:rPr>
          <w:noProof/>
          <w:lang w:eastAsia="en-NZ"/>
        </w:rPr>
        <w:drawing>
          <wp:inline distT="0" distB="0" distL="0" distR="0" wp14:anchorId="3CBC0B46" wp14:editId="150960FD">
            <wp:extent cx="5759450" cy="4588510"/>
            <wp:effectExtent l="0" t="0" r="0" b="2540"/>
            <wp:docPr id="11" name="Picture 11" descr="Diagram showing how clinical coding works. " title="Casemi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588510"/>
                    </a:xfrm>
                    <a:prstGeom prst="rect">
                      <a:avLst/>
                    </a:prstGeom>
                  </pic:spPr>
                </pic:pic>
              </a:graphicData>
            </a:graphic>
          </wp:inline>
        </w:drawing>
      </w:r>
    </w:p>
    <w:p w14:paraId="2DC8B903" w14:textId="77777777" w:rsidR="001A6CCA" w:rsidRDefault="002017D8" w:rsidP="00A1599C">
      <w:r>
        <w:t xml:space="preserve">The clinical coding classification contains </w:t>
      </w:r>
      <w:r w:rsidR="00512172">
        <w:t xml:space="preserve">almost </w:t>
      </w:r>
      <w:r>
        <w:t>2</w:t>
      </w:r>
      <w:r w:rsidR="00512172">
        <w:t>4</w:t>
      </w:r>
      <w:r>
        <w:t xml:space="preserve">,000 </w:t>
      </w:r>
      <w:r w:rsidR="007268D1">
        <w:t>codes</w:t>
      </w:r>
      <w:r>
        <w:t xml:space="preserve"> covering diseases, procedures or interventions, external causes, and morphology. For </w:t>
      </w:r>
      <w:r w:rsidR="008646AD">
        <w:t>ICD-10-AM/ACHI 6</w:t>
      </w:r>
      <w:r w:rsidR="008646AD" w:rsidRPr="008646AD">
        <w:t>th</w:t>
      </w:r>
      <w:r w:rsidR="008646AD">
        <w:t xml:space="preserve"> and 8</w:t>
      </w:r>
      <w:r w:rsidR="008646AD" w:rsidRPr="008646AD">
        <w:t>th</w:t>
      </w:r>
      <w:r w:rsidR="008646AD">
        <w:t xml:space="preserve"> </w:t>
      </w:r>
      <w:r>
        <w:t xml:space="preserve">Editions </w:t>
      </w:r>
      <w:r w:rsidR="00652F12">
        <w:t xml:space="preserve">these </w:t>
      </w:r>
      <w:r>
        <w:t>are categorised as follows.</w:t>
      </w:r>
    </w:p>
    <w:tbl>
      <w:tblPr>
        <w:tblStyle w:val="LightList-Accent1"/>
        <w:tblW w:w="8920" w:type="dxa"/>
        <w:tblInd w:w="108" w:type="dxa"/>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3679"/>
        <w:gridCol w:w="2427"/>
        <w:gridCol w:w="1448"/>
        <w:gridCol w:w="1366"/>
      </w:tblGrid>
      <w:tr w:rsidR="002017D8" w14:paraId="62779DB5" w14:textId="77777777" w:rsidTr="00604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14:paraId="086E7F3C" w14:textId="77777777" w:rsidR="002017D8" w:rsidRDefault="002017D8" w:rsidP="00A1599C">
            <w:r>
              <w:lastRenderedPageBreak/>
              <w:t>Clinical Code Type</w:t>
            </w:r>
          </w:p>
        </w:tc>
        <w:tc>
          <w:tcPr>
            <w:tcW w:w="2427" w:type="dxa"/>
          </w:tcPr>
          <w:p w14:paraId="1213DDCB" w14:textId="77777777" w:rsidR="008646AD" w:rsidRDefault="002017D8" w:rsidP="00A1599C">
            <w:pPr>
              <w:jc w:val="center"/>
              <w:cnfStyle w:val="100000000000" w:firstRow="1" w:lastRow="0" w:firstColumn="0" w:lastColumn="0" w:oddVBand="0" w:evenVBand="0" w:oddHBand="0" w:evenHBand="0" w:firstRowFirstColumn="0" w:firstRowLastColumn="0" w:lastRowFirstColumn="0" w:lastRowLastColumn="0"/>
            </w:pPr>
            <w:r>
              <w:t xml:space="preserve">ICD-10-AM/ACHI </w:t>
            </w:r>
          </w:p>
          <w:p w14:paraId="1F3062AE" w14:textId="77777777" w:rsidR="002017D8" w:rsidRDefault="002017D8" w:rsidP="00A1599C">
            <w:pPr>
              <w:jc w:val="center"/>
              <w:cnfStyle w:val="100000000000" w:firstRow="1" w:lastRow="0" w:firstColumn="0" w:lastColumn="0" w:oddVBand="0" w:evenVBand="0" w:oddHBand="0" w:evenHBand="0" w:firstRowFirstColumn="0" w:firstRowLastColumn="0" w:lastRowFirstColumn="0" w:lastRowLastColumn="0"/>
            </w:pPr>
            <w:r>
              <w:t>Code Ranges</w:t>
            </w:r>
          </w:p>
        </w:tc>
        <w:tc>
          <w:tcPr>
            <w:tcW w:w="1448" w:type="dxa"/>
          </w:tcPr>
          <w:p w14:paraId="1E466DF4" w14:textId="77777777" w:rsidR="002017D8" w:rsidRDefault="00D876BB" w:rsidP="00A1599C">
            <w:pPr>
              <w:jc w:val="center"/>
              <w:cnfStyle w:val="100000000000" w:firstRow="1" w:lastRow="0" w:firstColumn="0" w:lastColumn="0" w:oddVBand="0" w:evenVBand="0" w:oddHBand="0" w:evenHBand="0" w:firstRowFirstColumn="0" w:firstRowLastColumn="0" w:lastRowFirstColumn="0" w:lastRowLastColumn="0"/>
            </w:pPr>
            <w:r>
              <w:t xml:space="preserve">6th </w:t>
            </w:r>
            <w:r w:rsidR="00E07B7B">
              <w:t>Edition Count</w:t>
            </w:r>
          </w:p>
        </w:tc>
        <w:tc>
          <w:tcPr>
            <w:tcW w:w="1366" w:type="dxa"/>
          </w:tcPr>
          <w:p w14:paraId="0EF4DAB9" w14:textId="77777777" w:rsidR="002017D8" w:rsidRDefault="00D876BB" w:rsidP="00A1599C">
            <w:pPr>
              <w:jc w:val="center"/>
              <w:cnfStyle w:val="100000000000" w:firstRow="1" w:lastRow="0" w:firstColumn="0" w:lastColumn="0" w:oddVBand="0" w:evenVBand="0" w:oddHBand="0" w:evenHBand="0" w:firstRowFirstColumn="0" w:firstRowLastColumn="0" w:lastRowFirstColumn="0" w:lastRowLastColumn="0"/>
            </w:pPr>
            <w:r>
              <w:t xml:space="preserve">8th </w:t>
            </w:r>
            <w:r w:rsidR="00E07B7B">
              <w:t>Edition Count</w:t>
            </w:r>
          </w:p>
        </w:tc>
      </w:tr>
      <w:tr w:rsidR="002017D8" w14:paraId="7B62FB3B" w14:textId="77777777"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14:paraId="21EA12EE" w14:textId="77777777" w:rsidR="002017D8" w:rsidRDefault="00E07B7B" w:rsidP="00A1599C">
            <w:r>
              <w:t>A: Diagnosis</w:t>
            </w:r>
          </w:p>
        </w:tc>
        <w:tc>
          <w:tcPr>
            <w:tcW w:w="2427" w:type="dxa"/>
            <w:tcBorders>
              <w:top w:val="none" w:sz="0" w:space="0" w:color="auto"/>
              <w:bottom w:val="none" w:sz="0" w:space="0" w:color="auto"/>
            </w:tcBorders>
          </w:tcPr>
          <w:p w14:paraId="2BE4F6B3"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A000 – U079</w:t>
            </w:r>
          </w:p>
        </w:tc>
        <w:tc>
          <w:tcPr>
            <w:tcW w:w="1448" w:type="dxa"/>
            <w:tcBorders>
              <w:top w:val="none" w:sz="0" w:space="0" w:color="auto"/>
              <w:bottom w:val="none" w:sz="0" w:space="0" w:color="auto"/>
            </w:tcBorders>
          </w:tcPr>
          <w:p w14:paraId="09D8FA63"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10,707</w:t>
            </w:r>
          </w:p>
        </w:tc>
        <w:tc>
          <w:tcPr>
            <w:tcW w:w="1366" w:type="dxa"/>
            <w:tcBorders>
              <w:top w:val="none" w:sz="0" w:space="0" w:color="auto"/>
              <w:bottom w:val="none" w:sz="0" w:space="0" w:color="auto"/>
              <w:right w:val="none" w:sz="0" w:space="0" w:color="auto"/>
            </w:tcBorders>
          </w:tcPr>
          <w:p w14:paraId="640A54C5"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11,109</w:t>
            </w:r>
          </w:p>
        </w:tc>
      </w:tr>
      <w:tr w:rsidR="002017D8" w14:paraId="1E9FF889" w14:textId="77777777" w:rsidTr="00604F90">
        <w:tc>
          <w:tcPr>
            <w:cnfStyle w:val="001000000000" w:firstRow="0" w:lastRow="0" w:firstColumn="1" w:lastColumn="0" w:oddVBand="0" w:evenVBand="0" w:oddHBand="0" w:evenHBand="0" w:firstRowFirstColumn="0" w:firstRowLastColumn="0" w:lastRowFirstColumn="0" w:lastRowLastColumn="0"/>
            <w:tcW w:w="3679" w:type="dxa"/>
          </w:tcPr>
          <w:p w14:paraId="1F4CF554" w14:textId="77777777" w:rsidR="002017D8" w:rsidRDefault="00E07B7B" w:rsidP="00A1599C">
            <w:r>
              <w:t>B: Injury</w:t>
            </w:r>
          </w:p>
        </w:tc>
        <w:tc>
          <w:tcPr>
            <w:tcW w:w="2427" w:type="dxa"/>
          </w:tcPr>
          <w:p w14:paraId="666C6AC2" w14:textId="77777777"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S0000 – T983</w:t>
            </w:r>
          </w:p>
        </w:tc>
        <w:tc>
          <w:tcPr>
            <w:tcW w:w="1448" w:type="dxa"/>
          </w:tcPr>
          <w:p w14:paraId="68488D1C" w14:textId="77777777"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1,788</w:t>
            </w:r>
          </w:p>
        </w:tc>
        <w:tc>
          <w:tcPr>
            <w:tcW w:w="1366" w:type="dxa"/>
          </w:tcPr>
          <w:p w14:paraId="425A55F2" w14:textId="77777777" w:rsidR="002017D8" w:rsidRDefault="00062C4D" w:rsidP="00A1599C">
            <w:pPr>
              <w:jc w:val="center"/>
              <w:cnfStyle w:val="000000000000" w:firstRow="0" w:lastRow="0" w:firstColumn="0" w:lastColumn="0" w:oddVBand="0" w:evenVBand="0" w:oddHBand="0" w:evenHBand="0" w:firstRowFirstColumn="0" w:firstRowLastColumn="0" w:lastRowFirstColumn="0" w:lastRowLastColumn="0"/>
            </w:pPr>
            <w:r>
              <w:t>1,792</w:t>
            </w:r>
          </w:p>
        </w:tc>
      </w:tr>
      <w:tr w:rsidR="002017D8" w14:paraId="4223AC3A" w14:textId="77777777"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14:paraId="7A0E6E84" w14:textId="77777777" w:rsidR="002017D8" w:rsidRDefault="00E07B7B" w:rsidP="00A1599C">
            <w:r>
              <w:t>E: External Cause</w:t>
            </w:r>
          </w:p>
        </w:tc>
        <w:tc>
          <w:tcPr>
            <w:tcW w:w="2427" w:type="dxa"/>
            <w:tcBorders>
              <w:top w:val="none" w:sz="0" w:space="0" w:color="auto"/>
              <w:bottom w:val="none" w:sz="0" w:space="0" w:color="auto"/>
            </w:tcBorders>
          </w:tcPr>
          <w:p w14:paraId="16B2BA7D"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U5000 – Y983</w:t>
            </w:r>
          </w:p>
        </w:tc>
        <w:tc>
          <w:tcPr>
            <w:tcW w:w="1448" w:type="dxa"/>
            <w:tcBorders>
              <w:top w:val="none" w:sz="0" w:space="0" w:color="auto"/>
              <w:bottom w:val="none" w:sz="0" w:space="0" w:color="auto"/>
            </w:tcBorders>
          </w:tcPr>
          <w:p w14:paraId="61A8FCB0"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3,090</w:t>
            </w:r>
          </w:p>
        </w:tc>
        <w:tc>
          <w:tcPr>
            <w:tcW w:w="1366" w:type="dxa"/>
            <w:tcBorders>
              <w:top w:val="none" w:sz="0" w:space="0" w:color="auto"/>
              <w:bottom w:val="none" w:sz="0" w:space="0" w:color="auto"/>
              <w:right w:val="none" w:sz="0" w:space="0" w:color="auto"/>
            </w:tcBorders>
          </w:tcPr>
          <w:p w14:paraId="2AF2DD61" w14:textId="77777777" w:rsidR="002017D8" w:rsidRDefault="00062C4D" w:rsidP="00A1599C">
            <w:pPr>
              <w:jc w:val="center"/>
              <w:cnfStyle w:val="000000100000" w:firstRow="0" w:lastRow="0" w:firstColumn="0" w:lastColumn="0" w:oddVBand="0" w:evenVBand="0" w:oddHBand="1" w:evenHBand="0" w:firstRowFirstColumn="0" w:firstRowLastColumn="0" w:lastRowFirstColumn="0" w:lastRowLastColumn="0"/>
            </w:pPr>
            <w:r>
              <w:t>3,105</w:t>
            </w:r>
          </w:p>
        </w:tc>
      </w:tr>
      <w:tr w:rsidR="002017D8" w14:paraId="536BE339" w14:textId="77777777" w:rsidTr="00604F90">
        <w:tc>
          <w:tcPr>
            <w:cnfStyle w:val="001000000000" w:firstRow="0" w:lastRow="0" w:firstColumn="1" w:lastColumn="0" w:oddVBand="0" w:evenVBand="0" w:oddHBand="0" w:evenHBand="0" w:firstRowFirstColumn="0" w:firstRowLastColumn="0" w:lastRowFirstColumn="0" w:lastRowLastColumn="0"/>
            <w:tcW w:w="3679" w:type="dxa"/>
          </w:tcPr>
          <w:p w14:paraId="6D930CAD" w14:textId="77777777" w:rsidR="002017D8" w:rsidRDefault="00E07B7B" w:rsidP="00A1599C">
            <w:r>
              <w:t>M: Morphology</w:t>
            </w:r>
          </w:p>
        </w:tc>
        <w:tc>
          <w:tcPr>
            <w:tcW w:w="2427" w:type="dxa"/>
          </w:tcPr>
          <w:p w14:paraId="3D5A405C" w14:textId="77777777"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M8000 – M9992</w:t>
            </w:r>
          </w:p>
        </w:tc>
        <w:tc>
          <w:tcPr>
            <w:tcW w:w="1448" w:type="dxa"/>
          </w:tcPr>
          <w:p w14:paraId="4A63D879" w14:textId="77777777"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7</w:t>
            </w:r>
            <w:r w:rsidR="00062C4D">
              <w:t>6</w:t>
            </w:r>
            <w:r>
              <w:t>4</w:t>
            </w:r>
          </w:p>
        </w:tc>
        <w:tc>
          <w:tcPr>
            <w:tcW w:w="1366" w:type="dxa"/>
          </w:tcPr>
          <w:p w14:paraId="737465A2" w14:textId="77777777" w:rsidR="002017D8" w:rsidRDefault="00062C4D" w:rsidP="00A1599C">
            <w:pPr>
              <w:jc w:val="center"/>
              <w:cnfStyle w:val="000000000000" w:firstRow="0" w:lastRow="0" w:firstColumn="0" w:lastColumn="0" w:oddVBand="0" w:evenVBand="0" w:oddHBand="0" w:evenHBand="0" w:firstRowFirstColumn="0" w:firstRowLastColumn="0" w:lastRowFirstColumn="0" w:lastRowLastColumn="0"/>
            </w:pPr>
            <w:r>
              <w:t>798</w:t>
            </w:r>
          </w:p>
        </w:tc>
      </w:tr>
      <w:tr w:rsidR="002017D8" w14:paraId="71931157" w14:textId="77777777"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14:paraId="6CF8E6C8" w14:textId="77777777" w:rsidR="002017D8" w:rsidRDefault="00E07B7B" w:rsidP="00A1599C">
            <w:r>
              <w:t>O: Operations and Procedures</w:t>
            </w:r>
          </w:p>
        </w:tc>
        <w:tc>
          <w:tcPr>
            <w:tcW w:w="2427" w:type="dxa"/>
            <w:tcBorders>
              <w:top w:val="none" w:sz="0" w:space="0" w:color="auto"/>
              <w:bottom w:val="none" w:sz="0" w:space="0" w:color="auto"/>
            </w:tcBorders>
          </w:tcPr>
          <w:p w14:paraId="23BA8822"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11000-00 – 97986-00</w:t>
            </w:r>
          </w:p>
        </w:tc>
        <w:tc>
          <w:tcPr>
            <w:tcW w:w="1448" w:type="dxa"/>
            <w:tcBorders>
              <w:top w:val="none" w:sz="0" w:space="0" w:color="auto"/>
              <w:bottom w:val="none" w:sz="0" w:space="0" w:color="auto"/>
            </w:tcBorders>
          </w:tcPr>
          <w:p w14:paraId="46055565"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6,283</w:t>
            </w:r>
          </w:p>
        </w:tc>
        <w:tc>
          <w:tcPr>
            <w:tcW w:w="1366" w:type="dxa"/>
            <w:tcBorders>
              <w:top w:val="none" w:sz="0" w:space="0" w:color="auto"/>
              <w:bottom w:val="none" w:sz="0" w:space="0" w:color="auto"/>
              <w:right w:val="none" w:sz="0" w:space="0" w:color="auto"/>
            </w:tcBorders>
          </w:tcPr>
          <w:p w14:paraId="55A9E3C0" w14:textId="77777777" w:rsidR="002017D8" w:rsidRDefault="00062C4D" w:rsidP="00A1599C">
            <w:pPr>
              <w:jc w:val="center"/>
              <w:cnfStyle w:val="000000100000" w:firstRow="0" w:lastRow="0" w:firstColumn="0" w:lastColumn="0" w:oddVBand="0" w:evenVBand="0" w:oddHBand="1" w:evenHBand="0" w:firstRowFirstColumn="0" w:firstRowLastColumn="0" w:lastRowFirstColumn="0" w:lastRowLastColumn="0"/>
            </w:pPr>
            <w:r>
              <w:t>6,362</w:t>
            </w:r>
          </w:p>
        </w:tc>
      </w:tr>
      <w:tr w:rsidR="002017D8" w14:paraId="6CCA7758" w14:textId="77777777" w:rsidTr="00604F90">
        <w:tc>
          <w:tcPr>
            <w:cnfStyle w:val="001000000000" w:firstRow="0" w:lastRow="0" w:firstColumn="1" w:lastColumn="0" w:oddVBand="0" w:evenVBand="0" w:oddHBand="0" w:evenHBand="0" w:firstRowFirstColumn="0" w:firstRowLastColumn="0" w:lastRowFirstColumn="0" w:lastRowLastColumn="0"/>
            <w:tcW w:w="3679" w:type="dxa"/>
          </w:tcPr>
          <w:p w14:paraId="320D3995" w14:textId="77777777" w:rsidR="002017D8" w:rsidRDefault="00E07B7B" w:rsidP="00A1599C">
            <w:r>
              <w:t>V-Z: Supplementary Codes</w:t>
            </w:r>
          </w:p>
        </w:tc>
        <w:tc>
          <w:tcPr>
            <w:tcW w:w="2427" w:type="dxa"/>
          </w:tcPr>
          <w:p w14:paraId="4066D016" w14:textId="77777777"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Z000 – Z999</w:t>
            </w:r>
          </w:p>
        </w:tc>
        <w:tc>
          <w:tcPr>
            <w:tcW w:w="1448" w:type="dxa"/>
          </w:tcPr>
          <w:p w14:paraId="4349B65B" w14:textId="77777777" w:rsidR="002017D8" w:rsidRDefault="00E07B7B" w:rsidP="00A1599C">
            <w:pPr>
              <w:jc w:val="center"/>
              <w:cnfStyle w:val="000000000000" w:firstRow="0" w:lastRow="0" w:firstColumn="0" w:lastColumn="0" w:oddVBand="0" w:evenVBand="0" w:oddHBand="0" w:evenHBand="0" w:firstRowFirstColumn="0" w:firstRowLastColumn="0" w:lastRowFirstColumn="0" w:lastRowLastColumn="0"/>
            </w:pPr>
            <w:r>
              <w:t>689</w:t>
            </w:r>
          </w:p>
        </w:tc>
        <w:tc>
          <w:tcPr>
            <w:tcW w:w="1366" w:type="dxa"/>
          </w:tcPr>
          <w:p w14:paraId="7DE59D24" w14:textId="77777777" w:rsidR="002017D8" w:rsidRDefault="00062C4D" w:rsidP="00A1599C">
            <w:pPr>
              <w:jc w:val="center"/>
              <w:cnfStyle w:val="000000000000" w:firstRow="0" w:lastRow="0" w:firstColumn="0" w:lastColumn="0" w:oddVBand="0" w:evenVBand="0" w:oddHBand="0" w:evenHBand="0" w:firstRowFirstColumn="0" w:firstRowLastColumn="0" w:lastRowFirstColumn="0" w:lastRowLastColumn="0"/>
            </w:pPr>
            <w:r>
              <w:t>702</w:t>
            </w:r>
          </w:p>
        </w:tc>
      </w:tr>
      <w:tr w:rsidR="002017D8" w14:paraId="3652F48C" w14:textId="77777777" w:rsidTr="00604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tcBorders>
          </w:tcPr>
          <w:p w14:paraId="2E51622E" w14:textId="77777777" w:rsidR="002017D8" w:rsidRDefault="00E07B7B" w:rsidP="00A1599C">
            <w:r>
              <w:t>Total Codes</w:t>
            </w:r>
          </w:p>
        </w:tc>
        <w:tc>
          <w:tcPr>
            <w:tcW w:w="2427" w:type="dxa"/>
            <w:tcBorders>
              <w:top w:val="none" w:sz="0" w:space="0" w:color="auto"/>
              <w:bottom w:val="none" w:sz="0" w:space="0" w:color="auto"/>
            </w:tcBorders>
          </w:tcPr>
          <w:p w14:paraId="03305841" w14:textId="77777777" w:rsidR="002017D8" w:rsidRDefault="002017D8" w:rsidP="00A1599C">
            <w:pPr>
              <w:jc w:val="center"/>
              <w:cnfStyle w:val="000000100000" w:firstRow="0" w:lastRow="0" w:firstColumn="0" w:lastColumn="0" w:oddVBand="0" w:evenVBand="0" w:oddHBand="1" w:evenHBand="0" w:firstRowFirstColumn="0" w:firstRowLastColumn="0" w:lastRowFirstColumn="0" w:lastRowLastColumn="0"/>
            </w:pPr>
          </w:p>
        </w:tc>
        <w:tc>
          <w:tcPr>
            <w:tcW w:w="1448" w:type="dxa"/>
            <w:tcBorders>
              <w:top w:val="none" w:sz="0" w:space="0" w:color="auto"/>
              <w:bottom w:val="none" w:sz="0" w:space="0" w:color="auto"/>
            </w:tcBorders>
          </w:tcPr>
          <w:p w14:paraId="70B66B69" w14:textId="77777777" w:rsidR="002017D8" w:rsidRDefault="00E07B7B" w:rsidP="00A1599C">
            <w:pPr>
              <w:jc w:val="center"/>
              <w:cnfStyle w:val="000000100000" w:firstRow="0" w:lastRow="0" w:firstColumn="0" w:lastColumn="0" w:oddVBand="0" w:evenVBand="0" w:oddHBand="1" w:evenHBand="0" w:firstRowFirstColumn="0" w:firstRowLastColumn="0" w:lastRowFirstColumn="0" w:lastRowLastColumn="0"/>
            </w:pPr>
            <w:r>
              <w:t>23,321</w:t>
            </w:r>
          </w:p>
        </w:tc>
        <w:tc>
          <w:tcPr>
            <w:tcW w:w="1366" w:type="dxa"/>
            <w:tcBorders>
              <w:top w:val="none" w:sz="0" w:space="0" w:color="auto"/>
              <w:bottom w:val="none" w:sz="0" w:space="0" w:color="auto"/>
              <w:right w:val="none" w:sz="0" w:space="0" w:color="auto"/>
            </w:tcBorders>
          </w:tcPr>
          <w:p w14:paraId="21438506" w14:textId="77777777" w:rsidR="002017D8" w:rsidRDefault="00062C4D" w:rsidP="00A1599C">
            <w:pPr>
              <w:jc w:val="center"/>
              <w:cnfStyle w:val="000000100000" w:firstRow="0" w:lastRow="0" w:firstColumn="0" w:lastColumn="0" w:oddVBand="0" w:evenVBand="0" w:oddHBand="1" w:evenHBand="0" w:firstRowFirstColumn="0" w:firstRowLastColumn="0" w:lastRowFirstColumn="0" w:lastRowLastColumn="0"/>
            </w:pPr>
            <w:r>
              <w:t>23,868</w:t>
            </w:r>
          </w:p>
        </w:tc>
      </w:tr>
    </w:tbl>
    <w:p w14:paraId="277C6FA2" w14:textId="77777777" w:rsidR="00167A0D" w:rsidRDefault="00062C4D" w:rsidP="00D428BA">
      <w:pPr>
        <w:spacing w:before="200"/>
      </w:pPr>
      <w:r w:rsidRPr="007268D1">
        <w:t xml:space="preserve">This coding classification is split into chapters based on </w:t>
      </w:r>
      <w:r w:rsidR="000C6EEA" w:rsidRPr="007268D1">
        <w:t xml:space="preserve">the structure of the WHO ICD-10. Each chapter is further subdivided into </w:t>
      </w:r>
      <w:r w:rsidR="00167A0D" w:rsidRPr="007268D1">
        <w:t xml:space="preserve">homogeneous </w:t>
      </w:r>
      <w:r w:rsidR="008646AD" w:rsidRPr="007268D1">
        <w:t>three</w:t>
      </w:r>
      <w:r w:rsidR="000C6EEA" w:rsidRPr="007268D1">
        <w:t xml:space="preserve"> character blocks</w:t>
      </w:r>
      <w:r w:rsidR="00167A0D" w:rsidRPr="007268D1">
        <w:t>, with further digits available for greater refinement.</w:t>
      </w:r>
    </w:p>
    <w:p w14:paraId="6BD36C58" w14:textId="77777777" w:rsidR="002017D8" w:rsidRDefault="00167A0D" w:rsidP="00A1599C">
      <w:r>
        <w:t xml:space="preserve">A set of </w:t>
      </w:r>
      <w:r w:rsidR="00925DE7">
        <w:t>c</w:t>
      </w:r>
      <w:r>
        <w:t xml:space="preserve">oding </w:t>
      </w:r>
      <w:r w:rsidR="00925DE7">
        <w:t>s</w:t>
      </w:r>
      <w:r>
        <w:t>tandards forms part of each edition of the coding classification</w:t>
      </w:r>
      <w:r w:rsidR="000C6EEA">
        <w:t>.</w:t>
      </w:r>
      <w:r>
        <w:t xml:space="preserve"> Their aim is to promote a sound coding convention</w:t>
      </w:r>
      <w:r w:rsidR="00381F0A">
        <w:t xml:space="preserve"> and promote consistency among clinically similar admitted patient events.</w:t>
      </w:r>
    </w:p>
    <w:p w14:paraId="28F06BA6" w14:textId="77777777" w:rsidR="00452DA6" w:rsidRDefault="001A6CCA" w:rsidP="00A1599C">
      <w:pPr>
        <w:pStyle w:val="Heading3"/>
      </w:pPr>
      <w:r>
        <w:t>Principal Diagnosis</w:t>
      </w:r>
    </w:p>
    <w:p w14:paraId="2A5E8690" w14:textId="77777777" w:rsidR="001A6CCA" w:rsidRDefault="00E42E86" w:rsidP="00A1599C">
      <w:r>
        <w:t>This is meant to reflect the main reason for the patient’s admission to a healthcare facility. More formally it is:</w:t>
      </w:r>
    </w:p>
    <w:p w14:paraId="075D1231" w14:textId="77777777" w:rsidR="00E42E86" w:rsidRDefault="00E42E86" w:rsidP="00A1599C">
      <w:pPr>
        <w:rPr>
          <w:i/>
        </w:rPr>
      </w:pPr>
      <w:r w:rsidRPr="007268D1">
        <w:rPr>
          <w:i/>
        </w:rPr>
        <w:t>“The diagnosis established after study to be chiefly responsible for occasioning an episode of admitted patient care, an episode of residential care, or an attendance at the healthcare establishment, as represented by a code.”</w:t>
      </w:r>
      <w:r w:rsidR="00B50C5A" w:rsidRPr="007268D1">
        <w:rPr>
          <w:rStyle w:val="FootnoteReference"/>
          <w:rFonts w:ascii="Arial" w:hAnsi="Arial" w:cs="Arial"/>
          <w:i/>
        </w:rPr>
        <w:footnoteReference w:id="3"/>
      </w:r>
    </w:p>
    <w:p w14:paraId="188F870B" w14:textId="77777777" w:rsidR="00FA676E" w:rsidRPr="00FA676E" w:rsidRDefault="00FA676E" w:rsidP="005D7284">
      <w:pPr>
        <w:pStyle w:val="Examplebody"/>
        <w:ind w:left="0" w:right="0" w:firstLine="0"/>
        <w:rPr>
          <w:rFonts w:asciiTheme="minorHAnsi" w:hAnsiTheme="minorHAnsi"/>
          <w:b/>
          <w:lang w:val="en-AU"/>
        </w:rPr>
      </w:pPr>
      <w:r w:rsidRPr="00FA676E">
        <w:rPr>
          <w:rFonts w:asciiTheme="minorHAnsi" w:hAnsiTheme="minorHAnsi"/>
          <w:b/>
          <w:lang w:val="en-AU"/>
        </w:rPr>
        <w:t>Example:</w:t>
      </w:r>
    </w:p>
    <w:p w14:paraId="553C6F09" w14:textId="77777777" w:rsidR="005D7284" w:rsidRPr="00FA676E" w:rsidRDefault="005D7284" w:rsidP="005D7284">
      <w:pPr>
        <w:pStyle w:val="Examplebody"/>
        <w:ind w:left="0" w:right="0" w:firstLine="0"/>
        <w:rPr>
          <w:rFonts w:asciiTheme="minorHAnsi" w:hAnsiTheme="minorHAnsi"/>
          <w:lang w:val="en-AU"/>
        </w:rPr>
      </w:pPr>
      <w:r w:rsidRPr="00FA676E">
        <w:rPr>
          <w:rFonts w:asciiTheme="minorHAnsi" w:hAnsiTheme="minorHAnsi"/>
          <w:lang w:val="en-AU"/>
        </w:rPr>
        <w:t>Patient presents with seizures. The patient had not previously been treated for seizures. CT scan revealed a large brain tumour.</w:t>
      </w:r>
    </w:p>
    <w:p w14:paraId="0A7C9566" w14:textId="77777777" w:rsidR="005D7284" w:rsidRPr="00FA676E" w:rsidRDefault="00FA676E" w:rsidP="00FA676E">
      <w:pPr>
        <w:pStyle w:val="Examplebodyspacebefore"/>
        <w:tabs>
          <w:tab w:val="left" w:pos="2127"/>
        </w:tabs>
        <w:ind w:left="0" w:right="0"/>
        <w:rPr>
          <w:rFonts w:asciiTheme="minorHAnsi" w:hAnsiTheme="minorHAnsi"/>
          <w:lang w:val="en-AU"/>
        </w:rPr>
      </w:pPr>
      <w:r>
        <w:rPr>
          <w:rFonts w:asciiTheme="minorHAnsi" w:hAnsiTheme="minorHAnsi"/>
          <w:lang w:val="fr-FR"/>
        </w:rPr>
        <w:t>Principal diagnosis:        </w:t>
      </w:r>
      <w:r w:rsidR="005D7284" w:rsidRPr="00FA676E">
        <w:rPr>
          <w:rFonts w:asciiTheme="minorHAnsi" w:hAnsiTheme="minorHAnsi"/>
          <w:lang w:val="fr-FR"/>
        </w:rPr>
        <w:t>Brain tumour</w:t>
      </w:r>
    </w:p>
    <w:p w14:paraId="687C1776" w14:textId="77777777" w:rsidR="005D7284" w:rsidRPr="00FA676E" w:rsidRDefault="00FA676E" w:rsidP="00FA676E">
      <w:pPr>
        <w:pStyle w:val="Examplebody"/>
        <w:tabs>
          <w:tab w:val="left" w:pos="2127"/>
        </w:tabs>
        <w:ind w:left="0" w:right="0" w:firstLine="0"/>
        <w:rPr>
          <w:rFonts w:asciiTheme="minorHAnsi" w:hAnsiTheme="minorHAnsi"/>
          <w:lang w:val="en-AU"/>
        </w:rPr>
      </w:pPr>
      <w:r>
        <w:rPr>
          <w:rFonts w:asciiTheme="minorHAnsi" w:hAnsiTheme="minorHAnsi"/>
          <w:lang w:val="en-AU"/>
        </w:rPr>
        <w:t>Additional diagnosis:     </w:t>
      </w:r>
      <w:r w:rsidR="005D7284" w:rsidRPr="00FA676E">
        <w:rPr>
          <w:rFonts w:asciiTheme="minorHAnsi" w:hAnsiTheme="minorHAnsi"/>
          <w:lang w:val="en-AU"/>
        </w:rPr>
        <w:t>Nil</w:t>
      </w:r>
    </w:p>
    <w:p w14:paraId="7B9CE68D" w14:textId="77777777" w:rsidR="00D876BB" w:rsidRDefault="00D876BB" w:rsidP="00A1599C">
      <w:pPr>
        <w:pStyle w:val="Heading3"/>
      </w:pPr>
      <w:r>
        <w:t>Additional Diagnoses</w:t>
      </w:r>
    </w:p>
    <w:p w14:paraId="4D45A383" w14:textId="77777777" w:rsidR="00B0634F" w:rsidRDefault="00D876BB" w:rsidP="00F740C7">
      <w:pPr>
        <w:spacing w:after="120"/>
      </w:pPr>
      <w:r w:rsidRPr="00647752">
        <w:t xml:space="preserve">An additional diagnosis </w:t>
      </w:r>
      <w:r w:rsidR="00B0634F">
        <w:t>is defined as:</w:t>
      </w:r>
    </w:p>
    <w:p w14:paraId="039EAED6" w14:textId="77777777" w:rsidR="00D876BB" w:rsidRPr="00B0634F" w:rsidRDefault="00D876BB" w:rsidP="00A1599C">
      <w:pPr>
        <w:rPr>
          <w:i/>
        </w:rPr>
      </w:pPr>
      <w:r w:rsidRPr="00B0634F">
        <w:rPr>
          <w:i/>
        </w:rPr>
        <w:t xml:space="preserve"> </w:t>
      </w:r>
      <w:r w:rsidR="00B0634F" w:rsidRPr="00B0634F">
        <w:rPr>
          <w:i/>
        </w:rPr>
        <w:t>“</w:t>
      </w:r>
      <w:r w:rsidRPr="00B0634F">
        <w:rPr>
          <w:i/>
        </w:rPr>
        <w:t>a condition or complaint either coexist</w:t>
      </w:r>
      <w:r w:rsidR="00B0634F" w:rsidRPr="00B0634F">
        <w:rPr>
          <w:i/>
        </w:rPr>
        <w:t>ing</w:t>
      </w:r>
      <w:r w:rsidRPr="00B0634F">
        <w:rPr>
          <w:i/>
        </w:rPr>
        <w:t xml:space="preserve"> with the principal diagnosis or aris</w:t>
      </w:r>
      <w:r w:rsidR="00B0634F" w:rsidRPr="00B0634F">
        <w:rPr>
          <w:i/>
        </w:rPr>
        <w:t>ing</w:t>
      </w:r>
      <w:r w:rsidRPr="00B0634F">
        <w:rPr>
          <w:i/>
        </w:rPr>
        <w:t xml:space="preserve"> during the episode of admitted patient care, </w:t>
      </w:r>
      <w:r w:rsidR="00B0634F" w:rsidRPr="00B0634F">
        <w:rPr>
          <w:i/>
        </w:rPr>
        <w:t xml:space="preserve">episode of residential care or attendance to a health care establishment, </w:t>
      </w:r>
      <w:r w:rsidRPr="00B0634F">
        <w:rPr>
          <w:i/>
        </w:rPr>
        <w:t xml:space="preserve"> as represented by a code.</w:t>
      </w:r>
      <w:r w:rsidR="00B0634F" w:rsidRPr="00B0634F">
        <w:rPr>
          <w:i/>
        </w:rPr>
        <w:t>”</w:t>
      </w:r>
      <w:r w:rsidRPr="00B0634F">
        <w:rPr>
          <w:i/>
        </w:rPr>
        <w:t xml:space="preserve"> </w:t>
      </w:r>
    </w:p>
    <w:p w14:paraId="79A5FDD6" w14:textId="77777777" w:rsidR="00D876BB" w:rsidRPr="00B0634F" w:rsidRDefault="00B0634F" w:rsidP="00A1599C">
      <w:pPr>
        <w:rPr>
          <w:i/>
        </w:rPr>
      </w:pPr>
      <w:r w:rsidRPr="00B0634F">
        <w:rPr>
          <w:i/>
        </w:rPr>
        <w:t>“</w:t>
      </w:r>
      <w:r w:rsidR="00D876BB" w:rsidRPr="00B0634F">
        <w:rPr>
          <w:i/>
        </w:rPr>
        <w:t xml:space="preserve">For coding purposes, </w:t>
      </w:r>
      <w:r w:rsidRPr="00B0634F">
        <w:rPr>
          <w:i/>
        </w:rPr>
        <w:t>additional dia</w:t>
      </w:r>
      <w:r w:rsidR="00FD5C4E">
        <w:rPr>
          <w:i/>
        </w:rPr>
        <w:t>gnoses should be interpreted as</w:t>
      </w:r>
      <w:r w:rsidR="00D876BB" w:rsidRPr="00B0634F">
        <w:rPr>
          <w:i/>
        </w:rPr>
        <w:t xml:space="preserve"> conditions that affect management </w:t>
      </w:r>
      <w:r w:rsidRPr="00B0634F">
        <w:rPr>
          <w:i/>
        </w:rPr>
        <w:t xml:space="preserve">in terms of requiring any of the following: </w:t>
      </w:r>
    </w:p>
    <w:p w14:paraId="7008007D" w14:textId="77777777" w:rsidR="00D876BB" w:rsidRPr="00B0634F" w:rsidRDefault="00D876BB" w:rsidP="00A1599C">
      <w:pPr>
        <w:pStyle w:val="ListParagraph"/>
        <w:numPr>
          <w:ilvl w:val="0"/>
          <w:numId w:val="12"/>
        </w:numPr>
        <w:rPr>
          <w:i/>
        </w:rPr>
      </w:pPr>
      <w:r w:rsidRPr="00B0634F">
        <w:rPr>
          <w:i/>
        </w:rPr>
        <w:t>commencement, alteration, or adjustment of therapeutic treatment</w:t>
      </w:r>
    </w:p>
    <w:p w14:paraId="7E079E16" w14:textId="77777777" w:rsidR="00D876BB" w:rsidRPr="00B0634F" w:rsidRDefault="00D876BB" w:rsidP="00A1599C">
      <w:pPr>
        <w:pStyle w:val="ListParagraph"/>
        <w:numPr>
          <w:ilvl w:val="0"/>
          <w:numId w:val="12"/>
        </w:numPr>
        <w:rPr>
          <w:i/>
        </w:rPr>
      </w:pPr>
      <w:r w:rsidRPr="00B0634F">
        <w:rPr>
          <w:i/>
        </w:rPr>
        <w:t>diagnostic procedures</w:t>
      </w:r>
    </w:p>
    <w:p w14:paraId="0548BABD" w14:textId="77777777" w:rsidR="00D876BB" w:rsidRPr="00B0634F" w:rsidRDefault="00D876BB" w:rsidP="00A1599C">
      <w:pPr>
        <w:pStyle w:val="ListParagraph"/>
        <w:numPr>
          <w:ilvl w:val="0"/>
          <w:numId w:val="12"/>
        </w:numPr>
        <w:rPr>
          <w:i/>
        </w:rPr>
      </w:pPr>
      <w:r w:rsidRPr="00B0634F">
        <w:rPr>
          <w:i/>
        </w:rPr>
        <w:t>increased clinical care</w:t>
      </w:r>
      <w:r w:rsidR="00B0634F" w:rsidRPr="00B0634F">
        <w:rPr>
          <w:i/>
        </w:rPr>
        <w:t xml:space="preserve"> and/</w:t>
      </w:r>
      <w:r w:rsidRPr="00B0634F">
        <w:rPr>
          <w:i/>
        </w:rPr>
        <w:t>or monitoring.</w:t>
      </w:r>
      <w:r w:rsidR="00B0634F" w:rsidRPr="00B0634F">
        <w:rPr>
          <w:i/>
        </w:rPr>
        <w:t>”</w:t>
      </w:r>
      <w:r w:rsidR="00925DE7">
        <w:rPr>
          <w:rStyle w:val="FootnoteReference"/>
          <w:i/>
        </w:rPr>
        <w:footnoteReference w:id="4"/>
      </w:r>
    </w:p>
    <w:p w14:paraId="5230AB2B" w14:textId="77777777" w:rsidR="00D876BB" w:rsidRDefault="007E3879" w:rsidP="00A1599C">
      <w:r>
        <w:lastRenderedPageBreak/>
        <w:t>A</w:t>
      </w:r>
      <w:r w:rsidR="00D876BB">
        <w:t xml:space="preserve"> patient’s stay may also be longer than is usual when complications or comorbidities (CCs) are present.</w:t>
      </w:r>
      <w:r>
        <w:t xml:space="preserve"> These CCs are coded as additional diagnoses when they meet the ACS 0002 criteria</w:t>
      </w:r>
      <w:r w:rsidR="00F740C7">
        <w:t>.</w:t>
      </w:r>
      <w:r>
        <w:t xml:space="preserve"> </w:t>
      </w:r>
    </w:p>
    <w:p w14:paraId="3023678A" w14:textId="77777777" w:rsidR="00FA676E" w:rsidRPr="00FA676E" w:rsidRDefault="00FA676E" w:rsidP="00FA676E">
      <w:pPr>
        <w:pStyle w:val="Examplebody"/>
        <w:ind w:left="0" w:right="0" w:firstLine="0"/>
        <w:rPr>
          <w:rFonts w:asciiTheme="minorHAnsi" w:hAnsiTheme="minorHAnsi"/>
          <w:b/>
          <w:lang w:val="en-AU"/>
        </w:rPr>
      </w:pPr>
      <w:r w:rsidRPr="00FA676E">
        <w:rPr>
          <w:rFonts w:asciiTheme="minorHAnsi" w:hAnsiTheme="minorHAnsi"/>
          <w:b/>
          <w:lang w:val="en-AU"/>
        </w:rPr>
        <w:t>Example:</w:t>
      </w:r>
    </w:p>
    <w:p w14:paraId="5947E795" w14:textId="77777777" w:rsidR="00FA676E" w:rsidRPr="00FA676E" w:rsidRDefault="00FA676E" w:rsidP="00FA676E">
      <w:pPr>
        <w:shd w:val="clear" w:color="auto" w:fill="BFBFBF"/>
        <w:spacing w:after="0" w:line="240" w:lineRule="auto"/>
        <w:rPr>
          <w:rFonts w:cs="Times New Roman"/>
          <w:lang w:val="en-AU"/>
        </w:rPr>
      </w:pPr>
      <w:r w:rsidRPr="00FA676E">
        <w:rPr>
          <w:rFonts w:cs="Times New Roman"/>
          <w:lang w:val="en-AU"/>
        </w:rPr>
        <w:t>Patient is admitted for a fractured hip and during the episode of care develops ascites due to known underlying liver disease. The ascites is drained.</w:t>
      </w:r>
    </w:p>
    <w:p w14:paraId="368C1FCA" w14:textId="77777777" w:rsidR="00FA676E" w:rsidRPr="00FA676E" w:rsidRDefault="00FA676E" w:rsidP="00FA676E">
      <w:pPr>
        <w:shd w:val="clear" w:color="auto" w:fill="BFBFBF"/>
        <w:spacing w:after="0" w:line="240" w:lineRule="auto"/>
        <w:rPr>
          <w:rFonts w:cs="Times New Roman"/>
          <w:lang w:val="en-AU"/>
        </w:rPr>
      </w:pPr>
    </w:p>
    <w:p w14:paraId="38AC47FF" w14:textId="77777777" w:rsidR="00FA676E" w:rsidRPr="00FA676E" w:rsidRDefault="00FA676E" w:rsidP="00FA676E">
      <w:pPr>
        <w:shd w:val="clear" w:color="auto" w:fill="BFBFBF"/>
        <w:tabs>
          <w:tab w:val="left" w:pos="2127"/>
        </w:tabs>
        <w:spacing w:after="0" w:line="240" w:lineRule="auto"/>
        <w:rPr>
          <w:rFonts w:cs="Times New Roman"/>
          <w:lang w:val="en-AU"/>
        </w:rPr>
      </w:pPr>
      <w:r>
        <w:rPr>
          <w:rFonts w:cs="Times New Roman"/>
          <w:lang w:val="en-AU"/>
        </w:rPr>
        <w:t>Principal diagnosis:    </w:t>
      </w:r>
      <w:r>
        <w:rPr>
          <w:rFonts w:cs="Times New Roman"/>
          <w:lang w:val="en-AU"/>
        </w:rPr>
        <w:tab/>
      </w:r>
      <w:r w:rsidRPr="00FA676E">
        <w:rPr>
          <w:rFonts w:cs="Times New Roman"/>
          <w:lang w:val="en-AU"/>
        </w:rPr>
        <w:t>Fractured hip</w:t>
      </w:r>
    </w:p>
    <w:p w14:paraId="4452E3A5" w14:textId="77777777" w:rsidR="00FA676E" w:rsidRPr="00FA676E" w:rsidRDefault="00FA676E" w:rsidP="00FA676E">
      <w:pPr>
        <w:shd w:val="clear" w:color="auto" w:fill="BFBFBF"/>
        <w:tabs>
          <w:tab w:val="left" w:pos="2127"/>
        </w:tabs>
        <w:spacing w:after="0" w:line="240" w:lineRule="auto"/>
        <w:rPr>
          <w:rFonts w:cs="Times New Roman"/>
          <w:lang w:val="en-AU"/>
        </w:rPr>
      </w:pPr>
      <w:r w:rsidRPr="00FA676E">
        <w:rPr>
          <w:rFonts w:cs="Times New Roman"/>
          <w:lang w:val="en-AU"/>
        </w:rPr>
        <w:t>Additional diagnoses: </w:t>
      </w:r>
      <w:r>
        <w:rPr>
          <w:rFonts w:cs="Times New Roman"/>
          <w:lang w:val="en-AU"/>
        </w:rPr>
        <w:tab/>
      </w:r>
      <w:r w:rsidRPr="00FA676E">
        <w:rPr>
          <w:rFonts w:cs="Times New Roman"/>
          <w:lang w:val="en-AU"/>
        </w:rPr>
        <w:t>Ascites</w:t>
      </w:r>
    </w:p>
    <w:p w14:paraId="3AF3FAE5" w14:textId="77777777" w:rsidR="00FA676E" w:rsidRPr="00FA676E" w:rsidRDefault="00FA676E" w:rsidP="00FA676E">
      <w:pPr>
        <w:shd w:val="clear" w:color="auto" w:fill="BFBFBF"/>
        <w:tabs>
          <w:tab w:val="left" w:pos="2127"/>
        </w:tabs>
        <w:spacing w:after="0" w:line="240" w:lineRule="auto"/>
        <w:rPr>
          <w:rFonts w:cs="Times New Roman"/>
          <w:lang w:val="en-AU"/>
        </w:rPr>
      </w:pPr>
      <w:r w:rsidRPr="00FA676E">
        <w:rPr>
          <w:rFonts w:cs="Times New Roman"/>
          <w:lang w:val="en-AU"/>
        </w:rPr>
        <w:t>                                  </w:t>
      </w:r>
      <w:r>
        <w:rPr>
          <w:rFonts w:cs="Times New Roman"/>
          <w:lang w:val="en-AU"/>
        </w:rPr>
        <w:t>    </w:t>
      </w:r>
      <w:r>
        <w:rPr>
          <w:rFonts w:cs="Times New Roman"/>
          <w:lang w:val="en-AU"/>
        </w:rPr>
        <w:tab/>
      </w:r>
      <w:r w:rsidRPr="00FA676E">
        <w:rPr>
          <w:rFonts w:cs="Times New Roman"/>
          <w:lang w:val="en-AU"/>
        </w:rPr>
        <w:t>Liver disease</w:t>
      </w:r>
    </w:p>
    <w:p w14:paraId="3CED07BF" w14:textId="77777777" w:rsidR="00FA676E" w:rsidRPr="00FA676E" w:rsidRDefault="00FA676E" w:rsidP="00FA676E">
      <w:pPr>
        <w:shd w:val="clear" w:color="auto" w:fill="BFBFBF"/>
        <w:tabs>
          <w:tab w:val="left" w:pos="2127"/>
        </w:tabs>
        <w:spacing w:after="0" w:line="240" w:lineRule="auto"/>
        <w:rPr>
          <w:rFonts w:cs="Times New Roman"/>
          <w:lang w:val="en-AU"/>
        </w:rPr>
      </w:pPr>
      <w:r w:rsidRPr="00FA676E">
        <w:rPr>
          <w:rFonts w:cs="Times New Roman"/>
          <w:lang w:val="en-AU"/>
        </w:rPr>
        <w:t>Proc</w:t>
      </w:r>
      <w:r>
        <w:rPr>
          <w:rFonts w:cs="Times New Roman"/>
          <w:lang w:val="en-AU"/>
        </w:rPr>
        <w:t>edure:                </w:t>
      </w:r>
      <w:r>
        <w:rPr>
          <w:rFonts w:cs="Times New Roman"/>
          <w:lang w:val="en-AU"/>
        </w:rPr>
        <w:tab/>
      </w:r>
      <w:r w:rsidRPr="00FA676E">
        <w:rPr>
          <w:rFonts w:cs="Times New Roman"/>
          <w:lang w:val="en-AU"/>
        </w:rPr>
        <w:t>Drainage of ascites</w:t>
      </w:r>
    </w:p>
    <w:p w14:paraId="6C4EFB15" w14:textId="77777777" w:rsidR="00FA676E" w:rsidRPr="00FA676E" w:rsidRDefault="00FA676E" w:rsidP="00FA676E">
      <w:pPr>
        <w:spacing w:after="0" w:line="240" w:lineRule="auto"/>
        <w:rPr>
          <w:rFonts w:eastAsia="Times New Roman" w:cs="Times New Roman"/>
          <w:sz w:val="20"/>
          <w:szCs w:val="20"/>
          <w:lang w:val="en-AU" w:eastAsia="en-NZ"/>
        </w:rPr>
      </w:pPr>
    </w:p>
    <w:p w14:paraId="2D034685" w14:textId="77777777" w:rsidR="00E62102" w:rsidRDefault="00E62102" w:rsidP="00A1599C">
      <w:pPr>
        <w:pStyle w:val="Heading3"/>
      </w:pPr>
      <w:r>
        <w:t>Condition Onset Flag</w:t>
      </w:r>
      <w:r w:rsidR="00210D68">
        <w:t xml:space="preserve"> (COF)</w:t>
      </w:r>
    </w:p>
    <w:p w14:paraId="71B539C0" w14:textId="77777777" w:rsidR="002E3267" w:rsidRDefault="00B50C5A" w:rsidP="002E3267">
      <w:pPr>
        <w:spacing w:after="0"/>
      </w:pPr>
      <w:r w:rsidRPr="00647752">
        <w:t>Th</w:t>
      </w:r>
      <w:r w:rsidR="002E3267">
        <w:t xml:space="preserve">e condition onset flag (COF) </w:t>
      </w:r>
      <w:r w:rsidRPr="00647752">
        <w:t xml:space="preserve">provides a means of differentiating </w:t>
      </w:r>
      <w:r w:rsidR="002E3267">
        <w:t xml:space="preserve">those </w:t>
      </w:r>
      <w:r w:rsidRPr="00647752">
        <w:t xml:space="preserve">conditions </w:t>
      </w:r>
      <w:r w:rsidR="002E3267">
        <w:t xml:space="preserve">which </w:t>
      </w:r>
      <w:r w:rsidRPr="00647752">
        <w:t xml:space="preserve">arise during, </w:t>
      </w:r>
      <w:r w:rsidR="002E3267">
        <w:t xml:space="preserve">from those arising </w:t>
      </w:r>
      <w:r w:rsidRPr="00647752">
        <w:t>before</w:t>
      </w:r>
      <w:r w:rsidR="00BC7537" w:rsidRPr="00647752">
        <w:t>, an</w:t>
      </w:r>
      <w:r w:rsidRPr="00647752">
        <w:t xml:space="preserve"> admitted patient episode of care. </w:t>
      </w:r>
      <w:r w:rsidR="00BC7537" w:rsidRPr="00647752">
        <w:t>Th</w:t>
      </w:r>
      <w:r w:rsidR="002E3267">
        <w:t xml:space="preserve">e COF </w:t>
      </w:r>
      <w:r w:rsidR="00BC7537" w:rsidRPr="00647752">
        <w:t>is expected to help provide a better understanding of those</w:t>
      </w:r>
      <w:r w:rsidR="002E3267">
        <w:t xml:space="preserve"> conditions:</w:t>
      </w:r>
    </w:p>
    <w:p w14:paraId="507567FF" w14:textId="77777777" w:rsidR="002E3267" w:rsidRDefault="002E3267" w:rsidP="002E3267">
      <w:pPr>
        <w:pStyle w:val="ListParagraph"/>
        <w:numPr>
          <w:ilvl w:val="0"/>
          <w:numId w:val="29"/>
        </w:numPr>
        <w:spacing w:before="60"/>
        <w:ind w:left="765" w:hanging="357"/>
      </w:pPr>
      <w:r>
        <w:t xml:space="preserve">patients already have when entering the hospital </w:t>
      </w:r>
    </w:p>
    <w:p w14:paraId="4323752F" w14:textId="77777777" w:rsidR="002E3267" w:rsidRDefault="002E3267" w:rsidP="002E3267">
      <w:pPr>
        <w:pStyle w:val="ListParagraph"/>
        <w:numPr>
          <w:ilvl w:val="0"/>
          <w:numId w:val="29"/>
        </w:numPr>
        <w:spacing w:after="60"/>
        <w:ind w:left="765" w:hanging="357"/>
      </w:pPr>
      <w:r>
        <w:t>that arise during the episode of admitted patient care</w:t>
      </w:r>
    </w:p>
    <w:p w14:paraId="425353DB" w14:textId="77777777" w:rsidR="00B50C5A" w:rsidRPr="00647752" w:rsidRDefault="002E3267" w:rsidP="002E3267">
      <w:pPr>
        <w:ind w:left="50"/>
      </w:pPr>
      <w:r>
        <w:t xml:space="preserve">A better understanding of those </w:t>
      </w:r>
      <w:r w:rsidR="00BC7537" w:rsidRPr="00647752">
        <w:t xml:space="preserve">conditions arising during </w:t>
      </w:r>
      <w:r>
        <w:t xml:space="preserve">the </w:t>
      </w:r>
      <w:r w:rsidR="00BC7537" w:rsidRPr="00647752">
        <w:t xml:space="preserve">episode of admitted patient care </w:t>
      </w:r>
      <w:r w:rsidR="008B0879">
        <w:t>c</w:t>
      </w:r>
      <w:r w:rsidR="00BC7537" w:rsidRPr="00647752">
        <w:t xml:space="preserve">an inform prevention strategies in relation to complications of care. </w:t>
      </w:r>
      <w:r w:rsidR="00A63AC9">
        <w:t>The v</w:t>
      </w:r>
      <w:r w:rsidR="00B50C5A" w:rsidRPr="00647752">
        <w:t>alues</w:t>
      </w:r>
      <w:r>
        <w:t xml:space="preserve"> and definitions </w:t>
      </w:r>
      <w:r w:rsidRPr="00647752">
        <w:t>are</w:t>
      </w:r>
      <w:r w:rsidR="00B50C5A" w:rsidRPr="00647752">
        <w:t>:</w:t>
      </w:r>
    </w:p>
    <w:p w14:paraId="11C4D2DA" w14:textId="77777777" w:rsidR="002E3267" w:rsidRDefault="002E3267" w:rsidP="00A1599C">
      <w:r w:rsidRPr="002E3267">
        <w:rPr>
          <w:b/>
        </w:rPr>
        <w:t xml:space="preserve">COF </w:t>
      </w:r>
      <w:r w:rsidR="00B50C5A" w:rsidRPr="002E3267">
        <w:rPr>
          <w:b/>
        </w:rPr>
        <w:t>1</w:t>
      </w:r>
      <w:r w:rsidRPr="005D7284">
        <w:rPr>
          <w:b/>
        </w:rPr>
        <w:t>:</w:t>
      </w:r>
      <w:r>
        <w:t xml:space="preserve"> </w:t>
      </w:r>
      <w:r w:rsidRPr="00E875B5">
        <w:rPr>
          <w:i/>
        </w:rPr>
        <w:t xml:space="preserve">A condition </w:t>
      </w:r>
      <w:r w:rsidR="00B50C5A" w:rsidRPr="00E875B5">
        <w:rPr>
          <w:i/>
        </w:rPr>
        <w:t xml:space="preserve">which arises during the episode of admitted patient care and would not have been present </w:t>
      </w:r>
      <w:r w:rsidRPr="00E875B5">
        <w:rPr>
          <w:i/>
        </w:rPr>
        <w:t xml:space="preserve">or suspected </w:t>
      </w:r>
      <w:r w:rsidR="00B50C5A" w:rsidRPr="00E875B5">
        <w:rPr>
          <w:i/>
        </w:rPr>
        <w:t>on admission</w:t>
      </w:r>
      <w:r w:rsidRPr="00E875B5">
        <w:rPr>
          <w:i/>
        </w:rPr>
        <w:t>.</w:t>
      </w:r>
      <w:r>
        <w:t xml:space="preserve"> </w:t>
      </w:r>
    </w:p>
    <w:p w14:paraId="46D9A3F3" w14:textId="77777777" w:rsidR="00167A0D" w:rsidRPr="00E875B5" w:rsidRDefault="002E3267" w:rsidP="00F740C7">
      <w:pPr>
        <w:spacing w:after="0"/>
        <w:rPr>
          <w:i/>
        </w:rPr>
      </w:pPr>
      <w:r w:rsidRPr="002E3267">
        <w:rPr>
          <w:b/>
        </w:rPr>
        <w:t xml:space="preserve">COF </w:t>
      </w:r>
      <w:r w:rsidR="00B50C5A" w:rsidRPr="002E3267">
        <w:rPr>
          <w:b/>
        </w:rPr>
        <w:t>2</w:t>
      </w:r>
      <w:r>
        <w:rPr>
          <w:b/>
        </w:rPr>
        <w:t xml:space="preserve">: </w:t>
      </w:r>
      <w:r w:rsidRPr="00E875B5">
        <w:rPr>
          <w:i/>
        </w:rPr>
        <w:t>A condition</w:t>
      </w:r>
      <w:r w:rsidRPr="00E875B5">
        <w:rPr>
          <w:b/>
          <w:i/>
        </w:rPr>
        <w:t xml:space="preserve"> </w:t>
      </w:r>
      <w:r w:rsidRPr="00E875B5">
        <w:rPr>
          <w:i/>
        </w:rPr>
        <w:t>previously existing</w:t>
      </w:r>
      <w:r w:rsidR="00B50C5A" w:rsidRPr="00E875B5">
        <w:rPr>
          <w:i/>
        </w:rPr>
        <w:t xml:space="preserve"> </w:t>
      </w:r>
      <w:r w:rsidRPr="00E875B5">
        <w:rPr>
          <w:i/>
        </w:rPr>
        <w:t xml:space="preserve">or suspected </w:t>
      </w:r>
      <w:r w:rsidR="00B50C5A" w:rsidRPr="00E875B5">
        <w:rPr>
          <w:i/>
        </w:rPr>
        <w:t xml:space="preserve">on admission, such as the presenting </w:t>
      </w:r>
      <w:r w:rsidRPr="00E875B5">
        <w:rPr>
          <w:i/>
        </w:rPr>
        <w:t xml:space="preserve">problem, </w:t>
      </w:r>
      <w:r w:rsidR="00B50C5A" w:rsidRPr="00E875B5">
        <w:rPr>
          <w:i/>
        </w:rPr>
        <w:t>a comorbidity</w:t>
      </w:r>
      <w:r w:rsidRPr="00E875B5">
        <w:rPr>
          <w:i/>
        </w:rPr>
        <w:t xml:space="preserve"> or </w:t>
      </w:r>
      <w:r w:rsidR="00B50C5A" w:rsidRPr="00E875B5">
        <w:rPr>
          <w:i/>
        </w:rPr>
        <w:t>chronic disease</w:t>
      </w:r>
      <w:r w:rsidRPr="00E875B5">
        <w:rPr>
          <w:i/>
        </w:rPr>
        <w:t>.</w:t>
      </w:r>
      <w:r w:rsidR="00F740C7">
        <w:rPr>
          <w:rStyle w:val="FootnoteReference"/>
          <w:i/>
        </w:rPr>
        <w:footnoteReference w:id="5"/>
      </w:r>
    </w:p>
    <w:p w14:paraId="2673884E" w14:textId="77777777" w:rsidR="00E875B5" w:rsidRPr="00E875B5" w:rsidRDefault="00E875B5" w:rsidP="00E875B5">
      <w:pPr>
        <w:spacing w:after="0" w:line="240" w:lineRule="auto"/>
        <w:ind w:left="1078" w:hanging="284"/>
        <w:rPr>
          <w:rFonts w:ascii="Times New Roman" w:eastAsia="Times New Roman" w:hAnsi="Times New Roman" w:cs="Times New Roman"/>
          <w:sz w:val="24"/>
          <w:szCs w:val="24"/>
          <w:lang w:val="en-AU" w:eastAsia="en-NZ"/>
        </w:rPr>
      </w:pPr>
      <w:r w:rsidRPr="00E875B5">
        <w:rPr>
          <w:rFonts w:ascii="Times New Roman" w:eastAsia="Times New Roman" w:hAnsi="Times New Roman" w:cs="Times New Roman"/>
          <w:sz w:val="20"/>
          <w:szCs w:val="20"/>
          <w:lang w:val="en-AU" w:eastAsia="en-NZ"/>
        </w:rPr>
        <w:t> </w:t>
      </w:r>
    </w:p>
    <w:p w14:paraId="3940E8CF" w14:textId="77777777" w:rsidR="00E875B5" w:rsidRPr="00E875B5" w:rsidRDefault="00E875B5" w:rsidP="00E875B5">
      <w:pPr>
        <w:shd w:val="clear" w:color="auto" w:fill="BFBFBF"/>
        <w:spacing w:after="0" w:line="240" w:lineRule="atLeast"/>
        <w:rPr>
          <w:rFonts w:eastAsia="Times New Roman" w:cs="Times New Roman"/>
          <w:lang w:val="en-AU" w:eastAsia="en-NZ"/>
        </w:rPr>
      </w:pPr>
      <w:r w:rsidRPr="00E875B5">
        <w:rPr>
          <w:rFonts w:eastAsia="Times New Roman" w:cs="Times New Roman"/>
          <w:b/>
          <w:bCs/>
          <w:caps/>
          <w:lang w:val="en-AU" w:eastAsia="en-NZ"/>
        </w:rPr>
        <w:t>E</w:t>
      </w:r>
      <w:r>
        <w:rPr>
          <w:rFonts w:eastAsia="Times New Roman" w:cs="Times New Roman"/>
          <w:b/>
          <w:bCs/>
          <w:lang w:val="en-AU" w:eastAsia="en-NZ"/>
        </w:rPr>
        <w:t>xample</w:t>
      </w:r>
      <w:r w:rsidRPr="00E875B5">
        <w:rPr>
          <w:rFonts w:eastAsia="Times New Roman" w:cs="Times New Roman"/>
          <w:b/>
          <w:bCs/>
          <w:caps/>
          <w:lang w:val="en-AU" w:eastAsia="en-NZ"/>
        </w:rPr>
        <w:t>:</w:t>
      </w:r>
    </w:p>
    <w:p w14:paraId="0A302A30"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lang w:val="en-AU" w:eastAsia="en-NZ"/>
        </w:rPr>
        <w:t>Patient is admitted with acute appendicitis and has an appendicectomy. A wound infection develops in the post-operative period and a swab taken grows MRSA.</w:t>
      </w:r>
    </w:p>
    <w:p w14:paraId="74CF36DF"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lang w:val="en-AU" w:eastAsia="en-NZ"/>
        </w:rPr>
        <w:t> </w:t>
      </w:r>
    </w:p>
    <w:p w14:paraId="4C78F522"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 xml:space="preserve">2 </w:t>
      </w:r>
      <w:r w:rsidRPr="00E875B5">
        <w:rPr>
          <w:rFonts w:eastAsia="Times New Roman" w:cs="Times New Roman"/>
          <w:lang w:val="en-AU" w:eastAsia="en-NZ"/>
        </w:rPr>
        <w:t>– Acute appendicitis</w:t>
      </w:r>
    </w:p>
    <w:p w14:paraId="5760F763"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 xml:space="preserve">1 </w:t>
      </w:r>
      <w:r w:rsidRPr="00E875B5">
        <w:rPr>
          <w:rFonts w:eastAsia="Times New Roman" w:cs="Times New Roman"/>
          <w:lang w:val="en-AU" w:eastAsia="en-NZ"/>
        </w:rPr>
        <w:t>– Wound infection</w:t>
      </w:r>
    </w:p>
    <w:p w14:paraId="3DFF693B"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w:t>
      </w:r>
      <w:r w:rsidRPr="00E875B5">
        <w:rPr>
          <w:rFonts w:eastAsia="Times New Roman" w:cs="Times New Roman"/>
          <w:i/>
          <w:iCs/>
          <w:lang w:val="en-AU" w:eastAsia="en-NZ"/>
        </w:rPr>
        <w:t>Staphylococcus aureus</w:t>
      </w:r>
      <w:r w:rsidRPr="00E875B5">
        <w:rPr>
          <w:rFonts w:eastAsia="Times New Roman" w:cs="Times New Roman"/>
          <w:lang w:val="en-AU" w:eastAsia="en-NZ"/>
        </w:rPr>
        <w:t xml:space="preserve"> (infectious agent)</w:t>
      </w:r>
    </w:p>
    <w:p w14:paraId="0A74D53A"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MRSA</w:t>
      </w:r>
    </w:p>
    <w:p w14:paraId="3F24CEEA"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Removal of organ (external cause code related to wound infection)</w:t>
      </w:r>
    </w:p>
    <w:p w14:paraId="0222AD5F" w14:textId="77777777" w:rsidR="00E875B5" w:rsidRPr="00E875B5" w:rsidRDefault="00E875B5" w:rsidP="00E875B5">
      <w:pPr>
        <w:shd w:val="clear" w:color="auto" w:fill="BFBFBF"/>
        <w:spacing w:after="0" w:line="240" w:lineRule="auto"/>
        <w:rPr>
          <w:rFonts w:eastAsia="Times New Roman" w:cs="Times New Roman"/>
          <w:lang w:val="en-AU" w:eastAsia="en-NZ"/>
        </w:rPr>
      </w:pPr>
      <w:r w:rsidRPr="00E875B5">
        <w:rPr>
          <w:rFonts w:eastAsia="Times New Roman" w:cs="Times New Roman"/>
          <w:b/>
          <w:bCs/>
          <w:lang w:val="en-AU" w:eastAsia="en-NZ"/>
        </w:rPr>
        <w:t>1</w:t>
      </w:r>
      <w:r w:rsidRPr="00E875B5">
        <w:rPr>
          <w:rFonts w:eastAsia="Times New Roman" w:cs="Times New Roman"/>
          <w:lang w:val="en-AU" w:eastAsia="en-NZ"/>
        </w:rPr>
        <w:t xml:space="preserve"> – Place of occurrence (of external cause)</w:t>
      </w:r>
    </w:p>
    <w:p w14:paraId="0761B822" w14:textId="77777777" w:rsidR="00E875B5" w:rsidRPr="00E875B5" w:rsidRDefault="00E875B5" w:rsidP="00E875B5">
      <w:pPr>
        <w:spacing w:after="0" w:line="240" w:lineRule="auto"/>
        <w:rPr>
          <w:rFonts w:ascii="Times New Roman" w:eastAsia="Times New Roman" w:hAnsi="Times New Roman" w:cs="Times New Roman"/>
          <w:lang w:val="en-AU" w:eastAsia="en-NZ"/>
        </w:rPr>
      </w:pPr>
      <w:r w:rsidRPr="00E875B5">
        <w:rPr>
          <w:rFonts w:ascii="Arial" w:eastAsia="Times New Roman" w:hAnsi="Arial" w:cs="Arial"/>
          <w:lang w:val="en-AU" w:eastAsia="en-NZ"/>
        </w:rPr>
        <w:t> </w:t>
      </w:r>
    </w:p>
    <w:p w14:paraId="4AE1A0AF" w14:textId="77777777" w:rsidR="00D876BB" w:rsidRDefault="00D876BB" w:rsidP="00A1599C">
      <w:pPr>
        <w:pStyle w:val="Heading3"/>
      </w:pPr>
      <w:r>
        <w:t>Consistency and Completeness</w:t>
      </w:r>
    </w:p>
    <w:p w14:paraId="4CDE2A1D" w14:textId="77777777" w:rsidR="00512172" w:rsidRDefault="00D876BB" w:rsidP="00A1599C">
      <w:r>
        <w:t xml:space="preserve">The possibility of having an electronic record that reflects a complete clinical picture of an episode </w:t>
      </w:r>
      <w:r w:rsidR="00512172">
        <w:t xml:space="preserve">of care </w:t>
      </w:r>
      <w:r>
        <w:t>r</w:t>
      </w:r>
      <w:r w:rsidRPr="00647752">
        <w:t>elies</w:t>
      </w:r>
      <w:r>
        <w:t xml:space="preserve"> </w:t>
      </w:r>
      <w:r w:rsidRPr="00647752">
        <w:t xml:space="preserve">on </w:t>
      </w:r>
      <w:r>
        <w:t xml:space="preserve">having a </w:t>
      </w:r>
      <w:r w:rsidRPr="00647752">
        <w:t xml:space="preserve">complete </w:t>
      </w:r>
      <w:r w:rsidR="00512172">
        <w:t>clinical</w:t>
      </w:r>
      <w:r w:rsidRPr="00647752">
        <w:t xml:space="preserve"> record.</w:t>
      </w:r>
      <w:r>
        <w:t xml:space="preserve"> </w:t>
      </w:r>
      <w:r w:rsidR="00512172">
        <w:t xml:space="preserve">The importance of consistent, complete documentation in the clinical records cannot be over emphasised.  Without such documentation the application of all coding guidelines is a difficult, if not impossible, task. </w:t>
      </w:r>
    </w:p>
    <w:p w14:paraId="02026F35" w14:textId="77777777" w:rsidR="00D876BB" w:rsidRDefault="00D876BB" w:rsidP="00A1599C">
      <w:r>
        <w:lastRenderedPageBreak/>
        <w:t>The resulting data can then be used in many aspects of</w:t>
      </w:r>
      <w:r w:rsidRPr="00647752">
        <w:t xml:space="preserve"> service planning, epidemiology, </w:t>
      </w:r>
      <w:r>
        <w:t xml:space="preserve">and </w:t>
      </w:r>
      <w:r w:rsidRPr="00647752">
        <w:t>funding.</w:t>
      </w:r>
      <w:r>
        <w:t xml:space="preserve"> As we will see in the next section, the presence of additional diagnoses can have a significant effect on the DRG assigned to an inpatient episode.</w:t>
      </w:r>
    </w:p>
    <w:p w14:paraId="32710179" w14:textId="77777777" w:rsidR="00833693" w:rsidRPr="00833693" w:rsidRDefault="00833693" w:rsidP="00A1599C">
      <w:pPr>
        <w:pStyle w:val="Heading2"/>
      </w:pPr>
      <w:bookmarkStart w:id="5" w:name="_Toc437260930"/>
      <w:r>
        <w:t>Diagnosis Related Groups (DRGs)</w:t>
      </w:r>
      <w:bookmarkEnd w:id="5"/>
    </w:p>
    <w:p w14:paraId="345241CC" w14:textId="77777777" w:rsidR="00E875B5" w:rsidRDefault="007B600A" w:rsidP="00A1599C">
      <w:r>
        <w:t>The almost 24,000 c</w:t>
      </w:r>
      <w:r w:rsidR="00CB61E9">
        <w:t>linical codes on their own may lead to a huge number of possibilities.</w:t>
      </w:r>
      <w:r w:rsidR="00C63B71">
        <w:t xml:space="preserve"> </w:t>
      </w:r>
      <w:r w:rsidR="00A725C5">
        <w:t xml:space="preserve">With the need to code additional diagnoses and there being space for </w:t>
      </w:r>
      <w:r w:rsidR="00512172">
        <w:t xml:space="preserve">up to </w:t>
      </w:r>
      <w:r w:rsidR="00A725C5">
        <w:t>99 clinical cod</w:t>
      </w:r>
      <w:r w:rsidR="00512172">
        <w:t xml:space="preserve">es reported to the </w:t>
      </w:r>
      <w:r w:rsidR="00A725C5">
        <w:t xml:space="preserve"> national collection</w:t>
      </w:r>
      <w:r w:rsidR="006A5E9B">
        <w:t xml:space="preserve"> the number of possible combinations is enormous.</w:t>
      </w:r>
      <w:r w:rsidR="00A725C5">
        <w:t xml:space="preserve"> </w:t>
      </w:r>
      <w:r w:rsidR="006A5E9B">
        <w:t>It is clear that some systematic development of</w:t>
      </w:r>
      <w:r w:rsidR="00CB61E9">
        <w:t xml:space="preserve"> </w:t>
      </w:r>
      <w:r w:rsidR="009477A9">
        <w:t xml:space="preserve">output </w:t>
      </w:r>
      <w:r w:rsidR="00CB61E9">
        <w:t xml:space="preserve">groups </w:t>
      </w:r>
      <w:r w:rsidR="006A5E9B">
        <w:t>is needed</w:t>
      </w:r>
      <w:r w:rsidR="00A63AC9">
        <w:t xml:space="preserve"> </w:t>
      </w:r>
      <w:r w:rsidR="00CB61E9">
        <w:t>that reflect clinically similar events with comparable resource use.</w:t>
      </w:r>
    </w:p>
    <w:p w14:paraId="52B2FA7D" w14:textId="77777777" w:rsidR="00833693" w:rsidRDefault="004745BD" w:rsidP="00A1599C">
      <w:r w:rsidRPr="00647752">
        <w:t>General</w:t>
      </w:r>
      <w:r w:rsidR="004157EC">
        <w:t xml:space="preserve"> pr</w:t>
      </w:r>
      <w:r w:rsidRPr="00647752">
        <w:t>i</w:t>
      </w:r>
      <w:r w:rsidR="004157EC">
        <w:t>nc</w:t>
      </w:r>
      <w:r w:rsidRPr="00647752">
        <w:t>i</w:t>
      </w:r>
      <w:r w:rsidR="004157EC">
        <w:t>pl</w:t>
      </w:r>
      <w:r w:rsidRPr="00647752">
        <w:t xml:space="preserve">es </w:t>
      </w:r>
      <w:r w:rsidR="004157EC">
        <w:t>for</w:t>
      </w:r>
      <w:r w:rsidRPr="00647752">
        <w:t xml:space="preserve"> a DRG classification</w:t>
      </w:r>
      <w:r w:rsidR="004157EC">
        <w:t xml:space="preserve"> are</w:t>
      </w:r>
      <w:r w:rsidR="00CB61E9">
        <w:t>:</w:t>
      </w:r>
    </w:p>
    <w:p w14:paraId="37405CE9" w14:textId="77777777" w:rsidR="00CB61E9" w:rsidRPr="00CB61E9" w:rsidRDefault="009477A9" w:rsidP="00A1599C">
      <w:pPr>
        <w:pStyle w:val="ListParagraph"/>
        <w:numPr>
          <w:ilvl w:val="0"/>
          <w:numId w:val="13"/>
        </w:numPr>
      </w:pPr>
      <w:r>
        <w:t xml:space="preserve">There should be a </w:t>
      </w:r>
      <w:r w:rsidR="00CB61E9" w:rsidRPr="00CB61E9">
        <w:t xml:space="preserve">manageable number: not too many that there are too few events in each group and analysis is not feasible, not too few that there are too many events in groups and some </w:t>
      </w:r>
      <w:r>
        <w:t xml:space="preserve">significant </w:t>
      </w:r>
      <w:r w:rsidR="00CB61E9" w:rsidRPr="00CB61E9">
        <w:t xml:space="preserve">clinical </w:t>
      </w:r>
      <w:r w:rsidR="00677142">
        <w:t>differences remain unidentified</w:t>
      </w:r>
    </w:p>
    <w:p w14:paraId="3B3925C5" w14:textId="77777777" w:rsidR="00CB61E9" w:rsidRDefault="00677142" w:rsidP="00A1599C">
      <w:pPr>
        <w:pStyle w:val="ListParagraph"/>
        <w:numPr>
          <w:ilvl w:val="0"/>
          <w:numId w:val="13"/>
        </w:numPr>
      </w:pPr>
      <w:r>
        <w:t>The groups should be b</w:t>
      </w:r>
      <w:r w:rsidR="00CB61E9">
        <w:t xml:space="preserve">ased on regularly collected data, most notable being the clinical coding of the </w:t>
      </w:r>
      <w:r w:rsidR="00A63AC9">
        <w:t>clinical</w:t>
      </w:r>
      <w:r w:rsidR="00CB61E9">
        <w:t xml:space="preserve"> record for ad</w:t>
      </w:r>
      <w:r>
        <w:t>mitted patient episodes of care</w:t>
      </w:r>
    </w:p>
    <w:p w14:paraId="1A6AC937" w14:textId="77777777" w:rsidR="009477A9" w:rsidRPr="00CB61E9" w:rsidRDefault="009477A9" w:rsidP="00A1599C">
      <w:pPr>
        <w:pStyle w:val="ListParagraph"/>
        <w:numPr>
          <w:ilvl w:val="0"/>
          <w:numId w:val="13"/>
        </w:numPr>
      </w:pPr>
      <w:r>
        <w:t>Each group should be clinically similar and resource comparable</w:t>
      </w:r>
      <w:r w:rsidR="00677142">
        <w:t>.</w:t>
      </w:r>
    </w:p>
    <w:p w14:paraId="0DB603DF" w14:textId="77777777" w:rsidR="004745BD" w:rsidRDefault="004745BD" w:rsidP="00A1599C">
      <w:r w:rsidRPr="00647752">
        <w:t>The system used in New Zealand</w:t>
      </w:r>
      <w:r w:rsidR="0027535C">
        <w:t xml:space="preserve"> is the</w:t>
      </w:r>
      <w:r w:rsidR="00CB61E9">
        <w:t xml:space="preserve"> AR-DRG, </w:t>
      </w:r>
      <w:r w:rsidR="0027535C">
        <w:t xml:space="preserve">known as </w:t>
      </w:r>
      <w:r w:rsidR="00CB61E9">
        <w:t xml:space="preserve">Australian </w:t>
      </w:r>
      <w:r w:rsidR="0027535C">
        <w:t>R</w:t>
      </w:r>
      <w:r w:rsidR="00CB61E9">
        <w:t xml:space="preserve">efined DRGs. Each </w:t>
      </w:r>
      <w:r w:rsidR="00A63AC9">
        <w:t>version</w:t>
      </w:r>
      <w:r w:rsidR="00CB61E9">
        <w:t xml:space="preserve"> of </w:t>
      </w:r>
      <w:r w:rsidR="006A5E9B">
        <w:t>AR-</w:t>
      </w:r>
      <w:r w:rsidR="00CB61E9">
        <w:t xml:space="preserve">DRG is associated with </w:t>
      </w:r>
      <w:r w:rsidR="001065EA">
        <w:t>an Edition of ICD-10-AM</w:t>
      </w:r>
      <w:r w:rsidR="00A63AC9">
        <w:t>/ACHI</w:t>
      </w:r>
      <w:r w:rsidR="001065EA">
        <w:t>.</w:t>
      </w:r>
      <w:r w:rsidR="009477A9">
        <w:t xml:space="preserve"> </w:t>
      </w:r>
    </w:p>
    <w:p w14:paraId="1ABF4107" w14:textId="77777777" w:rsidR="001431A2" w:rsidRDefault="001431A2" w:rsidP="00A1599C">
      <w:r>
        <w:t xml:space="preserve">Thus DRGs </w:t>
      </w:r>
      <w:r w:rsidR="00DA07D8">
        <w:t xml:space="preserve">enable hospital production to be measured by </w:t>
      </w:r>
      <w:r>
        <w:t>link</w:t>
      </w:r>
      <w:r w:rsidR="00DA07D8">
        <w:t>ing the characteristics of patients treated</w:t>
      </w:r>
      <w:r>
        <w:t xml:space="preserve"> </w:t>
      </w:r>
      <w:r w:rsidR="00DA07D8">
        <w:t>(</w:t>
      </w:r>
      <w:r>
        <w:t>hospital activity</w:t>
      </w:r>
      <w:r w:rsidR="00DA07D8">
        <w:t>)</w:t>
      </w:r>
      <w:r>
        <w:t xml:space="preserve"> and</w:t>
      </w:r>
      <w:r w:rsidR="00DA07D8">
        <w:t xml:space="preserve"> the resources used in treating their patients (input</w:t>
      </w:r>
      <w:r>
        <w:t xml:space="preserve"> costs</w:t>
      </w:r>
      <w:r w:rsidR="00DA07D8">
        <w:t>)</w:t>
      </w:r>
      <w:r>
        <w:t>.</w:t>
      </w:r>
      <w:r w:rsidR="00DA07D8">
        <w:t xml:space="preserve"> In particular, hospital output can be measured and provide a basis for funding; see </w:t>
      </w:r>
      <w:r w:rsidR="00896D8E">
        <w:t xml:space="preserve">Part </w:t>
      </w:r>
      <w:r w:rsidR="00DA07D8">
        <w:t>I</w:t>
      </w:r>
      <w:r w:rsidR="00DA7877">
        <w:t>I</w:t>
      </w:r>
      <w:r w:rsidR="00DA07D8">
        <w:t>I.</w:t>
      </w:r>
      <w:r w:rsidR="006A5E9B">
        <w:t xml:space="preserve"> Hospitals can compare outputs and engage in benchmarking </w:t>
      </w:r>
      <w:r w:rsidR="00BD588F">
        <w:t xml:space="preserve">comparisons </w:t>
      </w:r>
      <w:r w:rsidR="006A5E9B">
        <w:t>and performance improvement.</w:t>
      </w:r>
    </w:p>
    <w:p w14:paraId="362E7A2B" w14:textId="77777777" w:rsidR="00D876BB" w:rsidRDefault="00D876BB" w:rsidP="00A1599C">
      <w:pPr>
        <w:pStyle w:val="Heading3"/>
      </w:pPr>
      <w:r>
        <w:t>DRG Codes</w:t>
      </w:r>
    </w:p>
    <w:p w14:paraId="3011882F" w14:textId="77777777" w:rsidR="00D876BB" w:rsidRDefault="00D876BB" w:rsidP="00A1599C">
      <w:r>
        <w:t>The c</w:t>
      </w:r>
      <w:r w:rsidRPr="006A221C">
        <w:t>odes used for</w:t>
      </w:r>
      <w:r>
        <w:t xml:space="preserve"> DR</w:t>
      </w:r>
      <w:r w:rsidR="00A63AC9">
        <w:t>Gs in the AR-DRG classification</w:t>
      </w:r>
      <w:r>
        <w:t xml:space="preserve"> have the structure </w:t>
      </w:r>
      <w:r w:rsidR="00A63AC9">
        <w:t>‘</w:t>
      </w:r>
      <w:r w:rsidRPr="002570F8">
        <w:rPr>
          <w:b/>
        </w:rPr>
        <w:t>A</w:t>
      </w:r>
      <w:r w:rsidR="00A1599C">
        <w:rPr>
          <w:b/>
        </w:rPr>
        <w:t>DD</w:t>
      </w:r>
      <w:r w:rsidRPr="002570F8">
        <w:rPr>
          <w:b/>
        </w:rPr>
        <w:t>S</w:t>
      </w:r>
      <w:r w:rsidR="00A63AC9">
        <w:rPr>
          <w:b/>
        </w:rPr>
        <w:t>’</w:t>
      </w:r>
      <w:r>
        <w:t xml:space="preserve">, where </w:t>
      </w:r>
      <w:r w:rsidRPr="008E7916">
        <w:rPr>
          <w:b/>
        </w:rPr>
        <w:t>A</w:t>
      </w:r>
      <w:r>
        <w:t xml:space="preserve"> and </w:t>
      </w:r>
      <w:r w:rsidRPr="008E7916">
        <w:rPr>
          <w:b/>
        </w:rPr>
        <w:t>S</w:t>
      </w:r>
      <w:r>
        <w:t xml:space="preserve"> are letters and </w:t>
      </w:r>
      <w:r w:rsidR="00A1599C" w:rsidRPr="00A1599C">
        <w:rPr>
          <w:b/>
        </w:rPr>
        <w:t>D</w:t>
      </w:r>
      <w:r>
        <w:t xml:space="preserve"> is a digit. </w:t>
      </w:r>
      <w:r w:rsidRPr="005D7284">
        <w:rPr>
          <w:b/>
        </w:rPr>
        <w:t>A</w:t>
      </w:r>
      <w:r>
        <w:t xml:space="preserve"> can range over the entire alphabet, </w:t>
      </w:r>
      <w:r w:rsidRPr="005D7284">
        <w:rPr>
          <w:b/>
        </w:rPr>
        <w:t>S</w:t>
      </w:r>
      <w:r>
        <w:t xml:space="preserve"> is one of {A, B, C, D, Z}, and </w:t>
      </w:r>
      <w:r w:rsidR="0018011C" w:rsidRPr="008E7916">
        <w:rPr>
          <w:b/>
        </w:rPr>
        <w:t>D</w:t>
      </w:r>
      <w:r w:rsidR="0018011C">
        <w:t xml:space="preserve"> </w:t>
      </w:r>
      <w:r>
        <w:t>is one of {0, 1, 2, 3, 4, 5, 6, 7, 8, 9}.</w:t>
      </w:r>
    </w:p>
    <w:p w14:paraId="2BA22E45" w14:textId="77777777" w:rsidR="00D876BB" w:rsidRDefault="00D876BB" w:rsidP="00A1599C">
      <w:r>
        <w:t xml:space="preserve">For example: </w:t>
      </w:r>
      <w:r w:rsidRPr="005D7284">
        <w:rPr>
          <w:b/>
        </w:rPr>
        <w:t>I01A</w:t>
      </w:r>
      <w:r>
        <w:t xml:space="preserve"> is the </w:t>
      </w:r>
      <w:r w:rsidR="00A63AC9">
        <w:t xml:space="preserve">DRG </w:t>
      </w:r>
      <w:r>
        <w:t xml:space="preserve">code </w:t>
      </w:r>
      <w:r w:rsidRPr="005D7284">
        <w:rPr>
          <w:i/>
        </w:rPr>
        <w:t xml:space="preserve">Bilateral/Multiple Major Joint Procedure of Lower Extremity with Revision or </w:t>
      </w:r>
      <w:r w:rsidR="007E3DDE">
        <w:rPr>
          <w:i/>
        </w:rPr>
        <w:t>w</w:t>
      </w:r>
      <w:r w:rsidRPr="005D7284">
        <w:rPr>
          <w:i/>
        </w:rPr>
        <w:t>ith Catastrophic Complication</w:t>
      </w:r>
      <w:r w:rsidR="00A63AC9" w:rsidRPr="005D7284">
        <w:rPr>
          <w:i/>
        </w:rPr>
        <w:t xml:space="preserve"> and/or Comorbidity</w:t>
      </w:r>
      <w:r>
        <w:t>:</w:t>
      </w:r>
    </w:p>
    <w:p w14:paraId="07D5D394" w14:textId="77777777" w:rsidR="00D876BB" w:rsidRPr="006A221C" w:rsidRDefault="00BC2589" w:rsidP="00E459AD">
      <w:pPr>
        <w:jc w:val="center"/>
        <w:rPr>
          <w:rFonts w:ascii="Arial" w:hAnsi="Arial" w:cs="Arial"/>
        </w:rPr>
      </w:pPr>
      <w:r>
        <w:object w:dxaOrig="6774" w:dyaOrig="3202" w14:anchorId="23DA7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65.75pt" o:ole="">
            <v:imagedata r:id="rId13" o:title=""/>
          </v:shape>
          <o:OLEObject Type="Embed" ProgID="Visio.Drawing.11" ShapeID="_x0000_i1025" DrawAspect="Content" ObjectID="_1750229525" r:id="rId14"/>
        </w:object>
      </w:r>
    </w:p>
    <w:p w14:paraId="31228552" w14:textId="77777777" w:rsidR="00D876BB" w:rsidRDefault="00D876BB" w:rsidP="00A1599C">
      <w:r w:rsidRPr="005D7284">
        <w:rPr>
          <w:b/>
        </w:rPr>
        <w:lastRenderedPageBreak/>
        <w:t>I01B</w:t>
      </w:r>
      <w:r>
        <w:t xml:space="preserve"> is the </w:t>
      </w:r>
      <w:r w:rsidR="00A63AC9">
        <w:t>DR</w:t>
      </w:r>
      <w:r w:rsidR="006E3ABB">
        <w:t>G</w:t>
      </w:r>
      <w:r w:rsidR="00A63AC9">
        <w:t xml:space="preserve"> </w:t>
      </w:r>
      <w:r>
        <w:t xml:space="preserve">code </w:t>
      </w:r>
      <w:r w:rsidRPr="00FB16CB">
        <w:rPr>
          <w:i/>
        </w:rPr>
        <w:t xml:space="preserve">Bilateral/Multiple Major Joint Procedure of Lower Extremity </w:t>
      </w:r>
      <w:r w:rsidR="007E3DDE">
        <w:rPr>
          <w:i/>
        </w:rPr>
        <w:t>w</w:t>
      </w:r>
      <w:r w:rsidRPr="00FB16CB">
        <w:rPr>
          <w:i/>
        </w:rPr>
        <w:t xml:space="preserve">ithout Revision and </w:t>
      </w:r>
      <w:r w:rsidR="007E3DDE">
        <w:rPr>
          <w:i/>
        </w:rPr>
        <w:t>w</w:t>
      </w:r>
      <w:r w:rsidRPr="00FB16CB">
        <w:rPr>
          <w:i/>
        </w:rPr>
        <w:t>ithout Catastrophic Complication</w:t>
      </w:r>
      <w:r w:rsidR="00A63AC9">
        <w:rPr>
          <w:i/>
        </w:rPr>
        <w:t xml:space="preserve"> and/or Comorbidit</w:t>
      </w:r>
      <w:r w:rsidR="00630C09">
        <w:rPr>
          <w:i/>
        </w:rPr>
        <w:t>y</w:t>
      </w:r>
      <w:r>
        <w:t>. These are the only two splits for the</w:t>
      </w:r>
      <w:r w:rsidR="0018011C">
        <w:t>se types of cases</w:t>
      </w:r>
      <w:r>
        <w:t xml:space="preserve">, and I01A contains those events with </w:t>
      </w:r>
      <w:r w:rsidR="0018011C">
        <w:t>the highest level of complication</w:t>
      </w:r>
      <w:r>
        <w:t>.</w:t>
      </w:r>
    </w:p>
    <w:p w14:paraId="1461693E" w14:textId="77777777" w:rsidR="00833693" w:rsidRDefault="00833693" w:rsidP="00A1599C">
      <w:pPr>
        <w:pStyle w:val="Heading2"/>
      </w:pPr>
      <w:bookmarkStart w:id="6" w:name="_Toc437260931"/>
      <w:r>
        <w:t>Structure</w:t>
      </w:r>
      <w:r w:rsidR="001065EA">
        <w:t xml:space="preserve"> of AR-DRGs</w:t>
      </w:r>
      <w:bookmarkEnd w:id="6"/>
    </w:p>
    <w:p w14:paraId="780F29D1" w14:textId="77777777" w:rsidR="00A36E0E" w:rsidRDefault="005E1812" w:rsidP="007E3DDE">
      <w:pPr>
        <w:jc w:val="center"/>
      </w:pPr>
      <w:r>
        <w:rPr>
          <w:noProof/>
          <w:lang w:eastAsia="en-NZ"/>
        </w:rPr>
        <w:drawing>
          <wp:inline distT="0" distB="0" distL="0" distR="0" wp14:anchorId="0EAA606B" wp14:editId="39419FF2">
            <wp:extent cx="4964390" cy="783278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76302" cy="7851580"/>
                    </a:xfrm>
                    <a:prstGeom prst="rect">
                      <a:avLst/>
                    </a:prstGeom>
                  </pic:spPr>
                </pic:pic>
              </a:graphicData>
            </a:graphic>
          </wp:inline>
        </w:drawing>
      </w:r>
    </w:p>
    <w:p w14:paraId="78C41CE6" w14:textId="77777777" w:rsidR="00D876BB" w:rsidRDefault="00D876BB" w:rsidP="00A1599C">
      <w:pPr>
        <w:pStyle w:val="Heading3"/>
      </w:pPr>
      <w:r>
        <w:lastRenderedPageBreak/>
        <w:t>Complications and Comorbidities,</w:t>
      </w:r>
      <w:r w:rsidR="00630C09">
        <w:t xml:space="preserve"> </w:t>
      </w:r>
      <w:r>
        <w:t>CCLs and PCCLs</w:t>
      </w:r>
    </w:p>
    <w:p w14:paraId="1695AC01" w14:textId="77777777" w:rsidR="00D876BB" w:rsidRDefault="00D876BB" w:rsidP="00A1599C">
      <w:r w:rsidRPr="00381F0A">
        <w:t>To gauge the likely effects of these additional diagnoses on</w:t>
      </w:r>
      <w:r>
        <w:t xml:space="preserve"> resource consumption during the inpatient episode</w:t>
      </w:r>
      <w:r w:rsidR="00A63AC9">
        <w:t xml:space="preserve"> of care</w:t>
      </w:r>
      <w:r>
        <w:t>, each diagnosis</w:t>
      </w:r>
      <w:r w:rsidR="00604F90">
        <w:t xml:space="preserve"> code is assessed to determine if it is considered a complication or comorbidity for the DRG</w:t>
      </w:r>
      <w:r w:rsidR="00896D8E">
        <w:t xml:space="preserve">. </w:t>
      </w:r>
      <w:r w:rsidR="00706B7D">
        <w:t xml:space="preserve">Once this is determined a </w:t>
      </w:r>
      <w:r>
        <w:t xml:space="preserve">severity </w:t>
      </w:r>
      <w:r w:rsidR="00706B7D">
        <w:t>val</w:t>
      </w:r>
      <w:r w:rsidR="0092077C">
        <w:t>u</w:t>
      </w:r>
      <w:r w:rsidR="00706B7D">
        <w:t xml:space="preserve">e is assigned </w:t>
      </w:r>
      <w:r>
        <w:t xml:space="preserve">reflecting its likelihood of increasing the resources normally employed. These </w:t>
      </w:r>
      <w:r w:rsidR="00706B7D">
        <w:t xml:space="preserve">values </w:t>
      </w:r>
      <w:r>
        <w:t xml:space="preserve">are called </w:t>
      </w:r>
      <w:r w:rsidR="00896D8E">
        <w:rPr>
          <w:i/>
        </w:rPr>
        <w:t>C</w:t>
      </w:r>
      <w:r>
        <w:rPr>
          <w:i/>
        </w:rPr>
        <w:t>omp</w:t>
      </w:r>
      <w:r w:rsidRPr="003E33F5">
        <w:rPr>
          <w:i/>
        </w:rPr>
        <w:t>lica</w:t>
      </w:r>
      <w:r>
        <w:rPr>
          <w:i/>
        </w:rPr>
        <w:t>tion and</w:t>
      </w:r>
      <w:r w:rsidRPr="003E33F5">
        <w:rPr>
          <w:i/>
        </w:rPr>
        <w:t xml:space="preserve"> </w:t>
      </w:r>
      <w:r w:rsidR="00896D8E">
        <w:rPr>
          <w:i/>
        </w:rPr>
        <w:t>C</w:t>
      </w:r>
      <w:r w:rsidRPr="003E33F5">
        <w:rPr>
          <w:i/>
        </w:rPr>
        <w:t>om</w:t>
      </w:r>
      <w:r>
        <w:rPr>
          <w:i/>
        </w:rPr>
        <w:t>orbidi</w:t>
      </w:r>
      <w:r w:rsidRPr="003E33F5">
        <w:rPr>
          <w:i/>
        </w:rPr>
        <w:t>ty</w:t>
      </w:r>
      <w:r w:rsidR="00896D8E">
        <w:rPr>
          <w:i/>
        </w:rPr>
        <w:t xml:space="preserve"> L</w:t>
      </w:r>
      <w:r w:rsidRPr="003E33F5">
        <w:rPr>
          <w:i/>
        </w:rPr>
        <w:t>evels</w:t>
      </w:r>
      <w:r>
        <w:rPr>
          <w:i/>
        </w:rPr>
        <w:t xml:space="preserve"> (CCLs)</w:t>
      </w:r>
      <w:r>
        <w:t xml:space="preserve">. A complex algorithm is provided with the </w:t>
      </w:r>
      <w:r w:rsidR="00BA164C">
        <w:t xml:space="preserve">AR-DRG </w:t>
      </w:r>
      <w:r>
        <w:t xml:space="preserve">classification that generates a single </w:t>
      </w:r>
      <w:r w:rsidRPr="003E33F5">
        <w:rPr>
          <w:i/>
        </w:rPr>
        <w:t>Patient C</w:t>
      </w:r>
      <w:r w:rsidR="00706B7D">
        <w:rPr>
          <w:i/>
        </w:rPr>
        <w:t xml:space="preserve">linical </w:t>
      </w:r>
      <w:r w:rsidRPr="003E33F5">
        <w:rPr>
          <w:i/>
        </w:rPr>
        <w:t>Complexity Level (PCCL)</w:t>
      </w:r>
      <w:r>
        <w:t xml:space="preserve"> from the collection of CCLs. The PCCL for a given inpatient episode </w:t>
      </w:r>
      <w:r w:rsidR="00BA164C">
        <w:t xml:space="preserve">of care </w:t>
      </w:r>
      <w:r>
        <w:t>thus represents the cumulative effect of all CCLs for the episode</w:t>
      </w:r>
      <w:r w:rsidR="002C3560">
        <w:t xml:space="preserve"> of care</w:t>
      </w:r>
      <w:r>
        <w:t>.</w:t>
      </w:r>
    </w:p>
    <w:p w14:paraId="06F44D00" w14:textId="77777777" w:rsidR="00D876BB" w:rsidRDefault="00D876BB" w:rsidP="00A1599C">
      <w:r>
        <w:t>C</w:t>
      </w:r>
      <w:r w:rsidR="00BA164C">
        <w:t xml:space="preserve">omplication and </w:t>
      </w:r>
      <w:r w:rsidR="006D4450">
        <w:t>c</w:t>
      </w:r>
      <w:r w:rsidR="00BA164C">
        <w:t xml:space="preserve">omorbidity </w:t>
      </w:r>
      <w:r w:rsidR="006D4450">
        <w:t>l</w:t>
      </w:r>
      <w:r w:rsidR="00BA164C">
        <w:t>evel (C</w:t>
      </w:r>
      <w:r>
        <w:t>CL</w:t>
      </w:r>
      <w:r w:rsidR="00BA164C">
        <w:t>)</w:t>
      </w:r>
      <w:r>
        <w:t xml:space="preserve"> values are integer and vary from 0 to 4 for surgical and neonatal episodes, and from 0 to 3 for medical episodes. They are developed through a combination of medical judgement and statistical analysis.</w:t>
      </w:r>
    </w:p>
    <w:tbl>
      <w:tblPr>
        <w:tblStyle w:val="LightList-Accent1"/>
        <w:tblW w:w="0" w:type="auto"/>
        <w:jc w:val="center"/>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1323"/>
        <w:gridCol w:w="7318"/>
      </w:tblGrid>
      <w:tr w:rsidR="00D876BB" w14:paraId="2B0AE8E0" w14:textId="77777777" w:rsidTr="006307A4">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323" w:type="dxa"/>
          </w:tcPr>
          <w:p w14:paraId="653ABA09" w14:textId="77777777" w:rsidR="00D876BB" w:rsidRDefault="00D876BB" w:rsidP="00A1599C">
            <w:r>
              <w:t>CCL Value</w:t>
            </w:r>
          </w:p>
        </w:tc>
        <w:tc>
          <w:tcPr>
            <w:tcW w:w="7318" w:type="dxa"/>
          </w:tcPr>
          <w:p w14:paraId="18FFDE96" w14:textId="77777777" w:rsidR="00D876BB" w:rsidRDefault="00D876BB" w:rsidP="00A1599C">
            <w:pPr>
              <w:cnfStyle w:val="100000000000" w:firstRow="1" w:lastRow="0" w:firstColumn="0" w:lastColumn="0" w:oddVBand="0" w:evenVBand="0" w:oddHBand="0" w:evenHBand="0" w:firstRowFirstColumn="0" w:firstRowLastColumn="0" w:lastRowFirstColumn="0" w:lastRowLastColumn="0"/>
            </w:pPr>
            <w:r>
              <w:t>Description</w:t>
            </w:r>
          </w:p>
        </w:tc>
      </w:tr>
      <w:tr w:rsidR="00D876BB" w14:paraId="6929C4FC" w14:textId="77777777" w:rsidTr="006307A4">
        <w:trPr>
          <w:cnfStyle w:val="000000100000" w:firstRow="0" w:lastRow="0" w:firstColumn="0" w:lastColumn="0" w:oddVBand="0" w:evenVBand="0" w:oddHBand="1" w:evenHBand="0" w:firstRowFirstColumn="0" w:firstRowLastColumn="0" w:lastRowFirstColumn="0" w:lastRowLastColumn="0"/>
          <w:trHeight w:val="1533"/>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tcBorders>
          </w:tcPr>
          <w:p w14:paraId="5C949EAF" w14:textId="77777777" w:rsidR="00D876BB" w:rsidRDefault="00D876BB" w:rsidP="00A1599C">
            <w:r>
              <w:t>0</w:t>
            </w:r>
          </w:p>
        </w:tc>
        <w:tc>
          <w:tcPr>
            <w:tcW w:w="7318" w:type="dxa"/>
            <w:tcBorders>
              <w:top w:val="none" w:sz="0" w:space="0" w:color="auto"/>
              <w:bottom w:val="none" w:sz="0" w:space="0" w:color="auto"/>
              <w:right w:val="none" w:sz="0" w:space="0" w:color="auto"/>
            </w:tcBorders>
          </w:tcPr>
          <w:p w14:paraId="4C987A16"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The diagnosis is not a complication or comorbidity; or</w:t>
            </w:r>
          </w:p>
          <w:p w14:paraId="10908805" w14:textId="77777777" w:rsidR="00D876BB" w:rsidRDefault="00BA164C" w:rsidP="00A1599C">
            <w:pPr>
              <w:cnfStyle w:val="000000100000" w:firstRow="0" w:lastRow="0" w:firstColumn="0" w:lastColumn="0" w:oddVBand="0" w:evenVBand="0" w:oddHBand="1" w:evenHBand="0" w:firstRowFirstColumn="0" w:firstRowLastColumn="0" w:lastRowFirstColumn="0" w:lastRowLastColumn="0"/>
            </w:pPr>
            <w:r>
              <w:t>forms</w:t>
            </w:r>
            <w:r w:rsidR="00D876BB">
              <w:t xml:space="preserve"> part of the definition for the ADRG assigned to the episode; or</w:t>
            </w:r>
          </w:p>
          <w:p w14:paraId="13BEDC1F"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 xml:space="preserve">Is excluded as a complication/comorbidity for this </w:t>
            </w:r>
            <w:r w:rsidR="00BA164C">
              <w:t>A</w:t>
            </w:r>
            <w:r>
              <w:t>DRG; or</w:t>
            </w:r>
          </w:p>
          <w:p w14:paraId="1C0F3C7F"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Is closely related to the principal diagnosis; or</w:t>
            </w:r>
          </w:p>
          <w:p w14:paraId="0F90A690"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Is a complication/comorbidity, but conflicts with sex or mode of separation; or</w:t>
            </w:r>
          </w:p>
          <w:p w14:paraId="3B528E4C"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Exactly the same code appears earlier on the record</w:t>
            </w:r>
          </w:p>
        </w:tc>
      </w:tr>
      <w:tr w:rsidR="00D876BB" w14:paraId="4070BDB7" w14:textId="77777777" w:rsidTr="006307A4">
        <w:trPr>
          <w:trHeight w:val="256"/>
          <w:jc w:val="center"/>
        </w:trPr>
        <w:tc>
          <w:tcPr>
            <w:cnfStyle w:val="001000000000" w:firstRow="0" w:lastRow="0" w:firstColumn="1" w:lastColumn="0" w:oddVBand="0" w:evenVBand="0" w:oddHBand="0" w:evenHBand="0" w:firstRowFirstColumn="0" w:firstRowLastColumn="0" w:lastRowFirstColumn="0" w:lastRowLastColumn="0"/>
            <w:tcW w:w="1323" w:type="dxa"/>
          </w:tcPr>
          <w:p w14:paraId="0276ED6A" w14:textId="77777777" w:rsidR="00D876BB" w:rsidRDefault="00D876BB" w:rsidP="00A1599C">
            <w:r>
              <w:t>1</w:t>
            </w:r>
          </w:p>
        </w:tc>
        <w:tc>
          <w:tcPr>
            <w:tcW w:w="7318" w:type="dxa"/>
          </w:tcPr>
          <w:p w14:paraId="277EA445" w14:textId="77777777" w:rsidR="00D876BB" w:rsidRDefault="00D876BB" w:rsidP="00A1599C">
            <w:pPr>
              <w:cnfStyle w:val="000000000000" w:firstRow="0" w:lastRow="0" w:firstColumn="0" w:lastColumn="0" w:oddVBand="0" w:evenVBand="0" w:oddHBand="0" w:evenHBand="0" w:firstRowFirstColumn="0" w:firstRowLastColumn="0" w:lastRowFirstColumn="0" w:lastRowLastColumn="0"/>
            </w:pPr>
            <w:r>
              <w:t>Minor complication/comorbidity</w:t>
            </w:r>
          </w:p>
        </w:tc>
      </w:tr>
      <w:tr w:rsidR="00D876BB" w14:paraId="5F413D19" w14:textId="77777777" w:rsidTr="006307A4">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tcBorders>
          </w:tcPr>
          <w:p w14:paraId="402AED5F" w14:textId="77777777" w:rsidR="00D876BB" w:rsidRDefault="00D876BB" w:rsidP="00A1599C">
            <w:r>
              <w:t>2</w:t>
            </w:r>
          </w:p>
        </w:tc>
        <w:tc>
          <w:tcPr>
            <w:tcW w:w="7318" w:type="dxa"/>
            <w:tcBorders>
              <w:top w:val="none" w:sz="0" w:space="0" w:color="auto"/>
              <w:bottom w:val="none" w:sz="0" w:space="0" w:color="auto"/>
              <w:right w:val="none" w:sz="0" w:space="0" w:color="auto"/>
            </w:tcBorders>
          </w:tcPr>
          <w:p w14:paraId="49E131D3"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Moderate complication/comorbidity</w:t>
            </w:r>
          </w:p>
        </w:tc>
      </w:tr>
      <w:tr w:rsidR="00D876BB" w14:paraId="6E34F059" w14:textId="77777777" w:rsidTr="006307A4">
        <w:trPr>
          <w:trHeight w:val="270"/>
          <w:jc w:val="center"/>
        </w:trPr>
        <w:tc>
          <w:tcPr>
            <w:cnfStyle w:val="001000000000" w:firstRow="0" w:lastRow="0" w:firstColumn="1" w:lastColumn="0" w:oddVBand="0" w:evenVBand="0" w:oddHBand="0" w:evenHBand="0" w:firstRowFirstColumn="0" w:firstRowLastColumn="0" w:lastRowFirstColumn="0" w:lastRowLastColumn="0"/>
            <w:tcW w:w="1323" w:type="dxa"/>
          </w:tcPr>
          <w:p w14:paraId="64D1D2EE" w14:textId="77777777" w:rsidR="00D876BB" w:rsidRDefault="00D876BB" w:rsidP="00A1599C">
            <w:r>
              <w:t>3</w:t>
            </w:r>
          </w:p>
        </w:tc>
        <w:tc>
          <w:tcPr>
            <w:tcW w:w="7318" w:type="dxa"/>
          </w:tcPr>
          <w:p w14:paraId="6095CF0C" w14:textId="77777777" w:rsidR="00D876BB" w:rsidRDefault="00D876BB" w:rsidP="00A1599C">
            <w:pPr>
              <w:cnfStyle w:val="000000000000" w:firstRow="0" w:lastRow="0" w:firstColumn="0" w:lastColumn="0" w:oddVBand="0" w:evenVBand="0" w:oddHBand="0" w:evenHBand="0" w:firstRowFirstColumn="0" w:firstRowLastColumn="0" w:lastRowFirstColumn="0" w:lastRowLastColumn="0"/>
            </w:pPr>
            <w:r>
              <w:t>Severe complication/comorbidity</w:t>
            </w:r>
          </w:p>
        </w:tc>
      </w:tr>
      <w:tr w:rsidR="00D876BB" w14:paraId="2B0E0033" w14:textId="77777777" w:rsidTr="006307A4">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tcBorders>
          </w:tcPr>
          <w:p w14:paraId="7FF5833C" w14:textId="77777777" w:rsidR="00D876BB" w:rsidRDefault="00D876BB" w:rsidP="00A1599C">
            <w:r>
              <w:t>4</w:t>
            </w:r>
          </w:p>
        </w:tc>
        <w:tc>
          <w:tcPr>
            <w:tcW w:w="7318" w:type="dxa"/>
            <w:tcBorders>
              <w:top w:val="none" w:sz="0" w:space="0" w:color="auto"/>
              <w:bottom w:val="none" w:sz="0" w:space="0" w:color="auto"/>
              <w:right w:val="none" w:sz="0" w:space="0" w:color="auto"/>
            </w:tcBorders>
          </w:tcPr>
          <w:p w14:paraId="08B88D36"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Catastrophic complication/comorbidity</w:t>
            </w:r>
          </w:p>
        </w:tc>
      </w:tr>
    </w:tbl>
    <w:p w14:paraId="532A651D" w14:textId="77777777" w:rsidR="006307A4" w:rsidRDefault="006307A4" w:rsidP="006307A4">
      <w:pPr>
        <w:spacing w:before="200"/>
      </w:pPr>
      <w:r>
        <w:t xml:space="preserve">CCL values </w:t>
      </w:r>
      <w:r w:rsidR="00E4512F">
        <w:t xml:space="preserve">for the same additional diagnosis </w:t>
      </w:r>
      <w:r>
        <w:t>can vary between DRGs.  The CCL value given to a diagnosis depends on whether it is a valid CC and if it has been categorised from 0 to 4 for the DRG for the event record.  Listed below are examples of additional diagnoses and the CCL values</w:t>
      </w:r>
      <w:r w:rsidR="004E3752">
        <w:t xml:space="preserve"> for the different DRGs</w:t>
      </w:r>
      <w:r>
        <w:t>.</w:t>
      </w:r>
    </w:p>
    <w:p w14:paraId="1C75F968" w14:textId="77777777" w:rsidR="00862EA1" w:rsidRDefault="00862EA1" w:rsidP="006307A4">
      <w:pPr>
        <w:spacing w:before="200"/>
      </w:pPr>
      <w:r>
        <w:rPr>
          <w:noProof/>
          <w:lang w:eastAsia="en-NZ"/>
        </w:rPr>
        <w:drawing>
          <wp:inline distT="0" distB="0" distL="0" distR="0" wp14:anchorId="25A1CDCC" wp14:editId="4B60DE81">
            <wp:extent cx="575945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924050"/>
                    </a:xfrm>
                    <a:prstGeom prst="rect">
                      <a:avLst/>
                    </a:prstGeom>
                  </pic:spPr>
                </pic:pic>
              </a:graphicData>
            </a:graphic>
          </wp:inline>
        </w:drawing>
      </w:r>
    </w:p>
    <w:p w14:paraId="74EDC586" w14:textId="77777777" w:rsidR="00384306" w:rsidRDefault="00384306" w:rsidP="00A1599C"/>
    <w:p w14:paraId="60BF8F1A" w14:textId="77777777" w:rsidR="00384306" w:rsidRDefault="00384306" w:rsidP="00A1599C"/>
    <w:p w14:paraId="2FE1C82A" w14:textId="77777777" w:rsidR="00384306" w:rsidRDefault="00384306" w:rsidP="00A1599C"/>
    <w:p w14:paraId="03C8C66F" w14:textId="77777777" w:rsidR="00384306" w:rsidRDefault="00384306" w:rsidP="00A1599C"/>
    <w:p w14:paraId="48713544" w14:textId="77777777" w:rsidR="00D876BB" w:rsidRDefault="00604F90" w:rsidP="00A1599C">
      <w:r>
        <w:lastRenderedPageBreak/>
        <w:t>P</w:t>
      </w:r>
      <w:r w:rsidR="00BA164C">
        <w:t xml:space="preserve">atient </w:t>
      </w:r>
      <w:r>
        <w:t>C</w:t>
      </w:r>
      <w:r w:rsidR="00BA164C">
        <w:t xml:space="preserve">linical </w:t>
      </w:r>
      <w:r>
        <w:t>C</w:t>
      </w:r>
      <w:r w:rsidR="00BA164C">
        <w:t xml:space="preserve">omplexity </w:t>
      </w:r>
      <w:r>
        <w:t>L</w:t>
      </w:r>
      <w:r w:rsidR="00BA164C">
        <w:t>evel (PCCL)</w:t>
      </w:r>
      <w:r>
        <w:t xml:space="preserve"> val</w:t>
      </w:r>
      <w:r w:rsidR="0018011C">
        <w:t>u</w:t>
      </w:r>
      <w:r>
        <w:t xml:space="preserve">es are integer and vary from 0 to 4 </w:t>
      </w:r>
    </w:p>
    <w:tbl>
      <w:tblPr>
        <w:tblStyle w:val="LightList-Accent1"/>
        <w:tblW w:w="0" w:type="auto"/>
        <w:jc w:val="center"/>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1526"/>
        <w:gridCol w:w="2693"/>
      </w:tblGrid>
      <w:tr w:rsidR="00D876BB" w14:paraId="3B7DEF45" w14:textId="77777777" w:rsidTr="008E79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3A153A3C" w14:textId="77777777" w:rsidR="00D876BB" w:rsidRDefault="00D876BB" w:rsidP="00A1599C">
            <w:r>
              <w:t>PCCL Value</w:t>
            </w:r>
          </w:p>
        </w:tc>
        <w:tc>
          <w:tcPr>
            <w:tcW w:w="2693" w:type="dxa"/>
          </w:tcPr>
          <w:p w14:paraId="5B67E30A" w14:textId="77777777" w:rsidR="00D876BB" w:rsidRDefault="00D876BB" w:rsidP="00A1599C">
            <w:pPr>
              <w:cnfStyle w:val="100000000000" w:firstRow="1" w:lastRow="0" w:firstColumn="0" w:lastColumn="0" w:oddVBand="0" w:evenVBand="0" w:oddHBand="0" w:evenHBand="0" w:firstRowFirstColumn="0" w:firstRowLastColumn="0" w:lastRowFirstColumn="0" w:lastRowLastColumn="0"/>
            </w:pPr>
            <w:r>
              <w:t>Description</w:t>
            </w:r>
          </w:p>
        </w:tc>
      </w:tr>
      <w:tr w:rsidR="00D876BB" w14:paraId="15C0994E" w14:textId="77777777" w:rsidTr="008E79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6950EE79" w14:textId="77777777" w:rsidR="00D876BB" w:rsidRDefault="00D876BB" w:rsidP="00A1599C">
            <w:r>
              <w:t>0</w:t>
            </w:r>
          </w:p>
        </w:tc>
        <w:tc>
          <w:tcPr>
            <w:tcW w:w="2693" w:type="dxa"/>
            <w:tcBorders>
              <w:top w:val="none" w:sz="0" w:space="0" w:color="auto"/>
              <w:bottom w:val="none" w:sz="0" w:space="0" w:color="auto"/>
              <w:right w:val="none" w:sz="0" w:space="0" w:color="auto"/>
            </w:tcBorders>
          </w:tcPr>
          <w:p w14:paraId="60D991F0"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No CC effect</w:t>
            </w:r>
          </w:p>
        </w:tc>
      </w:tr>
      <w:tr w:rsidR="00D876BB" w14:paraId="09AC338C" w14:textId="77777777" w:rsidTr="008E7916">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8C5F525" w14:textId="77777777" w:rsidR="00D876BB" w:rsidRDefault="00D876BB" w:rsidP="00A1599C">
            <w:r>
              <w:t>1</w:t>
            </w:r>
          </w:p>
        </w:tc>
        <w:tc>
          <w:tcPr>
            <w:tcW w:w="2693" w:type="dxa"/>
          </w:tcPr>
          <w:p w14:paraId="7D5A3B91" w14:textId="77777777" w:rsidR="00D876BB" w:rsidRDefault="00D876BB" w:rsidP="00A1599C">
            <w:pPr>
              <w:cnfStyle w:val="000000000000" w:firstRow="0" w:lastRow="0" w:firstColumn="0" w:lastColumn="0" w:oddVBand="0" w:evenVBand="0" w:oddHBand="0" w:evenHBand="0" w:firstRowFirstColumn="0" w:firstRowLastColumn="0" w:lastRowFirstColumn="0" w:lastRowLastColumn="0"/>
            </w:pPr>
            <w:r>
              <w:t>Minor CC effect</w:t>
            </w:r>
          </w:p>
        </w:tc>
      </w:tr>
      <w:tr w:rsidR="00D876BB" w14:paraId="41293F27" w14:textId="77777777" w:rsidTr="008E79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2E423DBA" w14:textId="77777777" w:rsidR="00D876BB" w:rsidRDefault="00D876BB" w:rsidP="00A1599C">
            <w:r>
              <w:t>2</w:t>
            </w:r>
          </w:p>
        </w:tc>
        <w:tc>
          <w:tcPr>
            <w:tcW w:w="2693" w:type="dxa"/>
            <w:tcBorders>
              <w:top w:val="none" w:sz="0" w:space="0" w:color="auto"/>
              <w:bottom w:val="none" w:sz="0" w:space="0" w:color="auto"/>
              <w:right w:val="none" w:sz="0" w:space="0" w:color="auto"/>
            </w:tcBorders>
          </w:tcPr>
          <w:p w14:paraId="3E46E76E"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Moderate CC effect</w:t>
            </w:r>
          </w:p>
        </w:tc>
      </w:tr>
      <w:tr w:rsidR="00D876BB" w14:paraId="1303C325" w14:textId="77777777" w:rsidTr="008E7916">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66688CFD" w14:textId="77777777" w:rsidR="00D876BB" w:rsidRDefault="00D876BB" w:rsidP="00A1599C">
            <w:r>
              <w:t>3</w:t>
            </w:r>
          </w:p>
        </w:tc>
        <w:tc>
          <w:tcPr>
            <w:tcW w:w="2693" w:type="dxa"/>
          </w:tcPr>
          <w:p w14:paraId="53F5AD3C" w14:textId="77777777" w:rsidR="00D876BB" w:rsidRDefault="00D876BB" w:rsidP="00A1599C">
            <w:pPr>
              <w:cnfStyle w:val="000000000000" w:firstRow="0" w:lastRow="0" w:firstColumn="0" w:lastColumn="0" w:oddVBand="0" w:evenVBand="0" w:oddHBand="0" w:evenHBand="0" w:firstRowFirstColumn="0" w:firstRowLastColumn="0" w:lastRowFirstColumn="0" w:lastRowLastColumn="0"/>
            </w:pPr>
            <w:r>
              <w:t>Severe CC effect</w:t>
            </w:r>
          </w:p>
        </w:tc>
      </w:tr>
      <w:tr w:rsidR="00D876BB" w14:paraId="003968DF" w14:textId="77777777" w:rsidTr="008E79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12622EF2" w14:textId="77777777" w:rsidR="00D876BB" w:rsidRDefault="00D876BB" w:rsidP="00A1599C">
            <w:r>
              <w:t>4</w:t>
            </w:r>
          </w:p>
        </w:tc>
        <w:tc>
          <w:tcPr>
            <w:tcW w:w="2693" w:type="dxa"/>
            <w:tcBorders>
              <w:top w:val="none" w:sz="0" w:space="0" w:color="auto"/>
              <w:bottom w:val="none" w:sz="0" w:space="0" w:color="auto"/>
              <w:right w:val="none" w:sz="0" w:space="0" w:color="auto"/>
            </w:tcBorders>
          </w:tcPr>
          <w:p w14:paraId="5BAFBED9" w14:textId="77777777" w:rsidR="00D876BB" w:rsidRDefault="00D876BB" w:rsidP="00A1599C">
            <w:pPr>
              <w:cnfStyle w:val="000000100000" w:firstRow="0" w:lastRow="0" w:firstColumn="0" w:lastColumn="0" w:oddVBand="0" w:evenVBand="0" w:oddHBand="1" w:evenHBand="0" w:firstRowFirstColumn="0" w:firstRowLastColumn="0" w:lastRowFirstColumn="0" w:lastRowLastColumn="0"/>
            </w:pPr>
            <w:r>
              <w:t>Catastrophic CC effect</w:t>
            </w:r>
          </w:p>
        </w:tc>
      </w:tr>
    </w:tbl>
    <w:p w14:paraId="3578E4EA" w14:textId="77777777" w:rsidR="00D67B1D" w:rsidRDefault="00D67B1D" w:rsidP="00F524F4"/>
    <w:p w14:paraId="79F2BDCC" w14:textId="77777777" w:rsidR="0018011C" w:rsidRDefault="0018011C" w:rsidP="00F524F4">
      <w:r>
        <w:t xml:space="preserve">In the DRG code example </w:t>
      </w:r>
      <w:r w:rsidR="007E3DDE">
        <w:t xml:space="preserve">(on the previous page) </w:t>
      </w:r>
      <w:r>
        <w:t xml:space="preserve">the events in I01A are those with PCCL &gt; 3. </w:t>
      </w:r>
    </w:p>
    <w:p w14:paraId="70682CB3" w14:textId="77777777" w:rsidR="002C3560" w:rsidRDefault="002C3560" w:rsidP="00F524F4">
      <w:r>
        <w:t>The calculation of the PCCL is complex and is designed to prevent similar conditions from being counted more than once. In the table below are examples of the various combinations of CCL value</w:t>
      </w:r>
      <w:r w:rsidR="00FC2182">
        <w:t>s that give a PCCL of 1 to 4.</w:t>
      </w:r>
    </w:p>
    <w:p w14:paraId="6787B6F3" w14:textId="77777777" w:rsidR="00862EA1" w:rsidRDefault="00862EA1" w:rsidP="00862EA1">
      <w:pPr>
        <w:spacing w:after="0" w:line="240" w:lineRule="auto"/>
        <w:jc w:val="center"/>
      </w:pPr>
      <w:r>
        <w:rPr>
          <w:noProof/>
          <w:lang w:eastAsia="en-NZ"/>
        </w:rPr>
        <w:drawing>
          <wp:inline distT="0" distB="0" distL="0" distR="0" wp14:anchorId="5E44DB12" wp14:editId="12952413">
            <wp:extent cx="363855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8550" cy="2314575"/>
                    </a:xfrm>
                    <a:prstGeom prst="rect">
                      <a:avLst/>
                    </a:prstGeom>
                  </pic:spPr>
                </pic:pic>
              </a:graphicData>
            </a:graphic>
          </wp:inline>
        </w:drawing>
      </w:r>
    </w:p>
    <w:p w14:paraId="5C828615" w14:textId="77777777" w:rsidR="00D428BA" w:rsidRPr="00DC392E" w:rsidRDefault="00A46417" w:rsidP="00A46417">
      <w:pPr>
        <w:tabs>
          <w:tab w:val="left" w:pos="1701"/>
        </w:tabs>
      </w:pPr>
      <w:r>
        <w:tab/>
      </w:r>
      <w:r w:rsidRPr="00CD3F2A">
        <w:rPr>
          <w:sz w:val="20"/>
        </w:rPr>
        <w:t xml:space="preserve">Adx </w:t>
      </w:r>
      <w:r w:rsidR="00CD3F2A" w:rsidRPr="00CD3F2A">
        <w:rPr>
          <w:sz w:val="20"/>
        </w:rPr>
        <w:t>=</w:t>
      </w:r>
      <w:r w:rsidRPr="00CD3F2A">
        <w:rPr>
          <w:sz w:val="20"/>
        </w:rPr>
        <w:t xml:space="preserve"> Additional diagnosis</w:t>
      </w:r>
    </w:p>
    <w:p w14:paraId="165EAC7F" w14:textId="77777777" w:rsidR="00D876BB" w:rsidRPr="003E33F5" w:rsidRDefault="00D876BB" w:rsidP="00EE39D2">
      <w:pPr>
        <w:jc w:val="center"/>
        <w:rPr>
          <w:rFonts w:ascii="Arial" w:hAnsi="Arial" w:cs="Arial"/>
        </w:rPr>
      </w:pPr>
      <w:r w:rsidRPr="007130A9">
        <w:rPr>
          <w:noProof/>
          <w:lang w:eastAsia="en-NZ"/>
        </w:rPr>
        <w:drawing>
          <wp:inline distT="0" distB="0" distL="0" distR="0" wp14:anchorId="7E959AE8" wp14:editId="4C64A45A">
            <wp:extent cx="3810000" cy="2788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4942" cy="2791808"/>
                    </a:xfrm>
                    <a:prstGeom prst="rect">
                      <a:avLst/>
                    </a:prstGeom>
                  </pic:spPr>
                </pic:pic>
              </a:graphicData>
            </a:graphic>
          </wp:inline>
        </w:drawing>
      </w:r>
    </w:p>
    <w:p w14:paraId="490C47F2" w14:textId="77777777" w:rsidR="00D876BB" w:rsidRPr="00FD74FA" w:rsidRDefault="00D876BB" w:rsidP="00A1599C">
      <w:r w:rsidRPr="00FD74FA">
        <w:t>This chart shows</w:t>
      </w:r>
      <w:r>
        <w:t xml:space="preserve"> the distribution of PCCL rankings in the 2013/14 admitted patient data that is casemix</w:t>
      </w:r>
      <w:r w:rsidR="00094A08">
        <w:t xml:space="preserve"> </w:t>
      </w:r>
      <w:r>
        <w:t>funded (see Part III). About 30% of events have some form of complication.</w:t>
      </w:r>
    </w:p>
    <w:p w14:paraId="7730F783" w14:textId="77777777" w:rsidR="00A535DA" w:rsidRDefault="0060575B" w:rsidP="00A1599C">
      <w:r w:rsidRPr="00A46C60">
        <w:rPr>
          <w:rStyle w:val="Heading4Char"/>
        </w:rPr>
        <w:lastRenderedPageBreak/>
        <w:t>Major Diagnostic Categories (MDC)</w:t>
      </w:r>
      <w:r>
        <w:t xml:space="preserve"> are generally based on a single body system or aetiology associated with a particular medical specialty</w:t>
      </w:r>
      <w:r w:rsidR="00A46C60">
        <w:t xml:space="preserve">. AR-DRG has 23 MDCs. </w:t>
      </w:r>
    </w:p>
    <w:p w14:paraId="2C944C4F" w14:textId="77777777" w:rsidR="00A46C60" w:rsidRDefault="00A46C60" w:rsidP="00A1599C">
      <w:r w:rsidRPr="00A46C60">
        <w:rPr>
          <w:rStyle w:val="Heading4Char"/>
        </w:rPr>
        <w:t>Pre-MDC</w:t>
      </w:r>
      <w:r w:rsidR="00CD3F2A">
        <w:t xml:space="preserve"> </w:t>
      </w:r>
      <w:r>
        <w:t>is the set of DRGs for major procedures which are best described by the procedures performed and for which the principal diagnosis could be associated with any MDC. This set includes transplants, tracheostomy/mechanical ventilation, ECMO, insertion of ventricular assist devices, implantable spinal infusion devices, and neurostimulator devices.</w:t>
      </w:r>
    </w:p>
    <w:p w14:paraId="504045F2" w14:textId="77777777" w:rsidR="00A46C60" w:rsidRDefault="00A46C60" w:rsidP="00A1599C">
      <w:r>
        <w:t xml:space="preserve">The 23 MDCs </w:t>
      </w:r>
      <w:r w:rsidR="006C21D0">
        <w:t xml:space="preserve">and Pre MDC </w:t>
      </w:r>
      <w:r>
        <w:t>are</w:t>
      </w:r>
      <w:r w:rsidR="006C21D0">
        <w:t>:</w:t>
      </w:r>
    </w:p>
    <w:tbl>
      <w:tblPr>
        <w:tblStyle w:val="LightList-Accent1"/>
        <w:tblW w:w="0" w:type="auto"/>
        <w:jc w:val="center"/>
        <w:tblBorders>
          <w:left w:val="none" w:sz="0" w:space="0" w:color="auto"/>
          <w:right w:val="none" w:sz="0" w:space="0" w:color="auto"/>
          <w:insideH w:val="single" w:sz="8" w:space="0" w:color="4F81BD" w:themeColor="accent1"/>
        </w:tblBorders>
        <w:tblLook w:val="04A0" w:firstRow="1" w:lastRow="0" w:firstColumn="1" w:lastColumn="0" w:noHBand="0" w:noVBand="1"/>
      </w:tblPr>
      <w:tblGrid>
        <w:gridCol w:w="817"/>
        <w:gridCol w:w="7796"/>
      </w:tblGrid>
      <w:tr w:rsidR="00662BA3" w14:paraId="0EBCF875" w14:textId="77777777" w:rsidTr="00AA4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CC8272F" w14:textId="77777777" w:rsidR="00662BA3" w:rsidRPr="00662BA3" w:rsidRDefault="00662BA3" w:rsidP="00A1599C">
            <w:r w:rsidRPr="00662BA3">
              <w:t>MDC</w:t>
            </w:r>
          </w:p>
        </w:tc>
        <w:tc>
          <w:tcPr>
            <w:tcW w:w="7796" w:type="dxa"/>
          </w:tcPr>
          <w:p w14:paraId="359420D9" w14:textId="77777777" w:rsidR="00662BA3" w:rsidRPr="00662BA3" w:rsidRDefault="00662BA3" w:rsidP="00A1599C">
            <w:pPr>
              <w:cnfStyle w:val="100000000000" w:firstRow="1" w:lastRow="0" w:firstColumn="0" w:lastColumn="0" w:oddVBand="0" w:evenVBand="0" w:oddHBand="0" w:evenHBand="0" w:firstRowFirstColumn="0" w:firstRowLastColumn="0" w:lastRowFirstColumn="0" w:lastRowLastColumn="0"/>
            </w:pPr>
            <w:r w:rsidRPr="00662BA3">
              <w:t>MDC Description</w:t>
            </w:r>
          </w:p>
        </w:tc>
      </w:tr>
      <w:tr w:rsidR="0099198E" w14:paraId="2CDA9422"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029448E5" w14:textId="77777777" w:rsidR="0099198E" w:rsidRDefault="0099198E" w:rsidP="00A1599C">
            <w:r>
              <w:t>Pre</w:t>
            </w:r>
          </w:p>
        </w:tc>
        <w:tc>
          <w:tcPr>
            <w:tcW w:w="7796" w:type="dxa"/>
            <w:tcBorders>
              <w:top w:val="none" w:sz="0" w:space="0" w:color="auto"/>
              <w:bottom w:val="none" w:sz="0" w:space="0" w:color="auto"/>
              <w:right w:val="none" w:sz="0" w:space="0" w:color="auto"/>
            </w:tcBorders>
          </w:tcPr>
          <w:p w14:paraId="0DBD2900"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Major Procedures</w:t>
            </w:r>
            <w:r w:rsidR="00CF7E5B">
              <w:t xml:space="preserve"> – principal diagnosis associated with any MDC</w:t>
            </w:r>
          </w:p>
        </w:tc>
      </w:tr>
      <w:tr w:rsidR="0099198E" w14:paraId="614656A8"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871B07F" w14:textId="77777777" w:rsidR="0099198E" w:rsidRDefault="0099198E" w:rsidP="00A1599C">
            <w:r>
              <w:t>01</w:t>
            </w:r>
          </w:p>
        </w:tc>
        <w:tc>
          <w:tcPr>
            <w:tcW w:w="7796" w:type="dxa"/>
          </w:tcPr>
          <w:p w14:paraId="1C8CD14E"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nervous system</w:t>
            </w:r>
          </w:p>
        </w:tc>
      </w:tr>
      <w:tr w:rsidR="0099198E" w14:paraId="085FBF7B"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62774325" w14:textId="77777777" w:rsidR="0099198E" w:rsidRDefault="0099198E" w:rsidP="00A1599C">
            <w:r>
              <w:t>02</w:t>
            </w:r>
          </w:p>
        </w:tc>
        <w:tc>
          <w:tcPr>
            <w:tcW w:w="7796" w:type="dxa"/>
            <w:tcBorders>
              <w:top w:val="none" w:sz="0" w:space="0" w:color="auto"/>
              <w:bottom w:val="none" w:sz="0" w:space="0" w:color="auto"/>
              <w:right w:val="none" w:sz="0" w:space="0" w:color="auto"/>
            </w:tcBorders>
          </w:tcPr>
          <w:p w14:paraId="1457D3A9"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eye</w:t>
            </w:r>
          </w:p>
        </w:tc>
      </w:tr>
      <w:tr w:rsidR="0099198E" w14:paraId="09BC789C"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C41974A" w14:textId="77777777" w:rsidR="0099198E" w:rsidRDefault="0099198E" w:rsidP="00A1599C">
            <w:r>
              <w:t>03</w:t>
            </w:r>
          </w:p>
        </w:tc>
        <w:tc>
          <w:tcPr>
            <w:tcW w:w="7796" w:type="dxa"/>
          </w:tcPr>
          <w:p w14:paraId="5B55E845"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ear, nose, mouth and throat</w:t>
            </w:r>
          </w:p>
        </w:tc>
      </w:tr>
      <w:tr w:rsidR="0099198E" w14:paraId="3F579752"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1E6BAE79" w14:textId="77777777" w:rsidR="0099198E" w:rsidRDefault="0099198E" w:rsidP="00A1599C">
            <w:r>
              <w:t>04</w:t>
            </w:r>
          </w:p>
        </w:tc>
        <w:tc>
          <w:tcPr>
            <w:tcW w:w="7796" w:type="dxa"/>
            <w:tcBorders>
              <w:top w:val="none" w:sz="0" w:space="0" w:color="auto"/>
              <w:bottom w:val="none" w:sz="0" w:space="0" w:color="auto"/>
              <w:right w:val="none" w:sz="0" w:space="0" w:color="auto"/>
            </w:tcBorders>
          </w:tcPr>
          <w:p w14:paraId="24111B78"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respiratory system</w:t>
            </w:r>
          </w:p>
        </w:tc>
      </w:tr>
      <w:tr w:rsidR="0099198E" w14:paraId="05AC564A"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E54FEA1" w14:textId="77777777" w:rsidR="0099198E" w:rsidRDefault="0099198E" w:rsidP="00A1599C">
            <w:r>
              <w:t>05</w:t>
            </w:r>
          </w:p>
        </w:tc>
        <w:tc>
          <w:tcPr>
            <w:tcW w:w="7796" w:type="dxa"/>
          </w:tcPr>
          <w:p w14:paraId="3DB93829"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circulatory system</w:t>
            </w:r>
          </w:p>
        </w:tc>
      </w:tr>
      <w:tr w:rsidR="0099198E" w14:paraId="4F77EC0E"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3F76FCBF" w14:textId="77777777" w:rsidR="0099198E" w:rsidRDefault="0099198E" w:rsidP="00A1599C">
            <w:r>
              <w:t>06</w:t>
            </w:r>
          </w:p>
        </w:tc>
        <w:tc>
          <w:tcPr>
            <w:tcW w:w="7796" w:type="dxa"/>
            <w:tcBorders>
              <w:top w:val="none" w:sz="0" w:space="0" w:color="auto"/>
              <w:bottom w:val="none" w:sz="0" w:space="0" w:color="auto"/>
              <w:right w:val="none" w:sz="0" w:space="0" w:color="auto"/>
            </w:tcBorders>
          </w:tcPr>
          <w:p w14:paraId="52CAF723"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digestive system</w:t>
            </w:r>
          </w:p>
        </w:tc>
      </w:tr>
      <w:tr w:rsidR="0099198E" w14:paraId="3D4FBFAE"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6A7B5F8" w14:textId="77777777" w:rsidR="0099198E" w:rsidRDefault="0099198E" w:rsidP="00A1599C">
            <w:r>
              <w:t>07</w:t>
            </w:r>
          </w:p>
        </w:tc>
        <w:tc>
          <w:tcPr>
            <w:tcW w:w="7796" w:type="dxa"/>
          </w:tcPr>
          <w:p w14:paraId="2AFCBF9D"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hepatobiliary system and pancreas</w:t>
            </w:r>
          </w:p>
        </w:tc>
      </w:tr>
      <w:tr w:rsidR="0099198E" w14:paraId="12B183A0"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3779414A" w14:textId="77777777" w:rsidR="0099198E" w:rsidRDefault="0099198E" w:rsidP="00A1599C">
            <w:r>
              <w:t>08</w:t>
            </w:r>
          </w:p>
        </w:tc>
        <w:tc>
          <w:tcPr>
            <w:tcW w:w="7796" w:type="dxa"/>
            <w:tcBorders>
              <w:top w:val="none" w:sz="0" w:space="0" w:color="auto"/>
              <w:bottom w:val="none" w:sz="0" w:space="0" w:color="auto"/>
              <w:right w:val="none" w:sz="0" w:space="0" w:color="auto"/>
            </w:tcBorders>
          </w:tcPr>
          <w:p w14:paraId="41CA8DDF"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musculoskeletal system and connective tissue</w:t>
            </w:r>
          </w:p>
        </w:tc>
      </w:tr>
      <w:tr w:rsidR="0099198E" w14:paraId="4E992078"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F133BE9" w14:textId="77777777" w:rsidR="0099198E" w:rsidRDefault="0099198E" w:rsidP="00A1599C">
            <w:r>
              <w:t>09</w:t>
            </w:r>
          </w:p>
        </w:tc>
        <w:tc>
          <w:tcPr>
            <w:tcW w:w="7796" w:type="dxa"/>
          </w:tcPr>
          <w:p w14:paraId="5FEE289E"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skin, subcutaneous tissue and breast</w:t>
            </w:r>
          </w:p>
        </w:tc>
      </w:tr>
      <w:tr w:rsidR="0099198E" w14:paraId="54E93E6D"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637F8B16" w14:textId="77777777" w:rsidR="0099198E" w:rsidRDefault="0099198E" w:rsidP="00A1599C">
            <w:r>
              <w:t>10</w:t>
            </w:r>
          </w:p>
        </w:tc>
        <w:tc>
          <w:tcPr>
            <w:tcW w:w="7796" w:type="dxa"/>
            <w:tcBorders>
              <w:top w:val="none" w:sz="0" w:space="0" w:color="auto"/>
              <w:bottom w:val="none" w:sz="0" w:space="0" w:color="auto"/>
              <w:right w:val="none" w:sz="0" w:space="0" w:color="auto"/>
            </w:tcBorders>
          </w:tcPr>
          <w:p w14:paraId="2F07AF9F"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Endocrine, nutritional and metabolic diseases and disorders</w:t>
            </w:r>
          </w:p>
        </w:tc>
      </w:tr>
      <w:tr w:rsidR="0099198E" w14:paraId="507CB8BA"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30CC95F" w14:textId="77777777" w:rsidR="0099198E" w:rsidRDefault="0099198E" w:rsidP="00A1599C">
            <w:r>
              <w:t>11</w:t>
            </w:r>
          </w:p>
        </w:tc>
        <w:tc>
          <w:tcPr>
            <w:tcW w:w="7796" w:type="dxa"/>
          </w:tcPr>
          <w:p w14:paraId="6C95F8F5"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kidney and urinary tract</w:t>
            </w:r>
          </w:p>
        </w:tc>
      </w:tr>
      <w:tr w:rsidR="0099198E" w14:paraId="40061CB2"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5BC79CCC" w14:textId="77777777" w:rsidR="0099198E" w:rsidRDefault="0099198E" w:rsidP="00A1599C">
            <w:r>
              <w:t>12</w:t>
            </w:r>
          </w:p>
        </w:tc>
        <w:tc>
          <w:tcPr>
            <w:tcW w:w="7796" w:type="dxa"/>
            <w:tcBorders>
              <w:top w:val="none" w:sz="0" w:space="0" w:color="auto"/>
              <w:bottom w:val="none" w:sz="0" w:space="0" w:color="auto"/>
              <w:right w:val="none" w:sz="0" w:space="0" w:color="auto"/>
            </w:tcBorders>
          </w:tcPr>
          <w:p w14:paraId="13D72729"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male reproductive system</w:t>
            </w:r>
          </w:p>
        </w:tc>
      </w:tr>
      <w:tr w:rsidR="0099198E" w14:paraId="5EFC68FD"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587B979" w14:textId="77777777" w:rsidR="0099198E" w:rsidRDefault="0099198E" w:rsidP="00A1599C">
            <w:r>
              <w:t>13</w:t>
            </w:r>
          </w:p>
        </w:tc>
        <w:tc>
          <w:tcPr>
            <w:tcW w:w="7796" w:type="dxa"/>
          </w:tcPr>
          <w:p w14:paraId="02E32483"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Diseases and disorders of the female reproductive system</w:t>
            </w:r>
          </w:p>
        </w:tc>
      </w:tr>
      <w:tr w:rsidR="0099198E" w14:paraId="4859B907"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1454A2FB" w14:textId="77777777" w:rsidR="0099198E" w:rsidRDefault="0099198E" w:rsidP="00A1599C">
            <w:r>
              <w:t>14</w:t>
            </w:r>
          </w:p>
        </w:tc>
        <w:tc>
          <w:tcPr>
            <w:tcW w:w="7796" w:type="dxa"/>
            <w:tcBorders>
              <w:top w:val="none" w:sz="0" w:space="0" w:color="auto"/>
              <w:bottom w:val="none" w:sz="0" w:space="0" w:color="auto"/>
              <w:right w:val="none" w:sz="0" w:space="0" w:color="auto"/>
            </w:tcBorders>
          </w:tcPr>
          <w:p w14:paraId="0DFD4556"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Pregnancy, childbirth and the puerperium</w:t>
            </w:r>
          </w:p>
        </w:tc>
      </w:tr>
      <w:tr w:rsidR="0099198E" w14:paraId="2179A109"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51C11A4" w14:textId="77777777" w:rsidR="0099198E" w:rsidRDefault="0099198E" w:rsidP="00A1599C">
            <w:r>
              <w:t>15</w:t>
            </w:r>
          </w:p>
        </w:tc>
        <w:tc>
          <w:tcPr>
            <w:tcW w:w="7796" w:type="dxa"/>
          </w:tcPr>
          <w:p w14:paraId="10DDA117"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Newborns and other neonates</w:t>
            </w:r>
          </w:p>
        </w:tc>
      </w:tr>
      <w:tr w:rsidR="0099198E" w14:paraId="672B4CE4"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52239A27" w14:textId="77777777" w:rsidR="0099198E" w:rsidRDefault="0099198E" w:rsidP="00A1599C">
            <w:r>
              <w:t>16</w:t>
            </w:r>
          </w:p>
        </w:tc>
        <w:tc>
          <w:tcPr>
            <w:tcW w:w="7796" w:type="dxa"/>
            <w:tcBorders>
              <w:top w:val="none" w:sz="0" w:space="0" w:color="auto"/>
              <w:bottom w:val="none" w:sz="0" w:space="0" w:color="auto"/>
              <w:right w:val="none" w:sz="0" w:space="0" w:color="auto"/>
            </w:tcBorders>
          </w:tcPr>
          <w:p w14:paraId="3ADDB9BD"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Diseases and disorders of the blood and blood-forming organs and immunological disorders</w:t>
            </w:r>
          </w:p>
        </w:tc>
      </w:tr>
      <w:tr w:rsidR="0099198E" w14:paraId="0FB7FB58"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0331C0BE" w14:textId="77777777" w:rsidR="0099198E" w:rsidRDefault="0099198E" w:rsidP="00A1599C">
            <w:r>
              <w:t>17</w:t>
            </w:r>
          </w:p>
        </w:tc>
        <w:tc>
          <w:tcPr>
            <w:tcW w:w="7796" w:type="dxa"/>
          </w:tcPr>
          <w:p w14:paraId="26BBDA71"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Neoplastic disorders (haematological and solid neoplasms)</w:t>
            </w:r>
          </w:p>
        </w:tc>
      </w:tr>
      <w:tr w:rsidR="0099198E" w14:paraId="2CEE1FB4"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203224BB" w14:textId="77777777" w:rsidR="0099198E" w:rsidRDefault="0099198E" w:rsidP="00A1599C">
            <w:r>
              <w:t>18</w:t>
            </w:r>
          </w:p>
        </w:tc>
        <w:tc>
          <w:tcPr>
            <w:tcW w:w="7796" w:type="dxa"/>
            <w:tcBorders>
              <w:top w:val="none" w:sz="0" w:space="0" w:color="auto"/>
              <w:bottom w:val="none" w:sz="0" w:space="0" w:color="auto"/>
              <w:right w:val="none" w:sz="0" w:space="0" w:color="auto"/>
            </w:tcBorders>
          </w:tcPr>
          <w:p w14:paraId="3EB7D188"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Infectious and parasitic diseases</w:t>
            </w:r>
          </w:p>
        </w:tc>
      </w:tr>
      <w:tr w:rsidR="0099198E" w14:paraId="6E3685B6"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643194D" w14:textId="77777777" w:rsidR="0099198E" w:rsidRDefault="0099198E" w:rsidP="00A1599C">
            <w:r>
              <w:t>19</w:t>
            </w:r>
          </w:p>
        </w:tc>
        <w:tc>
          <w:tcPr>
            <w:tcW w:w="7796" w:type="dxa"/>
          </w:tcPr>
          <w:p w14:paraId="172E81CE" w14:textId="77777777" w:rsidR="0099198E" w:rsidRDefault="0099198E" w:rsidP="00A1599C">
            <w:pPr>
              <w:cnfStyle w:val="000000000000" w:firstRow="0" w:lastRow="0" w:firstColumn="0" w:lastColumn="0" w:oddVBand="0" w:evenVBand="0" w:oddHBand="0" w:evenHBand="0" w:firstRowFirstColumn="0" w:firstRowLastColumn="0" w:lastRowFirstColumn="0" w:lastRowLastColumn="0"/>
            </w:pPr>
            <w:r>
              <w:t>Mental diseases and disorders</w:t>
            </w:r>
          </w:p>
        </w:tc>
      </w:tr>
      <w:tr w:rsidR="0099198E" w14:paraId="5D4874A9"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3CB49B11" w14:textId="77777777" w:rsidR="0099198E" w:rsidRDefault="0099198E" w:rsidP="00A1599C">
            <w:r>
              <w:t>20</w:t>
            </w:r>
          </w:p>
        </w:tc>
        <w:tc>
          <w:tcPr>
            <w:tcW w:w="7796" w:type="dxa"/>
            <w:tcBorders>
              <w:top w:val="none" w:sz="0" w:space="0" w:color="auto"/>
              <w:bottom w:val="none" w:sz="0" w:space="0" w:color="auto"/>
              <w:right w:val="none" w:sz="0" w:space="0" w:color="auto"/>
            </w:tcBorders>
          </w:tcPr>
          <w:p w14:paraId="77ADB011" w14:textId="77777777" w:rsidR="0099198E" w:rsidRDefault="00AC3C77" w:rsidP="00A1599C">
            <w:pPr>
              <w:cnfStyle w:val="000000100000" w:firstRow="0" w:lastRow="0" w:firstColumn="0" w:lastColumn="0" w:oddVBand="0" w:evenVBand="0" w:oddHBand="1" w:evenHBand="0" w:firstRowFirstColumn="0" w:firstRowLastColumn="0" w:lastRowFirstColumn="0" w:lastRowLastColumn="0"/>
            </w:pPr>
            <w:r>
              <w:t>Alcohol/drug use and alcohol/drug induced organic mental</w:t>
            </w:r>
            <w:r w:rsidR="0099198E">
              <w:t xml:space="preserve"> disorders</w:t>
            </w:r>
          </w:p>
        </w:tc>
      </w:tr>
      <w:tr w:rsidR="0099198E" w14:paraId="06022C9D" w14:textId="77777777" w:rsidTr="00AA4F2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FB0543B" w14:textId="77777777" w:rsidR="0099198E" w:rsidRDefault="0099198E" w:rsidP="00A1599C">
            <w:r>
              <w:t>21</w:t>
            </w:r>
          </w:p>
        </w:tc>
        <w:tc>
          <w:tcPr>
            <w:tcW w:w="7796" w:type="dxa"/>
          </w:tcPr>
          <w:p w14:paraId="6A9C374B" w14:textId="77777777" w:rsidR="0099198E" w:rsidRDefault="00AC3C77" w:rsidP="00A1599C">
            <w:pPr>
              <w:cnfStyle w:val="000000000000" w:firstRow="0" w:lastRow="0" w:firstColumn="0" w:lastColumn="0" w:oddVBand="0" w:evenVBand="0" w:oddHBand="0" w:evenHBand="0" w:firstRowFirstColumn="0" w:firstRowLastColumn="0" w:lastRowFirstColumn="0" w:lastRowLastColumn="0"/>
            </w:pPr>
            <w:r>
              <w:t>Injuries, poisoning and toxic effect of drugs</w:t>
            </w:r>
          </w:p>
        </w:tc>
      </w:tr>
      <w:tr w:rsidR="0099198E" w14:paraId="1201ADD0" w14:textId="77777777" w:rsidTr="00AA4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tcBorders>
          </w:tcPr>
          <w:p w14:paraId="1C7639E3" w14:textId="77777777" w:rsidR="0099198E" w:rsidRDefault="0099198E" w:rsidP="00A1599C">
            <w:r>
              <w:t>22</w:t>
            </w:r>
          </w:p>
        </w:tc>
        <w:tc>
          <w:tcPr>
            <w:tcW w:w="7796" w:type="dxa"/>
            <w:tcBorders>
              <w:top w:val="none" w:sz="0" w:space="0" w:color="auto"/>
              <w:bottom w:val="none" w:sz="0" w:space="0" w:color="auto"/>
              <w:right w:val="none" w:sz="0" w:space="0" w:color="auto"/>
            </w:tcBorders>
          </w:tcPr>
          <w:p w14:paraId="7E976B70" w14:textId="77777777" w:rsidR="0099198E" w:rsidRDefault="0099198E" w:rsidP="00A1599C">
            <w:pPr>
              <w:cnfStyle w:val="000000100000" w:firstRow="0" w:lastRow="0" w:firstColumn="0" w:lastColumn="0" w:oddVBand="0" w:evenVBand="0" w:oddHBand="1" w:evenHBand="0" w:firstRowFirstColumn="0" w:firstRowLastColumn="0" w:lastRowFirstColumn="0" w:lastRowLastColumn="0"/>
            </w:pPr>
            <w:r>
              <w:t>Burns</w:t>
            </w:r>
          </w:p>
        </w:tc>
      </w:tr>
      <w:tr w:rsidR="0099198E" w14:paraId="6D6536DA" w14:textId="77777777" w:rsidTr="00634990">
        <w:trPr>
          <w:jc w:val="center"/>
        </w:trPr>
        <w:tc>
          <w:tcPr>
            <w:cnfStyle w:val="001000000000" w:firstRow="0" w:lastRow="0" w:firstColumn="1" w:lastColumn="0" w:oddVBand="0" w:evenVBand="0" w:oddHBand="0" w:evenHBand="0" w:firstRowFirstColumn="0" w:firstRowLastColumn="0" w:lastRowFirstColumn="0" w:lastRowLastColumn="0"/>
            <w:tcW w:w="817" w:type="dxa"/>
            <w:tcBorders>
              <w:bottom w:val="single" w:sz="8" w:space="0" w:color="4F81BD" w:themeColor="accent1"/>
            </w:tcBorders>
          </w:tcPr>
          <w:p w14:paraId="6575BD6E" w14:textId="77777777" w:rsidR="0099198E" w:rsidRDefault="0099198E" w:rsidP="00A1599C">
            <w:r>
              <w:t>23</w:t>
            </w:r>
          </w:p>
        </w:tc>
        <w:tc>
          <w:tcPr>
            <w:tcW w:w="7796" w:type="dxa"/>
            <w:tcBorders>
              <w:bottom w:val="single" w:sz="8" w:space="0" w:color="4F81BD" w:themeColor="accent1"/>
            </w:tcBorders>
          </w:tcPr>
          <w:p w14:paraId="70F11FFE" w14:textId="77777777" w:rsidR="0099198E" w:rsidRDefault="00AC3C77" w:rsidP="00A1599C">
            <w:pPr>
              <w:cnfStyle w:val="000000000000" w:firstRow="0" w:lastRow="0" w:firstColumn="0" w:lastColumn="0" w:oddVBand="0" w:evenVBand="0" w:oddHBand="0" w:evenHBand="0" w:firstRowFirstColumn="0" w:firstRowLastColumn="0" w:lastRowFirstColumn="0" w:lastRowLastColumn="0"/>
            </w:pPr>
            <w:r>
              <w:t>Factors influencing health status and other contacts with health services</w:t>
            </w:r>
          </w:p>
        </w:tc>
      </w:tr>
      <w:tr w:rsidR="00634990" w14:paraId="2A56C94A" w14:textId="77777777" w:rsidTr="006349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left w:val="nil"/>
            </w:tcBorders>
          </w:tcPr>
          <w:p w14:paraId="5EF63278" w14:textId="77777777" w:rsidR="00634990" w:rsidRDefault="00634990" w:rsidP="00A1599C"/>
        </w:tc>
        <w:tc>
          <w:tcPr>
            <w:tcW w:w="7796" w:type="dxa"/>
            <w:tcBorders>
              <w:right w:val="nil"/>
            </w:tcBorders>
          </w:tcPr>
          <w:p w14:paraId="25FB0761" w14:textId="77777777" w:rsidR="00634990" w:rsidRDefault="00634990" w:rsidP="00A1599C">
            <w:pPr>
              <w:cnfStyle w:val="000000100000" w:firstRow="0" w:lastRow="0" w:firstColumn="0" w:lastColumn="0" w:oddVBand="0" w:evenVBand="0" w:oddHBand="1" w:evenHBand="0" w:firstRowFirstColumn="0" w:firstRowLastColumn="0" w:lastRowFirstColumn="0" w:lastRowLastColumn="0"/>
            </w:pPr>
            <w:r>
              <w:t>Unrelated OR DRGs</w:t>
            </w:r>
          </w:p>
        </w:tc>
      </w:tr>
      <w:tr w:rsidR="00634990" w14:paraId="6AFDAE6E" w14:textId="77777777" w:rsidTr="00634990">
        <w:trPr>
          <w:jc w:val="center"/>
        </w:trPr>
        <w:tc>
          <w:tcPr>
            <w:cnfStyle w:val="001000000000" w:firstRow="0" w:lastRow="0" w:firstColumn="1" w:lastColumn="0" w:oddVBand="0" w:evenVBand="0" w:oddHBand="0" w:evenHBand="0" w:firstRowFirstColumn="0" w:firstRowLastColumn="0" w:lastRowFirstColumn="0" w:lastRowLastColumn="0"/>
            <w:tcW w:w="817" w:type="dxa"/>
            <w:tcBorders>
              <w:left w:val="nil"/>
            </w:tcBorders>
          </w:tcPr>
          <w:p w14:paraId="5E74E66F" w14:textId="77777777" w:rsidR="00634990" w:rsidRDefault="00634990" w:rsidP="00A1599C"/>
        </w:tc>
        <w:tc>
          <w:tcPr>
            <w:tcW w:w="7796" w:type="dxa"/>
            <w:tcBorders>
              <w:right w:val="nil"/>
            </w:tcBorders>
          </w:tcPr>
          <w:p w14:paraId="45B92643" w14:textId="77777777" w:rsidR="00634990" w:rsidRDefault="00634990" w:rsidP="00A1599C">
            <w:pPr>
              <w:cnfStyle w:val="000000000000" w:firstRow="0" w:lastRow="0" w:firstColumn="0" w:lastColumn="0" w:oddVBand="0" w:evenVBand="0" w:oddHBand="0" w:evenHBand="0" w:firstRowFirstColumn="0" w:firstRowLastColumn="0" w:lastRowFirstColumn="0" w:lastRowLastColumn="0"/>
            </w:pPr>
            <w:r>
              <w:t>Error DRGs</w:t>
            </w:r>
          </w:p>
        </w:tc>
      </w:tr>
    </w:tbl>
    <w:p w14:paraId="2119A6DA" w14:textId="77777777" w:rsidR="00BD79AD" w:rsidRDefault="00BD79AD" w:rsidP="006D2867">
      <w:pPr>
        <w:spacing w:before="200"/>
      </w:pPr>
      <w:r>
        <w:t>Note that MDCs 01, 15, 18, and 21 may have principal diagnoses associated with other MDCs. All other MDCs have an associated table of principal diagnoses.</w:t>
      </w:r>
      <w:r w:rsidR="00347BBC">
        <w:t xml:space="preserve"> This means there is not always a </w:t>
      </w:r>
      <w:r w:rsidR="00F8754C">
        <w:t>di</w:t>
      </w:r>
      <w:r w:rsidR="00347BBC">
        <w:t>r</w:t>
      </w:r>
      <w:r w:rsidR="00F8754C">
        <w:t>ect</w:t>
      </w:r>
      <w:r w:rsidR="00347BBC">
        <w:t xml:space="preserve"> structural relationship between the blocks of diagnosis codes in ICD-10-AM and the tables of codes used for MD</w:t>
      </w:r>
      <w:r w:rsidR="00662BA3">
        <w:t>C</w:t>
      </w:r>
      <w:r w:rsidR="00347BBC">
        <w:t xml:space="preserve"> assignment.</w:t>
      </w:r>
      <w:r w:rsidR="00F8754C">
        <w:t xml:space="preserve"> </w:t>
      </w:r>
      <w:r w:rsidR="00347BBC">
        <w:t>For example, codes in the diagnosis blocks D10 – D36 for benign neoplasms are distributed across 15 different MDCs.</w:t>
      </w:r>
    </w:p>
    <w:p w14:paraId="7022BA75" w14:textId="77777777" w:rsidR="00347BBC" w:rsidRDefault="00347BBC" w:rsidP="00A1599C">
      <w:r>
        <w:t>Similarly, MDC 15 concerns patients that are either aged less than 28 days, or are aged less than one year and either have admission weight less than 1kg or a diagnosis of low birth weight or immaturity.</w:t>
      </w:r>
    </w:p>
    <w:p w14:paraId="7F57FC5B" w14:textId="77777777" w:rsidR="00CF7E5B" w:rsidRPr="00A535DA" w:rsidRDefault="00CF7E5B" w:rsidP="00A1599C"/>
    <w:p w14:paraId="6D7937F3" w14:textId="77777777" w:rsidR="00405991" w:rsidRDefault="00405991" w:rsidP="00A1599C">
      <w:pPr>
        <w:pStyle w:val="Heading4"/>
      </w:pPr>
      <w:r>
        <w:lastRenderedPageBreak/>
        <w:t>MDC Partitions</w:t>
      </w:r>
    </w:p>
    <w:p w14:paraId="5E646015" w14:textId="77777777" w:rsidR="00405991" w:rsidRPr="00405991" w:rsidRDefault="00405991" w:rsidP="00A1599C">
      <w:r>
        <w:t>MDCs are subdivided into three partitions for surgical, other, and medical e</w:t>
      </w:r>
      <w:r w:rsidR="00CF7E5B">
        <w:t>vents</w:t>
      </w:r>
      <w:r>
        <w:t xml:space="preserve">. It is the presence or absence </w:t>
      </w:r>
      <w:r w:rsidR="00EA2B87">
        <w:t>of OR</w:t>
      </w:r>
      <w:r>
        <w:t xml:space="preserve"> NonOR procedures that is responsible for assignment to one of these partitions.</w:t>
      </w:r>
    </w:p>
    <w:p w14:paraId="4BC6FABE" w14:textId="77777777" w:rsidR="00405991" w:rsidRPr="00405991" w:rsidRDefault="00405991" w:rsidP="00A1599C">
      <w:pPr>
        <w:pStyle w:val="Heading4"/>
      </w:pPr>
      <w:r w:rsidRPr="00405991">
        <w:t>O</w:t>
      </w:r>
      <w:r w:rsidR="00634990">
        <w:t xml:space="preserve">perating </w:t>
      </w:r>
      <w:r w:rsidRPr="00405991">
        <w:t>R</w:t>
      </w:r>
      <w:r w:rsidR="00634990">
        <w:t>oom (OR)</w:t>
      </w:r>
      <w:r w:rsidRPr="00405991">
        <w:t xml:space="preserve"> Procedures</w:t>
      </w:r>
    </w:p>
    <w:p w14:paraId="2B8E2131" w14:textId="77777777" w:rsidR="00405991" w:rsidRDefault="00405991" w:rsidP="00A1599C">
      <w:r w:rsidRPr="00607139">
        <w:rPr>
          <w:i/>
        </w:rPr>
        <w:t>OR</w:t>
      </w:r>
      <w:r w:rsidR="00607139" w:rsidRPr="00607139">
        <w:rPr>
          <w:i/>
        </w:rPr>
        <w:t>s</w:t>
      </w:r>
      <w:r w:rsidR="00607139">
        <w:t xml:space="preserve"> are procedures considered significant across the AR-DRG classification. OR procedures </w:t>
      </w:r>
      <w:r>
        <w:t>considered</w:t>
      </w:r>
      <w:r w:rsidR="00607139">
        <w:t xml:space="preserve"> significant for the MDC map to the surgical partition</w:t>
      </w:r>
      <w:r w:rsidR="00EA2B87">
        <w:t xml:space="preserve"> of the MDC</w:t>
      </w:r>
      <w:r w:rsidR="00607139">
        <w:t>.</w:t>
      </w:r>
    </w:p>
    <w:p w14:paraId="069C2A4C" w14:textId="77777777" w:rsidR="002B7DC2" w:rsidRDefault="002B7DC2" w:rsidP="00A1599C">
      <w:r>
        <w:t xml:space="preserve">By way of example, the procedures </w:t>
      </w:r>
      <w:r w:rsidRPr="008E7916">
        <w:rPr>
          <w:i/>
        </w:rPr>
        <w:t>Total arthroplasty of hip, bilateral (or unilateral)</w:t>
      </w:r>
      <w:r>
        <w:t xml:space="preserve"> are significant for MDC 08 (Musculoskeletal System and Connective Tissue) while</w:t>
      </w:r>
      <w:r w:rsidR="000B7704">
        <w:t xml:space="preserve"> the procedure </w:t>
      </w:r>
      <w:r w:rsidR="000B7704" w:rsidRPr="008E7916">
        <w:rPr>
          <w:i/>
        </w:rPr>
        <w:t>Enteral Nutritional Support</w:t>
      </w:r>
      <w:r w:rsidR="000B7704">
        <w:t xml:space="preserve"> is not significant for any MDC. The latter may be provided across a wide range of MDCs.</w:t>
      </w:r>
    </w:p>
    <w:p w14:paraId="300F62C1" w14:textId="77777777" w:rsidR="00607139" w:rsidRPr="0044291C" w:rsidRDefault="00607139" w:rsidP="00A1599C">
      <w:pPr>
        <w:rPr>
          <w:i/>
        </w:rPr>
      </w:pPr>
      <w:r>
        <w:t>If an OR is not significant for the MDC the e</w:t>
      </w:r>
      <w:r w:rsidR="00CF7E5B">
        <w:t>vent</w:t>
      </w:r>
      <w:r>
        <w:t xml:space="preserve"> is grouped to one of the </w:t>
      </w:r>
      <w:r w:rsidR="00F253D9" w:rsidRPr="00F253D9">
        <w:rPr>
          <w:b/>
        </w:rPr>
        <w:t>U</w:t>
      </w:r>
      <w:r w:rsidRPr="002121BE">
        <w:rPr>
          <w:b/>
        </w:rPr>
        <w:t>nrelated OR DRGs</w:t>
      </w:r>
      <w:r>
        <w:t xml:space="preserve"> 801A</w:t>
      </w:r>
      <w:r w:rsidR="004E391B">
        <w:t xml:space="preserve"> </w:t>
      </w:r>
      <w:r w:rsidR="004E391B" w:rsidRPr="0044291C">
        <w:rPr>
          <w:i/>
        </w:rPr>
        <w:t>OR Procedures Unrelated to Principal Diagnosis w Catastrophic CC</w:t>
      </w:r>
      <w:r>
        <w:t>, 801B</w:t>
      </w:r>
      <w:r w:rsidR="004E391B">
        <w:t xml:space="preserve"> </w:t>
      </w:r>
      <w:r w:rsidR="004E391B" w:rsidRPr="0044291C">
        <w:rPr>
          <w:i/>
        </w:rPr>
        <w:t xml:space="preserve">OR Procedures Unrelated to Principal Diagnosis </w:t>
      </w:r>
      <w:r w:rsidR="0044291C">
        <w:rPr>
          <w:i/>
        </w:rPr>
        <w:t>W</w:t>
      </w:r>
      <w:r w:rsidR="004E391B" w:rsidRPr="0044291C">
        <w:rPr>
          <w:i/>
        </w:rPr>
        <w:t xml:space="preserve"> Severe or Moderate CC</w:t>
      </w:r>
      <w:r>
        <w:t>, 801C</w:t>
      </w:r>
      <w:r w:rsidR="004E391B">
        <w:t xml:space="preserve"> </w:t>
      </w:r>
      <w:r w:rsidR="004E391B" w:rsidRPr="0044291C">
        <w:rPr>
          <w:i/>
        </w:rPr>
        <w:t xml:space="preserve">OR Procedures Unrelated to Principal Diagnosis </w:t>
      </w:r>
      <w:r w:rsidR="0044291C">
        <w:rPr>
          <w:i/>
        </w:rPr>
        <w:t>W/O</w:t>
      </w:r>
      <w:r w:rsidR="004E391B" w:rsidRPr="0044291C">
        <w:rPr>
          <w:i/>
        </w:rPr>
        <w:t xml:space="preserve"> CC</w:t>
      </w:r>
      <w:r w:rsidRPr="0044291C">
        <w:rPr>
          <w:i/>
        </w:rPr>
        <w:t>.</w:t>
      </w:r>
    </w:p>
    <w:p w14:paraId="594C41FB" w14:textId="77777777" w:rsidR="00405991" w:rsidRDefault="00405991" w:rsidP="00A1599C">
      <w:pPr>
        <w:pStyle w:val="Heading4"/>
        <w:rPr>
          <w:rFonts w:ascii="Arial" w:hAnsi="Arial" w:cs="Arial"/>
        </w:rPr>
      </w:pPr>
      <w:r>
        <w:t>Non</w:t>
      </w:r>
      <w:r w:rsidR="0044291C">
        <w:t>-Operating Room (Non</w:t>
      </w:r>
      <w:r w:rsidR="0044291C" w:rsidRPr="00405991">
        <w:t>OR</w:t>
      </w:r>
      <w:r w:rsidR="0044291C">
        <w:t>)</w:t>
      </w:r>
      <w:r w:rsidR="0035535D">
        <w:t xml:space="preserve"> </w:t>
      </w:r>
      <w:r w:rsidRPr="00405991">
        <w:t>Procedures</w:t>
      </w:r>
    </w:p>
    <w:p w14:paraId="5D8C190B" w14:textId="77777777" w:rsidR="00405991" w:rsidRDefault="00607139" w:rsidP="00A1599C">
      <w:r w:rsidRPr="00607139">
        <w:rPr>
          <w:i/>
        </w:rPr>
        <w:t>NonORs</w:t>
      </w:r>
      <w:r>
        <w:t xml:space="preserve"> are procedures considered significant by the classification for some MDCs, though may take place in operating rooms. If a NonOR is not significant in an MDC, the episode is grouped to a medical DRG.</w:t>
      </w:r>
    </w:p>
    <w:p w14:paraId="62A9932F" w14:textId="77777777" w:rsidR="00405991" w:rsidRPr="00405991" w:rsidRDefault="00405991" w:rsidP="00A1599C">
      <w:pPr>
        <w:pStyle w:val="Heading4"/>
      </w:pPr>
      <w:r>
        <w:t>Adjacent DRGs</w:t>
      </w:r>
      <w:r w:rsidR="00607139">
        <w:t xml:space="preserve"> (ADRG)</w:t>
      </w:r>
    </w:p>
    <w:p w14:paraId="1E806A43" w14:textId="77777777" w:rsidR="00405991" w:rsidRDefault="00607139" w:rsidP="00A1599C">
      <w:r>
        <w:t xml:space="preserve">An </w:t>
      </w:r>
      <w:r w:rsidRPr="00607139">
        <w:rPr>
          <w:i/>
        </w:rPr>
        <w:t>ADRG</w:t>
      </w:r>
      <w:r>
        <w:t xml:space="preserve"> consists of one or more DRGs defined by the same diagnosis or procedure code list. DRGs within an ADRG have differing levels of resource consumption</w:t>
      </w:r>
      <w:r w:rsidR="006A221C">
        <w:t xml:space="preserve"> and may be partitioned based on several factors, including:</w:t>
      </w:r>
    </w:p>
    <w:p w14:paraId="3F794D4E" w14:textId="77777777" w:rsidR="006A221C" w:rsidRDefault="006A221C" w:rsidP="00A1599C">
      <w:pPr>
        <w:pStyle w:val="ListParagraph"/>
        <w:numPr>
          <w:ilvl w:val="0"/>
          <w:numId w:val="15"/>
        </w:numPr>
      </w:pPr>
      <w:r>
        <w:t>Diagnoses or procedures used as a severity split</w:t>
      </w:r>
    </w:p>
    <w:p w14:paraId="2B976F52" w14:textId="77777777" w:rsidR="006A221C" w:rsidRDefault="006A221C" w:rsidP="00A1599C">
      <w:pPr>
        <w:pStyle w:val="ListParagraph"/>
        <w:numPr>
          <w:ilvl w:val="0"/>
          <w:numId w:val="15"/>
        </w:numPr>
      </w:pPr>
      <w:r>
        <w:t>Being a same day episode</w:t>
      </w:r>
    </w:p>
    <w:p w14:paraId="6B96694A" w14:textId="77777777" w:rsidR="006A221C" w:rsidRDefault="006A221C" w:rsidP="00A1599C">
      <w:pPr>
        <w:pStyle w:val="ListParagraph"/>
        <w:numPr>
          <w:ilvl w:val="0"/>
          <w:numId w:val="15"/>
        </w:numPr>
      </w:pPr>
      <w:r>
        <w:t>The level of comorbid conditions or clinical complica</w:t>
      </w:r>
      <w:r w:rsidR="00F253D9">
        <w:t xml:space="preserve">tion (refer to the CCL and PCCL </w:t>
      </w:r>
      <w:r>
        <w:t>sections)</w:t>
      </w:r>
    </w:p>
    <w:p w14:paraId="0452272F" w14:textId="77777777" w:rsidR="00833693" w:rsidRDefault="00833693" w:rsidP="00553686">
      <w:pPr>
        <w:pStyle w:val="Heading4"/>
      </w:pPr>
      <w:r>
        <w:t xml:space="preserve">Grouping to DRGs </w:t>
      </w:r>
    </w:p>
    <w:p w14:paraId="5EB5EDBF" w14:textId="77777777" w:rsidR="00C80409" w:rsidRDefault="0032120F" w:rsidP="00A1599C">
      <w:r>
        <w:t xml:space="preserve">There are now enough facets of the classification and its structure to outline the process that groups a clinically coded </w:t>
      </w:r>
      <w:r w:rsidR="00972B0A">
        <w:t xml:space="preserve">event </w:t>
      </w:r>
      <w:r>
        <w:t>record</w:t>
      </w:r>
      <w:r w:rsidR="008460B5">
        <w:t xml:space="preserve"> to a DRG.</w:t>
      </w:r>
    </w:p>
    <w:p w14:paraId="046E90A8" w14:textId="77777777" w:rsidR="0039608D" w:rsidRPr="0039608D" w:rsidRDefault="001E0D3D" w:rsidP="00A1599C">
      <w:r>
        <w:t xml:space="preserve">In order to implement the structure outlined above we </w:t>
      </w:r>
      <w:r w:rsidR="002121BE">
        <w:t xml:space="preserve">first </w:t>
      </w:r>
      <w:r>
        <w:t>need to ensure that admitted patient episodes provide data that can be used in the clinical coding and DRG classifications. This</w:t>
      </w:r>
      <w:r w:rsidR="003D1B11">
        <w:t xml:space="preserve"> comprises the two stages known as </w:t>
      </w:r>
      <w:r w:rsidR="003D1B11" w:rsidRPr="003D1B11">
        <w:rPr>
          <w:i/>
        </w:rPr>
        <w:t>demographic</w:t>
      </w:r>
      <w:r w:rsidR="003D1B11">
        <w:t xml:space="preserve"> and </w:t>
      </w:r>
      <w:r w:rsidR="003D1B11" w:rsidRPr="003D1B11">
        <w:rPr>
          <w:i/>
        </w:rPr>
        <w:t>clinical edits</w:t>
      </w:r>
      <w:r w:rsidR="003D1B11">
        <w:t>.</w:t>
      </w:r>
    </w:p>
    <w:p w14:paraId="20B02F76" w14:textId="77777777" w:rsidR="0039608D" w:rsidRDefault="00C80409" w:rsidP="00A1599C">
      <w:pPr>
        <w:pStyle w:val="Heading4"/>
      </w:pPr>
      <w:r>
        <w:t>Demographic Edits</w:t>
      </w:r>
    </w:p>
    <w:p w14:paraId="22197EB6" w14:textId="77777777" w:rsidR="00C80409" w:rsidRDefault="00C80409" w:rsidP="00A1599C">
      <w:r w:rsidRPr="00C80409">
        <w:t>These are checks on the validity of the data elements:</w:t>
      </w:r>
      <w:r>
        <w:t xml:space="preserve"> age, sex, admission weight, length of stay (LOS), same day status, Mental Health Legal Status, and the mode of discharge.</w:t>
      </w:r>
    </w:p>
    <w:p w14:paraId="471ED27A" w14:textId="77777777" w:rsidR="00E55637" w:rsidRPr="00E55637" w:rsidRDefault="00C80409" w:rsidP="00A1599C">
      <w:pPr>
        <w:pStyle w:val="Heading4"/>
      </w:pPr>
      <w:r>
        <w:t>Clinical Edits</w:t>
      </w:r>
    </w:p>
    <w:p w14:paraId="047D5B4E" w14:textId="77777777" w:rsidR="00C80409" w:rsidRPr="00C80409" w:rsidRDefault="00C80409" w:rsidP="00A1599C">
      <w:r>
        <w:t>These validate all diagnosis and procedure codes in terms of ICD-10-AM or ACHI, patient’s age, and patient’s sex. The principal diagnosis is checked to ensure that it is acceptable as a principal diagnosis and that it is neither a manifestation code nor a code used to describe an external cause of injury and/</w:t>
      </w:r>
      <w:r w:rsidR="00D67B1D">
        <w:t>or poisoning</w:t>
      </w:r>
      <w:r>
        <w:t xml:space="preserve"> </w:t>
      </w:r>
      <w:r w:rsidR="00630C09">
        <w:t xml:space="preserve">eg, </w:t>
      </w:r>
      <w:r>
        <w:t>is in the coding range U50 – Y98.</w:t>
      </w:r>
    </w:p>
    <w:p w14:paraId="58246FAA" w14:textId="77777777" w:rsidR="00E55637" w:rsidRDefault="00E55637" w:rsidP="00A1599C">
      <w:pPr>
        <w:pStyle w:val="Heading4"/>
      </w:pPr>
      <w:r w:rsidRPr="001E4D05">
        <w:lastRenderedPageBreak/>
        <w:t>Error DRGs</w:t>
      </w:r>
    </w:p>
    <w:p w14:paraId="08DCACAB" w14:textId="77777777" w:rsidR="002121BE" w:rsidRDefault="00C80409" w:rsidP="00A1599C">
      <w:r>
        <w:t xml:space="preserve">Warning flags are generated where invalid data is found. Flags are classified as </w:t>
      </w:r>
      <w:r w:rsidR="00836348" w:rsidRPr="00836348">
        <w:rPr>
          <w:i/>
        </w:rPr>
        <w:t>warning</w:t>
      </w:r>
      <w:r w:rsidR="00836348">
        <w:t xml:space="preserve"> </w:t>
      </w:r>
      <w:r>
        <w:t xml:space="preserve">or </w:t>
      </w:r>
      <w:r w:rsidRPr="00836348">
        <w:rPr>
          <w:i/>
        </w:rPr>
        <w:t>fatal</w:t>
      </w:r>
      <w:r>
        <w:t xml:space="preserve">. </w:t>
      </w:r>
      <w:r w:rsidR="00646482">
        <w:t xml:space="preserve">A warning flag reflects invalid or inconsistent data provided, while a fatal flag occurs if the error encountered prevents assignment of MDC or DRG. </w:t>
      </w:r>
      <w:r>
        <w:t xml:space="preserve">Examples of the latter occur where there is invalid age, </w:t>
      </w:r>
      <w:r w:rsidR="00AA366D">
        <w:t xml:space="preserve">incorrect birth/admission weight, </w:t>
      </w:r>
      <w:r>
        <w:t>unacceptable principal diagnosis or a principal diagnosis inconsistent with the patient’s sex.</w:t>
      </w:r>
      <w:r w:rsidR="00E55637">
        <w:t xml:space="preserve"> In this case such a record is assigned to one of three </w:t>
      </w:r>
      <w:r w:rsidR="00E55637" w:rsidRPr="00E55637">
        <w:rPr>
          <w:b/>
          <w:i/>
        </w:rPr>
        <w:t>error DRGs</w:t>
      </w:r>
      <w:r w:rsidR="00E55637">
        <w:t xml:space="preserve"> 960Z</w:t>
      </w:r>
      <w:r w:rsidR="008A2B32">
        <w:t xml:space="preserve"> </w:t>
      </w:r>
      <w:r w:rsidR="008A2B32" w:rsidRPr="008A2B32">
        <w:rPr>
          <w:i/>
        </w:rPr>
        <w:t>Ungroupable</w:t>
      </w:r>
      <w:r w:rsidR="00E55637">
        <w:t>, 961Z</w:t>
      </w:r>
      <w:r w:rsidR="008A2B32">
        <w:t xml:space="preserve"> </w:t>
      </w:r>
      <w:r w:rsidR="008A2B32" w:rsidRPr="008A2B32">
        <w:rPr>
          <w:i/>
        </w:rPr>
        <w:t>Unacceptable Principal Diagnosis</w:t>
      </w:r>
      <w:r w:rsidR="00E55637">
        <w:t>, and 963Z</w:t>
      </w:r>
      <w:r w:rsidR="008A2B32">
        <w:t xml:space="preserve"> </w:t>
      </w:r>
      <w:r w:rsidR="008A2B32" w:rsidRPr="008A2B32">
        <w:rPr>
          <w:i/>
        </w:rPr>
        <w:t>Neonatal Diagnosis Not Consistent with Age/Weight</w:t>
      </w:r>
      <w:r w:rsidR="00E55637">
        <w:t>.</w:t>
      </w:r>
    </w:p>
    <w:p w14:paraId="14D8E2C8" w14:textId="77777777" w:rsidR="00A3452A" w:rsidRPr="00A3452A" w:rsidRDefault="00A3452A" w:rsidP="00A3452A">
      <w:pPr>
        <w:pStyle w:val="Heading4"/>
      </w:pPr>
      <w:r w:rsidRPr="00A3452A">
        <w:t>Clinical Coding Example</w:t>
      </w:r>
    </w:p>
    <w:p w14:paraId="5F80D125" w14:textId="77777777" w:rsidR="00A256D9" w:rsidRDefault="00A3452A" w:rsidP="00BC2589">
      <w:r>
        <w:t xml:space="preserve">On the next page </w:t>
      </w:r>
      <w:r w:rsidR="00BC2589">
        <w:t xml:space="preserve">is a screen shot </w:t>
      </w:r>
      <w:r>
        <w:t>of a coded event record</w:t>
      </w:r>
      <w:r w:rsidR="00F253D9">
        <w:t xml:space="preserve"> using the </w:t>
      </w:r>
      <w:r w:rsidR="00BC2589">
        <w:t>3M</w:t>
      </w:r>
      <w:r w:rsidR="00BC2589" w:rsidRPr="00547F27">
        <w:rPr>
          <w:vertAlign w:val="superscript"/>
        </w:rPr>
        <w:t>TM</w:t>
      </w:r>
      <w:r w:rsidR="00BC2589">
        <w:t xml:space="preserve"> Codefinder</w:t>
      </w:r>
      <w:r w:rsidR="00BC2589" w:rsidRPr="00547F27">
        <w:rPr>
          <w:vertAlign w:val="superscript"/>
        </w:rPr>
        <w:t>TM</w:t>
      </w:r>
      <w:r>
        <w:t>.  The 3M</w:t>
      </w:r>
      <w:r w:rsidRPr="00547F27">
        <w:rPr>
          <w:vertAlign w:val="superscript"/>
        </w:rPr>
        <w:t>TM</w:t>
      </w:r>
      <w:r>
        <w:t xml:space="preserve"> Codefinder</w:t>
      </w:r>
      <w:r w:rsidRPr="00547F27">
        <w:rPr>
          <w:vertAlign w:val="superscript"/>
        </w:rPr>
        <w:t>TM</w:t>
      </w:r>
      <w:r>
        <w:rPr>
          <w:vertAlign w:val="superscript"/>
        </w:rPr>
        <w:t xml:space="preserve"> </w:t>
      </w:r>
      <w:r w:rsidR="00BC2589">
        <w:t xml:space="preserve">is the coding/grouping tool used by DHB clinical coders.  </w:t>
      </w:r>
    </w:p>
    <w:p w14:paraId="6BE46503" w14:textId="77777777" w:rsidR="00BC2589" w:rsidRDefault="00BC2589" w:rsidP="00BC2589">
      <w:r>
        <w:t xml:space="preserve">The example shows the effects that code assignments have on CCLs, PCCL and DRG allocation. </w:t>
      </w:r>
    </w:p>
    <w:p w14:paraId="3404057F" w14:textId="77777777" w:rsidR="000B6E16" w:rsidRDefault="000B6E16" w:rsidP="00A1599C"/>
    <w:p w14:paraId="1953B813" w14:textId="77777777" w:rsidR="000B6E16" w:rsidRDefault="000B6E16" w:rsidP="000B6E16">
      <w:pPr>
        <w:jc w:val="center"/>
      </w:pPr>
    </w:p>
    <w:p w14:paraId="3BC969B3" w14:textId="77777777" w:rsidR="001F5495" w:rsidRDefault="001F5495"/>
    <w:p w14:paraId="38E8C5BB" w14:textId="77777777" w:rsidR="001F5495" w:rsidRPr="001F5495" w:rsidRDefault="001F5495" w:rsidP="001F5495"/>
    <w:p w14:paraId="54F65845" w14:textId="77777777" w:rsidR="001F5495" w:rsidRPr="001F5495" w:rsidRDefault="001F5495" w:rsidP="001F5495"/>
    <w:p w14:paraId="09A537E5" w14:textId="77777777" w:rsidR="001F5495" w:rsidRPr="001F5495" w:rsidRDefault="001F5495" w:rsidP="001F5495"/>
    <w:p w14:paraId="225E0417" w14:textId="77777777" w:rsidR="001F5495" w:rsidRPr="001F5495" w:rsidRDefault="001F5495" w:rsidP="001F5495"/>
    <w:p w14:paraId="0BCFAD2B" w14:textId="77777777" w:rsidR="001F5495" w:rsidRPr="001F5495" w:rsidRDefault="001F5495" w:rsidP="001F5495"/>
    <w:p w14:paraId="3932F0AF" w14:textId="77777777" w:rsidR="001F5495" w:rsidRPr="001F5495" w:rsidRDefault="001F5495" w:rsidP="001F5495"/>
    <w:p w14:paraId="72484DE7" w14:textId="77777777" w:rsidR="001F5495" w:rsidRDefault="001F5495" w:rsidP="001F5495">
      <w:pPr>
        <w:tabs>
          <w:tab w:val="left" w:pos="3330"/>
        </w:tabs>
      </w:pPr>
      <w:r>
        <w:tab/>
      </w:r>
    </w:p>
    <w:p w14:paraId="5AE17913" w14:textId="77777777" w:rsidR="00BC2589" w:rsidRPr="001F5495" w:rsidRDefault="001F5495" w:rsidP="001F5495">
      <w:pPr>
        <w:tabs>
          <w:tab w:val="left" w:pos="3330"/>
        </w:tabs>
        <w:sectPr w:rsidR="00BC2589" w:rsidRPr="001F5495" w:rsidSect="00A76A11">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567" w:footer="567" w:gutter="0"/>
          <w:pgNumType w:start="0"/>
          <w:cols w:space="708"/>
          <w:titlePg/>
          <w:docGrid w:linePitch="360"/>
        </w:sectPr>
      </w:pPr>
      <w:r>
        <w:tab/>
      </w:r>
    </w:p>
    <w:p w14:paraId="16EEA5F2" w14:textId="77777777" w:rsidR="00BC2589" w:rsidRDefault="0003792F" w:rsidP="00BC2589">
      <w:pPr>
        <w:spacing w:after="0"/>
        <w:ind w:left="-567"/>
      </w:pPr>
      <w:r>
        <w:rPr>
          <w:noProof/>
          <w:lang w:eastAsia="en-NZ"/>
        </w:rPr>
        <w:lastRenderedPageBreak/>
        <mc:AlternateContent>
          <mc:Choice Requires="wps">
            <w:drawing>
              <wp:anchor distT="0" distB="0" distL="114300" distR="114300" simplePos="0" relativeHeight="251667456" behindDoc="0" locked="0" layoutInCell="1" allowOverlap="1" wp14:anchorId="4C01E417" wp14:editId="7F98268F">
                <wp:simplePos x="0" y="0"/>
                <wp:positionH relativeFrom="column">
                  <wp:posOffset>4652009</wp:posOffset>
                </wp:positionH>
                <wp:positionV relativeFrom="paragraph">
                  <wp:posOffset>6047740</wp:posOffset>
                </wp:positionV>
                <wp:extent cx="1400175" cy="323850"/>
                <wp:effectExtent l="0" t="0" r="66675" b="76200"/>
                <wp:wrapNone/>
                <wp:docPr id="60" name="Straight Connector 60"/>
                <wp:cNvGraphicFramePr/>
                <a:graphic xmlns:a="http://schemas.openxmlformats.org/drawingml/2006/main">
                  <a:graphicData uri="http://schemas.microsoft.com/office/word/2010/wordprocessingShape">
                    <wps:wsp>
                      <wps:cNvCnPr/>
                      <wps:spPr>
                        <a:xfrm>
                          <a:off x="0" y="0"/>
                          <a:ext cx="1400175" cy="32385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92EE17F" id="Straight Connector 6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476.2pt" to="476.55pt,5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" strokecolor="#f69240" strokeweight="1.5pt">
                <v:stroke endarrow="classic"/>
              </v:line>
            </w:pict>
          </mc:Fallback>
        </mc:AlternateContent>
      </w:r>
      <w:r>
        <w:rPr>
          <w:noProof/>
          <w:lang w:eastAsia="en-NZ"/>
        </w:rPr>
        <mc:AlternateContent>
          <mc:Choice Requires="wps">
            <w:drawing>
              <wp:anchor distT="0" distB="0" distL="114300" distR="114300" simplePos="0" relativeHeight="251649024" behindDoc="0" locked="0" layoutInCell="1" allowOverlap="1" wp14:anchorId="0B0C44D9" wp14:editId="70B9E6E9">
                <wp:simplePos x="0" y="0"/>
                <wp:positionH relativeFrom="column">
                  <wp:posOffset>6093460</wp:posOffset>
                </wp:positionH>
                <wp:positionV relativeFrom="paragraph">
                  <wp:posOffset>6372225</wp:posOffset>
                </wp:positionV>
                <wp:extent cx="390525" cy="118745"/>
                <wp:effectExtent l="0" t="0" r="28575" b="14605"/>
                <wp:wrapNone/>
                <wp:docPr id="62" name="Rectangle 62"/>
                <wp:cNvGraphicFramePr/>
                <a:graphic xmlns:a="http://schemas.openxmlformats.org/drawingml/2006/main">
                  <a:graphicData uri="http://schemas.microsoft.com/office/word/2010/wordprocessingShape">
                    <wps:wsp>
                      <wps:cNvSpPr/>
                      <wps:spPr>
                        <a:xfrm>
                          <a:off x="0" y="0"/>
                          <a:ext cx="390525" cy="118745"/>
                        </a:xfrm>
                        <a:prstGeom prst="rect">
                          <a:avLst/>
                        </a:prstGeom>
                        <a:noFill/>
                        <a:ln w="190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B5E1" id="Rectangle 62" o:spid="_x0000_s1026" style="position:absolute;margin-left:479.8pt;margin-top:501.75pt;width:30.75pt;height: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" filled="f" strokecolor="#f79646" strokeweight="1.5pt"/>
            </w:pict>
          </mc:Fallback>
        </mc:AlternateContent>
      </w:r>
      <w:r>
        <w:rPr>
          <w:noProof/>
          <w:lang w:eastAsia="en-NZ"/>
        </w:rPr>
        <mc:AlternateContent>
          <mc:Choice Requires="wps">
            <w:drawing>
              <wp:anchor distT="0" distB="0" distL="114300" distR="114300" simplePos="0" relativeHeight="251646976" behindDoc="0" locked="0" layoutInCell="1" allowOverlap="1" wp14:anchorId="26DC6DAF" wp14:editId="7168A1EC">
                <wp:simplePos x="0" y="0"/>
                <wp:positionH relativeFrom="column">
                  <wp:posOffset>6099810</wp:posOffset>
                </wp:positionH>
                <wp:positionV relativeFrom="paragraph">
                  <wp:posOffset>5634990</wp:posOffset>
                </wp:positionV>
                <wp:extent cx="457200" cy="98425"/>
                <wp:effectExtent l="0" t="0" r="19050" b="15875"/>
                <wp:wrapNone/>
                <wp:docPr id="63" name="Rectangle 63"/>
                <wp:cNvGraphicFramePr/>
                <a:graphic xmlns:a="http://schemas.openxmlformats.org/drawingml/2006/main">
                  <a:graphicData uri="http://schemas.microsoft.com/office/word/2010/wordprocessingShape">
                    <wps:wsp>
                      <wps:cNvSpPr/>
                      <wps:spPr>
                        <a:xfrm>
                          <a:off x="0" y="0"/>
                          <a:ext cx="457200" cy="98425"/>
                        </a:xfrm>
                        <a:prstGeom prst="rect">
                          <a:avLst/>
                        </a:prstGeom>
                        <a:noFill/>
                        <a:ln w="190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0FEF4" id="Rectangle 63" o:spid="_x0000_s1026" style="position:absolute;margin-left:480.3pt;margin-top:443.7pt;width:36pt;height: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" filled="f" strokecolor="#f79646" strokeweight="1.5pt"/>
            </w:pict>
          </mc:Fallback>
        </mc:AlternateContent>
      </w:r>
      <w:r>
        <w:rPr>
          <w:noProof/>
          <w:lang w:eastAsia="en-NZ"/>
        </w:rPr>
        <mc:AlternateContent>
          <mc:Choice Requires="wps">
            <w:drawing>
              <wp:anchor distT="0" distB="0" distL="114300" distR="114300" simplePos="0" relativeHeight="251644928" behindDoc="0" locked="0" layoutInCell="1" allowOverlap="1" wp14:anchorId="5618C249" wp14:editId="0EE24590">
                <wp:simplePos x="0" y="0"/>
                <wp:positionH relativeFrom="column">
                  <wp:posOffset>6099810</wp:posOffset>
                </wp:positionH>
                <wp:positionV relativeFrom="paragraph">
                  <wp:posOffset>4961890</wp:posOffset>
                </wp:positionV>
                <wp:extent cx="552450" cy="1143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552450" cy="11430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C4A46" id="Rectangle 64" o:spid="_x0000_s1026" style="position:absolute;margin-left:480.3pt;margin-top:390.7pt;width:43.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" filled="f" strokecolor="#f79646 [3209]" strokeweight="1.5pt"/>
            </w:pict>
          </mc:Fallback>
        </mc:AlternateContent>
      </w:r>
      <w:r>
        <w:rPr>
          <w:noProof/>
          <w:lang w:eastAsia="en-NZ"/>
        </w:rPr>
        <mc:AlternateContent>
          <mc:Choice Requires="wps">
            <w:drawing>
              <wp:anchor distT="0" distB="0" distL="114300" distR="114300" simplePos="0" relativeHeight="251642880" behindDoc="0" locked="0" layoutInCell="1" allowOverlap="1" wp14:anchorId="19934D07" wp14:editId="42FEC35C">
                <wp:simplePos x="0" y="0"/>
                <wp:positionH relativeFrom="column">
                  <wp:posOffset>6099810</wp:posOffset>
                </wp:positionH>
                <wp:positionV relativeFrom="paragraph">
                  <wp:posOffset>4190365</wp:posOffset>
                </wp:positionV>
                <wp:extent cx="552450" cy="1238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552450" cy="123825"/>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9C0EF" id="Rectangle 58" o:spid="_x0000_s1026" style="position:absolute;margin-left:480.3pt;margin-top:329.95pt;width:43.5pt;height: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" filled="f" strokecolor="#f79646 [3209]" strokeweight="1.5pt"/>
            </w:pict>
          </mc:Fallback>
        </mc:AlternateContent>
      </w:r>
      <w:r>
        <w:rPr>
          <w:noProof/>
          <w:lang w:eastAsia="en-NZ"/>
        </w:rPr>
        <mc:AlternateContent>
          <mc:Choice Requires="wps">
            <w:drawing>
              <wp:anchor distT="0" distB="0" distL="114300" distR="114300" simplePos="0" relativeHeight="251673600" behindDoc="0" locked="0" layoutInCell="1" allowOverlap="1" wp14:anchorId="429974A4" wp14:editId="141C97B7">
                <wp:simplePos x="0" y="0"/>
                <wp:positionH relativeFrom="column">
                  <wp:posOffset>6090284</wp:posOffset>
                </wp:positionH>
                <wp:positionV relativeFrom="paragraph">
                  <wp:posOffset>4418965</wp:posOffset>
                </wp:positionV>
                <wp:extent cx="561975" cy="1238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561975" cy="123825"/>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1694" id="Rectangle 54" o:spid="_x0000_s1026" style="position:absolute;margin-left:479.55pt;margin-top:347.95pt;width:44.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" filled="f" strokecolor="#f79646 [3209]" strokeweight="1.5pt"/>
            </w:pict>
          </mc:Fallback>
        </mc:AlternateContent>
      </w:r>
      <w:r>
        <w:rPr>
          <w:noProof/>
          <w:lang w:eastAsia="en-NZ"/>
        </w:rPr>
        <mc:AlternateContent>
          <mc:Choice Requires="wps">
            <w:drawing>
              <wp:anchor distT="0" distB="0" distL="114300" distR="114300" simplePos="0" relativeHeight="251669504" behindDoc="0" locked="0" layoutInCell="1" allowOverlap="1" wp14:anchorId="27F4FCAE" wp14:editId="7C8E77B3">
                <wp:simplePos x="0" y="0"/>
                <wp:positionH relativeFrom="column">
                  <wp:posOffset>4652010</wp:posOffset>
                </wp:positionH>
                <wp:positionV relativeFrom="paragraph">
                  <wp:posOffset>4485640</wp:posOffset>
                </wp:positionV>
                <wp:extent cx="1400175" cy="771525"/>
                <wp:effectExtent l="0" t="38100" r="47625" b="28575"/>
                <wp:wrapNone/>
                <wp:docPr id="53" name="Straight Connector 53"/>
                <wp:cNvGraphicFramePr/>
                <a:graphic xmlns:a="http://schemas.openxmlformats.org/drawingml/2006/main">
                  <a:graphicData uri="http://schemas.microsoft.com/office/word/2010/wordprocessingShape">
                    <wps:wsp>
                      <wps:cNvCnPr/>
                      <wps:spPr>
                        <a:xfrm flipV="1">
                          <a:off x="0" y="0"/>
                          <a:ext cx="1400175" cy="77152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36AFC567" id="Straight Connector 5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53.2pt" to="476.5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" strokecolor="#f69240" strokeweight="1.5pt">
                <v:stroke endarrow="classic"/>
              </v:line>
            </w:pict>
          </mc:Fallback>
        </mc:AlternateContent>
      </w:r>
      <w:r>
        <w:rPr>
          <w:noProof/>
          <w:lang w:eastAsia="en-NZ"/>
        </w:rPr>
        <mc:AlternateContent>
          <mc:Choice Requires="wps">
            <w:drawing>
              <wp:anchor distT="0" distB="0" distL="114300" distR="114300" simplePos="0" relativeHeight="251663360" behindDoc="0" locked="0" layoutInCell="1" allowOverlap="1" wp14:anchorId="0092FBBA" wp14:editId="21CFBF0D">
                <wp:simplePos x="0" y="0"/>
                <wp:positionH relativeFrom="column">
                  <wp:posOffset>4652010</wp:posOffset>
                </wp:positionH>
                <wp:positionV relativeFrom="paragraph">
                  <wp:posOffset>4257039</wp:posOffset>
                </wp:positionV>
                <wp:extent cx="1400175" cy="1000125"/>
                <wp:effectExtent l="0" t="38100" r="47625" b="28575"/>
                <wp:wrapNone/>
                <wp:docPr id="57" name="Straight Connector 57"/>
                <wp:cNvGraphicFramePr/>
                <a:graphic xmlns:a="http://schemas.openxmlformats.org/drawingml/2006/main">
                  <a:graphicData uri="http://schemas.microsoft.com/office/word/2010/wordprocessingShape">
                    <wps:wsp>
                      <wps:cNvCnPr/>
                      <wps:spPr>
                        <a:xfrm flipV="1">
                          <a:off x="0" y="0"/>
                          <a:ext cx="1400175" cy="100012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442CD802" id="Straight Connector 5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35.2pt" to="476.5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" strokecolor="#f69240" strokeweight="1.5pt">
                <v:stroke endarrow="classic"/>
              </v:line>
            </w:pict>
          </mc:Fallback>
        </mc:AlternateContent>
      </w:r>
      <w:r>
        <w:rPr>
          <w:noProof/>
          <w:lang w:eastAsia="en-NZ"/>
        </w:rPr>
        <mc:AlternateContent>
          <mc:Choice Requires="wps">
            <w:drawing>
              <wp:anchor distT="0" distB="0" distL="114300" distR="114300" simplePos="0" relativeHeight="251665408" behindDoc="0" locked="0" layoutInCell="1" allowOverlap="1" wp14:anchorId="39E11D35" wp14:editId="0C2A442D">
                <wp:simplePos x="0" y="0"/>
                <wp:positionH relativeFrom="column">
                  <wp:posOffset>4652010</wp:posOffset>
                </wp:positionH>
                <wp:positionV relativeFrom="paragraph">
                  <wp:posOffset>5028565</wp:posOffset>
                </wp:positionV>
                <wp:extent cx="1371600" cy="228600"/>
                <wp:effectExtent l="0" t="57150" r="19050" b="19050"/>
                <wp:wrapNone/>
                <wp:docPr id="59" name="Straight Connector 59"/>
                <wp:cNvGraphicFramePr/>
                <a:graphic xmlns:a="http://schemas.openxmlformats.org/drawingml/2006/main">
                  <a:graphicData uri="http://schemas.microsoft.com/office/word/2010/wordprocessingShape">
                    <wps:wsp>
                      <wps:cNvCnPr/>
                      <wps:spPr>
                        <a:xfrm flipV="1">
                          <a:off x="0" y="0"/>
                          <a:ext cx="1371600" cy="2286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71E05C5" id="Straight Connector 5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95.95pt" to="474.3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" strokecolor="#f69240" strokeweight="1.5pt">
                <v:stroke endarrow="classic"/>
              </v:line>
            </w:pict>
          </mc:Fallback>
        </mc:AlternateContent>
      </w:r>
      <w:r>
        <w:rPr>
          <w:noProof/>
          <w:lang w:eastAsia="en-NZ"/>
        </w:rPr>
        <mc:AlternateContent>
          <mc:Choice Requires="wps">
            <w:drawing>
              <wp:anchor distT="0" distB="0" distL="114300" distR="114300" simplePos="0" relativeHeight="251661312" behindDoc="0" locked="0" layoutInCell="1" allowOverlap="1" wp14:anchorId="4C8619E9" wp14:editId="4F9CD5E3">
                <wp:simplePos x="0" y="0"/>
                <wp:positionH relativeFrom="column">
                  <wp:posOffset>4652010</wp:posOffset>
                </wp:positionH>
                <wp:positionV relativeFrom="paragraph">
                  <wp:posOffset>5257165</wp:posOffset>
                </wp:positionV>
                <wp:extent cx="1400175" cy="409575"/>
                <wp:effectExtent l="0" t="0" r="66675" b="66675"/>
                <wp:wrapNone/>
                <wp:docPr id="61" name="Straight Connector 61"/>
                <wp:cNvGraphicFramePr/>
                <a:graphic xmlns:a="http://schemas.openxmlformats.org/drawingml/2006/main">
                  <a:graphicData uri="http://schemas.microsoft.com/office/word/2010/wordprocessingShape">
                    <wps:wsp>
                      <wps:cNvCnPr/>
                      <wps:spPr>
                        <a:xfrm>
                          <a:off x="0" y="0"/>
                          <a:ext cx="1400175" cy="40957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6F990BA1" id="Straight Connector 6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413.95pt" to="476.55pt,4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" strokecolor="#f69240" strokeweight="1.5pt">
                <v:stroke endarrow="classic"/>
              </v:line>
            </w:pict>
          </mc:Fallback>
        </mc:AlternateContent>
      </w:r>
      <w:r w:rsidR="00A63952">
        <w:rPr>
          <w:noProof/>
          <w:lang w:eastAsia="en-NZ"/>
        </w:rPr>
        <mc:AlternateContent>
          <mc:Choice Requires="wps">
            <w:drawing>
              <wp:anchor distT="0" distB="0" distL="114300" distR="114300" simplePos="0" relativeHeight="251630592" behindDoc="0" locked="0" layoutInCell="1" allowOverlap="1" wp14:anchorId="4EC641ED" wp14:editId="26DC007C">
                <wp:simplePos x="0" y="0"/>
                <wp:positionH relativeFrom="column">
                  <wp:posOffset>4977130</wp:posOffset>
                </wp:positionH>
                <wp:positionV relativeFrom="paragraph">
                  <wp:posOffset>-446405</wp:posOffset>
                </wp:positionV>
                <wp:extent cx="4906010" cy="71831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06010" cy="7183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02601" w14:textId="77777777" w:rsidR="00811909" w:rsidRDefault="00811909">
                            <w:r>
                              <w:rPr>
                                <w:noProof/>
                                <w:lang w:eastAsia="en-NZ"/>
                              </w:rPr>
                              <w:drawing>
                                <wp:inline distT="0" distB="0" distL="0" distR="0" wp14:anchorId="7800074C" wp14:editId="3424E6A5">
                                  <wp:extent cx="4795520" cy="69151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05843" cy="6930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641ED" id="_x0000_t202" coordsize="21600,21600" o:spt="202" path="m,l,21600r21600,l21600,xe">
                <v:stroke joinstyle="miter"/>
                <v:path gradientshapeok="t" o:connecttype="rect"/>
              </v:shapetype>
              <v:shape id="Text Box 20" o:spid="_x0000_s1028" type="#_x0000_t202" style="position:absolute;left:0;text-align:left;margin-left:391.9pt;margin-top:-35.15pt;width:386.3pt;height:56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" filled="f" stroked="f" strokeweight=".5pt">
                <v:textbox>
                  <w:txbxContent>
                    <w:p w14:paraId="02402601" w14:textId="77777777" w:rsidR="00811909" w:rsidRDefault="00811909">
                      <w:r>
                        <w:rPr>
                          <w:noProof/>
                          <w:lang w:eastAsia="en-NZ"/>
                        </w:rPr>
                        <w:drawing>
                          <wp:inline distT="0" distB="0" distL="0" distR="0" wp14:anchorId="7800074C" wp14:editId="3424E6A5">
                            <wp:extent cx="4795520" cy="69151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05843" cy="6930036"/>
                                    </a:xfrm>
                                    <a:prstGeom prst="rect">
                                      <a:avLst/>
                                    </a:prstGeom>
                                  </pic:spPr>
                                </pic:pic>
                              </a:graphicData>
                            </a:graphic>
                          </wp:inline>
                        </w:drawing>
                      </w:r>
                    </w:p>
                  </w:txbxContent>
                </v:textbox>
              </v:shape>
            </w:pict>
          </mc:Fallback>
        </mc:AlternateContent>
      </w:r>
      <w:r w:rsidR="00FA61F4">
        <w:rPr>
          <w:noProof/>
          <w:lang w:eastAsia="en-NZ"/>
        </w:rPr>
        <mc:AlternateContent>
          <mc:Choice Requires="wps">
            <w:drawing>
              <wp:anchor distT="0" distB="0" distL="114300" distR="114300" simplePos="0" relativeHeight="251628544" behindDoc="0" locked="0" layoutInCell="1" allowOverlap="1" wp14:anchorId="610B514A" wp14:editId="0A3A5F39">
                <wp:simplePos x="0" y="0"/>
                <wp:positionH relativeFrom="column">
                  <wp:posOffset>-403860</wp:posOffset>
                </wp:positionH>
                <wp:positionV relativeFrom="paragraph">
                  <wp:posOffset>-446405</wp:posOffset>
                </wp:positionV>
                <wp:extent cx="5029200" cy="67348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29200" cy="673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3BF20" w14:textId="77777777" w:rsidR="00811909" w:rsidRDefault="00811909">
                            <w:r>
                              <w:rPr>
                                <w:noProof/>
                                <w:lang w:eastAsia="en-NZ"/>
                              </w:rPr>
                              <w:drawing>
                                <wp:inline distT="0" distB="0" distL="0" distR="0" wp14:anchorId="06B1217C" wp14:editId="545E47D8">
                                  <wp:extent cx="4818256" cy="57531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20" r="1"/>
                                          <a:stretch/>
                                        </pic:blipFill>
                                        <pic:spPr bwMode="auto">
                                          <a:xfrm>
                                            <a:off x="0" y="0"/>
                                            <a:ext cx="4829204" cy="57661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514A" id="Text Box 18" o:spid="_x0000_s1029" type="#_x0000_t202" style="position:absolute;left:0;text-align:left;margin-left:-31.8pt;margin-top:-35.15pt;width:396pt;height:53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" filled="f" stroked="f" strokeweight=".5pt">
                <v:textbox>
                  <w:txbxContent>
                    <w:p w14:paraId="5093BF20" w14:textId="77777777" w:rsidR="00811909" w:rsidRDefault="00811909">
                      <w:r>
                        <w:rPr>
                          <w:noProof/>
                          <w:lang w:eastAsia="en-NZ"/>
                        </w:rPr>
                        <w:drawing>
                          <wp:inline distT="0" distB="0" distL="0" distR="0" wp14:anchorId="06B1217C" wp14:editId="545E47D8">
                            <wp:extent cx="4818256" cy="57531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020" r="1"/>
                                    <a:stretch/>
                                  </pic:blipFill>
                                  <pic:spPr bwMode="auto">
                                    <a:xfrm>
                                      <a:off x="0" y="0"/>
                                      <a:ext cx="4829204" cy="57661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61F4" w:rsidRPr="00547F27">
        <w:rPr>
          <w:noProof/>
          <w:lang w:eastAsia="en-NZ"/>
        </w:rPr>
        <mc:AlternateContent>
          <mc:Choice Requires="wps">
            <w:drawing>
              <wp:anchor distT="0" distB="0" distL="114300" distR="114300" simplePos="0" relativeHeight="251640832" behindDoc="0" locked="0" layoutInCell="1" allowOverlap="1" wp14:anchorId="7C63D14A" wp14:editId="1C60FDF2">
                <wp:simplePos x="0" y="0"/>
                <wp:positionH relativeFrom="column">
                  <wp:posOffset>3023714</wp:posOffset>
                </wp:positionH>
                <wp:positionV relativeFrom="paragraph">
                  <wp:posOffset>-363831</wp:posOffset>
                </wp:positionV>
                <wp:extent cx="1976755" cy="577850"/>
                <wp:effectExtent l="0" t="0" r="23495" b="12700"/>
                <wp:wrapNone/>
                <wp:docPr id="14" name="Text Box 14"/>
                <wp:cNvGraphicFramePr/>
                <a:graphic xmlns:a="http://schemas.openxmlformats.org/drawingml/2006/main">
                  <a:graphicData uri="http://schemas.microsoft.com/office/word/2010/wordprocessingShape">
                    <wps:wsp>
                      <wps:cNvSpPr txBox="1"/>
                      <wps:spPr>
                        <a:xfrm>
                          <a:off x="0" y="0"/>
                          <a:ext cx="1976755" cy="5778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6917C2BE" w14:textId="77777777" w:rsidR="00811909" w:rsidRDefault="00811909" w:rsidP="00BC2589">
                            <w:pPr>
                              <w:spacing w:after="0"/>
                              <w:rPr>
                                <w:sz w:val="18"/>
                                <w:szCs w:val="20"/>
                              </w:rPr>
                            </w:pPr>
                            <w:r w:rsidRPr="00E92741">
                              <w:rPr>
                                <w:sz w:val="18"/>
                                <w:szCs w:val="20"/>
                              </w:rPr>
                              <w:t>Th</w:t>
                            </w:r>
                            <w:r>
                              <w:rPr>
                                <w:sz w:val="18"/>
                                <w:szCs w:val="20"/>
                              </w:rPr>
                              <w:t>is</w:t>
                            </w:r>
                            <w:r w:rsidRPr="00E92741">
                              <w:rPr>
                                <w:sz w:val="18"/>
                                <w:szCs w:val="20"/>
                              </w:rPr>
                              <w:t xml:space="preserve"> section </w:t>
                            </w:r>
                            <w:r w:rsidRPr="00F253D9">
                              <w:rPr>
                                <w:b/>
                                <w:i/>
                                <w:sz w:val="18"/>
                                <w:szCs w:val="20"/>
                              </w:rPr>
                              <w:t>New Zealand (AR) DRG PCCL and MDC Information</w:t>
                            </w:r>
                            <w:r>
                              <w:rPr>
                                <w:sz w:val="18"/>
                                <w:szCs w:val="20"/>
                              </w:rPr>
                              <w:t xml:space="preserve"> </w:t>
                            </w:r>
                            <w:r w:rsidRPr="00E92741">
                              <w:rPr>
                                <w:sz w:val="18"/>
                                <w:szCs w:val="20"/>
                              </w:rPr>
                              <w:t>displays:</w:t>
                            </w:r>
                          </w:p>
                          <w:p w14:paraId="4F96EF07" w14:textId="77777777" w:rsidR="00811909" w:rsidRPr="00E73698" w:rsidRDefault="00811909" w:rsidP="00BC2589">
                            <w:pPr>
                              <w:rPr>
                                <w:sz w:val="20"/>
                                <w:szCs w:val="20"/>
                              </w:rPr>
                            </w:pPr>
                            <w:r w:rsidRPr="00E73698">
                              <w:rPr>
                                <w:sz w:val="20"/>
                                <w:szCs w:val="20"/>
                              </w:rPr>
                              <w:t>AR-DRG</w:t>
                            </w:r>
                            <w:r>
                              <w:rPr>
                                <w:sz w:val="20"/>
                                <w:szCs w:val="20"/>
                              </w:rPr>
                              <w:t xml:space="preserve">, NZWIES, PCCL and MDC </w:t>
                            </w:r>
                          </w:p>
                          <w:p w14:paraId="6C5CD0FB" w14:textId="77777777" w:rsidR="00811909" w:rsidRDefault="00811909" w:rsidP="00BC258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D14A" id="Text Box 14" o:spid="_x0000_s1030" type="#_x0000_t202" style="position:absolute;left:0;text-align:left;margin-left:238.1pt;margin-top:-28.65pt;width:155.65pt;height: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" fillcolor="white [3201]" strokecolor="#f79646 [3209]" strokeweight="1.5pt">
                <v:textbox>
                  <w:txbxContent>
                    <w:p w14:paraId="6917C2BE" w14:textId="77777777" w:rsidR="00811909" w:rsidRDefault="00811909" w:rsidP="00BC2589">
                      <w:pPr>
                        <w:spacing w:after="0"/>
                        <w:rPr>
                          <w:sz w:val="18"/>
                          <w:szCs w:val="20"/>
                        </w:rPr>
                      </w:pPr>
                      <w:r w:rsidRPr="00E92741">
                        <w:rPr>
                          <w:sz w:val="18"/>
                          <w:szCs w:val="20"/>
                        </w:rPr>
                        <w:t>Th</w:t>
                      </w:r>
                      <w:r>
                        <w:rPr>
                          <w:sz w:val="18"/>
                          <w:szCs w:val="20"/>
                        </w:rPr>
                        <w:t>is</w:t>
                      </w:r>
                      <w:r w:rsidRPr="00E92741">
                        <w:rPr>
                          <w:sz w:val="18"/>
                          <w:szCs w:val="20"/>
                        </w:rPr>
                        <w:t xml:space="preserve"> section </w:t>
                      </w:r>
                      <w:r w:rsidRPr="00F253D9">
                        <w:rPr>
                          <w:b/>
                          <w:i/>
                          <w:sz w:val="18"/>
                          <w:szCs w:val="20"/>
                        </w:rPr>
                        <w:t>New Zealand (AR) DRG PCCL and MDC Information</w:t>
                      </w:r>
                      <w:r>
                        <w:rPr>
                          <w:sz w:val="18"/>
                          <w:szCs w:val="20"/>
                        </w:rPr>
                        <w:t xml:space="preserve"> </w:t>
                      </w:r>
                      <w:r w:rsidRPr="00E92741">
                        <w:rPr>
                          <w:sz w:val="18"/>
                          <w:szCs w:val="20"/>
                        </w:rPr>
                        <w:t>displays:</w:t>
                      </w:r>
                    </w:p>
                    <w:p w14:paraId="4F96EF07" w14:textId="77777777" w:rsidR="00811909" w:rsidRPr="00E73698" w:rsidRDefault="00811909" w:rsidP="00BC2589">
                      <w:pPr>
                        <w:rPr>
                          <w:sz w:val="20"/>
                          <w:szCs w:val="20"/>
                        </w:rPr>
                      </w:pPr>
                      <w:r w:rsidRPr="00E73698">
                        <w:rPr>
                          <w:sz w:val="20"/>
                          <w:szCs w:val="20"/>
                        </w:rPr>
                        <w:t>AR-DRG</w:t>
                      </w:r>
                      <w:r>
                        <w:rPr>
                          <w:sz w:val="20"/>
                          <w:szCs w:val="20"/>
                        </w:rPr>
                        <w:t xml:space="preserve">, NZWIES, PCCL and MDC </w:t>
                      </w:r>
                    </w:p>
                    <w:p w14:paraId="6C5CD0FB" w14:textId="77777777" w:rsidR="00811909" w:rsidRDefault="00811909" w:rsidP="00BC2589">
                      <w:pPr>
                        <w:spacing w:after="0"/>
                      </w:pPr>
                    </w:p>
                  </w:txbxContent>
                </v:textbox>
              </v:shape>
            </w:pict>
          </mc:Fallback>
        </mc:AlternateContent>
      </w:r>
      <w:r w:rsidR="00950BDE">
        <w:rPr>
          <w:noProof/>
          <w:lang w:eastAsia="en-NZ"/>
        </w:rPr>
        <mc:AlternateContent>
          <mc:Choice Requires="wps">
            <w:drawing>
              <wp:anchor distT="0" distB="0" distL="114300" distR="114300" simplePos="0" relativeHeight="251683840" behindDoc="0" locked="0" layoutInCell="1" allowOverlap="1" wp14:anchorId="4FFADC58" wp14:editId="65E3F4FB">
                <wp:simplePos x="0" y="0"/>
                <wp:positionH relativeFrom="column">
                  <wp:posOffset>4509135</wp:posOffset>
                </wp:positionH>
                <wp:positionV relativeFrom="paragraph">
                  <wp:posOffset>218440</wp:posOffset>
                </wp:positionV>
                <wp:extent cx="790575" cy="381000"/>
                <wp:effectExtent l="0" t="0" r="47625" b="57150"/>
                <wp:wrapNone/>
                <wp:docPr id="16" name="Straight Connector 16"/>
                <wp:cNvGraphicFramePr/>
                <a:graphic xmlns:a="http://schemas.openxmlformats.org/drawingml/2006/main">
                  <a:graphicData uri="http://schemas.microsoft.com/office/word/2010/wordprocessingShape">
                    <wps:wsp>
                      <wps:cNvCnPr/>
                      <wps:spPr>
                        <a:xfrm>
                          <a:off x="0" y="0"/>
                          <a:ext cx="790575" cy="3810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18F89FD" id="Straight Connector 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05pt,17.2pt" to="417.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" strokecolor="#f69240" strokeweight="1.5pt">
                <v:stroke endarrow="classic"/>
              </v:line>
            </w:pict>
          </mc:Fallback>
        </mc:AlternateContent>
      </w:r>
      <w:r w:rsidR="00950BDE">
        <w:rPr>
          <w:noProof/>
          <w:lang w:eastAsia="en-NZ"/>
        </w:rPr>
        <mc:AlternateContent>
          <mc:Choice Requires="wps">
            <w:drawing>
              <wp:anchor distT="0" distB="0" distL="114300" distR="114300" simplePos="0" relativeHeight="251685888" behindDoc="0" locked="0" layoutInCell="1" allowOverlap="1" wp14:anchorId="753A394A" wp14:editId="55B4D29A">
                <wp:simplePos x="0" y="0"/>
                <wp:positionH relativeFrom="column">
                  <wp:posOffset>3832860</wp:posOffset>
                </wp:positionH>
                <wp:positionV relativeFrom="paragraph">
                  <wp:posOffset>218440</wp:posOffset>
                </wp:positionV>
                <wp:extent cx="676275" cy="190500"/>
                <wp:effectExtent l="38100" t="0" r="28575" b="76200"/>
                <wp:wrapNone/>
                <wp:docPr id="15" name="Straight Connector 15"/>
                <wp:cNvGraphicFramePr/>
                <a:graphic xmlns:a="http://schemas.openxmlformats.org/drawingml/2006/main">
                  <a:graphicData uri="http://schemas.microsoft.com/office/word/2010/wordprocessingShape">
                    <wps:wsp>
                      <wps:cNvCnPr/>
                      <wps:spPr>
                        <a:xfrm flipH="1">
                          <a:off x="0" y="0"/>
                          <a:ext cx="676275" cy="1905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1DA5B192" id="Straight Connector 1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17.2pt" to="355.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57216" behindDoc="0" locked="0" layoutInCell="1" allowOverlap="1" wp14:anchorId="15004E91" wp14:editId="47D2C460">
                <wp:simplePos x="0" y="0"/>
                <wp:positionH relativeFrom="column">
                  <wp:posOffset>1232535</wp:posOffset>
                </wp:positionH>
                <wp:positionV relativeFrom="paragraph">
                  <wp:posOffset>4838065</wp:posOffset>
                </wp:positionV>
                <wp:extent cx="1704341" cy="590550"/>
                <wp:effectExtent l="38100" t="38100" r="29210" b="19050"/>
                <wp:wrapNone/>
                <wp:docPr id="55" name="Straight Connector 55"/>
                <wp:cNvGraphicFramePr/>
                <a:graphic xmlns:a="http://schemas.openxmlformats.org/drawingml/2006/main">
                  <a:graphicData uri="http://schemas.microsoft.com/office/word/2010/wordprocessingShape">
                    <wps:wsp>
                      <wps:cNvCnPr/>
                      <wps:spPr>
                        <a:xfrm flipH="1" flipV="1">
                          <a:off x="0" y="0"/>
                          <a:ext cx="1704341" cy="59055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1848639" id="Straight Connector 55"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380.95pt" to="231.2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71552" behindDoc="0" locked="0" layoutInCell="1" allowOverlap="1" wp14:anchorId="7BC47D73" wp14:editId="3C0D982B">
                <wp:simplePos x="0" y="0"/>
                <wp:positionH relativeFrom="column">
                  <wp:posOffset>698500</wp:posOffset>
                </wp:positionH>
                <wp:positionV relativeFrom="paragraph">
                  <wp:posOffset>4742815</wp:posOffset>
                </wp:positionV>
                <wp:extent cx="466725" cy="1333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466725" cy="1333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F214A" id="Rectangle 56" o:spid="_x0000_s1026" style="position:absolute;margin-left:55pt;margin-top:373.45pt;width:36.7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" filled="f" strokecolor="#f79646 [3209]" strokeweight="1.5pt"/>
            </w:pict>
          </mc:Fallback>
        </mc:AlternateContent>
      </w:r>
      <w:r w:rsidR="00210D79">
        <w:rPr>
          <w:noProof/>
          <w:lang w:eastAsia="en-NZ"/>
        </w:rPr>
        <mc:AlternateContent>
          <mc:Choice Requires="wps">
            <w:drawing>
              <wp:anchor distT="0" distB="0" distL="114300" distR="114300" simplePos="0" relativeHeight="251681792" behindDoc="0" locked="0" layoutInCell="1" allowOverlap="1" wp14:anchorId="709378F8" wp14:editId="6494A9A5">
                <wp:simplePos x="0" y="0"/>
                <wp:positionH relativeFrom="column">
                  <wp:posOffset>2366010</wp:posOffset>
                </wp:positionH>
                <wp:positionV relativeFrom="paragraph">
                  <wp:posOffset>1742440</wp:posOffset>
                </wp:positionV>
                <wp:extent cx="533400" cy="0"/>
                <wp:effectExtent l="38100" t="76200" r="0" b="95250"/>
                <wp:wrapNone/>
                <wp:docPr id="24" name="Straight Connector 24"/>
                <wp:cNvGraphicFramePr/>
                <a:graphic xmlns:a="http://schemas.openxmlformats.org/drawingml/2006/main">
                  <a:graphicData uri="http://schemas.microsoft.com/office/word/2010/wordprocessingShape">
                    <wps:wsp>
                      <wps:cNvCnPr/>
                      <wps:spPr>
                        <a:xfrm flipH="1">
                          <a:off x="0" y="0"/>
                          <a:ext cx="533400" cy="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CEE15C1" id="Straight Connector 2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37.2pt" to="228.3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79744" behindDoc="0" locked="0" layoutInCell="1" allowOverlap="1" wp14:anchorId="363CF9FB" wp14:editId="5C4EE042">
                <wp:simplePos x="0" y="0"/>
                <wp:positionH relativeFrom="column">
                  <wp:posOffset>5042535</wp:posOffset>
                </wp:positionH>
                <wp:positionV relativeFrom="paragraph">
                  <wp:posOffset>1751965</wp:posOffset>
                </wp:positionV>
                <wp:extent cx="571500" cy="0"/>
                <wp:effectExtent l="0" t="76200" r="19050" b="95250"/>
                <wp:wrapNone/>
                <wp:docPr id="23" name="Straight Connector 23"/>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724AB859" id="Straight Connector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05pt,137.95pt" to="442.0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" strokecolor="#f69240" strokeweight="1.5pt">
                <v:stroke endarrow="classic"/>
              </v:line>
            </w:pict>
          </mc:Fallback>
        </mc:AlternateContent>
      </w:r>
      <w:r w:rsidR="00210D79">
        <w:rPr>
          <w:noProof/>
          <w:lang w:eastAsia="en-NZ"/>
        </w:rPr>
        <mc:AlternateContent>
          <mc:Choice Requires="wps">
            <w:drawing>
              <wp:anchor distT="0" distB="0" distL="114300" distR="114300" simplePos="0" relativeHeight="251634688" behindDoc="0" locked="0" layoutInCell="1" allowOverlap="1" wp14:anchorId="58FE2828" wp14:editId="29575AC1">
                <wp:simplePos x="0" y="0"/>
                <wp:positionH relativeFrom="column">
                  <wp:posOffset>2899410</wp:posOffset>
                </wp:positionH>
                <wp:positionV relativeFrom="paragraph">
                  <wp:posOffset>1351915</wp:posOffset>
                </wp:positionV>
                <wp:extent cx="2143125" cy="7810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2143125" cy="7810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4A41C074" w14:textId="77777777"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Additional DRG Information</w:t>
                            </w:r>
                            <w:r w:rsidRPr="00E92741">
                              <w:rPr>
                                <w:sz w:val="18"/>
                                <w:szCs w:val="20"/>
                              </w:rPr>
                              <w:t xml:space="preserve"> displays: DRG </w:t>
                            </w:r>
                            <w:r>
                              <w:rPr>
                                <w:sz w:val="18"/>
                                <w:szCs w:val="20"/>
                              </w:rPr>
                              <w:t>version, ICD-10-AM/ACHI Edition, e</w:t>
                            </w:r>
                            <w:r w:rsidRPr="00E92741">
                              <w:rPr>
                                <w:sz w:val="18"/>
                                <w:szCs w:val="20"/>
                              </w:rPr>
                              <w:t>vent start and end date</w:t>
                            </w:r>
                            <w:r>
                              <w:rPr>
                                <w:sz w:val="18"/>
                                <w:szCs w:val="20"/>
                              </w:rPr>
                              <w:t>s</w:t>
                            </w:r>
                            <w:r w:rsidRPr="00E92741">
                              <w:rPr>
                                <w:sz w:val="18"/>
                                <w:szCs w:val="20"/>
                              </w:rPr>
                              <w:t>, LOS, age, sex, discharge type</w:t>
                            </w:r>
                            <w:r>
                              <w:rPr>
                                <w:sz w:val="18"/>
                                <w:szCs w:val="20"/>
                              </w:rPr>
                              <w:t xml:space="preserve"> etc</w:t>
                            </w:r>
                          </w:p>
                          <w:p w14:paraId="5780FA41" w14:textId="77777777" w:rsidR="00811909" w:rsidRDefault="00811909" w:rsidP="00BC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E2828" id="Text Box 69" o:spid="_x0000_s1031" type="#_x0000_t202" style="position:absolute;left:0;text-align:left;margin-left:228.3pt;margin-top:106.45pt;width:168.75pt;height:61.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" fillcolor="white [3201]" strokecolor="#f79646 [3209]" strokeweight="1.5pt">
                <v:textbox>
                  <w:txbxContent>
                    <w:p w14:paraId="4A41C074" w14:textId="77777777"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Additional DRG Information</w:t>
                      </w:r>
                      <w:r w:rsidRPr="00E92741">
                        <w:rPr>
                          <w:sz w:val="18"/>
                          <w:szCs w:val="20"/>
                        </w:rPr>
                        <w:t xml:space="preserve"> displays: DRG </w:t>
                      </w:r>
                      <w:r>
                        <w:rPr>
                          <w:sz w:val="18"/>
                          <w:szCs w:val="20"/>
                        </w:rPr>
                        <w:t>version, ICD-10-AM/ACHI Edition, e</w:t>
                      </w:r>
                      <w:r w:rsidRPr="00E92741">
                        <w:rPr>
                          <w:sz w:val="18"/>
                          <w:szCs w:val="20"/>
                        </w:rPr>
                        <w:t>vent start and end date</w:t>
                      </w:r>
                      <w:r>
                        <w:rPr>
                          <w:sz w:val="18"/>
                          <w:szCs w:val="20"/>
                        </w:rPr>
                        <w:t>s</w:t>
                      </w:r>
                      <w:r w:rsidRPr="00E92741">
                        <w:rPr>
                          <w:sz w:val="18"/>
                          <w:szCs w:val="20"/>
                        </w:rPr>
                        <w:t>, LOS, age, sex, discharge type</w:t>
                      </w:r>
                      <w:r>
                        <w:rPr>
                          <w:sz w:val="18"/>
                          <w:szCs w:val="20"/>
                        </w:rPr>
                        <w:t xml:space="preserve"> etc</w:t>
                      </w:r>
                    </w:p>
                    <w:p w14:paraId="5780FA41" w14:textId="77777777" w:rsidR="00811909" w:rsidRDefault="00811909" w:rsidP="00BC2589"/>
                  </w:txbxContent>
                </v:textbox>
              </v:shape>
            </w:pict>
          </mc:Fallback>
        </mc:AlternateContent>
      </w:r>
      <w:r w:rsidR="00BC2589">
        <w:rPr>
          <w:noProof/>
          <w:lang w:eastAsia="en-NZ"/>
        </w:rPr>
        <mc:AlternateContent>
          <mc:Choice Requires="wps">
            <w:drawing>
              <wp:anchor distT="0" distB="0" distL="114300" distR="114300" simplePos="0" relativeHeight="251677696" behindDoc="0" locked="0" layoutInCell="1" allowOverlap="1" wp14:anchorId="174157E3" wp14:editId="40D554AA">
                <wp:simplePos x="0" y="0"/>
                <wp:positionH relativeFrom="column">
                  <wp:posOffset>2508885</wp:posOffset>
                </wp:positionH>
                <wp:positionV relativeFrom="paragraph">
                  <wp:posOffset>4209415</wp:posOffset>
                </wp:positionV>
                <wp:extent cx="427991" cy="171450"/>
                <wp:effectExtent l="38100" t="0" r="29210" b="57150"/>
                <wp:wrapNone/>
                <wp:docPr id="27" name="Straight Connector 27"/>
                <wp:cNvGraphicFramePr/>
                <a:graphic xmlns:a="http://schemas.openxmlformats.org/drawingml/2006/main">
                  <a:graphicData uri="http://schemas.microsoft.com/office/word/2010/wordprocessingShape">
                    <wps:wsp>
                      <wps:cNvCnPr/>
                      <wps:spPr>
                        <a:xfrm flipH="1">
                          <a:off x="0" y="0"/>
                          <a:ext cx="427991" cy="17145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7D7D521" id="Straight Connector 2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331.45pt" to="231.25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53120" behindDoc="0" locked="0" layoutInCell="1" allowOverlap="1" wp14:anchorId="531DD63F" wp14:editId="3AB11C95">
                <wp:simplePos x="0" y="0"/>
                <wp:positionH relativeFrom="column">
                  <wp:posOffset>2089785</wp:posOffset>
                </wp:positionH>
                <wp:positionV relativeFrom="paragraph">
                  <wp:posOffset>4009390</wp:posOffset>
                </wp:positionV>
                <wp:extent cx="846456" cy="180975"/>
                <wp:effectExtent l="19050" t="57150" r="29845" b="28575"/>
                <wp:wrapNone/>
                <wp:docPr id="28" name="Straight Connector 28"/>
                <wp:cNvGraphicFramePr/>
                <a:graphic xmlns:a="http://schemas.openxmlformats.org/drawingml/2006/main">
                  <a:graphicData uri="http://schemas.microsoft.com/office/word/2010/wordprocessingShape">
                    <wps:wsp>
                      <wps:cNvCnPr/>
                      <wps:spPr>
                        <a:xfrm flipH="1" flipV="1">
                          <a:off x="0" y="0"/>
                          <a:ext cx="846456" cy="180975"/>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2C063E7B" id="Straight Connector 28"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315.7pt" to="231.2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75648" behindDoc="0" locked="0" layoutInCell="1" allowOverlap="1" wp14:anchorId="37A256F9" wp14:editId="69EF55F0">
                <wp:simplePos x="0" y="0"/>
                <wp:positionH relativeFrom="column">
                  <wp:posOffset>4652010</wp:posOffset>
                </wp:positionH>
                <wp:positionV relativeFrom="paragraph">
                  <wp:posOffset>3914141</wp:posOffset>
                </wp:positionV>
                <wp:extent cx="418465" cy="276224"/>
                <wp:effectExtent l="0" t="38100" r="57785" b="29210"/>
                <wp:wrapNone/>
                <wp:docPr id="41" name="Straight Connector 41"/>
                <wp:cNvGraphicFramePr/>
                <a:graphic xmlns:a="http://schemas.openxmlformats.org/drawingml/2006/main">
                  <a:graphicData uri="http://schemas.microsoft.com/office/word/2010/wordprocessingShape">
                    <wps:wsp>
                      <wps:cNvCnPr/>
                      <wps:spPr>
                        <a:xfrm flipV="1">
                          <a:off x="0" y="0"/>
                          <a:ext cx="418465" cy="276224"/>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0E9336A4" id="Straight Connector 4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08.2pt" to="399.2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59264" behindDoc="0" locked="0" layoutInCell="1" allowOverlap="1" wp14:anchorId="1DC0BCF8" wp14:editId="061E3556">
                <wp:simplePos x="0" y="0"/>
                <wp:positionH relativeFrom="column">
                  <wp:posOffset>4652010</wp:posOffset>
                </wp:positionH>
                <wp:positionV relativeFrom="paragraph">
                  <wp:posOffset>4199890</wp:posOffset>
                </wp:positionV>
                <wp:extent cx="418465" cy="114300"/>
                <wp:effectExtent l="0" t="0" r="57785" b="76200"/>
                <wp:wrapNone/>
                <wp:docPr id="43" name="Straight Connector 43"/>
                <wp:cNvGraphicFramePr/>
                <a:graphic xmlns:a="http://schemas.openxmlformats.org/drawingml/2006/main">
                  <a:graphicData uri="http://schemas.microsoft.com/office/word/2010/wordprocessingShape">
                    <wps:wsp>
                      <wps:cNvCnPr/>
                      <wps:spPr>
                        <a:xfrm>
                          <a:off x="0" y="0"/>
                          <a:ext cx="418465" cy="11430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D9BA880" id="Straight Connector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330.7pt" to="399.25pt,3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" strokecolor="#f69240" strokeweight="1.5pt">
                <v:stroke endarrow="classic"/>
              </v:line>
            </w:pict>
          </mc:Fallback>
        </mc:AlternateContent>
      </w:r>
      <w:r w:rsidR="00BC2589">
        <w:rPr>
          <w:noProof/>
          <w:lang w:eastAsia="en-NZ"/>
        </w:rPr>
        <mc:AlternateContent>
          <mc:Choice Requires="wps">
            <w:drawing>
              <wp:anchor distT="0" distB="0" distL="114300" distR="114300" simplePos="0" relativeHeight="251655168" behindDoc="0" locked="0" layoutInCell="1" allowOverlap="1" wp14:anchorId="4FF0E368" wp14:editId="6750EB57">
                <wp:simplePos x="0" y="0"/>
                <wp:positionH relativeFrom="column">
                  <wp:posOffset>4347210</wp:posOffset>
                </wp:positionH>
                <wp:positionV relativeFrom="paragraph">
                  <wp:posOffset>3094990</wp:posOffset>
                </wp:positionV>
                <wp:extent cx="723265" cy="0"/>
                <wp:effectExtent l="0" t="76200" r="19685" b="95250"/>
                <wp:wrapNone/>
                <wp:docPr id="65" name="Straight Connector 65"/>
                <wp:cNvGraphicFramePr/>
                <a:graphic xmlns:a="http://schemas.openxmlformats.org/drawingml/2006/main">
                  <a:graphicData uri="http://schemas.microsoft.com/office/word/2010/wordprocessingShape">
                    <wps:wsp>
                      <wps:cNvCnPr/>
                      <wps:spPr>
                        <a:xfrm>
                          <a:off x="0" y="0"/>
                          <a:ext cx="723265" cy="0"/>
                        </a:xfrm>
                        <a:prstGeom prst="line">
                          <a:avLst/>
                        </a:prstGeom>
                        <a:noFill/>
                        <a:ln w="19050" cap="flat" cmpd="sng" algn="ctr">
                          <a:solidFill>
                            <a:srgbClr val="F79646">
                              <a:shade val="95000"/>
                              <a:satMod val="105000"/>
                            </a:srgbClr>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B254465" id="Straight Connector 6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pt,243.7pt" to="399.2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" strokecolor="#f69240" strokeweight="1.5pt">
                <v:stroke endarrow="classic"/>
              </v:line>
            </w:pict>
          </mc:Fallback>
        </mc:AlternateContent>
      </w:r>
      <w:r w:rsidR="00BC2589" w:rsidRPr="00E92741">
        <w:rPr>
          <w:noProof/>
          <w:lang w:eastAsia="en-NZ"/>
        </w:rPr>
        <mc:AlternateContent>
          <mc:Choice Requires="wps">
            <w:drawing>
              <wp:anchor distT="0" distB="0" distL="114300" distR="114300" simplePos="0" relativeHeight="251638784" behindDoc="0" locked="0" layoutInCell="1" allowOverlap="1" wp14:anchorId="26614B4A" wp14:editId="7D9211D2">
                <wp:simplePos x="0" y="0"/>
                <wp:positionH relativeFrom="column">
                  <wp:posOffset>2937510</wp:posOffset>
                </wp:positionH>
                <wp:positionV relativeFrom="paragraph">
                  <wp:posOffset>3828415</wp:posOffset>
                </wp:positionV>
                <wp:extent cx="1714500" cy="231457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1714500" cy="231457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43143077" w14:textId="77777777" w:rsidR="00811909" w:rsidRDefault="00811909" w:rsidP="00BC2589">
                            <w:pPr>
                              <w:rPr>
                                <w:sz w:val="18"/>
                              </w:rPr>
                            </w:pPr>
                            <w:r>
                              <w:rPr>
                                <w:sz w:val="18"/>
                              </w:rPr>
                              <w:t xml:space="preserve">This section is a summary of the clinical coding for the admitted episode of patient care. It lists all the ICD-10-AM/ACHI codes/code descriptions, COF, and procedure dates.  </w:t>
                            </w:r>
                          </w:p>
                          <w:p w14:paraId="78940AD6" w14:textId="77777777" w:rsidR="00811909" w:rsidRPr="00547F27" w:rsidRDefault="00811909" w:rsidP="00BC2589">
                            <w:pPr>
                              <w:rPr>
                                <w:sz w:val="18"/>
                              </w:rPr>
                            </w:pPr>
                            <w:r>
                              <w:rPr>
                                <w:sz w:val="18"/>
                              </w:rPr>
                              <w:t xml:space="preserve">After code allocation grouping occurs. The clinical codes that have an impact on the PCCL and DRG allocation are identified by the terms CC, CCL=x, and DRGOR.  Other terms may also be used eg, 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4B4A" id="Text Box 66" o:spid="_x0000_s1032" type="#_x0000_t202" style="position:absolute;left:0;text-align:left;margin-left:231.3pt;margin-top:301.45pt;width:135pt;height:18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" fillcolor="white [3201]" strokecolor="#f79646 [3209]" strokeweight="1.5pt">
                <v:textbox>
                  <w:txbxContent>
                    <w:p w14:paraId="43143077" w14:textId="77777777" w:rsidR="00811909" w:rsidRDefault="00811909" w:rsidP="00BC2589">
                      <w:pPr>
                        <w:rPr>
                          <w:sz w:val="18"/>
                        </w:rPr>
                      </w:pPr>
                      <w:r>
                        <w:rPr>
                          <w:sz w:val="18"/>
                        </w:rPr>
                        <w:t xml:space="preserve">This section is a summary of the clinical coding for the admitted episode of patient care. It lists all the ICD-10-AM/ACHI codes/code descriptions, COF, and procedure dates.  </w:t>
                      </w:r>
                    </w:p>
                    <w:p w14:paraId="78940AD6" w14:textId="77777777" w:rsidR="00811909" w:rsidRPr="00547F27" w:rsidRDefault="00811909" w:rsidP="00BC2589">
                      <w:pPr>
                        <w:rPr>
                          <w:sz w:val="18"/>
                        </w:rPr>
                      </w:pPr>
                      <w:r>
                        <w:rPr>
                          <w:sz w:val="18"/>
                        </w:rPr>
                        <w:t xml:space="preserve">After code allocation grouping occurs. The clinical codes that have an impact on the PCCL and DRG allocation are identified by the terms CC, CCL=x, and DRGOR.  Other terms may also be used eg, NOR.  </w:t>
                      </w:r>
                    </w:p>
                  </w:txbxContent>
                </v:textbox>
              </v:shape>
            </w:pict>
          </mc:Fallback>
        </mc:AlternateContent>
      </w:r>
      <w:r w:rsidR="00BC2589">
        <w:rPr>
          <w:noProof/>
          <w:lang w:eastAsia="en-NZ"/>
        </w:rPr>
        <mc:AlternateContent>
          <mc:Choice Requires="wps">
            <w:drawing>
              <wp:anchor distT="0" distB="0" distL="114300" distR="114300" simplePos="0" relativeHeight="251651072" behindDoc="0" locked="0" layoutInCell="1" allowOverlap="1" wp14:anchorId="67C2B17A" wp14:editId="331F8FD4">
                <wp:simplePos x="0" y="0"/>
                <wp:positionH relativeFrom="column">
                  <wp:posOffset>1165860</wp:posOffset>
                </wp:positionH>
                <wp:positionV relativeFrom="paragraph">
                  <wp:posOffset>3094990</wp:posOffset>
                </wp:positionV>
                <wp:extent cx="1038225" cy="1"/>
                <wp:effectExtent l="38100" t="76200" r="0" b="95250"/>
                <wp:wrapNone/>
                <wp:docPr id="67" name="Straight Connector 67"/>
                <wp:cNvGraphicFramePr/>
                <a:graphic xmlns:a="http://schemas.openxmlformats.org/drawingml/2006/main">
                  <a:graphicData uri="http://schemas.microsoft.com/office/word/2010/wordprocessingShape">
                    <wps:wsp>
                      <wps:cNvCnPr/>
                      <wps:spPr>
                        <a:xfrm flipH="1" flipV="1">
                          <a:off x="0" y="0"/>
                          <a:ext cx="1038225" cy="1"/>
                        </a:xfrm>
                        <a:prstGeom prst="line">
                          <a:avLst/>
                        </a:prstGeom>
                        <a:ln w="19050">
                          <a:tailEnd type="stealt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C9004" id="Straight Connector 67"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243.7pt" to="173.5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" strokecolor="#f68c36 [3049]" strokeweight="1.5pt">
                <v:stroke endarrow="classic"/>
              </v:line>
            </w:pict>
          </mc:Fallback>
        </mc:AlternateContent>
      </w:r>
      <w:r w:rsidR="00BC2589" w:rsidRPr="00E92741">
        <w:rPr>
          <w:noProof/>
          <w:lang w:eastAsia="en-NZ"/>
        </w:rPr>
        <mc:AlternateContent>
          <mc:Choice Requires="wps">
            <w:drawing>
              <wp:anchor distT="0" distB="0" distL="114300" distR="114300" simplePos="0" relativeHeight="251636736" behindDoc="0" locked="0" layoutInCell="1" allowOverlap="1" wp14:anchorId="5CDD912E" wp14:editId="3B177165">
                <wp:simplePos x="0" y="0"/>
                <wp:positionH relativeFrom="column">
                  <wp:posOffset>2204085</wp:posOffset>
                </wp:positionH>
                <wp:positionV relativeFrom="paragraph">
                  <wp:posOffset>2761615</wp:posOffset>
                </wp:positionV>
                <wp:extent cx="2143125" cy="78105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2143125" cy="7810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73B8D88" w14:textId="77777777"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Estimated WIES – New Zealand</w:t>
                            </w:r>
                            <w:r>
                              <w:rPr>
                                <w:sz w:val="18"/>
                                <w:szCs w:val="20"/>
                              </w:rPr>
                              <w:t xml:space="preserve"> </w:t>
                            </w:r>
                            <w:r w:rsidRPr="00E92741">
                              <w:rPr>
                                <w:sz w:val="18"/>
                                <w:szCs w:val="20"/>
                              </w:rPr>
                              <w:t xml:space="preserve">displays: </w:t>
                            </w:r>
                            <w:r>
                              <w:rPr>
                                <w:sz w:val="18"/>
                                <w:szCs w:val="20"/>
                              </w:rPr>
                              <w:t xml:space="preserve">WIES version, NZWIES calculations, NZ DRG and co-payment value when applicable </w:t>
                            </w:r>
                          </w:p>
                          <w:p w14:paraId="62B15034" w14:textId="77777777" w:rsidR="00811909" w:rsidRDefault="00811909" w:rsidP="00BC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D912E" id="Text Box 68" o:spid="_x0000_s1033" type="#_x0000_t202" style="position:absolute;left:0;text-align:left;margin-left:173.55pt;margin-top:217.45pt;width:168.75pt;height:6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" fillcolor="white [3201]" strokecolor="#f79646 [3209]" strokeweight="1.5pt">
                <v:textbox>
                  <w:txbxContent>
                    <w:p w14:paraId="173B8D88" w14:textId="77777777" w:rsidR="00811909" w:rsidRPr="00E92741" w:rsidRDefault="00811909" w:rsidP="00BC2589">
                      <w:pPr>
                        <w:spacing w:after="0"/>
                        <w:rPr>
                          <w:sz w:val="18"/>
                          <w:szCs w:val="20"/>
                        </w:rPr>
                      </w:pPr>
                      <w:r w:rsidRPr="00E92741">
                        <w:rPr>
                          <w:sz w:val="18"/>
                          <w:szCs w:val="20"/>
                        </w:rPr>
                        <w:t xml:space="preserve">This section </w:t>
                      </w:r>
                      <w:r w:rsidRPr="00F253D9">
                        <w:rPr>
                          <w:b/>
                          <w:i/>
                          <w:sz w:val="18"/>
                          <w:szCs w:val="20"/>
                        </w:rPr>
                        <w:t>Estimated WIES – New Zealand</w:t>
                      </w:r>
                      <w:r>
                        <w:rPr>
                          <w:sz w:val="18"/>
                          <w:szCs w:val="20"/>
                        </w:rPr>
                        <w:t xml:space="preserve"> </w:t>
                      </w:r>
                      <w:r w:rsidRPr="00E92741">
                        <w:rPr>
                          <w:sz w:val="18"/>
                          <w:szCs w:val="20"/>
                        </w:rPr>
                        <w:t xml:space="preserve">displays: </w:t>
                      </w:r>
                      <w:r>
                        <w:rPr>
                          <w:sz w:val="18"/>
                          <w:szCs w:val="20"/>
                        </w:rPr>
                        <w:t xml:space="preserve">WIES version, NZWIES calculations, NZ DRG and co-payment value when applicable </w:t>
                      </w:r>
                    </w:p>
                    <w:p w14:paraId="62B15034" w14:textId="77777777" w:rsidR="00811909" w:rsidRDefault="00811909" w:rsidP="00BC2589"/>
                  </w:txbxContent>
                </v:textbox>
              </v:shape>
            </w:pict>
          </mc:Fallback>
        </mc:AlternateContent>
      </w:r>
      <w:r w:rsidR="00BC2589">
        <w:rPr>
          <w:noProof/>
          <w:lang w:eastAsia="en-NZ"/>
        </w:rPr>
        <w:t xml:space="preserve">                               </w:t>
      </w:r>
      <w:r w:rsidR="00CB6F79">
        <w:rPr>
          <w:noProof/>
          <w:lang w:eastAsia="en-NZ"/>
        </w:rPr>
        <w:t xml:space="preserve">                   </w:t>
      </w:r>
    </w:p>
    <w:p w14:paraId="5C60F8CC" w14:textId="77777777" w:rsidR="00BC2589" w:rsidRDefault="00BC2589" w:rsidP="00BC2589">
      <w:pPr>
        <w:sectPr w:rsidR="00BC2589" w:rsidSect="0003792F">
          <w:pgSz w:w="16838" w:h="11906" w:orient="landscape"/>
          <w:pgMar w:top="1021" w:right="536" w:bottom="1021" w:left="1134" w:header="567" w:footer="397" w:gutter="0"/>
          <w:pgNumType w:start="0"/>
          <w:cols w:space="708"/>
          <w:titlePg/>
          <w:docGrid w:linePitch="360"/>
        </w:sectPr>
      </w:pPr>
    </w:p>
    <w:p w14:paraId="0F3599AE" w14:textId="77777777" w:rsidR="00833693" w:rsidRDefault="00833693" w:rsidP="00A1599C">
      <w:pPr>
        <w:pStyle w:val="Heading2"/>
      </w:pPr>
      <w:bookmarkStart w:id="7" w:name="_Toc437260932"/>
      <w:r>
        <w:lastRenderedPageBreak/>
        <w:t>National Collection for Admitted Patient Events</w:t>
      </w:r>
      <w:bookmarkEnd w:id="7"/>
    </w:p>
    <w:p w14:paraId="16556D73" w14:textId="77777777" w:rsidR="00833693" w:rsidRPr="00647752" w:rsidRDefault="002A3267" w:rsidP="00A1599C">
      <w:r w:rsidRPr="00647752">
        <w:t>All public</w:t>
      </w:r>
      <w:r w:rsidR="005A6DD2">
        <w:t xml:space="preserve"> hospital</w:t>
      </w:r>
      <w:r w:rsidRPr="00647752">
        <w:t xml:space="preserve"> admitted patient event</w:t>
      </w:r>
      <w:r w:rsidR="00AA366D">
        <w:t xml:space="preserve"> record</w:t>
      </w:r>
      <w:r w:rsidRPr="00647752">
        <w:t xml:space="preserve">s are submitted to </w:t>
      </w:r>
      <w:r w:rsidR="00045816">
        <w:t>a</w:t>
      </w:r>
      <w:r w:rsidR="00045816" w:rsidRPr="00647752">
        <w:t xml:space="preserve"> </w:t>
      </w:r>
      <w:r w:rsidRPr="00647752">
        <w:t xml:space="preserve">national collection known as the National Minimum Data Set (NMDS). Each record includes clinical coding for the event, </w:t>
      </w:r>
      <w:r w:rsidR="00B03C36" w:rsidRPr="00647752">
        <w:t>demographic data</w:t>
      </w:r>
      <w:r w:rsidRPr="00647752">
        <w:t xml:space="preserve">, and administrative data. </w:t>
      </w:r>
      <w:r w:rsidR="00A725C5">
        <w:t xml:space="preserve">Up to 99 </w:t>
      </w:r>
      <w:r w:rsidR="00A06F7F">
        <w:t xml:space="preserve">clinical codes </w:t>
      </w:r>
      <w:r w:rsidR="00A725C5">
        <w:t xml:space="preserve">are </w:t>
      </w:r>
      <w:r w:rsidR="00A06F7F">
        <w:t xml:space="preserve">able to be reported in an event record. </w:t>
      </w:r>
      <w:r w:rsidR="00A725C5">
        <w:t xml:space="preserve"> </w:t>
      </w:r>
      <w:r w:rsidRPr="00647752">
        <w:t>Th</w:t>
      </w:r>
      <w:r w:rsidR="00A06F7F">
        <w:t>e</w:t>
      </w:r>
      <w:r w:rsidRPr="00647752">
        <w:t xml:space="preserve"> </w:t>
      </w:r>
      <w:r w:rsidR="00A06F7F">
        <w:t xml:space="preserve">NMDS </w:t>
      </w:r>
      <w:r w:rsidRPr="00647752">
        <w:t>collection plays a major role in</w:t>
      </w:r>
      <w:r w:rsidR="00D134C8" w:rsidRPr="00647752">
        <w:t xml:space="preserve"> the planning of hea</w:t>
      </w:r>
      <w:r w:rsidR="00B03C36" w:rsidRPr="00647752">
        <w:t>lth services for New</w:t>
      </w:r>
      <w:r w:rsidRPr="00647752">
        <w:t xml:space="preserve"> Zealand</w:t>
      </w:r>
      <w:r w:rsidR="00D134C8" w:rsidRPr="00647752">
        <w:t>.</w:t>
      </w:r>
      <w:r w:rsidRPr="00647752">
        <w:t xml:space="preserve"> </w:t>
      </w:r>
      <w:r w:rsidR="00B03C36" w:rsidRPr="00647752">
        <w:t xml:space="preserve">Among its many uses are </w:t>
      </w:r>
      <w:r w:rsidRPr="00647752">
        <w:t>provis</w:t>
      </w:r>
      <w:r w:rsidR="00B03C36" w:rsidRPr="00647752">
        <w:t xml:space="preserve">ion of the </w:t>
      </w:r>
      <w:r w:rsidRPr="00647752">
        <w:t xml:space="preserve">base data for epidemiological studies, </w:t>
      </w:r>
      <w:r w:rsidR="008460B5">
        <w:t xml:space="preserve">clinical research, </w:t>
      </w:r>
      <w:r w:rsidR="00DA07D8">
        <w:t xml:space="preserve">burden of disease studies, </w:t>
      </w:r>
      <w:r w:rsidRPr="00647752">
        <w:t>service planning activity such as capacity forecasting, and financial management.</w:t>
      </w:r>
    </w:p>
    <w:p w14:paraId="665481F5" w14:textId="77777777" w:rsidR="002A3267" w:rsidRPr="00647752" w:rsidRDefault="005A6DD2" w:rsidP="00A1599C">
      <w:r>
        <w:t xml:space="preserve">Though DHBs will know from their own systems the AR-DRG applying to an admitted patient event, the NMDS </w:t>
      </w:r>
      <w:r w:rsidR="00582114">
        <w:t xml:space="preserve">record </w:t>
      </w:r>
      <w:r>
        <w:t xml:space="preserve">provides </w:t>
      </w:r>
      <w:r w:rsidR="00DA07D8">
        <w:t xml:space="preserve">the </w:t>
      </w:r>
      <w:r>
        <w:t>DRG and a cost weight</w:t>
      </w:r>
      <w:r w:rsidR="00DA07D8">
        <w:t xml:space="preserve"> (see </w:t>
      </w:r>
      <w:r w:rsidR="000A2BD9">
        <w:t>Part</w:t>
      </w:r>
      <w:r w:rsidR="00DA07D8">
        <w:t xml:space="preserve"> II</w:t>
      </w:r>
      <w:r w:rsidR="008460B5">
        <w:t>I</w:t>
      </w:r>
      <w:r w:rsidR="00DA07D8">
        <w:t>)</w:t>
      </w:r>
      <w:r>
        <w:t>, along with other useful data when posting submitted records to the national collection.</w:t>
      </w:r>
      <w:r w:rsidR="00524920">
        <w:t xml:space="preserve"> The Ministry of Health </w:t>
      </w:r>
      <w:r w:rsidR="00BD588F">
        <w:t>is</w:t>
      </w:r>
      <w:r w:rsidR="00524920">
        <w:t xml:space="preserve"> the official calculator of the DRG and </w:t>
      </w:r>
      <w:r w:rsidR="0035535D">
        <w:t>caseweight</w:t>
      </w:r>
      <w:r w:rsidR="00524920">
        <w:t>.</w:t>
      </w:r>
    </w:p>
    <w:p w14:paraId="530A8226" w14:textId="77777777" w:rsidR="007E27F1" w:rsidRDefault="00DA07D8" w:rsidP="00A1599C">
      <w:r>
        <w:t>Given the significant nature of the uses of this data,</w:t>
      </w:r>
      <w:r w:rsidR="00012081">
        <w:t xml:space="preserve"> often for development of </w:t>
      </w:r>
      <w:r w:rsidR="00A535DA">
        <w:t xml:space="preserve">significant </w:t>
      </w:r>
      <w:r w:rsidR="00012081">
        <w:t>new health sector system</w:t>
      </w:r>
      <w:r w:rsidR="00A535DA">
        <w:t>s</w:t>
      </w:r>
      <w:r w:rsidR="00012081">
        <w:t>,</w:t>
      </w:r>
      <w:r>
        <w:t xml:space="preserve"> it is imperative that the data quality be as high as possible.</w:t>
      </w:r>
      <w:r w:rsidR="00012081">
        <w:t xml:space="preserve"> In particular</w:t>
      </w:r>
      <w:r w:rsidR="008460B5">
        <w:t>,</w:t>
      </w:r>
      <w:r w:rsidR="00012081">
        <w:t xml:space="preserve"> the clinical coding submitted to the national collection should be at a very high standard in terms of its completeness and consistency with the coding standards. This in turn rests on good quality</w:t>
      </w:r>
      <w:r w:rsidR="002A23BC">
        <w:t>, complete</w:t>
      </w:r>
      <w:r w:rsidR="00012081">
        <w:t xml:space="preserve"> </w:t>
      </w:r>
      <w:r w:rsidR="00524920">
        <w:t>clinical</w:t>
      </w:r>
      <w:r w:rsidR="00012081">
        <w:t xml:space="preserve"> records being available to the clinical coders. </w:t>
      </w:r>
      <w:r w:rsidR="004544FA">
        <w:t xml:space="preserve"> </w:t>
      </w:r>
      <w:r w:rsidR="001B0382">
        <w:t>Below are examples of the different grouping possibilities for clinical documentation.</w:t>
      </w:r>
      <w:r w:rsidR="007E27F1">
        <w:t xml:space="preserve"> </w:t>
      </w:r>
    </w:p>
    <w:p w14:paraId="552FC618" w14:textId="77777777" w:rsidR="007E27F1" w:rsidRDefault="007E27F1" w:rsidP="007E27F1">
      <w:pPr>
        <w:jc w:val="center"/>
      </w:pPr>
      <w:r>
        <w:rPr>
          <w:noProof/>
          <w:lang w:eastAsia="en-NZ"/>
        </w:rPr>
        <w:drawing>
          <wp:inline distT="0" distB="0" distL="0" distR="0" wp14:anchorId="0D6607CF" wp14:editId="1E465B0E">
            <wp:extent cx="4827181" cy="4936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0407" cy="4949809"/>
                    </a:xfrm>
                    <a:prstGeom prst="rect">
                      <a:avLst/>
                    </a:prstGeom>
                  </pic:spPr>
                </pic:pic>
              </a:graphicData>
            </a:graphic>
          </wp:inline>
        </w:drawing>
      </w:r>
    </w:p>
    <w:p w14:paraId="24CF5BD7" w14:textId="77777777" w:rsidR="00D876BB" w:rsidRDefault="00D876BB" w:rsidP="00A1599C">
      <w:pPr>
        <w:pStyle w:val="Heading2"/>
      </w:pPr>
      <w:bookmarkStart w:id="8" w:name="_Toc437260933"/>
      <w:r>
        <w:lastRenderedPageBreak/>
        <w:t xml:space="preserve">Updates to </w:t>
      </w:r>
      <w:r w:rsidR="00615FBC">
        <w:t xml:space="preserve">the AR-DRG </w:t>
      </w:r>
      <w:r>
        <w:t>Classification</w:t>
      </w:r>
      <w:bookmarkEnd w:id="8"/>
    </w:p>
    <w:p w14:paraId="420307C5" w14:textId="77777777" w:rsidR="00D876BB" w:rsidRPr="00647752" w:rsidRDefault="00EB2571" w:rsidP="00A1599C">
      <w:r>
        <w:t>As already noted N</w:t>
      </w:r>
      <w:r w:rsidR="00524920">
        <w:t xml:space="preserve">ew </w:t>
      </w:r>
      <w:r>
        <w:t>Z</w:t>
      </w:r>
      <w:r w:rsidR="00524920">
        <w:t>ealand</w:t>
      </w:r>
      <w:r>
        <w:t xml:space="preserve"> has adopted the Australian DRG and Clinical Coding </w:t>
      </w:r>
      <w:r w:rsidR="005E56EE">
        <w:t xml:space="preserve">classification </w:t>
      </w:r>
      <w:r>
        <w:t>systems.  Responsibility for maintaining and updating these is assigned to the Independent Hospital Pricing Authority (IHPA).  They have contracted the National Centre for Classification in Health (NCCH) to produce bi-annual upgrades to each.  Key to this upgrade process</w:t>
      </w:r>
      <w:r w:rsidR="000A4B32">
        <w:t>es</w:t>
      </w:r>
      <w:r>
        <w:t xml:space="preserve"> are</w:t>
      </w:r>
      <w:r w:rsidR="000A4B32">
        <w:t xml:space="preserve"> the DRG</w:t>
      </w:r>
      <w:r>
        <w:t xml:space="preserve"> Technical Group</w:t>
      </w:r>
      <w:r w:rsidR="000A4B32">
        <w:t xml:space="preserve"> </w:t>
      </w:r>
      <w:r w:rsidR="005E56EE">
        <w:t xml:space="preserve">(DTG) </w:t>
      </w:r>
      <w:r w:rsidR="000A4B32">
        <w:t xml:space="preserve">and the ICD Technical Group </w:t>
      </w:r>
      <w:r w:rsidR="005E56EE">
        <w:t xml:space="preserve">(ITG) </w:t>
      </w:r>
      <w:r w:rsidR="000A4B32">
        <w:t xml:space="preserve">which include representatives from Australian States and jurisdictions. </w:t>
      </w:r>
      <w:r>
        <w:t xml:space="preserve"> N</w:t>
      </w:r>
      <w:r w:rsidR="00524920">
        <w:t xml:space="preserve">ew </w:t>
      </w:r>
      <w:r>
        <w:t>Z</w:t>
      </w:r>
      <w:r w:rsidR="00524920">
        <w:t>ealand</w:t>
      </w:r>
      <w:r>
        <w:t xml:space="preserve"> is </w:t>
      </w:r>
      <w:r w:rsidR="000A4B32">
        <w:t xml:space="preserve">also </w:t>
      </w:r>
      <w:r>
        <w:t>represented on both of these</w:t>
      </w:r>
      <w:r w:rsidR="000A4B32">
        <w:t xml:space="preserve"> advisory groups</w:t>
      </w:r>
      <w:r>
        <w:t>.</w:t>
      </w:r>
      <w:r w:rsidR="000A4B32">
        <w:t xml:space="preserve">  </w:t>
      </w:r>
    </w:p>
    <w:p w14:paraId="094DE10B" w14:textId="77777777" w:rsidR="00D876BB" w:rsidRDefault="000A4B32" w:rsidP="00A1599C">
      <w:r>
        <w:t xml:space="preserve">Australia has elected to update both </w:t>
      </w:r>
      <w:r w:rsidR="005E56EE">
        <w:t xml:space="preserve">the AR-DRG and Coding </w:t>
      </w:r>
      <w:r>
        <w:t xml:space="preserve">classifications </w:t>
      </w:r>
      <w:r w:rsidR="00D876BB" w:rsidRPr="00012081">
        <w:t>biennially.</w:t>
      </w:r>
      <w:r>
        <w:t xml:space="preserve">  However N</w:t>
      </w:r>
      <w:r w:rsidR="00524920">
        <w:t xml:space="preserve">ew </w:t>
      </w:r>
      <w:r>
        <w:t>Z</w:t>
      </w:r>
      <w:r w:rsidR="00524920">
        <w:t>ealand</w:t>
      </w:r>
      <w:r>
        <w:t xml:space="preserve"> chooses to upgrade </w:t>
      </w:r>
      <w:r w:rsidR="00425E0C">
        <w:t xml:space="preserve">approximately </w:t>
      </w:r>
      <w:r>
        <w:t xml:space="preserve">every </w:t>
      </w:r>
      <w:r w:rsidR="00524920">
        <w:t>four</w:t>
      </w:r>
      <w:r>
        <w:t xml:space="preserve"> years.  This approach maintains the currency of the DRG and ICD classifications while managing the costs of upgrading and the impacts that upgrades have on ICD and DRG time series data in the national collections.</w:t>
      </w:r>
    </w:p>
    <w:p w14:paraId="0BBF199F" w14:textId="77777777" w:rsidR="000A4B32" w:rsidRDefault="000A4B32" w:rsidP="000A4B32">
      <w:pPr>
        <w:pStyle w:val="Heading2"/>
      </w:pPr>
      <w:bookmarkStart w:id="9" w:name="_Toc437260934"/>
      <w:r>
        <w:t>The Grouper</w:t>
      </w:r>
      <w:bookmarkEnd w:id="9"/>
    </w:p>
    <w:p w14:paraId="3D46AC33" w14:textId="77777777" w:rsidR="000A4B32" w:rsidRPr="007F30A4" w:rsidRDefault="000A4B32" w:rsidP="000A4B32">
      <w:pPr>
        <w:rPr>
          <w:i/>
        </w:rPr>
      </w:pPr>
      <w:r w:rsidRPr="000A2BD9">
        <w:t>Following each</w:t>
      </w:r>
      <w:r>
        <w:t xml:space="preserve"> DRG</w:t>
      </w:r>
      <w:r w:rsidRPr="000A2BD9">
        <w:t xml:space="preserve"> classification review, </w:t>
      </w:r>
      <w:r>
        <w:t xml:space="preserve">NCCH document the definitions of the new DRG </w:t>
      </w:r>
      <w:r w:rsidR="007F30A4">
        <w:t>logic and this is approved by I</w:t>
      </w:r>
      <w:r>
        <w:t>H</w:t>
      </w:r>
      <w:r w:rsidR="007F30A4">
        <w:t>P</w:t>
      </w:r>
      <w:r>
        <w:t xml:space="preserve">A.  NCCH then go out to tender for software vendors to develop products that meet these specifications.  NCCH test the final products and award </w:t>
      </w:r>
      <w:r w:rsidR="007F30A4">
        <w:t xml:space="preserve">each </w:t>
      </w:r>
      <w:r>
        <w:t xml:space="preserve">a compliance status </w:t>
      </w:r>
      <w:r w:rsidR="007F30A4">
        <w:t xml:space="preserve">thus </w:t>
      </w:r>
      <w:r>
        <w:t xml:space="preserve">enabling </w:t>
      </w:r>
      <w:r w:rsidR="007F30A4">
        <w:t xml:space="preserve">vendors to either sell it as a standalone product or include it in existing </w:t>
      </w:r>
      <w:r>
        <w:t xml:space="preserve">software. </w:t>
      </w:r>
      <w:r w:rsidR="007F30A4">
        <w:t xml:space="preserve">  This software is referred to as the </w:t>
      </w:r>
      <w:r w:rsidR="005E56EE">
        <w:rPr>
          <w:i/>
        </w:rPr>
        <w:t>G</w:t>
      </w:r>
      <w:r w:rsidR="007F30A4">
        <w:rPr>
          <w:i/>
        </w:rPr>
        <w:t>rouper.</w:t>
      </w:r>
    </w:p>
    <w:p w14:paraId="5B48E649" w14:textId="77777777" w:rsidR="000A4B32" w:rsidRPr="000A2BD9" w:rsidRDefault="007F30A4" w:rsidP="000A4B32">
      <w:r>
        <w:t>Grouper software takes</w:t>
      </w:r>
      <w:r w:rsidR="000A4B32" w:rsidRPr="000A2BD9">
        <w:t xml:space="preserve"> admitted patient event</w:t>
      </w:r>
      <w:r w:rsidR="00524920">
        <w:t xml:space="preserve"> record</w:t>
      </w:r>
      <w:r w:rsidR="000A4B32" w:rsidRPr="000A2BD9">
        <w:t>s</w:t>
      </w:r>
      <w:r>
        <w:t xml:space="preserve"> (in a pre-defined format)</w:t>
      </w:r>
      <w:r w:rsidR="000A4B32" w:rsidRPr="000A2BD9">
        <w:t xml:space="preserve"> and assigns them an AR-DRG.</w:t>
      </w:r>
      <w:r w:rsidR="000A4B32">
        <w:t xml:space="preserve"> </w:t>
      </w:r>
      <w:r>
        <w:t xml:space="preserve"> It also calculates C</w:t>
      </w:r>
      <w:r w:rsidR="00524920">
        <w:t>C</w:t>
      </w:r>
      <w:r>
        <w:t xml:space="preserve">L </w:t>
      </w:r>
      <w:r w:rsidR="000F7C37">
        <w:t xml:space="preserve">values </w:t>
      </w:r>
      <w:r>
        <w:t>for diagnoses reported in the event</w:t>
      </w:r>
      <w:r w:rsidR="000F7C37">
        <w:t xml:space="preserve"> record</w:t>
      </w:r>
      <w:r>
        <w:t xml:space="preserve">s and PCCL scores at the event level.  </w:t>
      </w:r>
    </w:p>
    <w:p w14:paraId="16B75C7C" w14:textId="77777777" w:rsidR="001B0382" w:rsidRDefault="000A4B32" w:rsidP="000A4B32">
      <w:r>
        <w:t>In New Zealand,</w:t>
      </w:r>
      <w:r w:rsidR="009A2C2D">
        <w:t xml:space="preserve"> all DHBs and the Ministry of Health have chosen to use the </w:t>
      </w:r>
      <w:r>
        <w:t xml:space="preserve">grouper </w:t>
      </w:r>
      <w:r w:rsidR="009A2C2D">
        <w:t xml:space="preserve">software </w:t>
      </w:r>
      <w:r>
        <w:t xml:space="preserve">developed by the 3M </w:t>
      </w:r>
      <w:r w:rsidR="000F7C37">
        <w:t>Health Information Systems.</w:t>
      </w:r>
      <w:r>
        <w:t xml:space="preserve"> </w:t>
      </w:r>
      <w:r w:rsidR="009A2C2D">
        <w:t xml:space="preserve"> </w:t>
      </w:r>
      <w:r>
        <w:t xml:space="preserve">A batch version is used at the Ministry of Health </w:t>
      </w:r>
      <w:r w:rsidR="009A2C2D">
        <w:t xml:space="preserve">when </w:t>
      </w:r>
      <w:r>
        <w:t xml:space="preserve">loading </w:t>
      </w:r>
      <w:r w:rsidR="009A2C2D">
        <w:t xml:space="preserve">NMDS </w:t>
      </w:r>
      <w:r>
        <w:t>event</w:t>
      </w:r>
      <w:r w:rsidR="000F7C37">
        <w:t xml:space="preserve"> record</w:t>
      </w:r>
      <w:r>
        <w:t>s</w:t>
      </w:r>
      <w:r w:rsidR="009A2C2D">
        <w:t xml:space="preserve"> and for local analysis. </w:t>
      </w:r>
      <w:r>
        <w:t xml:space="preserve">DHBs </w:t>
      </w:r>
      <w:r w:rsidR="009A2C2D">
        <w:t>(and the Ministry of Health) use the 3M</w:t>
      </w:r>
      <w:r w:rsidR="000F7C37" w:rsidRPr="000F7C37">
        <w:rPr>
          <w:vertAlign w:val="superscript"/>
        </w:rPr>
        <w:t>TM</w:t>
      </w:r>
      <w:r w:rsidR="009A2C2D">
        <w:t xml:space="preserve"> </w:t>
      </w:r>
      <w:r>
        <w:t>Codefinder</w:t>
      </w:r>
      <w:r w:rsidR="000F7C37" w:rsidRPr="000F7C37">
        <w:rPr>
          <w:vertAlign w:val="superscript"/>
        </w:rPr>
        <w:t>TM</w:t>
      </w:r>
      <w:r>
        <w:t xml:space="preserve"> version </w:t>
      </w:r>
      <w:r w:rsidR="009A2C2D">
        <w:t xml:space="preserve">which also has a clinical coding interface. </w:t>
      </w:r>
    </w:p>
    <w:p w14:paraId="1363ABFC" w14:textId="77777777" w:rsidR="002121BE" w:rsidRDefault="00BB7085" w:rsidP="00A1599C">
      <w:pPr>
        <w:pStyle w:val="Heading2"/>
      </w:pPr>
      <w:bookmarkStart w:id="10" w:name="_Toc437260935"/>
      <w:r>
        <w:t xml:space="preserve">Illustration of </w:t>
      </w:r>
      <w:r w:rsidR="00763E33">
        <w:t>Relative Cost</w:t>
      </w:r>
      <w:r>
        <w:t xml:space="preserve"> Profiles and </w:t>
      </w:r>
      <w:r w:rsidR="00763E33">
        <w:t>Resource Contributions</w:t>
      </w:r>
      <w:bookmarkEnd w:id="10"/>
    </w:p>
    <w:p w14:paraId="71C99918" w14:textId="77777777" w:rsidR="00763E33" w:rsidRDefault="001F7682" w:rsidP="00A1599C">
      <w:pPr>
        <w:rPr>
          <w:iCs/>
        </w:rPr>
      </w:pPr>
      <w:r>
        <w:t xml:space="preserve">DRGs are very useful to group different types of hospital discharges (mixes of cases) – for example medical versus surgical.  Once these </w:t>
      </w:r>
      <w:r w:rsidR="009B2301">
        <w:t>event records</w:t>
      </w:r>
      <w:r>
        <w:t xml:space="preserve"> are grouped into DRGs analysis of the relative costs can be undertaken.  </w:t>
      </w:r>
      <w:r w:rsidR="00763E33" w:rsidRPr="00763E33">
        <w:t xml:space="preserve">The following charts and data illustrate the cost variations for different </w:t>
      </w:r>
      <w:r w:rsidR="00BB7085" w:rsidRPr="00763E33">
        <w:t>types</w:t>
      </w:r>
      <w:r w:rsidR="00763E33" w:rsidRPr="00763E33">
        <w:t xml:space="preserve"> of admitted patient healthcare provision.</w:t>
      </w:r>
      <w:r w:rsidR="00BB7085">
        <w:t xml:space="preserve"> In the first two examples </w:t>
      </w:r>
      <w:r w:rsidR="00BB7085">
        <w:rPr>
          <w:iCs/>
        </w:rPr>
        <w:t>c</w:t>
      </w:r>
      <w:r w:rsidR="00BB7085" w:rsidRPr="00BB7085">
        <w:rPr>
          <w:iCs/>
        </w:rPr>
        <w:t>osts</w:t>
      </w:r>
      <w:r w:rsidR="0003750E">
        <w:rPr>
          <w:iCs/>
        </w:rPr>
        <w:t>, taken from the national cost collection,</w:t>
      </w:r>
      <w:r w:rsidR="00BB7085" w:rsidRPr="00BB7085">
        <w:rPr>
          <w:iCs/>
        </w:rPr>
        <w:t xml:space="preserve"> </w:t>
      </w:r>
      <w:r w:rsidR="00BB7085">
        <w:rPr>
          <w:iCs/>
        </w:rPr>
        <w:t xml:space="preserve">are </w:t>
      </w:r>
      <w:r w:rsidR="00BB7085" w:rsidRPr="00BB7085">
        <w:rPr>
          <w:iCs/>
        </w:rPr>
        <w:t xml:space="preserve">averaged over </w:t>
      </w:r>
      <w:r w:rsidR="00BB7085">
        <w:rPr>
          <w:iCs/>
        </w:rPr>
        <w:t xml:space="preserve">the </w:t>
      </w:r>
      <w:r w:rsidR="00BB7085" w:rsidRPr="00BB7085">
        <w:rPr>
          <w:iCs/>
        </w:rPr>
        <w:t>two most recent years</w:t>
      </w:r>
      <w:r w:rsidR="00BB7085">
        <w:rPr>
          <w:iCs/>
        </w:rPr>
        <w:t xml:space="preserve"> of cost data available. Both are high volume DRGs.</w:t>
      </w:r>
    </w:p>
    <w:p w14:paraId="5E03108C" w14:textId="77777777" w:rsidR="00D876BB" w:rsidRDefault="00BB7085" w:rsidP="00A1599C">
      <w:pPr>
        <w:pStyle w:val="Heading3"/>
      </w:pPr>
      <w:r w:rsidRPr="001C4C38">
        <w:rPr>
          <w:rStyle w:val="Heading3Char"/>
          <w:b/>
          <w:bCs/>
        </w:rPr>
        <w:t>Example 1:</w:t>
      </w:r>
      <w:r w:rsidRPr="001C4C38">
        <w:t xml:space="preserve"> </w:t>
      </w:r>
    </w:p>
    <w:p w14:paraId="369EBB2E" w14:textId="77777777" w:rsidR="00BB7085" w:rsidRPr="001C4C38" w:rsidRDefault="00BB7085" w:rsidP="00A1599C">
      <w:pPr>
        <w:pStyle w:val="Heading3"/>
      </w:pPr>
      <w:r w:rsidRPr="001C4C38">
        <w:t>F76A</w:t>
      </w:r>
      <w:r w:rsidR="00DE31BA">
        <w:t xml:space="preserve"> </w:t>
      </w:r>
      <w:r w:rsidRPr="005E56EE">
        <w:rPr>
          <w:i/>
        </w:rPr>
        <w:t>Arrhythmia, Cardiac Arrest and Conduction Disorders W Cat or Sev CC</w:t>
      </w:r>
    </w:p>
    <w:p w14:paraId="027F91E8" w14:textId="77777777" w:rsidR="00BB7085" w:rsidRDefault="00BB7085" w:rsidP="00A1599C">
      <w:r>
        <w:t xml:space="preserve">This medical DRG has </w:t>
      </w:r>
      <w:r w:rsidRPr="00BB7085">
        <w:t>6.7% same day cases</w:t>
      </w:r>
      <w:r>
        <w:t xml:space="preserve"> and for n</w:t>
      </w:r>
      <w:r w:rsidRPr="00BB7085">
        <w:t xml:space="preserve">on-same day </w:t>
      </w:r>
      <w:r w:rsidR="007B600A">
        <w:t xml:space="preserve">events </w:t>
      </w:r>
      <w:r w:rsidRPr="00BB7085">
        <w:t>ALOS = 4.75</w:t>
      </w:r>
      <w:r>
        <w:t>. The a</w:t>
      </w:r>
      <w:r w:rsidRPr="00BB7085">
        <w:t xml:space="preserve">verage cost per case </w:t>
      </w:r>
      <w:r>
        <w:t>is</w:t>
      </w:r>
      <w:r w:rsidRPr="00BB7085">
        <w:t xml:space="preserve"> $5,184</w:t>
      </w:r>
      <w:r>
        <w:t>, with an a</w:t>
      </w:r>
      <w:r w:rsidRPr="00BB7085">
        <w:t>verage cost per day (non SD)</w:t>
      </w:r>
      <w:r>
        <w:t xml:space="preserve"> of</w:t>
      </w:r>
      <w:r w:rsidRPr="00BB7085">
        <w:t xml:space="preserve"> $1,150</w:t>
      </w:r>
      <w:r>
        <w:t>.</w:t>
      </w:r>
    </w:p>
    <w:p w14:paraId="730D1B9D" w14:textId="77777777" w:rsidR="00E617FC" w:rsidRDefault="00E617FC" w:rsidP="00A1599C">
      <w:r>
        <w:t xml:space="preserve">Inputs to this DRG are dominated by staff costs and diagnostics with a small contribution from pharmacy. </w:t>
      </w:r>
    </w:p>
    <w:p w14:paraId="58E947ED" w14:textId="77777777" w:rsidR="00A1599C" w:rsidRPr="00763E33" w:rsidRDefault="00A1599C" w:rsidP="00A1599C"/>
    <w:p w14:paraId="0879439D" w14:textId="77777777" w:rsidR="002121BE" w:rsidRPr="00763E33" w:rsidRDefault="00BB7085" w:rsidP="00A956BE">
      <w:pPr>
        <w:jc w:val="center"/>
        <w:rPr>
          <w:rFonts w:ascii="Arial" w:hAnsi="Arial" w:cs="Arial"/>
        </w:rPr>
      </w:pPr>
      <w:r w:rsidRPr="00BB7085">
        <w:rPr>
          <w:noProof/>
          <w:lang w:eastAsia="en-NZ"/>
        </w:rPr>
        <w:lastRenderedPageBreak/>
        <w:drawing>
          <wp:inline distT="0" distB="0" distL="0" distR="0" wp14:anchorId="0C1FED2C" wp14:editId="3FDA7698">
            <wp:extent cx="4531229" cy="34768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55298" cy="3495315"/>
                    </a:xfrm>
                    <a:prstGeom prst="rect">
                      <a:avLst/>
                    </a:prstGeom>
                  </pic:spPr>
                </pic:pic>
              </a:graphicData>
            </a:graphic>
          </wp:inline>
        </w:drawing>
      </w:r>
    </w:p>
    <w:p w14:paraId="2F23A2D2" w14:textId="77777777" w:rsidR="00D876BB" w:rsidRDefault="00BB7085" w:rsidP="00A1599C">
      <w:pPr>
        <w:pStyle w:val="Heading3"/>
      </w:pPr>
      <w:r w:rsidRPr="001C4C38">
        <w:rPr>
          <w:rStyle w:val="Heading3Char"/>
          <w:b/>
          <w:bCs/>
        </w:rPr>
        <w:t>Example 2:</w:t>
      </w:r>
      <w:r w:rsidRPr="001C4C38">
        <w:t xml:space="preserve"> </w:t>
      </w:r>
    </w:p>
    <w:p w14:paraId="052A2264" w14:textId="77777777" w:rsidR="008B0A8D" w:rsidRPr="005E56EE" w:rsidRDefault="008B0A8D" w:rsidP="008B0A8D">
      <w:pPr>
        <w:pStyle w:val="Heading3"/>
        <w:rPr>
          <w:i/>
        </w:rPr>
      </w:pPr>
      <w:r>
        <w:t xml:space="preserve">I03B </w:t>
      </w:r>
      <w:r w:rsidRPr="005E56EE">
        <w:rPr>
          <w:i/>
        </w:rPr>
        <w:t>Hip Replacement W</w:t>
      </w:r>
      <w:r>
        <w:rPr>
          <w:i/>
        </w:rPr>
        <w:t>/O</w:t>
      </w:r>
      <w:r w:rsidRPr="005E56EE">
        <w:rPr>
          <w:i/>
        </w:rPr>
        <w:t xml:space="preserve"> Cat C</w:t>
      </w:r>
      <w:r>
        <w:rPr>
          <w:i/>
        </w:rPr>
        <w:t>C</w:t>
      </w:r>
    </w:p>
    <w:p w14:paraId="3C761079" w14:textId="77777777" w:rsidR="00BB7085" w:rsidRDefault="00BB7085" w:rsidP="00A1599C">
      <w:r>
        <w:t xml:space="preserve">This surgical DRG has just </w:t>
      </w:r>
      <w:r w:rsidRPr="00BB7085">
        <w:t>0.2% same day cases</w:t>
      </w:r>
      <w:r>
        <w:t xml:space="preserve"> with a n</w:t>
      </w:r>
      <w:r w:rsidRPr="00BB7085">
        <w:t xml:space="preserve">on-same day ALOS </w:t>
      </w:r>
      <w:r>
        <w:t>of</w:t>
      </w:r>
      <w:r w:rsidRPr="00BB7085">
        <w:t xml:space="preserve"> 5.43</w:t>
      </w:r>
      <w:r>
        <w:t>. The a</w:t>
      </w:r>
      <w:r w:rsidRPr="00BB7085">
        <w:t xml:space="preserve">verage cost per case </w:t>
      </w:r>
      <w:r>
        <w:t>is</w:t>
      </w:r>
      <w:r w:rsidRPr="00BB7085">
        <w:t xml:space="preserve"> $15,819</w:t>
      </w:r>
      <w:r>
        <w:t>, for an a</w:t>
      </w:r>
      <w:r w:rsidRPr="00BB7085">
        <w:t>verage cost per day (non SD)</w:t>
      </w:r>
      <w:r>
        <w:t xml:space="preserve"> of </w:t>
      </w:r>
      <w:r w:rsidRPr="00BB7085">
        <w:t>$2,917</w:t>
      </w:r>
      <w:r>
        <w:t>.</w:t>
      </w:r>
    </w:p>
    <w:p w14:paraId="1862CA00" w14:textId="77777777" w:rsidR="00BB7085" w:rsidRDefault="00BB7085" w:rsidP="00384306">
      <w:pPr>
        <w:rPr>
          <w:rFonts w:ascii="Arial" w:hAnsi="Arial" w:cs="Arial"/>
        </w:rPr>
      </w:pPr>
      <w:r>
        <w:t>In this example the presence of significant theatre time and implant costs has led to a significantly higher average cost</w:t>
      </w:r>
      <w:r w:rsidR="00E617FC">
        <w:t>, even though the stay in hospital, on average, is not much longer than for the medical DRG of Example 1.</w:t>
      </w:r>
    </w:p>
    <w:p w14:paraId="20EC25E3" w14:textId="77777777" w:rsidR="00BD588F" w:rsidRDefault="008B0A8D" w:rsidP="0024507B">
      <w:pPr>
        <w:pStyle w:val="Heading3"/>
        <w:jc w:val="center"/>
        <w:rPr>
          <w:rStyle w:val="Heading3Char"/>
          <w:b/>
          <w:bCs/>
        </w:rPr>
      </w:pPr>
      <w:r w:rsidRPr="001F53AC">
        <w:rPr>
          <w:noProof/>
          <w:lang w:eastAsia="en-NZ"/>
        </w:rPr>
        <w:drawing>
          <wp:inline distT="0" distB="0" distL="0" distR="0" wp14:anchorId="3B04753E" wp14:editId="3512A510">
            <wp:extent cx="4530219" cy="348747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31080" cy="3488142"/>
                    </a:xfrm>
                    <a:prstGeom prst="rect">
                      <a:avLst/>
                    </a:prstGeom>
                  </pic:spPr>
                </pic:pic>
              </a:graphicData>
            </a:graphic>
          </wp:inline>
        </w:drawing>
      </w:r>
    </w:p>
    <w:p w14:paraId="1E763EAC" w14:textId="77777777" w:rsidR="00E617FC" w:rsidRPr="001C4C38" w:rsidRDefault="00E617FC" w:rsidP="00A1599C">
      <w:pPr>
        <w:pStyle w:val="Heading3"/>
      </w:pPr>
      <w:r w:rsidRPr="001C4C38">
        <w:rPr>
          <w:rStyle w:val="Heading3Char"/>
          <w:b/>
          <w:bCs/>
        </w:rPr>
        <w:lastRenderedPageBreak/>
        <w:t>Example 3:</w:t>
      </w:r>
      <w:r w:rsidRPr="001C4C38">
        <w:t xml:space="preserve"> </w:t>
      </w:r>
      <w:r w:rsidR="00A2334F">
        <w:t xml:space="preserve">Some </w:t>
      </w:r>
      <w:r w:rsidRPr="001C4C38">
        <w:t xml:space="preserve">Comparative </w:t>
      </w:r>
      <w:r w:rsidR="00A2334F">
        <w:t>I</w:t>
      </w:r>
      <w:r w:rsidRPr="001C4C38">
        <w:t xml:space="preserve">nput </w:t>
      </w:r>
      <w:r w:rsidR="00A2334F">
        <w:t>C</w:t>
      </w:r>
      <w:r w:rsidRPr="001C4C38">
        <w:t>osts</w:t>
      </w:r>
    </w:p>
    <w:p w14:paraId="394F11B8" w14:textId="77777777" w:rsidR="00E617FC" w:rsidRDefault="00E617FC" w:rsidP="00A1599C">
      <w:r>
        <w:t xml:space="preserve">In </w:t>
      </w:r>
      <w:r w:rsidR="001C4C38">
        <w:t>the</w:t>
      </w:r>
      <w:r>
        <w:t xml:space="preserve"> most recent year of cost data the following input costs further illustrate how the cost of an event will vary depending on the type of treatment needed.</w:t>
      </w:r>
    </w:p>
    <w:tbl>
      <w:tblPr>
        <w:tblStyle w:val="LightList-Accent1"/>
        <w:tblW w:w="0" w:type="auto"/>
        <w:jc w:val="center"/>
        <w:tblLook w:val="04A0" w:firstRow="1" w:lastRow="0" w:firstColumn="1" w:lastColumn="0" w:noHBand="0" w:noVBand="1"/>
      </w:tblPr>
      <w:tblGrid>
        <w:gridCol w:w="2409"/>
        <w:gridCol w:w="2410"/>
      </w:tblGrid>
      <w:tr w:rsidR="00E617FC" w:rsidRPr="001C4C38" w14:paraId="058E2B1D" w14:textId="77777777" w:rsidTr="000B6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gridSpan w:val="2"/>
            <w:tcBorders>
              <w:top w:val="single" w:sz="8" w:space="0" w:color="4F81BD" w:themeColor="accent1"/>
              <w:left w:val="nil"/>
              <w:right w:val="nil"/>
            </w:tcBorders>
          </w:tcPr>
          <w:p w14:paraId="29679364" w14:textId="77777777" w:rsidR="00E617FC" w:rsidRPr="001C4C38" w:rsidRDefault="00E617FC" w:rsidP="00A1599C">
            <w:r w:rsidRPr="001C4C38">
              <w:t>Table 1: Average Input Costs</w:t>
            </w:r>
          </w:p>
        </w:tc>
      </w:tr>
      <w:tr w:rsidR="00E617FC" w14:paraId="65578492" w14:textId="77777777" w:rsidTr="000B6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right w:val="single" w:sz="8" w:space="0" w:color="4F81BD" w:themeColor="accent1"/>
            </w:tcBorders>
          </w:tcPr>
          <w:p w14:paraId="3A18AB76" w14:textId="77777777" w:rsidR="00E617FC" w:rsidRPr="001C4C38" w:rsidRDefault="00E617FC" w:rsidP="00A1599C">
            <w:r w:rsidRPr="001C4C38">
              <w:t>Hospital Location</w:t>
            </w:r>
          </w:p>
        </w:tc>
        <w:tc>
          <w:tcPr>
            <w:tcW w:w="2410" w:type="dxa"/>
            <w:tcBorders>
              <w:left w:val="single" w:sz="8" w:space="0" w:color="4F81BD" w:themeColor="accent1"/>
              <w:right w:val="nil"/>
            </w:tcBorders>
          </w:tcPr>
          <w:p w14:paraId="5F76A2FC" w14:textId="77777777" w:rsidR="00E617FC" w:rsidRPr="001C4C38" w:rsidRDefault="00E617FC" w:rsidP="00A1599C">
            <w:pPr>
              <w:cnfStyle w:val="000000100000" w:firstRow="0" w:lastRow="0" w:firstColumn="0" w:lastColumn="0" w:oddVBand="0" w:evenVBand="0" w:oddHBand="1" w:evenHBand="0" w:firstRowFirstColumn="0" w:firstRowLastColumn="0" w:lastRowFirstColumn="0" w:lastRowLastColumn="0"/>
            </w:pPr>
            <w:r w:rsidRPr="001C4C38">
              <w:t>Average Cost</w:t>
            </w:r>
          </w:p>
        </w:tc>
      </w:tr>
      <w:tr w:rsidR="00E617FC" w14:paraId="75380C38" w14:textId="77777777" w:rsidTr="000B6E16">
        <w:trPr>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right w:val="single" w:sz="8" w:space="0" w:color="4F81BD" w:themeColor="accent1"/>
            </w:tcBorders>
          </w:tcPr>
          <w:p w14:paraId="6985CBE0" w14:textId="77777777" w:rsidR="00E617FC" w:rsidRDefault="00E617FC" w:rsidP="00A1599C">
            <w:r>
              <w:t>ICU (not NICU)</w:t>
            </w:r>
          </w:p>
        </w:tc>
        <w:tc>
          <w:tcPr>
            <w:tcW w:w="2410" w:type="dxa"/>
            <w:tcBorders>
              <w:top w:val="single" w:sz="8" w:space="0" w:color="4F81BD" w:themeColor="accent1"/>
              <w:left w:val="single" w:sz="8" w:space="0" w:color="4F81BD" w:themeColor="accent1"/>
              <w:bottom w:val="single" w:sz="8" w:space="0" w:color="4F81BD" w:themeColor="accent1"/>
              <w:right w:val="nil"/>
            </w:tcBorders>
          </w:tcPr>
          <w:p w14:paraId="4CEB2D5C" w14:textId="77777777" w:rsidR="00E617FC" w:rsidRDefault="001C4C38" w:rsidP="00A1599C">
            <w:pPr>
              <w:cnfStyle w:val="000000000000" w:firstRow="0" w:lastRow="0" w:firstColumn="0" w:lastColumn="0" w:oddVBand="0" w:evenVBand="0" w:oddHBand="0" w:evenHBand="0" w:firstRowFirstColumn="0" w:firstRowLastColumn="0" w:lastRowFirstColumn="0" w:lastRowLastColumn="0"/>
            </w:pPr>
            <w:r w:rsidRPr="001C4C38">
              <w:t>$4,668</w:t>
            </w:r>
            <w:r>
              <w:t>, per day</w:t>
            </w:r>
          </w:p>
        </w:tc>
      </w:tr>
      <w:tr w:rsidR="00E617FC" w14:paraId="2B141BF9" w14:textId="77777777" w:rsidTr="000B6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right w:val="single" w:sz="8" w:space="0" w:color="4F81BD" w:themeColor="accent1"/>
            </w:tcBorders>
          </w:tcPr>
          <w:p w14:paraId="0239AC78" w14:textId="77777777" w:rsidR="00E617FC" w:rsidRDefault="00E617FC" w:rsidP="00A1599C">
            <w:r>
              <w:t>General Medical Ward</w:t>
            </w:r>
          </w:p>
        </w:tc>
        <w:tc>
          <w:tcPr>
            <w:tcW w:w="2410" w:type="dxa"/>
            <w:tcBorders>
              <w:left w:val="single" w:sz="8" w:space="0" w:color="4F81BD" w:themeColor="accent1"/>
              <w:right w:val="nil"/>
            </w:tcBorders>
          </w:tcPr>
          <w:p w14:paraId="799A2F43" w14:textId="77777777" w:rsidR="00E617FC" w:rsidRDefault="001C4C38" w:rsidP="00A1599C">
            <w:pPr>
              <w:cnfStyle w:val="000000100000" w:firstRow="0" w:lastRow="0" w:firstColumn="0" w:lastColumn="0" w:oddVBand="0" w:evenVBand="0" w:oddHBand="1" w:evenHBand="0" w:firstRowFirstColumn="0" w:firstRowLastColumn="0" w:lastRowFirstColumn="0" w:lastRowLastColumn="0"/>
            </w:pPr>
            <w:r>
              <w:t>$532, per day</w:t>
            </w:r>
          </w:p>
        </w:tc>
      </w:tr>
      <w:tr w:rsidR="00E617FC" w14:paraId="29AC3962" w14:textId="77777777" w:rsidTr="000B6E16">
        <w:trPr>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il"/>
              <w:bottom w:val="single" w:sz="8" w:space="0" w:color="4F81BD" w:themeColor="accent1"/>
              <w:right w:val="single" w:sz="8" w:space="0" w:color="4F81BD" w:themeColor="accent1"/>
            </w:tcBorders>
          </w:tcPr>
          <w:p w14:paraId="3D81E8F6" w14:textId="77777777" w:rsidR="00E617FC" w:rsidRDefault="00E617FC" w:rsidP="00A1599C">
            <w:r>
              <w:t>Theatre</w:t>
            </w:r>
          </w:p>
        </w:tc>
        <w:tc>
          <w:tcPr>
            <w:tcW w:w="2410" w:type="dxa"/>
            <w:tcBorders>
              <w:top w:val="single" w:sz="8" w:space="0" w:color="4F81BD" w:themeColor="accent1"/>
              <w:left w:val="single" w:sz="8" w:space="0" w:color="4F81BD" w:themeColor="accent1"/>
              <w:bottom w:val="single" w:sz="8" w:space="0" w:color="4F81BD" w:themeColor="accent1"/>
              <w:right w:val="nil"/>
            </w:tcBorders>
          </w:tcPr>
          <w:p w14:paraId="3BD3067A" w14:textId="77777777" w:rsidR="00E617FC" w:rsidRDefault="001C4C38" w:rsidP="00A1599C">
            <w:pPr>
              <w:cnfStyle w:val="000000000000" w:firstRow="0" w:lastRow="0" w:firstColumn="0" w:lastColumn="0" w:oddVBand="0" w:evenVBand="0" w:oddHBand="0" w:evenHBand="0" w:firstRowFirstColumn="0" w:firstRowLastColumn="0" w:lastRowFirstColumn="0" w:lastRowLastColumn="0"/>
            </w:pPr>
            <w:r w:rsidRPr="001C4C38">
              <w:t>$</w:t>
            </w:r>
            <w:r>
              <w:t>1</w:t>
            </w:r>
            <w:r w:rsidRPr="001C4C38">
              <w:t>,</w:t>
            </w:r>
            <w:r w:rsidR="005E56EE">
              <w:t>191,</w:t>
            </w:r>
            <w:r>
              <w:t xml:space="preserve"> per hour</w:t>
            </w:r>
          </w:p>
        </w:tc>
      </w:tr>
    </w:tbl>
    <w:p w14:paraId="4F222DE1" w14:textId="77777777" w:rsidR="00E617FC" w:rsidRDefault="00E617FC" w:rsidP="00A1599C"/>
    <w:p w14:paraId="6D47034D" w14:textId="77777777" w:rsidR="00E617FC" w:rsidRPr="00763E33" w:rsidRDefault="001C4C38" w:rsidP="00A1599C">
      <w:r>
        <w:t>The above</w:t>
      </w:r>
      <w:r w:rsidR="000D2B1E">
        <w:t>, sourced from a major tertiary hospital,</w:t>
      </w:r>
      <w:r>
        <w:t xml:space="preserve"> are purely illustrative and the relative scale between them should be more interesting than the actual quantum. These figures may vary from hospital to hospital depending on the type of services provided and will vary from year to year.</w:t>
      </w:r>
    </w:p>
    <w:p w14:paraId="585696C2" w14:textId="77777777" w:rsidR="0006275B" w:rsidRDefault="0006275B">
      <w:pPr>
        <w:rPr>
          <w:rFonts w:asciiTheme="majorHAnsi" w:eastAsiaTheme="majorEastAsia" w:hAnsiTheme="majorHAnsi" w:cstheme="majorBidi"/>
          <w:b/>
          <w:bCs/>
          <w:color w:val="244061" w:themeColor="accent1" w:themeShade="80"/>
          <w:sz w:val="32"/>
          <w:szCs w:val="28"/>
        </w:rPr>
      </w:pPr>
      <w:r>
        <w:br w:type="page"/>
      </w:r>
    </w:p>
    <w:p w14:paraId="0CE27F00" w14:textId="77777777" w:rsidR="00271FD3" w:rsidRDefault="00271FD3" w:rsidP="0045571D">
      <w:pPr>
        <w:pStyle w:val="Heading1"/>
      </w:pPr>
      <w:bookmarkStart w:id="11" w:name="_Toc437260936"/>
      <w:r w:rsidRPr="00BA0681">
        <w:lastRenderedPageBreak/>
        <w:t xml:space="preserve">Part </w:t>
      </w:r>
      <w:r>
        <w:t>II</w:t>
      </w:r>
      <w:r w:rsidRPr="00BA0681">
        <w:t>I: Casemix</w:t>
      </w:r>
      <w:r>
        <w:t xml:space="preserve"> </w:t>
      </w:r>
      <w:r w:rsidR="00BD023C">
        <w:t xml:space="preserve">Based </w:t>
      </w:r>
      <w:r>
        <w:t>Funding</w:t>
      </w:r>
      <w:r w:rsidR="00EB6A91">
        <w:t xml:space="preserve"> in New Zealand</w:t>
      </w:r>
      <w:bookmarkEnd w:id="11"/>
    </w:p>
    <w:p w14:paraId="682ED367" w14:textId="77777777" w:rsidR="00ED7ED0" w:rsidRDefault="007B600A" w:rsidP="00A1599C">
      <w:r w:rsidRPr="007B600A">
        <w:t xml:space="preserve">Part of </w:t>
      </w:r>
      <w:r>
        <w:t>the original design expectation for DRGs</w:t>
      </w:r>
      <w:r w:rsidR="00ED7ED0">
        <w:t xml:space="preserve"> was that they reflect comparable levels of resource input. In the previous section, it was shown that DRGs </w:t>
      </w:r>
      <w:r w:rsidR="00ED7ED0" w:rsidRPr="00ED7ED0">
        <w:t>provide a standard way to look at the variability of production across facilities</w:t>
      </w:r>
      <w:r w:rsidR="00ED7ED0">
        <w:t xml:space="preserve">, and illustrations of the variation in inputs and </w:t>
      </w:r>
      <w:r w:rsidR="006A0A57">
        <w:t xml:space="preserve">of the overall </w:t>
      </w:r>
      <w:r w:rsidR="00ED7ED0">
        <w:t>cost among DRGs have been given.</w:t>
      </w:r>
    </w:p>
    <w:p w14:paraId="6770FD4B" w14:textId="77777777" w:rsidR="00870904" w:rsidRDefault="00BD023C" w:rsidP="00BD023C">
      <w:r>
        <w:t>New Zealand uses a Population</w:t>
      </w:r>
      <w:r w:rsidR="000016D4">
        <w:t>-</w:t>
      </w:r>
      <w:r>
        <w:t>Based Funding Formula (PBFF) to devolve vote health funding to DHBs. DHBs then fund and purchase services from vari</w:t>
      </w:r>
      <w:r w:rsidR="000016D4">
        <w:t>ous providers,</w:t>
      </w:r>
      <w:r w:rsidR="000016D4" w:rsidRPr="000016D4">
        <w:t xml:space="preserve"> whether their own provider arm or community services.</w:t>
      </w:r>
      <w:r w:rsidR="000016D4">
        <w:t xml:space="preserve"> </w:t>
      </w:r>
      <w:r>
        <w:t xml:space="preserve"> The New Zealand Casemix framework forms the main basis for </w:t>
      </w:r>
      <w:r w:rsidR="00870904">
        <w:t xml:space="preserve">DHB funders to </w:t>
      </w:r>
      <w:r>
        <w:t>purchas</w:t>
      </w:r>
      <w:r w:rsidR="00870904">
        <w:t>e</w:t>
      </w:r>
      <w:r>
        <w:t xml:space="preserve"> inpatient hospital services </w:t>
      </w:r>
      <w:r w:rsidR="00870904">
        <w:t xml:space="preserve">from </w:t>
      </w:r>
      <w:r w:rsidR="00EE550A">
        <w:t xml:space="preserve">other </w:t>
      </w:r>
      <w:r>
        <w:t xml:space="preserve">DHB providers.  Weights from the Casemix framework are used as a default </w:t>
      </w:r>
      <w:r w:rsidR="00870904">
        <w:t xml:space="preserve">mechanism for the resulting </w:t>
      </w:r>
      <w:r>
        <w:t xml:space="preserve">Inter-district Flow (IDF) payments. </w:t>
      </w:r>
    </w:p>
    <w:p w14:paraId="74B20F25" w14:textId="77777777" w:rsidR="00BD023C" w:rsidRDefault="00BD023C" w:rsidP="00BD023C">
      <w:r>
        <w:t>Casemix</w:t>
      </w:r>
      <w:r w:rsidR="00094A08">
        <w:t xml:space="preserve"> </w:t>
      </w:r>
      <w:r>
        <w:t xml:space="preserve">based funding uses a relative weighting by DRG and a casemix unit price. The weighting captures the variation in production, while the unit price is constant across all events to be funded in this way. </w:t>
      </w:r>
      <w:r w:rsidR="00870904">
        <w:t xml:space="preserve">The </w:t>
      </w:r>
      <w:r>
        <w:t>Notional or IDF revenue for an individual event is thus:</w:t>
      </w:r>
    </w:p>
    <w:p w14:paraId="6DFBE3AB" w14:textId="77777777" w:rsidR="00BD023C" w:rsidRDefault="00BD023C" w:rsidP="00BD023C">
      <w:pPr>
        <w:jc w:val="center"/>
      </w:pPr>
      <w:r>
        <w:t>Revenue = (weight for the event’s DRG) x (unit price).</w:t>
      </w:r>
    </w:p>
    <w:p w14:paraId="735A003E" w14:textId="77777777" w:rsidR="007B600A" w:rsidRDefault="00BD023C" w:rsidP="00A1599C">
      <w:r>
        <w:t xml:space="preserve">The weights </w:t>
      </w:r>
      <w:r w:rsidR="00ED7ED0">
        <w:t xml:space="preserve">direct revenue </w:t>
      </w:r>
      <w:r w:rsidR="006A0A57">
        <w:t xml:space="preserve">more fairly </w:t>
      </w:r>
      <w:r w:rsidR="00ED7ED0">
        <w:t xml:space="preserve">to providers of </w:t>
      </w:r>
      <w:r>
        <w:t xml:space="preserve">inpatient </w:t>
      </w:r>
      <w:r w:rsidR="00ED7ED0">
        <w:t xml:space="preserve">hospital services </w:t>
      </w:r>
      <w:r w:rsidR="006A0A57">
        <w:t xml:space="preserve">as </w:t>
      </w:r>
      <w:r w:rsidR="00ED7ED0">
        <w:t xml:space="preserve">it provides </w:t>
      </w:r>
      <w:r w:rsidR="00870904">
        <w:t>a consistent p</w:t>
      </w:r>
      <w:r w:rsidR="00ED7ED0">
        <w:t xml:space="preserve">ayment for </w:t>
      </w:r>
      <w:r w:rsidR="00D718FE">
        <w:t xml:space="preserve">clinically similar </w:t>
      </w:r>
      <w:r w:rsidR="00ED7ED0">
        <w:t>service</w:t>
      </w:r>
      <w:r w:rsidR="007130A9">
        <w:t>s using comparable levels of resources</w:t>
      </w:r>
      <w:r w:rsidR="006A0A57">
        <w:t>.</w:t>
      </w:r>
      <w:r w:rsidR="00ED7ED0">
        <w:t xml:space="preserve"> </w:t>
      </w:r>
      <w:r w:rsidR="006A0A57">
        <w:t>A</w:t>
      </w:r>
      <w:r w:rsidR="00ED7ED0">
        <w:t xml:space="preserve"> per diem method</w:t>
      </w:r>
      <w:r w:rsidR="006A0A57">
        <w:t xml:space="preserve"> across all services would not adequately recognise the variation in output types across a range of hospital facilities, and if set on a national basis would significantly overpay some hospitals and significantly underpay other hospitals.</w:t>
      </w:r>
    </w:p>
    <w:p w14:paraId="5EC844BB" w14:textId="77777777" w:rsidR="00771CDB" w:rsidRDefault="00771CDB" w:rsidP="00A1599C">
      <w:pPr>
        <w:pStyle w:val="Heading2"/>
        <w:rPr>
          <w:rFonts w:ascii="Arial" w:hAnsi="Arial" w:cs="Arial"/>
        </w:rPr>
      </w:pPr>
      <w:bookmarkStart w:id="12" w:name="_Toc437260937"/>
      <w:r>
        <w:t>Components of New Zealand’s Casemix System</w:t>
      </w:r>
      <w:bookmarkEnd w:id="12"/>
    </w:p>
    <w:p w14:paraId="44019DAA" w14:textId="77777777" w:rsidR="00D1022C" w:rsidRPr="008D5AEF" w:rsidRDefault="00D1022C" w:rsidP="00A1599C">
      <w:r w:rsidRPr="008D5AEF">
        <w:t>The casemix system in N</w:t>
      </w:r>
      <w:r w:rsidR="00F81FEC">
        <w:t xml:space="preserve">ew </w:t>
      </w:r>
      <w:r w:rsidRPr="008D5AEF">
        <w:t>Z</w:t>
      </w:r>
      <w:r w:rsidR="00F81FEC">
        <w:t>ealand</w:t>
      </w:r>
      <w:r w:rsidRPr="008D5AEF">
        <w:t xml:space="preserve"> </w:t>
      </w:r>
      <w:r w:rsidR="008D5AEF">
        <w:t xml:space="preserve">is a single national system </w:t>
      </w:r>
      <w:r w:rsidRPr="008D5AEF">
        <w:t>compris</w:t>
      </w:r>
      <w:r w:rsidR="008D5AEF">
        <w:t>ing</w:t>
      </w:r>
      <w:r w:rsidRPr="008D5AEF">
        <w:t xml:space="preserve"> </w:t>
      </w:r>
      <w:r w:rsidR="0007080E">
        <w:t xml:space="preserve">of </w:t>
      </w:r>
      <w:r w:rsidRPr="008D5AEF">
        <w:t>four components:</w:t>
      </w:r>
    </w:p>
    <w:p w14:paraId="0D0A5389" w14:textId="77777777" w:rsidR="0024507B" w:rsidRDefault="00D1022C" w:rsidP="00A1599C">
      <w:pPr>
        <w:pStyle w:val="ListParagraph"/>
        <w:numPr>
          <w:ilvl w:val="0"/>
          <w:numId w:val="16"/>
        </w:numPr>
      </w:pPr>
      <w:r w:rsidRPr="008D5AEF">
        <w:t>Clinical coding classification</w:t>
      </w:r>
      <w:r w:rsidR="00771CDB">
        <w:t>, currently</w:t>
      </w:r>
      <w:r w:rsidRPr="008D5AEF">
        <w:t xml:space="preserve"> ICD-10-AM</w:t>
      </w:r>
      <w:r w:rsidR="00F81FEC">
        <w:t>/ACHI</w:t>
      </w:r>
      <w:r w:rsidRPr="008D5AEF">
        <w:t xml:space="preserve"> </w:t>
      </w:r>
      <w:r w:rsidR="00F81FEC">
        <w:t xml:space="preserve">8th </w:t>
      </w:r>
      <w:r w:rsidRPr="008D5AEF">
        <w:t>Edition</w:t>
      </w:r>
      <w:r w:rsidR="0024507B">
        <w:rPr>
          <w:rStyle w:val="FootnoteReference"/>
        </w:rPr>
        <w:footnoteReference w:id="6"/>
      </w:r>
      <w:r w:rsidR="00F81FEC">
        <w:t xml:space="preserve"> </w:t>
      </w:r>
    </w:p>
    <w:p w14:paraId="60335AE7" w14:textId="77777777" w:rsidR="00D1022C" w:rsidRPr="008D5AEF" w:rsidRDefault="00D1022C" w:rsidP="00A1599C">
      <w:pPr>
        <w:pStyle w:val="ListParagraph"/>
        <w:numPr>
          <w:ilvl w:val="0"/>
          <w:numId w:val="16"/>
        </w:numPr>
      </w:pPr>
      <w:r w:rsidRPr="008D5AEF">
        <w:t>A DRG set</w:t>
      </w:r>
      <w:r w:rsidR="007130A9">
        <w:t xml:space="preserve"> adapted to the coding classification</w:t>
      </w:r>
      <w:r w:rsidRPr="008D5AEF">
        <w:t>, currently AR-DRG v6.0x, as adapted for use in N</w:t>
      </w:r>
      <w:r w:rsidR="002900CA">
        <w:t xml:space="preserve">ew </w:t>
      </w:r>
      <w:r w:rsidRPr="008D5AEF">
        <w:t>Z</w:t>
      </w:r>
      <w:r w:rsidR="002900CA">
        <w:t>ealand</w:t>
      </w:r>
    </w:p>
    <w:p w14:paraId="2D33293C" w14:textId="77777777" w:rsidR="00D1022C" w:rsidRPr="008D5AEF" w:rsidRDefault="00D1022C" w:rsidP="00A1599C">
      <w:pPr>
        <w:pStyle w:val="ListParagraph"/>
        <w:numPr>
          <w:ilvl w:val="0"/>
          <w:numId w:val="16"/>
        </w:numPr>
      </w:pPr>
      <w:r w:rsidRPr="008D5AEF">
        <w:t xml:space="preserve">A set of cost weights adapted to the DRG set, </w:t>
      </w:r>
      <w:r w:rsidR="008D5AEF">
        <w:t xml:space="preserve">denoted </w:t>
      </w:r>
      <w:r w:rsidRPr="008D5AEF">
        <w:t xml:space="preserve">WIESNZyy, </w:t>
      </w:r>
      <w:r w:rsidR="008D5AEF">
        <w:t xml:space="preserve">where </w:t>
      </w:r>
      <w:r w:rsidRPr="008D5AEF">
        <w:t>yy = year implemented</w:t>
      </w:r>
    </w:p>
    <w:p w14:paraId="1EC1AA0E" w14:textId="77777777" w:rsidR="00D1022C" w:rsidRDefault="00D1022C" w:rsidP="00A1599C">
      <w:pPr>
        <w:pStyle w:val="ListParagraph"/>
        <w:numPr>
          <w:ilvl w:val="0"/>
          <w:numId w:val="16"/>
        </w:numPr>
      </w:pPr>
      <w:r w:rsidRPr="008D5AEF">
        <w:t>A Casemix Framework Document (CFD</w:t>
      </w:r>
      <w:r w:rsidR="009F6F7E" w:rsidRPr="008D5AEF">
        <w:t>)</w:t>
      </w:r>
      <w:r w:rsidR="009F6F7E">
        <w:t>,</w:t>
      </w:r>
      <w:r w:rsidR="009F6F7E" w:rsidRPr="008D5AEF">
        <w:t xml:space="preserve"> which</w:t>
      </w:r>
      <w:r w:rsidRPr="008D5AEF">
        <w:t xml:space="preserve"> specifies w</w:t>
      </w:r>
      <w:r w:rsidR="00094A08">
        <w:t xml:space="preserve">hich events in NMDS are casemix </w:t>
      </w:r>
      <w:r w:rsidRPr="008D5AEF">
        <w:t>funded</w:t>
      </w:r>
      <w:r w:rsidR="007130A9">
        <w:t>.</w:t>
      </w:r>
    </w:p>
    <w:p w14:paraId="06A5AAF7" w14:textId="77777777" w:rsidR="001F7682" w:rsidRDefault="009B6879" w:rsidP="00A1599C">
      <w:r>
        <w:t xml:space="preserve">The current DRG set </w:t>
      </w:r>
      <w:r w:rsidR="001F7682">
        <w:t xml:space="preserve">has 712 DRGs, though </w:t>
      </w:r>
      <w:r w:rsidR="00F81FEC">
        <w:t xml:space="preserve">seven </w:t>
      </w:r>
      <w:r>
        <w:t>of these do not appear in casemix production</w:t>
      </w:r>
      <w:r w:rsidR="001F7682">
        <w:t xml:space="preserve"> (J11W, C03W which are NZ DRGs, </w:t>
      </w:r>
      <w:r w:rsidR="00F81FEC">
        <w:t>three</w:t>
      </w:r>
      <w:r w:rsidR="001F7682">
        <w:t xml:space="preserve"> transplant DRGs</w:t>
      </w:r>
      <w:r w:rsidR="00F81FEC">
        <w:t xml:space="preserve"> (A01Z, A03Z, A05Z)</w:t>
      </w:r>
      <w:r w:rsidR="001F7682">
        <w:t xml:space="preserve"> and </w:t>
      </w:r>
      <w:r w:rsidR="00F81FEC">
        <w:t>two</w:t>
      </w:r>
      <w:r w:rsidR="001F7682">
        <w:t xml:space="preserve"> dialysis DRGs</w:t>
      </w:r>
      <w:r w:rsidR="00F81FEC">
        <w:t xml:space="preserve"> (L61Z, L68Z)</w:t>
      </w:r>
      <w:r w:rsidR="001F7682">
        <w:t>)</w:t>
      </w:r>
      <w:r>
        <w:t>.</w:t>
      </w:r>
      <w:r w:rsidR="0023770C">
        <w:t xml:space="preserve"> </w:t>
      </w:r>
      <w:r w:rsidR="001F7682">
        <w:t xml:space="preserve"> </w:t>
      </w:r>
    </w:p>
    <w:p w14:paraId="1C9C6AF9" w14:textId="77777777" w:rsidR="007F40FA" w:rsidRDefault="007F40FA" w:rsidP="007F40FA">
      <w:pPr>
        <w:spacing w:after="0" w:line="240" w:lineRule="auto"/>
      </w:pPr>
    </w:p>
    <w:p w14:paraId="37C09080" w14:textId="77777777" w:rsidR="00C316DA" w:rsidRDefault="00C316DA" w:rsidP="00A1599C">
      <w:pPr>
        <w:pStyle w:val="Heading2"/>
      </w:pPr>
      <w:bookmarkStart w:id="13" w:name="_Toc437260938"/>
      <w:r>
        <w:lastRenderedPageBreak/>
        <w:t xml:space="preserve">How does Casemix </w:t>
      </w:r>
      <w:r w:rsidR="00E57B43">
        <w:t xml:space="preserve">Based </w:t>
      </w:r>
      <w:r>
        <w:t>Funding Fit Amongst all Hospital Funding?</w:t>
      </w:r>
      <w:bookmarkEnd w:id="13"/>
    </w:p>
    <w:p w14:paraId="71744142" w14:textId="77777777" w:rsidR="00C316DA" w:rsidRDefault="00C316DA" w:rsidP="00A1599C">
      <w:r>
        <w:t xml:space="preserve">In New Zealand casemix </w:t>
      </w:r>
      <w:r w:rsidR="00BD023C">
        <w:t xml:space="preserve">based </w:t>
      </w:r>
      <w:r>
        <w:t xml:space="preserve">funding </w:t>
      </w:r>
      <w:r w:rsidR="00BD023C" w:rsidRPr="00BD023C">
        <w:t xml:space="preserve">between the DHB funders and the provider of hospital services </w:t>
      </w:r>
      <w:r>
        <w:t xml:space="preserve">applies mainly to medical, surgical, obstetric, and neonatal </w:t>
      </w:r>
      <w:r w:rsidR="00BD023C">
        <w:t xml:space="preserve">inpatient </w:t>
      </w:r>
      <w:r>
        <w:t xml:space="preserve">services. Other services, most notably </w:t>
      </w:r>
      <w:r w:rsidR="00BD023C">
        <w:t xml:space="preserve">outpatient services, emergency department, </w:t>
      </w:r>
      <w:r>
        <w:t>mental health</w:t>
      </w:r>
      <w:r w:rsidR="00F81FEC">
        <w:t>,</w:t>
      </w:r>
      <w:r>
        <w:t xml:space="preserve"> </w:t>
      </w:r>
      <w:r w:rsidR="00A35F57">
        <w:t>rehabilitation,</w:t>
      </w:r>
      <w:r>
        <w:t xml:space="preserve"> disability</w:t>
      </w:r>
      <w:r w:rsidR="00ED764F" w:rsidRPr="00ED764F">
        <w:t xml:space="preserve"> </w:t>
      </w:r>
      <w:r w:rsidR="00BD023C">
        <w:t xml:space="preserve">support </w:t>
      </w:r>
      <w:r w:rsidR="00ED764F">
        <w:t>and health of older people</w:t>
      </w:r>
      <w:r>
        <w:t>, are funded by different methods.</w:t>
      </w:r>
    </w:p>
    <w:p w14:paraId="13F87B1D" w14:textId="77777777" w:rsidR="000016D4" w:rsidRDefault="000016D4" w:rsidP="001A0D33">
      <w:r w:rsidRPr="000016D4">
        <w:t>However, casemix based funding accounts for a significant proportion of all DHB fund</w:t>
      </w:r>
      <w:r w:rsidR="00811909">
        <w:t>ing</w:t>
      </w:r>
      <w:r w:rsidR="004F3C4C">
        <w:t>,</w:t>
      </w:r>
      <w:r w:rsidR="00811909">
        <w:t xml:space="preserve"> varying between 28% and 29%.</w:t>
      </w:r>
    </w:p>
    <w:p w14:paraId="3E97BE02" w14:textId="77777777" w:rsidR="005F719C" w:rsidRDefault="009F6F7E" w:rsidP="00A1599C">
      <w:pPr>
        <w:pStyle w:val="Heading2"/>
      </w:pPr>
      <w:bookmarkStart w:id="14" w:name="_Toc437260939"/>
      <w:r>
        <w:t>New Zealand Casemix Cost Weight Model</w:t>
      </w:r>
      <w:bookmarkEnd w:id="14"/>
    </w:p>
    <w:p w14:paraId="5E612E96" w14:textId="77777777" w:rsidR="005F719C" w:rsidRDefault="00D059D7" w:rsidP="00A1599C">
      <w:r>
        <w:t>The New Zealand model is very similar to that used by Australia’s state of Victoria, known as WIES (weighted inlier equivalent separations)</w:t>
      </w:r>
      <w:r w:rsidR="00771CDB">
        <w:t xml:space="preserve"> and now largely adopted in a national implementation across Australia</w:t>
      </w:r>
      <w:r>
        <w:t xml:space="preserve">. </w:t>
      </w:r>
      <w:r w:rsidR="00771CDB">
        <w:t xml:space="preserve">Note that </w:t>
      </w:r>
      <w:r w:rsidR="00771CDB">
        <w:rPr>
          <w:i/>
        </w:rPr>
        <w:t>s</w:t>
      </w:r>
      <w:r w:rsidRPr="00D059D7">
        <w:rPr>
          <w:i/>
        </w:rPr>
        <w:t>eparation</w:t>
      </w:r>
      <w:r>
        <w:t xml:space="preserve"> is the Australian </w:t>
      </w:r>
      <w:r w:rsidR="00D718FE">
        <w:t xml:space="preserve">equivalent to a New Zealand </w:t>
      </w:r>
      <w:r w:rsidRPr="00D059D7">
        <w:rPr>
          <w:i/>
        </w:rPr>
        <w:t>discharge</w:t>
      </w:r>
      <w:r>
        <w:t xml:space="preserve">. </w:t>
      </w:r>
    </w:p>
    <w:p w14:paraId="514524DB" w14:textId="77777777" w:rsidR="00D059D7" w:rsidRDefault="00D059D7" w:rsidP="00A1599C">
      <w:r>
        <w:t xml:space="preserve">It incorporates length of stay (LOS) so as to obtain a better fit with costs. The New Zealand model is populated solely with New Zealand data elements, using activity data derived from the NMDS and event level cost data reported annually via the </w:t>
      </w:r>
      <w:r w:rsidR="00045816">
        <w:t xml:space="preserve">joint </w:t>
      </w:r>
      <w:r>
        <w:t xml:space="preserve">National Cost Collection and Pricing </w:t>
      </w:r>
      <w:r w:rsidR="00045816">
        <w:t>Programme</w:t>
      </w:r>
      <w:r w:rsidR="00ED764F">
        <w:t xml:space="preserve"> </w:t>
      </w:r>
      <w:r>
        <w:t>(NCCP).</w:t>
      </w:r>
    </w:p>
    <w:p w14:paraId="64A3C2C4" w14:textId="77777777" w:rsidR="00CE7D9E" w:rsidRPr="00CE7D9E" w:rsidRDefault="00CE7D9E" w:rsidP="00A1599C">
      <w:r>
        <w:t>The m</w:t>
      </w:r>
      <w:r w:rsidRPr="00CE7D9E">
        <w:t>odel is built round</w:t>
      </w:r>
      <w:r>
        <w:t xml:space="preserve"> the</w:t>
      </w:r>
      <w:r w:rsidRPr="00CE7D9E">
        <w:t xml:space="preserve"> LOS distribution and </w:t>
      </w:r>
      <w:r w:rsidR="00D718FE">
        <w:t>an</w:t>
      </w:r>
      <w:r w:rsidRPr="00CE7D9E">
        <w:t xml:space="preserve"> inlier range for each DRG.</w:t>
      </w:r>
      <w:r>
        <w:t xml:space="preserve"> A </w:t>
      </w:r>
      <w:r w:rsidRPr="00CE7D9E">
        <w:rPr>
          <w:i/>
        </w:rPr>
        <w:t>low boundary</w:t>
      </w:r>
      <w:r w:rsidRPr="00CE7D9E">
        <w:t xml:space="preserve"> (LB) and </w:t>
      </w:r>
      <w:r w:rsidRPr="00CE7D9E">
        <w:rPr>
          <w:i/>
        </w:rPr>
        <w:t>high boundary</w:t>
      </w:r>
      <w:r w:rsidRPr="00CE7D9E">
        <w:t xml:space="preserve"> (HB)</w:t>
      </w:r>
      <w:r>
        <w:t xml:space="preserve"> are determined which define </w:t>
      </w:r>
      <w:r w:rsidR="00D718FE">
        <w:t>the</w:t>
      </w:r>
      <w:r>
        <w:t xml:space="preserve"> </w:t>
      </w:r>
      <w:r w:rsidRPr="00CE7D9E">
        <w:rPr>
          <w:i/>
        </w:rPr>
        <w:t>inlier range</w:t>
      </w:r>
      <w:r w:rsidR="00D718FE">
        <w:rPr>
          <w:i/>
        </w:rPr>
        <w:t xml:space="preserve"> = [LB, HB]</w:t>
      </w:r>
      <w:r>
        <w:t>.</w:t>
      </w:r>
      <w:r w:rsidR="00771CDB">
        <w:t xml:space="preserve"> The inlier range accounts for the majority of “typical” events for a DRG.</w:t>
      </w:r>
      <w:r>
        <w:t xml:space="preserve"> </w:t>
      </w:r>
    </w:p>
    <w:p w14:paraId="7973D7E7" w14:textId="77777777" w:rsidR="00CE7D9E" w:rsidRPr="00CE7D9E" w:rsidRDefault="00CE7D9E" w:rsidP="00A1599C">
      <w:r w:rsidRPr="00CE7D9E">
        <w:t xml:space="preserve">Weights are </w:t>
      </w:r>
      <w:r>
        <w:t xml:space="preserve">then </w:t>
      </w:r>
      <w:r w:rsidRPr="00CE7D9E">
        <w:t>developed for:</w:t>
      </w:r>
    </w:p>
    <w:p w14:paraId="6C2EBF0A" w14:textId="77777777" w:rsidR="00CE7D9E" w:rsidRPr="00CE7D9E" w:rsidRDefault="00CE7D9E" w:rsidP="00A1599C">
      <w:pPr>
        <w:pStyle w:val="ListParagraph"/>
        <w:numPr>
          <w:ilvl w:val="0"/>
          <w:numId w:val="17"/>
        </w:numPr>
      </w:pPr>
      <w:r w:rsidRPr="00CE7D9E">
        <w:t>Same day events</w:t>
      </w:r>
    </w:p>
    <w:p w14:paraId="5863C1DE" w14:textId="77777777" w:rsidR="00CE7D9E" w:rsidRPr="00CE7D9E" w:rsidRDefault="00CE7D9E" w:rsidP="00A1599C">
      <w:pPr>
        <w:pStyle w:val="ListParagraph"/>
        <w:numPr>
          <w:ilvl w:val="0"/>
          <w:numId w:val="17"/>
        </w:numPr>
      </w:pPr>
      <w:r w:rsidRPr="00CE7D9E">
        <w:t>One day events</w:t>
      </w:r>
    </w:p>
    <w:p w14:paraId="06113665" w14:textId="77777777" w:rsidR="00CE7D9E" w:rsidRPr="00CE7D9E" w:rsidRDefault="00CE7D9E" w:rsidP="00A1599C">
      <w:pPr>
        <w:pStyle w:val="ListParagraph"/>
        <w:numPr>
          <w:ilvl w:val="0"/>
          <w:numId w:val="17"/>
        </w:numPr>
      </w:pPr>
      <w:r w:rsidRPr="00CE7D9E">
        <w:t>Low outliers (other events with LOS &lt; LB)</w:t>
      </w:r>
    </w:p>
    <w:p w14:paraId="5D6084E0" w14:textId="77777777" w:rsidR="00CE7D9E" w:rsidRPr="00CE7D9E" w:rsidRDefault="00CE7D9E" w:rsidP="00A1599C">
      <w:pPr>
        <w:pStyle w:val="ListParagraph"/>
        <w:numPr>
          <w:ilvl w:val="0"/>
          <w:numId w:val="17"/>
        </w:numPr>
      </w:pPr>
      <w:r w:rsidRPr="00CE7D9E">
        <w:t xml:space="preserve">Inliers, </w:t>
      </w:r>
      <w:r w:rsidR="009B6879">
        <w:t xml:space="preserve">for events in the inlier range, </w:t>
      </w:r>
      <w:r w:rsidRPr="00CE7D9E">
        <w:t>ie LB &lt;= LOS &lt;= HB</w:t>
      </w:r>
    </w:p>
    <w:p w14:paraId="5AD66A74" w14:textId="77777777" w:rsidR="00CE7D9E" w:rsidRPr="00CE7D9E" w:rsidRDefault="00CE7D9E" w:rsidP="00A1599C">
      <w:pPr>
        <w:pStyle w:val="ListParagraph"/>
        <w:numPr>
          <w:ilvl w:val="0"/>
          <w:numId w:val="17"/>
        </w:numPr>
      </w:pPr>
      <w:r w:rsidRPr="00CE7D9E">
        <w:t>High outliers (LOS &gt; HB, in the main)</w:t>
      </w:r>
    </w:p>
    <w:p w14:paraId="6EBEBF40" w14:textId="77777777" w:rsidR="00E25154" w:rsidRDefault="00E25154" w:rsidP="00A1599C">
      <w:pPr>
        <w:pStyle w:val="Heading3"/>
      </w:pPr>
      <w:r>
        <w:t>Role of LOS in the Weight Model</w:t>
      </w:r>
    </w:p>
    <w:p w14:paraId="26BBF5A9" w14:textId="77777777" w:rsidR="00CE7D9E" w:rsidRDefault="00CE7D9E" w:rsidP="00A1599C">
      <w:r w:rsidRPr="00CE7D9E">
        <w:t>LOS analysis is needed to determine an average LOS</w:t>
      </w:r>
      <w:r>
        <w:t>, denoted</w:t>
      </w:r>
      <w:r w:rsidRPr="00CE7D9E">
        <w:t xml:space="preserve"> ALOS</w:t>
      </w:r>
      <w:r>
        <w:t xml:space="preserve">. This central tendency is determined based on </w:t>
      </w:r>
      <w:r w:rsidR="008753FF">
        <w:t>the most recent four</w:t>
      </w:r>
      <w:r>
        <w:t xml:space="preserve"> years of data so as to account for clear trends. However in some cases there is not a clear upward or downward trend and the most recent year of data is used.</w:t>
      </w:r>
    </w:p>
    <w:p w14:paraId="13CC0E2B" w14:textId="77777777" w:rsidR="00942CAB" w:rsidRDefault="00CE7D9E" w:rsidP="00184514">
      <w:r>
        <w:t>For m</w:t>
      </w:r>
      <w:r w:rsidRPr="00CE7D9E">
        <w:t>ost</w:t>
      </w:r>
      <w:r>
        <w:t xml:space="preserve"> DRGs the formula</w:t>
      </w:r>
      <w:r w:rsidR="009F088B">
        <w:t>e</w:t>
      </w:r>
      <w:r w:rsidR="00184514">
        <w:tab/>
      </w:r>
      <w:r w:rsidR="00184514">
        <w:tab/>
      </w:r>
    </w:p>
    <w:p w14:paraId="16483CD3" w14:textId="77777777" w:rsidR="009F088B" w:rsidRDefault="00CE7D9E" w:rsidP="00942CAB">
      <w:pPr>
        <w:jc w:val="center"/>
      </w:pPr>
      <w:r>
        <w:t>LB = ALOS/3</w:t>
      </w:r>
      <w:r w:rsidRPr="00CE7D9E">
        <w:t xml:space="preserve"> and HB = 3*ALOS</w:t>
      </w:r>
    </w:p>
    <w:p w14:paraId="6C521CC7" w14:textId="77777777" w:rsidR="00CE7D9E" w:rsidRDefault="00CE7D9E" w:rsidP="00A1599C">
      <w:r>
        <w:t xml:space="preserve">are used to set a range that captures most typical events. It is referred to as </w:t>
      </w:r>
      <w:r w:rsidRPr="00CE7D9E">
        <w:t>L3H3</w:t>
      </w:r>
      <w:r>
        <w:t>.</w:t>
      </w:r>
    </w:p>
    <w:p w14:paraId="2526EBFD" w14:textId="77777777" w:rsidR="00CE7D9E" w:rsidRPr="00CE7D9E" w:rsidRDefault="009B6879" w:rsidP="00A1599C">
      <w:r>
        <w:t xml:space="preserve">For each DRG, </w:t>
      </w:r>
      <w:r w:rsidRPr="00CE7D9E">
        <w:t xml:space="preserve">LOS is </w:t>
      </w:r>
      <w:r w:rsidR="00837404">
        <w:t xml:space="preserve">generally </w:t>
      </w:r>
      <w:r w:rsidRPr="00CE7D9E">
        <w:t>a skewed distribution</w:t>
      </w:r>
      <w:r>
        <w:t xml:space="preserve">, </w:t>
      </w:r>
      <w:r w:rsidR="009F088B">
        <w:t>though may</w:t>
      </w:r>
      <w:r>
        <w:t xml:space="preserve"> </w:t>
      </w:r>
      <w:r w:rsidR="009F088B">
        <w:t>also</w:t>
      </w:r>
      <w:r>
        <w:t xml:space="preserve"> be bimodal (for example where two</w:t>
      </w:r>
      <w:r w:rsidRPr="00CE7D9E">
        <w:t xml:space="preserve"> </w:t>
      </w:r>
      <w:r>
        <w:t xml:space="preserve">different models of care are in practice). Where the ALOS is high the factor of </w:t>
      </w:r>
      <w:r w:rsidR="00EF05AF">
        <w:t>three</w:t>
      </w:r>
      <w:r>
        <w:t xml:space="preserve"> used in L3H3 can create too wide an inlier range</w:t>
      </w:r>
      <w:r w:rsidR="00F56401">
        <w:t xml:space="preserve"> and allow too much cost variation across the inlier range</w:t>
      </w:r>
      <w:r w:rsidR="00837404">
        <w:t>; or we could say that some non-typical events are now being included in the inlier range</w:t>
      </w:r>
      <w:r w:rsidR="00F56401">
        <w:t>.</w:t>
      </w:r>
      <w:r w:rsidR="00E25154">
        <w:t xml:space="preserve"> Other methods are then used to set the inlier range, and include (i) s</w:t>
      </w:r>
      <w:r w:rsidR="00CE7D9E" w:rsidRPr="00CE7D9E">
        <w:t>ometimes us</w:t>
      </w:r>
      <w:r w:rsidR="00E25154">
        <w:t>ing</w:t>
      </w:r>
      <w:r w:rsidR="00CE7D9E" w:rsidRPr="00CE7D9E">
        <w:t xml:space="preserve"> 3/2 rather than </w:t>
      </w:r>
      <w:r w:rsidR="00EF05AF">
        <w:t>three</w:t>
      </w:r>
      <w:r w:rsidR="00CE7D9E" w:rsidRPr="00CE7D9E">
        <w:t xml:space="preserve"> as a factor</w:t>
      </w:r>
      <w:r w:rsidR="00E25154">
        <w:t>, or (ii) general statistics to estimate the central tendency and set the range.</w:t>
      </w:r>
    </w:p>
    <w:p w14:paraId="61381FC0" w14:textId="77777777" w:rsidR="00CE7D9E" w:rsidRDefault="00E25154" w:rsidP="00A1599C">
      <w:pPr>
        <w:pStyle w:val="Heading3"/>
      </w:pPr>
      <w:r>
        <w:lastRenderedPageBreak/>
        <w:t>Development of Cost Weights</w:t>
      </w:r>
    </w:p>
    <w:p w14:paraId="4126F698" w14:textId="77777777" w:rsidR="00A13BBA" w:rsidRDefault="00A13BBA" w:rsidP="00A1599C">
      <w:r w:rsidRPr="00A13BBA">
        <w:t>The most recent year of event level cost data is used</w:t>
      </w:r>
      <w:r w:rsidR="008753FF">
        <w:t xml:space="preserve"> in the model</w:t>
      </w:r>
      <w:r>
        <w:t>, though for low volume DRGs more than one year may be used. This data generally covers 75% - 8</w:t>
      </w:r>
      <w:r w:rsidR="00C30DA8">
        <w:t>3</w:t>
      </w:r>
      <w:r>
        <w:t>% of all NMDS event</w:t>
      </w:r>
      <w:r w:rsidR="00EF05AF">
        <w:t xml:space="preserve"> record</w:t>
      </w:r>
      <w:r>
        <w:t>s that would be casemix</w:t>
      </w:r>
      <w:r w:rsidR="00094A08">
        <w:t xml:space="preserve"> </w:t>
      </w:r>
      <w:r>
        <w:t>funded.</w:t>
      </w:r>
    </w:p>
    <w:p w14:paraId="0ECF0A00" w14:textId="77777777" w:rsidR="00CE43C5" w:rsidRDefault="00A13BBA" w:rsidP="00A1599C">
      <w:r>
        <w:t>Total costs are used</w:t>
      </w:r>
      <w:r w:rsidR="00031475">
        <w:t>,</w:t>
      </w:r>
      <w:r>
        <w:t xml:space="preserve"> </w:t>
      </w:r>
      <w:r w:rsidR="00031475">
        <w:t>l</w:t>
      </w:r>
      <w:r>
        <w:t>e</w:t>
      </w:r>
      <w:r w:rsidR="00031475">
        <w:t>ss</w:t>
      </w:r>
      <w:r>
        <w:t xml:space="preserve"> those corresponding to inputs funded separately. These are the partial cost coverage for clinical training, and the drug costs for pharmaceutical cancer treatments.</w:t>
      </w:r>
    </w:p>
    <w:p w14:paraId="37BF613E" w14:textId="77777777" w:rsidR="00A13BBA" w:rsidRDefault="00CE43C5" w:rsidP="00A1599C">
      <w:r>
        <w:t>In some cases, adjustments are made where it is clear that implant or prosthetic costs have been under-reported.</w:t>
      </w:r>
      <w:r w:rsidR="001C781F">
        <w:t xml:space="preserve"> Each year the total new weights are constrained to equal those of the year of data used in the review. Consequently, the adjustments made for some costs help ensure the relativities are achieved without introducing unrealised volumes.</w:t>
      </w:r>
    </w:p>
    <w:p w14:paraId="440246B0" w14:textId="77777777" w:rsidR="00A13BBA" w:rsidRDefault="00D72A0D" w:rsidP="00A1599C">
      <w:pPr>
        <w:pStyle w:val="Heading3"/>
      </w:pPr>
      <w:r>
        <w:t xml:space="preserve">Sketch of </w:t>
      </w:r>
      <w:r w:rsidR="000650BE">
        <w:t xml:space="preserve">Weight Development </w:t>
      </w:r>
      <w:r w:rsidR="00F871AA">
        <w:t>by Event</w:t>
      </w:r>
      <w:r w:rsidR="000650BE">
        <w:t xml:space="preserve"> LOS</w:t>
      </w:r>
      <w:r w:rsidR="00E47C83">
        <w:t xml:space="preserve"> Type</w:t>
      </w:r>
      <w:r w:rsidR="00A13BBA">
        <w:t>s</w:t>
      </w:r>
    </w:p>
    <w:p w14:paraId="265EAC80" w14:textId="77777777" w:rsidR="00717657" w:rsidRDefault="00717657" w:rsidP="00A1599C">
      <w:pPr>
        <w:pStyle w:val="Heading4"/>
      </w:pPr>
      <w:r>
        <w:t>Inliers</w:t>
      </w:r>
    </w:p>
    <w:p w14:paraId="190C66D2" w14:textId="77777777" w:rsidR="00A13BBA" w:rsidRDefault="00E47C83" w:rsidP="00A1599C">
      <w:r>
        <w:t>The weights for the inlier range reflect the ratio of the average cost for inlier events for the DRG to that for all inlier events.</w:t>
      </w:r>
    </w:p>
    <w:p w14:paraId="0BD1423C" w14:textId="77777777" w:rsidR="000650BE" w:rsidRDefault="000650BE" w:rsidP="00A1599C">
      <w:pPr>
        <w:pStyle w:val="Heading4"/>
      </w:pPr>
      <w:r>
        <w:t>Low Outliers</w:t>
      </w:r>
    </w:p>
    <w:p w14:paraId="75E6B742" w14:textId="77777777" w:rsidR="00E47C83" w:rsidRDefault="00E47C83" w:rsidP="00A1599C">
      <w:r>
        <w:t xml:space="preserve">A simple approach to determining the weights for events with a stay less than LB is to simply divide the inlier weight by the LB to obtain a one-day weight, and then halving the result to obtain a same-day weight. This is done where volume </w:t>
      </w:r>
      <w:r w:rsidR="003C5F4D">
        <w:t>is small or for medical events. S</w:t>
      </w:r>
      <w:r>
        <w:t xml:space="preserve">urgery is now often provided on the day of admission, and technology </w:t>
      </w:r>
      <w:r w:rsidR="00C30DA8">
        <w:t>advances allow</w:t>
      </w:r>
      <w:r>
        <w:t xml:space="preserve"> same day surgical events, the theatre and implant costs are brought forward in the calculation of same day weights</w:t>
      </w:r>
      <w:r w:rsidR="00C30DA8">
        <w:t xml:space="preserve"> for these DRGs</w:t>
      </w:r>
      <w:r>
        <w:t>.</w:t>
      </w:r>
    </w:p>
    <w:p w14:paraId="2F115969" w14:textId="77777777" w:rsidR="003C5F4D" w:rsidRDefault="003C5F4D" w:rsidP="00A1599C">
      <w:r>
        <w:t xml:space="preserve">For an increasing number of DRGs, principally those with a significant proportion of events provided in the emergency department or with stays shorter than a few hours, same day </w:t>
      </w:r>
      <w:r w:rsidR="00EF05AF">
        <w:t xml:space="preserve">(SD) </w:t>
      </w:r>
      <w:r>
        <w:t xml:space="preserve">and one day </w:t>
      </w:r>
      <w:r w:rsidR="00EF05AF">
        <w:t xml:space="preserve">(OD) </w:t>
      </w:r>
      <w:r>
        <w:t xml:space="preserve">weights are derived from the costs of these </w:t>
      </w:r>
      <w:r w:rsidR="00C30DA8">
        <w:t xml:space="preserve">types of </w:t>
      </w:r>
      <w:r>
        <w:t>events.</w:t>
      </w:r>
      <w:r w:rsidR="00E04AE6">
        <w:t xml:space="preserve"> These DRGs are identified on the </w:t>
      </w:r>
      <w:r w:rsidR="00184514">
        <w:t>cost weight schedule with a</w:t>
      </w:r>
      <w:r w:rsidR="00E04AE6">
        <w:t xml:space="preserve"> SD or OD designation.</w:t>
      </w:r>
      <w:r w:rsidR="001C781F">
        <w:t xml:space="preserve"> The purpose is to avoid dilution of the weights for multi-day stays where there are high volumes of same day or overnight, low-cost events.</w:t>
      </w:r>
    </w:p>
    <w:p w14:paraId="479FE37E" w14:textId="77777777" w:rsidR="003C5F4D" w:rsidRDefault="000650BE" w:rsidP="00A1599C">
      <w:pPr>
        <w:pStyle w:val="Heading4"/>
      </w:pPr>
      <w:r>
        <w:t>High Outliers</w:t>
      </w:r>
    </w:p>
    <w:p w14:paraId="5BE72426" w14:textId="77777777" w:rsidR="000650BE" w:rsidRDefault="000650BE" w:rsidP="00A1599C">
      <w:r>
        <w:t>These events are those with LOS exceeding HB. They are weighted as the sum of the inlier weight, plus an allowance based on the number of high outlier days and a high outlier per diem. The latter is based on the average of inlier costs with theatre and implant costs removed divided by the average inlier length of stay.</w:t>
      </w:r>
      <w:r w:rsidR="00DA7877">
        <w:t xml:space="preserve"> High outlier days do not take effect until the number of days for which mechanical ventilation was provided have been taken into account. The days when</w:t>
      </w:r>
      <w:r w:rsidR="00DA7877" w:rsidRPr="00DA7877">
        <w:t xml:space="preserve"> </w:t>
      </w:r>
      <w:r w:rsidR="00DA7877">
        <w:t xml:space="preserve">mechanical ventilation is provided are given a co-payment weight </w:t>
      </w:r>
      <w:r w:rsidR="00AE0574">
        <w:t xml:space="preserve">(see below) </w:t>
      </w:r>
      <w:r w:rsidR="00DA7877">
        <w:t>at a higher level than the high outlier per diem.</w:t>
      </w:r>
    </w:p>
    <w:p w14:paraId="4D62BBAB" w14:textId="77777777" w:rsidR="000B5C8E" w:rsidRDefault="000B5C8E" w:rsidP="00A1599C">
      <w:r>
        <w:t xml:space="preserve">High outliers </w:t>
      </w:r>
      <w:r w:rsidR="00653D79">
        <w:t>c</w:t>
      </w:r>
      <w:r>
        <w:t>om</w:t>
      </w:r>
      <w:r w:rsidR="00653D79">
        <w:t>prise</w:t>
      </w:r>
      <w:r>
        <w:t xml:space="preserve"> approximately 2.9% of all casemix</w:t>
      </w:r>
      <w:r w:rsidR="00094A08">
        <w:t xml:space="preserve"> </w:t>
      </w:r>
      <w:r>
        <w:t>funded events.</w:t>
      </w:r>
    </w:p>
    <w:p w14:paraId="5FC65E3E" w14:textId="77777777" w:rsidR="00B15D56" w:rsidRDefault="00B15D56" w:rsidP="00A1599C">
      <w:pPr>
        <w:pStyle w:val="Heading4"/>
      </w:pPr>
      <w:r>
        <w:t>Overall</w:t>
      </w:r>
    </w:p>
    <w:p w14:paraId="581A6988" w14:textId="77777777" w:rsidR="001C781F" w:rsidRPr="000650BE" w:rsidRDefault="00B15D56" w:rsidP="00A1599C">
      <w:r>
        <w:t>This model provides incentive for efficiency – hospitals aim to provide services within the inlier period – and for equity – in that low outliers are paid less than inliers and high outlier events receive funding for each day of stay beyond the high boundary.</w:t>
      </w:r>
    </w:p>
    <w:p w14:paraId="084F6DA9" w14:textId="77777777" w:rsidR="00E25154" w:rsidRDefault="009E6C97" w:rsidP="00A1599C">
      <w:pPr>
        <w:pStyle w:val="Heading2"/>
      </w:pPr>
      <w:bookmarkStart w:id="15" w:name="_Toc437260940"/>
      <w:r>
        <w:lastRenderedPageBreak/>
        <w:t>Review Frequency</w:t>
      </w:r>
      <w:bookmarkEnd w:id="15"/>
    </w:p>
    <w:p w14:paraId="6A2EAB68" w14:textId="77777777" w:rsidR="009E6C97" w:rsidRPr="009E6C97" w:rsidRDefault="009E6C97" w:rsidP="00A1599C">
      <w:r w:rsidRPr="009E6C97">
        <w:t>I</w:t>
      </w:r>
      <w:r>
        <w:t>n</w:t>
      </w:r>
      <w:r w:rsidRPr="009E6C97">
        <w:t xml:space="preserve"> principle,</w:t>
      </w:r>
      <w:r w:rsidR="00653D79">
        <w:t xml:space="preserve"> </w:t>
      </w:r>
      <w:r w:rsidRPr="009E6C97">
        <w:t>the</w:t>
      </w:r>
      <w:r>
        <w:t xml:space="preserve"> weights are reviewed every two years. However, where smaller </w:t>
      </w:r>
      <w:r w:rsidR="00031475">
        <w:t xml:space="preserve">or pressing </w:t>
      </w:r>
      <w:r>
        <w:t>changes are n</w:t>
      </w:r>
      <w:r w:rsidR="00046E66">
        <w:t xml:space="preserve">eeded, these may be </w:t>
      </w:r>
      <w:r w:rsidR="001F4230">
        <w:t>e</w:t>
      </w:r>
      <w:r w:rsidR="00046E66">
        <w:t xml:space="preserve">ffected </w:t>
      </w:r>
      <w:r>
        <w:t>between the main review years.</w:t>
      </w:r>
    </w:p>
    <w:p w14:paraId="1B72ABC5" w14:textId="77777777" w:rsidR="00E25154" w:rsidRPr="009E6C97" w:rsidRDefault="009E6C97" w:rsidP="00A1599C">
      <w:pPr>
        <w:pStyle w:val="Heading2"/>
      </w:pPr>
      <w:bookmarkStart w:id="16" w:name="_Toc437260941"/>
      <w:r>
        <w:t xml:space="preserve">New Technology and Other Changes </w:t>
      </w:r>
      <w:r w:rsidR="00184514">
        <w:t>A</w:t>
      </w:r>
      <w:r>
        <w:t>ffecting Cost Profiles</w:t>
      </w:r>
      <w:bookmarkEnd w:id="16"/>
    </w:p>
    <w:p w14:paraId="19346921" w14:textId="77777777" w:rsidR="00D059D7" w:rsidRDefault="009E6C97" w:rsidP="00A1599C">
      <w:r>
        <w:t>Uptake of new technology, including change in models of care, affect</w:t>
      </w:r>
      <w:r w:rsidR="00C30DA8">
        <w:t>s</w:t>
      </w:r>
      <w:r>
        <w:t xml:space="preserve"> the development of a new set of weights. Generally, these are reflected in changing cost profiles over time for a DRG. However, new technology is a little different in that it may initially only be taken up by a small number of providers. When this occurs, definitive </w:t>
      </w:r>
      <w:r w:rsidR="00406CB2">
        <w:t>identification</w:t>
      </w:r>
      <w:r>
        <w:t xml:space="preserve"> in terms of the clinical coding </w:t>
      </w:r>
      <w:r w:rsidR="00031475">
        <w:t>is</w:t>
      </w:r>
      <w:r>
        <w:t xml:space="preserve"> sought so that events employing the new technology can be identified in the national collection of admitted patient events, NMDS.</w:t>
      </w:r>
    </w:p>
    <w:p w14:paraId="0AB1D22F" w14:textId="77777777" w:rsidR="009E6C97" w:rsidRDefault="009E6C97" w:rsidP="00A1599C">
      <w:r>
        <w:t>When new technology events can be unambiguously identified</w:t>
      </w:r>
      <w:r w:rsidR="00B17678">
        <w:t xml:space="preserve"> in terms of their clinical coding</w:t>
      </w:r>
      <w:r>
        <w:t>, the uneven uptake is ad</w:t>
      </w:r>
      <w:r w:rsidR="00EE4760">
        <w:t xml:space="preserve">dressed </w:t>
      </w:r>
      <w:r>
        <w:t>by:</w:t>
      </w:r>
    </w:p>
    <w:p w14:paraId="62D91B94" w14:textId="77777777" w:rsidR="009E6C97" w:rsidRDefault="00EE4760" w:rsidP="00A1599C">
      <w:pPr>
        <w:pStyle w:val="ListParagraph"/>
        <w:numPr>
          <w:ilvl w:val="0"/>
          <w:numId w:val="18"/>
        </w:numPr>
      </w:pPr>
      <w:r>
        <w:t>Either mapping the affected events to a locally defined DRG for the purposes of funding</w:t>
      </w:r>
    </w:p>
    <w:p w14:paraId="3E03FA0C" w14:textId="77777777" w:rsidR="00EE4760" w:rsidRPr="009E6C97" w:rsidRDefault="00EE4760" w:rsidP="00A1599C">
      <w:pPr>
        <w:pStyle w:val="ListParagraph"/>
        <w:numPr>
          <w:ilvl w:val="0"/>
          <w:numId w:val="18"/>
        </w:numPr>
      </w:pPr>
      <w:r>
        <w:t>Or singling the events out for a weight co-payment attached to the starting DRG.</w:t>
      </w:r>
    </w:p>
    <w:p w14:paraId="399C6CCF" w14:textId="77777777" w:rsidR="002D3DC6" w:rsidRPr="009E6C97" w:rsidRDefault="00EE4760" w:rsidP="00A1599C">
      <w:r>
        <w:t xml:space="preserve">These devices may also </w:t>
      </w:r>
      <w:r w:rsidR="00477C06">
        <w:t xml:space="preserve">be </w:t>
      </w:r>
      <w:r>
        <w:t xml:space="preserve">used for exceptional cases involving an existing technology and provision by a very small number of hospitals. In the event of option </w:t>
      </w:r>
      <w:r w:rsidR="005B3862">
        <w:t>(i)</w:t>
      </w:r>
      <w:r>
        <w:t xml:space="preserve"> being used, the new DRG is referred to as an NZ DRG. </w:t>
      </w:r>
      <w:r w:rsidR="005B3862">
        <w:t xml:space="preserve">This </w:t>
      </w:r>
      <w:r w:rsidR="00CF5889">
        <w:t>option</w:t>
      </w:r>
      <w:r w:rsidR="005B3862">
        <w:t xml:space="preserve"> is particularly useful where several different DRGs may describe the production using the given new technology.</w:t>
      </w:r>
    </w:p>
    <w:p w14:paraId="410721DB" w14:textId="77777777" w:rsidR="005F719C" w:rsidRDefault="005B3862" w:rsidP="00A1599C">
      <w:r w:rsidRPr="005B3862">
        <w:rPr>
          <w:rStyle w:val="Heading4Char"/>
        </w:rPr>
        <w:t>E</w:t>
      </w:r>
      <w:r w:rsidR="00EE4760" w:rsidRPr="005B3862">
        <w:rPr>
          <w:rStyle w:val="Heading4Char"/>
        </w:rPr>
        <w:t>xample</w:t>
      </w:r>
      <w:r w:rsidRPr="005B3862">
        <w:rPr>
          <w:rStyle w:val="Heading4Char"/>
        </w:rPr>
        <w:t xml:space="preserve"> 1</w:t>
      </w:r>
      <w:r>
        <w:t>,</w:t>
      </w:r>
      <w:r w:rsidR="00EE4760">
        <w:t xml:space="preserve"> the DRG code F03M is not part of the AR-DRG classification</w:t>
      </w:r>
      <w:r>
        <w:t xml:space="preserve"> but is used in New Zealand for the funding of Transcatheter Pulmonary Valve Implants. These events involve new technology, have one provider at the time of writing, and would normally group to one of four DRGs in the AR-DRG classification: F03A, F03B, F04A, or F04B.</w:t>
      </w:r>
    </w:p>
    <w:p w14:paraId="49AAB489" w14:textId="77777777" w:rsidR="005B3862" w:rsidRPr="009E6C97" w:rsidRDefault="005B3862" w:rsidP="00A1599C">
      <w:r w:rsidRPr="005B3862">
        <w:rPr>
          <w:rStyle w:val="Heading4Char"/>
        </w:rPr>
        <w:t>Example 2</w:t>
      </w:r>
      <w:r>
        <w:t>, endovascular repair for abdominal aortic aneurysms. These events are defined by a single procedure code, though production groups to one of two AR-DRGs: F08A or F08B</w:t>
      </w:r>
      <w:r w:rsidR="00CF5889">
        <w:t xml:space="preserve">. However, </w:t>
      </w:r>
      <w:r w:rsidR="00BC61E6">
        <w:t>more than one hundred</w:t>
      </w:r>
      <w:r w:rsidR="00CF5889">
        <w:t xml:space="preserve"> procedures are possible for events in these DRGs and this procedure represents only </w:t>
      </w:r>
      <w:r w:rsidR="00C03DDD">
        <w:t>25</w:t>
      </w:r>
      <w:r w:rsidR="00CF5889" w:rsidRPr="00C03DDD">
        <w:t>%</w:t>
      </w:r>
      <w:r w:rsidR="00CF5889">
        <w:t xml:space="preserve"> of total production</w:t>
      </w:r>
      <w:r w:rsidR="00BC61E6">
        <w:t xml:space="preserve"> fo</w:t>
      </w:r>
      <w:r w:rsidR="004A34EA">
        <w:t>r</w:t>
      </w:r>
      <w:r w:rsidR="00BC61E6">
        <w:t xml:space="preserve"> this pair of DRGs</w:t>
      </w:r>
      <w:r w:rsidR="00CF5889">
        <w:t xml:space="preserve">. Consequently, a co-payment </w:t>
      </w:r>
      <w:r w:rsidR="00477C06">
        <w:t xml:space="preserve">weight </w:t>
      </w:r>
      <w:r w:rsidR="00CF5889">
        <w:t xml:space="preserve">has been developed to compensate providers of this surgery for the high cost of the implant involved. </w:t>
      </w:r>
      <w:r w:rsidR="00C30DA8">
        <w:t>Initially applying only to tertiary facilities</w:t>
      </w:r>
      <w:r w:rsidR="00BC61E6">
        <w:t>,</w:t>
      </w:r>
      <w:r w:rsidR="00C30DA8">
        <w:t xml:space="preserve"> there has been a gradual spread </w:t>
      </w:r>
      <w:r w:rsidR="00BC61E6">
        <w:t>in eligibility for th</w:t>
      </w:r>
      <w:r w:rsidR="00B5176A">
        <w:t>is</w:t>
      </w:r>
      <w:r w:rsidR="00BC61E6">
        <w:t xml:space="preserve"> co-payment </w:t>
      </w:r>
      <w:r w:rsidR="00477C06">
        <w:t xml:space="preserve">weight </w:t>
      </w:r>
      <w:r w:rsidR="00C30DA8">
        <w:t>to other facilities</w:t>
      </w:r>
      <w:r w:rsidR="00BC61E6">
        <w:t xml:space="preserve"> as the technology is taken up by more hospitals.</w:t>
      </w:r>
    </w:p>
    <w:p w14:paraId="34DCCDC7" w14:textId="77777777" w:rsidR="004A34EA" w:rsidRDefault="004A34EA" w:rsidP="00A1599C">
      <w:pPr>
        <w:pStyle w:val="Heading2"/>
      </w:pPr>
      <w:bookmarkStart w:id="17" w:name="_Toc437260942"/>
      <w:r>
        <w:t>Co-payment</w:t>
      </w:r>
      <w:r w:rsidR="008157E1" w:rsidRPr="008157E1">
        <w:t xml:space="preserve"> </w:t>
      </w:r>
      <w:r w:rsidR="008157E1">
        <w:t>Weights</w:t>
      </w:r>
      <w:bookmarkEnd w:id="17"/>
    </w:p>
    <w:p w14:paraId="15CF1540" w14:textId="77777777" w:rsidR="005F719C" w:rsidRDefault="004A34EA" w:rsidP="00A1599C">
      <w:r>
        <w:t>As of 2015/16 the casemix funding weight system makes co-payments for:</w:t>
      </w:r>
    </w:p>
    <w:p w14:paraId="446EF671" w14:textId="77777777" w:rsidR="004A34EA" w:rsidRDefault="004A34EA" w:rsidP="00A1599C">
      <w:pPr>
        <w:pStyle w:val="ListParagraph"/>
        <w:numPr>
          <w:ilvl w:val="0"/>
          <w:numId w:val="19"/>
        </w:numPr>
      </w:pPr>
      <w:r>
        <w:t>Mechanical ventilation</w:t>
      </w:r>
    </w:p>
    <w:p w14:paraId="6FF11DBF" w14:textId="77777777" w:rsidR="004A34EA" w:rsidRDefault="004A34EA" w:rsidP="00A1599C">
      <w:pPr>
        <w:pStyle w:val="ListParagraph"/>
        <w:numPr>
          <w:ilvl w:val="0"/>
          <w:numId w:val="19"/>
        </w:numPr>
      </w:pPr>
      <w:r>
        <w:t>Live donor nephrectomies</w:t>
      </w:r>
    </w:p>
    <w:p w14:paraId="100F1A48" w14:textId="77777777" w:rsidR="004A34EA" w:rsidRDefault="004A34EA" w:rsidP="00A1599C">
      <w:pPr>
        <w:pStyle w:val="ListParagraph"/>
        <w:numPr>
          <w:ilvl w:val="0"/>
          <w:numId w:val="19"/>
        </w:numPr>
      </w:pPr>
      <w:r>
        <w:t>Implant costs for paediatric scoliosis surgery</w:t>
      </w:r>
    </w:p>
    <w:p w14:paraId="2E6FF33B" w14:textId="77777777" w:rsidR="004A34EA" w:rsidRDefault="004A34EA" w:rsidP="00A1599C">
      <w:pPr>
        <w:pStyle w:val="ListParagraph"/>
        <w:numPr>
          <w:ilvl w:val="0"/>
          <w:numId w:val="19"/>
        </w:numPr>
      </w:pPr>
      <w:r>
        <w:t>Electrophysiology studies</w:t>
      </w:r>
    </w:p>
    <w:p w14:paraId="17D2E552" w14:textId="77777777" w:rsidR="004A34EA" w:rsidRDefault="004A34EA" w:rsidP="00A1599C">
      <w:pPr>
        <w:pStyle w:val="ListParagraph"/>
        <w:numPr>
          <w:ilvl w:val="0"/>
          <w:numId w:val="19"/>
        </w:numPr>
      </w:pPr>
      <w:r>
        <w:t>Endovascular repair of abdominal aortic aneurysms</w:t>
      </w:r>
    </w:p>
    <w:p w14:paraId="10B427D3" w14:textId="77777777" w:rsidR="004A34EA" w:rsidRDefault="004A34EA" w:rsidP="00A1599C">
      <w:pPr>
        <w:pStyle w:val="ListParagraph"/>
        <w:numPr>
          <w:ilvl w:val="0"/>
          <w:numId w:val="19"/>
        </w:numPr>
      </w:pPr>
      <w:r>
        <w:t xml:space="preserve">Endovascular </w:t>
      </w:r>
      <w:r w:rsidR="00C44135">
        <w:t>treatment</w:t>
      </w:r>
      <w:r>
        <w:t xml:space="preserve"> of cerebral aneurysms</w:t>
      </w:r>
    </w:p>
    <w:p w14:paraId="6A68837F" w14:textId="77777777" w:rsidR="004A34EA" w:rsidRDefault="004A34EA" w:rsidP="00A1599C">
      <w:pPr>
        <w:pStyle w:val="ListParagraph"/>
        <w:numPr>
          <w:ilvl w:val="0"/>
          <w:numId w:val="19"/>
        </w:numPr>
      </w:pPr>
      <w:r>
        <w:t>Atrial septal defect cases</w:t>
      </w:r>
    </w:p>
    <w:p w14:paraId="468981AB" w14:textId="77777777" w:rsidR="008157E1" w:rsidRPr="008157E1" w:rsidRDefault="008157E1" w:rsidP="00A1599C">
      <w:r>
        <w:lastRenderedPageBreak/>
        <w:t>It is possible that when one or both of the coding and DRG classifications in use change the need for these co-payment weights will cease to exist.</w:t>
      </w:r>
    </w:p>
    <w:p w14:paraId="2440517E" w14:textId="77777777" w:rsidR="004A34EA" w:rsidRDefault="004A34EA" w:rsidP="00A1599C">
      <w:pPr>
        <w:pStyle w:val="Heading2"/>
      </w:pPr>
      <w:bookmarkStart w:id="18" w:name="_Toc437260943"/>
      <w:r>
        <w:t>DRG Mappings and NZ DRGs</w:t>
      </w:r>
      <w:bookmarkEnd w:id="18"/>
    </w:p>
    <w:p w14:paraId="5283167B" w14:textId="77777777" w:rsidR="004A34EA" w:rsidRDefault="004A34EA" w:rsidP="00A1599C">
      <w:r w:rsidRPr="004A34EA">
        <w:t>As of 2015/</w:t>
      </w:r>
      <w:r w:rsidR="00045816">
        <w:t>1</w:t>
      </w:r>
      <w:r w:rsidRPr="004A34EA">
        <w:t>6</w:t>
      </w:r>
      <w:r>
        <w:t xml:space="preserve"> the following DRG mappings occur:</w:t>
      </w:r>
    </w:p>
    <w:p w14:paraId="0A024002" w14:textId="77777777" w:rsidR="004A34EA" w:rsidRDefault="004A34EA" w:rsidP="00A1599C">
      <w:pPr>
        <w:pStyle w:val="ListParagraph"/>
        <w:numPr>
          <w:ilvl w:val="0"/>
          <w:numId w:val="20"/>
        </w:numPr>
      </w:pPr>
      <w:r>
        <w:t>All event</w:t>
      </w:r>
      <w:r w:rsidR="00C44135">
        <w:t xml:space="preserve"> record</w:t>
      </w:r>
      <w:r>
        <w:t xml:space="preserve">s grouped to a medical DRG on which a radiotherapy procedure is recorded are mapped to the DRG </w:t>
      </w:r>
      <w:r w:rsidR="00022BB7">
        <w:t xml:space="preserve">R64Z, </w:t>
      </w:r>
      <w:r w:rsidRPr="00022BB7">
        <w:rPr>
          <w:i/>
        </w:rPr>
        <w:t>Radiotherapy</w:t>
      </w:r>
    </w:p>
    <w:p w14:paraId="135E3F9B" w14:textId="77777777" w:rsidR="004A34EA" w:rsidRPr="00384306" w:rsidRDefault="00022BB7" w:rsidP="00A1599C">
      <w:pPr>
        <w:pStyle w:val="ListParagraph"/>
        <w:numPr>
          <w:ilvl w:val="0"/>
          <w:numId w:val="20"/>
        </w:numPr>
      </w:pPr>
      <w:r>
        <w:t>Event</w:t>
      </w:r>
      <w:r w:rsidR="00C44135">
        <w:t xml:space="preserve"> record</w:t>
      </w:r>
      <w:r>
        <w:t xml:space="preserve">s where pelvic exenteration </w:t>
      </w:r>
      <w:r w:rsidR="00162C38">
        <w:t xml:space="preserve">surgery </w:t>
      </w:r>
      <w:r>
        <w:t xml:space="preserve">occurred are mapped to the DRG N01Z, </w:t>
      </w:r>
      <w:r w:rsidRPr="00022BB7">
        <w:rPr>
          <w:i/>
        </w:rPr>
        <w:t>Pelvic Evisceration and Radical Vulvectomy</w:t>
      </w:r>
    </w:p>
    <w:p w14:paraId="21BADD99" w14:textId="77777777" w:rsidR="00C31B97" w:rsidRPr="00046E66" w:rsidRDefault="00C31B97" w:rsidP="00A1599C">
      <w:r w:rsidRPr="00046E66">
        <w:t>And the following NZ DRGs are in use:</w:t>
      </w:r>
    </w:p>
    <w:p w14:paraId="18D40A94" w14:textId="77777777" w:rsidR="00C31B97" w:rsidRDefault="00C31B97" w:rsidP="00A1599C">
      <w:pPr>
        <w:pStyle w:val="ListParagraph"/>
        <w:numPr>
          <w:ilvl w:val="0"/>
          <w:numId w:val="22"/>
        </w:numPr>
      </w:pPr>
      <w:r w:rsidRPr="00046E66">
        <w:t xml:space="preserve">F03M, </w:t>
      </w:r>
      <w:r w:rsidRPr="00B5176A">
        <w:t>Transcatheter Pulmonary Valve Implant</w:t>
      </w:r>
    </w:p>
    <w:p w14:paraId="19A69AFF" w14:textId="77777777" w:rsidR="00046E66" w:rsidRPr="00046E66" w:rsidRDefault="00046E66" w:rsidP="00A1599C">
      <w:pPr>
        <w:pStyle w:val="ListParagraph"/>
        <w:numPr>
          <w:ilvl w:val="0"/>
          <w:numId w:val="22"/>
        </w:numPr>
      </w:pPr>
      <w:r w:rsidRPr="00046E66">
        <w:t xml:space="preserve">O66T, </w:t>
      </w:r>
      <w:r w:rsidRPr="00B5176A">
        <w:t>SFLP for Twin to Twin Transfusion Syndrome</w:t>
      </w:r>
    </w:p>
    <w:p w14:paraId="2794EA33" w14:textId="77777777" w:rsidR="00C31B97" w:rsidRPr="00046E66" w:rsidRDefault="00C31B97" w:rsidP="00A1599C">
      <w:r w:rsidRPr="00046E66">
        <w:t>The definitions of these can be found in the Casemix Framework Document.</w:t>
      </w:r>
      <w:r w:rsidR="008157E1">
        <w:t xml:space="preserve"> As with co-payment weights the</w:t>
      </w:r>
      <w:r w:rsidR="00162C38">
        <w:t xml:space="preserve"> need for the</w:t>
      </w:r>
      <w:r w:rsidR="008157E1">
        <w:t>se ma</w:t>
      </w:r>
      <w:r w:rsidR="00162C38">
        <w:t>ppings may</w:t>
      </w:r>
      <w:r w:rsidR="008157E1">
        <w:t xml:space="preserve"> change or cease to exist when one or both of the coding and DRG classifications change.</w:t>
      </w:r>
    </w:p>
    <w:p w14:paraId="16E97DE6" w14:textId="77777777" w:rsidR="00022BB7" w:rsidRDefault="000B5C8E" w:rsidP="00A1599C">
      <w:pPr>
        <w:pStyle w:val="Heading2"/>
      </w:pPr>
      <w:bookmarkStart w:id="19" w:name="_Toc437260944"/>
      <w:r>
        <w:t>The Casemix Framework Document</w:t>
      </w:r>
      <w:bookmarkEnd w:id="19"/>
    </w:p>
    <w:p w14:paraId="168F8C17" w14:textId="77777777" w:rsidR="000B5C8E" w:rsidRDefault="000B5C8E" w:rsidP="00942CAB">
      <w:r w:rsidRPr="000B5C8E">
        <w:t>This document</w:t>
      </w:r>
      <w:r>
        <w:t xml:space="preserve"> is updated as necessary </w:t>
      </w:r>
      <w:r w:rsidR="005D02B8">
        <w:t>in conjunction with</w:t>
      </w:r>
      <w:r>
        <w:t xml:space="preserve"> each cost weight review. It specifies the following:</w:t>
      </w:r>
    </w:p>
    <w:p w14:paraId="1BFE164A" w14:textId="77777777" w:rsidR="000B5C8E" w:rsidRDefault="000B5C8E" w:rsidP="00A1599C">
      <w:pPr>
        <w:pStyle w:val="ListParagraph"/>
        <w:numPr>
          <w:ilvl w:val="0"/>
          <w:numId w:val="21"/>
        </w:numPr>
      </w:pPr>
      <w:r>
        <w:t>Which NMDS events are casemix</w:t>
      </w:r>
      <w:r w:rsidR="00094A08">
        <w:t xml:space="preserve"> </w:t>
      </w:r>
      <w:r>
        <w:t>funded</w:t>
      </w:r>
    </w:p>
    <w:p w14:paraId="7DA9D6BE" w14:textId="77777777" w:rsidR="000B5C8E" w:rsidRDefault="000B5C8E" w:rsidP="00A1599C">
      <w:pPr>
        <w:pStyle w:val="ListParagraph"/>
        <w:numPr>
          <w:ilvl w:val="0"/>
          <w:numId w:val="21"/>
        </w:numPr>
      </w:pPr>
      <w:r>
        <w:t xml:space="preserve">How </w:t>
      </w:r>
      <w:r w:rsidR="005D02B8">
        <w:t xml:space="preserve">LOS and </w:t>
      </w:r>
      <w:r>
        <w:t>weights are calculated</w:t>
      </w:r>
    </w:p>
    <w:p w14:paraId="77A02A43" w14:textId="77777777" w:rsidR="000B5C8E" w:rsidRPr="000B5C8E" w:rsidRDefault="000B5C8E" w:rsidP="00A1599C">
      <w:pPr>
        <w:pStyle w:val="ListParagraph"/>
        <w:numPr>
          <w:ilvl w:val="0"/>
          <w:numId w:val="21"/>
        </w:numPr>
      </w:pPr>
      <w:r>
        <w:t>Which purchase unit to assign to an event</w:t>
      </w:r>
    </w:p>
    <w:p w14:paraId="56823444" w14:textId="77777777" w:rsidR="00C31B97" w:rsidRPr="00046E66" w:rsidRDefault="00C31B97" w:rsidP="00942CAB">
      <w:r w:rsidRPr="00046E66">
        <w:t>In addition to these items this document includes:</w:t>
      </w:r>
    </w:p>
    <w:p w14:paraId="5C1BEC25" w14:textId="77777777" w:rsidR="00C31B97" w:rsidRPr="00046E66" w:rsidRDefault="00C31B97" w:rsidP="00A1599C">
      <w:pPr>
        <w:pStyle w:val="ListParagraph"/>
        <w:numPr>
          <w:ilvl w:val="0"/>
          <w:numId w:val="23"/>
        </w:numPr>
      </w:pPr>
      <w:r w:rsidRPr="00046E66">
        <w:t>History of the components of casemix funding since 1998/99</w:t>
      </w:r>
    </w:p>
    <w:p w14:paraId="363F204F" w14:textId="77777777" w:rsidR="00C31B97" w:rsidRPr="00046E66" w:rsidRDefault="00C31B97" w:rsidP="00A1599C">
      <w:pPr>
        <w:pStyle w:val="ListParagraph"/>
        <w:numPr>
          <w:ilvl w:val="0"/>
          <w:numId w:val="23"/>
        </w:numPr>
      </w:pPr>
      <w:r w:rsidRPr="00046E66">
        <w:t>Unit prices for casemix funding</w:t>
      </w:r>
    </w:p>
    <w:p w14:paraId="2EC73A83" w14:textId="77777777" w:rsidR="00C31B97" w:rsidRPr="00046E66" w:rsidRDefault="00C31B97" w:rsidP="00A1599C">
      <w:pPr>
        <w:pStyle w:val="ListParagraph"/>
        <w:numPr>
          <w:ilvl w:val="0"/>
          <w:numId w:val="23"/>
        </w:numPr>
      </w:pPr>
      <w:r w:rsidRPr="00046E66">
        <w:t>The outpatient purchase unit for events excluded from casemix funding, where these can be unambiguously defined</w:t>
      </w:r>
    </w:p>
    <w:p w14:paraId="2C1C75D4" w14:textId="77777777" w:rsidR="00C31B97" w:rsidRPr="00046E66" w:rsidRDefault="00C31B97" w:rsidP="00A1599C">
      <w:pPr>
        <w:pStyle w:val="ListParagraph"/>
        <w:numPr>
          <w:ilvl w:val="0"/>
          <w:numId w:val="23"/>
        </w:numPr>
      </w:pPr>
      <w:r w:rsidRPr="00046E66">
        <w:t>Embedded files for the cost weight schedule and the SAS program that corresponds to the framework implementation in the NMDS.</w:t>
      </w:r>
    </w:p>
    <w:p w14:paraId="5AE10F5E" w14:textId="77777777" w:rsidR="00C31B97" w:rsidRPr="00046E66" w:rsidRDefault="00C31B97" w:rsidP="00A1599C">
      <w:r w:rsidRPr="00046E66">
        <w:t>This document can be found at</w:t>
      </w:r>
      <w:r w:rsidR="000B6E16">
        <w:t xml:space="preserve"> </w:t>
      </w:r>
      <w:hyperlink r:id="rId32" w:history="1">
        <w:r w:rsidR="000B6E16" w:rsidRPr="000B6E16">
          <w:rPr>
            <w:rStyle w:val="Hyperlink"/>
          </w:rPr>
          <w:t>click here</w:t>
        </w:r>
      </w:hyperlink>
    </w:p>
    <w:p w14:paraId="071782B0" w14:textId="77777777" w:rsidR="00022BB7" w:rsidRDefault="000E0176" w:rsidP="00A1599C">
      <w:pPr>
        <w:pStyle w:val="Heading3"/>
      </w:pPr>
      <w:r>
        <w:t>Excluded Events</w:t>
      </w:r>
    </w:p>
    <w:p w14:paraId="2BFD3EE1" w14:textId="77777777" w:rsidR="00C31B97" w:rsidRPr="00C31B97" w:rsidRDefault="00C31B97" w:rsidP="00942CAB">
      <w:r w:rsidRPr="00C31B97">
        <w:t xml:space="preserve">Examples of events that are excluded from casemix funding </w:t>
      </w:r>
      <w:r w:rsidR="00046E66">
        <w:t>ar</w:t>
      </w:r>
      <w:r w:rsidRPr="00C31B97">
        <w:t>e:</w:t>
      </w:r>
    </w:p>
    <w:p w14:paraId="2D620645" w14:textId="77777777" w:rsidR="00C31B97" w:rsidRPr="00046E66" w:rsidRDefault="00C31B97" w:rsidP="00A1599C">
      <w:pPr>
        <w:pStyle w:val="ListParagraph"/>
        <w:numPr>
          <w:ilvl w:val="0"/>
          <w:numId w:val="24"/>
        </w:numPr>
      </w:pPr>
      <w:r w:rsidRPr="00046E66">
        <w:t>Mental health events, as they are funded in a different way</w:t>
      </w:r>
    </w:p>
    <w:p w14:paraId="24975850" w14:textId="77777777" w:rsidR="00C31B97" w:rsidRPr="00046E66" w:rsidRDefault="00C31B97" w:rsidP="00A1599C">
      <w:pPr>
        <w:pStyle w:val="ListParagraph"/>
        <w:numPr>
          <w:ilvl w:val="0"/>
          <w:numId w:val="24"/>
        </w:numPr>
      </w:pPr>
      <w:r w:rsidRPr="00046E66">
        <w:t>Disability</w:t>
      </w:r>
      <w:r w:rsidR="001F4230">
        <w:t>, rehabilitation,</w:t>
      </w:r>
      <w:r w:rsidRPr="00046E66">
        <w:t xml:space="preserve"> </w:t>
      </w:r>
      <w:r w:rsidR="00C44135">
        <w:t xml:space="preserve">and health of older people </w:t>
      </w:r>
      <w:r w:rsidRPr="00046E66">
        <w:t>services, which are funded on bed day rates</w:t>
      </w:r>
    </w:p>
    <w:p w14:paraId="5D23C755" w14:textId="77777777" w:rsidR="00C31B97" w:rsidRPr="00046E66" w:rsidRDefault="0006775F" w:rsidP="00A1599C">
      <w:pPr>
        <w:pStyle w:val="ListParagraph"/>
        <w:numPr>
          <w:ilvl w:val="0"/>
          <w:numId w:val="24"/>
        </w:numPr>
      </w:pPr>
      <w:r>
        <w:t>Treatm</w:t>
      </w:r>
      <w:r w:rsidR="00C31B97" w:rsidRPr="00046E66">
        <w:t>ents that</w:t>
      </w:r>
      <w:r>
        <w:t xml:space="preserve"> result in</w:t>
      </w:r>
      <w:r w:rsidR="00C31B97" w:rsidRPr="00046E66">
        <w:t xml:space="preserve"> a sequence of </w:t>
      </w:r>
      <w:r w:rsidR="00696053">
        <w:t xml:space="preserve">same day </w:t>
      </w:r>
      <w:r w:rsidR="00C31B97" w:rsidRPr="00046E66">
        <w:t>attendances, such as radiotherapy, chemotherapy, and dialysis</w:t>
      </w:r>
    </w:p>
    <w:p w14:paraId="40A2F2A7" w14:textId="77777777" w:rsidR="00C31B97" w:rsidRPr="00046E66" w:rsidRDefault="00C31B97" w:rsidP="00A1599C">
      <w:pPr>
        <w:pStyle w:val="ListParagraph"/>
        <w:numPr>
          <w:ilvl w:val="0"/>
          <w:numId w:val="24"/>
        </w:numPr>
      </w:pPr>
      <w:r w:rsidRPr="00046E66">
        <w:lastRenderedPageBreak/>
        <w:t>Same day events for some procedures where the patient is not expected to have complications, such as some screening, gastroscop</w:t>
      </w:r>
      <w:r w:rsidR="00B5176A">
        <w:t>i</w:t>
      </w:r>
      <w:r w:rsidRPr="00046E66">
        <w:t>es, colonoscopies, and bronchoscopies</w:t>
      </w:r>
    </w:p>
    <w:p w14:paraId="4643C44A" w14:textId="77777777" w:rsidR="0006435F" w:rsidRPr="00046E66" w:rsidRDefault="00C31B97" w:rsidP="00A1599C">
      <w:pPr>
        <w:pStyle w:val="ListParagraph"/>
        <w:numPr>
          <w:ilvl w:val="0"/>
          <w:numId w:val="24"/>
        </w:numPr>
      </w:pPr>
      <w:r w:rsidRPr="00046E66">
        <w:t>Treatments that have been subject to</w:t>
      </w:r>
      <w:r w:rsidR="001B7692">
        <w:t xml:space="preserve"> </w:t>
      </w:r>
      <w:r w:rsidR="001B7692" w:rsidRPr="00046E66">
        <w:t>provision</w:t>
      </w:r>
      <w:r w:rsidR="001B7692">
        <w:t xml:space="preserve"> in</w:t>
      </w:r>
      <w:r w:rsidRPr="00046E66">
        <w:t xml:space="preserve"> inconsistent</w:t>
      </w:r>
      <w:r w:rsidR="001B7692">
        <w:t xml:space="preserve"> settings</w:t>
      </w:r>
      <w:r w:rsidRPr="00046E66">
        <w:t xml:space="preserve"> across DHBs, such as removal of skin lesions and provision of </w:t>
      </w:r>
      <w:r w:rsidR="00C44135">
        <w:t>ophthalmology (</w:t>
      </w:r>
      <w:r w:rsidRPr="00046E66">
        <w:t>Avastin</w:t>
      </w:r>
      <w:r w:rsidR="00C44135">
        <w:t>)</w:t>
      </w:r>
      <w:r w:rsidRPr="00046E66">
        <w:t xml:space="preserve"> injections.</w:t>
      </w:r>
    </w:p>
    <w:p w14:paraId="30CE19A2" w14:textId="77777777" w:rsidR="00046E66" w:rsidRDefault="007218D4" w:rsidP="00A1599C">
      <w:pPr>
        <w:pStyle w:val="Heading2"/>
      </w:pPr>
      <w:bookmarkStart w:id="20" w:name="_Toc437260945"/>
      <w:r>
        <w:t>Encounters on the Pathway to a New Set of Weights</w:t>
      </w:r>
      <w:bookmarkEnd w:id="20"/>
    </w:p>
    <w:p w14:paraId="6DBA3204" w14:textId="77777777" w:rsidR="00046E66" w:rsidRDefault="007218D4" w:rsidP="00942CAB">
      <w:r>
        <w:t>A variety of different circumstances are encountered when developing a new set of weights. Among them are:</w:t>
      </w:r>
    </w:p>
    <w:p w14:paraId="1B1DBF50" w14:textId="77777777" w:rsidR="007218D4" w:rsidRPr="007218D4" w:rsidRDefault="007218D4" w:rsidP="00A1599C">
      <w:pPr>
        <w:pStyle w:val="ListParagraph"/>
        <w:numPr>
          <w:ilvl w:val="0"/>
          <w:numId w:val="25"/>
        </w:numPr>
      </w:pPr>
      <w:r w:rsidRPr="007218D4">
        <w:t>New technology changes</w:t>
      </w:r>
    </w:p>
    <w:p w14:paraId="5F411D47" w14:textId="77777777" w:rsidR="007218D4" w:rsidRPr="007218D4" w:rsidRDefault="007218D4" w:rsidP="00A1599C">
      <w:pPr>
        <w:pStyle w:val="ListParagraph"/>
        <w:numPr>
          <w:ilvl w:val="0"/>
          <w:numId w:val="25"/>
        </w:numPr>
      </w:pPr>
      <w:r w:rsidRPr="007218D4">
        <w:t>Changes in models of care</w:t>
      </w:r>
    </w:p>
    <w:p w14:paraId="600D15FE" w14:textId="77777777" w:rsidR="007218D4" w:rsidRPr="007218D4" w:rsidRDefault="007218D4" w:rsidP="00A1599C">
      <w:pPr>
        <w:pStyle w:val="ListParagraph"/>
        <w:numPr>
          <w:ilvl w:val="1"/>
          <w:numId w:val="25"/>
        </w:numPr>
      </w:pPr>
      <w:r w:rsidRPr="007218D4">
        <w:t xml:space="preserve">Should be reflected implicitly in costs but may need impact assessment to be </w:t>
      </w:r>
      <w:r w:rsidR="005428CE">
        <w:t>not</w:t>
      </w:r>
      <w:r w:rsidRPr="007218D4">
        <w:t>iced</w:t>
      </w:r>
    </w:p>
    <w:p w14:paraId="71118C02" w14:textId="77777777" w:rsidR="007218D4" w:rsidRPr="007218D4" w:rsidRDefault="007218D4" w:rsidP="00A1599C">
      <w:pPr>
        <w:pStyle w:val="ListParagraph"/>
        <w:numPr>
          <w:ilvl w:val="0"/>
          <w:numId w:val="25"/>
        </w:numPr>
      </w:pPr>
      <w:r w:rsidRPr="007218D4">
        <w:t>Changes in underlying classifications, ie both clinical coding and DRG set</w:t>
      </w:r>
    </w:p>
    <w:p w14:paraId="493527A8" w14:textId="77777777" w:rsidR="007218D4" w:rsidRPr="007218D4" w:rsidRDefault="007218D4" w:rsidP="00A1599C">
      <w:pPr>
        <w:pStyle w:val="ListParagraph"/>
        <w:numPr>
          <w:ilvl w:val="0"/>
          <w:numId w:val="25"/>
        </w:numPr>
      </w:pPr>
      <w:r w:rsidRPr="007218D4">
        <w:t xml:space="preserve">Changes sought to </w:t>
      </w:r>
      <w:r>
        <w:t xml:space="preserve">the </w:t>
      </w:r>
      <w:r w:rsidRPr="007218D4">
        <w:t>exclusion rules</w:t>
      </w:r>
    </w:p>
    <w:p w14:paraId="173F267C" w14:textId="77777777" w:rsidR="007218D4" w:rsidRPr="007218D4" w:rsidRDefault="007218D4" w:rsidP="00A1599C">
      <w:pPr>
        <w:pStyle w:val="ListParagraph"/>
        <w:numPr>
          <w:ilvl w:val="0"/>
          <w:numId w:val="25"/>
        </w:numPr>
      </w:pPr>
      <w:r>
        <w:t>Assessment of the quality of cost</w:t>
      </w:r>
      <w:r w:rsidRPr="007218D4">
        <w:t xml:space="preserve"> reporting</w:t>
      </w:r>
    </w:p>
    <w:p w14:paraId="6CB41D57" w14:textId="77777777" w:rsidR="007218D4" w:rsidRPr="007218D4" w:rsidRDefault="00094A08" w:rsidP="00A1599C">
      <w:pPr>
        <w:pStyle w:val="ListParagraph"/>
        <w:numPr>
          <w:ilvl w:val="0"/>
          <w:numId w:val="25"/>
        </w:numPr>
      </w:pPr>
      <w:r>
        <w:t xml:space="preserve">Casemix </w:t>
      </w:r>
      <w:r w:rsidR="007218D4" w:rsidRPr="007218D4">
        <w:t>specific request for (mainly) implant costs</w:t>
      </w:r>
    </w:p>
    <w:p w14:paraId="54D67895" w14:textId="77777777" w:rsidR="007218D4" w:rsidRPr="007218D4" w:rsidRDefault="007218D4" w:rsidP="00A1599C">
      <w:pPr>
        <w:pStyle w:val="ListParagraph"/>
        <w:numPr>
          <w:ilvl w:val="0"/>
          <w:numId w:val="25"/>
        </w:numPr>
      </w:pPr>
      <w:r w:rsidRPr="007218D4">
        <w:t>Other funding frameworks</w:t>
      </w:r>
    </w:p>
    <w:p w14:paraId="42DCCE36" w14:textId="77777777" w:rsidR="001C1D5A" w:rsidRDefault="007218D4" w:rsidP="00A1599C">
      <w:pPr>
        <w:pStyle w:val="ListParagraph"/>
        <w:numPr>
          <w:ilvl w:val="0"/>
          <w:numId w:val="25"/>
        </w:numPr>
      </w:pPr>
      <w:r>
        <w:t>Stakeholder requests</w:t>
      </w:r>
      <w:r w:rsidR="001C1D5A">
        <w:t>, may involve  Ministry of Health, National Health Committee, or DHBs</w:t>
      </w:r>
    </w:p>
    <w:p w14:paraId="2BDFBE8B" w14:textId="77777777" w:rsidR="007218D4" w:rsidRPr="007218D4" w:rsidRDefault="001C1D5A" w:rsidP="00A1599C">
      <w:pPr>
        <w:pStyle w:val="ListParagraph"/>
        <w:numPr>
          <w:ilvl w:val="0"/>
          <w:numId w:val="25"/>
        </w:numPr>
      </w:pPr>
      <w:r>
        <w:t>Concerns over</w:t>
      </w:r>
      <w:r w:rsidR="007218D4">
        <w:t xml:space="preserve"> the adequacy of an existing weight. </w:t>
      </w:r>
      <w:r w:rsidR="007218D4" w:rsidRPr="007218D4">
        <w:t xml:space="preserve">Inadequacy of weights </w:t>
      </w:r>
      <w:r w:rsidR="007218D4">
        <w:t xml:space="preserve">are </w:t>
      </w:r>
      <w:r>
        <w:t>generally perceived because</w:t>
      </w:r>
      <w:r w:rsidR="007218D4" w:rsidRPr="007218D4">
        <w:t>:</w:t>
      </w:r>
    </w:p>
    <w:p w14:paraId="419D9491" w14:textId="77777777" w:rsidR="007218D4" w:rsidRPr="007218D4" w:rsidRDefault="001C1D5A" w:rsidP="00A1599C">
      <w:pPr>
        <w:pStyle w:val="ListParagraph"/>
        <w:numPr>
          <w:ilvl w:val="1"/>
          <w:numId w:val="25"/>
        </w:numPr>
      </w:pPr>
      <w:r>
        <w:t>The f</w:t>
      </w:r>
      <w:r w:rsidR="007218D4" w:rsidRPr="007218D4">
        <w:t>ocus</w:t>
      </w:r>
      <w:r>
        <w:t xml:space="preserve"> is</w:t>
      </w:r>
      <w:r w:rsidR="007218D4" w:rsidRPr="007218D4">
        <w:t xml:space="preserve"> on procedure rather than DRG</w:t>
      </w:r>
      <w:r w:rsidR="007218D4">
        <w:t xml:space="preserve"> </w:t>
      </w:r>
      <w:r>
        <w:t xml:space="preserve">which </w:t>
      </w:r>
      <w:r w:rsidR="007218D4">
        <w:t>can</w:t>
      </w:r>
      <w:r>
        <w:t xml:space="preserve"> easily</w:t>
      </w:r>
      <w:r w:rsidR="007218D4">
        <w:t xml:space="preserve"> give a false idea of profitability</w:t>
      </w:r>
    </w:p>
    <w:p w14:paraId="55594FBF" w14:textId="77777777" w:rsidR="007218D4" w:rsidRPr="007218D4" w:rsidRDefault="001C1D5A" w:rsidP="00A1599C">
      <w:pPr>
        <w:pStyle w:val="ListParagraph"/>
        <w:numPr>
          <w:ilvl w:val="1"/>
          <w:numId w:val="25"/>
        </w:numPr>
      </w:pPr>
      <w:r>
        <w:t>T</w:t>
      </w:r>
      <w:r w:rsidR="007218D4" w:rsidRPr="007218D4">
        <w:t>he role of price</w:t>
      </w:r>
      <w:r>
        <w:t xml:space="preserve"> has not been taken into account</w:t>
      </w:r>
      <w:r w:rsidR="008B0A8D">
        <w:t>.</w:t>
      </w:r>
    </w:p>
    <w:p w14:paraId="5E5540C1" w14:textId="77777777" w:rsidR="00B17678" w:rsidRDefault="007218D4" w:rsidP="008E7916">
      <w:pPr>
        <w:ind w:firstLine="720"/>
      </w:pPr>
      <w:r>
        <w:t>All are considered as part of the review process.</w:t>
      </w:r>
    </w:p>
    <w:p w14:paraId="07A21B50" w14:textId="77777777" w:rsidR="007218D4" w:rsidRDefault="00B17678" w:rsidP="00A1599C">
      <w:r>
        <w:t>Focusing on a procedure rather than the DRG is one of the most common causes of claims of under-funding. In order to assess the adequacy of funding one should compare revenue and costs for all the DRGs that a given procedure may appear under.</w:t>
      </w:r>
      <w:r w:rsidR="00F54A35">
        <w:t xml:space="preserve"> </w:t>
      </w:r>
      <w:r w:rsidR="008B0A8D">
        <w:t>As an averaging process is part of the weight development, i</w:t>
      </w:r>
      <w:r w:rsidR="00F54A35">
        <w:t xml:space="preserve">t is possible that other procedures </w:t>
      </w:r>
      <w:r w:rsidR="008B0A8D">
        <w:t xml:space="preserve">that </w:t>
      </w:r>
      <w:r w:rsidR="00F54A35">
        <w:t>also group under the same DRGs a</w:t>
      </w:r>
      <w:r w:rsidR="008B0A8D">
        <w:t xml:space="preserve">re </w:t>
      </w:r>
      <w:r w:rsidR="00F54A35">
        <w:t>over-funded</w:t>
      </w:r>
      <w:r w:rsidR="008B0A8D">
        <w:t xml:space="preserve">, </w:t>
      </w:r>
      <w:r w:rsidR="00F54A35">
        <w:t>consequently providing the needed subsidy for a procedure with a higher cost profile.</w:t>
      </w:r>
    </w:p>
    <w:p w14:paraId="70FE6E74" w14:textId="77777777" w:rsidR="007218D4" w:rsidRDefault="007218D4" w:rsidP="00A1599C">
      <w:pPr>
        <w:pStyle w:val="Heading2"/>
      </w:pPr>
      <w:bookmarkStart w:id="21" w:name="_Toc437260946"/>
      <w:r>
        <w:t>Casemix Group and the National Cost Collection and Pricing Program</w:t>
      </w:r>
      <w:r w:rsidR="00045816">
        <w:t>me</w:t>
      </w:r>
      <w:bookmarkEnd w:id="21"/>
    </w:p>
    <w:p w14:paraId="6BE0404A" w14:textId="77777777" w:rsidR="001C1D5A" w:rsidRDefault="001C1D5A" w:rsidP="00A1599C">
      <w:r>
        <w:t xml:space="preserve">The review of the casemix system is undertaken by the Casemix Group </w:t>
      </w:r>
      <w:r w:rsidR="00045816">
        <w:t xml:space="preserve">as part of </w:t>
      </w:r>
      <w:r>
        <w:t>the National Cost Collection and Pricing Program</w:t>
      </w:r>
      <w:r w:rsidR="00045816">
        <w:t>me</w:t>
      </w:r>
      <w:r>
        <w:t xml:space="preserve"> (NCCP). NCCP </w:t>
      </w:r>
      <w:r w:rsidR="00045816">
        <w:t>has</w:t>
      </w:r>
      <w:r>
        <w:t xml:space="preserve"> </w:t>
      </w:r>
      <w:r w:rsidR="00F45DE9">
        <w:t xml:space="preserve">joint Ministry of Health and DHB </w:t>
      </w:r>
      <w:r w:rsidR="00045816">
        <w:t xml:space="preserve">membership </w:t>
      </w:r>
      <w:r w:rsidR="00DF33C7">
        <w:t>with a Technical Reference Group</w:t>
      </w:r>
      <w:r w:rsidR="00FC6620">
        <w:t xml:space="preserve"> (TRG)</w:t>
      </w:r>
      <w:r w:rsidR="00DF33C7">
        <w:t xml:space="preserve"> </w:t>
      </w:r>
      <w:r>
        <w:t>that oversees</w:t>
      </w:r>
      <w:r w:rsidR="004D4134">
        <w:t xml:space="preserve"> </w:t>
      </w:r>
      <w:r w:rsidR="00312DB7">
        <w:t xml:space="preserve">proposed </w:t>
      </w:r>
      <w:r w:rsidR="00045816">
        <w:t xml:space="preserve">changes to </w:t>
      </w:r>
      <w:r w:rsidR="00F45DE9">
        <w:t>hospital pricing and recommend</w:t>
      </w:r>
      <w:r w:rsidR="00312DB7">
        <w:t>s</w:t>
      </w:r>
      <w:r w:rsidR="00F45DE9">
        <w:t xml:space="preserve"> inter-district flow prices</w:t>
      </w:r>
      <w:r w:rsidR="00045816">
        <w:t xml:space="preserve">. </w:t>
      </w:r>
      <w:r w:rsidR="00F54A35">
        <w:t>In particular, this program recommends the unit price for casemix funding purposes.</w:t>
      </w:r>
    </w:p>
    <w:p w14:paraId="150F434F" w14:textId="77777777" w:rsidR="001B7692" w:rsidRDefault="001B7692" w:rsidP="00A1599C">
      <w:r>
        <w:t xml:space="preserve">All </w:t>
      </w:r>
      <w:r w:rsidR="00FC6620">
        <w:t xml:space="preserve">key </w:t>
      </w:r>
      <w:r>
        <w:t>results in NCCP are brought together in a sector-wide price book from which unit prices are developed. If accepted</w:t>
      </w:r>
      <w:r w:rsidR="00FC6620">
        <w:t xml:space="preserve"> by the Ministry of Health</w:t>
      </w:r>
      <w:r>
        <w:t xml:space="preserve">, </w:t>
      </w:r>
      <w:r w:rsidR="00CB0EC1">
        <w:t xml:space="preserve">following consultation with DHBs, </w:t>
      </w:r>
      <w:r>
        <w:t xml:space="preserve">the new prices are given price uplift </w:t>
      </w:r>
      <w:r w:rsidR="00CB0EC1">
        <w:t xml:space="preserve">from the year of data used to the year of application </w:t>
      </w:r>
      <w:r>
        <w:t>as part of the Ministry of Health’s development of the new funding packages.</w:t>
      </w:r>
    </w:p>
    <w:p w14:paraId="0595DAE3" w14:textId="77777777" w:rsidR="00F45DE9" w:rsidRDefault="00F45DE9" w:rsidP="00A1599C">
      <w:r>
        <w:t xml:space="preserve">The Casemix Group </w:t>
      </w:r>
      <w:r w:rsidR="001B7692">
        <w:t xml:space="preserve">membership </w:t>
      </w:r>
      <w:r>
        <w:t>is identified in an appendix of the Casemix Framework Document.</w:t>
      </w:r>
      <w:r w:rsidR="001B7692">
        <w:t xml:space="preserve"> All participants in the NCCP for a given year are listed in the consultation document circulated to DHBs and the Ministry of Health</w:t>
      </w:r>
      <w:r w:rsidR="005D02B8">
        <w:t xml:space="preserve"> by NCCP’s </w:t>
      </w:r>
      <w:r w:rsidR="00FC6620">
        <w:t>T</w:t>
      </w:r>
      <w:r w:rsidR="004D4134">
        <w:t xml:space="preserve">echnical </w:t>
      </w:r>
      <w:r w:rsidR="00FC6620">
        <w:t>R</w:t>
      </w:r>
      <w:r w:rsidR="004D4134">
        <w:t xml:space="preserve">eference </w:t>
      </w:r>
      <w:r w:rsidR="00FC6620">
        <w:t>G</w:t>
      </w:r>
      <w:r w:rsidR="004D4134">
        <w:t>roup (TRG)</w:t>
      </w:r>
      <w:r w:rsidR="00E31F84">
        <w:t>.</w:t>
      </w:r>
      <w:r w:rsidR="001B7692">
        <w:t xml:space="preserve"> </w:t>
      </w:r>
    </w:p>
    <w:p w14:paraId="60FAD7E2" w14:textId="77777777" w:rsidR="00DF33C7" w:rsidRDefault="00DF33C7" w:rsidP="00A1599C">
      <w:pPr>
        <w:pStyle w:val="Heading2"/>
      </w:pPr>
      <w:bookmarkStart w:id="22" w:name="_Toc437260947"/>
      <w:r>
        <w:lastRenderedPageBreak/>
        <w:t>Aspects of the Wider Funding Framework</w:t>
      </w:r>
      <w:bookmarkEnd w:id="22"/>
    </w:p>
    <w:p w14:paraId="1238D365" w14:textId="77777777" w:rsidR="00F45DE9" w:rsidRDefault="00F45DE9" w:rsidP="00A1599C">
      <w:r>
        <w:t xml:space="preserve">In the wider overall funding picture, casemix is a baseline funding that needs to be supplemented for diseconomies and skews to the general casemix. Thus small volume facilities, possibly rural, receive a diseconomy adjuster as payment </w:t>
      </w:r>
      <w:r w:rsidR="00DF33C7">
        <w:t xml:space="preserve">solely </w:t>
      </w:r>
      <w:r w:rsidR="005D02B8">
        <w:t xml:space="preserve">on the </w:t>
      </w:r>
      <w:r>
        <w:t>b</w:t>
      </w:r>
      <w:r w:rsidR="005D02B8">
        <w:t xml:space="preserve">asis </w:t>
      </w:r>
      <w:r w:rsidR="00406CB2">
        <w:t>of volume</w:t>
      </w:r>
      <w:r>
        <w:t xml:space="preserve"> </w:t>
      </w:r>
      <w:r w:rsidR="005D02B8">
        <w:t>prod</w:t>
      </w:r>
      <w:r>
        <w:t>u</w:t>
      </w:r>
      <w:r w:rsidR="005D02B8">
        <w:t>ced</w:t>
      </w:r>
      <w:r>
        <w:t xml:space="preserve"> may not meet the infrastructure costs for a service deemed to be </w:t>
      </w:r>
      <w:r w:rsidR="005D02B8">
        <w:t>requir</w:t>
      </w:r>
      <w:r>
        <w:t xml:space="preserve">ed at such a site. This adjuster is </w:t>
      </w:r>
      <w:r w:rsidR="00406CB2">
        <w:t xml:space="preserve">maintained as </w:t>
      </w:r>
      <w:r>
        <w:t xml:space="preserve">part of the wider population-based funding formula and </w:t>
      </w:r>
      <w:r w:rsidR="00FC6620">
        <w:t xml:space="preserve">is </w:t>
      </w:r>
      <w:r>
        <w:t>not part of the NCCP.</w:t>
      </w:r>
    </w:p>
    <w:p w14:paraId="29127873" w14:textId="77777777" w:rsidR="00FC6620" w:rsidRPr="001C1D5A" w:rsidRDefault="00F45DE9" w:rsidP="00A1599C">
      <w:r>
        <w:t>At the other end of the volume scale, the tertiary facilities experience</w:t>
      </w:r>
      <w:r w:rsidR="00DF33C7">
        <w:t xml:space="preserve"> a skew to the general run of casemix and also face the diseconomies of maintaining capability and cover for services </w:t>
      </w:r>
      <w:r w:rsidR="005D02B8">
        <w:t>that provide</w:t>
      </w:r>
      <w:r w:rsidR="00DF33C7">
        <w:t xml:space="preserve"> for small volumes of </w:t>
      </w:r>
      <w:r w:rsidR="005D02B8">
        <w:t xml:space="preserve">very </w:t>
      </w:r>
      <w:r w:rsidR="00DF33C7">
        <w:t>complex cases. They receive a tertiary adjuster determined as a supplement to the standard casemix funding.</w:t>
      </w:r>
      <w:r w:rsidR="00CB0EC1">
        <w:t xml:space="preserve"> This adjuster is developed as part of the NCCP program</w:t>
      </w:r>
      <w:r w:rsidR="00FC6620">
        <w:t>me</w:t>
      </w:r>
      <w:r w:rsidR="00312DB7">
        <w:t xml:space="preserve"> </w:t>
      </w:r>
      <w:r w:rsidR="00CB0EC1">
        <w:t xml:space="preserve">and </w:t>
      </w:r>
      <w:r w:rsidR="00FC6620">
        <w:t>consulted on</w:t>
      </w:r>
      <w:r w:rsidR="00CB0EC1">
        <w:t xml:space="preserve"> with the Casemix Group.</w:t>
      </w:r>
    </w:p>
    <w:p w14:paraId="44A39471" w14:textId="77777777" w:rsidR="001C1D5A" w:rsidRDefault="001C1D5A" w:rsidP="00A1599C">
      <w:pPr>
        <w:pStyle w:val="Heading2"/>
      </w:pPr>
      <w:bookmarkStart w:id="23" w:name="_Toc437260948"/>
      <w:r>
        <w:t>Implementation in the National Collection</w:t>
      </w:r>
      <w:bookmarkEnd w:id="23"/>
    </w:p>
    <w:p w14:paraId="52828386" w14:textId="77777777" w:rsidR="00046E66" w:rsidRDefault="00692961" w:rsidP="00A1599C">
      <w:r>
        <w:t>Once there is agreement on the implementation of the outputs of the NCCP, in particular the new weight set, these are implemented in the NMDS by the Ministry of Health’s National Collections team. This is a regular part of the Ministry of Health’s National Collections Annual Maintenance Program (NCAMP).</w:t>
      </w:r>
    </w:p>
    <w:p w14:paraId="73FC88AA" w14:textId="77777777" w:rsidR="00692961" w:rsidRDefault="00692961" w:rsidP="00A1599C">
      <w:r>
        <w:t>For the casemix system, NCAMP implements any new weight schedule, and changes to the Casemix Framework Document. An early edition of the updated framework document is made available via the NCAMP website and when finalised is posted to the link given above.</w:t>
      </w:r>
    </w:p>
    <w:p w14:paraId="3A13CB8F" w14:textId="77777777" w:rsidR="00692961" w:rsidRDefault="00692961" w:rsidP="00A1599C">
      <w:r>
        <w:t xml:space="preserve">This implementation </w:t>
      </w:r>
      <w:r w:rsidR="00A10DB6">
        <w:t xml:space="preserve">fully reflects the updated Casemix Framework Document, and </w:t>
      </w:r>
      <w:r>
        <w:t xml:space="preserve">provides the casemix funding </w:t>
      </w:r>
      <w:r w:rsidR="00A10DB6">
        <w:t xml:space="preserve">WIESNZ </w:t>
      </w:r>
      <w:r>
        <w:t>weights on each submitted event record</w:t>
      </w:r>
      <w:r w:rsidR="00A10DB6">
        <w:t>.</w:t>
      </w:r>
      <w:r>
        <w:t xml:space="preserve"> </w:t>
      </w:r>
      <w:r w:rsidR="00A10DB6">
        <w:t>O</w:t>
      </w:r>
      <w:r>
        <w:t>ther field elements are added to a submitted record so th</w:t>
      </w:r>
      <w:r w:rsidR="00A10DB6">
        <w:t>at the weight can be calculated,</w:t>
      </w:r>
      <w:r>
        <w:t xml:space="preserve"> </w:t>
      </w:r>
      <w:r w:rsidR="00A10DB6">
        <w:t>along with ot</w:t>
      </w:r>
      <w:r>
        <w:t>her fields</w:t>
      </w:r>
      <w:r w:rsidR="00A10DB6">
        <w:t xml:space="preserve"> of value to DHBs and the wider health sector</w:t>
      </w:r>
      <w:r>
        <w:t>.</w:t>
      </w:r>
    </w:p>
    <w:p w14:paraId="2474F2B6" w14:textId="77777777" w:rsidR="00692961" w:rsidRDefault="00692961" w:rsidP="00A1599C">
      <w:r>
        <w:t xml:space="preserve">These fields include: </w:t>
      </w:r>
      <w:r w:rsidR="009328E8">
        <w:t>AR-</w:t>
      </w:r>
      <w:r>
        <w:t xml:space="preserve">DRG, NZ DRG, CCLs, PCCL, purchase unit, LOS, </w:t>
      </w:r>
      <w:r w:rsidR="00A10DB6">
        <w:t>WIESNZ</w:t>
      </w:r>
      <w:r>
        <w:t xml:space="preserve"> weight</w:t>
      </w:r>
      <w:r w:rsidR="00A10DB6">
        <w:t xml:space="preserve">. NMDS is the official calculator on every record of all these fields. Any other implementation of the Casemix Framework Document must ensure it is consistent with NMDS </w:t>
      </w:r>
      <w:r w:rsidR="00312DB7">
        <w:t xml:space="preserve">event </w:t>
      </w:r>
      <w:r w:rsidR="00A10DB6">
        <w:t>records.</w:t>
      </w:r>
    </w:p>
    <w:p w14:paraId="358FE7B7" w14:textId="77777777" w:rsidR="00D251DB" w:rsidRDefault="00D251DB">
      <w:pPr>
        <w:rPr>
          <w:rFonts w:asciiTheme="majorHAnsi" w:eastAsiaTheme="majorEastAsia" w:hAnsiTheme="majorHAnsi" w:cstheme="majorBidi"/>
          <w:b/>
          <w:bCs/>
          <w:color w:val="244061" w:themeColor="accent1" w:themeShade="80"/>
          <w:sz w:val="32"/>
          <w:szCs w:val="28"/>
        </w:rPr>
      </w:pPr>
      <w:r>
        <w:br w:type="page"/>
      </w:r>
    </w:p>
    <w:p w14:paraId="6CB928C6" w14:textId="77777777" w:rsidR="00141C79" w:rsidRDefault="00615FBC" w:rsidP="0045571D">
      <w:pPr>
        <w:pStyle w:val="Heading1"/>
      </w:pPr>
      <w:bookmarkStart w:id="24" w:name="_Toc437260949"/>
      <w:r>
        <w:lastRenderedPageBreak/>
        <w:t>Appendix A – New Zealand Casemix</w:t>
      </w:r>
      <w:r w:rsidR="00094A08">
        <w:t xml:space="preserve"> </w:t>
      </w:r>
      <w:r w:rsidR="00206794">
        <w:t>Based</w:t>
      </w:r>
      <w:r>
        <w:t xml:space="preserve"> Funding </w:t>
      </w:r>
      <w:r w:rsidR="003722AB">
        <w:t>Early H</w:t>
      </w:r>
      <w:r>
        <w:t>istory</w:t>
      </w:r>
      <w:bookmarkEnd w:id="24"/>
    </w:p>
    <w:p w14:paraId="165E3735" w14:textId="77777777" w:rsidR="00615FBC" w:rsidRDefault="00206794" w:rsidP="00A1599C">
      <w:pPr>
        <w:pStyle w:val="Heading3"/>
      </w:pPr>
      <w:r>
        <w:t xml:space="preserve">Early </w:t>
      </w:r>
      <w:r w:rsidR="00615FBC">
        <w:t>History</w:t>
      </w:r>
    </w:p>
    <w:p w14:paraId="3778A8B9" w14:textId="77777777" w:rsidR="00615FBC" w:rsidRPr="005F719C" w:rsidRDefault="00615FBC" w:rsidP="00A1599C">
      <w:r>
        <w:t xml:space="preserve">In </w:t>
      </w:r>
      <w:r w:rsidRPr="005F719C">
        <w:t>R</w:t>
      </w:r>
      <w:r w:rsidR="00312DB7">
        <w:t xml:space="preserve">egional </w:t>
      </w:r>
      <w:r w:rsidRPr="005F719C">
        <w:t>H</w:t>
      </w:r>
      <w:r w:rsidR="00312DB7">
        <w:t xml:space="preserve">ealth </w:t>
      </w:r>
      <w:r w:rsidRPr="005F719C">
        <w:t>A</w:t>
      </w:r>
      <w:r w:rsidR="00312DB7">
        <w:t>uthority (RHA)</w:t>
      </w:r>
      <w:r w:rsidRPr="005F719C">
        <w:t xml:space="preserve"> times and earlier</w:t>
      </w:r>
      <w:r>
        <w:t>,</w:t>
      </w:r>
      <w:r w:rsidRPr="005F719C">
        <w:t xml:space="preserve"> hospitals</w:t>
      </w:r>
      <w:r>
        <w:t xml:space="preserve"> were</w:t>
      </w:r>
      <w:r w:rsidRPr="005F719C">
        <w:t xml:space="preserve"> funded using</w:t>
      </w:r>
      <w:r>
        <w:t xml:space="preserve"> DRG sets from</w:t>
      </w:r>
      <w:r w:rsidRPr="005F719C">
        <w:t xml:space="preserve"> </w:t>
      </w:r>
      <w:r>
        <w:t xml:space="preserve">the United States’ </w:t>
      </w:r>
      <w:r w:rsidRPr="005F719C">
        <w:t>H</w:t>
      </w:r>
      <w:r w:rsidR="006E3ABB">
        <w:t>e</w:t>
      </w:r>
      <w:r w:rsidR="00312DB7">
        <w:t>a</w:t>
      </w:r>
      <w:r w:rsidR="006E3ABB">
        <w:t>l</w:t>
      </w:r>
      <w:r w:rsidR="00312DB7">
        <w:t xml:space="preserve">th </w:t>
      </w:r>
      <w:r w:rsidRPr="005F719C">
        <w:t>C</w:t>
      </w:r>
      <w:r w:rsidR="00312DB7">
        <w:t xml:space="preserve">are </w:t>
      </w:r>
      <w:r w:rsidRPr="005F719C">
        <w:t>F</w:t>
      </w:r>
      <w:r w:rsidR="00312DB7">
        <w:t xml:space="preserve">inancing </w:t>
      </w:r>
      <w:r w:rsidRPr="005F719C">
        <w:t>A</w:t>
      </w:r>
      <w:r w:rsidR="00312DB7">
        <w:t>dministration (HCFA)</w:t>
      </w:r>
      <w:r w:rsidRPr="005F719C">
        <w:t xml:space="preserve"> or </w:t>
      </w:r>
      <w:r>
        <w:t>Australia’s AN-DRG series. Th</w:t>
      </w:r>
      <w:r w:rsidRPr="005F719C">
        <w:t>e</w:t>
      </w:r>
      <w:r>
        <w:t>se</w:t>
      </w:r>
      <w:r w:rsidRPr="005F719C">
        <w:t xml:space="preserve"> DRG sets and </w:t>
      </w:r>
      <w:r>
        <w:t xml:space="preserve">associated </w:t>
      </w:r>
      <w:r w:rsidRPr="005F719C">
        <w:t xml:space="preserve">weights </w:t>
      </w:r>
      <w:r>
        <w:t xml:space="preserve">were </w:t>
      </w:r>
      <w:r w:rsidRPr="005F719C">
        <w:t xml:space="preserve">developed in other countries based on cost profiles from </w:t>
      </w:r>
      <w:r>
        <w:t>diff</w:t>
      </w:r>
      <w:r w:rsidRPr="005F719C">
        <w:t>er</w:t>
      </w:r>
      <w:r>
        <w:t>ent</w:t>
      </w:r>
      <w:r w:rsidRPr="005F719C">
        <w:t xml:space="preserve"> </w:t>
      </w:r>
      <w:r>
        <w:t>funding e</w:t>
      </w:r>
      <w:r w:rsidRPr="005F719C">
        <w:t>n</w:t>
      </w:r>
      <w:r>
        <w:t>vironment</w:t>
      </w:r>
      <w:r w:rsidRPr="005F719C">
        <w:t>s</w:t>
      </w:r>
      <w:r>
        <w:t xml:space="preserve"> and used in New Zealand without local adaptation. Within New Zealand, u</w:t>
      </w:r>
      <w:r w:rsidRPr="005F719C">
        <w:t>nit prices</w:t>
      </w:r>
      <w:r>
        <w:t xml:space="preserve"> were set differently in each region and</w:t>
      </w:r>
      <w:r w:rsidRPr="005F719C">
        <w:t xml:space="preserve"> </w:t>
      </w:r>
      <w:r>
        <w:t>m</w:t>
      </w:r>
      <w:r w:rsidRPr="005F719C">
        <w:t>ay</w:t>
      </w:r>
      <w:r>
        <w:t xml:space="preserve"> have </w:t>
      </w:r>
      <w:r w:rsidRPr="005F719C">
        <w:t>be</w:t>
      </w:r>
      <w:r>
        <w:t>en</w:t>
      </w:r>
      <w:r w:rsidRPr="005F719C">
        <w:t xml:space="preserve"> budget-based or </w:t>
      </w:r>
      <w:r>
        <w:t xml:space="preserve">set by </w:t>
      </w:r>
      <w:r w:rsidRPr="005F719C">
        <w:t>negotiation</w:t>
      </w:r>
      <w:r>
        <w:t>.</w:t>
      </w:r>
    </w:p>
    <w:p w14:paraId="2AED8B17" w14:textId="77777777" w:rsidR="00615FBC" w:rsidRPr="005F719C" w:rsidRDefault="00615FBC" w:rsidP="00A1599C">
      <w:r w:rsidRPr="005F719C">
        <w:t xml:space="preserve">One national system was sought in the late ‘90s </w:t>
      </w:r>
      <w:r>
        <w:t>and t</w:t>
      </w:r>
      <w:r w:rsidRPr="005F719C">
        <w:t>hi</w:t>
      </w:r>
      <w:r>
        <w:t>s</w:t>
      </w:r>
      <w:r w:rsidRPr="005F719C">
        <w:t xml:space="preserve"> led to the</w:t>
      </w:r>
      <w:r>
        <w:t xml:space="preserve"> establishment of the</w:t>
      </w:r>
      <w:r w:rsidRPr="005F719C">
        <w:t xml:space="preserve"> H</w:t>
      </w:r>
      <w:r>
        <w:t xml:space="preserve">ealth </w:t>
      </w:r>
      <w:r w:rsidRPr="005F719C">
        <w:t>F</w:t>
      </w:r>
      <w:r>
        <w:t xml:space="preserve">unding </w:t>
      </w:r>
      <w:r w:rsidRPr="005F719C">
        <w:t>A</w:t>
      </w:r>
      <w:r>
        <w:t>uthority (HFA) which was charged with</w:t>
      </w:r>
      <w:r w:rsidRPr="005F719C">
        <w:t xml:space="preserve"> unit</w:t>
      </w:r>
      <w:r>
        <w:t>ing four regional approaches into a single national funding and purchasing system.</w:t>
      </w:r>
    </w:p>
    <w:p w14:paraId="75FDA893" w14:textId="77777777" w:rsidR="00615FBC" w:rsidRDefault="00615FBC" w:rsidP="00A1599C">
      <w:r w:rsidRPr="005F719C">
        <w:t>T</w:t>
      </w:r>
      <w:r>
        <w:t>he T</w:t>
      </w:r>
      <w:r w:rsidRPr="005F719C">
        <w:t>ransitional HFA deci</w:t>
      </w:r>
      <w:r>
        <w:t>ded</w:t>
      </w:r>
      <w:r w:rsidRPr="005F719C">
        <w:t xml:space="preserve"> to use AN-DRG, which evolved into AR-DRG, as implemented in </w:t>
      </w:r>
      <w:r>
        <w:t>Australia’s state of V</w:t>
      </w:r>
      <w:r w:rsidRPr="005F719C">
        <w:t>ictoria</w:t>
      </w:r>
      <w:r>
        <w:t>. This funding model included some structure and policies on length of stay (LOS) which provided a good fit with New Zealand’s health sector.</w:t>
      </w:r>
    </w:p>
    <w:p w14:paraId="1F390A96" w14:textId="77777777" w:rsidR="00615FBC" w:rsidRPr="005F719C" w:rsidRDefault="00615FBC" w:rsidP="00A1599C">
      <w:r>
        <w:t>At this stage, 1999, the Casemix Framework Document first came into being to provide national consist</w:t>
      </w:r>
      <w:r w:rsidR="00094A08">
        <w:t xml:space="preserve">ency for what was to be casemix </w:t>
      </w:r>
      <w:r>
        <w:t>funded. Its rules and the cost weight calculation were first implemented in the national collection for admitted patient events at this time. Also established at this time was a national Casemix (Cost Weights) Project Group which continues to the present.</w:t>
      </w:r>
    </w:p>
    <w:p w14:paraId="6A57E7A5" w14:textId="77777777" w:rsidR="00615FBC" w:rsidRDefault="00615FBC" w:rsidP="00A1599C">
      <w:pPr>
        <w:pStyle w:val="Heading3"/>
      </w:pPr>
      <w:r>
        <w:t>Transition and Recent History</w:t>
      </w:r>
    </w:p>
    <w:p w14:paraId="495E85E6" w14:textId="77777777" w:rsidR="00615FBC" w:rsidRDefault="00615FBC" w:rsidP="00A1599C">
      <w:r w:rsidRPr="00912096">
        <w:t>The initial casemix</w:t>
      </w:r>
      <w:r w:rsidR="00206794">
        <w:t xml:space="preserve"> based</w:t>
      </w:r>
      <w:r w:rsidRPr="00912096">
        <w:t xml:space="preserve"> funding</w:t>
      </w:r>
      <w:r>
        <w:t xml:space="preserve"> mechanism was implemented without adaptation from the Victorian funding jurisdiction. However the next four years saw increasing adaptation of the Victorian weight model, using </w:t>
      </w:r>
      <w:r w:rsidRPr="005F719C">
        <w:t>N</w:t>
      </w:r>
      <w:r w:rsidR="002900CA">
        <w:t xml:space="preserve">ew </w:t>
      </w:r>
      <w:r w:rsidRPr="005F719C">
        <w:t>Z</w:t>
      </w:r>
      <w:r w:rsidR="002900CA">
        <w:t>ealand</w:t>
      </w:r>
      <w:r w:rsidRPr="005F719C">
        <w:t>-specific adjustments to Victorian cost data, as N</w:t>
      </w:r>
      <w:r w:rsidR="002900CA">
        <w:t xml:space="preserve">ew </w:t>
      </w:r>
      <w:r w:rsidRPr="005F719C">
        <w:t>Z</w:t>
      </w:r>
      <w:r w:rsidR="002900CA">
        <w:t>ealand</w:t>
      </w:r>
      <w:r w:rsidRPr="005F719C">
        <w:t xml:space="preserve"> costing data availability was sporadic.</w:t>
      </w:r>
      <w:r>
        <w:t xml:space="preserve"> Nor was it supported by a set of costing standards that could promote consistency in cost reporting.</w:t>
      </w:r>
    </w:p>
    <w:p w14:paraId="4A43A40B" w14:textId="77777777" w:rsidR="00615FBC" w:rsidRPr="005F719C" w:rsidRDefault="00615FBC" w:rsidP="00A1599C">
      <w:r>
        <w:t>During this time supporting standards were developed and costing capability increased among DHBs, so that by 2005/06 a significant sample of DHB events could be costed and were usable in a new impetus to set the casemix weightings using only New Zealand cost and activity data.</w:t>
      </w:r>
    </w:p>
    <w:p w14:paraId="1FF90B85" w14:textId="77777777" w:rsidR="00615FBC" w:rsidRDefault="00615FBC" w:rsidP="00A1599C">
      <w:r>
        <w:t>The first weights based solely on New Zealand data elements became effective from 1 July 2008, following a year of development and consultation.</w:t>
      </w:r>
      <w:r w:rsidR="00FC6620">
        <w:t xml:space="preserve">  The </w:t>
      </w:r>
      <w:r w:rsidR="003554F8">
        <w:t xml:space="preserve">ongoing </w:t>
      </w:r>
      <w:r w:rsidR="00FC6620">
        <w:t>development of weights relies on a sufficient quantum of good quality cost data continuing to be supplied by New Zealand DHBs.</w:t>
      </w:r>
    </w:p>
    <w:p w14:paraId="303BB8C5" w14:textId="77777777" w:rsidR="00615FBC" w:rsidRPr="00647752" w:rsidRDefault="00615FBC" w:rsidP="00A1599C">
      <w:r>
        <w:t>A full history of the funding components for each year since 1998/99 is given in the Casemix Framework Document.</w:t>
      </w:r>
    </w:p>
    <w:p w14:paraId="7E2C3408" w14:textId="77777777" w:rsidR="00615FBC" w:rsidRDefault="00615FBC" w:rsidP="00A1599C"/>
    <w:p w14:paraId="00D50847" w14:textId="77777777" w:rsidR="00414410" w:rsidRDefault="00414410" w:rsidP="00A1599C"/>
    <w:p w14:paraId="07AB3887" w14:textId="77777777" w:rsidR="00615FBC" w:rsidRDefault="00615FBC" w:rsidP="00A1599C"/>
    <w:p w14:paraId="4EA45761" w14:textId="77777777" w:rsidR="00615FBC" w:rsidRDefault="00615FBC" w:rsidP="00A1599C"/>
    <w:p w14:paraId="11B8FC65" w14:textId="77777777" w:rsidR="00615FBC" w:rsidRDefault="00E60D5A" w:rsidP="0045571D">
      <w:pPr>
        <w:pStyle w:val="Heading1"/>
      </w:pPr>
      <w:bookmarkStart w:id="25" w:name="_Toc437260950"/>
      <w:r>
        <w:lastRenderedPageBreak/>
        <w:t>Appendix B – Further I</w:t>
      </w:r>
      <w:r w:rsidR="00615FBC">
        <w:t>nformation and References</w:t>
      </w:r>
      <w:bookmarkEnd w:id="25"/>
    </w:p>
    <w:p w14:paraId="00B769E4" w14:textId="77777777" w:rsidR="00911E6A" w:rsidRPr="007F40FA" w:rsidRDefault="00CB272E" w:rsidP="00791A65">
      <w:pPr>
        <w:rPr>
          <w:sz w:val="20"/>
        </w:rPr>
      </w:pPr>
      <w:r w:rsidRPr="007F40FA">
        <w:rPr>
          <w:sz w:val="20"/>
        </w:rPr>
        <w:t>Australian Government – The Department of Health.</w:t>
      </w:r>
      <w:r w:rsidRPr="007F40FA">
        <w:rPr>
          <w:b/>
          <w:sz w:val="20"/>
        </w:rPr>
        <w:t xml:space="preserve">  </w:t>
      </w:r>
      <w:r w:rsidRPr="007F40FA">
        <w:rPr>
          <w:sz w:val="20"/>
        </w:rPr>
        <w:t>The Review of the AR-DRG Classification System Development Process</w:t>
      </w:r>
      <w:r w:rsidR="00155F70" w:rsidRPr="007F40FA">
        <w:rPr>
          <w:sz w:val="20"/>
        </w:rPr>
        <w:t>. URL:</w:t>
      </w:r>
      <w:r w:rsidRPr="007F40FA">
        <w:rPr>
          <w:sz w:val="20"/>
        </w:rPr>
        <w:t xml:space="preserve"> </w:t>
      </w:r>
      <w:hyperlink r:id="rId33" w:history="1">
        <w:r w:rsidR="00D150A4" w:rsidRPr="007F40FA">
          <w:rPr>
            <w:rStyle w:val="Hyperlink"/>
            <w:rFonts w:cs="Arial"/>
            <w:sz w:val="20"/>
          </w:rPr>
          <w:t>http://www.health.gov.au/internet/main/publishing.nsf/Content/Casemix-1</w:t>
        </w:r>
      </w:hyperlink>
      <w:r w:rsidR="0041111C" w:rsidRPr="007F40FA">
        <w:rPr>
          <w:sz w:val="20"/>
        </w:rPr>
        <w:t xml:space="preserve"> </w:t>
      </w:r>
      <w:r w:rsidR="0048292D" w:rsidRPr="007F40FA">
        <w:rPr>
          <w:sz w:val="20"/>
        </w:rPr>
        <w:t>(Australian C</w:t>
      </w:r>
      <w:r w:rsidR="00911E6A" w:rsidRPr="007F40FA">
        <w:rPr>
          <w:sz w:val="20"/>
        </w:rPr>
        <w:t>ommonwealth level description)</w:t>
      </w:r>
      <w:r w:rsidR="0048292D" w:rsidRPr="007F40FA">
        <w:rPr>
          <w:sz w:val="20"/>
        </w:rPr>
        <w:t>.</w:t>
      </w:r>
    </w:p>
    <w:p w14:paraId="1765EFFA" w14:textId="77777777" w:rsidR="0017237B" w:rsidRPr="007F40FA" w:rsidRDefault="0017237B" w:rsidP="00791A65">
      <w:pPr>
        <w:spacing w:before="120"/>
        <w:rPr>
          <w:sz w:val="20"/>
        </w:rPr>
      </w:pPr>
      <w:r w:rsidRPr="007F40FA">
        <w:rPr>
          <w:sz w:val="20"/>
        </w:rPr>
        <w:t xml:space="preserve">Commonwealth of Australia. 2008. </w:t>
      </w:r>
      <w:r w:rsidRPr="007F40FA">
        <w:rPr>
          <w:i/>
          <w:sz w:val="20"/>
        </w:rPr>
        <w:t xml:space="preserve">Australian Refined Diagnosis Related Groups, Definitions Manuals </w:t>
      </w:r>
      <w:r w:rsidR="008548D6" w:rsidRPr="007F40FA">
        <w:rPr>
          <w:i/>
          <w:sz w:val="20"/>
        </w:rPr>
        <w:t>V</w:t>
      </w:r>
      <w:r w:rsidRPr="007F40FA">
        <w:rPr>
          <w:i/>
          <w:sz w:val="20"/>
        </w:rPr>
        <w:t>ersion 6.0.</w:t>
      </w:r>
      <w:r w:rsidRPr="007F40FA">
        <w:rPr>
          <w:sz w:val="20"/>
        </w:rPr>
        <w:t xml:space="preserve"> Australia: Australian Government </w:t>
      </w:r>
      <w:r w:rsidR="007E2857" w:rsidRPr="007F40FA">
        <w:rPr>
          <w:sz w:val="20"/>
        </w:rPr>
        <w:t>Department of Health and Ageing.</w:t>
      </w:r>
    </w:p>
    <w:p w14:paraId="3CB3FA60" w14:textId="77777777" w:rsidR="008548D6" w:rsidRPr="007F40FA" w:rsidRDefault="008548D6" w:rsidP="00791A65">
      <w:pPr>
        <w:rPr>
          <w:sz w:val="20"/>
        </w:rPr>
      </w:pPr>
      <w:r w:rsidRPr="007F40FA">
        <w:rPr>
          <w:sz w:val="20"/>
        </w:rPr>
        <w:t xml:space="preserve">Commonwealth of Australia. 2012. </w:t>
      </w:r>
      <w:r w:rsidRPr="007F40FA">
        <w:rPr>
          <w:i/>
          <w:sz w:val="20"/>
        </w:rPr>
        <w:t>Australian Refined Diagnosis Related Groups, Version 6.0x, Addendum.</w:t>
      </w:r>
      <w:r w:rsidRPr="007F40FA">
        <w:rPr>
          <w:sz w:val="20"/>
        </w:rPr>
        <w:t xml:space="preserve"> Australia: National Casemix and Classification Centre, Australian Health Services Research Institute, University of Wollongong.</w:t>
      </w:r>
    </w:p>
    <w:p w14:paraId="5F990ED3" w14:textId="77777777" w:rsidR="00911E6A" w:rsidRPr="007F40FA" w:rsidRDefault="00911E6A" w:rsidP="00911E6A">
      <w:pPr>
        <w:rPr>
          <w:sz w:val="20"/>
        </w:rPr>
      </w:pPr>
      <w:r w:rsidRPr="007F40FA">
        <w:rPr>
          <w:sz w:val="20"/>
        </w:rPr>
        <w:t xml:space="preserve">interRAI. Case-Mix Classification. URL: </w:t>
      </w:r>
      <w:hyperlink r:id="rId34" w:history="1">
        <w:r w:rsidRPr="007F40FA">
          <w:rPr>
            <w:rStyle w:val="Hyperlink"/>
            <w:sz w:val="20"/>
          </w:rPr>
          <w:t>http://www.interrai.org/classification.html</w:t>
        </w:r>
      </w:hyperlink>
    </w:p>
    <w:p w14:paraId="0DDAA400" w14:textId="77777777" w:rsidR="0048292D" w:rsidRPr="007F40FA" w:rsidRDefault="001D5672" w:rsidP="0048292D">
      <w:pPr>
        <w:spacing w:after="0"/>
        <w:rPr>
          <w:rStyle w:val="HTMLCite"/>
          <w:rFonts w:cs="Arial"/>
          <w:color w:val="auto"/>
          <w:sz w:val="20"/>
        </w:rPr>
      </w:pPr>
      <w:r w:rsidRPr="007F40FA">
        <w:rPr>
          <w:rStyle w:val="HTMLCite"/>
          <w:rFonts w:cs="Arial"/>
          <w:color w:val="auto"/>
          <w:sz w:val="20"/>
        </w:rPr>
        <w:t xml:space="preserve">Lim, EK and Lee CE. Casemix in Singapore – 5 Years On.  </w:t>
      </w:r>
    </w:p>
    <w:p w14:paraId="17D24455" w14:textId="77777777" w:rsidR="001D5672" w:rsidRPr="007F40FA" w:rsidRDefault="001D5672" w:rsidP="00791A65">
      <w:pPr>
        <w:rPr>
          <w:rStyle w:val="HTMLCite"/>
          <w:rFonts w:cs="Arial"/>
          <w:color w:val="auto"/>
          <w:sz w:val="20"/>
        </w:rPr>
      </w:pPr>
      <w:r w:rsidRPr="007F40FA">
        <w:rPr>
          <w:rStyle w:val="HTMLCite"/>
          <w:rFonts w:cs="Arial"/>
          <w:color w:val="auto"/>
          <w:sz w:val="20"/>
        </w:rPr>
        <w:t>URL:</w:t>
      </w:r>
      <w:r w:rsidR="0048292D" w:rsidRPr="007F40FA">
        <w:rPr>
          <w:rStyle w:val="HTMLCite"/>
          <w:rFonts w:cs="Arial"/>
          <w:color w:val="auto"/>
          <w:sz w:val="20"/>
        </w:rPr>
        <w:t xml:space="preserve"> </w:t>
      </w:r>
      <w:hyperlink r:id="rId35" w:history="1">
        <w:r w:rsidR="007E285A" w:rsidRPr="007F40FA">
          <w:rPr>
            <w:rStyle w:val="Hyperlink"/>
            <w:rFonts w:cs="Arial"/>
            <w:sz w:val="20"/>
          </w:rPr>
          <w:t>http://www.annals.edu.sg/pdf200411/v33n5p660.pdf</w:t>
        </w:r>
      </w:hyperlink>
    </w:p>
    <w:p w14:paraId="78942A6C" w14:textId="77777777" w:rsidR="007F40FA" w:rsidRDefault="00155F70" w:rsidP="007F40FA">
      <w:pPr>
        <w:spacing w:after="0"/>
        <w:rPr>
          <w:sz w:val="20"/>
        </w:rPr>
      </w:pPr>
      <w:r w:rsidRPr="007F40FA">
        <w:rPr>
          <w:sz w:val="20"/>
        </w:rPr>
        <w:t xml:space="preserve">Ministry of Health. Diagnosis Related Groups. </w:t>
      </w:r>
    </w:p>
    <w:p w14:paraId="672C5E41" w14:textId="77777777" w:rsidR="00274231" w:rsidRPr="007F40FA" w:rsidRDefault="00155F70" w:rsidP="00A1599C">
      <w:pPr>
        <w:rPr>
          <w:sz w:val="20"/>
        </w:rPr>
      </w:pPr>
      <w:r w:rsidRPr="007F40FA">
        <w:rPr>
          <w:sz w:val="20"/>
        </w:rPr>
        <w:t xml:space="preserve">URL: </w:t>
      </w:r>
      <w:hyperlink r:id="rId36" w:history="1">
        <w:r w:rsidR="00274231" w:rsidRPr="007F40FA">
          <w:rPr>
            <w:rStyle w:val="Hyperlink"/>
            <w:sz w:val="20"/>
          </w:rPr>
          <w:t>http://www.health.govt.nz/nz-health-statistics/data-references/diagnosis-related-groups</w:t>
        </w:r>
      </w:hyperlink>
      <w:r w:rsidR="00274231" w:rsidRPr="007F40FA">
        <w:rPr>
          <w:sz w:val="20"/>
        </w:rPr>
        <w:t xml:space="preserve"> </w:t>
      </w:r>
    </w:p>
    <w:p w14:paraId="2C28C88B" w14:textId="77777777" w:rsidR="002930A1" w:rsidRDefault="00155F70" w:rsidP="002930A1">
      <w:pPr>
        <w:spacing w:after="0"/>
        <w:rPr>
          <w:rStyle w:val="Hyperlink"/>
          <w:rFonts w:cs="Arial"/>
          <w:sz w:val="20"/>
        </w:rPr>
      </w:pPr>
      <w:r w:rsidRPr="007F40FA">
        <w:rPr>
          <w:sz w:val="20"/>
        </w:rPr>
        <w:t xml:space="preserve">Ministry of Health. Weighted Inlier Equivalent Separations. URL: </w:t>
      </w:r>
      <w:hyperlink r:id="rId37" w:history="1">
        <w:r w:rsidRPr="007F40FA">
          <w:rPr>
            <w:rStyle w:val="Hyperlink"/>
            <w:rFonts w:cs="Arial"/>
            <w:sz w:val="20"/>
          </w:rPr>
          <w:t>http://www.health.govt.nz/nz-health-statistics/data-references/weighted-inlier-equivalent-separations</w:t>
        </w:r>
      </w:hyperlink>
    </w:p>
    <w:p w14:paraId="33A249AC" w14:textId="77777777" w:rsidR="00155F70" w:rsidRPr="007F40FA" w:rsidRDefault="00911E6A" w:rsidP="00155F70">
      <w:pPr>
        <w:rPr>
          <w:rStyle w:val="Hyperlink"/>
          <w:rFonts w:cs="Arial"/>
          <w:sz w:val="20"/>
        </w:rPr>
      </w:pPr>
      <w:r w:rsidRPr="007F40FA">
        <w:rPr>
          <w:sz w:val="20"/>
        </w:rPr>
        <w:t>(The New Zealand casemix funding model; med</w:t>
      </w:r>
      <w:r w:rsidR="00630C09" w:rsidRPr="007F40FA">
        <w:rPr>
          <w:sz w:val="20"/>
        </w:rPr>
        <w:t>ical</w:t>
      </w:r>
      <w:r w:rsidRPr="007F40FA">
        <w:rPr>
          <w:sz w:val="20"/>
        </w:rPr>
        <w:t>, surg</w:t>
      </w:r>
      <w:r w:rsidR="00630C09" w:rsidRPr="007F40FA">
        <w:rPr>
          <w:sz w:val="20"/>
        </w:rPr>
        <w:t>ical</w:t>
      </w:r>
      <w:r w:rsidRPr="007F40FA">
        <w:rPr>
          <w:sz w:val="20"/>
        </w:rPr>
        <w:t>, maternity, neonatal)</w:t>
      </w:r>
    </w:p>
    <w:p w14:paraId="73F128C4" w14:textId="77777777" w:rsidR="008B7299" w:rsidRPr="007F40FA" w:rsidRDefault="008B7299" w:rsidP="00791A65">
      <w:pPr>
        <w:rPr>
          <w:sz w:val="20"/>
        </w:rPr>
      </w:pPr>
      <w:r w:rsidRPr="007F40FA">
        <w:rPr>
          <w:sz w:val="20"/>
        </w:rPr>
        <w:t xml:space="preserve">National Casemix and Classification Centre. 2013. </w:t>
      </w:r>
      <w:r w:rsidRPr="007F40FA">
        <w:rPr>
          <w:i/>
          <w:sz w:val="20"/>
        </w:rPr>
        <w:t>Australian Coding Standards, 8th Edition</w:t>
      </w:r>
      <w:r w:rsidR="0017237B" w:rsidRPr="007F40FA">
        <w:rPr>
          <w:i/>
          <w:sz w:val="20"/>
        </w:rPr>
        <w:t>.</w:t>
      </w:r>
      <w:r w:rsidR="0017237B" w:rsidRPr="007F40FA">
        <w:rPr>
          <w:sz w:val="20"/>
        </w:rPr>
        <w:t xml:space="preserve"> Australia: National Casemix and Classification Centre, Australian Health Services Research Institute, University of Wollongong.</w:t>
      </w:r>
    </w:p>
    <w:p w14:paraId="05B5ECE1" w14:textId="77777777" w:rsidR="003F07BB" w:rsidRPr="007F40FA" w:rsidRDefault="00155F70" w:rsidP="00791A65">
      <w:pPr>
        <w:rPr>
          <w:rFonts w:eastAsiaTheme="minorHAnsi"/>
          <w:sz w:val="20"/>
        </w:rPr>
      </w:pPr>
      <w:r w:rsidRPr="007F40FA">
        <w:rPr>
          <w:sz w:val="20"/>
        </w:rPr>
        <w:t xml:space="preserve">Nationwide Service Framework Library. Purchase Units. URL: </w:t>
      </w:r>
      <w:hyperlink r:id="rId38" w:history="1">
        <w:r w:rsidR="003F07BB" w:rsidRPr="007F40FA">
          <w:rPr>
            <w:rStyle w:val="Hyperlink"/>
            <w:rFonts w:eastAsiaTheme="minorHAnsi"/>
            <w:bCs/>
            <w:sz w:val="20"/>
          </w:rPr>
          <w:t>http://www.nsfl.health.govt.nz/apps/nsfl.nsf/pagesmh/463</w:t>
        </w:r>
      </w:hyperlink>
      <w:r w:rsidR="003F07BB" w:rsidRPr="007F40FA">
        <w:rPr>
          <w:rFonts w:eastAsiaTheme="minorHAnsi"/>
          <w:sz w:val="20"/>
        </w:rPr>
        <w:t xml:space="preserve">  </w:t>
      </w:r>
    </w:p>
    <w:p w14:paraId="2F4D2903" w14:textId="77777777" w:rsidR="00A75F6E" w:rsidRPr="007F40FA" w:rsidRDefault="00155F70" w:rsidP="00791A65">
      <w:pPr>
        <w:rPr>
          <w:sz w:val="20"/>
        </w:rPr>
      </w:pPr>
      <w:r w:rsidRPr="007F40FA">
        <w:rPr>
          <w:sz w:val="20"/>
        </w:rPr>
        <w:t xml:space="preserve">Nationwide Service Framework Library. Financial Standards and Guidelines. URL: </w:t>
      </w:r>
      <w:hyperlink r:id="rId39" w:history="1">
        <w:r w:rsidR="00A75F6E" w:rsidRPr="007F40FA">
          <w:rPr>
            <w:rStyle w:val="Hyperlink"/>
            <w:sz w:val="20"/>
          </w:rPr>
          <w:t>http://www.nsfl.health.govt.nz/apps/nsfl.nsf/pagesmh/200</w:t>
        </w:r>
      </w:hyperlink>
      <w:r w:rsidR="00A75F6E" w:rsidRPr="007F40FA">
        <w:rPr>
          <w:sz w:val="20"/>
        </w:rPr>
        <w:t xml:space="preserve"> </w:t>
      </w:r>
    </w:p>
    <w:p w14:paraId="3E2B378D" w14:textId="77777777" w:rsidR="00911E6A" w:rsidRPr="007F40FA" w:rsidRDefault="00911E6A" w:rsidP="00911E6A">
      <w:pPr>
        <w:rPr>
          <w:sz w:val="20"/>
        </w:rPr>
      </w:pPr>
      <w:r w:rsidRPr="007F40FA">
        <w:rPr>
          <w:sz w:val="20"/>
        </w:rPr>
        <w:t xml:space="preserve">Nordic Casemix Centre. URL: </w:t>
      </w:r>
      <w:hyperlink r:id="rId40" w:history="1">
        <w:r w:rsidRPr="007F40FA">
          <w:rPr>
            <w:rStyle w:val="Hyperlink"/>
            <w:sz w:val="20"/>
          </w:rPr>
          <w:t>http://www.nordcase.org/</w:t>
        </w:r>
      </w:hyperlink>
      <w:r w:rsidRPr="007F40FA">
        <w:rPr>
          <w:sz w:val="20"/>
        </w:rPr>
        <w:t xml:space="preserve"> (Nordic casemix)</w:t>
      </w:r>
    </w:p>
    <w:p w14:paraId="1AFEDF70" w14:textId="77777777" w:rsidR="00911E6A" w:rsidRPr="007F40FA" w:rsidRDefault="00911E6A" w:rsidP="00791A65">
      <w:pPr>
        <w:rPr>
          <w:sz w:val="20"/>
        </w:rPr>
      </w:pPr>
      <w:r w:rsidRPr="007F40FA">
        <w:rPr>
          <w:sz w:val="20"/>
        </w:rPr>
        <w:t xml:space="preserve">Te Pou o Te Whakaaro Nui. Outcomes and Information. URL: </w:t>
      </w:r>
      <w:hyperlink r:id="rId41" w:history="1">
        <w:r w:rsidRPr="007F40FA">
          <w:rPr>
            <w:rStyle w:val="Hyperlink"/>
            <w:sz w:val="20"/>
          </w:rPr>
          <w:t>http://www.tepou.co.nz/outcomes/casemix</w:t>
        </w:r>
      </w:hyperlink>
      <w:r w:rsidR="00A35F57" w:rsidRPr="007F40FA">
        <w:rPr>
          <w:sz w:val="20"/>
        </w:rPr>
        <w:t xml:space="preserve">        </w:t>
      </w:r>
      <w:r w:rsidR="002930A1">
        <w:rPr>
          <w:sz w:val="20"/>
        </w:rPr>
        <w:t>(F</w:t>
      </w:r>
      <w:r w:rsidRPr="007F40FA">
        <w:rPr>
          <w:sz w:val="20"/>
        </w:rPr>
        <w:t>ledgling casemix system development for NZ Mental Health services)</w:t>
      </w:r>
    </w:p>
    <w:p w14:paraId="3ECE7C8B" w14:textId="77777777" w:rsidR="002930A1" w:rsidRDefault="00911E6A" w:rsidP="002930A1">
      <w:pPr>
        <w:spacing w:after="0"/>
        <w:rPr>
          <w:sz w:val="20"/>
        </w:rPr>
      </w:pPr>
      <w:r w:rsidRPr="007F40FA">
        <w:rPr>
          <w:sz w:val="20"/>
        </w:rPr>
        <w:t xml:space="preserve">The Royal Children’s Hospital Melbourne. DRG and Casemix Funding. URL: </w:t>
      </w:r>
      <w:hyperlink r:id="rId42" w:history="1">
        <w:r w:rsidRPr="007F40FA">
          <w:rPr>
            <w:rStyle w:val="Hyperlink"/>
            <w:sz w:val="20"/>
          </w:rPr>
          <w:t>http://www.rch.org.au/rchhis/coding_casemix/DRG_and_Casemix_funding/</w:t>
        </w:r>
      </w:hyperlink>
      <w:r w:rsidRPr="007F40FA">
        <w:rPr>
          <w:sz w:val="20"/>
        </w:rPr>
        <w:t xml:space="preserve"> </w:t>
      </w:r>
    </w:p>
    <w:p w14:paraId="128CA476" w14:textId="77777777" w:rsidR="00911E6A" w:rsidRPr="007F40FA" w:rsidRDefault="00911E6A" w:rsidP="00791A65">
      <w:pPr>
        <w:rPr>
          <w:sz w:val="20"/>
        </w:rPr>
      </w:pPr>
      <w:r w:rsidRPr="007F40FA">
        <w:rPr>
          <w:sz w:val="20"/>
        </w:rPr>
        <w:t>(Practical guide from The Royal Children’s Hospital Melbourne)</w:t>
      </w:r>
    </w:p>
    <w:p w14:paraId="388DECAE" w14:textId="77777777" w:rsidR="00911E6A" w:rsidRPr="007F40FA" w:rsidRDefault="001D5672" w:rsidP="00911E6A">
      <w:pPr>
        <w:rPr>
          <w:sz w:val="20"/>
        </w:rPr>
      </w:pPr>
      <w:r w:rsidRPr="007F40FA">
        <w:rPr>
          <w:sz w:val="20"/>
        </w:rPr>
        <w:t xml:space="preserve">University of Wollongong. About Casemix. URL: </w:t>
      </w:r>
      <w:hyperlink r:id="rId43" w:history="1">
        <w:r w:rsidRPr="007F40FA">
          <w:rPr>
            <w:rStyle w:val="Hyperlink"/>
            <w:sz w:val="20"/>
          </w:rPr>
          <w:t>http://nccc.uow.edu.au/casemix/aboutcasemix/index.html</w:t>
        </w:r>
      </w:hyperlink>
    </w:p>
    <w:p w14:paraId="37BD9053" w14:textId="77777777" w:rsidR="002930A1" w:rsidRDefault="00911E6A" w:rsidP="002930A1">
      <w:pPr>
        <w:spacing w:after="0"/>
        <w:rPr>
          <w:sz w:val="20"/>
        </w:rPr>
      </w:pPr>
      <w:r w:rsidRPr="007F40FA">
        <w:rPr>
          <w:sz w:val="20"/>
        </w:rPr>
        <w:t xml:space="preserve">Victoria State Government. Activity Based Funding. URL: </w:t>
      </w:r>
      <w:hyperlink r:id="rId44" w:history="1">
        <w:r w:rsidRPr="007F40FA">
          <w:rPr>
            <w:rStyle w:val="Hyperlink"/>
            <w:sz w:val="20"/>
          </w:rPr>
          <w:t>http://health.vic.gov.au/abf/history.htm</w:t>
        </w:r>
      </w:hyperlink>
      <w:r w:rsidRPr="007F40FA">
        <w:rPr>
          <w:sz w:val="20"/>
        </w:rPr>
        <w:t xml:space="preserve"> </w:t>
      </w:r>
    </w:p>
    <w:p w14:paraId="7E569412" w14:textId="77777777" w:rsidR="00911E6A" w:rsidRPr="007F40FA" w:rsidRDefault="00911E6A" w:rsidP="00791A65">
      <w:pPr>
        <w:rPr>
          <w:sz w:val="20"/>
        </w:rPr>
      </w:pPr>
      <w:r w:rsidRPr="007F40FA">
        <w:rPr>
          <w:sz w:val="20"/>
        </w:rPr>
        <w:t>(</w:t>
      </w:r>
      <w:r w:rsidR="002930A1">
        <w:rPr>
          <w:sz w:val="20"/>
        </w:rPr>
        <w:t>H</w:t>
      </w:r>
      <w:r w:rsidRPr="007F40FA">
        <w:rPr>
          <w:sz w:val="20"/>
        </w:rPr>
        <w:t>ow it works in Victoria/Australia)</w:t>
      </w:r>
    </w:p>
    <w:p w14:paraId="5A7B6129" w14:textId="77777777" w:rsidR="008B7299" w:rsidRPr="007F40FA" w:rsidRDefault="007E285A" w:rsidP="007E285A">
      <w:pPr>
        <w:spacing w:after="0"/>
        <w:rPr>
          <w:b/>
          <w:sz w:val="20"/>
        </w:rPr>
      </w:pPr>
      <w:r w:rsidRPr="007F40FA">
        <w:rPr>
          <w:b/>
          <w:sz w:val="20"/>
        </w:rPr>
        <w:t>Images:</w:t>
      </w:r>
    </w:p>
    <w:p w14:paraId="4A4B4E04" w14:textId="77777777" w:rsidR="007E285A" w:rsidRPr="007F40FA" w:rsidRDefault="007E285A" w:rsidP="007E285A">
      <w:pPr>
        <w:spacing w:after="0"/>
        <w:rPr>
          <w:sz w:val="20"/>
        </w:rPr>
      </w:pPr>
      <w:r w:rsidRPr="007F40FA">
        <w:rPr>
          <w:sz w:val="20"/>
        </w:rPr>
        <w:t>3M HIS Codefinder Screen shot (page 16)</w:t>
      </w:r>
    </w:p>
    <w:p w14:paraId="45FCCD6A" w14:textId="77777777" w:rsidR="007E285A" w:rsidRPr="007F40FA" w:rsidRDefault="00735638" w:rsidP="007E285A">
      <w:pPr>
        <w:spacing w:after="0"/>
        <w:rPr>
          <w:sz w:val="20"/>
        </w:rPr>
      </w:pPr>
      <w:hyperlink r:id="rId45" w:history="1">
        <w:r w:rsidR="007E285A" w:rsidRPr="007F40FA">
          <w:rPr>
            <w:rStyle w:val="Hyperlink"/>
            <w:sz w:val="20"/>
          </w:rPr>
          <w:t>http://medicalrecordsaudit.net/importance-medical-record-audit/</w:t>
        </w:r>
      </w:hyperlink>
      <w:r w:rsidR="007E285A" w:rsidRPr="007F40FA">
        <w:rPr>
          <w:sz w:val="20"/>
        </w:rPr>
        <w:t xml:space="preserve"> (page 6)</w:t>
      </w:r>
    </w:p>
    <w:p w14:paraId="0E612CCF" w14:textId="77777777" w:rsidR="007E27F1" w:rsidRDefault="007E27F1">
      <w:pPr>
        <w:rPr>
          <w:rFonts w:asciiTheme="majorHAnsi" w:eastAsiaTheme="majorEastAsia" w:hAnsiTheme="majorHAnsi" w:cstheme="majorBidi"/>
          <w:b/>
          <w:bCs/>
          <w:color w:val="244061" w:themeColor="accent1" w:themeShade="80"/>
          <w:sz w:val="32"/>
          <w:szCs w:val="28"/>
        </w:rPr>
      </w:pPr>
      <w:r>
        <w:br w:type="page"/>
      </w:r>
    </w:p>
    <w:p w14:paraId="4100B7BF" w14:textId="77777777" w:rsidR="00615FBC" w:rsidRDefault="00615FBC" w:rsidP="0045571D">
      <w:pPr>
        <w:pStyle w:val="Heading1"/>
      </w:pPr>
      <w:bookmarkStart w:id="26" w:name="_Toc437260951"/>
      <w:r>
        <w:lastRenderedPageBreak/>
        <w:t>Appendix C – Glossary of Abbreviations</w:t>
      </w:r>
      <w:bookmarkEnd w:id="26"/>
      <w:r>
        <w:t xml:space="preserve"> </w:t>
      </w:r>
    </w:p>
    <w:p w14:paraId="5395FD37" w14:textId="77777777" w:rsidR="00615FBC" w:rsidRPr="00E97627" w:rsidRDefault="00615FBC" w:rsidP="00A1599C">
      <w:pPr>
        <w:pStyle w:val="BlockText"/>
        <w:rPr>
          <w:rFonts w:asciiTheme="minorHAnsi" w:hAnsiTheme="minorHAnsi"/>
          <w:sz w:val="22"/>
          <w:szCs w:val="22"/>
        </w:rPr>
      </w:pPr>
      <w:r w:rsidRPr="00E97627">
        <w:rPr>
          <w:rFonts w:asciiTheme="minorHAnsi" w:hAnsiTheme="minorHAnsi"/>
          <w:sz w:val="22"/>
          <w:szCs w:val="22"/>
        </w:rPr>
        <w:t>For the purposes of this document the acronyms used are defined in the following table.</w:t>
      </w:r>
    </w:p>
    <w:p w14:paraId="3C201739" w14:textId="77777777" w:rsidR="001012C3" w:rsidRPr="00BA2072" w:rsidRDefault="001012C3" w:rsidP="00A1599C">
      <w:pPr>
        <w:pStyle w:val="BlockText"/>
      </w:pPr>
    </w:p>
    <w:tbl>
      <w:tblPr>
        <w:tblStyle w:val="LightList-Accent1"/>
        <w:tblW w:w="8866" w:type="dxa"/>
        <w:jc w:val="center"/>
        <w:tblBorders>
          <w:left w:val="none" w:sz="0" w:space="0" w:color="auto"/>
          <w:right w:val="none" w:sz="0" w:space="0" w:color="auto"/>
          <w:insideH w:val="single" w:sz="8" w:space="0" w:color="4F81BD" w:themeColor="accent1"/>
          <w:insideV w:val="single" w:sz="8" w:space="0" w:color="4F81BD" w:themeColor="accent1"/>
        </w:tblBorders>
        <w:tblLook w:val="0000" w:firstRow="0" w:lastRow="0" w:firstColumn="0" w:lastColumn="0" w:noHBand="0" w:noVBand="0"/>
      </w:tblPr>
      <w:tblGrid>
        <w:gridCol w:w="1684"/>
        <w:gridCol w:w="7182"/>
      </w:tblGrid>
      <w:tr w:rsidR="00AA4F27" w:rsidRPr="00AA4F27" w14:paraId="62A8FC54" w14:textId="77777777" w:rsidTr="002D3B5F">
        <w:trPr>
          <w:trHeight w:val="364"/>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top w:val="none" w:sz="0" w:space="0" w:color="auto"/>
              <w:left w:val="none" w:sz="0" w:space="0" w:color="auto"/>
              <w:right w:val="none" w:sz="0" w:space="0" w:color="auto"/>
            </w:tcBorders>
            <w:shd w:val="clear" w:color="auto" w:fill="4F81BD" w:themeFill="accent1"/>
            <w:vAlign w:val="center"/>
          </w:tcPr>
          <w:p w14:paraId="3627C34B" w14:textId="77777777" w:rsidR="00615FBC" w:rsidRPr="00AA4F27" w:rsidRDefault="00615FBC" w:rsidP="00AA4F27">
            <w:pPr>
              <w:rPr>
                <w:rFonts w:eastAsia="Times New Roman"/>
                <w:b/>
                <w:color w:val="FFFFFF" w:themeColor="background1"/>
                <w:szCs w:val="20"/>
              </w:rPr>
            </w:pPr>
            <w:r w:rsidRPr="00AA4F27">
              <w:rPr>
                <w:rFonts w:eastAsia="Times New Roman"/>
                <w:b/>
                <w:color w:val="FFFFFF" w:themeColor="background1"/>
                <w:szCs w:val="20"/>
              </w:rPr>
              <w:t>Abbreviation</w:t>
            </w:r>
          </w:p>
        </w:tc>
        <w:tc>
          <w:tcPr>
            <w:tcW w:w="7182" w:type="dxa"/>
            <w:shd w:val="clear" w:color="auto" w:fill="4F81BD" w:themeFill="accent1"/>
            <w:vAlign w:val="center"/>
          </w:tcPr>
          <w:p w14:paraId="2E7BE911" w14:textId="77777777" w:rsidR="00615FBC" w:rsidRPr="00AA4F27" w:rsidRDefault="00615FBC" w:rsidP="00AA4F27">
            <w:pP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Cs w:val="20"/>
              </w:rPr>
            </w:pPr>
            <w:r w:rsidRPr="00AA4F27">
              <w:rPr>
                <w:rFonts w:eastAsia="Times New Roman"/>
                <w:b/>
                <w:color w:val="FFFFFF" w:themeColor="background1"/>
                <w:szCs w:val="20"/>
              </w:rPr>
              <w:t>Definition</w:t>
            </w:r>
          </w:p>
        </w:tc>
      </w:tr>
      <w:tr w:rsidR="001012C3" w:rsidRPr="002930A1" w14:paraId="11F42AF0" w14:textId="77777777" w:rsidTr="00384306">
        <w:trPr>
          <w:trHeight w:val="185"/>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07E5037A" w14:textId="77777777" w:rsidR="001012C3" w:rsidRPr="002930A1" w:rsidRDefault="001012C3" w:rsidP="00384306">
            <w:pPr>
              <w:rPr>
                <w:rFonts w:eastAsia="Times New Roman"/>
                <w:sz w:val="20"/>
                <w:szCs w:val="21"/>
              </w:rPr>
            </w:pPr>
            <w:r w:rsidRPr="002930A1">
              <w:rPr>
                <w:rFonts w:eastAsia="Times New Roman"/>
                <w:sz w:val="20"/>
                <w:szCs w:val="21"/>
              </w:rPr>
              <w:t>ACHI</w:t>
            </w:r>
          </w:p>
        </w:tc>
        <w:tc>
          <w:tcPr>
            <w:tcW w:w="7182" w:type="dxa"/>
            <w:vAlign w:val="center"/>
          </w:tcPr>
          <w:p w14:paraId="77C31471"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Classification of Health Interventions</w:t>
            </w:r>
          </w:p>
        </w:tc>
      </w:tr>
      <w:tr w:rsidR="001012C3" w:rsidRPr="002930A1" w14:paraId="54793D5D" w14:textId="77777777" w:rsidTr="00384306">
        <w:trPr>
          <w:trHeight w:val="24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5F2004A4" w14:textId="77777777" w:rsidR="001012C3" w:rsidRPr="002930A1" w:rsidRDefault="001012C3" w:rsidP="00384306">
            <w:pPr>
              <w:rPr>
                <w:rFonts w:eastAsia="Times New Roman"/>
                <w:sz w:val="20"/>
                <w:szCs w:val="21"/>
              </w:rPr>
            </w:pPr>
            <w:r w:rsidRPr="002930A1">
              <w:rPr>
                <w:rFonts w:eastAsia="Times New Roman"/>
                <w:sz w:val="20"/>
                <w:szCs w:val="21"/>
              </w:rPr>
              <w:t>ACS</w:t>
            </w:r>
          </w:p>
        </w:tc>
        <w:tc>
          <w:tcPr>
            <w:tcW w:w="7182" w:type="dxa"/>
            <w:vAlign w:val="center"/>
          </w:tcPr>
          <w:p w14:paraId="6A5EDE0B"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Coding Standards</w:t>
            </w:r>
          </w:p>
        </w:tc>
      </w:tr>
      <w:tr w:rsidR="001012C3" w:rsidRPr="002930A1" w14:paraId="65168872" w14:textId="77777777" w:rsidTr="00384306">
        <w:trPr>
          <w:trHeight w:val="251"/>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14:paraId="4A33EBCE" w14:textId="77777777" w:rsidR="001012C3" w:rsidRPr="002930A1" w:rsidRDefault="001012C3" w:rsidP="00384306">
            <w:pPr>
              <w:rPr>
                <w:rFonts w:eastAsia="Times New Roman"/>
                <w:sz w:val="20"/>
                <w:szCs w:val="21"/>
              </w:rPr>
            </w:pPr>
            <w:r w:rsidRPr="002930A1">
              <w:rPr>
                <w:rFonts w:eastAsia="Times New Roman"/>
                <w:sz w:val="20"/>
                <w:szCs w:val="21"/>
              </w:rPr>
              <w:t>ADRG</w:t>
            </w:r>
          </w:p>
        </w:tc>
        <w:tc>
          <w:tcPr>
            <w:tcW w:w="7182" w:type="dxa"/>
            <w:tcBorders>
              <w:bottom w:val="single" w:sz="8" w:space="0" w:color="4F81BD" w:themeColor="accent1"/>
            </w:tcBorders>
            <w:vAlign w:val="center"/>
          </w:tcPr>
          <w:p w14:paraId="44EA2191"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Adjacent Diagnosis Related Groups </w:t>
            </w:r>
          </w:p>
        </w:tc>
      </w:tr>
      <w:tr w:rsidR="00A46417" w:rsidRPr="002930A1" w14:paraId="02074AA6" w14:textId="77777777" w:rsidTr="00384306">
        <w:trPr>
          <w:trHeight w:val="171"/>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2C7D7646" w14:textId="77777777" w:rsidR="00A46417" w:rsidRPr="002930A1" w:rsidRDefault="00A46417" w:rsidP="00384306">
            <w:pPr>
              <w:rPr>
                <w:rFonts w:eastAsia="Times New Roman"/>
                <w:sz w:val="20"/>
                <w:szCs w:val="21"/>
              </w:rPr>
            </w:pPr>
            <w:r w:rsidRPr="002930A1">
              <w:rPr>
                <w:rFonts w:eastAsia="Times New Roman"/>
                <w:sz w:val="20"/>
                <w:szCs w:val="21"/>
              </w:rPr>
              <w:t>Adx</w:t>
            </w:r>
          </w:p>
        </w:tc>
        <w:tc>
          <w:tcPr>
            <w:tcW w:w="7182" w:type="dxa"/>
            <w:vAlign w:val="center"/>
          </w:tcPr>
          <w:p w14:paraId="642F34BE" w14:textId="77777777" w:rsidR="00A46417" w:rsidRPr="002930A1" w:rsidRDefault="00A46417"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Additional Diagnosis</w:t>
            </w:r>
          </w:p>
        </w:tc>
      </w:tr>
      <w:tr w:rsidR="001012C3" w:rsidRPr="002930A1" w14:paraId="7E07C272" w14:textId="77777777" w:rsidTr="00384306">
        <w:trPr>
          <w:trHeight w:val="171"/>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6CC76BD0" w14:textId="77777777" w:rsidR="001012C3" w:rsidRPr="002930A1" w:rsidRDefault="001012C3" w:rsidP="00384306">
            <w:pPr>
              <w:rPr>
                <w:rFonts w:eastAsia="Times New Roman"/>
                <w:sz w:val="20"/>
                <w:szCs w:val="21"/>
              </w:rPr>
            </w:pPr>
            <w:r w:rsidRPr="002930A1">
              <w:rPr>
                <w:rFonts w:eastAsia="Times New Roman"/>
                <w:sz w:val="20"/>
                <w:szCs w:val="21"/>
              </w:rPr>
              <w:t>ALOS</w:t>
            </w:r>
          </w:p>
        </w:tc>
        <w:tc>
          <w:tcPr>
            <w:tcW w:w="7182" w:type="dxa"/>
            <w:vAlign w:val="center"/>
          </w:tcPr>
          <w:p w14:paraId="397FFC88"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Average Length of Stay</w:t>
            </w:r>
          </w:p>
        </w:tc>
      </w:tr>
      <w:tr w:rsidR="001012C3" w:rsidRPr="002930A1" w14:paraId="39DC0A98" w14:textId="77777777" w:rsidTr="00384306">
        <w:trPr>
          <w:trHeight w:val="23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single" w:sz="4" w:space="0" w:color="auto"/>
            </w:tcBorders>
            <w:vAlign w:val="center"/>
          </w:tcPr>
          <w:p w14:paraId="0ABB95D7" w14:textId="77777777" w:rsidR="001012C3" w:rsidRPr="002930A1" w:rsidRDefault="001012C3" w:rsidP="00384306">
            <w:pPr>
              <w:rPr>
                <w:rFonts w:eastAsia="Times New Roman"/>
                <w:sz w:val="20"/>
                <w:szCs w:val="21"/>
              </w:rPr>
            </w:pPr>
            <w:r w:rsidRPr="002930A1">
              <w:rPr>
                <w:rFonts w:eastAsia="Times New Roman"/>
                <w:sz w:val="20"/>
                <w:szCs w:val="21"/>
              </w:rPr>
              <w:t>AN-DRG</w:t>
            </w:r>
          </w:p>
        </w:tc>
        <w:tc>
          <w:tcPr>
            <w:tcW w:w="7182" w:type="dxa"/>
            <w:tcBorders>
              <w:left w:val="single" w:sz="4" w:space="0" w:color="auto"/>
            </w:tcBorders>
            <w:vAlign w:val="center"/>
          </w:tcPr>
          <w:p w14:paraId="5970077C"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National Diagnosis Related Groups</w:t>
            </w:r>
          </w:p>
        </w:tc>
      </w:tr>
      <w:tr w:rsidR="001012C3" w:rsidRPr="002930A1" w14:paraId="4C455240" w14:textId="77777777" w:rsidTr="00384306">
        <w:trPr>
          <w:trHeight w:val="15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498F4E4C" w14:textId="77777777" w:rsidR="001012C3" w:rsidRPr="002930A1" w:rsidRDefault="001012C3" w:rsidP="00384306">
            <w:pPr>
              <w:rPr>
                <w:rFonts w:eastAsia="Times New Roman"/>
                <w:sz w:val="20"/>
                <w:szCs w:val="21"/>
              </w:rPr>
            </w:pPr>
            <w:r w:rsidRPr="002930A1">
              <w:rPr>
                <w:rFonts w:eastAsia="Times New Roman"/>
                <w:sz w:val="20"/>
                <w:szCs w:val="21"/>
              </w:rPr>
              <w:t>AR-DRG</w:t>
            </w:r>
          </w:p>
        </w:tc>
        <w:tc>
          <w:tcPr>
            <w:tcW w:w="7182" w:type="dxa"/>
            <w:vAlign w:val="center"/>
          </w:tcPr>
          <w:p w14:paraId="19BB94BA"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Refined Diagnosis Related Groups</w:t>
            </w:r>
          </w:p>
        </w:tc>
      </w:tr>
      <w:tr w:rsidR="001012C3" w:rsidRPr="002930A1" w14:paraId="7B5941DB" w14:textId="77777777" w:rsidTr="00384306">
        <w:trPr>
          <w:trHeight w:val="22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1A714150" w14:textId="77777777" w:rsidR="001012C3" w:rsidRPr="002930A1" w:rsidRDefault="001012C3" w:rsidP="00384306">
            <w:pPr>
              <w:rPr>
                <w:rFonts w:eastAsia="Times New Roman"/>
                <w:sz w:val="20"/>
                <w:szCs w:val="21"/>
              </w:rPr>
            </w:pPr>
            <w:r w:rsidRPr="002930A1">
              <w:rPr>
                <w:rFonts w:eastAsia="Times New Roman"/>
                <w:sz w:val="20"/>
                <w:szCs w:val="21"/>
              </w:rPr>
              <w:t>Cat</w:t>
            </w:r>
          </w:p>
        </w:tc>
        <w:tc>
          <w:tcPr>
            <w:tcW w:w="7182" w:type="dxa"/>
            <w:vAlign w:val="center"/>
          </w:tcPr>
          <w:p w14:paraId="05E3484C"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Catastrophic </w:t>
            </w:r>
          </w:p>
        </w:tc>
      </w:tr>
      <w:tr w:rsidR="001012C3" w:rsidRPr="002930A1" w14:paraId="79611E66" w14:textId="77777777" w:rsidTr="00384306">
        <w:trPr>
          <w:trHeight w:val="21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2A405BE1" w14:textId="77777777" w:rsidR="001012C3" w:rsidRPr="002930A1" w:rsidRDefault="001012C3" w:rsidP="00384306">
            <w:pPr>
              <w:rPr>
                <w:rFonts w:eastAsia="Times New Roman"/>
                <w:sz w:val="20"/>
                <w:szCs w:val="21"/>
              </w:rPr>
            </w:pPr>
            <w:r w:rsidRPr="002930A1">
              <w:rPr>
                <w:rFonts w:eastAsia="Times New Roman"/>
                <w:sz w:val="20"/>
                <w:szCs w:val="21"/>
              </w:rPr>
              <w:t>CC</w:t>
            </w:r>
          </w:p>
        </w:tc>
        <w:tc>
          <w:tcPr>
            <w:tcW w:w="7182" w:type="dxa"/>
            <w:vAlign w:val="center"/>
          </w:tcPr>
          <w:p w14:paraId="0211A12E"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Complication and/or Comorbidity</w:t>
            </w:r>
          </w:p>
        </w:tc>
      </w:tr>
      <w:tr w:rsidR="001012C3" w:rsidRPr="002930A1" w14:paraId="5D4D26C6" w14:textId="77777777" w:rsidTr="00384306">
        <w:trPr>
          <w:trHeight w:val="20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1DD83435" w14:textId="77777777" w:rsidR="001012C3" w:rsidRPr="002930A1" w:rsidRDefault="001012C3" w:rsidP="00384306">
            <w:pPr>
              <w:rPr>
                <w:rFonts w:eastAsia="Times New Roman"/>
                <w:sz w:val="20"/>
                <w:szCs w:val="21"/>
              </w:rPr>
            </w:pPr>
            <w:r w:rsidRPr="002930A1">
              <w:rPr>
                <w:rFonts w:eastAsia="Times New Roman"/>
                <w:sz w:val="20"/>
                <w:szCs w:val="21"/>
              </w:rPr>
              <w:t>CCL</w:t>
            </w:r>
          </w:p>
        </w:tc>
        <w:tc>
          <w:tcPr>
            <w:tcW w:w="7182" w:type="dxa"/>
            <w:vAlign w:val="center"/>
          </w:tcPr>
          <w:p w14:paraId="0A57971F"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Complication and Comorbidity Level</w:t>
            </w:r>
          </w:p>
        </w:tc>
      </w:tr>
      <w:tr w:rsidR="001012C3" w:rsidRPr="002930A1" w14:paraId="3F4FB337" w14:textId="77777777" w:rsidTr="00384306">
        <w:trPr>
          <w:trHeight w:val="199"/>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73D561B4" w14:textId="77777777" w:rsidR="001012C3" w:rsidRPr="002930A1" w:rsidRDefault="001012C3" w:rsidP="00384306">
            <w:pPr>
              <w:rPr>
                <w:rFonts w:eastAsia="Times New Roman"/>
                <w:sz w:val="20"/>
                <w:szCs w:val="21"/>
              </w:rPr>
            </w:pPr>
            <w:r w:rsidRPr="002930A1">
              <w:rPr>
                <w:rFonts w:eastAsia="Times New Roman"/>
                <w:sz w:val="20"/>
                <w:szCs w:val="21"/>
              </w:rPr>
              <w:t>CFD</w:t>
            </w:r>
          </w:p>
        </w:tc>
        <w:tc>
          <w:tcPr>
            <w:tcW w:w="7182" w:type="dxa"/>
            <w:vAlign w:val="center"/>
          </w:tcPr>
          <w:p w14:paraId="5C12262F"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Casemix Framework Document</w:t>
            </w:r>
          </w:p>
        </w:tc>
      </w:tr>
      <w:tr w:rsidR="001012C3" w:rsidRPr="002930A1" w14:paraId="5291CB0E" w14:textId="77777777" w:rsidTr="00384306">
        <w:trPr>
          <w:trHeight w:val="20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6F9B0C29" w14:textId="77777777" w:rsidR="001012C3" w:rsidRPr="002930A1" w:rsidRDefault="001012C3" w:rsidP="00384306">
            <w:pPr>
              <w:rPr>
                <w:rFonts w:eastAsia="Times New Roman"/>
                <w:sz w:val="20"/>
                <w:szCs w:val="21"/>
              </w:rPr>
            </w:pPr>
            <w:r w:rsidRPr="002930A1">
              <w:rPr>
                <w:rFonts w:eastAsia="Times New Roman"/>
                <w:sz w:val="20"/>
                <w:szCs w:val="21"/>
              </w:rPr>
              <w:t xml:space="preserve">COF </w:t>
            </w:r>
          </w:p>
        </w:tc>
        <w:tc>
          <w:tcPr>
            <w:tcW w:w="7182" w:type="dxa"/>
            <w:vAlign w:val="center"/>
          </w:tcPr>
          <w:p w14:paraId="2A2E702A"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Condition Onset Flag</w:t>
            </w:r>
          </w:p>
        </w:tc>
      </w:tr>
      <w:tr w:rsidR="001012C3" w:rsidRPr="002930A1" w14:paraId="772AF1EA" w14:textId="77777777" w:rsidTr="00384306">
        <w:trPr>
          <w:trHeight w:val="18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3E27C315" w14:textId="77777777" w:rsidR="001012C3" w:rsidRPr="002930A1" w:rsidRDefault="001012C3" w:rsidP="00384306">
            <w:pPr>
              <w:rPr>
                <w:rFonts w:eastAsia="Times New Roman"/>
                <w:sz w:val="20"/>
                <w:szCs w:val="21"/>
              </w:rPr>
            </w:pPr>
            <w:r w:rsidRPr="002930A1">
              <w:rPr>
                <w:rFonts w:eastAsia="Times New Roman"/>
                <w:sz w:val="20"/>
                <w:szCs w:val="21"/>
              </w:rPr>
              <w:t>DHB</w:t>
            </w:r>
          </w:p>
        </w:tc>
        <w:tc>
          <w:tcPr>
            <w:tcW w:w="7182" w:type="dxa"/>
            <w:vAlign w:val="center"/>
          </w:tcPr>
          <w:p w14:paraId="1673E528"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District Health Board</w:t>
            </w:r>
          </w:p>
        </w:tc>
      </w:tr>
      <w:tr w:rsidR="001012C3" w:rsidRPr="002930A1" w14:paraId="6E5872DC" w14:textId="77777777" w:rsidTr="00942CAB">
        <w:trPr>
          <w:trHeight w:val="18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14:paraId="458F9BAA" w14:textId="77777777" w:rsidR="001012C3" w:rsidRPr="002930A1" w:rsidRDefault="001012C3" w:rsidP="00384306">
            <w:pPr>
              <w:rPr>
                <w:rFonts w:eastAsia="Times New Roman"/>
                <w:sz w:val="20"/>
                <w:szCs w:val="21"/>
              </w:rPr>
            </w:pPr>
            <w:r w:rsidRPr="002930A1">
              <w:rPr>
                <w:rFonts w:eastAsia="Times New Roman"/>
                <w:sz w:val="20"/>
                <w:szCs w:val="21"/>
              </w:rPr>
              <w:t>DRGs</w:t>
            </w:r>
          </w:p>
        </w:tc>
        <w:tc>
          <w:tcPr>
            <w:tcW w:w="7182" w:type="dxa"/>
            <w:tcBorders>
              <w:bottom w:val="single" w:sz="8" w:space="0" w:color="4F81BD" w:themeColor="accent1"/>
            </w:tcBorders>
            <w:vAlign w:val="center"/>
          </w:tcPr>
          <w:p w14:paraId="315393C3"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Diagnosis Related Groups</w:t>
            </w:r>
          </w:p>
        </w:tc>
      </w:tr>
      <w:tr w:rsidR="00942CAB" w:rsidRPr="002930A1" w14:paraId="6343E96A" w14:textId="77777777" w:rsidTr="00942CAB">
        <w:trPr>
          <w:trHeight w:val="17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tcBorders>
            <w:vAlign w:val="center"/>
          </w:tcPr>
          <w:p w14:paraId="523B45A7" w14:textId="77777777" w:rsidR="00942CAB" w:rsidRPr="002930A1" w:rsidRDefault="00942CAB" w:rsidP="00384306">
            <w:pPr>
              <w:rPr>
                <w:rFonts w:eastAsia="Times New Roman"/>
                <w:sz w:val="20"/>
                <w:szCs w:val="21"/>
              </w:rPr>
            </w:pPr>
            <w:r w:rsidRPr="002930A1">
              <w:rPr>
                <w:rFonts w:eastAsia="Times New Roman"/>
                <w:sz w:val="20"/>
                <w:szCs w:val="21"/>
              </w:rPr>
              <w:t>DTG</w:t>
            </w:r>
          </w:p>
        </w:tc>
        <w:tc>
          <w:tcPr>
            <w:tcW w:w="7182" w:type="dxa"/>
            <w:tcBorders>
              <w:bottom w:val="single" w:sz="8" w:space="0" w:color="4F81BD" w:themeColor="accent1"/>
            </w:tcBorders>
            <w:vAlign w:val="center"/>
          </w:tcPr>
          <w:p w14:paraId="46EBE884" w14:textId="77777777" w:rsidR="00942CAB" w:rsidRPr="002930A1" w:rsidRDefault="00942CAB"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DRG Technical Group </w:t>
            </w:r>
          </w:p>
        </w:tc>
      </w:tr>
      <w:tr w:rsidR="001012C3" w:rsidRPr="002930A1" w14:paraId="7AFAD38C" w14:textId="77777777" w:rsidTr="00384306">
        <w:trPr>
          <w:trHeight w:val="177"/>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14:paraId="3F5E8311" w14:textId="77777777" w:rsidR="001012C3" w:rsidRPr="002930A1" w:rsidRDefault="001012C3" w:rsidP="00384306">
            <w:pPr>
              <w:rPr>
                <w:rFonts w:eastAsia="Times New Roman"/>
                <w:sz w:val="20"/>
                <w:szCs w:val="21"/>
              </w:rPr>
            </w:pPr>
            <w:r w:rsidRPr="002930A1">
              <w:rPr>
                <w:rFonts w:eastAsia="Times New Roman"/>
                <w:sz w:val="20"/>
                <w:szCs w:val="21"/>
              </w:rPr>
              <w:t>ECMO</w:t>
            </w:r>
          </w:p>
        </w:tc>
        <w:tc>
          <w:tcPr>
            <w:tcW w:w="7182" w:type="dxa"/>
            <w:tcBorders>
              <w:bottom w:val="single" w:sz="8" w:space="0" w:color="4F81BD" w:themeColor="accent1"/>
            </w:tcBorders>
            <w:vAlign w:val="center"/>
          </w:tcPr>
          <w:p w14:paraId="27D6EACF"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Extracorporeal Membrane Oxygenation </w:t>
            </w:r>
          </w:p>
        </w:tc>
      </w:tr>
      <w:tr w:rsidR="007928DF" w:rsidRPr="002930A1" w14:paraId="5E7ECC0A" w14:textId="77777777" w:rsidTr="00384306">
        <w:trPr>
          <w:trHeight w:val="33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0392A596" w14:textId="77777777" w:rsidR="007928DF" w:rsidRPr="002930A1" w:rsidRDefault="007928DF" w:rsidP="00384306">
            <w:pPr>
              <w:rPr>
                <w:rFonts w:eastAsia="Times New Roman"/>
                <w:sz w:val="20"/>
                <w:szCs w:val="21"/>
              </w:rPr>
            </w:pPr>
            <w:r w:rsidRPr="002930A1">
              <w:rPr>
                <w:rFonts w:eastAsia="Times New Roman"/>
                <w:sz w:val="20"/>
                <w:szCs w:val="21"/>
              </w:rPr>
              <w:t>GORD</w:t>
            </w:r>
          </w:p>
        </w:tc>
        <w:tc>
          <w:tcPr>
            <w:tcW w:w="7182" w:type="dxa"/>
            <w:vAlign w:val="center"/>
          </w:tcPr>
          <w:p w14:paraId="2BE72B8F" w14:textId="77777777" w:rsidR="007928DF" w:rsidRPr="002930A1" w:rsidRDefault="00BB30F5" w:rsidP="00942CA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1"/>
              </w:rPr>
            </w:pPr>
            <w:r w:rsidRPr="002930A1">
              <w:rPr>
                <w:rFonts w:cstheme="minorHAnsi"/>
                <w:sz w:val="20"/>
                <w:szCs w:val="21"/>
              </w:rPr>
              <w:t>G</w:t>
            </w:r>
            <w:r w:rsidR="00942CAB" w:rsidRPr="002930A1">
              <w:rPr>
                <w:rFonts w:cstheme="minorHAnsi"/>
                <w:sz w:val="20"/>
                <w:szCs w:val="21"/>
              </w:rPr>
              <w:t>astro-oesophageal R</w:t>
            </w:r>
            <w:r w:rsidR="007928DF" w:rsidRPr="002930A1">
              <w:rPr>
                <w:rFonts w:cstheme="minorHAnsi"/>
                <w:sz w:val="20"/>
                <w:szCs w:val="21"/>
              </w:rPr>
              <w:t xml:space="preserve">eflux </w:t>
            </w:r>
            <w:r w:rsidR="00942CAB" w:rsidRPr="002930A1">
              <w:rPr>
                <w:rFonts w:cstheme="minorHAnsi"/>
                <w:sz w:val="20"/>
                <w:szCs w:val="21"/>
              </w:rPr>
              <w:t>D</w:t>
            </w:r>
            <w:r w:rsidR="007928DF" w:rsidRPr="002930A1">
              <w:rPr>
                <w:rFonts w:cstheme="minorHAnsi"/>
                <w:sz w:val="20"/>
                <w:szCs w:val="21"/>
              </w:rPr>
              <w:t>isease</w:t>
            </w:r>
          </w:p>
        </w:tc>
      </w:tr>
      <w:tr w:rsidR="001012C3" w:rsidRPr="002930A1" w14:paraId="6A07B528" w14:textId="77777777" w:rsidTr="00384306">
        <w:trPr>
          <w:trHeight w:val="33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41667339" w14:textId="77777777" w:rsidR="001012C3" w:rsidRPr="002930A1" w:rsidRDefault="001012C3" w:rsidP="00384306">
            <w:pPr>
              <w:rPr>
                <w:rFonts w:eastAsia="Times New Roman"/>
                <w:sz w:val="20"/>
                <w:szCs w:val="21"/>
              </w:rPr>
            </w:pPr>
            <w:r w:rsidRPr="002930A1">
              <w:rPr>
                <w:rFonts w:eastAsia="Times New Roman"/>
                <w:sz w:val="20"/>
                <w:szCs w:val="21"/>
              </w:rPr>
              <w:t>HB</w:t>
            </w:r>
          </w:p>
        </w:tc>
        <w:tc>
          <w:tcPr>
            <w:tcW w:w="7182" w:type="dxa"/>
            <w:vAlign w:val="center"/>
          </w:tcPr>
          <w:p w14:paraId="125F3883"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High Boundary </w:t>
            </w:r>
          </w:p>
        </w:tc>
      </w:tr>
      <w:tr w:rsidR="001012C3" w:rsidRPr="002930A1" w14:paraId="3CBDBAD5"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44BDA8E1" w14:textId="77777777" w:rsidR="001012C3" w:rsidRPr="002930A1" w:rsidRDefault="001012C3" w:rsidP="00384306">
            <w:pPr>
              <w:rPr>
                <w:rFonts w:eastAsia="Times New Roman"/>
                <w:sz w:val="20"/>
                <w:szCs w:val="21"/>
              </w:rPr>
            </w:pPr>
            <w:r w:rsidRPr="002930A1">
              <w:rPr>
                <w:rFonts w:eastAsia="Times New Roman"/>
                <w:sz w:val="20"/>
                <w:szCs w:val="21"/>
              </w:rPr>
              <w:t>HCFA</w:t>
            </w:r>
          </w:p>
        </w:tc>
        <w:tc>
          <w:tcPr>
            <w:tcW w:w="7182" w:type="dxa"/>
            <w:vAlign w:val="center"/>
          </w:tcPr>
          <w:p w14:paraId="3B04A86A"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Health Care Financing Administration </w:t>
            </w:r>
          </w:p>
        </w:tc>
      </w:tr>
      <w:tr w:rsidR="00553686" w:rsidRPr="002930A1" w14:paraId="25C6CF97"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vAlign w:val="center"/>
          </w:tcPr>
          <w:p w14:paraId="55B54C6D" w14:textId="77777777" w:rsidR="00553686" w:rsidRPr="002930A1" w:rsidRDefault="00553686" w:rsidP="00384306">
            <w:pPr>
              <w:rPr>
                <w:rFonts w:eastAsia="Times New Roman"/>
                <w:sz w:val="20"/>
                <w:szCs w:val="21"/>
              </w:rPr>
            </w:pPr>
            <w:r w:rsidRPr="002930A1">
              <w:rPr>
                <w:rFonts w:eastAsia="Times New Roman"/>
                <w:sz w:val="20"/>
                <w:szCs w:val="21"/>
              </w:rPr>
              <w:t>ICD</w:t>
            </w:r>
          </w:p>
        </w:tc>
        <w:tc>
          <w:tcPr>
            <w:tcW w:w="7182" w:type="dxa"/>
            <w:vAlign w:val="center"/>
          </w:tcPr>
          <w:p w14:paraId="2741E3A4" w14:textId="77777777" w:rsidR="00553686" w:rsidRPr="002930A1" w:rsidRDefault="00553686"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International Statistical Classification of Diseases</w:t>
            </w:r>
          </w:p>
        </w:tc>
      </w:tr>
      <w:tr w:rsidR="001012C3" w:rsidRPr="002930A1" w14:paraId="28D53153"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vAlign w:val="center"/>
          </w:tcPr>
          <w:p w14:paraId="5716927F" w14:textId="77777777" w:rsidR="001012C3" w:rsidRPr="002930A1" w:rsidRDefault="001012C3" w:rsidP="00384306">
            <w:pPr>
              <w:rPr>
                <w:rFonts w:eastAsia="Times New Roman"/>
                <w:sz w:val="20"/>
                <w:szCs w:val="21"/>
              </w:rPr>
            </w:pPr>
            <w:r w:rsidRPr="002930A1">
              <w:rPr>
                <w:rFonts w:eastAsia="Times New Roman"/>
                <w:sz w:val="20"/>
                <w:szCs w:val="21"/>
              </w:rPr>
              <w:t>ICD-10</w:t>
            </w:r>
          </w:p>
        </w:tc>
        <w:tc>
          <w:tcPr>
            <w:tcW w:w="7182" w:type="dxa"/>
            <w:tcBorders>
              <w:bottom w:val="single" w:sz="8" w:space="0" w:color="4F81BD" w:themeColor="accent1"/>
            </w:tcBorders>
            <w:vAlign w:val="center"/>
          </w:tcPr>
          <w:p w14:paraId="17FEE649"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International Statistical Classification of Diseases and Related Health Problems, </w:t>
            </w:r>
            <w:r w:rsidR="00553686" w:rsidRPr="002930A1">
              <w:rPr>
                <w:rFonts w:eastAsia="Times New Roman"/>
                <w:sz w:val="20"/>
                <w:szCs w:val="21"/>
              </w:rPr>
              <w:t xml:space="preserve">Tenth </w:t>
            </w:r>
            <w:r w:rsidRPr="002930A1">
              <w:rPr>
                <w:rFonts w:eastAsia="Times New Roman"/>
                <w:sz w:val="20"/>
                <w:szCs w:val="21"/>
              </w:rPr>
              <w:t>Revision</w:t>
            </w:r>
          </w:p>
        </w:tc>
      </w:tr>
      <w:tr w:rsidR="001012C3" w:rsidRPr="002930A1" w14:paraId="3CE49BC2"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right w:val="none" w:sz="0" w:space="0" w:color="auto"/>
            </w:tcBorders>
            <w:vAlign w:val="center"/>
          </w:tcPr>
          <w:p w14:paraId="15D1F67A" w14:textId="77777777" w:rsidR="001012C3" w:rsidRPr="002930A1" w:rsidRDefault="001012C3" w:rsidP="00384306">
            <w:pPr>
              <w:rPr>
                <w:rFonts w:eastAsia="Times New Roman"/>
                <w:sz w:val="20"/>
                <w:szCs w:val="21"/>
              </w:rPr>
            </w:pPr>
            <w:r w:rsidRPr="002930A1">
              <w:rPr>
                <w:rFonts w:eastAsia="Times New Roman"/>
                <w:sz w:val="20"/>
                <w:szCs w:val="21"/>
              </w:rPr>
              <w:t>ICD-10-AM</w:t>
            </w:r>
          </w:p>
        </w:tc>
        <w:tc>
          <w:tcPr>
            <w:tcW w:w="7182" w:type="dxa"/>
            <w:tcBorders>
              <w:bottom w:val="single" w:sz="8" w:space="0" w:color="4F81BD" w:themeColor="accent1"/>
            </w:tcBorders>
            <w:vAlign w:val="center"/>
          </w:tcPr>
          <w:p w14:paraId="32E95813"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International Statistical Classification of Diseases and Related Health Problems, </w:t>
            </w:r>
            <w:r w:rsidR="00553686" w:rsidRPr="002930A1">
              <w:rPr>
                <w:rFonts w:eastAsia="Times New Roman"/>
                <w:sz w:val="20"/>
                <w:szCs w:val="21"/>
              </w:rPr>
              <w:t xml:space="preserve">Tenth </w:t>
            </w:r>
            <w:r w:rsidRPr="002930A1">
              <w:rPr>
                <w:rFonts w:eastAsia="Times New Roman"/>
                <w:sz w:val="20"/>
                <w:szCs w:val="21"/>
              </w:rPr>
              <w:t>Revision,  Australian Modification</w:t>
            </w:r>
          </w:p>
        </w:tc>
      </w:tr>
      <w:tr w:rsidR="00942CAB" w:rsidRPr="002930A1" w14:paraId="3B0458C2" w14:textId="77777777" w:rsidTr="008B729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29382690" w14:textId="77777777" w:rsidR="00942CAB" w:rsidRPr="002930A1" w:rsidRDefault="00942CAB" w:rsidP="008B7299">
            <w:pPr>
              <w:rPr>
                <w:rFonts w:eastAsia="Times New Roman"/>
                <w:sz w:val="20"/>
                <w:szCs w:val="21"/>
              </w:rPr>
            </w:pPr>
            <w:r w:rsidRPr="002930A1">
              <w:rPr>
                <w:rFonts w:eastAsia="Times New Roman"/>
                <w:sz w:val="20"/>
                <w:szCs w:val="21"/>
              </w:rPr>
              <w:t>ICU</w:t>
            </w:r>
          </w:p>
        </w:tc>
        <w:tc>
          <w:tcPr>
            <w:tcW w:w="7182" w:type="dxa"/>
            <w:tcBorders>
              <w:right w:val="nil"/>
            </w:tcBorders>
            <w:vAlign w:val="center"/>
          </w:tcPr>
          <w:p w14:paraId="6A2C27EB" w14:textId="77777777" w:rsidR="00942CAB" w:rsidRPr="002930A1" w:rsidRDefault="00942CAB" w:rsidP="008B729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Intensive Care Unit</w:t>
            </w:r>
          </w:p>
        </w:tc>
      </w:tr>
      <w:tr w:rsidR="00942CAB" w:rsidRPr="002930A1" w14:paraId="5D61F5E8"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30CDE404" w14:textId="77777777" w:rsidR="00942CAB" w:rsidRPr="002930A1" w:rsidRDefault="00942CAB" w:rsidP="00384306">
            <w:pPr>
              <w:rPr>
                <w:rFonts w:eastAsia="Times New Roman"/>
                <w:sz w:val="20"/>
                <w:szCs w:val="21"/>
              </w:rPr>
            </w:pPr>
            <w:r w:rsidRPr="002930A1">
              <w:rPr>
                <w:rFonts w:eastAsia="Times New Roman"/>
                <w:sz w:val="20"/>
                <w:szCs w:val="21"/>
              </w:rPr>
              <w:t>ITG</w:t>
            </w:r>
          </w:p>
        </w:tc>
        <w:tc>
          <w:tcPr>
            <w:tcW w:w="7182" w:type="dxa"/>
            <w:tcBorders>
              <w:right w:val="nil"/>
            </w:tcBorders>
            <w:vAlign w:val="center"/>
          </w:tcPr>
          <w:p w14:paraId="65B1499D" w14:textId="77777777" w:rsidR="00942CAB" w:rsidRPr="002930A1" w:rsidRDefault="00942CAB"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ICD Technical Group</w:t>
            </w:r>
          </w:p>
        </w:tc>
      </w:tr>
      <w:tr w:rsidR="00553686" w:rsidRPr="002930A1" w14:paraId="5E18C45E"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1223B860" w14:textId="77777777" w:rsidR="00553686" w:rsidRPr="002930A1" w:rsidRDefault="00553686" w:rsidP="00384306">
            <w:pPr>
              <w:rPr>
                <w:rFonts w:eastAsia="Times New Roman"/>
                <w:sz w:val="20"/>
                <w:szCs w:val="21"/>
              </w:rPr>
            </w:pPr>
            <w:r w:rsidRPr="002930A1">
              <w:rPr>
                <w:rFonts w:eastAsia="Times New Roman"/>
                <w:sz w:val="20"/>
                <w:szCs w:val="21"/>
              </w:rPr>
              <w:t>IHPA</w:t>
            </w:r>
          </w:p>
        </w:tc>
        <w:tc>
          <w:tcPr>
            <w:tcW w:w="7182" w:type="dxa"/>
            <w:tcBorders>
              <w:right w:val="nil"/>
            </w:tcBorders>
            <w:vAlign w:val="center"/>
          </w:tcPr>
          <w:p w14:paraId="7F64EE59" w14:textId="77777777" w:rsidR="00553686" w:rsidRPr="002930A1" w:rsidRDefault="00553686"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Independent Hospital Pricing Authority</w:t>
            </w:r>
            <w:r w:rsidR="00455186" w:rsidRPr="002930A1">
              <w:rPr>
                <w:rFonts w:eastAsia="Times New Roman"/>
                <w:sz w:val="20"/>
                <w:szCs w:val="21"/>
              </w:rPr>
              <w:t>, Australia</w:t>
            </w:r>
          </w:p>
        </w:tc>
      </w:tr>
      <w:tr w:rsidR="001012C3" w:rsidRPr="002930A1" w14:paraId="026DF01C"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773223AF" w14:textId="77777777" w:rsidR="001012C3" w:rsidRPr="002930A1" w:rsidRDefault="001012C3" w:rsidP="00384306">
            <w:pPr>
              <w:rPr>
                <w:rFonts w:eastAsia="Times New Roman"/>
                <w:sz w:val="20"/>
                <w:szCs w:val="21"/>
              </w:rPr>
            </w:pPr>
            <w:r w:rsidRPr="002930A1">
              <w:rPr>
                <w:rFonts w:eastAsia="Times New Roman"/>
                <w:sz w:val="20"/>
                <w:szCs w:val="21"/>
              </w:rPr>
              <w:t>LB</w:t>
            </w:r>
          </w:p>
        </w:tc>
        <w:tc>
          <w:tcPr>
            <w:tcW w:w="7182" w:type="dxa"/>
            <w:tcBorders>
              <w:right w:val="nil"/>
            </w:tcBorders>
            <w:vAlign w:val="center"/>
          </w:tcPr>
          <w:p w14:paraId="598FF319"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Low Boundary </w:t>
            </w:r>
          </w:p>
        </w:tc>
      </w:tr>
      <w:tr w:rsidR="001012C3" w:rsidRPr="002930A1" w14:paraId="212ABE03"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right w:val="none" w:sz="0" w:space="0" w:color="auto"/>
            </w:tcBorders>
            <w:vAlign w:val="center"/>
          </w:tcPr>
          <w:p w14:paraId="4EA11679" w14:textId="77777777" w:rsidR="001012C3" w:rsidRPr="002930A1" w:rsidRDefault="001012C3" w:rsidP="00384306">
            <w:pPr>
              <w:rPr>
                <w:rFonts w:eastAsia="Times New Roman"/>
                <w:sz w:val="20"/>
                <w:szCs w:val="21"/>
              </w:rPr>
            </w:pPr>
            <w:r w:rsidRPr="002930A1">
              <w:rPr>
                <w:rFonts w:eastAsia="Times New Roman"/>
                <w:sz w:val="20"/>
                <w:szCs w:val="21"/>
              </w:rPr>
              <w:t>LOS</w:t>
            </w:r>
          </w:p>
        </w:tc>
        <w:tc>
          <w:tcPr>
            <w:tcW w:w="7182" w:type="dxa"/>
            <w:tcBorders>
              <w:bottom w:val="single" w:sz="8" w:space="0" w:color="4F81BD" w:themeColor="accent1"/>
              <w:right w:val="nil"/>
            </w:tcBorders>
            <w:vAlign w:val="center"/>
          </w:tcPr>
          <w:p w14:paraId="14E7F18F"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Length of Stay</w:t>
            </w:r>
          </w:p>
        </w:tc>
      </w:tr>
      <w:tr w:rsidR="0035535D" w:rsidRPr="002930A1" w14:paraId="621FF5FA"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tcBorders>
            <w:vAlign w:val="center"/>
          </w:tcPr>
          <w:p w14:paraId="7FC8425E" w14:textId="77777777" w:rsidR="0035535D" w:rsidRPr="002930A1" w:rsidRDefault="0035535D" w:rsidP="00384306">
            <w:pPr>
              <w:rPr>
                <w:rFonts w:eastAsia="Times New Roman"/>
                <w:sz w:val="20"/>
                <w:szCs w:val="21"/>
              </w:rPr>
            </w:pPr>
            <w:r w:rsidRPr="002930A1">
              <w:rPr>
                <w:rFonts w:eastAsia="Times New Roman"/>
                <w:sz w:val="20"/>
                <w:szCs w:val="21"/>
              </w:rPr>
              <w:t>MBS</w:t>
            </w:r>
          </w:p>
        </w:tc>
        <w:tc>
          <w:tcPr>
            <w:tcW w:w="7182" w:type="dxa"/>
            <w:tcBorders>
              <w:bottom w:val="single" w:sz="8" w:space="0" w:color="4F81BD" w:themeColor="accent1"/>
              <w:right w:val="nil"/>
            </w:tcBorders>
            <w:vAlign w:val="center"/>
          </w:tcPr>
          <w:p w14:paraId="40A702B7" w14:textId="77777777" w:rsidR="0035535D" w:rsidRPr="002930A1" w:rsidRDefault="0035535D"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Medicare Benefits Schedule</w:t>
            </w:r>
          </w:p>
        </w:tc>
      </w:tr>
      <w:tr w:rsidR="001012C3" w:rsidRPr="002930A1" w14:paraId="1580114C"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7F2C6D4E" w14:textId="77777777" w:rsidR="001012C3" w:rsidRPr="002930A1" w:rsidRDefault="001012C3" w:rsidP="00384306">
            <w:pPr>
              <w:rPr>
                <w:rFonts w:eastAsia="Times New Roman"/>
                <w:sz w:val="20"/>
                <w:szCs w:val="21"/>
              </w:rPr>
            </w:pPr>
            <w:r w:rsidRPr="002930A1">
              <w:rPr>
                <w:rFonts w:eastAsia="Times New Roman"/>
                <w:sz w:val="20"/>
                <w:szCs w:val="21"/>
              </w:rPr>
              <w:t>MDC</w:t>
            </w:r>
          </w:p>
        </w:tc>
        <w:tc>
          <w:tcPr>
            <w:tcW w:w="7182" w:type="dxa"/>
            <w:tcBorders>
              <w:right w:val="nil"/>
            </w:tcBorders>
            <w:vAlign w:val="center"/>
          </w:tcPr>
          <w:p w14:paraId="666A4258"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 xml:space="preserve">Major Diagnostic Category </w:t>
            </w:r>
          </w:p>
        </w:tc>
      </w:tr>
      <w:tr w:rsidR="001012C3" w:rsidRPr="002930A1" w14:paraId="6DEC6B37"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6D245697" w14:textId="77777777" w:rsidR="001012C3" w:rsidRPr="002930A1" w:rsidRDefault="001012C3" w:rsidP="00384306">
            <w:pPr>
              <w:rPr>
                <w:rFonts w:eastAsia="Times New Roman"/>
                <w:sz w:val="20"/>
                <w:szCs w:val="21"/>
              </w:rPr>
            </w:pPr>
            <w:r w:rsidRPr="002930A1">
              <w:rPr>
                <w:rFonts w:eastAsia="Times New Roman"/>
                <w:sz w:val="20"/>
                <w:szCs w:val="21"/>
              </w:rPr>
              <w:t>NCAMP</w:t>
            </w:r>
          </w:p>
        </w:tc>
        <w:tc>
          <w:tcPr>
            <w:tcW w:w="7182" w:type="dxa"/>
            <w:tcBorders>
              <w:right w:val="nil"/>
            </w:tcBorders>
            <w:vAlign w:val="center"/>
          </w:tcPr>
          <w:p w14:paraId="261AD1B9"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Collections Annual Maintenance Project</w:t>
            </w:r>
          </w:p>
        </w:tc>
      </w:tr>
      <w:tr w:rsidR="00553686" w:rsidRPr="002930A1" w14:paraId="44DA0377"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21DA01FC" w14:textId="77777777" w:rsidR="00553686" w:rsidRPr="002930A1" w:rsidRDefault="00553686" w:rsidP="00384306">
            <w:pPr>
              <w:rPr>
                <w:rFonts w:eastAsia="Times New Roman"/>
                <w:sz w:val="20"/>
                <w:szCs w:val="21"/>
              </w:rPr>
            </w:pPr>
            <w:r w:rsidRPr="002930A1">
              <w:rPr>
                <w:rFonts w:eastAsia="Times New Roman"/>
                <w:sz w:val="20"/>
                <w:szCs w:val="21"/>
              </w:rPr>
              <w:t>NCCH</w:t>
            </w:r>
          </w:p>
        </w:tc>
        <w:tc>
          <w:tcPr>
            <w:tcW w:w="7182" w:type="dxa"/>
            <w:tcBorders>
              <w:right w:val="nil"/>
            </w:tcBorders>
            <w:vAlign w:val="center"/>
          </w:tcPr>
          <w:p w14:paraId="438AF4B1" w14:textId="77777777" w:rsidR="00553686" w:rsidRPr="002930A1" w:rsidRDefault="00756057"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Centre for Classification in Health</w:t>
            </w:r>
          </w:p>
        </w:tc>
      </w:tr>
      <w:tr w:rsidR="001012C3" w:rsidRPr="002930A1" w14:paraId="7DA89E7A"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7AC3CBE9" w14:textId="77777777" w:rsidR="001012C3" w:rsidRPr="002930A1" w:rsidRDefault="001012C3" w:rsidP="00384306">
            <w:pPr>
              <w:rPr>
                <w:rFonts w:eastAsia="Times New Roman"/>
                <w:sz w:val="20"/>
                <w:szCs w:val="21"/>
              </w:rPr>
            </w:pPr>
            <w:r w:rsidRPr="002930A1">
              <w:rPr>
                <w:rFonts w:eastAsia="Times New Roman"/>
                <w:sz w:val="20"/>
                <w:szCs w:val="21"/>
              </w:rPr>
              <w:t>NCCP</w:t>
            </w:r>
          </w:p>
        </w:tc>
        <w:tc>
          <w:tcPr>
            <w:tcW w:w="7182" w:type="dxa"/>
            <w:tcBorders>
              <w:right w:val="nil"/>
            </w:tcBorders>
            <w:vAlign w:val="center"/>
          </w:tcPr>
          <w:p w14:paraId="4472A820"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Costing Collection and Pricing Programme</w:t>
            </w:r>
          </w:p>
        </w:tc>
      </w:tr>
      <w:tr w:rsidR="002D3B5F" w:rsidRPr="002930A1" w14:paraId="0B79AE1E"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48D499C4" w14:textId="77777777" w:rsidR="002D3B5F" w:rsidRPr="002930A1" w:rsidRDefault="002D3B5F" w:rsidP="00384306">
            <w:pPr>
              <w:rPr>
                <w:rFonts w:eastAsia="Times New Roman"/>
                <w:sz w:val="20"/>
                <w:szCs w:val="21"/>
              </w:rPr>
            </w:pPr>
            <w:r w:rsidRPr="002930A1">
              <w:rPr>
                <w:rFonts w:eastAsia="Times New Roman"/>
                <w:sz w:val="20"/>
                <w:szCs w:val="21"/>
              </w:rPr>
              <w:t>NICU</w:t>
            </w:r>
          </w:p>
        </w:tc>
        <w:tc>
          <w:tcPr>
            <w:tcW w:w="7182" w:type="dxa"/>
            <w:tcBorders>
              <w:right w:val="nil"/>
            </w:tcBorders>
            <w:vAlign w:val="center"/>
          </w:tcPr>
          <w:p w14:paraId="1F1BE054" w14:textId="77777777" w:rsidR="002D3B5F" w:rsidRPr="002930A1" w:rsidRDefault="002D3B5F"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Neonatal Intensive Care Unit</w:t>
            </w:r>
          </w:p>
        </w:tc>
      </w:tr>
      <w:tr w:rsidR="001012C3" w:rsidRPr="002930A1" w14:paraId="561B38B6"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56195FD5" w14:textId="77777777" w:rsidR="001012C3" w:rsidRPr="002930A1" w:rsidRDefault="001012C3" w:rsidP="00384306">
            <w:pPr>
              <w:rPr>
                <w:rFonts w:eastAsia="Times New Roman"/>
                <w:sz w:val="20"/>
                <w:szCs w:val="21"/>
              </w:rPr>
            </w:pPr>
            <w:r w:rsidRPr="002930A1">
              <w:rPr>
                <w:rFonts w:eastAsia="Times New Roman"/>
                <w:sz w:val="20"/>
                <w:szCs w:val="21"/>
              </w:rPr>
              <w:t>NMDS</w:t>
            </w:r>
          </w:p>
        </w:tc>
        <w:tc>
          <w:tcPr>
            <w:tcW w:w="7182" w:type="dxa"/>
            <w:tcBorders>
              <w:right w:val="nil"/>
            </w:tcBorders>
            <w:vAlign w:val="center"/>
          </w:tcPr>
          <w:p w14:paraId="267E4B4B"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National Minimum Dataset</w:t>
            </w:r>
          </w:p>
        </w:tc>
      </w:tr>
      <w:tr w:rsidR="001012C3" w:rsidRPr="002930A1" w14:paraId="4F3E4A9F"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6D5B8E5B" w14:textId="77777777" w:rsidR="001012C3" w:rsidRPr="002930A1" w:rsidRDefault="001012C3" w:rsidP="00384306">
            <w:pPr>
              <w:rPr>
                <w:rFonts w:eastAsia="Times New Roman"/>
                <w:sz w:val="20"/>
                <w:szCs w:val="21"/>
              </w:rPr>
            </w:pPr>
            <w:r w:rsidRPr="002930A1">
              <w:rPr>
                <w:rFonts w:eastAsia="Times New Roman"/>
                <w:sz w:val="20"/>
                <w:szCs w:val="21"/>
              </w:rPr>
              <w:t>NonOR</w:t>
            </w:r>
          </w:p>
        </w:tc>
        <w:tc>
          <w:tcPr>
            <w:tcW w:w="7182" w:type="dxa"/>
            <w:tcBorders>
              <w:right w:val="nil"/>
            </w:tcBorders>
            <w:vAlign w:val="center"/>
          </w:tcPr>
          <w:p w14:paraId="6C713D01"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Non-Operating Room</w:t>
            </w:r>
          </w:p>
        </w:tc>
      </w:tr>
      <w:tr w:rsidR="001012C3" w:rsidRPr="002930A1" w14:paraId="05AACDF2"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23C187F6" w14:textId="77777777" w:rsidR="001012C3" w:rsidRPr="002930A1" w:rsidRDefault="001012C3" w:rsidP="00384306">
            <w:pPr>
              <w:rPr>
                <w:rFonts w:eastAsia="Times New Roman"/>
                <w:sz w:val="20"/>
                <w:szCs w:val="21"/>
              </w:rPr>
            </w:pPr>
            <w:r w:rsidRPr="002930A1">
              <w:rPr>
                <w:rFonts w:eastAsia="Times New Roman"/>
                <w:sz w:val="20"/>
                <w:szCs w:val="21"/>
              </w:rPr>
              <w:t>NZDRG</w:t>
            </w:r>
          </w:p>
        </w:tc>
        <w:tc>
          <w:tcPr>
            <w:tcW w:w="7182" w:type="dxa"/>
            <w:tcBorders>
              <w:right w:val="nil"/>
            </w:tcBorders>
            <w:vAlign w:val="center"/>
          </w:tcPr>
          <w:p w14:paraId="5289A5CF"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New Zealand Diagnosis Related Group</w:t>
            </w:r>
          </w:p>
        </w:tc>
      </w:tr>
      <w:tr w:rsidR="001012C3" w:rsidRPr="002930A1" w14:paraId="78F0561D"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04AB64EE" w14:textId="77777777" w:rsidR="001012C3" w:rsidRPr="002930A1" w:rsidRDefault="001012C3" w:rsidP="00384306">
            <w:pPr>
              <w:rPr>
                <w:rFonts w:eastAsia="Times New Roman"/>
                <w:sz w:val="20"/>
                <w:szCs w:val="21"/>
              </w:rPr>
            </w:pPr>
            <w:r w:rsidRPr="002930A1">
              <w:rPr>
                <w:rFonts w:eastAsia="Times New Roman"/>
                <w:sz w:val="20"/>
                <w:szCs w:val="21"/>
              </w:rPr>
              <w:t>OD</w:t>
            </w:r>
          </w:p>
        </w:tc>
        <w:tc>
          <w:tcPr>
            <w:tcW w:w="7182" w:type="dxa"/>
            <w:tcBorders>
              <w:right w:val="nil"/>
            </w:tcBorders>
            <w:vAlign w:val="center"/>
          </w:tcPr>
          <w:p w14:paraId="3E4BB1CA"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One Day</w:t>
            </w:r>
          </w:p>
        </w:tc>
      </w:tr>
      <w:tr w:rsidR="001012C3" w:rsidRPr="002930A1" w14:paraId="197954C5"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37249E88" w14:textId="77777777" w:rsidR="001012C3" w:rsidRPr="002930A1" w:rsidRDefault="001012C3" w:rsidP="00384306">
            <w:pPr>
              <w:rPr>
                <w:rFonts w:eastAsia="Times New Roman"/>
                <w:sz w:val="20"/>
                <w:szCs w:val="21"/>
              </w:rPr>
            </w:pPr>
            <w:r w:rsidRPr="002930A1">
              <w:rPr>
                <w:rFonts w:eastAsia="Times New Roman"/>
                <w:sz w:val="20"/>
                <w:szCs w:val="21"/>
              </w:rPr>
              <w:t>OR</w:t>
            </w:r>
          </w:p>
        </w:tc>
        <w:tc>
          <w:tcPr>
            <w:tcW w:w="7182" w:type="dxa"/>
            <w:tcBorders>
              <w:right w:val="nil"/>
            </w:tcBorders>
            <w:vAlign w:val="center"/>
          </w:tcPr>
          <w:p w14:paraId="12E294F6"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Operating Room</w:t>
            </w:r>
          </w:p>
        </w:tc>
      </w:tr>
      <w:tr w:rsidR="001012C3" w:rsidRPr="002930A1" w14:paraId="2A90539E"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5EB5D445" w14:textId="77777777" w:rsidR="001012C3" w:rsidRPr="002930A1" w:rsidRDefault="001012C3" w:rsidP="00384306">
            <w:pPr>
              <w:rPr>
                <w:rFonts w:eastAsia="Times New Roman"/>
                <w:sz w:val="20"/>
                <w:szCs w:val="21"/>
              </w:rPr>
            </w:pPr>
            <w:r w:rsidRPr="002930A1">
              <w:rPr>
                <w:rFonts w:eastAsia="Times New Roman"/>
                <w:sz w:val="20"/>
                <w:szCs w:val="21"/>
              </w:rPr>
              <w:t>PCCL</w:t>
            </w:r>
          </w:p>
        </w:tc>
        <w:tc>
          <w:tcPr>
            <w:tcW w:w="7182" w:type="dxa"/>
            <w:tcBorders>
              <w:right w:val="nil"/>
            </w:tcBorders>
            <w:vAlign w:val="center"/>
          </w:tcPr>
          <w:p w14:paraId="009D3895"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Patient Clinical Complexity Level</w:t>
            </w:r>
          </w:p>
        </w:tc>
      </w:tr>
      <w:tr w:rsidR="001012C3" w:rsidRPr="002930A1" w14:paraId="78784D71"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7DE4A3AC" w14:textId="77777777" w:rsidR="001012C3" w:rsidRPr="002930A1" w:rsidRDefault="001012C3" w:rsidP="00384306">
            <w:pPr>
              <w:rPr>
                <w:rFonts w:eastAsia="Times New Roman"/>
                <w:sz w:val="20"/>
                <w:szCs w:val="21"/>
              </w:rPr>
            </w:pPr>
            <w:r w:rsidRPr="002930A1">
              <w:rPr>
                <w:rFonts w:eastAsia="Times New Roman"/>
                <w:sz w:val="20"/>
                <w:szCs w:val="21"/>
              </w:rPr>
              <w:t>RHA</w:t>
            </w:r>
          </w:p>
        </w:tc>
        <w:tc>
          <w:tcPr>
            <w:tcW w:w="7182" w:type="dxa"/>
            <w:tcBorders>
              <w:right w:val="nil"/>
            </w:tcBorders>
            <w:vAlign w:val="center"/>
          </w:tcPr>
          <w:p w14:paraId="4767E991"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Regional Health Authority</w:t>
            </w:r>
          </w:p>
        </w:tc>
      </w:tr>
      <w:tr w:rsidR="001012C3" w:rsidRPr="002930A1" w14:paraId="228CD11E"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bottom w:val="single" w:sz="8" w:space="0" w:color="4F81BD" w:themeColor="accent1"/>
              <w:right w:val="none" w:sz="0" w:space="0" w:color="auto"/>
            </w:tcBorders>
            <w:vAlign w:val="center"/>
          </w:tcPr>
          <w:p w14:paraId="3A3FEC3A" w14:textId="77777777" w:rsidR="001012C3" w:rsidRPr="002930A1" w:rsidRDefault="001012C3" w:rsidP="00384306">
            <w:pPr>
              <w:rPr>
                <w:rFonts w:eastAsia="Times New Roman"/>
                <w:sz w:val="20"/>
                <w:szCs w:val="21"/>
              </w:rPr>
            </w:pPr>
            <w:r w:rsidRPr="002930A1">
              <w:rPr>
                <w:rFonts w:eastAsia="Times New Roman"/>
                <w:sz w:val="20"/>
                <w:szCs w:val="21"/>
              </w:rPr>
              <w:t>SD</w:t>
            </w:r>
          </w:p>
        </w:tc>
        <w:tc>
          <w:tcPr>
            <w:tcW w:w="7182" w:type="dxa"/>
            <w:tcBorders>
              <w:bottom w:val="single" w:sz="8" w:space="0" w:color="4F81BD" w:themeColor="accent1"/>
              <w:right w:val="nil"/>
            </w:tcBorders>
            <w:vAlign w:val="center"/>
          </w:tcPr>
          <w:p w14:paraId="4156306E" w14:textId="77777777" w:rsidR="001012C3" w:rsidRPr="002930A1" w:rsidRDefault="001012C3"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Same Day</w:t>
            </w:r>
          </w:p>
        </w:tc>
      </w:tr>
      <w:tr w:rsidR="00317F4E" w:rsidRPr="002930A1" w14:paraId="136F8F3A" w14:textId="77777777" w:rsidTr="00384306">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0F3F279F" w14:textId="77777777" w:rsidR="00317F4E" w:rsidRPr="002930A1" w:rsidRDefault="00317F4E" w:rsidP="00384306">
            <w:pPr>
              <w:rPr>
                <w:rFonts w:eastAsia="Times New Roman"/>
                <w:sz w:val="20"/>
                <w:szCs w:val="21"/>
              </w:rPr>
            </w:pPr>
            <w:r w:rsidRPr="002930A1">
              <w:rPr>
                <w:rFonts w:eastAsia="Times New Roman"/>
                <w:sz w:val="20"/>
                <w:szCs w:val="21"/>
              </w:rPr>
              <w:t>Separation</w:t>
            </w:r>
          </w:p>
        </w:tc>
        <w:tc>
          <w:tcPr>
            <w:tcW w:w="7182" w:type="dxa"/>
            <w:tcBorders>
              <w:bottom w:val="single" w:sz="8" w:space="0" w:color="4F81BD" w:themeColor="accent1"/>
              <w:right w:val="nil"/>
            </w:tcBorders>
            <w:vAlign w:val="center"/>
          </w:tcPr>
          <w:p w14:paraId="04DFA953" w14:textId="77777777" w:rsidR="00317F4E" w:rsidRPr="002930A1" w:rsidRDefault="00317F4E" w:rsidP="00384306">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Australian equivalent of the New Zealand term discharge</w:t>
            </w:r>
          </w:p>
        </w:tc>
      </w:tr>
      <w:tr w:rsidR="002930A1" w:rsidRPr="00AA4F27" w14:paraId="25074097" w14:textId="77777777" w:rsidTr="0081190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39D64EC8" w14:textId="77777777" w:rsidR="002930A1" w:rsidRPr="002930A1" w:rsidRDefault="002930A1" w:rsidP="00811909">
            <w:pPr>
              <w:rPr>
                <w:rFonts w:eastAsia="Times New Roman"/>
                <w:sz w:val="20"/>
                <w:szCs w:val="21"/>
              </w:rPr>
            </w:pPr>
            <w:r w:rsidRPr="002930A1">
              <w:rPr>
                <w:rFonts w:eastAsia="Times New Roman"/>
                <w:sz w:val="20"/>
                <w:szCs w:val="21"/>
              </w:rPr>
              <w:t>Sev</w:t>
            </w:r>
          </w:p>
        </w:tc>
        <w:tc>
          <w:tcPr>
            <w:tcW w:w="7182" w:type="dxa"/>
            <w:tcBorders>
              <w:right w:val="nil"/>
            </w:tcBorders>
            <w:vAlign w:val="center"/>
          </w:tcPr>
          <w:p w14:paraId="6D9916A9" w14:textId="77777777" w:rsidR="002930A1" w:rsidRPr="002930A1" w:rsidRDefault="002930A1" w:rsidP="0081190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Severe</w:t>
            </w:r>
          </w:p>
        </w:tc>
      </w:tr>
    </w:tbl>
    <w:p w14:paraId="2245A99D" w14:textId="77777777" w:rsidR="0048292D" w:rsidRDefault="0048292D" w:rsidP="002930A1">
      <w:pPr>
        <w:spacing w:after="0" w:line="240" w:lineRule="auto"/>
      </w:pPr>
    </w:p>
    <w:tbl>
      <w:tblPr>
        <w:tblStyle w:val="LightList-Accent1"/>
        <w:tblW w:w="8866" w:type="dxa"/>
        <w:jc w:val="center"/>
        <w:tblBorders>
          <w:left w:val="none" w:sz="0" w:space="0" w:color="auto"/>
          <w:right w:val="none" w:sz="0" w:space="0" w:color="auto"/>
          <w:insideH w:val="single" w:sz="8" w:space="0" w:color="4F81BD" w:themeColor="accent1"/>
          <w:insideV w:val="single" w:sz="8" w:space="0" w:color="4F81BD" w:themeColor="accent1"/>
        </w:tblBorders>
        <w:tblLook w:val="0000" w:firstRow="0" w:lastRow="0" w:firstColumn="0" w:lastColumn="0" w:noHBand="0" w:noVBand="0"/>
      </w:tblPr>
      <w:tblGrid>
        <w:gridCol w:w="1684"/>
        <w:gridCol w:w="7182"/>
      </w:tblGrid>
      <w:tr w:rsidR="009B78CE" w:rsidRPr="00AA4F27" w14:paraId="442382D9" w14:textId="77777777" w:rsidTr="0024507B">
        <w:trPr>
          <w:cnfStyle w:val="000000100000" w:firstRow="0" w:lastRow="0" w:firstColumn="0" w:lastColumn="0" w:oddVBand="0" w:evenVBand="0" w:oddHBand="1" w:evenHBand="0" w:firstRowFirstColumn="0" w:firstRowLastColumn="0" w:lastRowFirstColumn="0" w:lastRowLastColumn="0"/>
          <w:trHeight w:val="364"/>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right w:val="none" w:sz="0" w:space="0" w:color="auto"/>
            </w:tcBorders>
            <w:shd w:val="clear" w:color="auto" w:fill="4F81BD" w:themeFill="accent1"/>
            <w:vAlign w:val="center"/>
          </w:tcPr>
          <w:p w14:paraId="6588ADD2" w14:textId="77777777" w:rsidR="009B78CE" w:rsidRPr="00AA4F27" w:rsidRDefault="009B78CE" w:rsidP="009C5068">
            <w:pPr>
              <w:rPr>
                <w:rFonts w:eastAsia="Times New Roman"/>
                <w:b/>
                <w:color w:val="FFFFFF" w:themeColor="background1"/>
                <w:szCs w:val="20"/>
              </w:rPr>
            </w:pPr>
            <w:r w:rsidRPr="00AA4F27">
              <w:rPr>
                <w:rFonts w:eastAsia="Times New Roman"/>
                <w:b/>
                <w:color w:val="FFFFFF" w:themeColor="background1"/>
                <w:szCs w:val="20"/>
              </w:rPr>
              <w:lastRenderedPageBreak/>
              <w:t>Abbreviation</w:t>
            </w:r>
          </w:p>
        </w:tc>
        <w:tc>
          <w:tcPr>
            <w:tcW w:w="7182" w:type="dxa"/>
            <w:shd w:val="clear" w:color="auto" w:fill="4F81BD" w:themeFill="accent1"/>
            <w:vAlign w:val="center"/>
          </w:tcPr>
          <w:p w14:paraId="47813D8F" w14:textId="77777777" w:rsidR="009B78CE" w:rsidRPr="00AA4F27" w:rsidRDefault="009B78CE" w:rsidP="009C5068">
            <w:pP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Cs w:val="20"/>
              </w:rPr>
            </w:pPr>
            <w:r w:rsidRPr="00AA4F27">
              <w:rPr>
                <w:rFonts w:eastAsia="Times New Roman"/>
                <w:b/>
                <w:color w:val="FFFFFF" w:themeColor="background1"/>
                <w:szCs w:val="20"/>
              </w:rPr>
              <w:t>Definition</w:t>
            </w:r>
          </w:p>
        </w:tc>
      </w:tr>
      <w:tr w:rsidR="00942CAB" w:rsidRPr="00AA4F27" w14:paraId="6451C069" w14:textId="77777777" w:rsidTr="008B729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vAlign w:val="center"/>
          </w:tcPr>
          <w:p w14:paraId="215F87E4" w14:textId="77777777" w:rsidR="00942CAB" w:rsidRPr="002930A1" w:rsidRDefault="00942CAB" w:rsidP="008B7299">
            <w:pPr>
              <w:rPr>
                <w:rFonts w:eastAsia="Times New Roman"/>
                <w:sz w:val="20"/>
                <w:szCs w:val="21"/>
              </w:rPr>
            </w:pPr>
            <w:r w:rsidRPr="002930A1">
              <w:rPr>
                <w:rFonts w:eastAsia="Times New Roman"/>
                <w:sz w:val="20"/>
                <w:szCs w:val="21"/>
              </w:rPr>
              <w:t>SFLP</w:t>
            </w:r>
          </w:p>
        </w:tc>
        <w:tc>
          <w:tcPr>
            <w:tcW w:w="7182" w:type="dxa"/>
            <w:tcBorders>
              <w:right w:val="nil"/>
            </w:tcBorders>
            <w:vAlign w:val="center"/>
          </w:tcPr>
          <w:p w14:paraId="68ECED1F" w14:textId="77777777" w:rsidR="00942CAB" w:rsidRPr="002930A1" w:rsidRDefault="00942CAB" w:rsidP="008B729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Selective Fetoscopic Laser Photocoagulation</w:t>
            </w:r>
          </w:p>
        </w:tc>
      </w:tr>
      <w:tr w:rsidR="00942CAB" w:rsidRPr="00AA4F27" w14:paraId="0E681133" w14:textId="77777777" w:rsidTr="008B7299">
        <w:trPr>
          <w:cnfStyle w:val="000000100000" w:firstRow="0" w:lastRow="0" w:firstColumn="0" w:lastColumn="0" w:oddVBand="0" w:evenVBand="0" w:oddHBand="1" w:evenHBand="0" w:firstRowFirstColumn="0" w:firstRowLastColumn="0" w:lastRowFirstColumn="0" w:lastRowLastColumn="0"/>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2F4F698B" w14:textId="77777777" w:rsidR="00942CAB" w:rsidRPr="002930A1" w:rsidRDefault="00942CAB" w:rsidP="008B7299">
            <w:pPr>
              <w:rPr>
                <w:rFonts w:eastAsia="Times New Roman"/>
                <w:sz w:val="20"/>
                <w:szCs w:val="21"/>
              </w:rPr>
            </w:pPr>
            <w:r w:rsidRPr="002930A1">
              <w:rPr>
                <w:rFonts w:eastAsia="Times New Roman"/>
                <w:sz w:val="20"/>
                <w:szCs w:val="21"/>
              </w:rPr>
              <w:t>TRG</w:t>
            </w:r>
          </w:p>
        </w:tc>
        <w:tc>
          <w:tcPr>
            <w:tcW w:w="7182" w:type="dxa"/>
            <w:tcBorders>
              <w:right w:val="nil"/>
            </w:tcBorders>
            <w:vAlign w:val="center"/>
          </w:tcPr>
          <w:p w14:paraId="1490B478" w14:textId="77777777" w:rsidR="00942CAB" w:rsidRPr="002930A1" w:rsidRDefault="00942CAB" w:rsidP="008B7299">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Technical Reference Group</w:t>
            </w:r>
          </w:p>
        </w:tc>
      </w:tr>
      <w:tr w:rsidR="00942CAB" w:rsidRPr="00AA4F27" w14:paraId="2A7DD5E2" w14:textId="77777777" w:rsidTr="008B7299">
        <w:trPr>
          <w:trHeight w:val="143"/>
          <w:tblHeader/>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vAlign w:val="center"/>
          </w:tcPr>
          <w:p w14:paraId="49688E72" w14:textId="77777777" w:rsidR="00942CAB" w:rsidRPr="002930A1" w:rsidRDefault="00942CAB" w:rsidP="008B7299">
            <w:pPr>
              <w:rPr>
                <w:rFonts w:eastAsia="Times New Roman"/>
                <w:sz w:val="20"/>
                <w:szCs w:val="21"/>
              </w:rPr>
            </w:pPr>
            <w:r w:rsidRPr="002930A1">
              <w:rPr>
                <w:rFonts w:eastAsia="Times New Roman"/>
                <w:sz w:val="20"/>
                <w:szCs w:val="21"/>
              </w:rPr>
              <w:t>UK</w:t>
            </w:r>
          </w:p>
        </w:tc>
        <w:tc>
          <w:tcPr>
            <w:tcW w:w="7182" w:type="dxa"/>
            <w:tcBorders>
              <w:right w:val="nil"/>
            </w:tcBorders>
            <w:vAlign w:val="center"/>
          </w:tcPr>
          <w:p w14:paraId="4B2D78BD" w14:textId="77777777" w:rsidR="00942CAB" w:rsidRPr="002930A1" w:rsidRDefault="00942CAB" w:rsidP="008B7299">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United Kingdom</w:t>
            </w:r>
          </w:p>
        </w:tc>
      </w:tr>
      <w:tr w:rsidR="00977AE8" w:rsidRPr="00AA4F27" w14:paraId="5ECEC124" w14:textId="77777777" w:rsidTr="0024507B">
        <w:trPr>
          <w:cnfStyle w:val="000000100000" w:firstRow="0" w:lastRow="0" w:firstColumn="0" w:lastColumn="0" w:oddVBand="0" w:evenVBand="0" w:oddHBand="1" w:evenHBand="0" w:firstRowFirstColumn="0" w:firstRowLastColumn="0" w:lastRowFirstColumn="0" w:lastRowLastColumn="0"/>
          <w:trHeight w:val="143"/>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tcBorders>
          </w:tcPr>
          <w:p w14:paraId="3883162B" w14:textId="77777777" w:rsidR="00977AE8" w:rsidRPr="002930A1" w:rsidRDefault="00977AE8" w:rsidP="00A46417">
            <w:pPr>
              <w:rPr>
                <w:rFonts w:eastAsia="Times New Roman"/>
                <w:sz w:val="20"/>
                <w:szCs w:val="21"/>
              </w:rPr>
            </w:pPr>
            <w:r w:rsidRPr="002930A1">
              <w:rPr>
                <w:rFonts w:eastAsia="Times New Roman"/>
                <w:sz w:val="20"/>
                <w:szCs w:val="21"/>
              </w:rPr>
              <w:t>US</w:t>
            </w:r>
          </w:p>
        </w:tc>
        <w:tc>
          <w:tcPr>
            <w:tcW w:w="7182" w:type="dxa"/>
            <w:tcBorders>
              <w:right w:val="nil"/>
            </w:tcBorders>
          </w:tcPr>
          <w:p w14:paraId="17F64C03" w14:textId="77777777" w:rsidR="00977AE8" w:rsidRPr="002930A1" w:rsidRDefault="00977AE8" w:rsidP="00A46417">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Unites States</w:t>
            </w:r>
          </w:p>
        </w:tc>
      </w:tr>
      <w:tr w:rsidR="00A46417" w:rsidRPr="00AA4F27" w14:paraId="23115C95" w14:textId="77777777" w:rsidTr="0024507B">
        <w:trPr>
          <w:trHeight w:val="143"/>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tcPr>
          <w:p w14:paraId="3CD468CE" w14:textId="77777777" w:rsidR="00A46417" w:rsidRPr="002930A1" w:rsidRDefault="00A46417" w:rsidP="00A46417">
            <w:pPr>
              <w:rPr>
                <w:rFonts w:eastAsia="Times New Roman"/>
                <w:sz w:val="20"/>
                <w:szCs w:val="21"/>
              </w:rPr>
            </w:pPr>
            <w:r w:rsidRPr="002930A1">
              <w:rPr>
                <w:rFonts w:eastAsia="Times New Roman"/>
                <w:sz w:val="20"/>
                <w:szCs w:val="21"/>
              </w:rPr>
              <w:t>W</w:t>
            </w:r>
          </w:p>
        </w:tc>
        <w:tc>
          <w:tcPr>
            <w:tcW w:w="7182" w:type="dxa"/>
            <w:tcBorders>
              <w:right w:val="nil"/>
            </w:tcBorders>
          </w:tcPr>
          <w:p w14:paraId="3BC581CD" w14:textId="77777777" w:rsidR="00A46417" w:rsidRPr="002930A1" w:rsidRDefault="00A46417" w:rsidP="00A46417">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With</w:t>
            </w:r>
          </w:p>
        </w:tc>
      </w:tr>
      <w:tr w:rsidR="001012C3" w:rsidRPr="00AA4F27" w14:paraId="6AE4958B" w14:textId="77777777" w:rsidTr="0024507B">
        <w:trPr>
          <w:cnfStyle w:val="000000100000" w:firstRow="0" w:lastRow="0" w:firstColumn="0" w:lastColumn="0" w:oddVBand="0" w:evenVBand="0" w:oddHBand="1" w:evenHBand="0" w:firstRowFirstColumn="0" w:firstRowLastColumn="0" w:lastRowFirstColumn="0" w:lastRowLastColumn="0"/>
          <w:trHeight w:val="230"/>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il"/>
              <w:right w:val="none" w:sz="0" w:space="0" w:color="auto"/>
            </w:tcBorders>
          </w:tcPr>
          <w:p w14:paraId="6C198210" w14:textId="77777777" w:rsidR="001012C3" w:rsidRPr="002930A1" w:rsidRDefault="001012C3" w:rsidP="001012C3">
            <w:pPr>
              <w:rPr>
                <w:rFonts w:eastAsia="Times New Roman"/>
                <w:sz w:val="20"/>
                <w:szCs w:val="21"/>
              </w:rPr>
            </w:pPr>
            <w:r w:rsidRPr="002930A1">
              <w:rPr>
                <w:rFonts w:eastAsia="Times New Roman"/>
                <w:sz w:val="20"/>
                <w:szCs w:val="21"/>
              </w:rPr>
              <w:t>WHO</w:t>
            </w:r>
          </w:p>
        </w:tc>
        <w:tc>
          <w:tcPr>
            <w:tcW w:w="7182" w:type="dxa"/>
            <w:tcBorders>
              <w:right w:val="nil"/>
            </w:tcBorders>
          </w:tcPr>
          <w:p w14:paraId="299F9A06" w14:textId="77777777" w:rsidR="001012C3" w:rsidRPr="002930A1" w:rsidRDefault="001012C3" w:rsidP="001012C3">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World Health Organi</w:t>
            </w:r>
            <w:r w:rsidR="0035535D" w:rsidRPr="002930A1">
              <w:rPr>
                <w:rFonts w:eastAsia="Times New Roman"/>
                <w:sz w:val="20"/>
                <w:szCs w:val="21"/>
              </w:rPr>
              <w:t>z</w:t>
            </w:r>
            <w:r w:rsidRPr="002930A1">
              <w:rPr>
                <w:rFonts w:eastAsia="Times New Roman"/>
                <w:sz w:val="20"/>
                <w:szCs w:val="21"/>
              </w:rPr>
              <w:t>ation</w:t>
            </w:r>
          </w:p>
        </w:tc>
      </w:tr>
      <w:tr w:rsidR="001012C3" w:rsidRPr="00AA4F27" w14:paraId="28965064" w14:textId="77777777" w:rsidTr="002930A1">
        <w:trPr>
          <w:trHeight w:val="143"/>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single" w:sz="8" w:space="0" w:color="4F81BD" w:themeColor="accent1"/>
              <w:right w:val="none" w:sz="0" w:space="0" w:color="auto"/>
            </w:tcBorders>
          </w:tcPr>
          <w:p w14:paraId="5E49ECA1" w14:textId="77777777" w:rsidR="001012C3" w:rsidRPr="002930A1" w:rsidRDefault="001012C3" w:rsidP="001012C3">
            <w:pPr>
              <w:rPr>
                <w:rFonts w:eastAsia="Times New Roman"/>
                <w:sz w:val="20"/>
                <w:szCs w:val="21"/>
              </w:rPr>
            </w:pPr>
            <w:r w:rsidRPr="002930A1">
              <w:rPr>
                <w:rFonts w:eastAsia="Times New Roman"/>
                <w:sz w:val="20"/>
                <w:szCs w:val="21"/>
              </w:rPr>
              <w:t>WIES</w:t>
            </w:r>
          </w:p>
        </w:tc>
        <w:tc>
          <w:tcPr>
            <w:tcW w:w="7182" w:type="dxa"/>
            <w:tcBorders>
              <w:bottom w:val="single" w:sz="8" w:space="0" w:color="4F81BD" w:themeColor="accent1"/>
              <w:right w:val="nil"/>
            </w:tcBorders>
          </w:tcPr>
          <w:p w14:paraId="5507D57F" w14:textId="77777777" w:rsidR="001012C3" w:rsidRPr="002930A1" w:rsidRDefault="001012C3" w:rsidP="001012C3">
            <w:pPr>
              <w:cnfStyle w:val="000000000000" w:firstRow="0" w:lastRow="0" w:firstColumn="0" w:lastColumn="0" w:oddVBand="0" w:evenVBand="0" w:oddHBand="0" w:evenHBand="0" w:firstRowFirstColumn="0" w:firstRowLastColumn="0" w:lastRowFirstColumn="0" w:lastRowLastColumn="0"/>
              <w:rPr>
                <w:rFonts w:eastAsia="Times New Roman"/>
                <w:sz w:val="20"/>
                <w:szCs w:val="21"/>
              </w:rPr>
            </w:pPr>
            <w:r w:rsidRPr="002930A1">
              <w:rPr>
                <w:rFonts w:eastAsia="Times New Roman"/>
                <w:sz w:val="20"/>
                <w:szCs w:val="21"/>
              </w:rPr>
              <w:t>Weighted Inlier Equivalent Separation</w:t>
            </w:r>
          </w:p>
        </w:tc>
      </w:tr>
      <w:tr w:rsidR="001012C3" w:rsidRPr="00AA4F27" w14:paraId="3FD9EEC7" w14:textId="77777777" w:rsidTr="002930A1">
        <w:trPr>
          <w:cnfStyle w:val="000000100000" w:firstRow="0" w:lastRow="0" w:firstColumn="0" w:lastColumn="0" w:oddVBand="0" w:evenVBand="0" w:oddHBand="1" w:evenHBand="0" w:firstRowFirstColumn="0" w:firstRowLastColumn="0" w:lastRowFirstColumn="0" w:lastRowLastColumn="0"/>
          <w:trHeight w:val="241"/>
          <w:jc w:val="center"/>
        </w:trPr>
        <w:tc>
          <w:tcPr>
            <w:cnfStyle w:val="000010000000" w:firstRow="0" w:lastRow="0" w:firstColumn="0" w:lastColumn="0" w:oddVBand="1" w:evenVBand="0" w:oddHBand="0" w:evenHBand="0" w:firstRowFirstColumn="0" w:firstRowLastColumn="0" w:lastRowFirstColumn="0" w:lastRowLastColumn="0"/>
            <w:tcW w:w="1684" w:type="dxa"/>
            <w:tcBorders>
              <w:left w:val="none" w:sz="0" w:space="0" w:color="auto"/>
              <w:bottom w:val="none" w:sz="0" w:space="0" w:color="auto"/>
              <w:right w:val="none" w:sz="0" w:space="0" w:color="auto"/>
            </w:tcBorders>
          </w:tcPr>
          <w:p w14:paraId="2996CB58" w14:textId="77777777" w:rsidR="001012C3" w:rsidRPr="002930A1" w:rsidRDefault="001012C3" w:rsidP="001012C3">
            <w:pPr>
              <w:rPr>
                <w:rFonts w:eastAsia="Times New Roman"/>
                <w:sz w:val="20"/>
                <w:szCs w:val="21"/>
              </w:rPr>
            </w:pPr>
            <w:r w:rsidRPr="002930A1">
              <w:rPr>
                <w:rFonts w:eastAsia="Times New Roman"/>
                <w:sz w:val="20"/>
                <w:szCs w:val="21"/>
              </w:rPr>
              <w:t>W/O</w:t>
            </w:r>
          </w:p>
        </w:tc>
        <w:tc>
          <w:tcPr>
            <w:tcW w:w="7182" w:type="dxa"/>
            <w:tcBorders>
              <w:right w:val="nil"/>
            </w:tcBorders>
          </w:tcPr>
          <w:p w14:paraId="1903BF98" w14:textId="77777777" w:rsidR="001012C3" w:rsidRPr="002930A1" w:rsidRDefault="001012C3" w:rsidP="001012C3">
            <w:pPr>
              <w:cnfStyle w:val="000000100000" w:firstRow="0" w:lastRow="0" w:firstColumn="0" w:lastColumn="0" w:oddVBand="0" w:evenVBand="0" w:oddHBand="1" w:evenHBand="0" w:firstRowFirstColumn="0" w:firstRowLastColumn="0" w:lastRowFirstColumn="0" w:lastRowLastColumn="0"/>
              <w:rPr>
                <w:rFonts w:eastAsia="Times New Roman"/>
                <w:sz w:val="20"/>
                <w:szCs w:val="21"/>
              </w:rPr>
            </w:pPr>
            <w:r w:rsidRPr="002930A1">
              <w:rPr>
                <w:rFonts w:eastAsia="Times New Roman"/>
                <w:sz w:val="20"/>
                <w:szCs w:val="21"/>
              </w:rPr>
              <w:t>Without</w:t>
            </w:r>
          </w:p>
        </w:tc>
      </w:tr>
    </w:tbl>
    <w:p w14:paraId="26AA29DA" w14:textId="77777777" w:rsidR="00615FBC" w:rsidRDefault="00615FBC" w:rsidP="00D251DB"/>
    <w:p w14:paraId="691456B3" w14:textId="77777777" w:rsidR="0048292D" w:rsidRDefault="0048292D" w:rsidP="00D251DB"/>
    <w:p w14:paraId="4C4F0E4F" w14:textId="77777777" w:rsidR="00977AE8" w:rsidRDefault="00977AE8" w:rsidP="003638B7">
      <w:pPr>
        <w:tabs>
          <w:tab w:val="left" w:pos="7797"/>
        </w:tabs>
      </w:pPr>
    </w:p>
    <w:sectPr w:rsidR="00977AE8" w:rsidSect="0032687E">
      <w:footerReference w:type="default" r:id="rId46"/>
      <w:pgSz w:w="11906" w:h="16838"/>
      <w:pgMar w:top="1418" w:right="1418" w:bottom="1418" w:left="1418" w:header="567" w:footer="567"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3DCD" w14:textId="77777777" w:rsidR="00735638" w:rsidRDefault="00735638" w:rsidP="00A1599C">
      <w:r>
        <w:separator/>
      </w:r>
    </w:p>
  </w:endnote>
  <w:endnote w:type="continuationSeparator" w:id="0">
    <w:p w14:paraId="35E0A2E9" w14:textId="77777777" w:rsidR="00735638" w:rsidRDefault="00735638" w:rsidP="00A15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7C5F" w14:textId="77777777" w:rsidR="006B6D7D" w:rsidRDefault="006B6D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30958208"/>
      <w:docPartObj>
        <w:docPartGallery w:val="Page Numbers (Top of Page)"/>
        <w:docPartUnique/>
      </w:docPartObj>
    </w:sdtPr>
    <w:sdtEndPr/>
    <w:sdtContent>
      <w:p w14:paraId="1E18B089" w14:textId="77777777" w:rsidR="00811909" w:rsidRPr="00164F0D" w:rsidRDefault="003638B7" w:rsidP="00A76A11">
        <w:pPr>
          <w:pStyle w:val="Header"/>
          <w:rPr>
            <w:sz w:val="18"/>
            <w:szCs w:val="18"/>
          </w:rPr>
        </w:pPr>
        <w:r>
          <w:rPr>
            <w:sz w:val="18"/>
            <w:szCs w:val="18"/>
          </w:rPr>
          <w:t>December</w:t>
        </w:r>
        <w:r w:rsidR="00811909" w:rsidRPr="00164F0D">
          <w:rPr>
            <w:sz w:val="18"/>
            <w:szCs w:val="18"/>
          </w:rPr>
          <w:t xml:space="preserve"> 2015 v1.2</w:t>
        </w:r>
        <w:r w:rsidR="00811909" w:rsidRPr="00164F0D">
          <w:rPr>
            <w:sz w:val="18"/>
            <w:szCs w:val="18"/>
          </w:rPr>
          <w:tab/>
        </w:r>
        <w:r w:rsidR="00811909" w:rsidRPr="00164F0D">
          <w:rPr>
            <w:sz w:val="18"/>
            <w:szCs w:val="18"/>
          </w:rPr>
          <w:tab/>
          <w:t xml:space="preserve">Page </w:t>
        </w:r>
        <w:r w:rsidR="00811909" w:rsidRPr="00164F0D">
          <w:rPr>
            <w:sz w:val="18"/>
            <w:szCs w:val="18"/>
          </w:rPr>
          <w:fldChar w:fldCharType="begin"/>
        </w:r>
        <w:r w:rsidR="00811909" w:rsidRPr="00164F0D">
          <w:rPr>
            <w:sz w:val="18"/>
            <w:szCs w:val="18"/>
          </w:rPr>
          <w:instrText xml:space="preserve"> PAGE </w:instrText>
        </w:r>
        <w:r w:rsidR="00811909" w:rsidRPr="00164F0D">
          <w:rPr>
            <w:sz w:val="18"/>
            <w:szCs w:val="18"/>
          </w:rPr>
          <w:fldChar w:fldCharType="separate"/>
        </w:r>
        <w:r w:rsidR="006B6D7D">
          <w:rPr>
            <w:noProof/>
            <w:sz w:val="18"/>
            <w:szCs w:val="18"/>
          </w:rPr>
          <w:t>15</w:t>
        </w:r>
        <w:r w:rsidR="00811909" w:rsidRPr="00164F0D">
          <w:rPr>
            <w:sz w:val="18"/>
            <w:szCs w:val="18"/>
          </w:rPr>
          <w:fldChar w:fldCharType="end"/>
        </w:r>
        <w:r w:rsidR="00811909" w:rsidRPr="00164F0D">
          <w:rPr>
            <w:sz w:val="18"/>
            <w:szCs w:val="18"/>
          </w:rPr>
          <w:t xml:space="preserve"> of </w:t>
        </w:r>
        <w:r w:rsidR="00811909" w:rsidRPr="00164F0D">
          <w:rPr>
            <w:sz w:val="18"/>
            <w:szCs w:val="18"/>
          </w:rPr>
          <w:fldChar w:fldCharType="begin"/>
        </w:r>
        <w:r w:rsidR="00811909" w:rsidRPr="00164F0D">
          <w:rPr>
            <w:sz w:val="18"/>
            <w:szCs w:val="18"/>
          </w:rPr>
          <w:instrText xml:space="preserve"> NUMPAGES  </w:instrText>
        </w:r>
        <w:r w:rsidR="00811909" w:rsidRPr="00164F0D">
          <w:rPr>
            <w:sz w:val="18"/>
            <w:szCs w:val="18"/>
          </w:rPr>
          <w:fldChar w:fldCharType="separate"/>
        </w:r>
        <w:r w:rsidR="006B6D7D">
          <w:rPr>
            <w:noProof/>
            <w:sz w:val="18"/>
            <w:szCs w:val="18"/>
          </w:rPr>
          <w:t>31</w:t>
        </w:r>
        <w:r w:rsidR="00811909" w:rsidRPr="00164F0D">
          <w:rPr>
            <w:noProof/>
            <w:sz w:val="18"/>
            <w:szCs w:val="18"/>
          </w:rPr>
          <w:fldChar w:fldCharType="end"/>
        </w:r>
      </w:p>
    </w:sdtContent>
  </w:sdt>
  <w:p w14:paraId="3439288D" w14:textId="77777777" w:rsidR="00811909" w:rsidRDefault="00811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12234312"/>
      <w:docPartObj>
        <w:docPartGallery w:val="Page Numbers (Top of Page)"/>
        <w:docPartUnique/>
      </w:docPartObj>
    </w:sdtPr>
    <w:sdtEndPr/>
    <w:sdtContent>
      <w:p w14:paraId="4428ACD9" w14:textId="77777777" w:rsidR="00811909" w:rsidRPr="00164F0D" w:rsidRDefault="006B6D7D" w:rsidP="006D2867">
        <w:pPr>
          <w:tabs>
            <w:tab w:val="center" w:pos="4513"/>
            <w:tab w:val="right" w:pos="9026"/>
          </w:tabs>
          <w:spacing w:after="0" w:line="240" w:lineRule="auto"/>
          <w:rPr>
            <w:sz w:val="18"/>
            <w:szCs w:val="18"/>
          </w:rPr>
        </w:pPr>
        <w:r>
          <w:rPr>
            <w:sz w:val="18"/>
            <w:szCs w:val="18"/>
          </w:rPr>
          <w:t>December</w:t>
        </w:r>
        <w:r w:rsidR="00811909" w:rsidRPr="00164F0D">
          <w:rPr>
            <w:sz w:val="18"/>
            <w:szCs w:val="18"/>
          </w:rPr>
          <w:t xml:space="preserve"> 2015 v1.2</w:t>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r>
        <w:r w:rsidR="00811909" w:rsidRPr="00164F0D">
          <w:rPr>
            <w:sz w:val="18"/>
            <w:szCs w:val="18"/>
          </w:rPr>
          <w:tab/>
          <w:t xml:space="preserve">Page 16 of </w:t>
        </w:r>
        <w:r w:rsidR="00811909" w:rsidRPr="00164F0D">
          <w:rPr>
            <w:sz w:val="18"/>
            <w:szCs w:val="18"/>
          </w:rPr>
          <w:fldChar w:fldCharType="begin"/>
        </w:r>
        <w:r w:rsidR="00811909" w:rsidRPr="00164F0D">
          <w:rPr>
            <w:sz w:val="18"/>
            <w:szCs w:val="18"/>
          </w:rPr>
          <w:instrText xml:space="preserve"> NUMPAGES  </w:instrText>
        </w:r>
        <w:r w:rsidR="00811909" w:rsidRPr="00164F0D">
          <w:rPr>
            <w:sz w:val="18"/>
            <w:szCs w:val="18"/>
          </w:rPr>
          <w:fldChar w:fldCharType="separate"/>
        </w:r>
        <w:r>
          <w:rPr>
            <w:noProof/>
            <w:sz w:val="18"/>
            <w:szCs w:val="18"/>
          </w:rPr>
          <w:t>31</w:t>
        </w:r>
        <w:r w:rsidR="00811909" w:rsidRPr="00164F0D">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3579558"/>
      <w:docPartObj>
        <w:docPartGallery w:val="Page Numbers (Top of Page)"/>
        <w:docPartUnique/>
      </w:docPartObj>
    </w:sdtPr>
    <w:sdtEndPr/>
    <w:sdtContent>
      <w:p w14:paraId="155B6BD7" w14:textId="77777777" w:rsidR="00811909" w:rsidRPr="00164F0D" w:rsidRDefault="006B6D7D" w:rsidP="0032687E">
        <w:pPr>
          <w:pStyle w:val="Header"/>
          <w:tabs>
            <w:tab w:val="clear" w:pos="9026"/>
            <w:tab w:val="right" w:pos="9498"/>
          </w:tabs>
          <w:rPr>
            <w:sz w:val="18"/>
            <w:szCs w:val="18"/>
          </w:rPr>
        </w:pPr>
        <w:r>
          <w:rPr>
            <w:sz w:val="18"/>
            <w:szCs w:val="18"/>
          </w:rPr>
          <w:t>December</w:t>
        </w:r>
        <w:r w:rsidR="00811909" w:rsidRPr="00164F0D">
          <w:rPr>
            <w:sz w:val="18"/>
            <w:szCs w:val="18"/>
          </w:rPr>
          <w:t xml:space="preserve"> 2015 v1.2</w:t>
        </w:r>
        <w:r w:rsidR="00811909" w:rsidRPr="00164F0D">
          <w:rPr>
            <w:sz w:val="18"/>
            <w:szCs w:val="18"/>
          </w:rPr>
          <w:tab/>
        </w:r>
        <w:r w:rsidR="00811909" w:rsidRPr="00164F0D">
          <w:rPr>
            <w:sz w:val="18"/>
            <w:szCs w:val="18"/>
          </w:rPr>
          <w:tab/>
          <w:t xml:space="preserve">Page </w:t>
        </w:r>
        <w:r w:rsidR="00811909" w:rsidRPr="00164F0D">
          <w:rPr>
            <w:sz w:val="18"/>
            <w:szCs w:val="18"/>
          </w:rPr>
          <w:fldChar w:fldCharType="begin"/>
        </w:r>
        <w:r w:rsidR="00811909" w:rsidRPr="00164F0D">
          <w:rPr>
            <w:sz w:val="18"/>
            <w:szCs w:val="18"/>
          </w:rPr>
          <w:instrText xml:space="preserve"> PAGE </w:instrText>
        </w:r>
        <w:r w:rsidR="00811909" w:rsidRPr="00164F0D">
          <w:rPr>
            <w:sz w:val="18"/>
            <w:szCs w:val="18"/>
          </w:rPr>
          <w:fldChar w:fldCharType="separate"/>
        </w:r>
        <w:r>
          <w:rPr>
            <w:noProof/>
            <w:sz w:val="18"/>
            <w:szCs w:val="18"/>
          </w:rPr>
          <w:t>31</w:t>
        </w:r>
        <w:r w:rsidR="00811909" w:rsidRPr="00164F0D">
          <w:rPr>
            <w:sz w:val="18"/>
            <w:szCs w:val="18"/>
          </w:rPr>
          <w:fldChar w:fldCharType="end"/>
        </w:r>
        <w:r w:rsidR="00811909" w:rsidRPr="00164F0D">
          <w:rPr>
            <w:sz w:val="18"/>
            <w:szCs w:val="18"/>
          </w:rPr>
          <w:t xml:space="preserve"> of </w:t>
        </w:r>
        <w:r w:rsidR="00811909" w:rsidRPr="00164F0D">
          <w:rPr>
            <w:sz w:val="18"/>
            <w:szCs w:val="18"/>
          </w:rPr>
          <w:fldChar w:fldCharType="begin"/>
        </w:r>
        <w:r w:rsidR="00811909" w:rsidRPr="00164F0D">
          <w:rPr>
            <w:sz w:val="18"/>
            <w:szCs w:val="18"/>
          </w:rPr>
          <w:instrText xml:space="preserve"> NUMPAGES  </w:instrText>
        </w:r>
        <w:r w:rsidR="00811909" w:rsidRPr="00164F0D">
          <w:rPr>
            <w:sz w:val="18"/>
            <w:szCs w:val="18"/>
          </w:rPr>
          <w:fldChar w:fldCharType="separate"/>
        </w:r>
        <w:r>
          <w:rPr>
            <w:noProof/>
            <w:sz w:val="18"/>
            <w:szCs w:val="18"/>
          </w:rPr>
          <w:t>31</w:t>
        </w:r>
        <w:r w:rsidR="00811909" w:rsidRPr="00164F0D">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5067A" w14:textId="77777777" w:rsidR="00735638" w:rsidRDefault="00735638" w:rsidP="00A1599C">
      <w:r>
        <w:separator/>
      </w:r>
    </w:p>
  </w:footnote>
  <w:footnote w:type="continuationSeparator" w:id="0">
    <w:p w14:paraId="3A9E97C0" w14:textId="77777777" w:rsidR="00735638" w:rsidRDefault="00735638" w:rsidP="00A1599C">
      <w:r>
        <w:continuationSeparator/>
      </w:r>
    </w:p>
  </w:footnote>
  <w:footnote w:id="1">
    <w:p w14:paraId="422BCAED" w14:textId="77777777" w:rsidR="00811909" w:rsidRDefault="00811909" w:rsidP="00931E08">
      <w:pPr>
        <w:pStyle w:val="FootnoteText"/>
      </w:pPr>
      <w:r>
        <w:rPr>
          <w:rStyle w:val="FootnoteReference"/>
        </w:rPr>
        <w:footnoteRef/>
      </w:r>
      <w:r>
        <w:t xml:space="preserve"> </w:t>
      </w:r>
      <w:r w:rsidRPr="003A3BAA">
        <w:t xml:space="preserve">WHO </w:t>
      </w:r>
      <w:r>
        <w:t>is responsible for producing</w:t>
      </w:r>
      <w:r w:rsidRPr="003A3BAA">
        <w:t xml:space="preserve"> international classifications on health, such as ICD-10, so that there is a meaningful and useful framework which governments, providers and consumers can use as a common language</w:t>
      </w:r>
      <w:r>
        <w:t>.</w:t>
      </w:r>
    </w:p>
  </w:footnote>
  <w:footnote w:id="2">
    <w:p w14:paraId="2514B9B8" w14:textId="77777777" w:rsidR="00811909" w:rsidRDefault="00811909" w:rsidP="00931E08">
      <w:pPr>
        <w:pStyle w:val="FootnoteText"/>
      </w:pPr>
      <w:r>
        <w:rPr>
          <w:rStyle w:val="FootnoteReference"/>
        </w:rPr>
        <w:footnoteRef/>
      </w:r>
      <w:r>
        <w:t xml:space="preserve"> The modifications are overseen</w:t>
      </w:r>
      <w:r w:rsidRPr="003A3BAA">
        <w:t xml:space="preserve"> by the National Centre for Classification in Health, Australia</w:t>
      </w:r>
      <w:r>
        <w:t>. They include clinician input. In recent times the Australian reviewers have invited New Zealand participation in the reviews for the ICD-10-AM/ACHI classification and for new versions of the AR-DRGs.</w:t>
      </w:r>
    </w:p>
  </w:footnote>
  <w:footnote w:id="3">
    <w:p w14:paraId="27259698" w14:textId="77777777" w:rsidR="00811909" w:rsidRDefault="00811909" w:rsidP="00A1599C">
      <w:pPr>
        <w:pStyle w:val="FootnoteText"/>
      </w:pPr>
      <w:r>
        <w:rPr>
          <w:rStyle w:val="FootnoteReference"/>
        </w:rPr>
        <w:footnoteRef/>
      </w:r>
      <w:r>
        <w:t xml:space="preserve"> From the Australian Coding Standards (ACS 0001) for ICD-10-AM/ACHI 8</w:t>
      </w:r>
      <w:r w:rsidRPr="007268D1">
        <w:t>th</w:t>
      </w:r>
      <w:r>
        <w:t xml:space="preserve"> Edition </w:t>
      </w:r>
    </w:p>
  </w:footnote>
  <w:footnote w:id="4">
    <w:p w14:paraId="680F1B62" w14:textId="77777777" w:rsidR="00811909" w:rsidRDefault="00811909">
      <w:pPr>
        <w:pStyle w:val="FootnoteText"/>
      </w:pPr>
      <w:r>
        <w:rPr>
          <w:rStyle w:val="FootnoteReference"/>
        </w:rPr>
        <w:footnoteRef/>
      </w:r>
      <w:r>
        <w:t xml:space="preserve"> From the Australian Coding Standards (ACS 0002) for ICD-10-AM/ACHI 8</w:t>
      </w:r>
      <w:r w:rsidRPr="007268D1">
        <w:t>th</w:t>
      </w:r>
      <w:r>
        <w:t xml:space="preserve"> Edition</w:t>
      </w:r>
    </w:p>
  </w:footnote>
  <w:footnote w:id="5">
    <w:p w14:paraId="269A7A76" w14:textId="77777777" w:rsidR="00811909" w:rsidRDefault="00811909">
      <w:pPr>
        <w:pStyle w:val="FootnoteText"/>
      </w:pPr>
      <w:r>
        <w:rPr>
          <w:rStyle w:val="FootnoteReference"/>
        </w:rPr>
        <w:footnoteRef/>
      </w:r>
      <w:r>
        <w:t xml:space="preserve"> </w:t>
      </w:r>
      <w:r w:rsidRPr="00F740C7">
        <w:t>From the Australian Coding Standards (ACS 00</w:t>
      </w:r>
      <w:r>
        <w:t>48</w:t>
      </w:r>
      <w:r w:rsidRPr="00F740C7">
        <w:t>) for ICD-10-AM/ACHI 8th Edition</w:t>
      </w:r>
    </w:p>
  </w:footnote>
  <w:footnote w:id="6">
    <w:p w14:paraId="0F58BE03" w14:textId="77777777" w:rsidR="00811909" w:rsidRDefault="00811909">
      <w:pPr>
        <w:pStyle w:val="FootnoteText"/>
      </w:pPr>
      <w:r>
        <w:rPr>
          <w:rStyle w:val="FootnoteReference"/>
        </w:rPr>
        <w:footnoteRef/>
      </w:r>
      <w:r>
        <w:t xml:space="preserve"> Note that while New Zealand hospitals implemented ICD-10-AM/ACHI 8th Edition from 1 July 2014, the Casemix Group chooses to back-map these codes to ICD-10-AM/ACHI 6th Edition and use AR-DRG v6.0x.  This is done for two years following a change in ICD-10-AM/ACHI coding Editions. It has been found that a much better fit of weights is obtained by not using back-mapped data in the weight setting process. Thus there is always a two year lag between moving to a new ICD-10-AM version and assigning cost weights based on that raw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B996" w14:textId="77777777" w:rsidR="006B6D7D" w:rsidRDefault="006B6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116A" w14:textId="77777777" w:rsidR="00811909" w:rsidRDefault="00811909" w:rsidP="00A76A11">
    <w:pPr>
      <w:pStyle w:val="Header"/>
    </w:pPr>
    <w:r>
      <w:rPr>
        <w:noProof/>
        <w:lang w:eastAsia="en-NZ"/>
      </w:rPr>
      <mc:AlternateContent>
        <mc:Choice Requires="wps">
          <w:drawing>
            <wp:anchor distT="0" distB="0" distL="114300" distR="114300" simplePos="0" relativeHeight="251657216" behindDoc="0" locked="0" layoutInCell="1" allowOverlap="1" wp14:anchorId="66C21965" wp14:editId="3F553054">
              <wp:simplePos x="0" y="0"/>
              <wp:positionH relativeFrom="column">
                <wp:posOffset>19050</wp:posOffset>
              </wp:positionH>
              <wp:positionV relativeFrom="paragraph">
                <wp:posOffset>240030</wp:posOffset>
              </wp:positionV>
              <wp:extent cx="5724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724525" cy="0"/>
                      </a:xfrm>
                      <a:prstGeom prst="line">
                        <a:avLst/>
                      </a:prstGeom>
                      <a:noFill/>
                      <a:ln w="15875" cap="rnd"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8648619" id="Straight Connector 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9pt" to="452.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" strokecolor="#4a7ebb" strokeweight="1.25pt">
              <v:stroke endcap="round"/>
            </v:line>
          </w:pict>
        </mc:Fallback>
      </mc:AlternateContent>
    </w:r>
    <w:r w:rsidRPr="00C30DE4">
      <w:t xml:space="preserve">The New Zealand Casemix System – </w:t>
    </w:r>
    <w:r w:rsidRPr="00D876BB">
      <w:t xml:space="preserve">An Overview </w:t>
    </w:r>
  </w:p>
  <w:p w14:paraId="3B31C994" w14:textId="77777777" w:rsidR="00811909" w:rsidRDefault="00811909">
    <w:pPr>
      <w:pStyle w:val="Header"/>
    </w:pPr>
  </w:p>
  <w:p w14:paraId="000F03D8" w14:textId="77777777" w:rsidR="00811909" w:rsidRDefault="008119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2047" w14:textId="77777777" w:rsidR="006B6D7D" w:rsidRDefault="006B6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01AB"/>
    <w:multiLevelType w:val="hybridMultilevel"/>
    <w:tmpl w:val="4282D138"/>
    <w:lvl w:ilvl="0" w:tplc="0D060F12">
      <w:start w:val="1"/>
      <w:numFmt w:val="bullet"/>
      <w:lvlText w:val="–"/>
      <w:lvlJc w:val="left"/>
      <w:pPr>
        <w:tabs>
          <w:tab w:val="num" w:pos="720"/>
        </w:tabs>
        <w:ind w:left="720" w:hanging="360"/>
      </w:pPr>
      <w:rPr>
        <w:rFonts w:ascii="Arial" w:hAnsi="Arial" w:hint="default"/>
      </w:rPr>
    </w:lvl>
    <w:lvl w:ilvl="1" w:tplc="733C35F2">
      <w:start w:val="1"/>
      <w:numFmt w:val="bullet"/>
      <w:lvlText w:val="–"/>
      <w:lvlJc w:val="left"/>
      <w:pPr>
        <w:tabs>
          <w:tab w:val="num" w:pos="1440"/>
        </w:tabs>
        <w:ind w:left="1440" w:hanging="360"/>
      </w:pPr>
      <w:rPr>
        <w:rFonts w:ascii="Arial" w:hAnsi="Arial" w:hint="default"/>
      </w:rPr>
    </w:lvl>
    <w:lvl w:ilvl="2" w:tplc="F6BE98DE" w:tentative="1">
      <w:start w:val="1"/>
      <w:numFmt w:val="bullet"/>
      <w:lvlText w:val="–"/>
      <w:lvlJc w:val="left"/>
      <w:pPr>
        <w:tabs>
          <w:tab w:val="num" w:pos="2160"/>
        </w:tabs>
        <w:ind w:left="2160" w:hanging="360"/>
      </w:pPr>
      <w:rPr>
        <w:rFonts w:ascii="Arial" w:hAnsi="Arial" w:hint="default"/>
      </w:rPr>
    </w:lvl>
    <w:lvl w:ilvl="3" w:tplc="FE50E54E" w:tentative="1">
      <w:start w:val="1"/>
      <w:numFmt w:val="bullet"/>
      <w:lvlText w:val="–"/>
      <w:lvlJc w:val="left"/>
      <w:pPr>
        <w:tabs>
          <w:tab w:val="num" w:pos="2880"/>
        </w:tabs>
        <w:ind w:left="2880" w:hanging="360"/>
      </w:pPr>
      <w:rPr>
        <w:rFonts w:ascii="Arial" w:hAnsi="Arial" w:hint="default"/>
      </w:rPr>
    </w:lvl>
    <w:lvl w:ilvl="4" w:tplc="A59E392A" w:tentative="1">
      <w:start w:val="1"/>
      <w:numFmt w:val="bullet"/>
      <w:lvlText w:val="–"/>
      <w:lvlJc w:val="left"/>
      <w:pPr>
        <w:tabs>
          <w:tab w:val="num" w:pos="3600"/>
        </w:tabs>
        <w:ind w:left="3600" w:hanging="360"/>
      </w:pPr>
      <w:rPr>
        <w:rFonts w:ascii="Arial" w:hAnsi="Arial" w:hint="default"/>
      </w:rPr>
    </w:lvl>
    <w:lvl w:ilvl="5" w:tplc="932C7466" w:tentative="1">
      <w:start w:val="1"/>
      <w:numFmt w:val="bullet"/>
      <w:lvlText w:val="–"/>
      <w:lvlJc w:val="left"/>
      <w:pPr>
        <w:tabs>
          <w:tab w:val="num" w:pos="4320"/>
        </w:tabs>
        <w:ind w:left="4320" w:hanging="360"/>
      </w:pPr>
      <w:rPr>
        <w:rFonts w:ascii="Arial" w:hAnsi="Arial" w:hint="default"/>
      </w:rPr>
    </w:lvl>
    <w:lvl w:ilvl="6" w:tplc="DBDC2636" w:tentative="1">
      <w:start w:val="1"/>
      <w:numFmt w:val="bullet"/>
      <w:lvlText w:val="–"/>
      <w:lvlJc w:val="left"/>
      <w:pPr>
        <w:tabs>
          <w:tab w:val="num" w:pos="5040"/>
        </w:tabs>
        <w:ind w:left="5040" w:hanging="360"/>
      </w:pPr>
      <w:rPr>
        <w:rFonts w:ascii="Arial" w:hAnsi="Arial" w:hint="default"/>
      </w:rPr>
    </w:lvl>
    <w:lvl w:ilvl="7" w:tplc="6FEAF3B8" w:tentative="1">
      <w:start w:val="1"/>
      <w:numFmt w:val="bullet"/>
      <w:lvlText w:val="–"/>
      <w:lvlJc w:val="left"/>
      <w:pPr>
        <w:tabs>
          <w:tab w:val="num" w:pos="5760"/>
        </w:tabs>
        <w:ind w:left="5760" w:hanging="360"/>
      </w:pPr>
      <w:rPr>
        <w:rFonts w:ascii="Arial" w:hAnsi="Arial" w:hint="default"/>
      </w:rPr>
    </w:lvl>
    <w:lvl w:ilvl="8" w:tplc="7354C0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FD6AA9"/>
    <w:multiLevelType w:val="hybridMultilevel"/>
    <w:tmpl w:val="15F26AF8"/>
    <w:lvl w:ilvl="0" w:tplc="26202544">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D44BDE"/>
    <w:multiLevelType w:val="hybridMultilevel"/>
    <w:tmpl w:val="7810964E"/>
    <w:lvl w:ilvl="0" w:tplc="D962349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78E1278"/>
    <w:multiLevelType w:val="hybridMultilevel"/>
    <w:tmpl w:val="6B029C78"/>
    <w:lvl w:ilvl="0" w:tplc="58B8FC5A">
      <w:start w:val="1"/>
      <w:numFmt w:val="bullet"/>
      <w:lvlText w:val="–"/>
      <w:lvlJc w:val="left"/>
      <w:pPr>
        <w:tabs>
          <w:tab w:val="num" w:pos="720"/>
        </w:tabs>
        <w:ind w:left="720" w:hanging="360"/>
      </w:pPr>
      <w:rPr>
        <w:rFonts w:ascii="Arial" w:hAnsi="Arial" w:hint="default"/>
      </w:rPr>
    </w:lvl>
    <w:lvl w:ilvl="1" w:tplc="D0CC9A30">
      <w:start w:val="1"/>
      <w:numFmt w:val="bullet"/>
      <w:lvlText w:val="–"/>
      <w:lvlJc w:val="left"/>
      <w:pPr>
        <w:tabs>
          <w:tab w:val="num" w:pos="1440"/>
        </w:tabs>
        <w:ind w:left="1440" w:hanging="360"/>
      </w:pPr>
      <w:rPr>
        <w:rFonts w:ascii="Arial" w:hAnsi="Arial" w:hint="default"/>
      </w:rPr>
    </w:lvl>
    <w:lvl w:ilvl="2" w:tplc="C158CF92">
      <w:start w:val="2394"/>
      <w:numFmt w:val="bullet"/>
      <w:lvlText w:val="•"/>
      <w:lvlJc w:val="left"/>
      <w:pPr>
        <w:tabs>
          <w:tab w:val="num" w:pos="2160"/>
        </w:tabs>
        <w:ind w:left="2160" w:hanging="360"/>
      </w:pPr>
      <w:rPr>
        <w:rFonts w:ascii="Times New Roman" w:hAnsi="Times New Roman" w:hint="default"/>
      </w:rPr>
    </w:lvl>
    <w:lvl w:ilvl="3" w:tplc="94540386" w:tentative="1">
      <w:start w:val="1"/>
      <w:numFmt w:val="bullet"/>
      <w:lvlText w:val="–"/>
      <w:lvlJc w:val="left"/>
      <w:pPr>
        <w:tabs>
          <w:tab w:val="num" w:pos="2880"/>
        </w:tabs>
        <w:ind w:left="2880" w:hanging="360"/>
      </w:pPr>
      <w:rPr>
        <w:rFonts w:ascii="Arial" w:hAnsi="Arial" w:hint="default"/>
      </w:rPr>
    </w:lvl>
    <w:lvl w:ilvl="4" w:tplc="699028D8" w:tentative="1">
      <w:start w:val="1"/>
      <w:numFmt w:val="bullet"/>
      <w:lvlText w:val="–"/>
      <w:lvlJc w:val="left"/>
      <w:pPr>
        <w:tabs>
          <w:tab w:val="num" w:pos="3600"/>
        </w:tabs>
        <w:ind w:left="3600" w:hanging="360"/>
      </w:pPr>
      <w:rPr>
        <w:rFonts w:ascii="Arial" w:hAnsi="Arial" w:hint="default"/>
      </w:rPr>
    </w:lvl>
    <w:lvl w:ilvl="5" w:tplc="714E4088" w:tentative="1">
      <w:start w:val="1"/>
      <w:numFmt w:val="bullet"/>
      <w:lvlText w:val="–"/>
      <w:lvlJc w:val="left"/>
      <w:pPr>
        <w:tabs>
          <w:tab w:val="num" w:pos="4320"/>
        </w:tabs>
        <w:ind w:left="4320" w:hanging="360"/>
      </w:pPr>
      <w:rPr>
        <w:rFonts w:ascii="Arial" w:hAnsi="Arial" w:hint="default"/>
      </w:rPr>
    </w:lvl>
    <w:lvl w:ilvl="6" w:tplc="22F20758" w:tentative="1">
      <w:start w:val="1"/>
      <w:numFmt w:val="bullet"/>
      <w:lvlText w:val="–"/>
      <w:lvlJc w:val="left"/>
      <w:pPr>
        <w:tabs>
          <w:tab w:val="num" w:pos="5040"/>
        </w:tabs>
        <w:ind w:left="5040" w:hanging="360"/>
      </w:pPr>
      <w:rPr>
        <w:rFonts w:ascii="Arial" w:hAnsi="Arial" w:hint="default"/>
      </w:rPr>
    </w:lvl>
    <w:lvl w:ilvl="7" w:tplc="040EC4D6" w:tentative="1">
      <w:start w:val="1"/>
      <w:numFmt w:val="bullet"/>
      <w:lvlText w:val="–"/>
      <w:lvlJc w:val="left"/>
      <w:pPr>
        <w:tabs>
          <w:tab w:val="num" w:pos="5760"/>
        </w:tabs>
        <w:ind w:left="5760" w:hanging="360"/>
      </w:pPr>
      <w:rPr>
        <w:rFonts w:ascii="Arial" w:hAnsi="Arial" w:hint="default"/>
      </w:rPr>
    </w:lvl>
    <w:lvl w:ilvl="8" w:tplc="D49AD8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5B7C06"/>
    <w:multiLevelType w:val="hybridMultilevel"/>
    <w:tmpl w:val="7160E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11433E"/>
    <w:multiLevelType w:val="hybridMultilevel"/>
    <w:tmpl w:val="DC9C0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F332C7E"/>
    <w:multiLevelType w:val="hybridMultilevel"/>
    <w:tmpl w:val="2F8442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09A7197"/>
    <w:multiLevelType w:val="hybridMultilevel"/>
    <w:tmpl w:val="DE9A6D04"/>
    <w:lvl w:ilvl="0" w:tplc="14090001">
      <w:start w:val="1"/>
      <w:numFmt w:val="bullet"/>
      <w:lvlText w:val=""/>
      <w:lvlJc w:val="left"/>
      <w:pPr>
        <w:ind w:left="720" w:hanging="360"/>
      </w:pPr>
      <w:rPr>
        <w:rFonts w:ascii="Symbol" w:hAnsi="Symbol" w:hint="default"/>
      </w:rPr>
    </w:lvl>
    <w:lvl w:ilvl="1" w:tplc="BA7A8CFE">
      <w:numFmt w:val="bullet"/>
      <w:lvlText w:val="•"/>
      <w:lvlJc w:val="left"/>
      <w:pPr>
        <w:ind w:left="1785" w:hanging="705"/>
      </w:pPr>
      <w:rPr>
        <w:rFonts w:ascii="Arial" w:eastAsiaTheme="minorEastAsia"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1667CED"/>
    <w:multiLevelType w:val="hybridMultilevel"/>
    <w:tmpl w:val="AC2A4B6C"/>
    <w:lvl w:ilvl="0" w:tplc="C6484A9E">
      <w:start w:val="1"/>
      <w:numFmt w:val="bullet"/>
      <w:lvlText w:val="n"/>
      <w:lvlJc w:val="left"/>
      <w:pPr>
        <w:tabs>
          <w:tab w:val="num" w:pos="720"/>
        </w:tabs>
        <w:ind w:left="720" w:hanging="360"/>
      </w:pPr>
      <w:rPr>
        <w:rFonts w:ascii="Monotype Sorts" w:hAnsi="Monotype Sorts" w:hint="default"/>
      </w:rPr>
    </w:lvl>
    <w:lvl w:ilvl="1" w:tplc="225CAAA0">
      <w:start w:val="2575"/>
      <w:numFmt w:val="bullet"/>
      <w:lvlText w:val="–"/>
      <w:lvlJc w:val="left"/>
      <w:pPr>
        <w:tabs>
          <w:tab w:val="num" w:pos="1440"/>
        </w:tabs>
        <w:ind w:left="1440" w:hanging="360"/>
      </w:pPr>
      <w:rPr>
        <w:rFonts w:ascii="Arial" w:hAnsi="Arial" w:hint="default"/>
      </w:rPr>
    </w:lvl>
    <w:lvl w:ilvl="2" w:tplc="6400B028" w:tentative="1">
      <w:start w:val="1"/>
      <w:numFmt w:val="bullet"/>
      <w:lvlText w:val="n"/>
      <w:lvlJc w:val="left"/>
      <w:pPr>
        <w:tabs>
          <w:tab w:val="num" w:pos="2160"/>
        </w:tabs>
        <w:ind w:left="2160" w:hanging="360"/>
      </w:pPr>
      <w:rPr>
        <w:rFonts w:ascii="Monotype Sorts" w:hAnsi="Monotype Sorts" w:hint="default"/>
      </w:rPr>
    </w:lvl>
    <w:lvl w:ilvl="3" w:tplc="5B401A92" w:tentative="1">
      <w:start w:val="1"/>
      <w:numFmt w:val="bullet"/>
      <w:lvlText w:val="n"/>
      <w:lvlJc w:val="left"/>
      <w:pPr>
        <w:tabs>
          <w:tab w:val="num" w:pos="2880"/>
        </w:tabs>
        <w:ind w:left="2880" w:hanging="360"/>
      </w:pPr>
      <w:rPr>
        <w:rFonts w:ascii="Monotype Sorts" w:hAnsi="Monotype Sorts" w:hint="default"/>
      </w:rPr>
    </w:lvl>
    <w:lvl w:ilvl="4" w:tplc="95068B70" w:tentative="1">
      <w:start w:val="1"/>
      <w:numFmt w:val="bullet"/>
      <w:lvlText w:val="n"/>
      <w:lvlJc w:val="left"/>
      <w:pPr>
        <w:tabs>
          <w:tab w:val="num" w:pos="3600"/>
        </w:tabs>
        <w:ind w:left="3600" w:hanging="360"/>
      </w:pPr>
      <w:rPr>
        <w:rFonts w:ascii="Monotype Sorts" w:hAnsi="Monotype Sorts" w:hint="default"/>
      </w:rPr>
    </w:lvl>
    <w:lvl w:ilvl="5" w:tplc="B69E394C" w:tentative="1">
      <w:start w:val="1"/>
      <w:numFmt w:val="bullet"/>
      <w:lvlText w:val="n"/>
      <w:lvlJc w:val="left"/>
      <w:pPr>
        <w:tabs>
          <w:tab w:val="num" w:pos="4320"/>
        </w:tabs>
        <w:ind w:left="4320" w:hanging="360"/>
      </w:pPr>
      <w:rPr>
        <w:rFonts w:ascii="Monotype Sorts" w:hAnsi="Monotype Sorts" w:hint="default"/>
      </w:rPr>
    </w:lvl>
    <w:lvl w:ilvl="6" w:tplc="6900A4F6" w:tentative="1">
      <w:start w:val="1"/>
      <w:numFmt w:val="bullet"/>
      <w:lvlText w:val="n"/>
      <w:lvlJc w:val="left"/>
      <w:pPr>
        <w:tabs>
          <w:tab w:val="num" w:pos="5040"/>
        </w:tabs>
        <w:ind w:left="5040" w:hanging="360"/>
      </w:pPr>
      <w:rPr>
        <w:rFonts w:ascii="Monotype Sorts" w:hAnsi="Monotype Sorts" w:hint="default"/>
      </w:rPr>
    </w:lvl>
    <w:lvl w:ilvl="7" w:tplc="225EF5E8" w:tentative="1">
      <w:start w:val="1"/>
      <w:numFmt w:val="bullet"/>
      <w:lvlText w:val="n"/>
      <w:lvlJc w:val="left"/>
      <w:pPr>
        <w:tabs>
          <w:tab w:val="num" w:pos="5760"/>
        </w:tabs>
        <w:ind w:left="5760" w:hanging="360"/>
      </w:pPr>
      <w:rPr>
        <w:rFonts w:ascii="Monotype Sorts" w:hAnsi="Monotype Sorts" w:hint="default"/>
      </w:rPr>
    </w:lvl>
    <w:lvl w:ilvl="8" w:tplc="7354ED16" w:tentative="1">
      <w:start w:val="1"/>
      <w:numFmt w:val="bullet"/>
      <w:lvlText w:val="n"/>
      <w:lvlJc w:val="left"/>
      <w:pPr>
        <w:tabs>
          <w:tab w:val="num" w:pos="6480"/>
        </w:tabs>
        <w:ind w:left="6480" w:hanging="360"/>
      </w:pPr>
      <w:rPr>
        <w:rFonts w:ascii="Monotype Sorts" w:hAnsi="Monotype Sorts" w:hint="default"/>
      </w:rPr>
    </w:lvl>
  </w:abstractNum>
  <w:abstractNum w:abstractNumId="9" w15:restartNumberingAfterBreak="0">
    <w:nsid w:val="2267106A"/>
    <w:multiLevelType w:val="hybridMultilevel"/>
    <w:tmpl w:val="D38AC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EF1FEE"/>
    <w:multiLevelType w:val="hybridMultilevel"/>
    <w:tmpl w:val="9E10426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1" w15:restartNumberingAfterBreak="0">
    <w:nsid w:val="30DA53E9"/>
    <w:multiLevelType w:val="hybridMultilevel"/>
    <w:tmpl w:val="C8168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C176A1"/>
    <w:multiLevelType w:val="hybridMultilevel"/>
    <w:tmpl w:val="B89CD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49743C"/>
    <w:multiLevelType w:val="hybridMultilevel"/>
    <w:tmpl w:val="CC56A7A0"/>
    <w:lvl w:ilvl="0" w:tplc="31A016AE">
      <w:start w:val="3"/>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2C3C9E"/>
    <w:multiLevelType w:val="hybridMultilevel"/>
    <w:tmpl w:val="4F4C70A2"/>
    <w:lvl w:ilvl="0" w:tplc="D962349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32E07AC"/>
    <w:multiLevelType w:val="hybridMultilevel"/>
    <w:tmpl w:val="F2181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D60398"/>
    <w:multiLevelType w:val="hybridMultilevel"/>
    <w:tmpl w:val="5F50F7FE"/>
    <w:lvl w:ilvl="0" w:tplc="1409000F">
      <w:start w:val="1"/>
      <w:numFmt w:val="decimal"/>
      <w:lvlText w:val="%1."/>
      <w:lvlJc w:val="left"/>
      <w:pPr>
        <w:ind w:left="720" w:hanging="360"/>
      </w:pPr>
      <w:rPr>
        <w:rFonts w:hint="default"/>
      </w:rPr>
    </w:lvl>
    <w:lvl w:ilvl="1" w:tplc="91584D94">
      <w:start w:val="3"/>
      <w:numFmt w:val="bullet"/>
      <w:lvlText w:val="•"/>
      <w:lvlJc w:val="left"/>
      <w:pPr>
        <w:ind w:left="1440" w:hanging="360"/>
      </w:pPr>
      <w:rPr>
        <w:rFonts w:ascii="Arial" w:eastAsiaTheme="minorEastAsia"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B6D69D3"/>
    <w:multiLevelType w:val="hybridMultilevel"/>
    <w:tmpl w:val="132E36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CAC2A25"/>
    <w:multiLevelType w:val="hybridMultilevel"/>
    <w:tmpl w:val="0C42B284"/>
    <w:lvl w:ilvl="0" w:tplc="14090001">
      <w:start w:val="1"/>
      <w:numFmt w:val="bullet"/>
      <w:lvlText w:val=""/>
      <w:lvlJc w:val="left"/>
      <w:pPr>
        <w:ind w:left="1080" w:hanging="72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08B28A4"/>
    <w:multiLevelType w:val="hybridMultilevel"/>
    <w:tmpl w:val="9D320EDE"/>
    <w:lvl w:ilvl="0" w:tplc="D962349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11B47A7"/>
    <w:multiLevelType w:val="hybridMultilevel"/>
    <w:tmpl w:val="4DE2652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57C97B00"/>
    <w:multiLevelType w:val="hybridMultilevel"/>
    <w:tmpl w:val="1A4E9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8481B80"/>
    <w:multiLevelType w:val="hybridMultilevel"/>
    <w:tmpl w:val="4FB68782"/>
    <w:lvl w:ilvl="0" w:tplc="D962349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9123E94"/>
    <w:multiLevelType w:val="hybridMultilevel"/>
    <w:tmpl w:val="0CBA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1A4A60"/>
    <w:multiLevelType w:val="hybridMultilevel"/>
    <w:tmpl w:val="0D745FC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B3969A9"/>
    <w:multiLevelType w:val="hybridMultilevel"/>
    <w:tmpl w:val="95CE6310"/>
    <w:lvl w:ilvl="0" w:tplc="BCE08CC0">
      <w:start w:val="5"/>
      <w:numFmt w:val="bullet"/>
      <w:lvlText w:val=""/>
      <w:lvlJc w:val="left"/>
      <w:pPr>
        <w:ind w:left="720" w:hanging="360"/>
      </w:pPr>
      <w:rPr>
        <w:rFonts w:ascii="Symbol" w:eastAsiaTheme="minorEastAsia"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7393996"/>
    <w:multiLevelType w:val="hybridMultilevel"/>
    <w:tmpl w:val="02DA9E68"/>
    <w:lvl w:ilvl="0" w:tplc="D962349A">
      <w:start w:val="1"/>
      <w:numFmt w:val="lowerRoman"/>
      <w:lvlText w:val="(%1)"/>
      <w:lvlJc w:val="left"/>
      <w:pPr>
        <w:tabs>
          <w:tab w:val="num" w:pos="720"/>
        </w:tabs>
        <w:ind w:left="720" w:hanging="360"/>
      </w:pPr>
      <w:rPr>
        <w:rFonts w:hint="default"/>
      </w:rPr>
    </w:lvl>
    <w:lvl w:ilvl="1" w:tplc="D962349A">
      <w:start w:val="1"/>
      <w:numFmt w:val="lowerRoman"/>
      <w:lvlText w:val="(%2)"/>
      <w:lvlJc w:val="left"/>
      <w:pPr>
        <w:tabs>
          <w:tab w:val="num" w:pos="1440"/>
        </w:tabs>
        <w:ind w:left="1440" w:hanging="360"/>
      </w:pPr>
      <w:rPr>
        <w:rFonts w:hint="default"/>
      </w:rPr>
    </w:lvl>
    <w:lvl w:ilvl="2" w:tplc="963CE5B2" w:tentative="1">
      <w:start w:val="1"/>
      <w:numFmt w:val="bullet"/>
      <w:lvlText w:val="n"/>
      <w:lvlJc w:val="left"/>
      <w:pPr>
        <w:tabs>
          <w:tab w:val="num" w:pos="2160"/>
        </w:tabs>
        <w:ind w:left="2160" w:hanging="360"/>
      </w:pPr>
      <w:rPr>
        <w:rFonts w:ascii="Monotype Sorts" w:hAnsi="Monotype Sorts" w:hint="default"/>
      </w:rPr>
    </w:lvl>
    <w:lvl w:ilvl="3" w:tplc="8F0E8E2A" w:tentative="1">
      <w:start w:val="1"/>
      <w:numFmt w:val="bullet"/>
      <w:lvlText w:val="n"/>
      <w:lvlJc w:val="left"/>
      <w:pPr>
        <w:tabs>
          <w:tab w:val="num" w:pos="2880"/>
        </w:tabs>
        <w:ind w:left="2880" w:hanging="360"/>
      </w:pPr>
      <w:rPr>
        <w:rFonts w:ascii="Monotype Sorts" w:hAnsi="Monotype Sorts" w:hint="default"/>
      </w:rPr>
    </w:lvl>
    <w:lvl w:ilvl="4" w:tplc="6B7CDD3A" w:tentative="1">
      <w:start w:val="1"/>
      <w:numFmt w:val="bullet"/>
      <w:lvlText w:val="n"/>
      <w:lvlJc w:val="left"/>
      <w:pPr>
        <w:tabs>
          <w:tab w:val="num" w:pos="3600"/>
        </w:tabs>
        <w:ind w:left="3600" w:hanging="360"/>
      </w:pPr>
      <w:rPr>
        <w:rFonts w:ascii="Monotype Sorts" w:hAnsi="Monotype Sorts" w:hint="default"/>
      </w:rPr>
    </w:lvl>
    <w:lvl w:ilvl="5" w:tplc="BBE24936" w:tentative="1">
      <w:start w:val="1"/>
      <w:numFmt w:val="bullet"/>
      <w:lvlText w:val="n"/>
      <w:lvlJc w:val="left"/>
      <w:pPr>
        <w:tabs>
          <w:tab w:val="num" w:pos="4320"/>
        </w:tabs>
        <w:ind w:left="4320" w:hanging="360"/>
      </w:pPr>
      <w:rPr>
        <w:rFonts w:ascii="Monotype Sorts" w:hAnsi="Monotype Sorts" w:hint="default"/>
      </w:rPr>
    </w:lvl>
    <w:lvl w:ilvl="6" w:tplc="078E315C" w:tentative="1">
      <w:start w:val="1"/>
      <w:numFmt w:val="bullet"/>
      <w:lvlText w:val="n"/>
      <w:lvlJc w:val="left"/>
      <w:pPr>
        <w:tabs>
          <w:tab w:val="num" w:pos="5040"/>
        </w:tabs>
        <w:ind w:left="5040" w:hanging="360"/>
      </w:pPr>
      <w:rPr>
        <w:rFonts w:ascii="Monotype Sorts" w:hAnsi="Monotype Sorts" w:hint="default"/>
      </w:rPr>
    </w:lvl>
    <w:lvl w:ilvl="7" w:tplc="2604C920" w:tentative="1">
      <w:start w:val="1"/>
      <w:numFmt w:val="bullet"/>
      <w:lvlText w:val="n"/>
      <w:lvlJc w:val="left"/>
      <w:pPr>
        <w:tabs>
          <w:tab w:val="num" w:pos="5760"/>
        </w:tabs>
        <w:ind w:left="5760" w:hanging="360"/>
      </w:pPr>
      <w:rPr>
        <w:rFonts w:ascii="Monotype Sorts" w:hAnsi="Monotype Sorts" w:hint="default"/>
      </w:rPr>
    </w:lvl>
    <w:lvl w:ilvl="8" w:tplc="785C0548" w:tentative="1">
      <w:start w:val="1"/>
      <w:numFmt w:val="bullet"/>
      <w:lvlText w:val="n"/>
      <w:lvlJc w:val="left"/>
      <w:pPr>
        <w:tabs>
          <w:tab w:val="num" w:pos="6480"/>
        </w:tabs>
        <w:ind w:left="6480" w:hanging="360"/>
      </w:pPr>
      <w:rPr>
        <w:rFonts w:ascii="Monotype Sorts" w:hAnsi="Monotype Sorts" w:hint="default"/>
      </w:rPr>
    </w:lvl>
  </w:abstractNum>
  <w:abstractNum w:abstractNumId="27" w15:restartNumberingAfterBreak="0">
    <w:nsid w:val="74400EDB"/>
    <w:multiLevelType w:val="hybridMultilevel"/>
    <w:tmpl w:val="596CFE2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8" w15:restartNumberingAfterBreak="0">
    <w:nsid w:val="7AE32C64"/>
    <w:multiLevelType w:val="hybridMultilevel"/>
    <w:tmpl w:val="5F50F7FE"/>
    <w:lvl w:ilvl="0" w:tplc="1409000F">
      <w:start w:val="1"/>
      <w:numFmt w:val="decimal"/>
      <w:lvlText w:val="%1."/>
      <w:lvlJc w:val="left"/>
      <w:pPr>
        <w:ind w:left="720" w:hanging="360"/>
      </w:pPr>
      <w:rPr>
        <w:rFonts w:hint="default"/>
      </w:rPr>
    </w:lvl>
    <w:lvl w:ilvl="1" w:tplc="91584D94">
      <w:start w:val="3"/>
      <w:numFmt w:val="bullet"/>
      <w:lvlText w:val="•"/>
      <w:lvlJc w:val="left"/>
      <w:pPr>
        <w:ind w:left="1440" w:hanging="360"/>
      </w:pPr>
      <w:rPr>
        <w:rFonts w:ascii="Arial" w:eastAsiaTheme="minorEastAsia"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B247638"/>
    <w:multiLevelType w:val="hybridMultilevel"/>
    <w:tmpl w:val="23BAE8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8"/>
  </w:num>
  <w:num w:numId="4">
    <w:abstractNumId w:val="27"/>
  </w:num>
  <w:num w:numId="5">
    <w:abstractNumId w:val="16"/>
  </w:num>
  <w:num w:numId="6">
    <w:abstractNumId w:val="9"/>
  </w:num>
  <w:num w:numId="7">
    <w:abstractNumId w:val="5"/>
  </w:num>
  <w:num w:numId="8">
    <w:abstractNumId w:val="23"/>
  </w:num>
  <w:num w:numId="9">
    <w:abstractNumId w:val="6"/>
  </w:num>
  <w:num w:numId="10">
    <w:abstractNumId w:val="24"/>
  </w:num>
  <w:num w:numId="11">
    <w:abstractNumId w:val="22"/>
  </w:num>
  <w:num w:numId="12">
    <w:abstractNumId w:val="25"/>
  </w:num>
  <w:num w:numId="13">
    <w:abstractNumId w:val="4"/>
  </w:num>
  <w:num w:numId="14">
    <w:abstractNumId w:val="2"/>
  </w:num>
  <w:num w:numId="15">
    <w:abstractNumId w:val="21"/>
  </w:num>
  <w:num w:numId="16">
    <w:abstractNumId w:val="26"/>
  </w:num>
  <w:num w:numId="17">
    <w:abstractNumId w:val="20"/>
  </w:num>
  <w:num w:numId="18">
    <w:abstractNumId w:val="19"/>
  </w:num>
  <w:num w:numId="19">
    <w:abstractNumId w:val="14"/>
  </w:num>
  <w:num w:numId="20">
    <w:abstractNumId w:val="1"/>
  </w:num>
  <w:num w:numId="21">
    <w:abstractNumId w:val="7"/>
  </w:num>
  <w:num w:numId="22">
    <w:abstractNumId w:val="13"/>
  </w:num>
  <w:num w:numId="23">
    <w:abstractNumId w:val="18"/>
  </w:num>
  <w:num w:numId="24">
    <w:abstractNumId w:val="29"/>
  </w:num>
  <w:num w:numId="25">
    <w:abstractNumId w:val="17"/>
  </w:num>
  <w:num w:numId="26">
    <w:abstractNumId w:val="3"/>
  </w:num>
  <w:num w:numId="27">
    <w:abstractNumId w:val="8"/>
  </w:num>
  <w:num w:numId="28">
    <w:abstractNumId w:val="0"/>
  </w:num>
  <w:num w:numId="29">
    <w:abstractNumId w:val="10"/>
  </w:num>
  <w:num w:numId="30">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D9"/>
    <w:rsid w:val="000016D4"/>
    <w:rsid w:val="00001EA7"/>
    <w:rsid w:val="000058E1"/>
    <w:rsid w:val="00012081"/>
    <w:rsid w:val="00017405"/>
    <w:rsid w:val="00021BAA"/>
    <w:rsid w:val="00022BB7"/>
    <w:rsid w:val="00024D56"/>
    <w:rsid w:val="00031475"/>
    <w:rsid w:val="0003750E"/>
    <w:rsid w:val="0003792F"/>
    <w:rsid w:val="000413B0"/>
    <w:rsid w:val="00042DC3"/>
    <w:rsid w:val="00043765"/>
    <w:rsid w:val="00045816"/>
    <w:rsid w:val="00046E66"/>
    <w:rsid w:val="00047284"/>
    <w:rsid w:val="000505EC"/>
    <w:rsid w:val="000560CD"/>
    <w:rsid w:val="0006275B"/>
    <w:rsid w:val="00062C4D"/>
    <w:rsid w:val="0006435F"/>
    <w:rsid w:val="00064F4E"/>
    <w:rsid w:val="000650BE"/>
    <w:rsid w:val="0006775F"/>
    <w:rsid w:val="00067A81"/>
    <w:rsid w:val="0007080E"/>
    <w:rsid w:val="00076BB4"/>
    <w:rsid w:val="00080C7F"/>
    <w:rsid w:val="00081F38"/>
    <w:rsid w:val="00094A08"/>
    <w:rsid w:val="0009787D"/>
    <w:rsid w:val="000A2BD9"/>
    <w:rsid w:val="000A4B32"/>
    <w:rsid w:val="000B1EE1"/>
    <w:rsid w:val="000B5C8E"/>
    <w:rsid w:val="000B6837"/>
    <w:rsid w:val="000B6E16"/>
    <w:rsid w:val="000B7704"/>
    <w:rsid w:val="000C4B73"/>
    <w:rsid w:val="000C6EEA"/>
    <w:rsid w:val="000C752C"/>
    <w:rsid w:val="000D05A0"/>
    <w:rsid w:val="000D2B1E"/>
    <w:rsid w:val="000E0176"/>
    <w:rsid w:val="000F7C37"/>
    <w:rsid w:val="001012C3"/>
    <w:rsid w:val="0010276A"/>
    <w:rsid w:val="0010498F"/>
    <w:rsid w:val="0010625C"/>
    <w:rsid w:val="001065EA"/>
    <w:rsid w:val="00121324"/>
    <w:rsid w:val="00127A90"/>
    <w:rsid w:val="00140899"/>
    <w:rsid w:val="00141C4A"/>
    <w:rsid w:val="00141C79"/>
    <w:rsid w:val="001431A2"/>
    <w:rsid w:val="00154E32"/>
    <w:rsid w:val="00155F70"/>
    <w:rsid w:val="00160BC6"/>
    <w:rsid w:val="00162C38"/>
    <w:rsid w:val="00164F0D"/>
    <w:rsid w:val="00167A0D"/>
    <w:rsid w:val="0017237B"/>
    <w:rsid w:val="00172DA5"/>
    <w:rsid w:val="001739B0"/>
    <w:rsid w:val="001751A3"/>
    <w:rsid w:val="0018011C"/>
    <w:rsid w:val="001801E8"/>
    <w:rsid w:val="00180CFD"/>
    <w:rsid w:val="00181938"/>
    <w:rsid w:val="001826EA"/>
    <w:rsid w:val="00184514"/>
    <w:rsid w:val="001911B3"/>
    <w:rsid w:val="001950C4"/>
    <w:rsid w:val="001A0D33"/>
    <w:rsid w:val="001A456F"/>
    <w:rsid w:val="001A6CCA"/>
    <w:rsid w:val="001A7911"/>
    <w:rsid w:val="001B0382"/>
    <w:rsid w:val="001B0BEE"/>
    <w:rsid w:val="001B2196"/>
    <w:rsid w:val="001B34DF"/>
    <w:rsid w:val="001B7692"/>
    <w:rsid w:val="001C1D5A"/>
    <w:rsid w:val="001C3636"/>
    <w:rsid w:val="001C3FE4"/>
    <w:rsid w:val="001C4C38"/>
    <w:rsid w:val="001C6C86"/>
    <w:rsid w:val="001C6D04"/>
    <w:rsid w:val="001C781F"/>
    <w:rsid w:val="001D5672"/>
    <w:rsid w:val="001E0D3D"/>
    <w:rsid w:val="001E4C91"/>
    <w:rsid w:val="001E4CA4"/>
    <w:rsid w:val="001E4D05"/>
    <w:rsid w:val="001E4E6B"/>
    <w:rsid w:val="001E5174"/>
    <w:rsid w:val="001F14B2"/>
    <w:rsid w:val="001F4230"/>
    <w:rsid w:val="001F5495"/>
    <w:rsid w:val="001F7682"/>
    <w:rsid w:val="002017D8"/>
    <w:rsid w:val="0020672E"/>
    <w:rsid w:val="00206794"/>
    <w:rsid w:val="00206B23"/>
    <w:rsid w:val="00210D68"/>
    <w:rsid w:val="00210D79"/>
    <w:rsid w:val="002121BE"/>
    <w:rsid w:val="002202E9"/>
    <w:rsid w:val="00221943"/>
    <w:rsid w:val="0022766D"/>
    <w:rsid w:val="002312F6"/>
    <w:rsid w:val="00233FF8"/>
    <w:rsid w:val="0023770C"/>
    <w:rsid w:val="002405EA"/>
    <w:rsid w:val="0024507B"/>
    <w:rsid w:val="002473B3"/>
    <w:rsid w:val="00251BFB"/>
    <w:rsid w:val="0025409C"/>
    <w:rsid w:val="002570F8"/>
    <w:rsid w:val="00265D93"/>
    <w:rsid w:val="00271FD3"/>
    <w:rsid w:val="00274231"/>
    <w:rsid w:val="0027436B"/>
    <w:rsid w:val="0027535C"/>
    <w:rsid w:val="002771CA"/>
    <w:rsid w:val="00277654"/>
    <w:rsid w:val="00283090"/>
    <w:rsid w:val="00283C61"/>
    <w:rsid w:val="00284AC0"/>
    <w:rsid w:val="002900CA"/>
    <w:rsid w:val="0029221C"/>
    <w:rsid w:val="002930A1"/>
    <w:rsid w:val="00294E0D"/>
    <w:rsid w:val="002A23BC"/>
    <w:rsid w:val="002A3267"/>
    <w:rsid w:val="002B7DC2"/>
    <w:rsid w:val="002C3560"/>
    <w:rsid w:val="002C460E"/>
    <w:rsid w:val="002D3B5F"/>
    <w:rsid w:val="002D3DC6"/>
    <w:rsid w:val="002D4A64"/>
    <w:rsid w:val="002E0A62"/>
    <w:rsid w:val="002E3267"/>
    <w:rsid w:val="002E39B3"/>
    <w:rsid w:val="002F2533"/>
    <w:rsid w:val="00302754"/>
    <w:rsid w:val="00310DB7"/>
    <w:rsid w:val="00312DB7"/>
    <w:rsid w:val="00317F4E"/>
    <w:rsid w:val="0032120F"/>
    <w:rsid w:val="0032525E"/>
    <w:rsid w:val="0032687E"/>
    <w:rsid w:val="0033465F"/>
    <w:rsid w:val="00335FD1"/>
    <w:rsid w:val="00347BBC"/>
    <w:rsid w:val="0035535D"/>
    <w:rsid w:val="003554F8"/>
    <w:rsid w:val="00355EF6"/>
    <w:rsid w:val="003615A1"/>
    <w:rsid w:val="00361ADE"/>
    <w:rsid w:val="003638B7"/>
    <w:rsid w:val="003722AB"/>
    <w:rsid w:val="00377088"/>
    <w:rsid w:val="00381F0A"/>
    <w:rsid w:val="00382706"/>
    <w:rsid w:val="00384306"/>
    <w:rsid w:val="0039608D"/>
    <w:rsid w:val="00396227"/>
    <w:rsid w:val="003A3BAA"/>
    <w:rsid w:val="003C5F4D"/>
    <w:rsid w:val="003D1B11"/>
    <w:rsid w:val="003E2749"/>
    <w:rsid w:val="003E33F5"/>
    <w:rsid w:val="003F07BB"/>
    <w:rsid w:val="00405991"/>
    <w:rsid w:val="0040645D"/>
    <w:rsid w:val="00406CB2"/>
    <w:rsid w:val="0041111C"/>
    <w:rsid w:val="00414410"/>
    <w:rsid w:val="004157EC"/>
    <w:rsid w:val="00416634"/>
    <w:rsid w:val="004218BB"/>
    <w:rsid w:val="00425E0C"/>
    <w:rsid w:val="004264E5"/>
    <w:rsid w:val="0044291C"/>
    <w:rsid w:val="00451807"/>
    <w:rsid w:val="00452DA6"/>
    <w:rsid w:val="004544FA"/>
    <w:rsid w:val="00455186"/>
    <w:rsid w:val="0045571D"/>
    <w:rsid w:val="00455F32"/>
    <w:rsid w:val="0047380A"/>
    <w:rsid w:val="004745BD"/>
    <w:rsid w:val="00477981"/>
    <w:rsid w:val="00477C06"/>
    <w:rsid w:val="00480A4B"/>
    <w:rsid w:val="0048292D"/>
    <w:rsid w:val="004942B7"/>
    <w:rsid w:val="004A34EA"/>
    <w:rsid w:val="004A5280"/>
    <w:rsid w:val="004A5BD5"/>
    <w:rsid w:val="004C60E1"/>
    <w:rsid w:val="004C7A0B"/>
    <w:rsid w:val="004D271A"/>
    <w:rsid w:val="004D4134"/>
    <w:rsid w:val="004D4DF8"/>
    <w:rsid w:val="004D6393"/>
    <w:rsid w:val="004E028F"/>
    <w:rsid w:val="004E3752"/>
    <w:rsid w:val="004E391B"/>
    <w:rsid w:val="004F3C4C"/>
    <w:rsid w:val="004F6182"/>
    <w:rsid w:val="005107AC"/>
    <w:rsid w:val="00512172"/>
    <w:rsid w:val="00524920"/>
    <w:rsid w:val="00536D24"/>
    <w:rsid w:val="005428CE"/>
    <w:rsid w:val="00546822"/>
    <w:rsid w:val="00547F27"/>
    <w:rsid w:val="00553686"/>
    <w:rsid w:val="0056513F"/>
    <w:rsid w:val="005747FC"/>
    <w:rsid w:val="00582114"/>
    <w:rsid w:val="005826FE"/>
    <w:rsid w:val="00592093"/>
    <w:rsid w:val="005A69FB"/>
    <w:rsid w:val="005A6DD2"/>
    <w:rsid w:val="005B3862"/>
    <w:rsid w:val="005C16D8"/>
    <w:rsid w:val="005C2B28"/>
    <w:rsid w:val="005C2BE7"/>
    <w:rsid w:val="005C5CA0"/>
    <w:rsid w:val="005D02B8"/>
    <w:rsid w:val="005D7284"/>
    <w:rsid w:val="005E1812"/>
    <w:rsid w:val="005E56EE"/>
    <w:rsid w:val="005E7B69"/>
    <w:rsid w:val="005F719C"/>
    <w:rsid w:val="005F7A01"/>
    <w:rsid w:val="006025AF"/>
    <w:rsid w:val="00604F90"/>
    <w:rsid w:val="0060575B"/>
    <w:rsid w:val="00605954"/>
    <w:rsid w:val="00607139"/>
    <w:rsid w:val="00615787"/>
    <w:rsid w:val="00615FBC"/>
    <w:rsid w:val="00616738"/>
    <w:rsid w:val="00627FDF"/>
    <w:rsid w:val="006307A4"/>
    <w:rsid w:val="00630C09"/>
    <w:rsid w:val="00634990"/>
    <w:rsid w:val="00640189"/>
    <w:rsid w:val="00646482"/>
    <w:rsid w:val="00647752"/>
    <w:rsid w:val="00652F12"/>
    <w:rsid w:val="00653D79"/>
    <w:rsid w:val="00662BA3"/>
    <w:rsid w:val="00670AB2"/>
    <w:rsid w:val="00677142"/>
    <w:rsid w:val="00677C3D"/>
    <w:rsid w:val="00677C77"/>
    <w:rsid w:val="00692961"/>
    <w:rsid w:val="006958F0"/>
    <w:rsid w:val="00696053"/>
    <w:rsid w:val="006977A7"/>
    <w:rsid w:val="006A0A57"/>
    <w:rsid w:val="006A221C"/>
    <w:rsid w:val="006A5E9B"/>
    <w:rsid w:val="006A60B8"/>
    <w:rsid w:val="006B6D7D"/>
    <w:rsid w:val="006C0AE4"/>
    <w:rsid w:val="006C1CBA"/>
    <w:rsid w:val="006C21D0"/>
    <w:rsid w:val="006C26DA"/>
    <w:rsid w:val="006C27AE"/>
    <w:rsid w:val="006C47FF"/>
    <w:rsid w:val="006D202F"/>
    <w:rsid w:val="006D2867"/>
    <w:rsid w:val="006D4450"/>
    <w:rsid w:val="006D49DA"/>
    <w:rsid w:val="006D6619"/>
    <w:rsid w:val="006E3ABB"/>
    <w:rsid w:val="006F0303"/>
    <w:rsid w:val="00706B7D"/>
    <w:rsid w:val="00710907"/>
    <w:rsid w:val="007130A9"/>
    <w:rsid w:val="00717657"/>
    <w:rsid w:val="007218D4"/>
    <w:rsid w:val="007268D1"/>
    <w:rsid w:val="00730923"/>
    <w:rsid w:val="00731AD8"/>
    <w:rsid w:val="007346C8"/>
    <w:rsid w:val="00735638"/>
    <w:rsid w:val="00735903"/>
    <w:rsid w:val="007545A1"/>
    <w:rsid w:val="00756057"/>
    <w:rsid w:val="00756692"/>
    <w:rsid w:val="00756B48"/>
    <w:rsid w:val="0076103E"/>
    <w:rsid w:val="007612C5"/>
    <w:rsid w:val="00763E33"/>
    <w:rsid w:val="00765788"/>
    <w:rsid w:val="00770DD5"/>
    <w:rsid w:val="00771CDB"/>
    <w:rsid w:val="00771F29"/>
    <w:rsid w:val="0077254D"/>
    <w:rsid w:val="00775D62"/>
    <w:rsid w:val="00776D07"/>
    <w:rsid w:val="00781207"/>
    <w:rsid w:val="00791A65"/>
    <w:rsid w:val="007928DF"/>
    <w:rsid w:val="0079589C"/>
    <w:rsid w:val="00796F8C"/>
    <w:rsid w:val="007B4543"/>
    <w:rsid w:val="007B46D2"/>
    <w:rsid w:val="007B600A"/>
    <w:rsid w:val="007C135D"/>
    <w:rsid w:val="007C5AEE"/>
    <w:rsid w:val="007C5F44"/>
    <w:rsid w:val="007D3A2A"/>
    <w:rsid w:val="007D3DD7"/>
    <w:rsid w:val="007E1AC0"/>
    <w:rsid w:val="007E27F1"/>
    <w:rsid w:val="007E2857"/>
    <w:rsid w:val="007E285A"/>
    <w:rsid w:val="007E3879"/>
    <w:rsid w:val="007E3DDE"/>
    <w:rsid w:val="007E7420"/>
    <w:rsid w:val="007F30A4"/>
    <w:rsid w:val="007F40FA"/>
    <w:rsid w:val="007F6928"/>
    <w:rsid w:val="00806ECE"/>
    <w:rsid w:val="00811909"/>
    <w:rsid w:val="0081385F"/>
    <w:rsid w:val="008157E1"/>
    <w:rsid w:val="00833693"/>
    <w:rsid w:val="00836348"/>
    <w:rsid w:val="0083727B"/>
    <w:rsid w:val="00837404"/>
    <w:rsid w:val="008430FD"/>
    <w:rsid w:val="008460B5"/>
    <w:rsid w:val="00847DBC"/>
    <w:rsid w:val="008548D6"/>
    <w:rsid w:val="00854F1D"/>
    <w:rsid w:val="00856FE5"/>
    <w:rsid w:val="00860868"/>
    <w:rsid w:val="00862EA1"/>
    <w:rsid w:val="008646AD"/>
    <w:rsid w:val="00870904"/>
    <w:rsid w:val="008721D9"/>
    <w:rsid w:val="008753FF"/>
    <w:rsid w:val="00881331"/>
    <w:rsid w:val="00884755"/>
    <w:rsid w:val="00896D8E"/>
    <w:rsid w:val="008A2B10"/>
    <w:rsid w:val="008A2B32"/>
    <w:rsid w:val="008A6A45"/>
    <w:rsid w:val="008B0879"/>
    <w:rsid w:val="008B0A8D"/>
    <w:rsid w:val="008B7299"/>
    <w:rsid w:val="008B7396"/>
    <w:rsid w:val="008C2190"/>
    <w:rsid w:val="008C4ED8"/>
    <w:rsid w:val="008D5AEF"/>
    <w:rsid w:val="008E1A94"/>
    <w:rsid w:val="008E5BC4"/>
    <w:rsid w:val="008E7916"/>
    <w:rsid w:val="008F7FC1"/>
    <w:rsid w:val="00911E6A"/>
    <w:rsid w:val="00912096"/>
    <w:rsid w:val="00912850"/>
    <w:rsid w:val="0092077C"/>
    <w:rsid w:val="0092558E"/>
    <w:rsid w:val="00925DE7"/>
    <w:rsid w:val="0093112E"/>
    <w:rsid w:val="00931E08"/>
    <w:rsid w:val="009328E8"/>
    <w:rsid w:val="009336DD"/>
    <w:rsid w:val="0094036A"/>
    <w:rsid w:val="00942CAB"/>
    <w:rsid w:val="009477A9"/>
    <w:rsid w:val="00950BDE"/>
    <w:rsid w:val="0095781B"/>
    <w:rsid w:val="009634D7"/>
    <w:rsid w:val="00970853"/>
    <w:rsid w:val="00972B0A"/>
    <w:rsid w:val="00977AE8"/>
    <w:rsid w:val="00977B49"/>
    <w:rsid w:val="009818AF"/>
    <w:rsid w:val="00983BDF"/>
    <w:rsid w:val="00984F84"/>
    <w:rsid w:val="00987C20"/>
    <w:rsid w:val="0099198E"/>
    <w:rsid w:val="009949CA"/>
    <w:rsid w:val="009A2C2D"/>
    <w:rsid w:val="009A6A9A"/>
    <w:rsid w:val="009B2301"/>
    <w:rsid w:val="009B6595"/>
    <w:rsid w:val="009B6879"/>
    <w:rsid w:val="009B78CE"/>
    <w:rsid w:val="009C5068"/>
    <w:rsid w:val="009E35E2"/>
    <w:rsid w:val="009E515C"/>
    <w:rsid w:val="009E6C97"/>
    <w:rsid w:val="009F088B"/>
    <w:rsid w:val="009F4179"/>
    <w:rsid w:val="009F436B"/>
    <w:rsid w:val="009F6F7E"/>
    <w:rsid w:val="00A06F7F"/>
    <w:rsid w:val="00A10DB6"/>
    <w:rsid w:val="00A13BBA"/>
    <w:rsid w:val="00A15201"/>
    <w:rsid w:val="00A1599C"/>
    <w:rsid w:val="00A17853"/>
    <w:rsid w:val="00A2334F"/>
    <w:rsid w:val="00A256D9"/>
    <w:rsid w:val="00A275AA"/>
    <w:rsid w:val="00A3452A"/>
    <w:rsid w:val="00A35F57"/>
    <w:rsid w:val="00A36A6C"/>
    <w:rsid w:val="00A36E0E"/>
    <w:rsid w:val="00A46417"/>
    <w:rsid w:val="00A46C60"/>
    <w:rsid w:val="00A476C1"/>
    <w:rsid w:val="00A52E88"/>
    <w:rsid w:val="00A535DA"/>
    <w:rsid w:val="00A63952"/>
    <w:rsid w:val="00A63AC9"/>
    <w:rsid w:val="00A70765"/>
    <w:rsid w:val="00A725C5"/>
    <w:rsid w:val="00A75F6E"/>
    <w:rsid w:val="00A76A11"/>
    <w:rsid w:val="00A80C4C"/>
    <w:rsid w:val="00A810FC"/>
    <w:rsid w:val="00A8604D"/>
    <w:rsid w:val="00A956BE"/>
    <w:rsid w:val="00A96BDC"/>
    <w:rsid w:val="00AA366D"/>
    <w:rsid w:val="00AA4F27"/>
    <w:rsid w:val="00AB3F8C"/>
    <w:rsid w:val="00AB511B"/>
    <w:rsid w:val="00AC3C77"/>
    <w:rsid w:val="00AC6A02"/>
    <w:rsid w:val="00AC7235"/>
    <w:rsid w:val="00AD0CD8"/>
    <w:rsid w:val="00AE0574"/>
    <w:rsid w:val="00AE0D85"/>
    <w:rsid w:val="00AE1297"/>
    <w:rsid w:val="00AE65D8"/>
    <w:rsid w:val="00AF0D5A"/>
    <w:rsid w:val="00AF1C50"/>
    <w:rsid w:val="00B0080E"/>
    <w:rsid w:val="00B00CC6"/>
    <w:rsid w:val="00B01086"/>
    <w:rsid w:val="00B03C36"/>
    <w:rsid w:val="00B0634F"/>
    <w:rsid w:val="00B0648A"/>
    <w:rsid w:val="00B078DD"/>
    <w:rsid w:val="00B125CD"/>
    <w:rsid w:val="00B15D56"/>
    <w:rsid w:val="00B175F2"/>
    <w:rsid w:val="00B17678"/>
    <w:rsid w:val="00B4728E"/>
    <w:rsid w:val="00B50C5A"/>
    <w:rsid w:val="00B5176A"/>
    <w:rsid w:val="00B61F07"/>
    <w:rsid w:val="00B631CB"/>
    <w:rsid w:val="00B657FD"/>
    <w:rsid w:val="00B7030B"/>
    <w:rsid w:val="00B716AC"/>
    <w:rsid w:val="00B73984"/>
    <w:rsid w:val="00B96658"/>
    <w:rsid w:val="00B97199"/>
    <w:rsid w:val="00BA0681"/>
    <w:rsid w:val="00BA164C"/>
    <w:rsid w:val="00BA2C96"/>
    <w:rsid w:val="00BA2E1C"/>
    <w:rsid w:val="00BA7195"/>
    <w:rsid w:val="00BB26F0"/>
    <w:rsid w:val="00BB30F5"/>
    <w:rsid w:val="00BB6F81"/>
    <w:rsid w:val="00BB7085"/>
    <w:rsid w:val="00BC2589"/>
    <w:rsid w:val="00BC61E6"/>
    <w:rsid w:val="00BC7537"/>
    <w:rsid w:val="00BD023C"/>
    <w:rsid w:val="00BD2010"/>
    <w:rsid w:val="00BD35E3"/>
    <w:rsid w:val="00BD588F"/>
    <w:rsid w:val="00BD79AD"/>
    <w:rsid w:val="00BE0433"/>
    <w:rsid w:val="00BF6B16"/>
    <w:rsid w:val="00C03DDD"/>
    <w:rsid w:val="00C04EFF"/>
    <w:rsid w:val="00C0707D"/>
    <w:rsid w:val="00C1135C"/>
    <w:rsid w:val="00C13675"/>
    <w:rsid w:val="00C16AA6"/>
    <w:rsid w:val="00C254A9"/>
    <w:rsid w:val="00C26CDB"/>
    <w:rsid w:val="00C30DA8"/>
    <w:rsid w:val="00C30DE4"/>
    <w:rsid w:val="00C316DA"/>
    <w:rsid w:val="00C31B97"/>
    <w:rsid w:val="00C36FCB"/>
    <w:rsid w:val="00C44135"/>
    <w:rsid w:val="00C63B71"/>
    <w:rsid w:val="00C660AE"/>
    <w:rsid w:val="00C70992"/>
    <w:rsid w:val="00C80409"/>
    <w:rsid w:val="00CA58AB"/>
    <w:rsid w:val="00CB0EC1"/>
    <w:rsid w:val="00CB272E"/>
    <w:rsid w:val="00CB58A8"/>
    <w:rsid w:val="00CB61E9"/>
    <w:rsid w:val="00CB6F79"/>
    <w:rsid w:val="00CC1C0B"/>
    <w:rsid w:val="00CC59B5"/>
    <w:rsid w:val="00CD0ADE"/>
    <w:rsid w:val="00CD3F2A"/>
    <w:rsid w:val="00CD4476"/>
    <w:rsid w:val="00CD6D9C"/>
    <w:rsid w:val="00CE265E"/>
    <w:rsid w:val="00CE37F1"/>
    <w:rsid w:val="00CE43C5"/>
    <w:rsid w:val="00CE7D9E"/>
    <w:rsid w:val="00CF02D7"/>
    <w:rsid w:val="00CF3ADD"/>
    <w:rsid w:val="00CF5889"/>
    <w:rsid w:val="00CF7E5B"/>
    <w:rsid w:val="00D013D1"/>
    <w:rsid w:val="00D059D7"/>
    <w:rsid w:val="00D1022C"/>
    <w:rsid w:val="00D1078E"/>
    <w:rsid w:val="00D134C8"/>
    <w:rsid w:val="00D150A4"/>
    <w:rsid w:val="00D251DB"/>
    <w:rsid w:val="00D2754D"/>
    <w:rsid w:val="00D30249"/>
    <w:rsid w:val="00D317CE"/>
    <w:rsid w:val="00D36393"/>
    <w:rsid w:val="00D37138"/>
    <w:rsid w:val="00D428BA"/>
    <w:rsid w:val="00D42E55"/>
    <w:rsid w:val="00D61F8C"/>
    <w:rsid w:val="00D6242D"/>
    <w:rsid w:val="00D653DB"/>
    <w:rsid w:val="00D67B1D"/>
    <w:rsid w:val="00D718FE"/>
    <w:rsid w:val="00D71944"/>
    <w:rsid w:val="00D72A0D"/>
    <w:rsid w:val="00D876BB"/>
    <w:rsid w:val="00D914E2"/>
    <w:rsid w:val="00DA07D8"/>
    <w:rsid w:val="00DA23EF"/>
    <w:rsid w:val="00DA7877"/>
    <w:rsid w:val="00DC392E"/>
    <w:rsid w:val="00DE31BA"/>
    <w:rsid w:val="00DF18C6"/>
    <w:rsid w:val="00DF1CE5"/>
    <w:rsid w:val="00DF33C7"/>
    <w:rsid w:val="00E03FB0"/>
    <w:rsid w:val="00E04182"/>
    <w:rsid w:val="00E04AE6"/>
    <w:rsid w:val="00E05941"/>
    <w:rsid w:val="00E07B7B"/>
    <w:rsid w:val="00E16235"/>
    <w:rsid w:val="00E25154"/>
    <w:rsid w:val="00E31F84"/>
    <w:rsid w:val="00E322AD"/>
    <w:rsid w:val="00E42E86"/>
    <w:rsid w:val="00E4512F"/>
    <w:rsid w:val="00E459AD"/>
    <w:rsid w:val="00E47C83"/>
    <w:rsid w:val="00E51B50"/>
    <w:rsid w:val="00E52A29"/>
    <w:rsid w:val="00E55637"/>
    <w:rsid w:val="00E57B43"/>
    <w:rsid w:val="00E60D5A"/>
    <w:rsid w:val="00E617FC"/>
    <w:rsid w:val="00E62102"/>
    <w:rsid w:val="00E70F1D"/>
    <w:rsid w:val="00E73698"/>
    <w:rsid w:val="00E875B5"/>
    <w:rsid w:val="00E87B12"/>
    <w:rsid w:val="00E92741"/>
    <w:rsid w:val="00E94C58"/>
    <w:rsid w:val="00E97352"/>
    <w:rsid w:val="00E97627"/>
    <w:rsid w:val="00EA2B87"/>
    <w:rsid w:val="00EA37D2"/>
    <w:rsid w:val="00EA7E7D"/>
    <w:rsid w:val="00EB2571"/>
    <w:rsid w:val="00EB4B3D"/>
    <w:rsid w:val="00EB6A91"/>
    <w:rsid w:val="00ED2B5B"/>
    <w:rsid w:val="00ED764F"/>
    <w:rsid w:val="00ED7ED0"/>
    <w:rsid w:val="00EE39D2"/>
    <w:rsid w:val="00EE4760"/>
    <w:rsid w:val="00EE4B94"/>
    <w:rsid w:val="00EE550A"/>
    <w:rsid w:val="00EF05AF"/>
    <w:rsid w:val="00F009EA"/>
    <w:rsid w:val="00F02C63"/>
    <w:rsid w:val="00F11F81"/>
    <w:rsid w:val="00F253D9"/>
    <w:rsid w:val="00F30D10"/>
    <w:rsid w:val="00F45DE9"/>
    <w:rsid w:val="00F524F4"/>
    <w:rsid w:val="00F54A35"/>
    <w:rsid w:val="00F56401"/>
    <w:rsid w:val="00F56872"/>
    <w:rsid w:val="00F66911"/>
    <w:rsid w:val="00F674A6"/>
    <w:rsid w:val="00F67DE2"/>
    <w:rsid w:val="00F740C7"/>
    <w:rsid w:val="00F81FEC"/>
    <w:rsid w:val="00F871AA"/>
    <w:rsid w:val="00F8754C"/>
    <w:rsid w:val="00F94C82"/>
    <w:rsid w:val="00FA61F4"/>
    <w:rsid w:val="00FA676E"/>
    <w:rsid w:val="00FB16CB"/>
    <w:rsid w:val="00FB2519"/>
    <w:rsid w:val="00FC01CA"/>
    <w:rsid w:val="00FC2182"/>
    <w:rsid w:val="00FC6620"/>
    <w:rsid w:val="00FC7970"/>
    <w:rsid w:val="00FD5C4E"/>
    <w:rsid w:val="00FD74FA"/>
    <w:rsid w:val="00FD762B"/>
    <w:rsid w:val="00FF03BD"/>
    <w:rsid w:val="00FF202E"/>
    <w:rsid w:val="00FF77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DE3B3"/>
  <w15:docId w15:val="{5F0A0250-71B1-4081-981C-076B3047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8CE"/>
  </w:style>
  <w:style w:type="paragraph" w:styleId="Heading1">
    <w:name w:val="heading 1"/>
    <w:basedOn w:val="Normal"/>
    <w:next w:val="Normal"/>
    <w:link w:val="Heading1Char"/>
    <w:uiPriority w:val="9"/>
    <w:qFormat/>
    <w:rsid w:val="0045571D"/>
    <w:pPr>
      <w:spacing w:before="480" w:after="240"/>
      <w:contextualSpacing/>
      <w:outlineLvl w:val="0"/>
    </w:pPr>
    <w:rPr>
      <w:rFonts w:asciiTheme="majorHAnsi" w:eastAsiaTheme="majorEastAsia" w:hAnsiTheme="majorHAnsi" w:cstheme="majorBidi"/>
      <w:b/>
      <w:bCs/>
      <w:color w:val="244061" w:themeColor="accent1" w:themeShade="80"/>
      <w:sz w:val="32"/>
      <w:szCs w:val="28"/>
    </w:rPr>
  </w:style>
  <w:style w:type="paragraph" w:styleId="Heading2">
    <w:name w:val="heading 2"/>
    <w:basedOn w:val="Normal"/>
    <w:next w:val="Normal"/>
    <w:link w:val="Heading2Char"/>
    <w:uiPriority w:val="9"/>
    <w:unhideWhenUsed/>
    <w:qFormat/>
    <w:rsid w:val="00AC7235"/>
    <w:pPr>
      <w:spacing w:before="200" w:after="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C30DE4"/>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BA068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A068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A068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A068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A068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A068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71D"/>
    <w:rPr>
      <w:rFonts w:asciiTheme="majorHAnsi" w:eastAsiaTheme="majorEastAsia" w:hAnsiTheme="majorHAnsi" w:cstheme="majorBidi"/>
      <w:b/>
      <w:bCs/>
      <w:color w:val="244061" w:themeColor="accent1" w:themeShade="80"/>
      <w:sz w:val="32"/>
      <w:szCs w:val="28"/>
    </w:rPr>
  </w:style>
  <w:style w:type="character" w:customStyle="1" w:styleId="Heading2Char">
    <w:name w:val="Heading 2 Char"/>
    <w:basedOn w:val="DefaultParagraphFont"/>
    <w:link w:val="Heading2"/>
    <w:uiPriority w:val="9"/>
    <w:rsid w:val="00AC7235"/>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C30DE4"/>
    <w:rPr>
      <w:rFonts w:asciiTheme="majorHAnsi" w:eastAsiaTheme="majorEastAsia" w:hAnsiTheme="majorHAnsi" w:cstheme="majorBidi"/>
      <w:b/>
      <w:bCs/>
      <w:sz w:val="24"/>
    </w:rPr>
  </w:style>
  <w:style w:type="paragraph" w:styleId="BalloonText">
    <w:name w:val="Balloon Text"/>
    <w:basedOn w:val="Normal"/>
    <w:link w:val="BalloonTextChar"/>
    <w:uiPriority w:val="99"/>
    <w:semiHidden/>
    <w:unhideWhenUsed/>
    <w:rsid w:val="00CE3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7F1"/>
    <w:rPr>
      <w:rFonts w:ascii="Tahoma" w:hAnsi="Tahoma" w:cs="Tahoma"/>
      <w:sz w:val="16"/>
      <w:szCs w:val="16"/>
    </w:rPr>
  </w:style>
  <w:style w:type="paragraph" w:styleId="FootnoteText">
    <w:name w:val="footnote text"/>
    <w:basedOn w:val="Normal"/>
    <w:link w:val="FootnoteTextChar"/>
    <w:uiPriority w:val="99"/>
    <w:unhideWhenUsed/>
    <w:rsid w:val="008B7396"/>
    <w:pPr>
      <w:spacing w:after="0" w:line="240" w:lineRule="auto"/>
    </w:pPr>
    <w:rPr>
      <w:sz w:val="20"/>
      <w:szCs w:val="20"/>
    </w:rPr>
  </w:style>
  <w:style w:type="character" w:customStyle="1" w:styleId="FootnoteTextChar">
    <w:name w:val="Footnote Text Char"/>
    <w:basedOn w:val="DefaultParagraphFont"/>
    <w:link w:val="FootnoteText"/>
    <w:uiPriority w:val="99"/>
    <w:rsid w:val="008B7396"/>
    <w:rPr>
      <w:sz w:val="20"/>
      <w:szCs w:val="20"/>
    </w:rPr>
  </w:style>
  <w:style w:type="character" w:styleId="FootnoteReference">
    <w:name w:val="footnote reference"/>
    <w:basedOn w:val="DefaultParagraphFont"/>
    <w:uiPriority w:val="99"/>
    <w:semiHidden/>
    <w:unhideWhenUsed/>
    <w:rsid w:val="008B7396"/>
    <w:rPr>
      <w:vertAlign w:val="superscript"/>
    </w:rPr>
  </w:style>
  <w:style w:type="character" w:styleId="Hyperlink">
    <w:name w:val="Hyperlink"/>
    <w:basedOn w:val="DefaultParagraphFont"/>
    <w:uiPriority w:val="99"/>
    <w:unhideWhenUsed/>
    <w:rsid w:val="003F07BB"/>
    <w:rPr>
      <w:color w:val="0000FF" w:themeColor="hyperlink"/>
      <w:u w:val="single"/>
    </w:rPr>
  </w:style>
  <w:style w:type="paragraph" w:styleId="Title">
    <w:name w:val="Title"/>
    <w:basedOn w:val="Normal"/>
    <w:next w:val="Normal"/>
    <w:link w:val="TitleChar"/>
    <w:uiPriority w:val="10"/>
    <w:qFormat/>
    <w:rsid w:val="00BA068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A0681"/>
    <w:rPr>
      <w:rFonts w:asciiTheme="majorHAnsi" w:eastAsiaTheme="majorEastAsia" w:hAnsiTheme="majorHAnsi" w:cstheme="majorBidi"/>
      <w:spacing w:val="5"/>
      <w:sz w:val="52"/>
      <w:szCs w:val="52"/>
    </w:rPr>
  </w:style>
  <w:style w:type="character" w:styleId="Strong">
    <w:name w:val="Strong"/>
    <w:uiPriority w:val="22"/>
    <w:qFormat/>
    <w:rsid w:val="00BA0681"/>
    <w:rPr>
      <w:b/>
      <w:bCs/>
    </w:rPr>
  </w:style>
  <w:style w:type="paragraph" w:styleId="ListParagraph">
    <w:name w:val="List Paragraph"/>
    <w:basedOn w:val="Normal"/>
    <w:uiPriority w:val="34"/>
    <w:qFormat/>
    <w:rsid w:val="00BA0681"/>
    <w:pPr>
      <w:ind w:left="720"/>
      <w:contextualSpacing/>
    </w:pPr>
  </w:style>
  <w:style w:type="character" w:customStyle="1" w:styleId="Heading4Char">
    <w:name w:val="Heading 4 Char"/>
    <w:basedOn w:val="DefaultParagraphFont"/>
    <w:link w:val="Heading4"/>
    <w:uiPriority w:val="9"/>
    <w:rsid w:val="00BA068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A068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A068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A068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A068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A068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BA068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A0681"/>
    <w:rPr>
      <w:rFonts w:asciiTheme="majorHAnsi" w:eastAsiaTheme="majorEastAsia" w:hAnsiTheme="majorHAnsi" w:cstheme="majorBidi"/>
      <w:i/>
      <w:iCs/>
      <w:spacing w:val="13"/>
      <w:sz w:val="24"/>
      <w:szCs w:val="24"/>
    </w:rPr>
  </w:style>
  <w:style w:type="character" w:styleId="Emphasis">
    <w:name w:val="Emphasis"/>
    <w:uiPriority w:val="20"/>
    <w:qFormat/>
    <w:rsid w:val="00BA0681"/>
    <w:rPr>
      <w:b/>
      <w:bCs/>
      <w:i/>
      <w:iCs/>
      <w:spacing w:val="10"/>
      <w:bdr w:val="none" w:sz="0" w:space="0" w:color="auto"/>
      <w:shd w:val="clear" w:color="auto" w:fill="auto"/>
    </w:rPr>
  </w:style>
  <w:style w:type="paragraph" w:styleId="NoSpacing">
    <w:name w:val="No Spacing"/>
    <w:basedOn w:val="Normal"/>
    <w:uiPriority w:val="1"/>
    <w:qFormat/>
    <w:rsid w:val="00BA0681"/>
    <w:pPr>
      <w:spacing w:after="0" w:line="240" w:lineRule="auto"/>
    </w:pPr>
  </w:style>
  <w:style w:type="paragraph" w:styleId="Quote">
    <w:name w:val="Quote"/>
    <w:basedOn w:val="Normal"/>
    <w:next w:val="Normal"/>
    <w:link w:val="QuoteChar"/>
    <w:uiPriority w:val="29"/>
    <w:qFormat/>
    <w:rsid w:val="00BA0681"/>
    <w:pPr>
      <w:spacing w:before="200" w:after="0"/>
      <w:ind w:left="360" w:right="360"/>
    </w:pPr>
    <w:rPr>
      <w:i/>
      <w:iCs/>
    </w:rPr>
  </w:style>
  <w:style w:type="character" w:customStyle="1" w:styleId="QuoteChar">
    <w:name w:val="Quote Char"/>
    <w:basedOn w:val="DefaultParagraphFont"/>
    <w:link w:val="Quote"/>
    <w:uiPriority w:val="29"/>
    <w:rsid w:val="00BA0681"/>
    <w:rPr>
      <w:i/>
      <w:iCs/>
    </w:rPr>
  </w:style>
  <w:style w:type="paragraph" w:styleId="IntenseQuote">
    <w:name w:val="Intense Quote"/>
    <w:basedOn w:val="Normal"/>
    <w:next w:val="Normal"/>
    <w:link w:val="IntenseQuoteChar"/>
    <w:uiPriority w:val="30"/>
    <w:qFormat/>
    <w:rsid w:val="00BA068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A0681"/>
    <w:rPr>
      <w:b/>
      <w:bCs/>
      <w:i/>
      <w:iCs/>
    </w:rPr>
  </w:style>
  <w:style w:type="character" w:styleId="SubtleEmphasis">
    <w:name w:val="Subtle Emphasis"/>
    <w:uiPriority w:val="19"/>
    <w:qFormat/>
    <w:rsid w:val="00BA0681"/>
    <w:rPr>
      <w:i/>
      <w:iCs/>
    </w:rPr>
  </w:style>
  <w:style w:type="character" w:styleId="IntenseEmphasis">
    <w:name w:val="Intense Emphasis"/>
    <w:uiPriority w:val="21"/>
    <w:qFormat/>
    <w:rsid w:val="00BA0681"/>
    <w:rPr>
      <w:b/>
      <w:bCs/>
    </w:rPr>
  </w:style>
  <w:style w:type="character" w:styleId="SubtleReference">
    <w:name w:val="Subtle Reference"/>
    <w:uiPriority w:val="31"/>
    <w:qFormat/>
    <w:rsid w:val="00BA0681"/>
    <w:rPr>
      <w:smallCaps/>
    </w:rPr>
  </w:style>
  <w:style w:type="character" w:styleId="IntenseReference">
    <w:name w:val="Intense Reference"/>
    <w:uiPriority w:val="32"/>
    <w:qFormat/>
    <w:rsid w:val="00BA0681"/>
    <w:rPr>
      <w:smallCaps/>
      <w:spacing w:val="5"/>
      <w:u w:val="single"/>
    </w:rPr>
  </w:style>
  <w:style w:type="character" w:styleId="BookTitle">
    <w:name w:val="Book Title"/>
    <w:uiPriority w:val="33"/>
    <w:qFormat/>
    <w:rsid w:val="00BA0681"/>
    <w:rPr>
      <w:i/>
      <w:iCs/>
      <w:smallCaps/>
      <w:spacing w:val="5"/>
    </w:rPr>
  </w:style>
  <w:style w:type="paragraph" w:styleId="TOCHeading">
    <w:name w:val="TOC Heading"/>
    <w:basedOn w:val="Heading1"/>
    <w:next w:val="Normal"/>
    <w:uiPriority w:val="39"/>
    <w:unhideWhenUsed/>
    <w:qFormat/>
    <w:rsid w:val="00BA0681"/>
    <w:pPr>
      <w:outlineLvl w:val="9"/>
    </w:pPr>
    <w:rPr>
      <w:lang w:bidi="en-US"/>
    </w:rPr>
  </w:style>
  <w:style w:type="table" w:styleId="TableGrid">
    <w:name w:val="Table Grid"/>
    <w:basedOn w:val="TableNormal"/>
    <w:uiPriority w:val="59"/>
    <w:rsid w:val="00043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111C"/>
    <w:rPr>
      <w:color w:val="800080" w:themeColor="followedHyperlink"/>
      <w:u w:val="single"/>
    </w:rPr>
  </w:style>
  <w:style w:type="character" w:styleId="CommentReference">
    <w:name w:val="annotation reference"/>
    <w:basedOn w:val="DefaultParagraphFont"/>
    <w:uiPriority w:val="99"/>
    <w:semiHidden/>
    <w:unhideWhenUsed/>
    <w:rsid w:val="006C26DA"/>
    <w:rPr>
      <w:sz w:val="16"/>
      <w:szCs w:val="16"/>
    </w:rPr>
  </w:style>
  <w:style w:type="paragraph" w:styleId="CommentText">
    <w:name w:val="annotation text"/>
    <w:basedOn w:val="Normal"/>
    <w:link w:val="CommentTextChar"/>
    <w:uiPriority w:val="99"/>
    <w:unhideWhenUsed/>
    <w:rsid w:val="006C26DA"/>
    <w:pPr>
      <w:spacing w:line="240" w:lineRule="auto"/>
    </w:pPr>
    <w:rPr>
      <w:sz w:val="20"/>
      <w:szCs w:val="20"/>
    </w:rPr>
  </w:style>
  <w:style w:type="character" w:customStyle="1" w:styleId="CommentTextChar">
    <w:name w:val="Comment Text Char"/>
    <w:basedOn w:val="DefaultParagraphFont"/>
    <w:link w:val="CommentText"/>
    <w:uiPriority w:val="99"/>
    <w:rsid w:val="006C26DA"/>
    <w:rPr>
      <w:sz w:val="20"/>
      <w:szCs w:val="20"/>
    </w:rPr>
  </w:style>
  <w:style w:type="paragraph" w:styleId="CommentSubject">
    <w:name w:val="annotation subject"/>
    <w:basedOn w:val="CommentText"/>
    <w:next w:val="CommentText"/>
    <w:link w:val="CommentSubjectChar"/>
    <w:uiPriority w:val="99"/>
    <w:semiHidden/>
    <w:unhideWhenUsed/>
    <w:rsid w:val="006C26DA"/>
    <w:rPr>
      <w:b/>
      <w:bCs/>
    </w:rPr>
  </w:style>
  <w:style w:type="character" w:customStyle="1" w:styleId="CommentSubjectChar">
    <w:name w:val="Comment Subject Char"/>
    <w:basedOn w:val="CommentTextChar"/>
    <w:link w:val="CommentSubject"/>
    <w:uiPriority w:val="99"/>
    <w:semiHidden/>
    <w:rsid w:val="006C26DA"/>
    <w:rPr>
      <w:b/>
      <w:bCs/>
      <w:sz w:val="20"/>
      <w:szCs w:val="20"/>
    </w:rPr>
  </w:style>
  <w:style w:type="paragraph" w:styleId="BodyText2">
    <w:name w:val="Body Text 2"/>
    <w:basedOn w:val="Normal"/>
    <w:link w:val="BodyText2Char"/>
    <w:rsid w:val="005E7B6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5E7B69"/>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A75F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F6E"/>
  </w:style>
  <w:style w:type="paragraph" w:styleId="Footer">
    <w:name w:val="footer"/>
    <w:basedOn w:val="Normal"/>
    <w:link w:val="FooterChar"/>
    <w:uiPriority w:val="99"/>
    <w:unhideWhenUsed/>
    <w:rsid w:val="00A75F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F6E"/>
  </w:style>
  <w:style w:type="paragraph" w:customStyle="1" w:styleId="tabletext">
    <w:name w:val="table text"/>
    <w:basedOn w:val="Normal"/>
    <w:rsid w:val="00001EA7"/>
    <w:pPr>
      <w:widowControl w:val="0"/>
      <w:overflowPunct w:val="0"/>
      <w:autoSpaceDE w:val="0"/>
      <w:autoSpaceDN w:val="0"/>
      <w:adjustRightInd w:val="0"/>
      <w:spacing w:after="0" w:line="240" w:lineRule="auto"/>
      <w:jc w:val="both"/>
      <w:textAlignment w:val="baseline"/>
    </w:pPr>
    <w:rPr>
      <w:rFonts w:ascii="Univers Condensed" w:eastAsia="Times New Roman" w:hAnsi="Univers Condensed" w:cs="Times New Roman"/>
      <w:sz w:val="21"/>
      <w:szCs w:val="20"/>
      <w:lang w:val="en-AU"/>
    </w:rPr>
  </w:style>
  <w:style w:type="character" w:styleId="HTMLCite">
    <w:name w:val="HTML Cite"/>
    <w:basedOn w:val="DefaultParagraphFont"/>
    <w:uiPriority w:val="99"/>
    <w:semiHidden/>
    <w:unhideWhenUsed/>
    <w:rsid w:val="00DF18C6"/>
    <w:rPr>
      <w:i w:val="0"/>
      <w:iCs w:val="0"/>
      <w:color w:val="006621"/>
    </w:rPr>
  </w:style>
  <w:style w:type="table" w:styleId="LightList-Accent5">
    <w:name w:val="Light List Accent 5"/>
    <w:basedOn w:val="TableNormal"/>
    <w:uiPriority w:val="61"/>
    <w:rsid w:val="00E07B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1">
    <w:name w:val="toc 1"/>
    <w:basedOn w:val="Normal"/>
    <w:next w:val="Normal"/>
    <w:autoRedefine/>
    <w:uiPriority w:val="39"/>
    <w:unhideWhenUsed/>
    <w:qFormat/>
    <w:rsid w:val="00C30DE4"/>
    <w:pPr>
      <w:spacing w:after="100"/>
    </w:pPr>
  </w:style>
  <w:style w:type="paragraph" w:styleId="TOC2">
    <w:name w:val="toc 2"/>
    <w:basedOn w:val="Normal"/>
    <w:next w:val="Normal"/>
    <w:autoRedefine/>
    <w:uiPriority w:val="39"/>
    <w:unhideWhenUsed/>
    <w:qFormat/>
    <w:rsid w:val="00C30DE4"/>
    <w:pPr>
      <w:spacing w:after="100"/>
      <w:ind w:left="220"/>
    </w:pPr>
  </w:style>
  <w:style w:type="paragraph" w:styleId="TOC3">
    <w:name w:val="toc 3"/>
    <w:basedOn w:val="Normal"/>
    <w:next w:val="Normal"/>
    <w:autoRedefine/>
    <w:uiPriority w:val="39"/>
    <w:unhideWhenUsed/>
    <w:qFormat/>
    <w:rsid w:val="00C30DE4"/>
    <w:pPr>
      <w:spacing w:after="100"/>
      <w:ind w:left="440"/>
    </w:pPr>
  </w:style>
  <w:style w:type="paragraph" w:styleId="BlockText">
    <w:name w:val="Block Text"/>
    <w:basedOn w:val="Normal"/>
    <w:rsid w:val="00615FBC"/>
    <w:pPr>
      <w:spacing w:after="0" w:line="240" w:lineRule="auto"/>
    </w:pPr>
    <w:rPr>
      <w:rFonts w:ascii="Arial Mäori" w:eastAsia="Times New Roman" w:hAnsi="Arial Mäori" w:cs="Times New Roman"/>
      <w:sz w:val="20"/>
      <w:szCs w:val="20"/>
    </w:rPr>
  </w:style>
  <w:style w:type="paragraph" w:customStyle="1" w:styleId="Default">
    <w:name w:val="Default"/>
    <w:rsid w:val="00AC7235"/>
    <w:pPr>
      <w:autoSpaceDE w:val="0"/>
      <w:autoSpaceDN w:val="0"/>
      <w:adjustRightInd w:val="0"/>
      <w:spacing w:after="0" w:line="240" w:lineRule="auto"/>
    </w:pPr>
    <w:rPr>
      <w:rFonts w:ascii="Calibri" w:hAnsi="Calibri" w:cs="Calibri"/>
      <w:color w:val="000000"/>
      <w:sz w:val="24"/>
      <w:szCs w:val="24"/>
    </w:rPr>
  </w:style>
  <w:style w:type="table" w:styleId="LightList-Accent1">
    <w:name w:val="Light List Accent 1"/>
    <w:basedOn w:val="TableNormal"/>
    <w:uiPriority w:val="61"/>
    <w:rsid w:val="004166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D42E55"/>
    <w:pPr>
      <w:spacing w:after="0" w:line="240" w:lineRule="auto"/>
    </w:pPr>
  </w:style>
  <w:style w:type="paragraph" w:customStyle="1" w:styleId="Exampleoverlined">
    <w:name w:val="Example overlined"/>
    <w:basedOn w:val="Normal"/>
    <w:rsid w:val="005D7284"/>
    <w:pPr>
      <w:shd w:val="clear" w:color="auto" w:fill="BFBFBF"/>
      <w:spacing w:after="0" w:line="240" w:lineRule="atLeast"/>
      <w:ind w:left="907" w:right="113" w:hanging="113"/>
    </w:pPr>
    <w:rPr>
      <w:rFonts w:ascii="Times New Roman" w:eastAsia="Times New Roman" w:hAnsi="Times New Roman" w:cs="Times New Roman"/>
      <w:b/>
      <w:bCs/>
      <w:caps/>
      <w:sz w:val="20"/>
      <w:szCs w:val="20"/>
      <w:lang w:eastAsia="en-NZ"/>
    </w:rPr>
  </w:style>
  <w:style w:type="character" w:customStyle="1" w:styleId="ExamplebodyChar">
    <w:name w:val="Example body Char"/>
    <w:basedOn w:val="DefaultParagraphFont"/>
    <w:link w:val="Examplebody"/>
    <w:rsid w:val="005D7284"/>
    <w:rPr>
      <w:rFonts w:ascii="Times New Roman" w:hAnsi="Times New Roman" w:cs="Times New Roman"/>
      <w:shd w:val="clear" w:color="auto" w:fill="BFBFBF"/>
    </w:rPr>
  </w:style>
  <w:style w:type="paragraph" w:customStyle="1" w:styleId="Examplebody">
    <w:name w:val="Example body"/>
    <w:basedOn w:val="Normal"/>
    <w:link w:val="ExamplebodyChar"/>
    <w:rsid w:val="005D7284"/>
    <w:pPr>
      <w:shd w:val="clear" w:color="auto" w:fill="BFBFBF"/>
      <w:spacing w:after="0" w:line="240" w:lineRule="auto"/>
      <w:ind w:left="1871" w:right="113" w:hanging="1077"/>
    </w:pPr>
    <w:rPr>
      <w:rFonts w:ascii="Times New Roman" w:hAnsi="Times New Roman" w:cs="Times New Roman"/>
    </w:rPr>
  </w:style>
  <w:style w:type="character" w:customStyle="1" w:styleId="ExamplebodyspacebeforeChar">
    <w:name w:val="Example body space before Char"/>
    <w:basedOn w:val="DefaultParagraphFont"/>
    <w:link w:val="Examplebodyspacebefore"/>
    <w:rsid w:val="005D7284"/>
    <w:rPr>
      <w:rFonts w:ascii="Times New Roman" w:hAnsi="Times New Roman" w:cs="Times New Roman"/>
      <w:shd w:val="clear" w:color="auto" w:fill="BFBFBF"/>
    </w:rPr>
  </w:style>
  <w:style w:type="paragraph" w:customStyle="1" w:styleId="Examplebodyspacebefore">
    <w:name w:val="Example body space before"/>
    <w:basedOn w:val="Normal"/>
    <w:link w:val="ExamplebodyspacebeforeChar"/>
    <w:rsid w:val="005D7284"/>
    <w:pPr>
      <w:shd w:val="clear" w:color="auto" w:fill="BFBFBF"/>
      <w:spacing w:before="120" w:after="0" w:line="240" w:lineRule="auto"/>
      <w:ind w:left="794" w:right="113"/>
    </w:pPr>
    <w:rPr>
      <w:rFonts w:ascii="Times New Roman" w:hAnsi="Times New Roman" w:cs="Times New Roman"/>
    </w:rPr>
  </w:style>
  <w:style w:type="paragraph" w:styleId="EndnoteText">
    <w:name w:val="endnote text"/>
    <w:basedOn w:val="Normal"/>
    <w:link w:val="EndnoteTextChar"/>
    <w:uiPriority w:val="99"/>
    <w:semiHidden/>
    <w:unhideWhenUsed/>
    <w:rsid w:val="0024507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507B"/>
    <w:rPr>
      <w:sz w:val="20"/>
      <w:szCs w:val="20"/>
    </w:rPr>
  </w:style>
  <w:style w:type="character" w:styleId="EndnoteReference">
    <w:name w:val="endnote reference"/>
    <w:basedOn w:val="DefaultParagraphFont"/>
    <w:uiPriority w:val="99"/>
    <w:semiHidden/>
    <w:unhideWhenUsed/>
    <w:rsid w:val="002450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8674">
      <w:bodyDiv w:val="1"/>
      <w:marLeft w:val="0"/>
      <w:marRight w:val="0"/>
      <w:marTop w:val="0"/>
      <w:marBottom w:val="0"/>
      <w:divBdr>
        <w:top w:val="none" w:sz="0" w:space="0" w:color="auto"/>
        <w:left w:val="none" w:sz="0" w:space="0" w:color="auto"/>
        <w:bottom w:val="none" w:sz="0" w:space="0" w:color="auto"/>
        <w:right w:val="none" w:sz="0" w:space="0" w:color="auto"/>
      </w:divBdr>
    </w:div>
    <w:div w:id="147869707">
      <w:bodyDiv w:val="1"/>
      <w:marLeft w:val="0"/>
      <w:marRight w:val="0"/>
      <w:marTop w:val="0"/>
      <w:marBottom w:val="0"/>
      <w:divBdr>
        <w:top w:val="none" w:sz="0" w:space="0" w:color="auto"/>
        <w:left w:val="none" w:sz="0" w:space="0" w:color="auto"/>
        <w:bottom w:val="none" w:sz="0" w:space="0" w:color="auto"/>
        <w:right w:val="none" w:sz="0" w:space="0" w:color="auto"/>
      </w:divBdr>
      <w:divsChild>
        <w:div w:id="418913479">
          <w:marLeft w:val="0"/>
          <w:marRight w:val="0"/>
          <w:marTop w:val="0"/>
          <w:marBottom w:val="0"/>
          <w:divBdr>
            <w:top w:val="none" w:sz="0" w:space="0" w:color="auto"/>
            <w:left w:val="none" w:sz="0" w:space="0" w:color="auto"/>
            <w:bottom w:val="none" w:sz="0" w:space="0" w:color="auto"/>
            <w:right w:val="none" w:sz="0" w:space="0" w:color="auto"/>
          </w:divBdr>
          <w:divsChild>
            <w:div w:id="1640845048">
              <w:marLeft w:val="0"/>
              <w:marRight w:val="0"/>
              <w:marTop w:val="0"/>
              <w:marBottom w:val="0"/>
              <w:divBdr>
                <w:top w:val="none" w:sz="0" w:space="0" w:color="auto"/>
                <w:left w:val="none" w:sz="0" w:space="0" w:color="auto"/>
                <w:bottom w:val="none" w:sz="0" w:space="0" w:color="auto"/>
                <w:right w:val="none" w:sz="0" w:space="0" w:color="auto"/>
              </w:divBdr>
              <w:divsChild>
                <w:div w:id="374816628">
                  <w:marLeft w:val="0"/>
                  <w:marRight w:val="0"/>
                  <w:marTop w:val="0"/>
                  <w:marBottom w:val="0"/>
                  <w:divBdr>
                    <w:top w:val="none" w:sz="0" w:space="0" w:color="auto"/>
                    <w:left w:val="none" w:sz="0" w:space="0" w:color="auto"/>
                    <w:bottom w:val="none" w:sz="0" w:space="0" w:color="auto"/>
                    <w:right w:val="none" w:sz="0" w:space="0" w:color="auto"/>
                  </w:divBdr>
                  <w:divsChild>
                    <w:div w:id="828641211">
                      <w:marLeft w:val="0"/>
                      <w:marRight w:val="0"/>
                      <w:marTop w:val="0"/>
                      <w:marBottom w:val="0"/>
                      <w:divBdr>
                        <w:top w:val="none" w:sz="0" w:space="0" w:color="auto"/>
                        <w:left w:val="none" w:sz="0" w:space="0" w:color="auto"/>
                        <w:bottom w:val="none" w:sz="0" w:space="0" w:color="auto"/>
                        <w:right w:val="none" w:sz="0" w:space="0" w:color="auto"/>
                      </w:divBdr>
                      <w:divsChild>
                        <w:div w:id="230621819">
                          <w:marLeft w:val="0"/>
                          <w:marRight w:val="0"/>
                          <w:marTop w:val="0"/>
                          <w:marBottom w:val="0"/>
                          <w:divBdr>
                            <w:top w:val="none" w:sz="0" w:space="0" w:color="auto"/>
                            <w:left w:val="none" w:sz="0" w:space="0" w:color="auto"/>
                            <w:bottom w:val="none" w:sz="0" w:space="0" w:color="auto"/>
                            <w:right w:val="none" w:sz="0" w:space="0" w:color="auto"/>
                          </w:divBdr>
                          <w:divsChild>
                            <w:div w:id="1234924072">
                              <w:marLeft w:val="0"/>
                              <w:marRight w:val="0"/>
                              <w:marTop w:val="0"/>
                              <w:marBottom w:val="0"/>
                              <w:divBdr>
                                <w:top w:val="none" w:sz="0" w:space="0" w:color="auto"/>
                                <w:left w:val="none" w:sz="0" w:space="0" w:color="auto"/>
                                <w:bottom w:val="none" w:sz="0" w:space="0" w:color="auto"/>
                                <w:right w:val="none" w:sz="0" w:space="0" w:color="auto"/>
                              </w:divBdr>
                              <w:divsChild>
                                <w:div w:id="385030881">
                                  <w:marLeft w:val="0"/>
                                  <w:marRight w:val="0"/>
                                  <w:marTop w:val="0"/>
                                  <w:marBottom w:val="0"/>
                                  <w:divBdr>
                                    <w:top w:val="none" w:sz="0" w:space="0" w:color="auto"/>
                                    <w:left w:val="none" w:sz="0" w:space="0" w:color="auto"/>
                                    <w:bottom w:val="none" w:sz="0" w:space="0" w:color="auto"/>
                                    <w:right w:val="none" w:sz="0" w:space="0" w:color="auto"/>
                                  </w:divBdr>
                                  <w:divsChild>
                                    <w:div w:id="606620621">
                                      <w:marLeft w:val="0"/>
                                      <w:marRight w:val="0"/>
                                      <w:marTop w:val="0"/>
                                      <w:marBottom w:val="360"/>
                                      <w:divBdr>
                                        <w:top w:val="none" w:sz="0" w:space="0" w:color="auto"/>
                                        <w:left w:val="none" w:sz="0" w:space="0" w:color="auto"/>
                                        <w:bottom w:val="none" w:sz="0" w:space="0" w:color="auto"/>
                                        <w:right w:val="none" w:sz="0" w:space="0" w:color="auto"/>
                                      </w:divBdr>
                                      <w:divsChild>
                                        <w:div w:id="1634630822">
                                          <w:marLeft w:val="0"/>
                                          <w:marRight w:val="0"/>
                                          <w:marTop w:val="0"/>
                                          <w:marBottom w:val="0"/>
                                          <w:divBdr>
                                            <w:top w:val="none" w:sz="0" w:space="0" w:color="auto"/>
                                            <w:left w:val="none" w:sz="0" w:space="0" w:color="auto"/>
                                            <w:bottom w:val="none" w:sz="0" w:space="0" w:color="auto"/>
                                            <w:right w:val="none" w:sz="0" w:space="0" w:color="auto"/>
                                          </w:divBdr>
                                          <w:divsChild>
                                            <w:div w:id="1107195127">
                                              <w:marLeft w:val="0"/>
                                              <w:marRight w:val="0"/>
                                              <w:marTop w:val="0"/>
                                              <w:marBottom w:val="0"/>
                                              <w:divBdr>
                                                <w:top w:val="none" w:sz="0" w:space="0" w:color="auto"/>
                                                <w:left w:val="none" w:sz="0" w:space="0" w:color="auto"/>
                                                <w:bottom w:val="none" w:sz="0" w:space="0" w:color="auto"/>
                                                <w:right w:val="none" w:sz="0" w:space="0" w:color="auto"/>
                                              </w:divBdr>
                                              <w:divsChild>
                                                <w:div w:id="890727520">
                                                  <w:marLeft w:val="0"/>
                                                  <w:marRight w:val="0"/>
                                                  <w:marTop w:val="0"/>
                                                  <w:marBottom w:val="0"/>
                                                  <w:divBdr>
                                                    <w:top w:val="none" w:sz="0" w:space="0" w:color="auto"/>
                                                    <w:left w:val="none" w:sz="0" w:space="0" w:color="auto"/>
                                                    <w:bottom w:val="none" w:sz="0" w:space="0" w:color="auto"/>
                                                    <w:right w:val="none" w:sz="0" w:space="0" w:color="auto"/>
                                                  </w:divBdr>
                                                  <w:divsChild>
                                                    <w:div w:id="209463764">
                                                      <w:marLeft w:val="0"/>
                                                      <w:marRight w:val="0"/>
                                                      <w:marTop w:val="0"/>
                                                      <w:marBottom w:val="0"/>
                                                      <w:divBdr>
                                                        <w:top w:val="none" w:sz="0" w:space="0" w:color="auto"/>
                                                        <w:left w:val="none" w:sz="0" w:space="0" w:color="auto"/>
                                                        <w:bottom w:val="none" w:sz="0" w:space="0" w:color="auto"/>
                                                        <w:right w:val="none" w:sz="0" w:space="0" w:color="auto"/>
                                                      </w:divBdr>
                                                      <w:divsChild>
                                                        <w:div w:id="1946185142">
                                                          <w:marLeft w:val="0"/>
                                                          <w:marRight w:val="0"/>
                                                          <w:marTop w:val="0"/>
                                                          <w:marBottom w:val="0"/>
                                                          <w:divBdr>
                                                            <w:top w:val="none" w:sz="0" w:space="0" w:color="auto"/>
                                                            <w:left w:val="none" w:sz="0" w:space="0" w:color="auto"/>
                                                            <w:bottom w:val="none" w:sz="0" w:space="0" w:color="auto"/>
                                                            <w:right w:val="none" w:sz="0" w:space="0" w:color="auto"/>
                                                          </w:divBdr>
                                                          <w:divsChild>
                                                            <w:div w:id="518203741">
                                                              <w:marLeft w:val="0"/>
                                                              <w:marRight w:val="0"/>
                                                              <w:marTop w:val="0"/>
                                                              <w:marBottom w:val="0"/>
                                                              <w:divBdr>
                                                                <w:top w:val="none" w:sz="0" w:space="0" w:color="auto"/>
                                                                <w:left w:val="none" w:sz="0" w:space="0" w:color="auto"/>
                                                                <w:bottom w:val="none" w:sz="0" w:space="0" w:color="auto"/>
                                                                <w:right w:val="none" w:sz="0" w:space="0" w:color="auto"/>
                                                              </w:divBdr>
                                                              <w:divsChild>
                                                                <w:div w:id="1324969602">
                                                                  <w:marLeft w:val="0"/>
                                                                  <w:marRight w:val="0"/>
                                                                  <w:marTop w:val="0"/>
                                                                  <w:marBottom w:val="0"/>
                                                                  <w:divBdr>
                                                                    <w:top w:val="none" w:sz="0" w:space="0" w:color="auto"/>
                                                                    <w:left w:val="none" w:sz="0" w:space="0" w:color="auto"/>
                                                                    <w:bottom w:val="none" w:sz="0" w:space="0" w:color="auto"/>
                                                                    <w:right w:val="none" w:sz="0" w:space="0" w:color="auto"/>
                                                                  </w:divBdr>
                                                                  <w:divsChild>
                                                                    <w:div w:id="1999066617">
                                                                      <w:marLeft w:val="0"/>
                                                                      <w:marRight w:val="0"/>
                                                                      <w:marTop w:val="0"/>
                                                                      <w:marBottom w:val="0"/>
                                                                      <w:divBdr>
                                                                        <w:top w:val="none" w:sz="0" w:space="0" w:color="auto"/>
                                                                        <w:left w:val="none" w:sz="0" w:space="0" w:color="auto"/>
                                                                        <w:bottom w:val="none" w:sz="0" w:space="0" w:color="auto"/>
                                                                        <w:right w:val="none" w:sz="0" w:space="0" w:color="auto"/>
                                                                      </w:divBdr>
                                                                      <w:divsChild>
                                                                        <w:div w:id="248197510">
                                                                          <w:marLeft w:val="0"/>
                                                                          <w:marRight w:val="0"/>
                                                                          <w:marTop w:val="0"/>
                                                                          <w:marBottom w:val="0"/>
                                                                          <w:divBdr>
                                                                            <w:top w:val="none" w:sz="0" w:space="0" w:color="auto"/>
                                                                            <w:left w:val="none" w:sz="0" w:space="0" w:color="auto"/>
                                                                            <w:bottom w:val="none" w:sz="0" w:space="0" w:color="auto"/>
                                                                            <w:right w:val="none" w:sz="0" w:space="0" w:color="auto"/>
                                                                          </w:divBdr>
                                                                          <w:divsChild>
                                                                            <w:div w:id="816335364">
                                                                              <w:marLeft w:val="0"/>
                                                                              <w:marRight w:val="0"/>
                                                                              <w:marTop w:val="0"/>
                                                                              <w:marBottom w:val="0"/>
                                                                              <w:divBdr>
                                                                                <w:top w:val="none" w:sz="0" w:space="0" w:color="auto"/>
                                                                                <w:left w:val="none" w:sz="0" w:space="0" w:color="auto"/>
                                                                                <w:bottom w:val="none" w:sz="0" w:space="0" w:color="auto"/>
                                                                                <w:right w:val="none" w:sz="0" w:space="0" w:color="auto"/>
                                                                              </w:divBdr>
                                                                              <w:divsChild>
                                                                                <w:div w:id="18903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9916">
                                                                          <w:marLeft w:val="0"/>
                                                                          <w:marRight w:val="0"/>
                                                                          <w:marTop w:val="0"/>
                                                                          <w:marBottom w:val="0"/>
                                                                          <w:divBdr>
                                                                            <w:top w:val="none" w:sz="0" w:space="0" w:color="auto"/>
                                                                            <w:left w:val="none" w:sz="0" w:space="0" w:color="auto"/>
                                                                            <w:bottom w:val="none" w:sz="0" w:space="0" w:color="auto"/>
                                                                            <w:right w:val="none" w:sz="0" w:space="0" w:color="auto"/>
                                                                          </w:divBdr>
                                                                          <w:divsChild>
                                                                            <w:div w:id="649553811">
                                                                              <w:marLeft w:val="0"/>
                                                                              <w:marRight w:val="0"/>
                                                                              <w:marTop w:val="0"/>
                                                                              <w:marBottom w:val="0"/>
                                                                              <w:divBdr>
                                                                                <w:top w:val="none" w:sz="0" w:space="0" w:color="auto"/>
                                                                                <w:left w:val="none" w:sz="0" w:space="0" w:color="auto"/>
                                                                                <w:bottom w:val="none" w:sz="0" w:space="0" w:color="auto"/>
                                                                                <w:right w:val="none" w:sz="0" w:space="0" w:color="auto"/>
                                                                              </w:divBdr>
                                                                              <w:divsChild>
                                                                                <w:div w:id="17998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3794">
      <w:bodyDiv w:val="1"/>
      <w:marLeft w:val="0"/>
      <w:marRight w:val="0"/>
      <w:marTop w:val="0"/>
      <w:marBottom w:val="0"/>
      <w:divBdr>
        <w:top w:val="none" w:sz="0" w:space="0" w:color="auto"/>
        <w:left w:val="none" w:sz="0" w:space="0" w:color="auto"/>
        <w:bottom w:val="none" w:sz="0" w:space="0" w:color="auto"/>
        <w:right w:val="none" w:sz="0" w:space="0" w:color="auto"/>
      </w:divBdr>
      <w:divsChild>
        <w:div w:id="460196502">
          <w:marLeft w:val="850"/>
          <w:marRight w:val="0"/>
          <w:marTop w:val="134"/>
          <w:marBottom w:val="0"/>
          <w:divBdr>
            <w:top w:val="none" w:sz="0" w:space="0" w:color="auto"/>
            <w:left w:val="none" w:sz="0" w:space="0" w:color="auto"/>
            <w:bottom w:val="none" w:sz="0" w:space="0" w:color="auto"/>
            <w:right w:val="none" w:sz="0" w:space="0" w:color="auto"/>
          </w:divBdr>
        </w:div>
        <w:div w:id="417949765">
          <w:marLeft w:val="850"/>
          <w:marRight w:val="0"/>
          <w:marTop w:val="134"/>
          <w:marBottom w:val="0"/>
          <w:divBdr>
            <w:top w:val="none" w:sz="0" w:space="0" w:color="auto"/>
            <w:left w:val="none" w:sz="0" w:space="0" w:color="auto"/>
            <w:bottom w:val="none" w:sz="0" w:space="0" w:color="auto"/>
            <w:right w:val="none" w:sz="0" w:space="0" w:color="auto"/>
          </w:divBdr>
        </w:div>
        <w:div w:id="883638974">
          <w:marLeft w:val="850"/>
          <w:marRight w:val="0"/>
          <w:marTop w:val="134"/>
          <w:marBottom w:val="0"/>
          <w:divBdr>
            <w:top w:val="none" w:sz="0" w:space="0" w:color="auto"/>
            <w:left w:val="none" w:sz="0" w:space="0" w:color="auto"/>
            <w:bottom w:val="none" w:sz="0" w:space="0" w:color="auto"/>
            <w:right w:val="none" w:sz="0" w:space="0" w:color="auto"/>
          </w:divBdr>
        </w:div>
        <w:div w:id="879973798">
          <w:marLeft w:val="850"/>
          <w:marRight w:val="0"/>
          <w:marTop w:val="134"/>
          <w:marBottom w:val="0"/>
          <w:divBdr>
            <w:top w:val="none" w:sz="0" w:space="0" w:color="auto"/>
            <w:left w:val="none" w:sz="0" w:space="0" w:color="auto"/>
            <w:bottom w:val="none" w:sz="0" w:space="0" w:color="auto"/>
            <w:right w:val="none" w:sz="0" w:space="0" w:color="auto"/>
          </w:divBdr>
        </w:div>
        <w:div w:id="985282627">
          <w:marLeft w:val="1843"/>
          <w:marRight w:val="0"/>
          <w:marTop w:val="96"/>
          <w:marBottom w:val="0"/>
          <w:divBdr>
            <w:top w:val="none" w:sz="0" w:space="0" w:color="auto"/>
            <w:left w:val="none" w:sz="0" w:space="0" w:color="auto"/>
            <w:bottom w:val="none" w:sz="0" w:space="0" w:color="auto"/>
            <w:right w:val="none" w:sz="0" w:space="0" w:color="auto"/>
          </w:divBdr>
        </w:div>
        <w:div w:id="18508335">
          <w:marLeft w:val="1843"/>
          <w:marRight w:val="0"/>
          <w:marTop w:val="96"/>
          <w:marBottom w:val="0"/>
          <w:divBdr>
            <w:top w:val="none" w:sz="0" w:space="0" w:color="auto"/>
            <w:left w:val="none" w:sz="0" w:space="0" w:color="auto"/>
            <w:bottom w:val="none" w:sz="0" w:space="0" w:color="auto"/>
            <w:right w:val="none" w:sz="0" w:space="0" w:color="auto"/>
          </w:divBdr>
        </w:div>
        <w:div w:id="1062100632">
          <w:marLeft w:val="850"/>
          <w:marRight w:val="0"/>
          <w:marTop w:val="134"/>
          <w:marBottom w:val="0"/>
          <w:divBdr>
            <w:top w:val="none" w:sz="0" w:space="0" w:color="auto"/>
            <w:left w:val="none" w:sz="0" w:space="0" w:color="auto"/>
            <w:bottom w:val="none" w:sz="0" w:space="0" w:color="auto"/>
            <w:right w:val="none" w:sz="0" w:space="0" w:color="auto"/>
          </w:divBdr>
        </w:div>
      </w:divsChild>
    </w:div>
    <w:div w:id="215435952">
      <w:bodyDiv w:val="1"/>
      <w:marLeft w:val="0"/>
      <w:marRight w:val="0"/>
      <w:marTop w:val="0"/>
      <w:marBottom w:val="0"/>
      <w:divBdr>
        <w:top w:val="none" w:sz="0" w:space="0" w:color="auto"/>
        <w:left w:val="none" w:sz="0" w:space="0" w:color="auto"/>
        <w:bottom w:val="none" w:sz="0" w:space="0" w:color="auto"/>
        <w:right w:val="none" w:sz="0" w:space="0" w:color="auto"/>
      </w:divBdr>
    </w:div>
    <w:div w:id="294800140">
      <w:bodyDiv w:val="1"/>
      <w:marLeft w:val="0"/>
      <w:marRight w:val="0"/>
      <w:marTop w:val="0"/>
      <w:marBottom w:val="0"/>
      <w:divBdr>
        <w:top w:val="none" w:sz="0" w:space="0" w:color="auto"/>
        <w:left w:val="none" w:sz="0" w:space="0" w:color="auto"/>
        <w:bottom w:val="none" w:sz="0" w:space="0" w:color="auto"/>
        <w:right w:val="none" w:sz="0" w:space="0" w:color="auto"/>
      </w:divBdr>
      <w:divsChild>
        <w:div w:id="332803358">
          <w:marLeft w:val="794"/>
          <w:marRight w:val="113"/>
          <w:marTop w:val="0"/>
          <w:marBottom w:val="0"/>
          <w:divBdr>
            <w:top w:val="single" w:sz="8" w:space="3" w:color="auto"/>
            <w:left w:val="none" w:sz="0" w:space="0" w:color="auto"/>
            <w:bottom w:val="none" w:sz="0" w:space="0" w:color="auto"/>
            <w:right w:val="none" w:sz="0" w:space="0" w:color="auto"/>
          </w:divBdr>
        </w:div>
        <w:div w:id="2135370725">
          <w:marLeft w:val="794"/>
          <w:marRight w:val="113"/>
          <w:marTop w:val="0"/>
          <w:marBottom w:val="0"/>
          <w:divBdr>
            <w:top w:val="none" w:sz="0" w:space="0" w:color="auto"/>
            <w:left w:val="none" w:sz="0" w:space="0" w:color="auto"/>
            <w:bottom w:val="single" w:sz="8" w:space="3" w:color="auto"/>
            <w:right w:val="none" w:sz="0" w:space="0" w:color="auto"/>
          </w:divBdr>
        </w:div>
      </w:divsChild>
    </w:div>
    <w:div w:id="536819034">
      <w:bodyDiv w:val="1"/>
      <w:marLeft w:val="0"/>
      <w:marRight w:val="0"/>
      <w:marTop w:val="0"/>
      <w:marBottom w:val="0"/>
      <w:divBdr>
        <w:top w:val="none" w:sz="0" w:space="0" w:color="auto"/>
        <w:left w:val="none" w:sz="0" w:space="0" w:color="auto"/>
        <w:bottom w:val="none" w:sz="0" w:space="0" w:color="auto"/>
        <w:right w:val="none" w:sz="0" w:space="0" w:color="auto"/>
      </w:divBdr>
      <w:divsChild>
        <w:div w:id="816143900">
          <w:marLeft w:val="794"/>
          <w:marRight w:val="113"/>
          <w:marTop w:val="0"/>
          <w:marBottom w:val="0"/>
          <w:divBdr>
            <w:top w:val="single" w:sz="8" w:space="3" w:color="auto"/>
            <w:left w:val="none" w:sz="0" w:space="0" w:color="auto"/>
            <w:bottom w:val="none" w:sz="0" w:space="0" w:color="auto"/>
            <w:right w:val="none" w:sz="0" w:space="0" w:color="auto"/>
          </w:divBdr>
        </w:div>
        <w:div w:id="2025083267">
          <w:marLeft w:val="794"/>
          <w:marRight w:val="113"/>
          <w:marTop w:val="0"/>
          <w:marBottom w:val="0"/>
          <w:divBdr>
            <w:top w:val="none" w:sz="0" w:space="0" w:color="auto"/>
            <w:left w:val="none" w:sz="0" w:space="0" w:color="auto"/>
            <w:bottom w:val="single" w:sz="8" w:space="3" w:color="auto"/>
            <w:right w:val="none" w:sz="0" w:space="0" w:color="auto"/>
          </w:divBdr>
        </w:div>
      </w:divsChild>
    </w:div>
    <w:div w:id="636879951">
      <w:bodyDiv w:val="1"/>
      <w:marLeft w:val="0"/>
      <w:marRight w:val="0"/>
      <w:marTop w:val="0"/>
      <w:marBottom w:val="0"/>
      <w:divBdr>
        <w:top w:val="none" w:sz="0" w:space="0" w:color="auto"/>
        <w:left w:val="none" w:sz="0" w:space="0" w:color="auto"/>
        <w:bottom w:val="none" w:sz="0" w:space="0" w:color="auto"/>
        <w:right w:val="none" w:sz="0" w:space="0" w:color="auto"/>
      </w:divBdr>
      <w:divsChild>
        <w:div w:id="977149398">
          <w:marLeft w:val="1843"/>
          <w:marRight w:val="0"/>
          <w:marTop w:val="115"/>
          <w:marBottom w:val="0"/>
          <w:divBdr>
            <w:top w:val="none" w:sz="0" w:space="0" w:color="auto"/>
            <w:left w:val="none" w:sz="0" w:space="0" w:color="auto"/>
            <w:bottom w:val="none" w:sz="0" w:space="0" w:color="auto"/>
            <w:right w:val="none" w:sz="0" w:space="0" w:color="auto"/>
          </w:divBdr>
        </w:div>
      </w:divsChild>
    </w:div>
    <w:div w:id="801658968">
      <w:bodyDiv w:val="1"/>
      <w:marLeft w:val="0"/>
      <w:marRight w:val="0"/>
      <w:marTop w:val="0"/>
      <w:marBottom w:val="0"/>
      <w:divBdr>
        <w:top w:val="none" w:sz="0" w:space="0" w:color="auto"/>
        <w:left w:val="none" w:sz="0" w:space="0" w:color="auto"/>
        <w:bottom w:val="none" w:sz="0" w:space="0" w:color="auto"/>
        <w:right w:val="none" w:sz="0" w:space="0" w:color="auto"/>
      </w:divBdr>
      <w:divsChild>
        <w:div w:id="999845348">
          <w:marLeft w:val="850"/>
          <w:marRight w:val="0"/>
          <w:marTop w:val="154"/>
          <w:marBottom w:val="0"/>
          <w:divBdr>
            <w:top w:val="none" w:sz="0" w:space="0" w:color="auto"/>
            <w:left w:val="none" w:sz="0" w:space="0" w:color="auto"/>
            <w:bottom w:val="none" w:sz="0" w:space="0" w:color="auto"/>
            <w:right w:val="none" w:sz="0" w:space="0" w:color="auto"/>
          </w:divBdr>
        </w:div>
        <w:div w:id="1652253247">
          <w:marLeft w:val="1944"/>
          <w:marRight w:val="0"/>
          <w:marTop w:val="115"/>
          <w:marBottom w:val="0"/>
          <w:divBdr>
            <w:top w:val="none" w:sz="0" w:space="0" w:color="auto"/>
            <w:left w:val="none" w:sz="0" w:space="0" w:color="auto"/>
            <w:bottom w:val="none" w:sz="0" w:space="0" w:color="auto"/>
            <w:right w:val="none" w:sz="0" w:space="0" w:color="auto"/>
          </w:divBdr>
        </w:div>
        <w:div w:id="1112481909">
          <w:marLeft w:val="1944"/>
          <w:marRight w:val="0"/>
          <w:marTop w:val="115"/>
          <w:marBottom w:val="0"/>
          <w:divBdr>
            <w:top w:val="none" w:sz="0" w:space="0" w:color="auto"/>
            <w:left w:val="none" w:sz="0" w:space="0" w:color="auto"/>
            <w:bottom w:val="none" w:sz="0" w:space="0" w:color="auto"/>
            <w:right w:val="none" w:sz="0" w:space="0" w:color="auto"/>
          </w:divBdr>
        </w:div>
        <w:div w:id="1681853592">
          <w:marLeft w:val="1944"/>
          <w:marRight w:val="0"/>
          <w:marTop w:val="115"/>
          <w:marBottom w:val="0"/>
          <w:divBdr>
            <w:top w:val="none" w:sz="0" w:space="0" w:color="auto"/>
            <w:left w:val="none" w:sz="0" w:space="0" w:color="auto"/>
            <w:bottom w:val="none" w:sz="0" w:space="0" w:color="auto"/>
            <w:right w:val="none" w:sz="0" w:space="0" w:color="auto"/>
          </w:divBdr>
        </w:div>
        <w:div w:id="991256274">
          <w:marLeft w:val="1944"/>
          <w:marRight w:val="0"/>
          <w:marTop w:val="115"/>
          <w:marBottom w:val="0"/>
          <w:divBdr>
            <w:top w:val="none" w:sz="0" w:space="0" w:color="auto"/>
            <w:left w:val="none" w:sz="0" w:space="0" w:color="auto"/>
            <w:bottom w:val="none" w:sz="0" w:space="0" w:color="auto"/>
            <w:right w:val="none" w:sz="0" w:space="0" w:color="auto"/>
          </w:divBdr>
        </w:div>
      </w:divsChild>
    </w:div>
    <w:div w:id="893198364">
      <w:bodyDiv w:val="1"/>
      <w:marLeft w:val="0"/>
      <w:marRight w:val="0"/>
      <w:marTop w:val="0"/>
      <w:marBottom w:val="0"/>
      <w:divBdr>
        <w:top w:val="none" w:sz="0" w:space="0" w:color="auto"/>
        <w:left w:val="none" w:sz="0" w:space="0" w:color="auto"/>
        <w:bottom w:val="none" w:sz="0" w:space="0" w:color="auto"/>
        <w:right w:val="none" w:sz="0" w:space="0" w:color="auto"/>
      </w:divBdr>
    </w:div>
    <w:div w:id="949555596">
      <w:bodyDiv w:val="1"/>
      <w:marLeft w:val="0"/>
      <w:marRight w:val="0"/>
      <w:marTop w:val="0"/>
      <w:marBottom w:val="0"/>
      <w:divBdr>
        <w:top w:val="none" w:sz="0" w:space="0" w:color="auto"/>
        <w:left w:val="none" w:sz="0" w:space="0" w:color="auto"/>
        <w:bottom w:val="none" w:sz="0" w:space="0" w:color="auto"/>
        <w:right w:val="none" w:sz="0" w:space="0" w:color="auto"/>
      </w:divBdr>
      <w:divsChild>
        <w:div w:id="1992365844">
          <w:marLeft w:val="794"/>
          <w:marRight w:val="113"/>
          <w:marTop w:val="0"/>
          <w:marBottom w:val="0"/>
          <w:divBdr>
            <w:top w:val="single" w:sz="8" w:space="3" w:color="auto"/>
            <w:left w:val="none" w:sz="0" w:space="0" w:color="auto"/>
            <w:bottom w:val="none" w:sz="0" w:space="0" w:color="auto"/>
            <w:right w:val="none" w:sz="0" w:space="0" w:color="auto"/>
          </w:divBdr>
        </w:div>
        <w:div w:id="2014794806">
          <w:marLeft w:val="794"/>
          <w:marRight w:val="113"/>
          <w:marTop w:val="0"/>
          <w:marBottom w:val="0"/>
          <w:divBdr>
            <w:top w:val="none" w:sz="0" w:space="0" w:color="auto"/>
            <w:left w:val="none" w:sz="0" w:space="0" w:color="auto"/>
            <w:bottom w:val="single" w:sz="8" w:space="3" w:color="auto"/>
            <w:right w:val="none" w:sz="0" w:space="0" w:color="auto"/>
          </w:divBdr>
        </w:div>
      </w:divsChild>
    </w:div>
    <w:div w:id="1092972282">
      <w:bodyDiv w:val="1"/>
      <w:marLeft w:val="0"/>
      <w:marRight w:val="0"/>
      <w:marTop w:val="0"/>
      <w:marBottom w:val="0"/>
      <w:divBdr>
        <w:top w:val="none" w:sz="0" w:space="0" w:color="auto"/>
        <w:left w:val="none" w:sz="0" w:space="0" w:color="auto"/>
        <w:bottom w:val="none" w:sz="0" w:space="0" w:color="auto"/>
        <w:right w:val="none" w:sz="0" w:space="0" w:color="auto"/>
      </w:divBdr>
      <w:divsChild>
        <w:div w:id="1609779707">
          <w:marLeft w:val="850"/>
          <w:marRight w:val="0"/>
          <w:marTop w:val="154"/>
          <w:marBottom w:val="0"/>
          <w:divBdr>
            <w:top w:val="none" w:sz="0" w:space="0" w:color="auto"/>
            <w:left w:val="none" w:sz="0" w:space="0" w:color="auto"/>
            <w:bottom w:val="none" w:sz="0" w:space="0" w:color="auto"/>
            <w:right w:val="none" w:sz="0" w:space="0" w:color="auto"/>
          </w:divBdr>
        </w:div>
      </w:divsChild>
    </w:div>
    <w:div w:id="1232617875">
      <w:bodyDiv w:val="1"/>
      <w:marLeft w:val="0"/>
      <w:marRight w:val="0"/>
      <w:marTop w:val="0"/>
      <w:marBottom w:val="0"/>
      <w:divBdr>
        <w:top w:val="none" w:sz="0" w:space="0" w:color="auto"/>
        <w:left w:val="none" w:sz="0" w:space="0" w:color="auto"/>
        <w:bottom w:val="none" w:sz="0" w:space="0" w:color="auto"/>
        <w:right w:val="none" w:sz="0" w:space="0" w:color="auto"/>
      </w:divBdr>
    </w:div>
    <w:div w:id="1366251782">
      <w:bodyDiv w:val="1"/>
      <w:marLeft w:val="0"/>
      <w:marRight w:val="0"/>
      <w:marTop w:val="0"/>
      <w:marBottom w:val="0"/>
      <w:divBdr>
        <w:top w:val="none" w:sz="0" w:space="0" w:color="auto"/>
        <w:left w:val="none" w:sz="0" w:space="0" w:color="auto"/>
        <w:bottom w:val="none" w:sz="0" w:space="0" w:color="auto"/>
        <w:right w:val="none" w:sz="0" w:space="0" w:color="auto"/>
      </w:divBdr>
      <w:divsChild>
        <w:div w:id="1797991310">
          <w:marLeft w:val="1843"/>
          <w:marRight w:val="0"/>
          <w:marTop w:val="115"/>
          <w:marBottom w:val="0"/>
          <w:divBdr>
            <w:top w:val="none" w:sz="0" w:space="0" w:color="auto"/>
            <w:left w:val="none" w:sz="0" w:space="0" w:color="auto"/>
            <w:bottom w:val="none" w:sz="0" w:space="0" w:color="auto"/>
            <w:right w:val="none" w:sz="0" w:space="0" w:color="auto"/>
          </w:divBdr>
        </w:div>
        <w:div w:id="1786074757">
          <w:marLeft w:val="1843"/>
          <w:marRight w:val="0"/>
          <w:marTop w:val="115"/>
          <w:marBottom w:val="0"/>
          <w:divBdr>
            <w:top w:val="none" w:sz="0" w:space="0" w:color="auto"/>
            <w:left w:val="none" w:sz="0" w:space="0" w:color="auto"/>
            <w:bottom w:val="none" w:sz="0" w:space="0" w:color="auto"/>
            <w:right w:val="none" w:sz="0" w:space="0" w:color="auto"/>
          </w:divBdr>
        </w:div>
        <w:div w:id="176964883">
          <w:marLeft w:val="2621"/>
          <w:marRight w:val="0"/>
          <w:marTop w:val="96"/>
          <w:marBottom w:val="0"/>
          <w:divBdr>
            <w:top w:val="none" w:sz="0" w:space="0" w:color="auto"/>
            <w:left w:val="none" w:sz="0" w:space="0" w:color="auto"/>
            <w:bottom w:val="none" w:sz="0" w:space="0" w:color="auto"/>
            <w:right w:val="none" w:sz="0" w:space="0" w:color="auto"/>
          </w:divBdr>
        </w:div>
        <w:div w:id="1663122953">
          <w:marLeft w:val="1843"/>
          <w:marRight w:val="0"/>
          <w:marTop w:val="96"/>
          <w:marBottom w:val="0"/>
          <w:divBdr>
            <w:top w:val="none" w:sz="0" w:space="0" w:color="auto"/>
            <w:left w:val="none" w:sz="0" w:space="0" w:color="auto"/>
            <w:bottom w:val="none" w:sz="0" w:space="0" w:color="auto"/>
            <w:right w:val="none" w:sz="0" w:space="0" w:color="auto"/>
          </w:divBdr>
        </w:div>
        <w:div w:id="1631010137">
          <w:marLeft w:val="1843"/>
          <w:marRight w:val="0"/>
          <w:marTop w:val="96"/>
          <w:marBottom w:val="0"/>
          <w:divBdr>
            <w:top w:val="none" w:sz="0" w:space="0" w:color="auto"/>
            <w:left w:val="none" w:sz="0" w:space="0" w:color="auto"/>
            <w:bottom w:val="none" w:sz="0" w:space="0" w:color="auto"/>
            <w:right w:val="none" w:sz="0" w:space="0" w:color="auto"/>
          </w:divBdr>
        </w:div>
        <w:div w:id="482888777">
          <w:marLeft w:val="1843"/>
          <w:marRight w:val="0"/>
          <w:marTop w:val="96"/>
          <w:marBottom w:val="0"/>
          <w:divBdr>
            <w:top w:val="none" w:sz="0" w:space="0" w:color="auto"/>
            <w:left w:val="none" w:sz="0" w:space="0" w:color="auto"/>
            <w:bottom w:val="none" w:sz="0" w:space="0" w:color="auto"/>
            <w:right w:val="none" w:sz="0" w:space="0" w:color="auto"/>
          </w:divBdr>
        </w:div>
        <w:div w:id="1267036680">
          <w:marLeft w:val="2621"/>
          <w:marRight w:val="0"/>
          <w:marTop w:val="96"/>
          <w:marBottom w:val="0"/>
          <w:divBdr>
            <w:top w:val="none" w:sz="0" w:space="0" w:color="auto"/>
            <w:left w:val="none" w:sz="0" w:space="0" w:color="auto"/>
            <w:bottom w:val="none" w:sz="0" w:space="0" w:color="auto"/>
            <w:right w:val="none" w:sz="0" w:space="0" w:color="auto"/>
          </w:divBdr>
        </w:div>
        <w:div w:id="1296908381">
          <w:marLeft w:val="1843"/>
          <w:marRight w:val="0"/>
          <w:marTop w:val="96"/>
          <w:marBottom w:val="0"/>
          <w:divBdr>
            <w:top w:val="none" w:sz="0" w:space="0" w:color="auto"/>
            <w:left w:val="none" w:sz="0" w:space="0" w:color="auto"/>
            <w:bottom w:val="none" w:sz="0" w:space="0" w:color="auto"/>
            <w:right w:val="none" w:sz="0" w:space="0" w:color="auto"/>
          </w:divBdr>
        </w:div>
      </w:divsChild>
    </w:div>
    <w:div w:id="1396971848">
      <w:bodyDiv w:val="1"/>
      <w:marLeft w:val="0"/>
      <w:marRight w:val="0"/>
      <w:marTop w:val="0"/>
      <w:marBottom w:val="0"/>
      <w:divBdr>
        <w:top w:val="none" w:sz="0" w:space="0" w:color="auto"/>
        <w:left w:val="none" w:sz="0" w:space="0" w:color="auto"/>
        <w:bottom w:val="none" w:sz="0" w:space="0" w:color="auto"/>
        <w:right w:val="none" w:sz="0" w:space="0" w:color="auto"/>
      </w:divBdr>
      <w:divsChild>
        <w:div w:id="1296570775">
          <w:marLeft w:val="850"/>
          <w:marRight w:val="0"/>
          <w:marTop w:val="134"/>
          <w:marBottom w:val="0"/>
          <w:divBdr>
            <w:top w:val="none" w:sz="0" w:space="0" w:color="auto"/>
            <w:left w:val="none" w:sz="0" w:space="0" w:color="auto"/>
            <w:bottom w:val="none" w:sz="0" w:space="0" w:color="auto"/>
            <w:right w:val="none" w:sz="0" w:space="0" w:color="auto"/>
          </w:divBdr>
        </w:div>
        <w:div w:id="17857989">
          <w:marLeft w:val="1843"/>
          <w:marRight w:val="0"/>
          <w:marTop w:val="96"/>
          <w:marBottom w:val="0"/>
          <w:divBdr>
            <w:top w:val="none" w:sz="0" w:space="0" w:color="auto"/>
            <w:left w:val="none" w:sz="0" w:space="0" w:color="auto"/>
            <w:bottom w:val="none" w:sz="0" w:space="0" w:color="auto"/>
            <w:right w:val="none" w:sz="0" w:space="0" w:color="auto"/>
          </w:divBdr>
        </w:div>
        <w:div w:id="1035233904">
          <w:marLeft w:val="1843"/>
          <w:marRight w:val="0"/>
          <w:marTop w:val="96"/>
          <w:marBottom w:val="0"/>
          <w:divBdr>
            <w:top w:val="none" w:sz="0" w:space="0" w:color="auto"/>
            <w:left w:val="none" w:sz="0" w:space="0" w:color="auto"/>
            <w:bottom w:val="none" w:sz="0" w:space="0" w:color="auto"/>
            <w:right w:val="none" w:sz="0" w:space="0" w:color="auto"/>
          </w:divBdr>
        </w:div>
        <w:div w:id="1239437430">
          <w:marLeft w:val="1843"/>
          <w:marRight w:val="0"/>
          <w:marTop w:val="96"/>
          <w:marBottom w:val="0"/>
          <w:divBdr>
            <w:top w:val="none" w:sz="0" w:space="0" w:color="auto"/>
            <w:left w:val="none" w:sz="0" w:space="0" w:color="auto"/>
            <w:bottom w:val="none" w:sz="0" w:space="0" w:color="auto"/>
            <w:right w:val="none" w:sz="0" w:space="0" w:color="auto"/>
          </w:divBdr>
        </w:div>
      </w:divsChild>
    </w:div>
    <w:div w:id="1396972355">
      <w:bodyDiv w:val="1"/>
      <w:marLeft w:val="0"/>
      <w:marRight w:val="0"/>
      <w:marTop w:val="0"/>
      <w:marBottom w:val="0"/>
      <w:divBdr>
        <w:top w:val="none" w:sz="0" w:space="0" w:color="auto"/>
        <w:left w:val="none" w:sz="0" w:space="0" w:color="auto"/>
        <w:bottom w:val="none" w:sz="0" w:space="0" w:color="auto"/>
        <w:right w:val="none" w:sz="0" w:space="0" w:color="auto"/>
      </w:divBdr>
      <w:divsChild>
        <w:div w:id="1649286810">
          <w:marLeft w:val="850"/>
          <w:marRight w:val="0"/>
          <w:marTop w:val="134"/>
          <w:marBottom w:val="0"/>
          <w:divBdr>
            <w:top w:val="none" w:sz="0" w:space="0" w:color="auto"/>
            <w:left w:val="none" w:sz="0" w:space="0" w:color="auto"/>
            <w:bottom w:val="none" w:sz="0" w:space="0" w:color="auto"/>
            <w:right w:val="none" w:sz="0" w:space="0" w:color="auto"/>
          </w:divBdr>
        </w:div>
        <w:div w:id="2517857">
          <w:marLeft w:val="850"/>
          <w:marRight w:val="0"/>
          <w:marTop w:val="134"/>
          <w:marBottom w:val="0"/>
          <w:divBdr>
            <w:top w:val="none" w:sz="0" w:space="0" w:color="auto"/>
            <w:left w:val="none" w:sz="0" w:space="0" w:color="auto"/>
            <w:bottom w:val="none" w:sz="0" w:space="0" w:color="auto"/>
            <w:right w:val="none" w:sz="0" w:space="0" w:color="auto"/>
          </w:divBdr>
        </w:div>
        <w:div w:id="1065179190">
          <w:marLeft w:val="850"/>
          <w:marRight w:val="0"/>
          <w:marTop w:val="134"/>
          <w:marBottom w:val="0"/>
          <w:divBdr>
            <w:top w:val="none" w:sz="0" w:space="0" w:color="auto"/>
            <w:left w:val="none" w:sz="0" w:space="0" w:color="auto"/>
            <w:bottom w:val="none" w:sz="0" w:space="0" w:color="auto"/>
            <w:right w:val="none" w:sz="0" w:space="0" w:color="auto"/>
          </w:divBdr>
        </w:div>
        <w:div w:id="862324971">
          <w:marLeft w:val="1843"/>
          <w:marRight w:val="0"/>
          <w:marTop w:val="96"/>
          <w:marBottom w:val="0"/>
          <w:divBdr>
            <w:top w:val="none" w:sz="0" w:space="0" w:color="auto"/>
            <w:left w:val="none" w:sz="0" w:space="0" w:color="auto"/>
            <w:bottom w:val="none" w:sz="0" w:space="0" w:color="auto"/>
            <w:right w:val="none" w:sz="0" w:space="0" w:color="auto"/>
          </w:divBdr>
        </w:div>
        <w:div w:id="852647614">
          <w:marLeft w:val="1843"/>
          <w:marRight w:val="0"/>
          <w:marTop w:val="96"/>
          <w:marBottom w:val="0"/>
          <w:divBdr>
            <w:top w:val="none" w:sz="0" w:space="0" w:color="auto"/>
            <w:left w:val="none" w:sz="0" w:space="0" w:color="auto"/>
            <w:bottom w:val="none" w:sz="0" w:space="0" w:color="auto"/>
            <w:right w:val="none" w:sz="0" w:space="0" w:color="auto"/>
          </w:divBdr>
        </w:div>
        <w:div w:id="295373442">
          <w:marLeft w:val="1843"/>
          <w:marRight w:val="0"/>
          <w:marTop w:val="96"/>
          <w:marBottom w:val="0"/>
          <w:divBdr>
            <w:top w:val="none" w:sz="0" w:space="0" w:color="auto"/>
            <w:left w:val="none" w:sz="0" w:space="0" w:color="auto"/>
            <w:bottom w:val="none" w:sz="0" w:space="0" w:color="auto"/>
            <w:right w:val="none" w:sz="0" w:space="0" w:color="auto"/>
          </w:divBdr>
        </w:div>
        <w:div w:id="1682052265">
          <w:marLeft w:val="1843"/>
          <w:marRight w:val="0"/>
          <w:marTop w:val="96"/>
          <w:marBottom w:val="0"/>
          <w:divBdr>
            <w:top w:val="none" w:sz="0" w:space="0" w:color="auto"/>
            <w:left w:val="none" w:sz="0" w:space="0" w:color="auto"/>
            <w:bottom w:val="none" w:sz="0" w:space="0" w:color="auto"/>
            <w:right w:val="none" w:sz="0" w:space="0" w:color="auto"/>
          </w:divBdr>
        </w:div>
        <w:div w:id="146754116">
          <w:marLeft w:val="1843"/>
          <w:marRight w:val="0"/>
          <w:marTop w:val="96"/>
          <w:marBottom w:val="0"/>
          <w:divBdr>
            <w:top w:val="none" w:sz="0" w:space="0" w:color="auto"/>
            <w:left w:val="none" w:sz="0" w:space="0" w:color="auto"/>
            <w:bottom w:val="none" w:sz="0" w:space="0" w:color="auto"/>
            <w:right w:val="none" w:sz="0" w:space="0" w:color="auto"/>
          </w:divBdr>
        </w:div>
        <w:div w:id="1781947944">
          <w:marLeft w:val="850"/>
          <w:marRight w:val="0"/>
          <w:marTop w:val="134"/>
          <w:marBottom w:val="0"/>
          <w:divBdr>
            <w:top w:val="none" w:sz="0" w:space="0" w:color="auto"/>
            <w:left w:val="none" w:sz="0" w:space="0" w:color="auto"/>
            <w:bottom w:val="none" w:sz="0" w:space="0" w:color="auto"/>
            <w:right w:val="none" w:sz="0" w:space="0" w:color="auto"/>
          </w:divBdr>
        </w:div>
      </w:divsChild>
    </w:div>
    <w:div w:id="1435055484">
      <w:bodyDiv w:val="1"/>
      <w:marLeft w:val="0"/>
      <w:marRight w:val="0"/>
      <w:marTop w:val="0"/>
      <w:marBottom w:val="0"/>
      <w:divBdr>
        <w:top w:val="none" w:sz="0" w:space="0" w:color="auto"/>
        <w:left w:val="none" w:sz="0" w:space="0" w:color="auto"/>
        <w:bottom w:val="none" w:sz="0" w:space="0" w:color="auto"/>
        <w:right w:val="none" w:sz="0" w:space="0" w:color="auto"/>
      </w:divBdr>
      <w:divsChild>
        <w:div w:id="2108310825">
          <w:marLeft w:val="794"/>
          <w:marRight w:val="113"/>
          <w:marTop w:val="0"/>
          <w:marBottom w:val="0"/>
          <w:divBdr>
            <w:top w:val="single" w:sz="8" w:space="3" w:color="auto"/>
            <w:left w:val="none" w:sz="0" w:space="0" w:color="auto"/>
            <w:bottom w:val="none" w:sz="0" w:space="0" w:color="auto"/>
            <w:right w:val="none" w:sz="0" w:space="0" w:color="auto"/>
          </w:divBdr>
        </w:div>
        <w:div w:id="1481851277">
          <w:marLeft w:val="794"/>
          <w:marRight w:val="113"/>
          <w:marTop w:val="0"/>
          <w:marBottom w:val="0"/>
          <w:divBdr>
            <w:top w:val="none" w:sz="0" w:space="0" w:color="auto"/>
            <w:left w:val="none" w:sz="0" w:space="0" w:color="auto"/>
            <w:bottom w:val="single" w:sz="8" w:space="3" w:color="auto"/>
            <w:right w:val="none" w:sz="0" w:space="0" w:color="auto"/>
          </w:divBdr>
        </w:div>
      </w:divsChild>
    </w:div>
    <w:div w:id="1604992778">
      <w:bodyDiv w:val="1"/>
      <w:marLeft w:val="0"/>
      <w:marRight w:val="0"/>
      <w:marTop w:val="0"/>
      <w:marBottom w:val="0"/>
      <w:divBdr>
        <w:top w:val="none" w:sz="0" w:space="0" w:color="auto"/>
        <w:left w:val="none" w:sz="0" w:space="0" w:color="auto"/>
        <w:bottom w:val="none" w:sz="0" w:space="0" w:color="auto"/>
        <w:right w:val="none" w:sz="0" w:space="0" w:color="auto"/>
      </w:divBdr>
      <w:divsChild>
        <w:div w:id="622422120">
          <w:marLeft w:val="794"/>
          <w:marRight w:val="113"/>
          <w:marTop w:val="0"/>
          <w:marBottom w:val="0"/>
          <w:divBdr>
            <w:top w:val="single" w:sz="8" w:space="3" w:color="auto"/>
            <w:left w:val="none" w:sz="0" w:space="0" w:color="auto"/>
            <w:bottom w:val="none" w:sz="0" w:space="0" w:color="auto"/>
            <w:right w:val="none" w:sz="0" w:space="0" w:color="auto"/>
          </w:divBdr>
        </w:div>
        <w:div w:id="1917277663">
          <w:marLeft w:val="794"/>
          <w:marRight w:val="113"/>
          <w:marTop w:val="0"/>
          <w:marBottom w:val="0"/>
          <w:divBdr>
            <w:top w:val="none" w:sz="0" w:space="0" w:color="auto"/>
            <w:left w:val="none" w:sz="0" w:space="0" w:color="auto"/>
            <w:bottom w:val="single" w:sz="8" w:space="3" w:color="auto"/>
            <w:right w:val="none" w:sz="0" w:space="0" w:color="auto"/>
          </w:divBdr>
        </w:div>
      </w:divsChild>
    </w:div>
    <w:div w:id="1745494719">
      <w:bodyDiv w:val="1"/>
      <w:marLeft w:val="0"/>
      <w:marRight w:val="0"/>
      <w:marTop w:val="0"/>
      <w:marBottom w:val="0"/>
      <w:divBdr>
        <w:top w:val="none" w:sz="0" w:space="0" w:color="auto"/>
        <w:left w:val="none" w:sz="0" w:space="0" w:color="auto"/>
        <w:bottom w:val="none" w:sz="0" w:space="0" w:color="auto"/>
        <w:right w:val="none" w:sz="0" w:space="0" w:color="auto"/>
      </w:divBdr>
      <w:divsChild>
        <w:div w:id="1020668827">
          <w:marLeft w:val="0"/>
          <w:marRight w:val="0"/>
          <w:marTop w:val="0"/>
          <w:marBottom w:val="0"/>
          <w:divBdr>
            <w:top w:val="none" w:sz="0" w:space="0" w:color="auto"/>
            <w:left w:val="none" w:sz="0" w:space="0" w:color="auto"/>
            <w:bottom w:val="none" w:sz="0" w:space="0" w:color="auto"/>
            <w:right w:val="none" w:sz="0" w:space="0" w:color="auto"/>
          </w:divBdr>
          <w:divsChild>
            <w:div w:id="1563785946">
              <w:marLeft w:val="0"/>
              <w:marRight w:val="0"/>
              <w:marTop w:val="0"/>
              <w:marBottom w:val="0"/>
              <w:divBdr>
                <w:top w:val="none" w:sz="0" w:space="0" w:color="auto"/>
                <w:left w:val="none" w:sz="0" w:space="0" w:color="auto"/>
                <w:bottom w:val="none" w:sz="0" w:space="0" w:color="auto"/>
                <w:right w:val="none" w:sz="0" w:space="0" w:color="auto"/>
              </w:divBdr>
              <w:divsChild>
                <w:div w:id="1959336897">
                  <w:marLeft w:val="0"/>
                  <w:marRight w:val="0"/>
                  <w:marTop w:val="0"/>
                  <w:marBottom w:val="0"/>
                  <w:divBdr>
                    <w:top w:val="none" w:sz="0" w:space="0" w:color="auto"/>
                    <w:left w:val="none" w:sz="0" w:space="0" w:color="auto"/>
                    <w:bottom w:val="none" w:sz="0" w:space="0" w:color="auto"/>
                    <w:right w:val="none" w:sz="0" w:space="0" w:color="auto"/>
                  </w:divBdr>
                  <w:divsChild>
                    <w:div w:id="1380402634">
                      <w:marLeft w:val="0"/>
                      <w:marRight w:val="0"/>
                      <w:marTop w:val="0"/>
                      <w:marBottom w:val="0"/>
                      <w:divBdr>
                        <w:top w:val="none" w:sz="0" w:space="0" w:color="auto"/>
                        <w:left w:val="none" w:sz="0" w:space="0" w:color="auto"/>
                        <w:bottom w:val="none" w:sz="0" w:space="0" w:color="auto"/>
                        <w:right w:val="none" w:sz="0" w:space="0" w:color="auto"/>
                      </w:divBdr>
                      <w:divsChild>
                        <w:div w:id="1866938547">
                          <w:marLeft w:val="0"/>
                          <w:marRight w:val="0"/>
                          <w:marTop w:val="45"/>
                          <w:marBottom w:val="0"/>
                          <w:divBdr>
                            <w:top w:val="none" w:sz="0" w:space="0" w:color="auto"/>
                            <w:left w:val="none" w:sz="0" w:space="0" w:color="auto"/>
                            <w:bottom w:val="none" w:sz="0" w:space="0" w:color="auto"/>
                            <w:right w:val="none" w:sz="0" w:space="0" w:color="auto"/>
                          </w:divBdr>
                          <w:divsChild>
                            <w:div w:id="1752041612">
                              <w:marLeft w:val="0"/>
                              <w:marRight w:val="0"/>
                              <w:marTop w:val="0"/>
                              <w:marBottom w:val="0"/>
                              <w:divBdr>
                                <w:top w:val="none" w:sz="0" w:space="0" w:color="auto"/>
                                <w:left w:val="none" w:sz="0" w:space="0" w:color="auto"/>
                                <w:bottom w:val="none" w:sz="0" w:space="0" w:color="auto"/>
                                <w:right w:val="none" w:sz="0" w:space="0" w:color="auto"/>
                              </w:divBdr>
                              <w:divsChild>
                                <w:div w:id="1683821876">
                                  <w:marLeft w:val="1800"/>
                                  <w:marRight w:val="3960"/>
                                  <w:marTop w:val="0"/>
                                  <w:marBottom w:val="0"/>
                                  <w:divBdr>
                                    <w:top w:val="none" w:sz="0" w:space="0" w:color="auto"/>
                                    <w:left w:val="none" w:sz="0" w:space="0" w:color="auto"/>
                                    <w:bottom w:val="none" w:sz="0" w:space="0" w:color="auto"/>
                                    <w:right w:val="none" w:sz="0" w:space="0" w:color="auto"/>
                                  </w:divBdr>
                                  <w:divsChild>
                                    <w:div w:id="1461799613">
                                      <w:marLeft w:val="0"/>
                                      <w:marRight w:val="0"/>
                                      <w:marTop w:val="0"/>
                                      <w:marBottom w:val="0"/>
                                      <w:divBdr>
                                        <w:top w:val="none" w:sz="0" w:space="0" w:color="auto"/>
                                        <w:left w:val="none" w:sz="0" w:space="0" w:color="auto"/>
                                        <w:bottom w:val="none" w:sz="0" w:space="0" w:color="auto"/>
                                        <w:right w:val="none" w:sz="0" w:space="0" w:color="auto"/>
                                      </w:divBdr>
                                      <w:divsChild>
                                        <w:div w:id="605386993">
                                          <w:marLeft w:val="0"/>
                                          <w:marRight w:val="0"/>
                                          <w:marTop w:val="0"/>
                                          <w:marBottom w:val="0"/>
                                          <w:divBdr>
                                            <w:top w:val="none" w:sz="0" w:space="0" w:color="auto"/>
                                            <w:left w:val="none" w:sz="0" w:space="0" w:color="auto"/>
                                            <w:bottom w:val="none" w:sz="0" w:space="0" w:color="auto"/>
                                            <w:right w:val="none" w:sz="0" w:space="0" w:color="auto"/>
                                          </w:divBdr>
                                          <w:divsChild>
                                            <w:div w:id="427123339">
                                              <w:marLeft w:val="0"/>
                                              <w:marRight w:val="0"/>
                                              <w:marTop w:val="0"/>
                                              <w:marBottom w:val="0"/>
                                              <w:divBdr>
                                                <w:top w:val="none" w:sz="0" w:space="0" w:color="auto"/>
                                                <w:left w:val="none" w:sz="0" w:space="0" w:color="auto"/>
                                                <w:bottom w:val="none" w:sz="0" w:space="0" w:color="auto"/>
                                                <w:right w:val="none" w:sz="0" w:space="0" w:color="auto"/>
                                              </w:divBdr>
                                              <w:divsChild>
                                                <w:div w:id="1618636705">
                                                  <w:marLeft w:val="0"/>
                                                  <w:marRight w:val="0"/>
                                                  <w:marTop w:val="0"/>
                                                  <w:marBottom w:val="0"/>
                                                  <w:divBdr>
                                                    <w:top w:val="none" w:sz="0" w:space="0" w:color="auto"/>
                                                    <w:left w:val="none" w:sz="0" w:space="0" w:color="auto"/>
                                                    <w:bottom w:val="none" w:sz="0" w:space="0" w:color="auto"/>
                                                    <w:right w:val="none" w:sz="0" w:space="0" w:color="auto"/>
                                                  </w:divBdr>
                                                  <w:divsChild>
                                                    <w:div w:id="1674798493">
                                                      <w:marLeft w:val="0"/>
                                                      <w:marRight w:val="0"/>
                                                      <w:marTop w:val="0"/>
                                                      <w:marBottom w:val="0"/>
                                                      <w:divBdr>
                                                        <w:top w:val="none" w:sz="0" w:space="0" w:color="auto"/>
                                                        <w:left w:val="none" w:sz="0" w:space="0" w:color="auto"/>
                                                        <w:bottom w:val="none" w:sz="0" w:space="0" w:color="auto"/>
                                                        <w:right w:val="none" w:sz="0" w:space="0" w:color="auto"/>
                                                      </w:divBdr>
                                                      <w:divsChild>
                                                        <w:div w:id="1078942796">
                                                          <w:marLeft w:val="0"/>
                                                          <w:marRight w:val="0"/>
                                                          <w:marTop w:val="0"/>
                                                          <w:marBottom w:val="0"/>
                                                          <w:divBdr>
                                                            <w:top w:val="none" w:sz="0" w:space="0" w:color="auto"/>
                                                            <w:left w:val="none" w:sz="0" w:space="0" w:color="auto"/>
                                                            <w:bottom w:val="none" w:sz="0" w:space="0" w:color="auto"/>
                                                            <w:right w:val="none" w:sz="0" w:space="0" w:color="auto"/>
                                                          </w:divBdr>
                                                          <w:divsChild>
                                                            <w:div w:id="219904947">
                                                              <w:marLeft w:val="0"/>
                                                              <w:marRight w:val="0"/>
                                                              <w:marTop w:val="0"/>
                                                              <w:marBottom w:val="0"/>
                                                              <w:divBdr>
                                                                <w:top w:val="none" w:sz="0" w:space="0" w:color="auto"/>
                                                                <w:left w:val="none" w:sz="0" w:space="0" w:color="auto"/>
                                                                <w:bottom w:val="none" w:sz="0" w:space="0" w:color="auto"/>
                                                                <w:right w:val="none" w:sz="0" w:space="0" w:color="auto"/>
                                                              </w:divBdr>
                                                              <w:divsChild>
                                                                <w:div w:id="1464351221">
                                                                  <w:marLeft w:val="0"/>
                                                                  <w:marRight w:val="0"/>
                                                                  <w:marTop w:val="0"/>
                                                                  <w:marBottom w:val="0"/>
                                                                  <w:divBdr>
                                                                    <w:top w:val="none" w:sz="0" w:space="0" w:color="auto"/>
                                                                    <w:left w:val="none" w:sz="0" w:space="0" w:color="auto"/>
                                                                    <w:bottom w:val="none" w:sz="0" w:space="0" w:color="auto"/>
                                                                    <w:right w:val="none" w:sz="0" w:space="0" w:color="auto"/>
                                                                  </w:divBdr>
                                                                  <w:divsChild>
                                                                    <w:div w:id="11940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4882294">
      <w:bodyDiv w:val="1"/>
      <w:marLeft w:val="0"/>
      <w:marRight w:val="0"/>
      <w:marTop w:val="0"/>
      <w:marBottom w:val="0"/>
      <w:divBdr>
        <w:top w:val="none" w:sz="0" w:space="0" w:color="auto"/>
        <w:left w:val="none" w:sz="0" w:space="0" w:color="auto"/>
        <w:bottom w:val="none" w:sz="0" w:space="0" w:color="auto"/>
        <w:right w:val="none" w:sz="0" w:space="0" w:color="auto"/>
      </w:divBdr>
      <w:divsChild>
        <w:div w:id="300890219">
          <w:marLeft w:val="1843"/>
          <w:marRight w:val="0"/>
          <w:marTop w:val="115"/>
          <w:marBottom w:val="0"/>
          <w:divBdr>
            <w:top w:val="none" w:sz="0" w:space="0" w:color="auto"/>
            <w:left w:val="none" w:sz="0" w:space="0" w:color="auto"/>
            <w:bottom w:val="none" w:sz="0" w:space="0" w:color="auto"/>
            <w:right w:val="none" w:sz="0" w:space="0" w:color="auto"/>
          </w:divBdr>
        </w:div>
      </w:divsChild>
    </w:div>
    <w:div w:id="1942488410">
      <w:bodyDiv w:val="1"/>
      <w:marLeft w:val="0"/>
      <w:marRight w:val="0"/>
      <w:marTop w:val="0"/>
      <w:marBottom w:val="0"/>
      <w:divBdr>
        <w:top w:val="none" w:sz="0" w:space="0" w:color="auto"/>
        <w:left w:val="none" w:sz="0" w:space="0" w:color="auto"/>
        <w:bottom w:val="none" w:sz="0" w:space="0" w:color="auto"/>
        <w:right w:val="none" w:sz="0" w:space="0" w:color="auto"/>
      </w:divBdr>
      <w:divsChild>
        <w:div w:id="109593133">
          <w:marLeft w:val="850"/>
          <w:marRight w:val="0"/>
          <w:marTop w:val="134"/>
          <w:marBottom w:val="0"/>
          <w:divBdr>
            <w:top w:val="none" w:sz="0" w:space="0" w:color="auto"/>
            <w:left w:val="none" w:sz="0" w:space="0" w:color="auto"/>
            <w:bottom w:val="none" w:sz="0" w:space="0" w:color="auto"/>
            <w:right w:val="none" w:sz="0" w:space="0" w:color="auto"/>
          </w:divBdr>
        </w:div>
        <w:div w:id="1229193869">
          <w:marLeft w:val="1843"/>
          <w:marRight w:val="0"/>
          <w:marTop w:val="96"/>
          <w:marBottom w:val="0"/>
          <w:divBdr>
            <w:top w:val="none" w:sz="0" w:space="0" w:color="auto"/>
            <w:left w:val="none" w:sz="0" w:space="0" w:color="auto"/>
            <w:bottom w:val="none" w:sz="0" w:space="0" w:color="auto"/>
            <w:right w:val="none" w:sz="0" w:space="0" w:color="auto"/>
          </w:divBdr>
        </w:div>
      </w:divsChild>
    </w:div>
    <w:div w:id="1980383517">
      <w:bodyDiv w:val="1"/>
      <w:marLeft w:val="0"/>
      <w:marRight w:val="0"/>
      <w:marTop w:val="0"/>
      <w:marBottom w:val="0"/>
      <w:divBdr>
        <w:top w:val="none" w:sz="0" w:space="0" w:color="auto"/>
        <w:left w:val="none" w:sz="0" w:space="0" w:color="auto"/>
        <w:bottom w:val="none" w:sz="0" w:space="0" w:color="auto"/>
        <w:right w:val="none" w:sz="0" w:space="0" w:color="auto"/>
      </w:divBdr>
      <w:divsChild>
        <w:div w:id="1009680299">
          <w:marLeft w:val="0"/>
          <w:marRight w:val="0"/>
          <w:marTop w:val="0"/>
          <w:marBottom w:val="0"/>
          <w:divBdr>
            <w:top w:val="none" w:sz="0" w:space="0" w:color="auto"/>
            <w:left w:val="none" w:sz="0" w:space="0" w:color="auto"/>
            <w:bottom w:val="none" w:sz="0" w:space="0" w:color="auto"/>
            <w:right w:val="none" w:sz="0" w:space="0" w:color="auto"/>
          </w:divBdr>
          <w:divsChild>
            <w:div w:id="1178082407">
              <w:marLeft w:val="0"/>
              <w:marRight w:val="0"/>
              <w:marTop w:val="0"/>
              <w:marBottom w:val="0"/>
              <w:divBdr>
                <w:top w:val="none" w:sz="0" w:space="0" w:color="auto"/>
                <w:left w:val="none" w:sz="0" w:space="0" w:color="auto"/>
                <w:bottom w:val="none" w:sz="0" w:space="0" w:color="auto"/>
                <w:right w:val="none" w:sz="0" w:space="0" w:color="auto"/>
              </w:divBdr>
              <w:divsChild>
                <w:div w:id="1470903261">
                  <w:marLeft w:val="0"/>
                  <w:marRight w:val="0"/>
                  <w:marTop w:val="0"/>
                  <w:marBottom w:val="0"/>
                  <w:divBdr>
                    <w:top w:val="none" w:sz="0" w:space="0" w:color="auto"/>
                    <w:left w:val="none" w:sz="0" w:space="0" w:color="auto"/>
                    <w:bottom w:val="none" w:sz="0" w:space="0" w:color="auto"/>
                    <w:right w:val="none" w:sz="0" w:space="0" w:color="auto"/>
                  </w:divBdr>
                  <w:divsChild>
                    <w:div w:id="217404674">
                      <w:marLeft w:val="0"/>
                      <w:marRight w:val="0"/>
                      <w:marTop w:val="0"/>
                      <w:marBottom w:val="0"/>
                      <w:divBdr>
                        <w:top w:val="none" w:sz="0" w:space="0" w:color="auto"/>
                        <w:left w:val="none" w:sz="0" w:space="0" w:color="auto"/>
                        <w:bottom w:val="none" w:sz="0" w:space="0" w:color="auto"/>
                        <w:right w:val="none" w:sz="0" w:space="0" w:color="auto"/>
                      </w:divBdr>
                      <w:divsChild>
                        <w:div w:id="485825575">
                          <w:marLeft w:val="0"/>
                          <w:marRight w:val="0"/>
                          <w:marTop w:val="0"/>
                          <w:marBottom w:val="0"/>
                          <w:divBdr>
                            <w:top w:val="none" w:sz="0" w:space="0" w:color="auto"/>
                            <w:left w:val="none" w:sz="0" w:space="0" w:color="auto"/>
                            <w:bottom w:val="none" w:sz="0" w:space="0" w:color="auto"/>
                            <w:right w:val="none" w:sz="0" w:space="0" w:color="auto"/>
                          </w:divBdr>
                          <w:divsChild>
                            <w:div w:id="1235355622">
                              <w:marLeft w:val="0"/>
                              <w:marRight w:val="0"/>
                              <w:marTop w:val="0"/>
                              <w:marBottom w:val="0"/>
                              <w:divBdr>
                                <w:top w:val="none" w:sz="0" w:space="0" w:color="auto"/>
                                <w:left w:val="none" w:sz="0" w:space="0" w:color="auto"/>
                                <w:bottom w:val="none" w:sz="0" w:space="0" w:color="auto"/>
                                <w:right w:val="none" w:sz="0" w:space="0" w:color="auto"/>
                              </w:divBdr>
                              <w:divsChild>
                                <w:div w:id="1808667735">
                                  <w:marLeft w:val="0"/>
                                  <w:marRight w:val="0"/>
                                  <w:marTop w:val="0"/>
                                  <w:marBottom w:val="0"/>
                                  <w:divBdr>
                                    <w:top w:val="none" w:sz="0" w:space="0" w:color="auto"/>
                                    <w:left w:val="none" w:sz="0" w:space="0" w:color="auto"/>
                                    <w:bottom w:val="none" w:sz="0" w:space="0" w:color="auto"/>
                                    <w:right w:val="none" w:sz="0" w:space="0" w:color="auto"/>
                                  </w:divBdr>
                                  <w:divsChild>
                                    <w:div w:id="1981380462">
                                      <w:marLeft w:val="0"/>
                                      <w:marRight w:val="0"/>
                                      <w:marTop w:val="0"/>
                                      <w:marBottom w:val="360"/>
                                      <w:divBdr>
                                        <w:top w:val="none" w:sz="0" w:space="0" w:color="auto"/>
                                        <w:left w:val="none" w:sz="0" w:space="0" w:color="auto"/>
                                        <w:bottom w:val="none" w:sz="0" w:space="0" w:color="auto"/>
                                        <w:right w:val="none" w:sz="0" w:space="0" w:color="auto"/>
                                      </w:divBdr>
                                      <w:divsChild>
                                        <w:div w:id="1940870126">
                                          <w:marLeft w:val="0"/>
                                          <w:marRight w:val="0"/>
                                          <w:marTop w:val="0"/>
                                          <w:marBottom w:val="0"/>
                                          <w:divBdr>
                                            <w:top w:val="none" w:sz="0" w:space="0" w:color="auto"/>
                                            <w:left w:val="none" w:sz="0" w:space="0" w:color="auto"/>
                                            <w:bottom w:val="none" w:sz="0" w:space="0" w:color="auto"/>
                                            <w:right w:val="none" w:sz="0" w:space="0" w:color="auto"/>
                                          </w:divBdr>
                                          <w:divsChild>
                                            <w:div w:id="1796407953">
                                              <w:marLeft w:val="0"/>
                                              <w:marRight w:val="0"/>
                                              <w:marTop w:val="0"/>
                                              <w:marBottom w:val="0"/>
                                              <w:divBdr>
                                                <w:top w:val="none" w:sz="0" w:space="0" w:color="auto"/>
                                                <w:left w:val="none" w:sz="0" w:space="0" w:color="auto"/>
                                                <w:bottom w:val="none" w:sz="0" w:space="0" w:color="auto"/>
                                                <w:right w:val="none" w:sz="0" w:space="0" w:color="auto"/>
                                              </w:divBdr>
                                              <w:divsChild>
                                                <w:div w:id="824318540">
                                                  <w:marLeft w:val="0"/>
                                                  <w:marRight w:val="0"/>
                                                  <w:marTop w:val="0"/>
                                                  <w:marBottom w:val="0"/>
                                                  <w:divBdr>
                                                    <w:top w:val="none" w:sz="0" w:space="0" w:color="auto"/>
                                                    <w:left w:val="none" w:sz="0" w:space="0" w:color="auto"/>
                                                    <w:bottom w:val="none" w:sz="0" w:space="0" w:color="auto"/>
                                                    <w:right w:val="none" w:sz="0" w:space="0" w:color="auto"/>
                                                  </w:divBdr>
                                                  <w:divsChild>
                                                    <w:div w:id="1187216177">
                                                      <w:marLeft w:val="0"/>
                                                      <w:marRight w:val="0"/>
                                                      <w:marTop w:val="0"/>
                                                      <w:marBottom w:val="0"/>
                                                      <w:divBdr>
                                                        <w:top w:val="none" w:sz="0" w:space="0" w:color="auto"/>
                                                        <w:left w:val="none" w:sz="0" w:space="0" w:color="auto"/>
                                                        <w:bottom w:val="none" w:sz="0" w:space="0" w:color="auto"/>
                                                        <w:right w:val="none" w:sz="0" w:space="0" w:color="auto"/>
                                                      </w:divBdr>
                                                      <w:divsChild>
                                                        <w:div w:id="445931555">
                                                          <w:marLeft w:val="0"/>
                                                          <w:marRight w:val="0"/>
                                                          <w:marTop w:val="0"/>
                                                          <w:marBottom w:val="0"/>
                                                          <w:divBdr>
                                                            <w:top w:val="none" w:sz="0" w:space="0" w:color="auto"/>
                                                            <w:left w:val="none" w:sz="0" w:space="0" w:color="auto"/>
                                                            <w:bottom w:val="none" w:sz="0" w:space="0" w:color="auto"/>
                                                            <w:right w:val="none" w:sz="0" w:space="0" w:color="auto"/>
                                                          </w:divBdr>
                                                          <w:divsChild>
                                                            <w:div w:id="345135334">
                                                              <w:marLeft w:val="0"/>
                                                              <w:marRight w:val="0"/>
                                                              <w:marTop w:val="0"/>
                                                              <w:marBottom w:val="0"/>
                                                              <w:divBdr>
                                                                <w:top w:val="none" w:sz="0" w:space="0" w:color="auto"/>
                                                                <w:left w:val="none" w:sz="0" w:space="0" w:color="auto"/>
                                                                <w:bottom w:val="none" w:sz="0" w:space="0" w:color="auto"/>
                                                                <w:right w:val="none" w:sz="0" w:space="0" w:color="auto"/>
                                                              </w:divBdr>
                                                              <w:divsChild>
                                                                <w:div w:id="1830245232">
                                                                  <w:marLeft w:val="0"/>
                                                                  <w:marRight w:val="0"/>
                                                                  <w:marTop w:val="0"/>
                                                                  <w:marBottom w:val="0"/>
                                                                  <w:divBdr>
                                                                    <w:top w:val="none" w:sz="0" w:space="0" w:color="auto"/>
                                                                    <w:left w:val="none" w:sz="0" w:space="0" w:color="auto"/>
                                                                    <w:bottom w:val="none" w:sz="0" w:space="0" w:color="auto"/>
                                                                    <w:right w:val="none" w:sz="0" w:space="0" w:color="auto"/>
                                                                  </w:divBdr>
                                                                  <w:divsChild>
                                                                    <w:div w:id="515772827">
                                                                      <w:marLeft w:val="0"/>
                                                                      <w:marRight w:val="0"/>
                                                                      <w:marTop w:val="0"/>
                                                                      <w:marBottom w:val="0"/>
                                                                      <w:divBdr>
                                                                        <w:top w:val="none" w:sz="0" w:space="0" w:color="auto"/>
                                                                        <w:left w:val="none" w:sz="0" w:space="0" w:color="auto"/>
                                                                        <w:bottom w:val="none" w:sz="0" w:space="0" w:color="auto"/>
                                                                        <w:right w:val="none" w:sz="0" w:space="0" w:color="auto"/>
                                                                      </w:divBdr>
                                                                      <w:divsChild>
                                                                        <w:div w:id="747465406">
                                                                          <w:marLeft w:val="0"/>
                                                                          <w:marRight w:val="0"/>
                                                                          <w:marTop w:val="0"/>
                                                                          <w:marBottom w:val="0"/>
                                                                          <w:divBdr>
                                                                            <w:top w:val="none" w:sz="0" w:space="0" w:color="auto"/>
                                                                            <w:left w:val="none" w:sz="0" w:space="0" w:color="auto"/>
                                                                            <w:bottom w:val="none" w:sz="0" w:space="0" w:color="auto"/>
                                                                            <w:right w:val="none" w:sz="0" w:space="0" w:color="auto"/>
                                                                          </w:divBdr>
                                                                          <w:divsChild>
                                                                            <w:div w:id="1437291337">
                                                                              <w:marLeft w:val="0"/>
                                                                              <w:marRight w:val="0"/>
                                                                              <w:marTop w:val="0"/>
                                                                              <w:marBottom w:val="0"/>
                                                                              <w:divBdr>
                                                                                <w:top w:val="none" w:sz="0" w:space="0" w:color="auto"/>
                                                                                <w:left w:val="none" w:sz="0" w:space="0" w:color="auto"/>
                                                                                <w:bottom w:val="none" w:sz="0" w:space="0" w:color="auto"/>
                                                                                <w:right w:val="none" w:sz="0" w:space="0" w:color="auto"/>
                                                                              </w:divBdr>
                                                                              <w:divsChild>
                                                                                <w:div w:id="17310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0597">
      <w:bodyDiv w:val="1"/>
      <w:marLeft w:val="0"/>
      <w:marRight w:val="0"/>
      <w:marTop w:val="0"/>
      <w:marBottom w:val="0"/>
      <w:divBdr>
        <w:top w:val="none" w:sz="0" w:space="0" w:color="auto"/>
        <w:left w:val="none" w:sz="0" w:space="0" w:color="auto"/>
        <w:bottom w:val="none" w:sz="0" w:space="0" w:color="auto"/>
        <w:right w:val="none" w:sz="0" w:space="0" w:color="auto"/>
      </w:divBdr>
      <w:divsChild>
        <w:div w:id="1911041102">
          <w:marLeft w:val="850"/>
          <w:marRight w:val="0"/>
          <w:marTop w:val="134"/>
          <w:marBottom w:val="0"/>
          <w:divBdr>
            <w:top w:val="none" w:sz="0" w:space="0" w:color="auto"/>
            <w:left w:val="none" w:sz="0" w:space="0" w:color="auto"/>
            <w:bottom w:val="none" w:sz="0" w:space="0" w:color="auto"/>
            <w:right w:val="none" w:sz="0" w:space="0" w:color="auto"/>
          </w:divBdr>
        </w:div>
        <w:div w:id="517276177">
          <w:marLeft w:val="1843"/>
          <w:marRight w:val="0"/>
          <w:marTop w:val="96"/>
          <w:marBottom w:val="0"/>
          <w:divBdr>
            <w:top w:val="none" w:sz="0" w:space="0" w:color="auto"/>
            <w:left w:val="none" w:sz="0" w:space="0" w:color="auto"/>
            <w:bottom w:val="none" w:sz="0" w:space="0" w:color="auto"/>
            <w:right w:val="none" w:sz="0" w:space="0" w:color="auto"/>
          </w:divBdr>
        </w:div>
        <w:div w:id="1532455496">
          <w:marLeft w:val="1843"/>
          <w:marRight w:val="0"/>
          <w:marTop w:val="96"/>
          <w:marBottom w:val="0"/>
          <w:divBdr>
            <w:top w:val="none" w:sz="0" w:space="0" w:color="auto"/>
            <w:left w:val="none" w:sz="0" w:space="0" w:color="auto"/>
            <w:bottom w:val="none" w:sz="0" w:space="0" w:color="auto"/>
            <w:right w:val="none" w:sz="0" w:space="0" w:color="auto"/>
          </w:divBdr>
        </w:div>
        <w:div w:id="1712076706">
          <w:marLeft w:val="1843"/>
          <w:marRight w:val="0"/>
          <w:marTop w:val="96"/>
          <w:marBottom w:val="0"/>
          <w:divBdr>
            <w:top w:val="none" w:sz="0" w:space="0" w:color="auto"/>
            <w:left w:val="none" w:sz="0" w:space="0" w:color="auto"/>
            <w:bottom w:val="none" w:sz="0" w:space="0" w:color="auto"/>
            <w:right w:val="none" w:sz="0" w:space="0" w:color="auto"/>
          </w:divBdr>
        </w:div>
        <w:div w:id="1009525068">
          <w:marLeft w:val="1843"/>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rains@dhbss.health.nz"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70.png"/><Relationship Id="rId39" Type="http://schemas.openxmlformats.org/officeDocument/2006/relationships/hyperlink" Target="http://www.nsfl.health.govt.nz/apps/nsfl.nsf/pagesmh/200"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interrai.org/classification.html" TargetMode="External"/><Relationship Id="rId42" Type="http://schemas.openxmlformats.org/officeDocument/2006/relationships/hyperlink" Target="http://www.rch.org.au/rchhis/coding_casemix/DRG_and_Casemix_fundin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www.health.gov.au/internet/main/publishing.nsf/Content/Casemix-1" TargetMode="External"/><Relationship Id="rId38" Type="http://schemas.openxmlformats.org/officeDocument/2006/relationships/hyperlink" Target="http://www.nsfl.health.govt.nz/apps/nsfl.nsf/pagesmh/463"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hyperlink" Target="http://www.tepou.co.nz/outcomes/casemi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pa.gov.au/internet/ihpa/publishing.nsf/Content/AR-DRG-classification-system-sales" TargetMode="External"/><Relationship Id="rId24" Type="http://schemas.openxmlformats.org/officeDocument/2006/relationships/footer" Target="footer3.xml"/><Relationship Id="rId32" Type="http://schemas.openxmlformats.org/officeDocument/2006/relationships/hyperlink" Target="http://www.health.govt.nz/nz-health-statistics/data-references/weighted-inlier-equivalent-separations?mega=Health%20statistics&amp;title=Weighted%20Inlier%20Equivalent%20Separations" TargetMode="External"/><Relationship Id="rId37" Type="http://schemas.openxmlformats.org/officeDocument/2006/relationships/hyperlink" Target="http://www.health.govt.nz/nz-health-statistics/data-references/weighted-inlier-equivalent-separations" TargetMode="External"/><Relationship Id="rId40" Type="http://schemas.openxmlformats.org/officeDocument/2006/relationships/hyperlink" Target="http://www.nordcase.org/" TargetMode="External"/><Relationship Id="rId45" Type="http://schemas.openxmlformats.org/officeDocument/2006/relationships/hyperlink" Target="http://medicalrecordsaudit.net/importance-medical-record-audi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80.png"/><Relationship Id="rId36" Type="http://schemas.openxmlformats.org/officeDocument/2006/relationships/hyperlink" Target="http://www.health.govt.nz/nz-health-statistics/data-references/diagnosis-related-groups" TargetMode="External"/><Relationship Id="rId10" Type="http://schemas.openxmlformats.org/officeDocument/2006/relationships/hyperlink" Target="mailto:operations@moh.govt.nz" TargetMode="Externa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hyperlink" Target="http://health.vic.gov.au/abf/history.htm" TargetMode="External"/><Relationship Id="rId4" Type="http://schemas.openxmlformats.org/officeDocument/2006/relationships/settings" Target="settings.xml"/><Relationship Id="rId9" Type="http://schemas.openxmlformats.org/officeDocument/2006/relationships/hyperlink" Target="mailto:coding_helpdesk@moh.govt.nz" TargetMode="External"/><Relationship Id="rId14" Type="http://schemas.openxmlformats.org/officeDocument/2006/relationships/oleObject" Target="embeddings/Microsoft_Visio_2003-2010_Drawing.vsd"/><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www.annals.edu.sg/pdf200411/v33n5p660.pdf" TargetMode="External"/><Relationship Id="rId43" Type="http://schemas.openxmlformats.org/officeDocument/2006/relationships/hyperlink" Target="http://nccc.uow.edu.au/casemix/aboutcasemix/index.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363F0-F081-497E-B210-D71E197C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8692</Words>
  <Characters>49549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The New Zealand Casemix System: An overview</vt:lpstr>
    </vt:vector>
  </TitlesOfParts>
  <Company>DHB Shared Services</Company>
  <LinksUpToDate>false</LinksUpToDate>
  <CharactersWithSpaces>58125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Zealand Casemix System</dc:title>
  <dc:creator>Michael Rains;Tracy.Thompson@health.govt.nz</dc:creator>
  <cp:lastModifiedBy>Tracy Thompson</cp:lastModifiedBy>
  <cp:revision>7</cp:revision>
  <cp:lastPrinted>2015-12-08T22:39:00Z</cp:lastPrinted>
  <dcterms:created xsi:type="dcterms:W3CDTF">2023-07-06T21:16:00Z</dcterms:created>
  <dcterms:modified xsi:type="dcterms:W3CDTF">2023-07-06T22:04:00Z</dcterms:modified>
  <cp:contentStatus/>
</cp:coreProperties>
</file>