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A6D68" w14:textId="457A40FD" w:rsidR="00ED302B" w:rsidRPr="00AD42E3" w:rsidRDefault="00A27AA1" w:rsidP="0013499E">
      <w:pPr>
        <w:jc w:val="center"/>
        <w:rPr>
          <w:rFonts w:cstheme="minorHAnsi"/>
          <w:b/>
          <w:bCs/>
          <w:sz w:val="28"/>
          <w:szCs w:val="28"/>
          <w:lang w:eastAsia="en-NZ"/>
        </w:rPr>
      </w:pPr>
      <w:r w:rsidRPr="00AD42E3">
        <w:rPr>
          <w:rFonts w:cstheme="minorHAnsi"/>
          <w:b/>
          <w:bCs/>
          <w:sz w:val="28"/>
          <w:szCs w:val="28"/>
          <w:lang w:eastAsia="en-NZ"/>
        </w:rPr>
        <w:t>Effective for event records with an event end date on or after 1 July 2025</w:t>
      </w:r>
    </w:p>
    <w:p w14:paraId="33321CFA" w14:textId="77777777" w:rsidR="00401C43" w:rsidRPr="00AD42E3" w:rsidRDefault="00401C43" w:rsidP="00147B64">
      <w:pPr>
        <w:pStyle w:val="ListParagraph"/>
        <w:spacing w:after="0"/>
        <w:ind w:left="0"/>
        <w:rPr>
          <w:rFonts w:cstheme="minorHAnsi"/>
          <w:sz w:val="24"/>
          <w:szCs w:val="24"/>
          <w:lang w:eastAsia="en-NZ"/>
        </w:rPr>
      </w:pPr>
    </w:p>
    <w:p w14:paraId="7B5C0EE2" w14:textId="5C7FF04A" w:rsidR="00147B64" w:rsidRPr="00AD42E3" w:rsidRDefault="00147B64" w:rsidP="00147B64">
      <w:pPr>
        <w:pStyle w:val="ListParagraph"/>
        <w:spacing w:after="0"/>
        <w:ind w:left="0"/>
        <w:rPr>
          <w:rFonts w:cstheme="minorHAnsi"/>
          <w:sz w:val="24"/>
          <w:szCs w:val="24"/>
          <w:lang w:eastAsia="en-NZ"/>
        </w:rPr>
      </w:pPr>
      <w:r w:rsidRPr="00AD42E3">
        <w:rPr>
          <w:rFonts w:cstheme="minorHAnsi"/>
          <w:sz w:val="24"/>
          <w:szCs w:val="24"/>
          <w:lang w:eastAsia="en-NZ"/>
        </w:rPr>
        <w:t xml:space="preserve">Gender reaffirming surgery aims to transition individuals who experience gender dysphoria to the gender they identify with. </w:t>
      </w:r>
    </w:p>
    <w:p w14:paraId="15B3E4F2" w14:textId="77777777" w:rsidR="00147B64" w:rsidRPr="00AD42E3" w:rsidRDefault="00147B64" w:rsidP="00147B64">
      <w:pPr>
        <w:pStyle w:val="ListParagraph"/>
        <w:spacing w:after="0"/>
        <w:ind w:left="0"/>
        <w:rPr>
          <w:rFonts w:cstheme="minorHAnsi"/>
          <w:sz w:val="24"/>
          <w:szCs w:val="24"/>
          <w:lang w:eastAsia="en-NZ"/>
        </w:rPr>
      </w:pPr>
    </w:p>
    <w:p w14:paraId="146B7C62" w14:textId="454C8E45" w:rsidR="00A12AA1" w:rsidRPr="00AD42E3" w:rsidRDefault="00147B64" w:rsidP="00147B64">
      <w:pPr>
        <w:spacing w:after="0"/>
        <w:rPr>
          <w:rFonts w:cstheme="minorHAnsi"/>
          <w:sz w:val="24"/>
          <w:szCs w:val="24"/>
          <w:lang w:val="en-AU"/>
        </w:rPr>
      </w:pPr>
      <w:r w:rsidRPr="00AD42E3">
        <w:rPr>
          <w:rFonts w:cstheme="minorHAnsi"/>
          <w:sz w:val="24"/>
          <w:szCs w:val="24"/>
          <w:lang w:val="en-AU"/>
        </w:rPr>
        <w:t xml:space="preserve">In ICD-10-AM Twelfth Edition gender dysphoria is classified to diagnosis code F64 </w:t>
      </w:r>
      <w:r w:rsidRPr="00AD42E3">
        <w:rPr>
          <w:rFonts w:cstheme="minorHAnsi"/>
          <w:i/>
          <w:iCs/>
          <w:sz w:val="24"/>
          <w:szCs w:val="24"/>
          <w:lang w:val="en-AU"/>
        </w:rPr>
        <w:t>Gender incongruence</w:t>
      </w:r>
      <w:r w:rsidRPr="00AD42E3">
        <w:rPr>
          <w:rFonts w:cstheme="minorHAnsi"/>
          <w:sz w:val="24"/>
          <w:szCs w:val="24"/>
          <w:lang w:val="en-AU"/>
        </w:rPr>
        <w:t xml:space="preserve">. </w:t>
      </w:r>
    </w:p>
    <w:p w14:paraId="042FD165" w14:textId="77777777" w:rsidR="00791494" w:rsidRPr="00AD42E3" w:rsidRDefault="00791494" w:rsidP="00147B64">
      <w:pPr>
        <w:spacing w:after="0"/>
        <w:rPr>
          <w:rFonts w:cstheme="minorHAnsi"/>
          <w:sz w:val="24"/>
          <w:szCs w:val="24"/>
          <w:lang w:val="en-AU"/>
        </w:rPr>
      </w:pPr>
    </w:p>
    <w:p w14:paraId="4B24458B" w14:textId="41B488B7" w:rsidR="00972B1C" w:rsidRPr="00AD42E3" w:rsidRDefault="00972B1C" w:rsidP="00985280">
      <w:pPr>
        <w:spacing w:after="120"/>
        <w:rPr>
          <w:rFonts w:cstheme="minorHAnsi"/>
          <w:b/>
          <w:bCs/>
          <w:sz w:val="24"/>
          <w:szCs w:val="24"/>
          <w:lang w:val="en-AU"/>
        </w:rPr>
      </w:pPr>
      <w:r w:rsidRPr="00AD42E3">
        <w:rPr>
          <w:rFonts w:cstheme="minorHAnsi"/>
          <w:b/>
          <w:bCs/>
          <w:sz w:val="24"/>
          <w:szCs w:val="24"/>
          <w:lang w:val="en-AU"/>
        </w:rPr>
        <w:t>Background</w:t>
      </w:r>
    </w:p>
    <w:p w14:paraId="0B4FB55C" w14:textId="7F89093A" w:rsidR="00181F6C" w:rsidRPr="00AD42E3" w:rsidRDefault="005E13CC" w:rsidP="00181F6C">
      <w:pPr>
        <w:spacing w:after="0"/>
        <w:rPr>
          <w:rFonts w:cstheme="minorHAnsi"/>
          <w:sz w:val="24"/>
          <w:szCs w:val="24"/>
          <w:lang w:val="en-AU"/>
        </w:rPr>
      </w:pPr>
      <w:r w:rsidRPr="00AD42E3">
        <w:rPr>
          <w:rFonts w:cstheme="minorHAnsi"/>
          <w:sz w:val="24"/>
          <w:szCs w:val="24"/>
          <w:lang w:val="en-AU"/>
        </w:rPr>
        <w:t xml:space="preserve">Prior to 1 July 2025 </w:t>
      </w:r>
      <w:r w:rsidR="0058679F" w:rsidRPr="00AD42E3">
        <w:rPr>
          <w:rFonts w:cstheme="minorHAnsi"/>
          <w:sz w:val="24"/>
          <w:szCs w:val="24"/>
          <w:lang w:val="en-AU"/>
        </w:rPr>
        <w:t xml:space="preserve">New Zealand </w:t>
      </w:r>
      <w:r w:rsidR="00B625BE">
        <w:rPr>
          <w:rFonts w:cstheme="minorHAnsi"/>
          <w:sz w:val="24"/>
          <w:szCs w:val="24"/>
          <w:lang w:val="en-AU"/>
        </w:rPr>
        <w:t xml:space="preserve">clinical </w:t>
      </w:r>
      <w:r w:rsidR="0058679F" w:rsidRPr="00AD42E3">
        <w:rPr>
          <w:rFonts w:cstheme="minorHAnsi"/>
          <w:sz w:val="24"/>
          <w:szCs w:val="24"/>
          <w:lang w:val="en-AU"/>
        </w:rPr>
        <w:t>coding</w:t>
      </w:r>
      <w:r w:rsidR="00133F0B" w:rsidRPr="00AD42E3">
        <w:rPr>
          <w:rFonts w:cstheme="minorHAnsi"/>
          <w:sz w:val="24"/>
          <w:szCs w:val="24"/>
          <w:lang w:val="en-AU"/>
        </w:rPr>
        <w:t xml:space="preserve"> practice </w:t>
      </w:r>
      <w:r w:rsidR="00B579F0">
        <w:rPr>
          <w:rFonts w:cstheme="minorHAnsi"/>
          <w:sz w:val="24"/>
          <w:szCs w:val="24"/>
          <w:lang w:val="en-AU"/>
        </w:rPr>
        <w:t xml:space="preserve">for gender reaffirming surgery </w:t>
      </w:r>
      <w:r w:rsidR="0058679F" w:rsidRPr="00AD42E3">
        <w:rPr>
          <w:rFonts w:cstheme="minorHAnsi"/>
          <w:sz w:val="24"/>
          <w:szCs w:val="24"/>
          <w:lang w:val="en-AU"/>
        </w:rPr>
        <w:t xml:space="preserve">was to </w:t>
      </w:r>
      <w:r w:rsidR="00B625BE">
        <w:rPr>
          <w:rFonts w:cstheme="minorHAnsi"/>
          <w:sz w:val="24"/>
          <w:szCs w:val="24"/>
          <w:lang w:val="en-AU"/>
        </w:rPr>
        <w:t xml:space="preserve">assign </w:t>
      </w:r>
      <w:r w:rsidR="0058679F" w:rsidRPr="00AD42E3">
        <w:rPr>
          <w:rFonts w:cstheme="minorHAnsi"/>
          <w:sz w:val="24"/>
          <w:szCs w:val="24"/>
          <w:lang w:val="en-AU"/>
        </w:rPr>
        <w:t xml:space="preserve">the code F64 </w:t>
      </w:r>
      <w:r w:rsidR="00133F0B" w:rsidRPr="00AD42E3">
        <w:rPr>
          <w:rFonts w:cstheme="minorHAnsi"/>
          <w:i/>
          <w:iCs/>
          <w:sz w:val="24"/>
          <w:szCs w:val="24"/>
          <w:lang w:val="en-AU"/>
        </w:rPr>
        <w:t>Gender incongruence</w:t>
      </w:r>
      <w:r w:rsidR="00133F0B" w:rsidRPr="00AD42E3">
        <w:rPr>
          <w:rFonts w:cstheme="minorHAnsi"/>
          <w:sz w:val="24"/>
          <w:szCs w:val="24"/>
          <w:lang w:val="en-AU"/>
        </w:rPr>
        <w:t xml:space="preserve"> </w:t>
      </w:r>
      <w:r w:rsidR="0058679F" w:rsidRPr="00AD42E3">
        <w:rPr>
          <w:rFonts w:cstheme="minorHAnsi"/>
          <w:sz w:val="24"/>
          <w:szCs w:val="24"/>
          <w:lang w:val="en-AU"/>
        </w:rPr>
        <w:t>as the principal diagnosis with the procedure</w:t>
      </w:r>
      <w:r w:rsidR="00133F0B" w:rsidRPr="00AD42E3">
        <w:rPr>
          <w:rFonts w:cstheme="minorHAnsi"/>
          <w:sz w:val="24"/>
          <w:szCs w:val="24"/>
          <w:lang w:val="en-AU"/>
        </w:rPr>
        <w:t>/s</w:t>
      </w:r>
      <w:r w:rsidR="0058679F" w:rsidRPr="00AD42E3">
        <w:rPr>
          <w:rFonts w:cstheme="minorHAnsi"/>
          <w:sz w:val="24"/>
          <w:szCs w:val="24"/>
          <w:lang w:val="en-AU"/>
        </w:rPr>
        <w:t xml:space="preserve"> performed. </w:t>
      </w:r>
      <w:r w:rsidR="00826113" w:rsidRPr="00AD42E3">
        <w:rPr>
          <w:rFonts w:cstheme="minorHAnsi"/>
          <w:sz w:val="24"/>
          <w:szCs w:val="24"/>
          <w:lang w:val="en-AU"/>
        </w:rPr>
        <w:t xml:space="preserve">This instruction was provided to </w:t>
      </w:r>
      <w:r w:rsidR="00181F6C" w:rsidRPr="00AD42E3">
        <w:rPr>
          <w:rFonts w:cstheme="minorHAnsi"/>
          <w:sz w:val="24"/>
          <w:szCs w:val="24"/>
          <w:lang w:val="en-AU"/>
        </w:rPr>
        <w:t>ensure</w:t>
      </w:r>
      <w:r w:rsidR="00826113" w:rsidRPr="00AD42E3">
        <w:rPr>
          <w:rFonts w:cstheme="minorHAnsi"/>
          <w:sz w:val="24"/>
          <w:szCs w:val="24"/>
          <w:lang w:val="en-AU"/>
        </w:rPr>
        <w:t xml:space="preserve"> all </w:t>
      </w:r>
      <w:r w:rsidR="0004293E" w:rsidRPr="00AD42E3">
        <w:rPr>
          <w:rFonts w:cstheme="minorHAnsi"/>
          <w:sz w:val="24"/>
          <w:szCs w:val="24"/>
          <w:lang w:val="en-AU"/>
        </w:rPr>
        <w:t xml:space="preserve">gender reaffirming </w:t>
      </w:r>
      <w:r w:rsidR="000D3112">
        <w:rPr>
          <w:rFonts w:cstheme="minorHAnsi"/>
          <w:sz w:val="24"/>
          <w:szCs w:val="24"/>
          <w:lang w:val="en-AU"/>
        </w:rPr>
        <w:t xml:space="preserve">surgery </w:t>
      </w:r>
      <w:r w:rsidR="0004293E" w:rsidRPr="00AD42E3">
        <w:rPr>
          <w:rFonts w:cstheme="minorHAnsi"/>
          <w:sz w:val="24"/>
          <w:szCs w:val="24"/>
          <w:lang w:val="en-AU"/>
        </w:rPr>
        <w:t xml:space="preserve">event records reported to </w:t>
      </w:r>
      <w:r w:rsidR="00217E25">
        <w:rPr>
          <w:rFonts w:cstheme="minorHAnsi"/>
          <w:sz w:val="24"/>
          <w:szCs w:val="24"/>
          <w:lang w:val="en-AU"/>
        </w:rPr>
        <w:t xml:space="preserve">the </w:t>
      </w:r>
      <w:r w:rsidR="0004293E" w:rsidRPr="00AD42E3">
        <w:rPr>
          <w:rFonts w:cstheme="minorHAnsi"/>
          <w:sz w:val="24"/>
          <w:szCs w:val="24"/>
          <w:lang w:val="en-AU"/>
        </w:rPr>
        <w:t>N</w:t>
      </w:r>
      <w:r w:rsidR="00C66EEF">
        <w:rPr>
          <w:rFonts w:cstheme="minorHAnsi"/>
          <w:sz w:val="24"/>
          <w:szCs w:val="24"/>
          <w:lang w:val="en-AU"/>
        </w:rPr>
        <w:t xml:space="preserve">ational </w:t>
      </w:r>
      <w:r w:rsidR="0004293E" w:rsidRPr="00AD42E3">
        <w:rPr>
          <w:rFonts w:cstheme="minorHAnsi"/>
          <w:sz w:val="24"/>
          <w:szCs w:val="24"/>
          <w:lang w:val="en-AU"/>
        </w:rPr>
        <w:t>M</w:t>
      </w:r>
      <w:r w:rsidR="00C66EEF">
        <w:rPr>
          <w:rFonts w:cstheme="minorHAnsi"/>
          <w:sz w:val="24"/>
          <w:szCs w:val="24"/>
          <w:lang w:val="en-AU"/>
        </w:rPr>
        <w:t xml:space="preserve">inimum </w:t>
      </w:r>
      <w:r w:rsidR="0004293E" w:rsidRPr="00AD42E3">
        <w:rPr>
          <w:rFonts w:cstheme="minorHAnsi"/>
          <w:sz w:val="24"/>
          <w:szCs w:val="24"/>
          <w:lang w:val="en-AU"/>
        </w:rPr>
        <w:t>D</w:t>
      </w:r>
      <w:r w:rsidR="00C66EEF">
        <w:rPr>
          <w:rFonts w:cstheme="minorHAnsi"/>
          <w:sz w:val="24"/>
          <w:szCs w:val="24"/>
          <w:lang w:val="en-AU"/>
        </w:rPr>
        <w:t>ataset (NMDS)</w:t>
      </w:r>
      <w:r w:rsidR="0004293E" w:rsidRPr="00AD42E3">
        <w:rPr>
          <w:rFonts w:cstheme="minorHAnsi"/>
          <w:sz w:val="24"/>
          <w:szCs w:val="24"/>
          <w:lang w:val="en-AU"/>
        </w:rPr>
        <w:t xml:space="preserve"> were allocated the </w:t>
      </w:r>
      <w:r w:rsidR="00355CFD" w:rsidRPr="00AD42E3">
        <w:rPr>
          <w:rFonts w:cstheme="minorHAnsi"/>
          <w:sz w:val="24"/>
          <w:szCs w:val="24"/>
          <w:lang w:val="en-AU"/>
        </w:rPr>
        <w:t>same diagnosis related group (DRG)</w:t>
      </w:r>
      <w:r w:rsidR="00181F6C" w:rsidRPr="00AD42E3">
        <w:rPr>
          <w:rFonts w:cstheme="minorHAnsi"/>
          <w:sz w:val="24"/>
          <w:szCs w:val="24"/>
          <w:lang w:val="en-AU"/>
        </w:rPr>
        <w:t xml:space="preserve">, as each year the costs and number of event records reported to NMDS are reviewed </w:t>
      </w:r>
      <w:r w:rsidR="00940F8F">
        <w:rPr>
          <w:rFonts w:cstheme="minorHAnsi"/>
          <w:sz w:val="24"/>
          <w:szCs w:val="24"/>
          <w:lang w:val="en-AU"/>
        </w:rPr>
        <w:t xml:space="preserve">as part of </w:t>
      </w:r>
      <w:r w:rsidR="00181F6C" w:rsidRPr="00AD42E3">
        <w:rPr>
          <w:rFonts w:cstheme="minorHAnsi"/>
          <w:sz w:val="24"/>
          <w:szCs w:val="24"/>
          <w:lang w:val="en-AU"/>
        </w:rPr>
        <w:t>the casemix work programme to ensure the case weight and co-payment allocation are appropriate</w:t>
      </w:r>
      <w:r w:rsidR="008F7BAD" w:rsidRPr="00AD42E3">
        <w:rPr>
          <w:rFonts w:cstheme="minorHAnsi"/>
          <w:sz w:val="24"/>
          <w:szCs w:val="24"/>
          <w:lang w:val="en-AU"/>
        </w:rPr>
        <w:t xml:space="preserve"> for the DRG</w:t>
      </w:r>
      <w:r w:rsidR="00925BF8" w:rsidRPr="00AD42E3">
        <w:rPr>
          <w:rFonts w:cstheme="minorHAnsi"/>
          <w:sz w:val="24"/>
          <w:szCs w:val="24"/>
          <w:lang w:val="en-AU"/>
        </w:rPr>
        <w:t>s</w:t>
      </w:r>
      <w:r w:rsidR="00181F6C" w:rsidRPr="00AD42E3">
        <w:rPr>
          <w:rFonts w:cstheme="minorHAnsi"/>
          <w:sz w:val="24"/>
          <w:szCs w:val="24"/>
          <w:lang w:val="en-AU"/>
        </w:rPr>
        <w:t>.</w:t>
      </w:r>
    </w:p>
    <w:p w14:paraId="2A2C22D5" w14:textId="0BED31C3" w:rsidR="00826113" w:rsidRPr="00AD42E3" w:rsidRDefault="00826113" w:rsidP="0058679F">
      <w:pPr>
        <w:spacing w:after="0"/>
        <w:rPr>
          <w:rFonts w:cstheme="minorHAnsi"/>
          <w:sz w:val="24"/>
          <w:szCs w:val="24"/>
          <w:lang w:val="en-AU"/>
        </w:rPr>
      </w:pPr>
    </w:p>
    <w:p w14:paraId="1F976E36" w14:textId="1BDB4877" w:rsidR="005A4069" w:rsidRPr="00AD42E3" w:rsidRDefault="0010606D" w:rsidP="0058679F">
      <w:pPr>
        <w:spacing w:after="0"/>
        <w:rPr>
          <w:rFonts w:cstheme="minorHAnsi"/>
          <w:sz w:val="24"/>
          <w:szCs w:val="24"/>
          <w:lang w:val="en-AU"/>
        </w:rPr>
      </w:pPr>
      <w:r w:rsidRPr="00AD42E3">
        <w:rPr>
          <w:rFonts w:cstheme="minorHAnsi"/>
          <w:sz w:val="24"/>
          <w:szCs w:val="24"/>
          <w:lang w:val="en-AU"/>
        </w:rPr>
        <w:t xml:space="preserve">During the </w:t>
      </w:r>
      <w:r w:rsidR="002239A9" w:rsidRPr="00AD42E3">
        <w:rPr>
          <w:rFonts w:cstheme="minorHAnsi"/>
          <w:sz w:val="24"/>
          <w:szCs w:val="24"/>
          <w:lang w:val="en-AU"/>
        </w:rPr>
        <w:t xml:space="preserve">2024 </w:t>
      </w:r>
      <w:r w:rsidR="00D14D17" w:rsidRPr="00AD42E3">
        <w:rPr>
          <w:rFonts w:cstheme="minorHAnsi"/>
          <w:sz w:val="24"/>
          <w:szCs w:val="24"/>
          <w:lang w:val="en-AU"/>
        </w:rPr>
        <w:t xml:space="preserve">casemix </w:t>
      </w:r>
      <w:r w:rsidR="00B66066" w:rsidRPr="00AD42E3">
        <w:rPr>
          <w:rFonts w:cstheme="minorHAnsi"/>
          <w:sz w:val="24"/>
          <w:szCs w:val="24"/>
          <w:lang w:val="en-AU"/>
        </w:rPr>
        <w:t xml:space="preserve">work </w:t>
      </w:r>
      <w:r w:rsidR="00D14D17" w:rsidRPr="00AD42E3">
        <w:rPr>
          <w:rFonts w:cstheme="minorHAnsi"/>
          <w:sz w:val="24"/>
          <w:szCs w:val="24"/>
          <w:lang w:val="en-AU"/>
        </w:rPr>
        <w:t xml:space="preserve">programme </w:t>
      </w:r>
      <w:r w:rsidRPr="00AD42E3">
        <w:rPr>
          <w:rFonts w:cstheme="minorHAnsi"/>
          <w:sz w:val="24"/>
          <w:szCs w:val="24"/>
          <w:lang w:val="en-AU"/>
        </w:rPr>
        <w:t xml:space="preserve">updates </w:t>
      </w:r>
      <w:r w:rsidR="00D14D17" w:rsidRPr="00AD42E3">
        <w:rPr>
          <w:rFonts w:cstheme="minorHAnsi"/>
          <w:sz w:val="24"/>
          <w:szCs w:val="24"/>
          <w:lang w:val="en-AU"/>
        </w:rPr>
        <w:t>to the gender reaffirming</w:t>
      </w:r>
      <w:r w:rsidR="00E85DEF">
        <w:rPr>
          <w:rFonts w:cstheme="minorHAnsi"/>
          <w:sz w:val="24"/>
          <w:szCs w:val="24"/>
          <w:lang w:val="en-AU"/>
        </w:rPr>
        <w:t xml:space="preserve"> surgery </w:t>
      </w:r>
      <w:r w:rsidR="00D14D17" w:rsidRPr="00AD42E3">
        <w:rPr>
          <w:rFonts w:cstheme="minorHAnsi"/>
          <w:sz w:val="24"/>
          <w:szCs w:val="24"/>
          <w:lang w:val="en-AU"/>
        </w:rPr>
        <w:t>co</w:t>
      </w:r>
      <w:r w:rsidRPr="00AD42E3">
        <w:rPr>
          <w:rFonts w:cstheme="minorHAnsi"/>
          <w:sz w:val="24"/>
          <w:szCs w:val="24"/>
          <w:lang w:val="en-AU"/>
        </w:rPr>
        <w:t>-</w:t>
      </w:r>
      <w:r w:rsidR="00D14D17" w:rsidRPr="00AD42E3">
        <w:rPr>
          <w:rFonts w:cstheme="minorHAnsi"/>
          <w:sz w:val="24"/>
          <w:szCs w:val="24"/>
          <w:lang w:val="en-AU"/>
        </w:rPr>
        <w:t xml:space="preserve">payment were </w:t>
      </w:r>
      <w:r w:rsidR="00A9337A" w:rsidRPr="00AD42E3">
        <w:rPr>
          <w:rFonts w:cstheme="minorHAnsi"/>
          <w:sz w:val="24"/>
          <w:szCs w:val="24"/>
          <w:lang w:val="en-AU"/>
        </w:rPr>
        <w:t>made</w:t>
      </w:r>
      <w:r w:rsidR="005E3D04" w:rsidRPr="00AD42E3">
        <w:rPr>
          <w:rFonts w:cstheme="minorHAnsi"/>
          <w:sz w:val="24"/>
          <w:szCs w:val="24"/>
          <w:lang w:val="en-AU"/>
        </w:rPr>
        <w:t xml:space="preserve"> </w:t>
      </w:r>
      <w:r w:rsidR="00D14D17" w:rsidRPr="00AD42E3">
        <w:rPr>
          <w:rFonts w:cstheme="minorHAnsi"/>
          <w:sz w:val="24"/>
          <w:szCs w:val="24"/>
          <w:lang w:val="en-AU"/>
        </w:rPr>
        <w:t>to align</w:t>
      </w:r>
      <w:r w:rsidR="00E418F8" w:rsidRPr="00AD42E3">
        <w:rPr>
          <w:rFonts w:cstheme="minorHAnsi"/>
          <w:sz w:val="24"/>
          <w:szCs w:val="24"/>
          <w:lang w:val="en-AU"/>
        </w:rPr>
        <w:t xml:space="preserve"> it w</w:t>
      </w:r>
      <w:r w:rsidR="00D14D17" w:rsidRPr="00AD42E3">
        <w:rPr>
          <w:rFonts w:cstheme="minorHAnsi"/>
          <w:sz w:val="24"/>
          <w:szCs w:val="24"/>
          <w:lang w:val="en-AU"/>
        </w:rPr>
        <w:t xml:space="preserve">ith the IHACPA coding rule Q3841 </w:t>
      </w:r>
      <w:r w:rsidR="00D14D17" w:rsidRPr="00AD42E3">
        <w:rPr>
          <w:rFonts w:cstheme="minorHAnsi"/>
          <w:i/>
          <w:iCs/>
          <w:sz w:val="24"/>
          <w:szCs w:val="24"/>
          <w:lang w:val="en-AU"/>
        </w:rPr>
        <w:t>Genital reconfiguration surgery</w:t>
      </w:r>
      <w:r w:rsidR="009C23CD" w:rsidRPr="00AD42E3">
        <w:rPr>
          <w:rFonts w:cstheme="minorHAnsi"/>
          <w:sz w:val="24"/>
          <w:szCs w:val="24"/>
          <w:lang w:val="en-AU"/>
        </w:rPr>
        <w:t xml:space="preserve"> – published December 2023. </w:t>
      </w:r>
      <w:r w:rsidR="00765174" w:rsidRPr="00AD42E3">
        <w:rPr>
          <w:rFonts w:cstheme="minorHAnsi"/>
          <w:sz w:val="24"/>
          <w:szCs w:val="24"/>
          <w:lang w:val="en-AU"/>
        </w:rPr>
        <w:t xml:space="preserve">These updates were </w:t>
      </w:r>
      <w:r w:rsidR="001862F0">
        <w:rPr>
          <w:rFonts w:cstheme="minorHAnsi"/>
          <w:sz w:val="24"/>
          <w:szCs w:val="24"/>
          <w:lang w:val="en-AU"/>
        </w:rPr>
        <w:t xml:space="preserve">for the development of </w:t>
      </w:r>
      <w:r w:rsidR="00765174" w:rsidRPr="00AD42E3">
        <w:rPr>
          <w:rFonts w:cstheme="minorHAnsi"/>
          <w:sz w:val="24"/>
          <w:szCs w:val="24"/>
          <w:lang w:val="en-AU"/>
        </w:rPr>
        <w:t>WIESNZ25.</w:t>
      </w:r>
    </w:p>
    <w:p w14:paraId="36372C3C" w14:textId="77777777" w:rsidR="005A4069" w:rsidRPr="00AD42E3" w:rsidRDefault="005A4069" w:rsidP="0058679F">
      <w:pPr>
        <w:spacing w:after="0"/>
        <w:rPr>
          <w:rFonts w:cstheme="minorHAnsi"/>
          <w:sz w:val="24"/>
          <w:szCs w:val="24"/>
          <w:lang w:val="en-AU"/>
        </w:rPr>
      </w:pPr>
    </w:p>
    <w:p w14:paraId="5784C8BA" w14:textId="2EAC68C1" w:rsidR="00972B1C" w:rsidRPr="00AD42E3" w:rsidRDefault="00972B1C" w:rsidP="00985280">
      <w:pPr>
        <w:spacing w:after="120"/>
        <w:rPr>
          <w:rFonts w:cstheme="minorHAnsi"/>
          <w:sz w:val="24"/>
          <w:szCs w:val="24"/>
          <w:lang w:val="en-AU"/>
        </w:rPr>
      </w:pPr>
      <w:r w:rsidRPr="00AD42E3">
        <w:rPr>
          <w:rFonts w:cstheme="minorHAnsi"/>
          <w:b/>
          <w:bCs/>
          <w:sz w:val="24"/>
          <w:szCs w:val="24"/>
          <w:lang w:val="en-AU"/>
        </w:rPr>
        <w:t xml:space="preserve">Clinical Coding </w:t>
      </w:r>
      <w:r w:rsidR="00347E7C" w:rsidRPr="00AD42E3">
        <w:rPr>
          <w:rFonts w:cstheme="minorHAnsi"/>
          <w:b/>
          <w:bCs/>
          <w:sz w:val="24"/>
          <w:szCs w:val="24"/>
          <w:lang w:val="en-AU"/>
        </w:rPr>
        <w:t xml:space="preserve">Practice </w:t>
      </w:r>
      <w:r w:rsidRPr="00AD42E3">
        <w:rPr>
          <w:rFonts w:cstheme="minorHAnsi"/>
          <w:b/>
          <w:bCs/>
          <w:sz w:val="24"/>
          <w:szCs w:val="24"/>
          <w:lang w:val="en-AU"/>
        </w:rPr>
        <w:t>from 1 July 2025</w:t>
      </w:r>
      <w:r w:rsidRPr="00AD42E3">
        <w:rPr>
          <w:rFonts w:cstheme="minorHAnsi"/>
          <w:sz w:val="24"/>
          <w:szCs w:val="24"/>
          <w:lang w:val="en-AU"/>
        </w:rPr>
        <w:t xml:space="preserve"> </w:t>
      </w:r>
    </w:p>
    <w:p w14:paraId="591053D7" w14:textId="12973A2A" w:rsidR="00310FAE" w:rsidRPr="00AD42E3" w:rsidRDefault="00077911" w:rsidP="00310FAE">
      <w:pPr>
        <w:spacing w:after="0"/>
        <w:rPr>
          <w:rFonts w:cstheme="minorHAnsi"/>
          <w:sz w:val="24"/>
          <w:szCs w:val="24"/>
          <w:lang w:val="en-AU"/>
        </w:rPr>
      </w:pPr>
      <w:r w:rsidRPr="00AD42E3">
        <w:rPr>
          <w:rFonts w:cstheme="minorHAnsi"/>
          <w:sz w:val="24"/>
          <w:szCs w:val="24"/>
          <w:lang w:val="en-AU"/>
        </w:rPr>
        <w:t>For a</w:t>
      </w:r>
      <w:r w:rsidR="00E41805" w:rsidRPr="00AD42E3">
        <w:rPr>
          <w:rFonts w:cstheme="minorHAnsi"/>
          <w:sz w:val="24"/>
          <w:szCs w:val="24"/>
          <w:lang w:val="en-AU"/>
        </w:rPr>
        <w:t>ll gender reaffirming</w:t>
      </w:r>
      <w:r w:rsidR="00077078" w:rsidRPr="00AD42E3">
        <w:rPr>
          <w:rFonts w:cstheme="minorHAnsi"/>
          <w:sz w:val="24"/>
          <w:szCs w:val="24"/>
          <w:lang w:val="en-AU"/>
        </w:rPr>
        <w:t xml:space="preserve"> </w:t>
      </w:r>
      <w:r w:rsidR="00970289">
        <w:rPr>
          <w:rFonts w:cstheme="minorHAnsi"/>
          <w:sz w:val="24"/>
          <w:szCs w:val="24"/>
          <w:lang w:val="en-AU"/>
        </w:rPr>
        <w:t xml:space="preserve">surgery </w:t>
      </w:r>
      <w:r w:rsidR="008F7BAD" w:rsidRPr="00AD42E3">
        <w:rPr>
          <w:rFonts w:cstheme="minorHAnsi"/>
          <w:sz w:val="24"/>
          <w:szCs w:val="24"/>
          <w:lang w:val="en-AU"/>
        </w:rPr>
        <w:t xml:space="preserve">event records </w:t>
      </w:r>
      <w:r w:rsidR="00E37980" w:rsidRPr="00AD42E3">
        <w:rPr>
          <w:rFonts w:cstheme="minorHAnsi"/>
          <w:sz w:val="24"/>
          <w:szCs w:val="24"/>
          <w:lang w:val="en-AU"/>
        </w:rPr>
        <w:t>with an event end date on or after 1 July 2025</w:t>
      </w:r>
      <w:r w:rsidR="00D70F2C">
        <w:rPr>
          <w:rFonts w:cstheme="minorHAnsi"/>
          <w:sz w:val="24"/>
          <w:szCs w:val="24"/>
          <w:lang w:val="en-AU"/>
        </w:rPr>
        <w:t>,</w:t>
      </w:r>
      <w:r w:rsidR="00C54105" w:rsidRPr="00AD42E3">
        <w:rPr>
          <w:rFonts w:cstheme="minorHAnsi"/>
          <w:sz w:val="24"/>
          <w:szCs w:val="24"/>
          <w:lang w:val="en-AU"/>
        </w:rPr>
        <w:t xml:space="preserve"> </w:t>
      </w:r>
      <w:r w:rsidR="00A95A83" w:rsidRPr="00AD42E3">
        <w:rPr>
          <w:rFonts w:cstheme="minorHAnsi"/>
          <w:sz w:val="24"/>
          <w:szCs w:val="24"/>
          <w:lang w:val="en-AU"/>
        </w:rPr>
        <w:t xml:space="preserve">assign code Z41.89 </w:t>
      </w:r>
      <w:r w:rsidR="00A95A83" w:rsidRPr="00AD42E3">
        <w:rPr>
          <w:rFonts w:cstheme="minorHAnsi"/>
          <w:i/>
          <w:iCs/>
          <w:sz w:val="24"/>
          <w:szCs w:val="24"/>
          <w:lang w:val="en-AU"/>
        </w:rPr>
        <w:t>Other procedures for purposes other than remedying health state</w:t>
      </w:r>
      <w:r w:rsidR="00A95A83" w:rsidRPr="00AD42E3">
        <w:rPr>
          <w:rFonts w:cstheme="minorHAnsi"/>
          <w:sz w:val="24"/>
          <w:szCs w:val="24"/>
          <w:lang w:val="en-AU"/>
        </w:rPr>
        <w:t xml:space="preserve"> as the principal diagnosis </w:t>
      </w:r>
      <w:r w:rsidR="00292EC8">
        <w:rPr>
          <w:rFonts w:cstheme="minorHAnsi"/>
          <w:sz w:val="24"/>
          <w:szCs w:val="24"/>
          <w:lang w:val="en-AU"/>
        </w:rPr>
        <w:t xml:space="preserve">and </w:t>
      </w:r>
      <w:r w:rsidR="00A95A83" w:rsidRPr="00AD42E3">
        <w:rPr>
          <w:rFonts w:cstheme="minorHAnsi"/>
          <w:sz w:val="24"/>
          <w:szCs w:val="24"/>
          <w:lang w:val="en-AU"/>
        </w:rPr>
        <w:t xml:space="preserve">F64 </w:t>
      </w:r>
      <w:r w:rsidR="00A95A83" w:rsidRPr="00AD42E3">
        <w:rPr>
          <w:rFonts w:cstheme="minorHAnsi"/>
          <w:i/>
          <w:iCs/>
          <w:sz w:val="24"/>
          <w:szCs w:val="24"/>
          <w:lang w:val="en-AU"/>
        </w:rPr>
        <w:t>Gender incongruence</w:t>
      </w:r>
      <w:r w:rsidR="00A95A83" w:rsidRPr="00AD42E3">
        <w:rPr>
          <w:rFonts w:cstheme="minorHAnsi"/>
          <w:sz w:val="24"/>
          <w:szCs w:val="24"/>
          <w:lang w:val="en-AU"/>
        </w:rPr>
        <w:t xml:space="preserve"> as an additional diagnosis</w:t>
      </w:r>
      <w:r w:rsidR="00F270AF">
        <w:rPr>
          <w:rFonts w:cstheme="minorHAnsi"/>
          <w:sz w:val="24"/>
          <w:szCs w:val="24"/>
          <w:lang w:val="en-AU"/>
        </w:rPr>
        <w:t xml:space="preserve"> with </w:t>
      </w:r>
      <w:r w:rsidR="00EB7E6E" w:rsidRPr="00AD42E3">
        <w:rPr>
          <w:rFonts w:cstheme="minorHAnsi"/>
          <w:sz w:val="24"/>
          <w:szCs w:val="24"/>
          <w:lang w:val="en-AU"/>
        </w:rPr>
        <w:t xml:space="preserve">codes for the </w:t>
      </w:r>
      <w:r w:rsidR="00310FAE" w:rsidRPr="00AD42E3">
        <w:rPr>
          <w:rFonts w:cstheme="minorHAnsi"/>
          <w:sz w:val="24"/>
          <w:szCs w:val="24"/>
          <w:lang w:val="en-AU"/>
        </w:rPr>
        <w:t>procedure/s performed.</w:t>
      </w:r>
    </w:p>
    <w:p w14:paraId="448D9D90" w14:textId="77777777" w:rsidR="00A95A83" w:rsidRPr="00AD42E3" w:rsidRDefault="00A95A83" w:rsidP="00A95A83">
      <w:pPr>
        <w:spacing w:after="0"/>
        <w:rPr>
          <w:rFonts w:cstheme="minorHAnsi"/>
          <w:sz w:val="24"/>
          <w:szCs w:val="24"/>
          <w:lang w:val="en-AU"/>
        </w:rPr>
      </w:pPr>
    </w:p>
    <w:p w14:paraId="01B9B359" w14:textId="4776889B" w:rsidR="002C04CB" w:rsidRPr="00AD42E3" w:rsidRDefault="002C04CB" w:rsidP="002C04CB">
      <w:pPr>
        <w:spacing w:after="0"/>
        <w:rPr>
          <w:rFonts w:cstheme="minorHAnsi"/>
          <w:sz w:val="24"/>
          <w:szCs w:val="24"/>
          <w:lang w:val="en-AU"/>
        </w:rPr>
      </w:pPr>
      <w:r w:rsidRPr="00AD42E3">
        <w:rPr>
          <w:rFonts w:cstheme="minorHAnsi"/>
          <w:sz w:val="24"/>
          <w:szCs w:val="24"/>
          <w:lang w:val="en-AU"/>
        </w:rPr>
        <w:t xml:space="preserve">The IHACPA coding rule Q3527 </w:t>
      </w:r>
      <w:r w:rsidRPr="00AD42E3">
        <w:rPr>
          <w:rFonts w:cstheme="minorHAnsi"/>
          <w:i/>
          <w:iCs/>
          <w:sz w:val="24"/>
          <w:szCs w:val="24"/>
          <w:lang w:val="en-AU"/>
        </w:rPr>
        <w:t>Chest masculinisation surgery for gender dysphoria</w:t>
      </w:r>
      <w:r w:rsidRPr="00AD42E3">
        <w:rPr>
          <w:rFonts w:cstheme="minorHAnsi"/>
          <w:sz w:val="24"/>
          <w:szCs w:val="24"/>
          <w:lang w:val="en-AU"/>
        </w:rPr>
        <w:t xml:space="preserve"> </w:t>
      </w:r>
      <w:r w:rsidRPr="00AD42E3">
        <w:rPr>
          <w:rFonts w:cstheme="minorHAnsi"/>
          <w:b/>
          <w:bCs/>
          <w:sz w:val="24"/>
          <w:szCs w:val="24"/>
          <w:u w:val="single"/>
          <w:lang w:val="en-AU"/>
        </w:rPr>
        <w:t>is not</w:t>
      </w:r>
      <w:r w:rsidRPr="00AD42E3">
        <w:rPr>
          <w:rFonts w:cstheme="minorHAnsi"/>
          <w:sz w:val="24"/>
          <w:szCs w:val="24"/>
          <w:lang w:val="en-AU"/>
        </w:rPr>
        <w:t xml:space="preserve"> applicable to New Zealand Twelfth Edition </w:t>
      </w:r>
      <w:r w:rsidR="00861FBC" w:rsidRPr="00AD42E3">
        <w:rPr>
          <w:rFonts w:cstheme="minorHAnsi"/>
          <w:sz w:val="24"/>
          <w:szCs w:val="24"/>
          <w:lang w:val="en-AU"/>
        </w:rPr>
        <w:t xml:space="preserve">clinical </w:t>
      </w:r>
      <w:r w:rsidRPr="00AD42E3">
        <w:rPr>
          <w:rFonts w:cstheme="minorHAnsi"/>
          <w:sz w:val="24"/>
          <w:szCs w:val="24"/>
          <w:lang w:val="en-AU"/>
        </w:rPr>
        <w:t>coding practice.</w:t>
      </w:r>
    </w:p>
    <w:p w14:paraId="30C6846F" w14:textId="77777777" w:rsidR="002429AD" w:rsidRPr="00AD42E3" w:rsidRDefault="002429AD" w:rsidP="0058679F">
      <w:pPr>
        <w:spacing w:after="0"/>
        <w:rPr>
          <w:rFonts w:cstheme="minorHAnsi"/>
          <w:sz w:val="24"/>
          <w:szCs w:val="24"/>
          <w:lang w:val="en-AU"/>
        </w:rPr>
      </w:pPr>
    </w:p>
    <w:p w14:paraId="355D2050" w14:textId="05F629F6" w:rsidR="00DC0B3C" w:rsidRDefault="000C1222" w:rsidP="000C1222">
      <w:pPr>
        <w:spacing w:after="0"/>
        <w:rPr>
          <w:rFonts w:cstheme="minorHAnsi"/>
          <w:sz w:val="24"/>
          <w:szCs w:val="24"/>
          <w:lang w:val="en-AU"/>
        </w:rPr>
      </w:pPr>
      <w:r w:rsidRPr="00AD42E3">
        <w:rPr>
          <w:rFonts w:cstheme="minorHAnsi"/>
          <w:sz w:val="24"/>
          <w:szCs w:val="24"/>
          <w:lang w:val="en-AU"/>
        </w:rPr>
        <w:t xml:space="preserve">New Zealand clinical coding teams </w:t>
      </w:r>
      <w:r w:rsidR="00B37D9A">
        <w:rPr>
          <w:rFonts w:cstheme="minorHAnsi"/>
          <w:sz w:val="24"/>
          <w:szCs w:val="24"/>
          <w:lang w:val="en-AU"/>
        </w:rPr>
        <w:t xml:space="preserve">should </w:t>
      </w:r>
      <w:r w:rsidRPr="00AD42E3">
        <w:rPr>
          <w:rFonts w:cstheme="minorHAnsi"/>
          <w:sz w:val="24"/>
          <w:szCs w:val="24"/>
          <w:lang w:val="en-AU"/>
        </w:rPr>
        <w:t xml:space="preserve">add a note in electronic coding tools to ensure consistent code assignment for the principal diagnosis and additional diagnosis. </w:t>
      </w:r>
    </w:p>
    <w:p w14:paraId="10461860" w14:textId="3F2624C3" w:rsidR="000C1222" w:rsidRPr="00AD42E3" w:rsidRDefault="000C1222" w:rsidP="000C1222">
      <w:pPr>
        <w:spacing w:after="0"/>
        <w:rPr>
          <w:rFonts w:cstheme="minorHAnsi"/>
          <w:sz w:val="24"/>
          <w:szCs w:val="24"/>
          <w:lang w:val="en-AU"/>
        </w:rPr>
      </w:pPr>
      <w:r w:rsidRPr="00AD42E3">
        <w:rPr>
          <w:rFonts w:cstheme="minorHAnsi"/>
          <w:sz w:val="24"/>
          <w:szCs w:val="24"/>
          <w:lang w:val="en-AU"/>
        </w:rPr>
        <w:t xml:space="preserve">Please also </w:t>
      </w:r>
      <w:r w:rsidR="00FD0337" w:rsidRPr="00AD42E3">
        <w:rPr>
          <w:rFonts w:cstheme="minorHAnsi"/>
          <w:sz w:val="24"/>
          <w:szCs w:val="24"/>
          <w:lang w:val="en-AU"/>
        </w:rPr>
        <w:t xml:space="preserve">add a note stating </w:t>
      </w:r>
      <w:r w:rsidR="00AB4BC3" w:rsidRPr="00AD42E3">
        <w:rPr>
          <w:rFonts w:cstheme="minorHAnsi"/>
          <w:sz w:val="24"/>
          <w:szCs w:val="24"/>
          <w:lang w:val="en-AU"/>
        </w:rPr>
        <w:t xml:space="preserve">the </w:t>
      </w:r>
      <w:r w:rsidR="00FD0337" w:rsidRPr="00AD42E3">
        <w:rPr>
          <w:rFonts w:cstheme="minorHAnsi"/>
          <w:sz w:val="24"/>
          <w:szCs w:val="24"/>
          <w:lang w:val="en-AU"/>
        </w:rPr>
        <w:t>IHACPA coding rule Q3527 is not applicable.</w:t>
      </w:r>
    </w:p>
    <w:p w14:paraId="5932E348" w14:textId="77777777" w:rsidR="000C1222" w:rsidRPr="00AD42E3" w:rsidRDefault="000C1222" w:rsidP="0058679F">
      <w:pPr>
        <w:spacing w:after="0"/>
        <w:rPr>
          <w:rFonts w:cstheme="minorHAnsi"/>
          <w:sz w:val="24"/>
          <w:szCs w:val="24"/>
          <w:lang w:val="en-AU"/>
        </w:rPr>
      </w:pPr>
    </w:p>
    <w:p w14:paraId="103CAF69" w14:textId="6070BC30" w:rsidR="00B304AD" w:rsidRDefault="0089145C" w:rsidP="0089145C">
      <w:pPr>
        <w:spacing w:after="0"/>
        <w:rPr>
          <w:rFonts w:cstheme="minorHAnsi"/>
          <w:sz w:val="24"/>
          <w:szCs w:val="24"/>
          <w:lang w:val="en-AU"/>
        </w:rPr>
      </w:pPr>
      <w:r w:rsidRPr="00AD42E3">
        <w:rPr>
          <w:rFonts w:cstheme="minorHAnsi"/>
          <w:sz w:val="24"/>
          <w:szCs w:val="24"/>
          <w:lang w:val="en-AU"/>
        </w:rPr>
        <w:t xml:space="preserve">Provided </w:t>
      </w:r>
      <w:r w:rsidR="00945091" w:rsidRPr="00AD42E3">
        <w:rPr>
          <w:rFonts w:cstheme="minorHAnsi"/>
          <w:sz w:val="24"/>
          <w:szCs w:val="24"/>
          <w:lang w:val="en-AU"/>
        </w:rPr>
        <w:t>i</w:t>
      </w:r>
      <w:r w:rsidRPr="00AD42E3">
        <w:rPr>
          <w:rFonts w:cstheme="minorHAnsi"/>
          <w:sz w:val="24"/>
          <w:szCs w:val="24"/>
          <w:lang w:val="en-AU"/>
        </w:rPr>
        <w:t>s the New Zealand Casemix Framework for Publicly Funded Hospitals</w:t>
      </w:r>
      <w:r w:rsidR="00AA395A">
        <w:rPr>
          <w:rFonts w:cstheme="minorHAnsi"/>
          <w:sz w:val="24"/>
          <w:szCs w:val="24"/>
          <w:lang w:val="en-AU"/>
        </w:rPr>
        <w:t xml:space="preserve"> 2025/26</w:t>
      </w:r>
      <w:r w:rsidRPr="00AD42E3">
        <w:rPr>
          <w:rFonts w:cstheme="minorHAnsi"/>
          <w:sz w:val="24"/>
          <w:szCs w:val="24"/>
          <w:lang w:val="en-AU"/>
        </w:rPr>
        <w:t xml:space="preserve"> WIESNZ25 </w:t>
      </w:r>
      <w:r w:rsidR="00945091" w:rsidRPr="00AD42E3">
        <w:rPr>
          <w:rFonts w:cstheme="minorHAnsi"/>
          <w:sz w:val="24"/>
          <w:szCs w:val="24"/>
          <w:lang w:val="en-AU"/>
        </w:rPr>
        <w:t>c</w:t>
      </w:r>
      <w:r w:rsidRPr="00AD42E3">
        <w:rPr>
          <w:rFonts w:cstheme="minorHAnsi"/>
          <w:sz w:val="24"/>
          <w:szCs w:val="24"/>
          <w:lang w:val="en-AU"/>
        </w:rPr>
        <w:t xml:space="preserve">o-payment for </w:t>
      </w:r>
      <w:r w:rsidR="009B64DF" w:rsidRPr="00AD42E3">
        <w:rPr>
          <w:rFonts w:cstheme="minorHAnsi"/>
          <w:sz w:val="24"/>
          <w:szCs w:val="24"/>
          <w:lang w:val="en-AU"/>
        </w:rPr>
        <w:t>g</w:t>
      </w:r>
      <w:r w:rsidRPr="00AD42E3">
        <w:rPr>
          <w:rFonts w:cstheme="minorHAnsi"/>
          <w:sz w:val="24"/>
          <w:szCs w:val="24"/>
          <w:lang w:val="en-AU"/>
        </w:rPr>
        <w:t xml:space="preserve">ender </w:t>
      </w:r>
      <w:r w:rsidR="009B64DF" w:rsidRPr="00AD42E3">
        <w:rPr>
          <w:rFonts w:cstheme="minorHAnsi"/>
          <w:sz w:val="24"/>
          <w:szCs w:val="24"/>
          <w:lang w:val="en-AU"/>
        </w:rPr>
        <w:t>r</w:t>
      </w:r>
      <w:r w:rsidRPr="00AD42E3">
        <w:rPr>
          <w:rFonts w:cstheme="minorHAnsi"/>
          <w:sz w:val="24"/>
          <w:szCs w:val="24"/>
          <w:lang w:val="en-AU"/>
        </w:rPr>
        <w:t xml:space="preserve">eaffirming </w:t>
      </w:r>
      <w:r w:rsidR="009B64DF" w:rsidRPr="00AD42E3">
        <w:rPr>
          <w:rFonts w:cstheme="minorHAnsi"/>
          <w:sz w:val="24"/>
          <w:szCs w:val="24"/>
          <w:lang w:val="en-AU"/>
        </w:rPr>
        <w:t>s</w:t>
      </w:r>
      <w:r w:rsidRPr="00AD42E3">
        <w:rPr>
          <w:rFonts w:cstheme="minorHAnsi"/>
          <w:sz w:val="24"/>
          <w:szCs w:val="24"/>
          <w:lang w:val="en-AU"/>
        </w:rPr>
        <w:t>urgery</w:t>
      </w:r>
      <w:r w:rsidR="00AA395A">
        <w:rPr>
          <w:rFonts w:cstheme="minorHAnsi"/>
          <w:sz w:val="24"/>
          <w:szCs w:val="24"/>
          <w:lang w:val="en-AU"/>
        </w:rPr>
        <w:t>.</w:t>
      </w:r>
      <w:r w:rsidRPr="00AD42E3">
        <w:rPr>
          <w:rFonts w:cstheme="minorHAnsi"/>
          <w:sz w:val="24"/>
          <w:szCs w:val="24"/>
          <w:lang w:val="en-AU"/>
        </w:rPr>
        <w:t xml:space="preserve"> </w:t>
      </w:r>
    </w:p>
    <w:p w14:paraId="6870A7E8" w14:textId="5DC3DA41" w:rsidR="0089145C" w:rsidRPr="00AD42E3" w:rsidRDefault="00776DD9" w:rsidP="0089145C">
      <w:pPr>
        <w:spacing w:after="0"/>
        <w:rPr>
          <w:rFonts w:cstheme="minorHAnsi"/>
          <w:sz w:val="24"/>
          <w:szCs w:val="24"/>
          <w:lang w:val="en-AU"/>
        </w:rPr>
      </w:pPr>
      <w:r>
        <w:rPr>
          <w:rFonts w:cstheme="minorHAnsi"/>
          <w:sz w:val="24"/>
          <w:szCs w:val="24"/>
          <w:lang w:val="en-AU"/>
        </w:rPr>
        <w:t>Note: a</w:t>
      </w:r>
      <w:r w:rsidR="00375383" w:rsidRPr="00AD42E3">
        <w:rPr>
          <w:rFonts w:cstheme="minorHAnsi"/>
          <w:sz w:val="24"/>
          <w:szCs w:val="24"/>
          <w:lang w:val="en-AU"/>
        </w:rPr>
        <w:t xml:space="preserve">s part </w:t>
      </w:r>
      <w:r w:rsidR="00375383">
        <w:rPr>
          <w:rFonts w:cstheme="minorHAnsi"/>
          <w:sz w:val="24"/>
          <w:szCs w:val="24"/>
          <w:lang w:val="en-AU"/>
        </w:rPr>
        <w:t>of</w:t>
      </w:r>
      <w:r w:rsidR="00375383" w:rsidRPr="00AD42E3">
        <w:rPr>
          <w:rFonts w:cstheme="minorHAnsi"/>
          <w:sz w:val="24"/>
          <w:szCs w:val="24"/>
          <w:lang w:val="en-AU"/>
        </w:rPr>
        <w:t xml:space="preserve"> the </w:t>
      </w:r>
      <w:r w:rsidR="00B304AD">
        <w:rPr>
          <w:rFonts w:cstheme="minorHAnsi"/>
          <w:sz w:val="24"/>
          <w:szCs w:val="24"/>
          <w:lang w:val="en-AU"/>
        </w:rPr>
        <w:t xml:space="preserve">annual </w:t>
      </w:r>
      <w:r w:rsidR="00375383" w:rsidRPr="00AD42E3">
        <w:rPr>
          <w:rFonts w:cstheme="minorHAnsi"/>
          <w:sz w:val="24"/>
          <w:szCs w:val="24"/>
          <w:lang w:val="en-AU"/>
        </w:rPr>
        <w:t>casemix work programme</w:t>
      </w:r>
      <w:r w:rsidR="00375383">
        <w:rPr>
          <w:rFonts w:cstheme="minorHAnsi"/>
          <w:sz w:val="24"/>
          <w:szCs w:val="24"/>
          <w:lang w:val="en-AU"/>
        </w:rPr>
        <w:t xml:space="preserve"> t</w:t>
      </w:r>
      <w:r w:rsidR="0089145C" w:rsidRPr="00AD42E3">
        <w:rPr>
          <w:rFonts w:cstheme="minorHAnsi"/>
          <w:sz w:val="24"/>
          <w:szCs w:val="24"/>
          <w:lang w:val="en-AU"/>
        </w:rPr>
        <w:t>he procedures</w:t>
      </w:r>
      <w:r w:rsidR="00EC44C1">
        <w:rPr>
          <w:rFonts w:cstheme="minorHAnsi"/>
          <w:sz w:val="24"/>
          <w:szCs w:val="24"/>
          <w:lang w:val="en-AU"/>
        </w:rPr>
        <w:t xml:space="preserve"> </w:t>
      </w:r>
      <w:r w:rsidR="00B10F43">
        <w:rPr>
          <w:rFonts w:cstheme="minorHAnsi"/>
          <w:sz w:val="24"/>
          <w:szCs w:val="24"/>
          <w:lang w:val="en-AU"/>
        </w:rPr>
        <w:t xml:space="preserve">included in the co-payment </w:t>
      </w:r>
      <w:r w:rsidR="00EC44C1">
        <w:rPr>
          <w:rFonts w:cstheme="minorHAnsi"/>
          <w:sz w:val="24"/>
          <w:szCs w:val="24"/>
          <w:lang w:val="en-AU"/>
        </w:rPr>
        <w:t>are</w:t>
      </w:r>
      <w:r w:rsidR="00736ADF">
        <w:rPr>
          <w:rFonts w:cstheme="minorHAnsi"/>
          <w:sz w:val="24"/>
          <w:szCs w:val="24"/>
          <w:lang w:val="en-AU"/>
        </w:rPr>
        <w:t xml:space="preserve"> </w:t>
      </w:r>
      <w:r w:rsidR="0089145C" w:rsidRPr="00AD42E3">
        <w:rPr>
          <w:rFonts w:cstheme="minorHAnsi"/>
          <w:sz w:val="24"/>
          <w:szCs w:val="24"/>
          <w:lang w:val="en-AU"/>
        </w:rPr>
        <w:t xml:space="preserve">reviewed </w:t>
      </w:r>
      <w:r w:rsidR="00375383">
        <w:rPr>
          <w:rFonts w:cstheme="minorHAnsi"/>
          <w:sz w:val="24"/>
          <w:szCs w:val="24"/>
          <w:lang w:val="en-AU"/>
        </w:rPr>
        <w:t>and</w:t>
      </w:r>
      <w:r w:rsidR="00B304AD">
        <w:rPr>
          <w:rFonts w:cstheme="minorHAnsi"/>
          <w:sz w:val="24"/>
          <w:szCs w:val="24"/>
          <w:lang w:val="en-AU"/>
        </w:rPr>
        <w:t xml:space="preserve"> updated </w:t>
      </w:r>
      <w:r w:rsidR="00171462">
        <w:rPr>
          <w:rFonts w:cstheme="minorHAnsi"/>
          <w:sz w:val="24"/>
          <w:szCs w:val="24"/>
          <w:lang w:val="en-AU"/>
        </w:rPr>
        <w:t xml:space="preserve">as necessary </w:t>
      </w:r>
      <w:r w:rsidR="00B304AD">
        <w:rPr>
          <w:rFonts w:cstheme="minorHAnsi"/>
          <w:sz w:val="24"/>
          <w:szCs w:val="24"/>
          <w:lang w:val="en-AU"/>
        </w:rPr>
        <w:t>b</w:t>
      </w:r>
      <w:r w:rsidR="00C6727F">
        <w:rPr>
          <w:rFonts w:cstheme="minorHAnsi"/>
          <w:sz w:val="24"/>
          <w:szCs w:val="24"/>
          <w:lang w:val="en-AU"/>
        </w:rPr>
        <w:t>ased on the procedures reported to NMDS</w:t>
      </w:r>
      <w:r w:rsidR="00375383">
        <w:rPr>
          <w:rFonts w:cstheme="minorHAnsi"/>
          <w:sz w:val="24"/>
          <w:szCs w:val="24"/>
          <w:lang w:val="en-AU"/>
        </w:rPr>
        <w:t>.</w:t>
      </w:r>
      <w:r w:rsidR="00260ED6" w:rsidRPr="00AD42E3">
        <w:rPr>
          <w:rFonts w:cstheme="minorHAnsi"/>
          <w:sz w:val="24"/>
          <w:szCs w:val="24"/>
          <w:lang w:val="en-AU"/>
        </w:rPr>
        <w:t xml:space="preserve"> </w:t>
      </w:r>
    </w:p>
    <w:p w14:paraId="0E803B53" w14:textId="77777777" w:rsidR="0089145C" w:rsidRPr="00AD42E3" w:rsidRDefault="0089145C" w:rsidP="0058679F">
      <w:pPr>
        <w:spacing w:after="0"/>
        <w:rPr>
          <w:rFonts w:cstheme="minorHAnsi"/>
          <w:sz w:val="24"/>
          <w:szCs w:val="24"/>
          <w:lang w:val="en-AU"/>
        </w:rPr>
      </w:pPr>
    </w:p>
    <w:p w14:paraId="1AD951E3" w14:textId="77777777" w:rsidR="00945091" w:rsidRPr="00AD42E3" w:rsidRDefault="00945091" w:rsidP="0058679F">
      <w:pPr>
        <w:spacing w:after="0"/>
        <w:rPr>
          <w:rFonts w:cstheme="minorHAnsi"/>
          <w:sz w:val="24"/>
          <w:szCs w:val="24"/>
          <w:lang w:val="en-AU"/>
        </w:rPr>
      </w:pPr>
    </w:p>
    <w:p w14:paraId="5E9BA4E7" w14:textId="77777777" w:rsidR="00945091" w:rsidRPr="00AD42E3" w:rsidRDefault="00945091" w:rsidP="0058679F">
      <w:pPr>
        <w:spacing w:after="0"/>
        <w:rPr>
          <w:rFonts w:cstheme="minorHAnsi"/>
          <w:sz w:val="24"/>
          <w:szCs w:val="24"/>
          <w:lang w:val="en-AU"/>
        </w:rPr>
      </w:pPr>
    </w:p>
    <w:p w14:paraId="35A23A62" w14:textId="26E3DF37" w:rsidR="007E700F" w:rsidRDefault="007E700F" w:rsidP="0058679F">
      <w:pPr>
        <w:spacing w:after="0"/>
        <w:rPr>
          <w:rFonts w:ascii="Aptos" w:hAnsi="Aptos" w:cstheme="minorHAnsi"/>
          <w:sz w:val="24"/>
          <w:szCs w:val="24"/>
          <w:lang w:val="en-AU"/>
        </w:rPr>
      </w:pPr>
      <w:r w:rsidRPr="007E700F">
        <w:rPr>
          <w:rFonts w:ascii="Aptos" w:hAnsi="Aptos" w:cstheme="minorHAnsi"/>
          <w:noProof/>
          <w:sz w:val="24"/>
          <w:szCs w:val="24"/>
          <w:lang w:val="en-AU"/>
        </w:rPr>
        <w:lastRenderedPageBreak/>
        <w:drawing>
          <wp:inline distT="0" distB="0" distL="0" distR="0" wp14:anchorId="0EF70911" wp14:editId="313DA8CD">
            <wp:extent cx="5933203" cy="5441950"/>
            <wp:effectExtent l="0" t="0" r="0" b="6350"/>
            <wp:docPr id="1769518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51832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3203" cy="544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99B49" w14:textId="77777777" w:rsidR="00826113" w:rsidRDefault="00826113" w:rsidP="0058679F">
      <w:pPr>
        <w:spacing w:after="0"/>
        <w:rPr>
          <w:rFonts w:ascii="Aptos" w:hAnsi="Aptos" w:cstheme="minorHAnsi"/>
          <w:sz w:val="24"/>
          <w:szCs w:val="24"/>
          <w:lang w:val="en-AU"/>
        </w:rPr>
      </w:pPr>
    </w:p>
    <w:p w14:paraId="338F8181" w14:textId="77777777" w:rsidR="002A70A0" w:rsidRDefault="002A70A0" w:rsidP="0058679F">
      <w:pPr>
        <w:spacing w:after="0"/>
        <w:rPr>
          <w:rFonts w:ascii="Aptos" w:hAnsi="Aptos" w:cstheme="minorHAnsi"/>
          <w:sz w:val="24"/>
          <w:szCs w:val="24"/>
          <w:lang w:val="en-AU"/>
        </w:rPr>
      </w:pPr>
    </w:p>
    <w:p w14:paraId="654BBB77" w14:textId="77777777" w:rsidR="002A70A0" w:rsidRDefault="002A70A0" w:rsidP="0058679F">
      <w:pPr>
        <w:spacing w:after="0"/>
        <w:rPr>
          <w:rFonts w:ascii="Aptos" w:hAnsi="Aptos" w:cstheme="minorHAnsi"/>
          <w:sz w:val="24"/>
          <w:szCs w:val="24"/>
          <w:lang w:val="en-AU"/>
        </w:rPr>
      </w:pPr>
    </w:p>
    <w:p w14:paraId="79D668A8" w14:textId="77777777" w:rsidR="002A70A0" w:rsidRDefault="002A70A0" w:rsidP="0058679F">
      <w:pPr>
        <w:spacing w:after="0"/>
        <w:rPr>
          <w:rFonts w:ascii="Aptos" w:hAnsi="Aptos" w:cstheme="minorHAnsi"/>
          <w:sz w:val="24"/>
          <w:szCs w:val="24"/>
          <w:lang w:val="en-AU"/>
        </w:rPr>
      </w:pPr>
    </w:p>
    <w:p w14:paraId="2D072476" w14:textId="77777777" w:rsidR="002A70A0" w:rsidRDefault="002A70A0" w:rsidP="0058679F">
      <w:pPr>
        <w:spacing w:after="0"/>
        <w:rPr>
          <w:rFonts w:ascii="Aptos" w:hAnsi="Aptos" w:cstheme="minorHAnsi"/>
          <w:sz w:val="24"/>
          <w:szCs w:val="24"/>
          <w:lang w:val="en-AU"/>
        </w:rPr>
      </w:pPr>
    </w:p>
    <w:p w14:paraId="77F8106F" w14:textId="77777777" w:rsidR="002A70A0" w:rsidRDefault="002A70A0" w:rsidP="0058679F">
      <w:pPr>
        <w:spacing w:after="0"/>
        <w:rPr>
          <w:rFonts w:ascii="Aptos" w:hAnsi="Aptos" w:cstheme="minorHAnsi"/>
          <w:sz w:val="24"/>
          <w:szCs w:val="24"/>
          <w:lang w:val="en-AU"/>
        </w:rPr>
      </w:pPr>
    </w:p>
    <w:p w14:paraId="64B142CD" w14:textId="77777777" w:rsidR="002A70A0" w:rsidRDefault="002A70A0" w:rsidP="0058679F">
      <w:pPr>
        <w:spacing w:after="0"/>
        <w:rPr>
          <w:rFonts w:ascii="Aptos" w:hAnsi="Aptos" w:cstheme="minorHAnsi"/>
          <w:sz w:val="24"/>
          <w:szCs w:val="24"/>
          <w:lang w:val="en-AU"/>
        </w:rPr>
      </w:pPr>
    </w:p>
    <w:p w14:paraId="20EF17A7" w14:textId="77777777" w:rsidR="002A70A0" w:rsidRDefault="002A70A0" w:rsidP="0058679F">
      <w:pPr>
        <w:spacing w:after="0"/>
        <w:rPr>
          <w:rFonts w:ascii="Aptos" w:hAnsi="Aptos" w:cstheme="minorHAnsi"/>
          <w:sz w:val="24"/>
          <w:szCs w:val="24"/>
          <w:lang w:val="en-AU"/>
        </w:rPr>
      </w:pPr>
    </w:p>
    <w:p w14:paraId="1D4D1921" w14:textId="77777777" w:rsidR="002A70A0" w:rsidRDefault="002A70A0" w:rsidP="0058679F">
      <w:pPr>
        <w:spacing w:after="0"/>
        <w:rPr>
          <w:rFonts w:ascii="Aptos" w:hAnsi="Aptos" w:cstheme="minorHAnsi"/>
          <w:sz w:val="24"/>
          <w:szCs w:val="24"/>
          <w:lang w:val="en-AU"/>
        </w:rPr>
      </w:pPr>
    </w:p>
    <w:p w14:paraId="248A2751" w14:textId="77777777" w:rsidR="002A70A0" w:rsidRDefault="002A70A0" w:rsidP="0058679F">
      <w:pPr>
        <w:spacing w:after="0"/>
        <w:rPr>
          <w:rFonts w:ascii="Aptos" w:hAnsi="Aptos" w:cstheme="minorHAnsi"/>
          <w:sz w:val="24"/>
          <w:szCs w:val="24"/>
          <w:lang w:val="en-AU"/>
        </w:rPr>
      </w:pPr>
    </w:p>
    <w:p w14:paraId="6D6A7380" w14:textId="77777777" w:rsidR="002A70A0" w:rsidRDefault="002A70A0" w:rsidP="0058679F">
      <w:pPr>
        <w:spacing w:after="0"/>
        <w:rPr>
          <w:rFonts w:ascii="Aptos" w:hAnsi="Aptos" w:cstheme="minorHAnsi"/>
          <w:sz w:val="24"/>
          <w:szCs w:val="24"/>
          <w:lang w:val="en-AU"/>
        </w:rPr>
      </w:pPr>
    </w:p>
    <w:p w14:paraId="04428487" w14:textId="77777777" w:rsidR="002A70A0" w:rsidRDefault="002A70A0" w:rsidP="0058679F">
      <w:pPr>
        <w:spacing w:after="0"/>
        <w:rPr>
          <w:rFonts w:ascii="Aptos" w:hAnsi="Aptos" w:cstheme="minorHAnsi"/>
          <w:sz w:val="24"/>
          <w:szCs w:val="24"/>
          <w:lang w:val="en-AU"/>
        </w:rPr>
      </w:pPr>
    </w:p>
    <w:p w14:paraId="4921799A" w14:textId="77777777" w:rsidR="002A70A0" w:rsidRDefault="002A70A0" w:rsidP="0058679F">
      <w:pPr>
        <w:spacing w:after="0"/>
        <w:rPr>
          <w:rFonts w:ascii="Aptos" w:hAnsi="Aptos" w:cstheme="minorHAnsi"/>
          <w:sz w:val="24"/>
          <w:szCs w:val="24"/>
          <w:lang w:val="en-AU"/>
        </w:rPr>
      </w:pPr>
    </w:p>
    <w:p w14:paraId="497AFCDF" w14:textId="54F87054" w:rsidR="00B37EDB" w:rsidRPr="00BC0EAE" w:rsidRDefault="00B37EDB" w:rsidP="00A27AA1">
      <w:pPr>
        <w:rPr>
          <w:sz w:val="24"/>
          <w:szCs w:val="24"/>
          <w:lang w:val="en-AU" w:eastAsia="en-NZ"/>
        </w:rPr>
      </w:pPr>
    </w:p>
    <w:sectPr w:rsidR="00B37EDB" w:rsidRPr="00BC0EAE" w:rsidSect="00E7124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1BB72" w14:textId="77777777" w:rsidR="009220DC" w:rsidRDefault="009220DC" w:rsidP="00E71242">
      <w:pPr>
        <w:spacing w:after="0" w:line="240" w:lineRule="auto"/>
      </w:pPr>
      <w:r>
        <w:separator/>
      </w:r>
    </w:p>
  </w:endnote>
  <w:endnote w:type="continuationSeparator" w:id="0">
    <w:p w14:paraId="22F1778F" w14:textId="77777777" w:rsidR="009220DC" w:rsidRDefault="009220DC" w:rsidP="00E7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83149092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A49189F" w14:textId="5C7AB33B" w:rsidR="00C62FF6" w:rsidRPr="00F731E8" w:rsidRDefault="0008000B" w:rsidP="0008000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F731E8">
              <w:rPr>
                <w:rFonts w:ascii="Arial" w:hAnsi="Arial" w:cs="Arial"/>
                <w:sz w:val="18"/>
                <w:szCs w:val="18"/>
              </w:rPr>
              <w:t>1 July 2025</w:t>
            </w:r>
            <w:r w:rsidRPr="00F731E8">
              <w:rPr>
                <w:rFonts w:ascii="Arial" w:hAnsi="Arial" w:cs="Arial"/>
                <w:sz w:val="18"/>
                <w:szCs w:val="18"/>
              </w:rPr>
              <w:tab/>
            </w:r>
            <w:r w:rsidRPr="00F731E8">
              <w:rPr>
                <w:rFonts w:ascii="Arial" w:hAnsi="Arial" w:cs="Arial"/>
                <w:sz w:val="18"/>
                <w:szCs w:val="18"/>
              </w:rPr>
              <w:tab/>
            </w:r>
            <w:r w:rsidR="00C62FF6" w:rsidRPr="00F731E8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C62FF6" w:rsidRPr="00F731E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62FF6" w:rsidRPr="00F731E8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C62FF6" w:rsidRPr="00F731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2FF6" w:rsidRPr="00F731E8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62FF6" w:rsidRPr="00F731E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62FF6" w:rsidRPr="00F731E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C62FF6" w:rsidRPr="00F731E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62FF6" w:rsidRPr="00F731E8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C62FF6" w:rsidRPr="00F731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2FF6" w:rsidRPr="00F731E8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62FF6" w:rsidRPr="00F731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F1AA179" w14:textId="77777777" w:rsidR="00C62FF6" w:rsidRDefault="00C62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2791A" w14:textId="77777777" w:rsidR="009220DC" w:rsidRDefault="009220DC" w:rsidP="00E71242">
      <w:pPr>
        <w:spacing w:after="0" w:line="240" w:lineRule="auto"/>
      </w:pPr>
      <w:r>
        <w:separator/>
      </w:r>
    </w:p>
  </w:footnote>
  <w:footnote w:type="continuationSeparator" w:id="0">
    <w:p w14:paraId="7312F055" w14:textId="77777777" w:rsidR="009220DC" w:rsidRDefault="009220DC" w:rsidP="00E71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D6520" w14:textId="2CD8F5B8" w:rsidR="0060386C" w:rsidRPr="00A73584" w:rsidRDefault="00E71242" w:rsidP="00E71242">
    <w:pPr>
      <w:shd w:val="clear" w:color="auto" w:fill="FFFFFF"/>
      <w:spacing w:after="0" w:line="276" w:lineRule="atLeast"/>
      <w:jc w:val="center"/>
      <w:outlineLvl w:val="1"/>
      <w:rPr>
        <w:rFonts w:eastAsia="Times New Roman" w:cstheme="minorHAnsi"/>
        <w:b/>
        <w:bCs/>
        <w:color w:val="002639"/>
        <w:sz w:val="36"/>
        <w:szCs w:val="36"/>
        <w:lang w:eastAsia="en-NZ"/>
      </w:rPr>
    </w:pPr>
    <w:r w:rsidRPr="00A73584">
      <w:rPr>
        <w:rFonts w:eastAsia="Times New Roman" w:cstheme="minorHAnsi"/>
        <w:b/>
        <w:bCs/>
        <w:color w:val="002639"/>
        <w:sz w:val="36"/>
        <w:szCs w:val="36"/>
        <w:lang w:eastAsia="en-NZ"/>
      </w:rPr>
      <w:t xml:space="preserve">New Zealand </w:t>
    </w:r>
    <w:r w:rsidR="0060386C" w:rsidRPr="00A73584">
      <w:rPr>
        <w:rFonts w:eastAsia="Times New Roman" w:cstheme="minorHAnsi"/>
        <w:b/>
        <w:bCs/>
        <w:color w:val="002639"/>
        <w:sz w:val="36"/>
        <w:szCs w:val="36"/>
        <w:lang w:eastAsia="en-NZ"/>
      </w:rPr>
      <w:t xml:space="preserve">Clinical </w:t>
    </w:r>
    <w:r w:rsidRPr="00A73584">
      <w:rPr>
        <w:rFonts w:eastAsia="Times New Roman" w:cstheme="minorHAnsi"/>
        <w:b/>
        <w:bCs/>
        <w:color w:val="002639"/>
        <w:sz w:val="36"/>
        <w:szCs w:val="36"/>
        <w:lang w:eastAsia="en-NZ"/>
      </w:rPr>
      <w:t>Coding Convention</w:t>
    </w:r>
  </w:p>
  <w:p w14:paraId="572E34EA" w14:textId="3A82639E" w:rsidR="00E71242" w:rsidRPr="00A73584" w:rsidRDefault="00383080" w:rsidP="00E71242">
    <w:pPr>
      <w:shd w:val="clear" w:color="auto" w:fill="FFFFFF"/>
      <w:spacing w:after="0" w:line="276" w:lineRule="atLeast"/>
      <w:jc w:val="center"/>
      <w:outlineLvl w:val="1"/>
      <w:rPr>
        <w:rFonts w:eastAsia="Times New Roman" w:cstheme="minorHAnsi"/>
        <w:b/>
        <w:bCs/>
        <w:color w:val="002639"/>
        <w:sz w:val="36"/>
        <w:szCs w:val="36"/>
        <w:lang w:eastAsia="en-NZ"/>
      </w:rPr>
    </w:pPr>
    <w:r w:rsidRPr="00A73584">
      <w:rPr>
        <w:rFonts w:eastAsia="Times New Roman" w:cstheme="minorHAnsi"/>
        <w:b/>
        <w:bCs/>
        <w:color w:val="002639"/>
        <w:sz w:val="36"/>
        <w:szCs w:val="36"/>
        <w:lang w:eastAsia="en-NZ"/>
      </w:rPr>
      <w:t>Gender Dy</w:t>
    </w:r>
    <w:r w:rsidR="008713DB" w:rsidRPr="00A73584">
      <w:rPr>
        <w:rFonts w:eastAsia="Times New Roman" w:cstheme="minorHAnsi"/>
        <w:b/>
        <w:bCs/>
        <w:color w:val="002639"/>
        <w:sz w:val="36"/>
        <w:szCs w:val="36"/>
        <w:lang w:eastAsia="en-NZ"/>
      </w:rPr>
      <w:t>s</w:t>
    </w:r>
    <w:r w:rsidRPr="00A73584">
      <w:rPr>
        <w:rFonts w:eastAsia="Times New Roman" w:cstheme="minorHAnsi"/>
        <w:b/>
        <w:bCs/>
        <w:color w:val="002639"/>
        <w:sz w:val="36"/>
        <w:szCs w:val="36"/>
        <w:lang w:eastAsia="en-NZ"/>
      </w:rPr>
      <w:t>phoria</w:t>
    </w:r>
    <w:r w:rsidR="0008000B" w:rsidRPr="00A73584">
      <w:rPr>
        <w:rFonts w:eastAsia="Times New Roman" w:cstheme="minorHAnsi"/>
        <w:b/>
        <w:bCs/>
        <w:color w:val="002639"/>
        <w:sz w:val="36"/>
        <w:szCs w:val="36"/>
        <w:lang w:eastAsia="en-NZ"/>
      </w:rPr>
      <w:t>/</w:t>
    </w:r>
    <w:r w:rsidRPr="00A73584">
      <w:rPr>
        <w:rFonts w:eastAsia="Times New Roman" w:cstheme="minorHAnsi"/>
        <w:b/>
        <w:bCs/>
        <w:color w:val="002639"/>
        <w:sz w:val="36"/>
        <w:szCs w:val="36"/>
        <w:lang w:eastAsia="en-NZ"/>
      </w:rPr>
      <w:t>Gender Reaffirming Surgery</w:t>
    </w:r>
  </w:p>
  <w:p w14:paraId="73D49487" w14:textId="0E081C40" w:rsidR="00C62FF6" w:rsidRDefault="00C62FF6" w:rsidP="003E6823">
    <w:pPr>
      <w:shd w:val="clear" w:color="auto" w:fill="FFFFFF"/>
      <w:spacing w:after="0" w:line="276" w:lineRule="atLeast"/>
      <w:jc w:val="center"/>
      <w:outlineLvl w:val="1"/>
      <w:rPr>
        <w:rFonts w:ascii="Aptos" w:eastAsia="Times New Roman" w:hAnsi="Aptos" w:cstheme="minorHAnsi"/>
        <w:b/>
        <w:bCs/>
        <w:color w:val="002639"/>
        <w:lang w:eastAsia="en-NZ"/>
      </w:rPr>
    </w:pPr>
    <w:r w:rsidRPr="00A27AA1">
      <w:rPr>
        <w:rFonts w:ascii="Aptos" w:hAnsi="Aptos"/>
        <w:noProof/>
        <w:sz w:val="32"/>
        <w:lang w:eastAsia="en-N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849278" wp14:editId="7F5E5B56">
              <wp:simplePos x="0" y="0"/>
              <wp:positionH relativeFrom="margin">
                <wp:align>left</wp:align>
              </wp:positionH>
              <wp:positionV relativeFrom="paragraph">
                <wp:posOffset>136525</wp:posOffset>
              </wp:positionV>
              <wp:extent cx="59626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A86FA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75pt" to="469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AhJ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" strokecolor="#4472c4 [3204]" strokeweight=".5pt">
              <v:stroke joinstyle="miter"/>
              <w10:wrap anchorx="margin"/>
            </v:line>
          </w:pict>
        </mc:Fallback>
      </mc:AlternateContent>
    </w:r>
  </w:p>
  <w:p w14:paraId="50CB81C9" w14:textId="244F3745" w:rsidR="00E71242" w:rsidRPr="00A27AA1" w:rsidRDefault="00E71242" w:rsidP="003E6823">
    <w:pPr>
      <w:shd w:val="clear" w:color="auto" w:fill="FFFFFF"/>
      <w:spacing w:after="0" w:line="276" w:lineRule="atLeast"/>
      <w:jc w:val="center"/>
      <w:outlineLvl w:val="1"/>
      <w:rPr>
        <w:rFonts w:ascii="Aptos" w:eastAsia="Times New Roman" w:hAnsi="Aptos" w:cstheme="minorHAnsi"/>
        <w:b/>
        <w:bCs/>
        <w:color w:val="002639"/>
        <w:lang w:eastAsia="en-N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27CC3"/>
    <w:multiLevelType w:val="multilevel"/>
    <w:tmpl w:val="1AFE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3E7CED"/>
    <w:multiLevelType w:val="multilevel"/>
    <w:tmpl w:val="DC32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8057808">
    <w:abstractNumId w:val="0"/>
  </w:num>
  <w:num w:numId="2" w16cid:durableId="1683049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2B"/>
    <w:rsid w:val="0004293E"/>
    <w:rsid w:val="00053140"/>
    <w:rsid w:val="0007500C"/>
    <w:rsid w:val="000758C5"/>
    <w:rsid w:val="00077078"/>
    <w:rsid w:val="00077911"/>
    <w:rsid w:val="0008000B"/>
    <w:rsid w:val="000A2D7B"/>
    <w:rsid w:val="000B0A34"/>
    <w:rsid w:val="000C1222"/>
    <w:rsid w:val="000C355C"/>
    <w:rsid w:val="000D3112"/>
    <w:rsid w:val="000F154F"/>
    <w:rsid w:val="000F39BB"/>
    <w:rsid w:val="000F7EDE"/>
    <w:rsid w:val="0010606D"/>
    <w:rsid w:val="00133F0B"/>
    <w:rsid w:val="0013499E"/>
    <w:rsid w:val="00145924"/>
    <w:rsid w:val="00147B64"/>
    <w:rsid w:val="00171462"/>
    <w:rsid w:val="00181F6C"/>
    <w:rsid w:val="001862F0"/>
    <w:rsid w:val="00196CB9"/>
    <w:rsid w:val="001B002F"/>
    <w:rsid w:val="002053CA"/>
    <w:rsid w:val="00210633"/>
    <w:rsid w:val="00217E25"/>
    <w:rsid w:val="00222431"/>
    <w:rsid w:val="002239A9"/>
    <w:rsid w:val="002429AD"/>
    <w:rsid w:val="00260ED6"/>
    <w:rsid w:val="00261C00"/>
    <w:rsid w:val="00290183"/>
    <w:rsid w:val="00292EC8"/>
    <w:rsid w:val="002A0B2B"/>
    <w:rsid w:val="002A46B0"/>
    <w:rsid w:val="002A70A0"/>
    <w:rsid w:val="002C04CB"/>
    <w:rsid w:val="00310FAE"/>
    <w:rsid w:val="003330BC"/>
    <w:rsid w:val="00347E7C"/>
    <w:rsid w:val="00354C59"/>
    <w:rsid w:val="00355CFD"/>
    <w:rsid w:val="00375383"/>
    <w:rsid w:val="00383080"/>
    <w:rsid w:val="0038766B"/>
    <w:rsid w:val="003C129A"/>
    <w:rsid w:val="003E6823"/>
    <w:rsid w:val="00401C43"/>
    <w:rsid w:val="004607A6"/>
    <w:rsid w:val="004738CA"/>
    <w:rsid w:val="004976AE"/>
    <w:rsid w:val="004C5D57"/>
    <w:rsid w:val="004E13EF"/>
    <w:rsid w:val="00500292"/>
    <w:rsid w:val="0052545D"/>
    <w:rsid w:val="00560D4F"/>
    <w:rsid w:val="00567B8F"/>
    <w:rsid w:val="0058679F"/>
    <w:rsid w:val="005A4069"/>
    <w:rsid w:val="005C6CDD"/>
    <w:rsid w:val="005D3E81"/>
    <w:rsid w:val="005E13CC"/>
    <w:rsid w:val="005E3D04"/>
    <w:rsid w:val="0060386C"/>
    <w:rsid w:val="00621A57"/>
    <w:rsid w:val="00635685"/>
    <w:rsid w:val="00641A52"/>
    <w:rsid w:val="006F43A0"/>
    <w:rsid w:val="00700D54"/>
    <w:rsid w:val="00706535"/>
    <w:rsid w:val="00714C56"/>
    <w:rsid w:val="0073063A"/>
    <w:rsid w:val="00735739"/>
    <w:rsid w:val="00736ADF"/>
    <w:rsid w:val="00765174"/>
    <w:rsid w:val="00776DD9"/>
    <w:rsid w:val="00791494"/>
    <w:rsid w:val="007E6DDD"/>
    <w:rsid w:val="007E700F"/>
    <w:rsid w:val="00826113"/>
    <w:rsid w:val="00861FBC"/>
    <w:rsid w:val="008713DB"/>
    <w:rsid w:val="0089145C"/>
    <w:rsid w:val="00896D9F"/>
    <w:rsid w:val="008A03A6"/>
    <w:rsid w:val="008C2DC4"/>
    <w:rsid w:val="008E0BC6"/>
    <w:rsid w:val="008F7BAD"/>
    <w:rsid w:val="0090645E"/>
    <w:rsid w:val="009220DC"/>
    <w:rsid w:val="00925BF8"/>
    <w:rsid w:val="00940F8F"/>
    <w:rsid w:val="00945091"/>
    <w:rsid w:val="00946B99"/>
    <w:rsid w:val="009619FD"/>
    <w:rsid w:val="00961C61"/>
    <w:rsid w:val="00970289"/>
    <w:rsid w:val="00972B1C"/>
    <w:rsid w:val="00985280"/>
    <w:rsid w:val="009B64DF"/>
    <w:rsid w:val="009C23CD"/>
    <w:rsid w:val="009C2C48"/>
    <w:rsid w:val="009D026C"/>
    <w:rsid w:val="009E2BF8"/>
    <w:rsid w:val="009F3766"/>
    <w:rsid w:val="00A12AA1"/>
    <w:rsid w:val="00A2341A"/>
    <w:rsid w:val="00A27AA1"/>
    <w:rsid w:val="00A64587"/>
    <w:rsid w:val="00A73584"/>
    <w:rsid w:val="00A9337A"/>
    <w:rsid w:val="00A95A83"/>
    <w:rsid w:val="00AA395A"/>
    <w:rsid w:val="00AB0B29"/>
    <w:rsid w:val="00AB4BC3"/>
    <w:rsid w:val="00AD42E3"/>
    <w:rsid w:val="00B1029A"/>
    <w:rsid w:val="00B10F43"/>
    <w:rsid w:val="00B13D73"/>
    <w:rsid w:val="00B17D93"/>
    <w:rsid w:val="00B304AD"/>
    <w:rsid w:val="00B354AC"/>
    <w:rsid w:val="00B37D9A"/>
    <w:rsid w:val="00B37EDB"/>
    <w:rsid w:val="00B50FF9"/>
    <w:rsid w:val="00B579F0"/>
    <w:rsid w:val="00B625BE"/>
    <w:rsid w:val="00B66066"/>
    <w:rsid w:val="00B87B9D"/>
    <w:rsid w:val="00BA53E6"/>
    <w:rsid w:val="00BC0EAE"/>
    <w:rsid w:val="00BD7915"/>
    <w:rsid w:val="00C23961"/>
    <w:rsid w:val="00C3343D"/>
    <w:rsid w:val="00C35064"/>
    <w:rsid w:val="00C433B4"/>
    <w:rsid w:val="00C54105"/>
    <w:rsid w:val="00C62FF6"/>
    <w:rsid w:val="00C66EEF"/>
    <w:rsid w:val="00C6727F"/>
    <w:rsid w:val="00C742C1"/>
    <w:rsid w:val="00CB2418"/>
    <w:rsid w:val="00CC1CE9"/>
    <w:rsid w:val="00D00779"/>
    <w:rsid w:val="00D014EB"/>
    <w:rsid w:val="00D03286"/>
    <w:rsid w:val="00D14D17"/>
    <w:rsid w:val="00D345BD"/>
    <w:rsid w:val="00D41DDB"/>
    <w:rsid w:val="00D655CD"/>
    <w:rsid w:val="00D70F2C"/>
    <w:rsid w:val="00D71A23"/>
    <w:rsid w:val="00DA075D"/>
    <w:rsid w:val="00DA70D3"/>
    <w:rsid w:val="00DC0B3C"/>
    <w:rsid w:val="00DC61FB"/>
    <w:rsid w:val="00E32A82"/>
    <w:rsid w:val="00E37980"/>
    <w:rsid w:val="00E41805"/>
    <w:rsid w:val="00E418F8"/>
    <w:rsid w:val="00E71242"/>
    <w:rsid w:val="00E775BE"/>
    <w:rsid w:val="00E77F9A"/>
    <w:rsid w:val="00E83B2B"/>
    <w:rsid w:val="00E85DEF"/>
    <w:rsid w:val="00EB6BDE"/>
    <w:rsid w:val="00EB7E6E"/>
    <w:rsid w:val="00EC3256"/>
    <w:rsid w:val="00EC44C1"/>
    <w:rsid w:val="00ED302B"/>
    <w:rsid w:val="00F270AF"/>
    <w:rsid w:val="00F731E8"/>
    <w:rsid w:val="00F97F34"/>
    <w:rsid w:val="00FA69A5"/>
    <w:rsid w:val="00FD0337"/>
    <w:rsid w:val="00F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3D111"/>
  <w15:chartTrackingRefBased/>
  <w15:docId w15:val="{5F9228FF-FBEB-4BE7-98BD-2296F0D6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B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link w:val="Heading2Char"/>
    <w:uiPriority w:val="9"/>
    <w:qFormat/>
    <w:rsid w:val="00147B64"/>
    <w:pPr>
      <w:keepNext w:val="0"/>
      <w:keepLines w:val="0"/>
      <w:spacing w:line="240" w:lineRule="auto"/>
      <w:outlineLvl w:val="1"/>
    </w:pPr>
    <w:rPr>
      <w:rFonts w:asciiTheme="minorHAnsi" w:eastAsia="Times New Roman" w:hAnsiTheme="minorHAnsi" w:cstheme="minorHAnsi"/>
      <w:b/>
      <w:bCs/>
      <w:color w:val="2C70AE"/>
      <w:kern w:val="36"/>
      <w:sz w:val="28"/>
      <w:szCs w:val="40"/>
      <w:lang w:val="en" w:eastAsia="en-NZ"/>
      <w14:textFill>
        <w14:solidFill>
          <w14:srgbClr w14:val="2C70AE">
            <w14:lumMod w14:val="75000"/>
          </w14:srgb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242"/>
  </w:style>
  <w:style w:type="paragraph" w:styleId="Footer">
    <w:name w:val="footer"/>
    <w:basedOn w:val="Normal"/>
    <w:link w:val="FooterChar"/>
    <w:uiPriority w:val="99"/>
    <w:unhideWhenUsed/>
    <w:rsid w:val="00E71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242"/>
  </w:style>
  <w:style w:type="character" w:customStyle="1" w:styleId="Heading2Char">
    <w:name w:val="Heading 2 Char"/>
    <w:basedOn w:val="DefaultParagraphFont"/>
    <w:link w:val="Heading2"/>
    <w:uiPriority w:val="9"/>
    <w:rsid w:val="00147B64"/>
    <w:rPr>
      <w:rFonts w:eastAsia="Times New Roman" w:cstheme="minorHAnsi"/>
      <w:b/>
      <w:bCs/>
      <w:color w:val="2C70AE"/>
      <w:kern w:val="36"/>
      <w:sz w:val="28"/>
      <w:szCs w:val="40"/>
      <w:lang w:val="en" w:eastAsia="en-NZ"/>
      <w14:textFill>
        <w14:solidFill>
          <w14:srgbClr w14:val="2C70AE">
            <w14:lumMod w14:val="75000"/>
          </w14:srgbClr>
        </w14:solidFill>
      </w14:textFill>
    </w:rPr>
  </w:style>
  <w:style w:type="character" w:styleId="Hyperlink">
    <w:name w:val="Hyperlink"/>
    <w:basedOn w:val="DefaultParagraphFont"/>
    <w:uiPriority w:val="99"/>
    <w:unhideWhenUsed/>
    <w:rsid w:val="00147B64"/>
    <w:rPr>
      <w:strike w:val="0"/>
      <w:dstrike w:val="0"/>
      <w:color w:val="005D8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47B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7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655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75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4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16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0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361</Words>
  <Characters>1887</Characters>
  <Application>Microsoft Office Word</Application>
  <DocSecurity>0</DocSecurity>
  <Lines>82</Lines>
  <Paragraphs>64</Paragraphs>
  <ScaleCrop>false</ScaleCrop>
  <Company>Ministry of Health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Thompson</dc:creator>
  <cp:keywords/>
  <dc:description/>
  <cp:lastModifiedBy>Tracy Thompson</cp:lastModifiedBy>
  <cp:revision>155</cp:revision>
  <dcterms:created xsi:type="dcterms:W3CDTF">2025-06-11T23:07:00Z</dcterms:created>
  <dcterms:modified xsi:type="dcterms:W3CDTF">2025-07-02T04:04:00Z</dcterms:modified>
</cp:coreProperties>
</file>