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58" w:rsidRPr="006D485C" w:rsidRDefault="00EA1281" w:rsidP="00FE4857">
      <w:pPr>
        <w:pStyle w:val="Heading1"/>
      </w:pPr>
      <w:bookmarkStart w:id="0" w:name="_GoBack"/>
      <w:r w:rsidRPr="006D485C">
        <w:t>Va</w:t>
      </w:r>
      <w:r w:rsidR="00027667" w:rsidRPr="006D485C">
        <w:t xml:space="preserve">riation to In-Between Travel </w:t>
      </w:r>
      <w:r w:rsidR="00027667" w:rsidRPr="00FE4857">
        <w:t>Settlement</w:t>
      </w:r>
      <w:r w:rsidR="00027667" w:rsidRPr="006D485C">
        <w:t xml:space="preserve"> Agreement</w:t>
      </w:r>
    </w:p>
    <w:bookmarkEnd w:id="0"/>
    <w:p w:rsidR="004F2858" w:rsidRPr="006D485C" w:rsidRDefault="004F2858" w:rsidP="004F2858">
      <w:pPr>
        <w:spacing w:after="0"/>
        <w:jc w:val="both"/>
        <w:rPr>
          <w:rFonts w:cs="Arial"/>
          <w:b/>
          <w:sz w:val="21"/>
        </w:rPr>
      </w:pPr>
    </w:p>
    <w:p w:rsidR="001350B4" w:rsidRPr="006D485C" w:rsidRDefault="001350B4" w:rsidP="00FE4857">
      <w:pPr>
        <w:pStyle w:val="Heading2"/>
      </w:pPr>
      <w:r w:rsidRPr="00FE4857">
        <w:t>Background</w:t>
      </w:r>
    </w:p>
    <w:p w:rsidR="001350B4" w:rsidRPr="006D485C" w:rsidRDefault="001350B4" w:rsidP="000A7A58">
      <w:pPr>
        <w:pStyle w:val="ListParagraph"/>
        <w:numPr>
          <w:ilvl w:val="0"/>
          <w:numId w:val="12"/>
        </w:numPr>
        <w:spacing w:after="0"/>
        <w:jc w:val="both"/>
        <w:rPr>
          <w:rFonts w:cs="Arial"/>
          <w:sz w:val="21"/>
        </w:rPr>
      </w:pPr>
      <w:r w:rsidRPr="006D485C">
        <w:rPr>
          <w:rFonts w:cs="Arial"/>
          <w:sz w:val="21"/>
        </w:rPr>
        <w:t>The In-Between Travel Settlement Agreement (</w:t>
      </w:r>
      <w:r w:rsidR="003404AB" w:rsidRPr="006D485C">
        <w:rPr>
          <w:rFonts w:cs="Arial"/>
          <w:sz w:val="21"/>
        </w:rPr>
        <w:t>“</w:t>
      </w:r>
      <w:r w:rsidRPr="006D485C">
        <w:rPr>
          <w:rFonts w:cs="Arial"/>
          <w:sz w:val="21"/>
        </w:rPr>
        <w:t>the Agreement</w:t>
      </w:r>
      <w:r w:rsidR="003404AB" w:rsidRPr="006D485C">
        <w:rPr>
          <w:rFonts w:cs="Arial"/>
          <w:sz w:val="21"/>
        </w:rPr>
        <w:t>”</w:t>
      </w:r>
      <w:r w:rsidRPr="006D485C">
        <w:rPr>
          <w:rFonts w:cs="Arial"/>
          <w:sz w:val="21"/>
        </w:rPr>
        <w:t>)</w:t>
      </w:r>
      <w:r w:rsidR="003404AB" w:rsidRPr="006D485C">
        <w:rPr>
          <w:rFonts w:cs="Arial"/>
          <w:sz w:val="21"/>
        </w:rPr>
        <w:t xml:space="preserve"> was agreed and signed in September 2014 and</w:t>
      </w:r>
      <w:r w:rsidRPr="006D485C">
        <w:rPr>
          <w:rFonts w:cs="Arial"/>
          <w:sz w:val="21"/>
        </w:rPr>
        <w:t xml:space="preserve"> consist</w:t>
      </w:r>
      <w:r w:rsidR="00740EF1" w:rsidRPr="006D485C">
        <w:rPr>
          <w:rFonts w:cs="Arial"/>
          <w:sz w:val="21"/>
        </w:rPr>
        <w:t>s</w:t>
      </w:r>
      <w:r w:rsidRPr="006D485C">
        <w:rPr>
          <w:rFonts w:cs="Arial"/>
          <w:sz w:val="21"/>
        </w:rPr>
        <w:t xml:space="preserve"> of two parts.  Part A set</w:t>
      </w:r>
      <w:r w:rsidR="00740EF1" w:rsidRPr="006D485C">
        <w:rPr>
          <w:rFonts w:cs="Arial"/>
          <w:sz w:val="21"/>
        </w:rPr>
        <w:t>s</w:t>
      </w:r>
      <w:r w:rsidRPr="006D485C">
        <w:rPr>
          <w:rFonts w:cs="Arial"/>
          <w:sz w:val="21"/>
        </w:rPr>
        <w:t xml:space="preserve"> out the parameters for paying for travel time between clients and mileage.  These components have subsequently been enshrined in the </w:t>
      </w:r>
      <w:r w:rsidRPr="006D485C">
        <w:rPr>
          <w:rFonts w:cs="Arial"/>
          <w:i/>
          <w:sz w:val="21"/>
        </w:rPr>
        <w:t xml:space="preserve">Home and Community Support (Payment for Travel Between Clients) Settlement Act 2016.  </w:t>
      </w:r>
      <w:r w:rsidRPr="006D485C">
        <w:rPr>
          <w:rFonts w:cs="Arial"/>
          <w:sz w:val="21"/>
        </w:rPr>
        <w:t xml:space="preserve">Part B </w:t>
      </w:r>
      <w:r w:rsidR="00740EF1" w:rsidRPr="006D485C">
        <w:rPr>
          <w:rFonts w:cs="Arial"/>
          <w:sz w:val="21"/>
        </w:rPr>
        <w:t xml:space="preserve">outlines </w:t>
      </w:r>
      <w:r w:rsidRPr="006D485C">
        <w:rPr>
          <w:rFonts w:cs="Arial"/>
          <w:sz w:val="21"/>
        </w:rPr>
        <w:t>the establishment of a Director-General’s Reference Group to report on</w:t>
      </w:r>
      <w:r w:rsidR="00740EF1" w:rsidRPr="006D485C">
        <w:rPr>
          <w:rFonts w:cs="Arial"/>
          <w:sz w:val="21"/>
        </w:rPr>
        <w:t xml:space="preserve"> and provide recommendations for</w:t>
      </w:r>
      <w:r w:rsidRPr="006D485C">
        <w:rPr>
          <w:rFonts w:cs="Arial"/>
          <w:sz w:val="21"/>
        </w:rPr>
        <w:t xml:space="preserve"> the future of the Home and Community Support Services (HCSS) sector</w:t>
      </w:r>
      <w:r w:rsidR="00740EF1" w:rsidRPr="006D485C">
        <w:rPr>
          <w:rFonts w:cs="Arial"/>
          <w:sz w:val="21"/>
        </w:rPr>
        <w:t>, including</w:t>
      </w:r>
      <w:r w:rsidRPr="006D485C">
        <w:rPr>
          <w:rFonts w:cs="Arial"/>
          <w:sz w:val="21"/>
        </w:rPr>
        <w:t xml:space="preserve"> </w:t>
      </w:r>
      <w:r w:rsidR="008A7729" w:rsidRPr="006D485C">
        <w:rPr>
          <w:rFonts w:cs="Arial"/>
          <w:sz w:val="21"/>
        </w:rPr>
        <w:t>oversee</w:t>
      </w:r>
      <w:r w:rsidR="00740EF1" w:rsidRPr="006D485C">
        <w:rPr>
          <w:rFonts w:cs="Arial"/>
          <w:sz w:val="21"/>
        </w:rPr>
        <w:t>ing</w:t>
      </w:r>
      <w:r w:rsidR="008A7729" w:rsidRPr="006D485C">
        <w:rPr>
          <w:rFonts w:cs="Arial"/>
          <w:sz w:val="21"/>
        </w:rPr>
        <w:t xml:space="preserve"> the</w:t>
      </w:r>
      <w:r w:rsidRPr="006D485C">
        <w:rPr>
          <w:rFonts w:cs="Arial"/>
          <w:sz w:val="21"/>
        </w:rPr>
        <w:t xml:space="preserve"> transition to a regularised workforce</w:t>
      </w:r>
      <w:r w:rsidR="008A7729" w:rsidRPr="006D485C">
        <w:rPr>
          <w:rFonts w:cs="Arial"/>
          <w:sz w:val="21"/>
        </w:rPr>
        <w:t xml:space="preserve"> within 24 months of sig</w:t>
      </w:r>
      <w:r w:rsidR="00012E3F">
        <w:rPr>
          <w:rFonts w:cs="Arial"/>
          <w:sz w:val="21"/>
        </w:rPr>
        <w:t xml:space="preserve">ning the settlement agreement. </w:t>
      </w:r>
    </w:p>
    <w:p w:rsidR="004F2858" w:rsidRPr="006D485C" w:rsidRDefault="00027667" w:rsidP="000A7A58">
      <w:pPr>
        <w:pStyle w:val="ListParagraph"/>
        <w:numPr>
          <w:ilvl w:val="0"/>
          <w:numId w:val="12"/>
        </w:numPr>
        <w:spacing w:after="0"/>
        <w:jc w:val="both"/>
        <w:rPr>
          <w:rFonts w:cs="Arial"/>
          <w:sz w:val="21"/>
        </w:rPr>
      </w:pPr>
      <w:r w:rsidRPr="006D485C">
        <w:rPr>
          <w:rFonts w:cs="Arial"/>
          <w:sz w:val="21"/>
        </w:rPr>
        <w:t>T</w:t>
      </w:r>
      <w:r w:rsidR="001350B4" w:rsidRPr="006D485C">
        <w:rPr>
          <w:rFonts w:cs="Arial"/>
          <w:sz w:val="21"/>
        </w:rPr>
        <w:t>he</w:t>
      </w:r>
      <w:r w:rsidR="00740EF1" w:rsidRPr="006D485C">
        <w:rPr>
          <w:rFonts w:cs="Arial"/>
          <w:sz w:val="21"/>
        </w:rPr>
        <w:t xml:space="preserve"> Part B Review was to be completed by July 2015, but the</w:t>
      </w:r>
      <w:r w:rsidR="001350B4" w:rsidRPr="006D485C">
        <w:rPr>
          <w:rFonts w:cs="Arial"/>
          <w:sz w:val="21"/>
        </w:rPr>
        <w:t>re was no specific timeframe for the introduction of changes as a result of the review</w:t>
      </w:r>
      <w:r w:rsidR="00740EF1" w:rsidRPr="006D485C">
        <w:rPr>
          <w:rFonts w:cs="Arial"/>
          <w:sz w:val="21"/>
        </w:rPr>
        <w:t>.  H</w:t>
      </w:r>
      <w:r w:rsidRPr="006D485C">
        <w:rPr>
          <w:rFonts w:cs="Arial"/>
          <w:sz w:val="21"/>
        </w:rPr>
        <w:t>owever</w:t>
      </w:r>
      <w:r w:rsidR="00740EF1" w:rsidRPr="006D485C">
        <w:rPr>
          <w:rFonts w:cs="Arial"/>
          <w:sz w:val="21"/>
        </w:rPr>
        <w:t>,</w:t>
      </w:r>
      <w:r w:rsidRPr="006D485C">
        <w:rPr>
          <w:rFonts w:cs="Arial"/>
          <w:sz w:val="21"/>
        </w:rPr>
        <w:t xml:space="preserve"> the Settlement Agreement </w:t>
      </w:r>
      <w:r w:rsidR="00740EF1" w:rsidRPr="006D485C">
        <w:rPr>
          <w:rFonts w:cs="Arial"/>
          <w:sz w:val="21"/>
        </w:rPr>
        <w:t>outlined a commitment by the Settlement parties to</w:t>
      </w:r>
      <w:r w:rsidR="008A7729" w:rsidRPr="006D485C">
        <w:rPr>
          <w:rFonts w:cs="Arial"/>
          <w:sz w:val="21"/>
        </w:rPr>
        <w:t xml:space="preserve"> the </w:t>
      </w:r>
      <w:r w:rsidR="004F2858" w:rsidRPr="006D485C">
        <w:rPr>
          <w:rFonts w:cs="Arial"/>
          <w:sz w:val="21"/>
        </w:rPr>
        <w:t xml:space="preserve">transition to a regularised workforce within 2 years of the signing of the </w:t>
      </w:r>
      <w:r w:rsidR="000A7A58" w:rsidRPr="006D485C">
        <w:rPr>
          <w:rFonts w:cs="Arial"/>
          <w:sz w:val="21"/>
        </w:rPr>
        <w:t>A</w:t>
      </w:r>
      <w:r w:rsidR="004F2858" w:rsidRPr="006D485C">
        <w:rPr>
          <w:rFonts w:cs="Arial"/>
          <w:sz w:val="21"/>
        </w:rPr>
        <w:t>greemen</w:t>
      </w:r>
      <w:r w:rsidR="00171311" w:rsidRPr="006D485C">
        <w:rPr>
          <w:rFonts w:cs="Arial"/>
          <w:sz w:val="21"/>
        </w:rPr>
        <w:t>t</w:t>
      </w:r>
      <w:r w:rsidR="0027086C" w:rsidRPr="006D485C">
        <w:rPr>
          <w:rFonts w:cs="Arial"/>
          <w:sz w:val="21"/>
        </w:rPr>
        <w:t>.</w:t>
      </w:r>
      <w:r w:rsidR="00F55269" w:rsidRPr="006D485C">
        <w:rPr>
          <w:rFonts w:cs="Arial"/>
          <w:sz w:val="21"/>
        </w:rPr>
        <w:t xml:space="preserve">  </w:t>
      </w:r>
      <w:r w:rsidR="00DE3CEE" w:rsidRPr="006D485C">
        <w:rPr>
          <w:rFonts w:cs="Arial"/>
          <w:sz w:val="21"/>
        </w:rPr>
        <w:t>Th</w:t>
      </w:r>
      <w:r w:rsidR="00171311" w:rsidRPr="006D485C">
        <w:rPr>
          <w:rFonts w:cs="Arial"/>
          <w:sz w:val="21"/>
        </w:rPr>
        <w:t>e</w:t>
      </w:r>
      <w:r w:rsidR="00DE3CEE" w:rsidRPr="006D485C">
        <w:rPr>
          <w:rFonts w:cs="Arial"/>
          <w:sz w:val="21"/>
        </w:rPr>
        <w:t xml:space="preserve"> commitment was agreed in the context of the overall Agreement which included a comprehensive review of the HCSS sector (Part B of the Agreement) and the understanding that </w:t>
      </w:r>
      <w:r w:rsidR="003404AB" w:rsidRPr="006D485C">
        <w:rPr>
          <w:rFonts w:cs="Arial"/>
          <w:sz w:val="21"/>
        </w:rPr>
        <w:t>parties would not be financially disadvantaged taking into account the fiscal and environmental constraints and implications</w:t>
      </w:r>
      <w:r w:rsidR="00F55269" w:rsidRPr="006D485C">
        <w:rPr>
          <w:rFonts w:cs="Arial"/>
          <w:sz w:val="21"/>
        </w:rPr>
        <w:t>.</w:t>
      </w:r>
      <w:r w:rsidR="00ED2691" w:rsidRPr="006D485C" w:rsidDel="00ED2691">
        <w:rPr>
          <w:rFonts w:cs="Arial"/>
          <w:sz w:val="21"/>
        </w:rPr>
        <w:t xml:space="preserve"> </w:t>
      </w:r>
      <w:r w:rsidR="004F2858" w:rsidRPr="006D485C">
        <w:rPr>
          <w:rFonts w:cs="Arial"/>
          <w:sz w:val="21"/>
        </w:rPr>
        <w:t>A working party</w:t>
      </w:r>
      <w:r w:rsidR="00893CFA" w:rsidRPr="006D485C">
        <w:rPr>
          <w:rFonts w:cs="Arial"/>
          <w:sz w:val="21"/>
        </w:rPr>
        <w:t xml:space="preserve"> consisting of Settlement party representatives</w:t>
      </w:r>
      <w:r w:rsidR="004F2858" w:rsidRPr="006D485C">
        <w:rPr>
          <w:rFonts w:cs="Arial"/>
          <w:sz w:val="21"/>
        </w:rPr>
        <w:t xml:space="preserve"> has been established to initially achieve a short term goal of stabilising the </w:t>
      </w:r>
      <w:r w:rsidR="00B96525" w:rsidRPr="006D485C">
        <w:rPr>
          <w:rFonts w:cs="Arial"/>
          <w:sz w:val="21"/>
        </w:rPr>
        <w:t>Home and Community Support Service (</w:t>
      </w:r>
      <w:r w:rsidR="004F2858" w:rsidRPr="006D485C">
        <w:rPr>
          <w:rFonts w:cs="Arial"/>
          <w:sz w:val="21"/>
        </w:rPr>
        <w:t>HCSS</w:t>
      </w:r>
      <w:r w:rsidR="00B96525" w:rsidRPr="006D485C">
        <w:rPr>
          <w:rFonts w:cs="Arial"/>
          <w:sz w:val="21"/>
        </w:rPr>
        <w:t>)</w:t>
      </w:r>
      <w:r w:rsidR="004F2858" w:rsidRPr="006D485C">
        <w:rPr>
          <w:rFonts w:cs="Arial"/>
          <w:sz w:val="21"/>
        </w:rPr>
        <w:t xml:space="preserve"> sector and </w:t>
      </w:r>
      <w:r w:rsidR="008A7729" w:rsidRPr="006D485C">
        <w:rPr>
          <w:rFonts w:cs="Arial"/>
          <w:sz w:val="21"/>
        </w:rPr>
        <w:t xml:space="preserve">to oversee the transition to </w:t>
      </w:r>
      <w:r w:rsidR="003404AB" w:rsidRPr="006D485C">
        <w:rPr>
          <w:rFonts w:cs="Arial"/>
          <w:sz w:val="21"/>
        </w:rPr>
        <w:t xml:space="preserve">Regularisation </w:t>
      </w:r>
      <w:r w:rsidR="004F2858" w:rsidRPr="006D485C">
        <w:rPr>
          <w:rFonts w:cs="Arial"/>
          <w:sz w:val="21"/>
        </w:rPr>
        <w:t>of the workforce as described in the Agreement.</w:t>
      </w:r>
    </w:p>
    <w:p w:rsidR="00AC72EB" w:rsidRPr="006D485C" w:rsidRDefault="00AC72EB" w:rsidP="000A7A58">
      <w:pPr>
        <w:pStyle w:val="ListParagraph"/>
        <w:numPr>
          <w:ilvl w:val="0"/>
          <w:numId w:val="12"/>
        </w:numPr>
        <w:spacing w:after="0"/>
        <w:jc w:val="both"/>
        <w:rPr>
          <w:rFonts w:cs="Arial"/>
          <w:sz w:val="21"/>
        </w:rPr>
      </w:pPr>
      <w:r w:rsidRPr="006D485C">
        <w:rPr>
          <w:rFonts w:cs="Arial"/>
          <w:sz w:val="21"/>
        </w:rPr>
        <w:t>This Variation reflects a change in the date for implementation of regularisation and as such should be read as a supplement to the In-Between Travel Settlement Agreement signed in September 2014.</w:t>
      </w:r>
    </w:p>
    <w:p w:rsidR="008F3996" w:rsidRPr="006D485C" w:rsidRDefault="008F3996" w:rsidP="008F3996">
      <w:pPr>
        <w:spacing w:after="0"/>
        <w:jc w:val="both"/>
        <w:rPr>
          <w:rFonts w:cs="Arial"/>
          <w:b/>
          <w:sz w:val="21"/>
          <w:szCs w:val="18"/>
        </w:rPr>
      </w:pPr>
    </w:p>
    <w:p w:rsidR="008F3996" w:rsidRPr="006D485C" w:rsidRDefault="008F3996" w:rsidP="00FE4857">
      <w:pPr>
        <w:pStyle w:val="Heading2"/>
      </w:pPr>
      <w:r w:rsidRPr="006D485C">
        <w:t>Regularisation</w:t>
      </w:r>
    </w:p>
    <w:p w:rsidR="008F3996" w:rsidRPr="006D485C" w:rsidRDefault="008F3996" w:rsidP="008F3996">
      <w:pPr>
        <w:pStyle w:val="ListParagraph"/>
        <w:numPr>
          <w:ilvl w:val="0"/>
          <w:numId w:val="12"/>
        </w:numPr>
        <w:spacing w:after="0"/>
        <w:jc w:val="both"/>
        <w:rPr>
          <w:rFonts w:cs="Arial"/>
          <w:sz w:val="21"/>
        </w:rPr>
      </w:pPr>
      <w:r w:rsidRPr="006D485C">
        <w:rPr>
          <w:rFonts w:cs="Arial"/>
          <w:sz w:val="21"/>
        </w:rPr>
        <w:t>The Agreement state</w:t>
      </w:r>
      <w:r w:rsidR="003404AB" w:rsidRPr="006D485C">
        <w:rPr>
          <w:rFonts w:cs="Arial"/>
          <w:sz w:val="21"/>
        </w:rPr>
        <w:t>s</w:t>
      </w:r>
      <w:r w:rsidRPr="006D485C">
        <w:rPr>
          <w:rFonts w:cs="Arial"/>
          <w:sz w:val="21"/>
        </w:rPr>
        <w:t xml:space="preserve"> at clause 7.6 that a regularised home and community based support workforce is one which has:</w:t>
      </w:r>
    </w:p>
    <w:p w:rsidR="008F3996" w:rsidRPr="006D485C" w:rsidRDefault="008F3996" w:rsidP="008F3996">
      <w:pPr>
        <w:spacing w:after="0"/>
        <w:jc w:val="both"/>
        <w:rPr>
          <w:rFonts w:cs="Arial"/>
          <w:sz w:val="21"/>
          <w:szCs w:val="18"/>
        </w:rPr>
      </w:pPr>
    </w:p>
    <w:p w:rsidR="008F3996" w:rsidRPr="006D485C" w:rsidRDefault="008F3996" w:rsidP="008F3996">
      <w:pPr>
        <w:pStyle w:val="ListParagraph"/>
        <w:numPr>
          <w:ilvl w:val="0"/>
          <w:numId w:val="1"/>
        </w:numPr>
        <w:spacing w:after="0" w:line="240" w:lineRule="auto"/>
        <w:jc w:val="both"/>
        <w:rPr>
          <w:rFonts w:cs="Arial"/>
          <w:sz w:val="21"/>
        </w:rPr>
      </w:pPr>
      <w:r w:rsidRPr="006D485C">
        <w:rPr>
          <w:rFonts w:cs="Arial"/>
          <w:sz w:val="21"/>
        </w:rPr>
        <w:t>the majority of workers employed on guaranteed hours</w:t>
      </w:r>
    </w:p>
    <w:p w:rsidR="008F3996" w:rsidRPr="006D485C" w:rsidRDefault="008F3996" w:rsidP="008F3996">
      <w:pPr>
        <w:pStyle w:val="ListParagraph"/>
        <w:numPr>
          <w:ilvl w:val="0"/>
          <w:numId w:val="1"/>
        </w:numPr>
        <w:spacing w:after="0" w:line="240" w:lineRule="auto"/>
        <w:jc w:val="both"/>
        <w:rPr>
          <w:rFonts w:cs="Arial"/>
          <w:sz w:val="21"/>
        </w:rPr>
      </w:pPr>
      <w:r w:rsidRPr="006D485C">
        <w:rPr>
          <w:rFonts w:cs="Arial"/>
          <w:sz w:val="21"/>
        </w:rPr>
        <w:t xml:space="preserve">training to enable Level 3 New Zealand Certificate qualifications within two years of commencing work consistent with the service needs of the population </w:t>
      </w:r>
    </w:p>
    <w:p w:rsidR="008F3996" w:rsidRPr="006D485C" w:rsidRDefault="008F3996" w:rsidP="008F3996">
      <w:pPr>
        <w:pStyle w:val="ListParagraph"/>
        <w:numPr>
          <w:ilvl w:val="0"/>
          <w:numId w:val="1"/>
        </w:numPr>
        <w:spacing w:after="0" w:line="240" w:lineRule="auto"/>
        <w:jc w:val="both"/>
        <w:rPr>
          <w:rFonts w:cs="Arial"/>
          <w:sz w:val="21"/>
        </w:rPr>
      </w:pPr>
      <w:r w:rsidRPr="006D485C">
        <w:rPr>
          <w:rFonts w:cs="Arial"/>
          <w:sz w:val="21"/>
        </w:rPr>
        <w:t xml:space="preserve">wages paid on the basis of the required levels of training of the worker </w:t>
      </w:r>
    </w:p>
    <w:p w:rsidR="008F3996" w:rsidRPr="006D485C" w:rsidRDefault="008F3996" w:rsidP="008F3996">
      <w:pPr>
        <w:pStyle w:val="ListParagraph"/>
        <w:numPr>
          <w:ilvl w:val="0"/>
          <w:numId w:val="1"/>
        </w:numPr>
        <w:spacing w:after="0" w:line="240" w:lineRule="auto"/>
        <w:jc w:val="both"/>
        <w:rPr>
          <w:rFonts w:cs="Arial"/>
          <w:sz w:val="21"/>
        </w:rPr>
      </w:pPr>
      <w:r w:rsidRPr="006D485C">
        <w:rPr>
          <w:rFonts w:cs="Arial"/>
          <w:sz w:val="21"/>
        </w:rPr>
        <w:t xml:space="preserve">a case-mix/caseload mechanism to ensure the fair and safe allocation of clients to home care workers at a safe staffing level. </w:t>
      </w:r>
    </w:p>
    <w:p w:rsidR="000B1FDA" w:rsidRPr="006D485C" w:rsidRDefault="00027667" w:rsidP="000A7A58">
      <w:pPr>
        <w:pStyle w:val="ListParagraph"/>
        <w:numPr>
          <w:ilvl w:val="0"/>
          <w:numId w:val="12"/>
        </w:numPr>
        <w:spacing w:after="0"/>
        <w:jc w:val="both"/>
        <w:rPr>
          <w:rFonts w:cs="Arial"/>
          <w:sz w:val="21"/>
        </w:rPr>
      </w:pPr>
      <w:r w:rsidRPr="006D485C">
        <w:rPr>
          <w:rFonts w:cs="Arial"/>
          <w:sz w:val="21"/>
        </w:rPr>
        <w:t>The</w:t>
      </w:r>
      <w:r w:rsidR="000B1FDA" w:rsidRPr="006D485C">
        <w:rPr>
          <w:rFonts w:cs="Arial"/>
          <w:sz w:val="21"/>
        </w:rPr>
        <w:t xml:space="preserve"> Settlement</w:t>
      </w:r>
      <w:r w:rsidRPr="006D485C">
        <w:rPr>
          <w:rFonts w:cs="Arial"/>
          <w:sz w:val="21"/>
        </w:rPr>
        <w:t xml:space="preserve"> </w:t>
      </w:r>
      <w:r w:rsidR="000B1FDA" w:rsidRPr="006D485C">
        <w:rPr>
          <w:rFonts w:cs="Arial"/>
          <w:sz w:val="21"/>
        </w:rPr>
        <w:t>P</w:t>
      </w:r>
      <w:r w:rsidRPr="006D485C">
        <w:rPr>
          <w:rFonts w:cs="Arial"/>
          <w:sz w:val="21"/>
        </w:rPr>
        <w:t>arties agree to extend the timeframe for the</w:t>
      </w:r>
      <w:r w:rsidR="000B1FDA" w:rsidRPr="006D485C">
        <w:rPr>
          <w:rFonts w:cs="Arial"/>
          <w:sz w:val="21"/>
        </w:rPr>
        <w:t xml:space="preserve"> proposed transition to a regularised workforce.  The transition will occur in stages:</w:t>
      </w:r>
    </w:p>
    <w:p w:rsidR="00A74810" w:rsidRDefault="00A74810" w:rsidP="006D485C">
      <w:pPr>
        <w:spacing w:after="0"/>
        <w:ind w:left="350" w:firstLine="720"/>
        <w:jc w:val="both"/>
        <w:rPr>
          <w:rFonts w:cs="Arial"/>
          <w:b/>
          <w:sz w:val="21"/>
        </w:rPr>
      </w:pPr>
    </w:p>
    <w:p w:rsidR="00E11A43" w:rsidRPr="00E242B8" w:rsidRDefault="000B1FDA" w:rsidP="00FE4857">
      <w:pPr>
        <w:pStyle w:val="Heading3"/>
      </w:pPr>
      <w:r w:rsidRPr="00FE4857">
        <w:t>Stage</w:t>
      </w:r>
      <w:r w:rsidRPr="00E242B8">
        <w:t xml:space="preserve"> 1</w:t>
      </w:r>
      <w:r w:rsidRPr="00FE4857">
        <w:rPr>
          <w:b w:val="0"/>
        </w:rPr>
        <w:t>:</w:t>
      </w:r>
      <w:r w:rsidRPr="00E242B8">
        <w:t xml:space="preserve"> </w:t>
      </w:r>
    </w:p>
    <w:p w:rsidR="00E11A43" w:rsidRPr="0078394B" w:rsidRDefault="000B1FDA" w:rsidP="00A74810">
      <w:pPr>
        <w:pStyle w:val="ListParagraph"/>
        <w:numPr>
          <w:ilvl w:val="2"/>
          <w:numId w:val="12"/>
        </w:numPr>
        <w:spacing w:after="0"/>
        <w:ind w:left="1985" w:hanging="425"/>
        <w:jc w:val="both"/>
        <w:rPr>
          <w:rFonts w:cs="Arial"/>
          <w:sz w:val="21"/>
        </w:rPr>
      </w:pPr>
      <w:r w:rsidRPr="00A74810">
        <w:rPr>
          <w:rFonts w:cs="Arial"/>
          <w:sz w:val="21"/>
        </w:rPr>
        <w:t>comprehensive pilots</w:t>
      </w:r>
      <w:r w:rsidR="00490985" w:rsidRPr="00A74810">
        <w:rPr>
          <w:rFonts w:cs="Arial"/>
          <w:sz w:val="21"/>
        </w:rPr>
        <w:t xml:space="preserve"> (involving a proof of concept</w:t>
      </w:r>
      <w:r w:rsidR="00171311" w:rsidRPr="00A74810">
        <w:rPr>
          <w:rFonts w:cs="Arial"/>
          <w:sz w:val="21"/>
        </w:rPr>
        <w:t>/virtual</w:t>
      </w:r>
      <w:r w:rsidR="00490985" w:rsidRPr="00A74810">
        <w:rPr>
          <w:rFonts w:cs="Arial"/>
          <w:sz w:val="21"/>
        </w:rPr>
        <w:t xml:space="preserve"> process)</w:t>
      </w:r>
      <w:r w:rsidRPr="00A74810">
        <w:rPr>
          <w:rFonts w:cs="Arial"/>
          <w:sz w:val="21"/>
        </w:rPr>
        <w:t xml:space="preserve"> to be run in Taranaki and Auckland regions</w:t>
      </w:r>
      <w:r w:rsidR="00745B89" w:rsidRPr="00A74810">
        <w:rPr>
          <w:rFonts w:cs="Arial"/>
          <w:sz w:val="21"/>
        </w:rPr>
        <w:t xml:space="preserve"> with the purpose of identifying the relevant components and costs arising </w:t>
      </w:r>
      <w:r w:rsidR="00745B89" w:rsidRPr="0078394B">
        <w:rPr>
          <w:rFonts w:cs="Arial"/>
          <w:sz w:val="21"/>
        </w:rPr>
        <w:t>for the implementation of the proposed workforce transition</w:t>
      </w:r>
      <w:r w:rsidR="00884A35" w:rsidRPr="0078394B">
        <w:rPr>
          <w:rFonts w:cs="Arial"/>
          <w:sz w:val="21"/>
        </w:rPr>
        <w:t xml:space="preserve"> (i.e. guaranteed hours</w:t>
      </w:r>
      <w:r w:rsidR="00ED2691" w:rsidRPr="0078394B">
        <w:rPr>
          <w:rFonts w:cs="Arial"/>
          <w:sz w:val="21"/>
        </w:rPr>
        <w:t xml:space="preserve"> including management of cancellations</w:t>
      </w:r>
      <w:r w:rsidR="00884A35" w:rsidRPr="0078394B">
        <w:rPr>
          <w:rFonts w:cs="Arial"/>
          <w:sz w:val="21"/>
        </w:rPr>
        <w:t>, training, qualifications and safe staffing)</w:t>
      </w:r>
      <w:r w:rsidRPr="0078394B">
        <w:rPr>
          <w:rFonts w:cs="Arial"/>
          <w:sz w:val="21"/>
        </w:rPr>
        <w:t xml:space="preserve">; and </w:t>
      </w:r>
    </w:p>
    <w:p w:rsidR="00A74810" w:rsidRPr="00A74810" w:rsidRDefault="00A74810" w:rsidP="00A74810">
      <w:pPr>
        <w:pStyle w:val="ListParagraph"/>
        <w:spacing w:after="0"/>
        <w:ind w:left="1985"/>
        <w:jc w:val="both"/>
        <w:rPr>
          <w:rFonts w:cs="Arial"/>
          <w:sz w:val="21"/>
        </w:rPr>
      </w:pPr>
    </w:p>
    <w:p w:rsidR="00F55269" w:rsidRPr="006D485C" w:rsidRDefault="00027667" w:rsidP="00A74810">
      <w:pPr>
        <w:ind w:left="1980"/>
        <w:rPr>
          <w:rFonts w:cs="Arial"/>
          <w:sz w:val="21"/>
        </w:rPr>
      </w:pPr>
      <w:r w:rsidRPr="006D485C">
        <w:rPr>
          <w:rFonts w:cs="Arial"/>
          <w:sz w:val="21"/>
        </w:rPr>
        <w:t>introduction of guaranteed hours</w:t>
      </w:r>
      <w:r w:rsidR="000B1FDA" w:rsidRPr="006D485C">
        <w:rPr>
          <w:rFonts w:cs="Arial"/>
          <w:sz w:val="21"/>
        </w:rPr>
        <w:t xml:space="preserve"> </w:t>
      </w:r>
      <w:r w:rsidR="00FC07A0" w:rsidRPr="006D485C">
        <w:rPr>
          <w:rFonts w:cs="Arial"/>
          <w:sz w:val="21"/>
        </w:rPr>
        <w:t xml:space="preserve">for </w:t>
      </w:r>
      <w:r w:rsidR="00813F6E" w:rsidRPr="006D485C">
        <w:rPr>
          <w:rFonts w:cs="Arial"/>
          <w:sz w:val="21"/>
        </w:rPr>
        <w:t xml:space="preserve">support </w:t>
      </w:r>
      <w:r w:rsidR="00FC07A0" w:rsidRPr="006D485C">
        <w:rPr>
          <w:rFonts w:cs="Arial"/>
          <w:sz w:val="21"/>
        </w:rPr>
        <w:t>workers</w:t>
      </w:r>
      <w:r w:rsidR="00171311" w:rsidRPr="006D485C">
        <w:rPr>
          <w:rFonts w:cs="Arial"/>
          <w:sz w:val="21"/>
        </w:rPr>
        <w:t>, excluding genuine casuals (i.e. engaged as and when required , not rostered regularly and are not obligated to be available for work</w:t>
      </w:r>
      <w:r w:rsidR="001D2AA3">
        <w:rPr>
          <w:rFonts w:cs="Arial"/>
          <w:sz w:val="21"/>
        </w:rPr>
        <w:t>)</w:t>
      </w:r>
      <w:r w:rsidR="00884A35" w:rsidRPr="006D485C">
        <w:rPr>
          <w:rFonts w:cs="Arial"/>
          <w:sz w:val="21"/>
        </w:rPr>
        <w:t xml:space="preserve"> </w:t>
      </w:r>
      <w:r w:rsidR="00F55269" w:rsidRPr="006D485C">
        <w:rPr>
          <w:rFonts w:cs="Arial"/>
          <w:sz w:val="21"/>
        </w:rPr>
        <w:t>and those on short term contracts (</w:t>
      </w:r>
      <w:r w:rsidR="00884A35" w:rsidRPr="006D485C">
        <w:rPr>
          <w:rFonts w:cs="Arial"/>
          <w:sz w:val="21"/>
        </w:rPr>
        <w:t>i.e.</w:t>
      </w:r>
      <w:r w:rsidR="00F55269" w:rsidRPr="006D485C">
        <w:rPr>
          <w:rFonts w:cs="Arial"/>
          <w:sz w:val="21"/>
        </w:rPr>
        <w:t xml:space="preserve"> where client support has been allocated for 6 weeks or less and doesn’t get extended) </w:t>
      </w:r>
      <w:r w:rsidR="009B04D9" w:rsidRPr="006D485C">
        <w:rPr>
          <w:rFonts w:cs="Arial"/>
          <w:sz w:val="21"/>
        </w:rPr>
        <w:t>by</w:t>
      </w:r>
      <w:r w:rsidR="00813F6E" w:rsidRPr="006D485C">
        <w:rPr>
          <w:rFonts w:cs="Arial"/>
          <w:sz w:val="21"/>
        </w:rPr>
        <w:t xml:space="preserve"> </w:t>
      </w:r>
      <w:r w:rsidRPr="006D485C">
        <w:rPr>
          <w:rFonts w:cs="Arial"/>
          <w:sz w:val="21"/>
        </w:rPr>
        <w:t>1 April 2017</w:t>
      </w:r>
      <w:r w:rsidR="000B1FDA" w:rsidRPr="006D485C">
        <w:rPr>
          <w:rFonts w:cs="Arial"/>
          <w:sz w:val="21"/>
        </w:rPr>
        <w:t>;</w:t>
      </w:r>
      <w:r w:rsidR="00A41DF3" w:rsidRPr="006D485C">
        <w:rPr>
          <w:rFonts w:cs="Arial"/>
          <w:sz w:val="21"/>
        </w:rPr>
        <w:t xml:space="preserve"> (NB: </w:t>
      </w:r>
      <w:r w:rsidR="00891CB7" w:rsidRPr="006D485C">
        <w:rPr>
          <w:rFonts w:cs="Arial"/>
          <w:sz w:val="21"/>
        </w:rPr>
        <w:t xml:space="preserve">the </w:t>
      </w:r>
      <w:r w:rsidR="00A41DF3" w:rsidRPr="006D485C">
        <w:rPr>
          <w:rFonts w:cs="Arial"/>
          <w:sz w:val="21"/>
        </w:rPr>
        <w:t>definition</w:t>
      </w:r>
      <w:r w:rsidR="00891CB7" w:rsidRPr="006D485C">
        <w:rPr>
          <w:rFonts w:cs="Arial"/>
          <w:sz w:val="21"/>
        </w:rPr>
        <w:t xml:space="preserve"> of </w:t>
      </w:r>
      <w:r w:rsidR="00A41DF3" w:rsidRPr="006D485C">
        <w:rPr>
          <w:rFonts w:cs="Arial"/>
          <w:sz w:val="21"/>
        </w:rPr>
        <w:t xml:space="preserve"> guaranteed hours </w:t>
      </w:r>
      <w:r w:rsidR="00891CB7" w:rsidRPr="006D485C">
        <w:rPr>
          <w:rFonts w:cs="Arial"/>
          <w:sz w:val="21"/>
        </w:rPr>
        <w:t>as referred to in stage 1,2 and 3 of the variation agreement and the Work Programme</w:t>
      </w:r>
      <w:r w:rsidR="00F55269" w:rsidRPr="006D485C">
        <w:rPr>
          <w:rFonts w:cs="Arial"/>
          <w:sz w:val="21"/>
        </w:rPr>
        <w:t xml:space="preserve"> principles</w:t>
      </w:r>
      <w:r w:rsidR="00891CB7" w:rsidRPr="006D485C">
        <w:rPr>
          <w:rFonts w:cs="Arial"/>
          <w:sz w:val="21"/>
        </w:rPr>
        <w:t xml:space="preserve"> and for the purpose of</w:t>
      </w:r>
      <w:r w:rsidR="00224ECF" w:rsidRPr="006D485C">
        <w:rPr>
          <w:rFonts w:cs="Arial"/>
          <w:sz w:val="21"/>
        </w:rPr>
        <w:t xml:space="preserve"> establishing a worker’s</w:t>
      </w:r>
      <w:r w:rsidR="00A74810">
        <w:rPr>
          <w:rFonts w:cs="Arial"/>
          <w:sz w:val="21"/>
        </w:rPr>
        <w:t xml:space="preserve"> guaranteed hours by</w:t>
      </w:r>
      <w:r w:rsidR="00891CB7" w:rsidRPr="006D485C">
        <w:rPr>
          <w:rFonts w:cs="Arial"/>
          <w:sz w:val="21"/>
        </w:rPr>
        <w:t xml:space="preserve"> 1</w:t>
      </w:r>
      <w:r w:rsidR="00A74810">
        <w:rPr>
          <w:rFonts w:cs="Arial"/>
          <w:sz w:val="21"/>
        </w:rPr>
        <w:t xml:space="preserve"> </w:t>
      </w:r>
      <w:r w:rsidR="00891CB7" w:rsidRPr="006D485C">
        <w:rPr>
          <w:rFonts w:cs="Arial"/>
          <w:sz w:val="21"/>
        </w:rPr>
        <w:t xml:space="preserve">April 2017 is defined as the greater of either: </w:t>
      </w:r>
    </w:p>
    <w:p w:rsidR="00F55269" w:rsidRPr="006D485C" w:rsidRDefault="00891CB7" w:rsidP="00A74810">
      <w:pPr>
        <w:ind w:left="1980"/>
        <w:rPr>
          <w:rFonts w:cs="Arial"/>
          <w:sz w:val="21"/>
        </w:rPr>
      </w:pPr>
      <w:r w:rsidRPr="006D485C">
        <w:rPr>
          <w:rFonts w:cs="Arial"/>
          <w:sz w:val="21"/>
        </w:rPr>
        <w:lastRenderedPageBreak/>
        <w:t xml:space="preserve">a) 80% of a worker’s average hours over the 3 months immediately preceding the 1 December 2016 or </w:t>
      </w:r>
    </w:p>
    <w:p w:rsidR="00F55269" w:rsidRPr="006D485C" w:rsidRDefault="00500540" w:rsidP="00A74810">
      <w:pPr>
        <w:ind w:left="1980"/>
        <w:rPr>
          <w:rFonts w:cs="Arial"/>
          <w:sz w:val="21"/>
        </w:rPr>
      </w:pPr>
      <w:r>
        <w:rPr>
          <w:rFonts w:cs="Arial"/>
          <w:sz w:val="21"/>
        </w:rPr>
        <w:t>b) the regular</w:t>
      </w:r>
      <w:r w:rsidR="00891CB7" w:rsidRPr="006D485C">
        <w:rPr>
          <w:rFonts w:cs="Arial"/>
          <w:sz w:val="21"/>
        </w:rPr>
        <w:t xml:space="preserve"> client hours as agreed with the individual worker.</w:t>
      </w:r>
      <w:r w:rsidR="00224ECF" w:rsidRPr="006D485C">
        <w:rPr>
          <w:rFonts w:cs="Arial"/>
          <w:sz w:val="21"/>
        </w:rPr>
        <w:t xml:space="preserve"> </w:t>
      </w:r>
      <w:r w:rsidR="00F55269" w:rsidRPr="006D485C">
        <w:rPr>
          <w:rFonts w:cs="Arial"/>
          <w:sz w:val="21"/>
        </w:rPr>
        <w:t xml:space="preserve">  For the purposes of </w:t>
      </w:r>
      <w:r w:rsidR="00A74810">
        <w:rPr>
          <w:rFonts w:cs="Arial"/>
          <w:sz w:val="21"/>
        </w:rPr>
        <w:t>(</w:t>
      </w:r>
      <w:r w:rsidR="00801D3C">
        <w:rPr>
          <w:rFonts w:cs="Arial"/>
          <w:sz w:val="21"/>
        </w:rPr>
        <w:t>b</w:t>
      </w:r>
      <w:r w:rsidR="00F55269" w:rsidRPr="006D485C">
        <w:rPr>
          <w:rFonts w:cs="Arial"/>
          <w:sz w:val="21"/>
        </w:rPr>
        <w:t xml:space="preserve">) </w:t>
      </w:r>
      <w:r w:rsidR="00801D3C">
        <w:rPr>
          <w:rFonts w:cs="Arial"/>
          <w:sz w:val="21"/>
        </w:rPr>
        <w:t xml:space="preserve">Regular </w:t>
      </w:r>
      <w:r w:rsidR="00F55269" w:rsidRPr="006D485C">
        <w:rPr>
          <w:rFonts w:cs="Arial"/>
          <w:sz w:val="21"/>
        </w:rPr>
        <w:t>clients are those who are assessed for support on an ongoing (open ended) basis or a period of 6 weeks or more.</w:t>
      </w:r>
    </w:p>
    <w:p w:rsidR="003B30F0" w:rsidRPr="006D485C" w:rsidRDefault="00884A35" w:rsidP="00A74810">
      <w:pPr>
        <w:spacing w:after="0"/>
        <w:rPr>
          <w:rFonts w:cs="Arial"/>
          <w:sz w:val="21"/>
        </w:rPr>
      </w:pPr>
      <w:r w:rsidRPr="006D485C">
        <w:rPr>
          <w:rFonts w:cs="Arial"/>
          <w:sz w:val="21"/>
        </w:rPr>
        <w:t xml:space="preserve">Note: </w:t>
      </w:r>
      <w:r w:rsidR="00224ECF" w:rsidRPr="006D485C">
        <w:rPr>
          <w:rFonts w:cs="Arial"/>
          <w:sz w:val="21"/>
        </w:rPr>
        <w:t xml:space="preserve">The original intent and commitment </w:t>
      </w:r>
      <w:r w:rsidRPr="006D485C">
        <w:rPr>
          <w:rFonts w:cs="Arial"/>
          <w:sz w:val="21"/>
        </w:rPr>
        <w:t xml:space="preserve">was </w:t>
      </w:r>
      <w:r w:rsidR="00224ECF" w:rsidRPr="006D485C">
        <w:rPr>
          <w:rFonts w:cs="Arial"/>
          <w:sz w:val="21"/>
        </w:rPr>
        <w:t xml:space="preserve">made by all parties to ensure a transition to a regularised workforce will continue beyond the initial establishment phase so that </w:t>
      </w:r>
      <w:r w:rsidR="00A47491" w:rsidRPr="006D485C">
        <w:rPr>
          <w:rFonts w:cs="Arial"/>
          <w:sz w:val="21"/>
        </w:rPr>
        <w:t xml:space="preserve">all </w:t>
      </w:r>
      <w:r w:rsidR="00224ECF" w:rsidRPr="006D485C">
        <w:rPr>
          <w:rFonts w:cs="Arial"/>
          <w:sz w:val="21"/>
        </w:rPr>
        <w:t>the recommendations of the DG Reference Group Report</w:t>
      </w:r>
      <w:r w:rsidR="00B03001">
        <w:rPr>
          <w:rFonts w:cs="Arial"/>
          <w:sz w:val="21"/>
        </w:rPr>
        <w:t xml:space="preserve"> </w:t>
      </w:r>
      <w:r w:rsidR="00B03001" w:rsidRPr="0067467E">
        <w:rPr>
          <w:rFonts w:cs="Arial"/>
          <w:sz w:val="21"/>
        </w:rPr>
        <w:t>in regard to regularisation</w:t>
      </w:r>
      <w:r w:rsidR="00224ECF" w:rsidRPr="006D485C">
        <w:rPr>
          <w:rFonts w:cs="Arial"/>
          <w:sz w:val="21"/>
        </w:rPr>
        <w:t xml:space="preserve"> are fully implemented.</w:t>
      </w:r>
    </w:p>
    <w:p w:rsidR="000B1FDA" w:rsidRPr="006D485C" w:rsidRDefault="003B30F0" w:rsidP="00A74810">
      <w:pPr>
        <w:pStyle w:val="ListParagraph"/>
        <w:spacing w:after="0"/>
        <w:ind w:left="2160"/>
        <w:jc w:val="both"/>
        <w:rPr>
          <w:rFonts w:cs="Arial"/>
          <w:sz w:val="21"/>
        </w:rPr>
      </w:pPr>
      <w:r w:rsidRPr="006D485C">
        <w:rPr>
          <w:rFonts w:cs="Arial"/>
          <w:sz w:val="21"/>
        </w:rPr>
        <w:t xml:space="preserve"> </w:t>
      </w:r>
    </w:p>
    <w:p w:rsidR="00AC72EB" w:rsidRPr="00A74810" w:rsidRDefault="00AC72EB" w:rsidP="00A74810">
      <w:pPr>
        <w:pStyle w:val="ListParagraph"/>
        <w:numPr>
          <w:ilvl w:val="2"/>
          <w:numId w:val="12"/>
        </w:numPr>
        <w:spacing w:after="0"/>
        <w:jc w:val="both"/>
        <w:rPr>
          <w:rFonts w:cs="Arial"/>
          <w:sz w:val="21"/>
        </w:rPr>
      </w:pPr>
      <w:r w:rsidRPr="00A74810">
        <w:rPr>
          <w:rFonts w:cs="Arial"/>
          <w:sz w:val="21"/>
        </w:rPr>
        <w:t>to meet the training requirement to enable Level 3 New Zealand Certificate qualifications within two years of commencing work consistent with the service needs of the population and the payment of wages on the basis of the required levels of training of the worker</w:t>
      </w:r>
      <w:r w:rsidR="001E3240" w:rsidRPr="00A74810">
        <w:rPr>
          <w:rFonts w:cs="Arial"/>
          <w:sz w:val="21"/>
        </w:rPr>
        <w:t>,</w:t>
      </w:r>
      <w:r w:rsidRPr="00A74810">
        <w:rPr>
          <w:rFonts w:cs="Arial"/>
          <w:sz w:val="21"/>
        </w:rPr>
        <w:t xml:space="preserve"> each employer agrees to assess the </w:t>
      </w:r>
      <w:r w:rsidR="009B04D9" w:rsidRPr="00A74810">
        <w:rPr>
          <w:rFonts w:cs="Arial"/>
          <w:sz w:val="21"/>
        </w:rPr>
        <w:t xml:space="preserve">required </w:t>
      </w:r>
      <w:r w:rsidRPr="00A74810">
        <w:rPr>
          <w:rFonts w:cs="Arial"/>
          <w:sz w:val="21"/>
        </w:rPr>
        <w:t xml:space="preserve">number of employees required with Level 3 qualifications </w:t>
      </w:r>
      <w:r w:rsidR="009B04D9" w:rsidRPr="00A74810">
        <w:rPr>
          <w:rFonts w:cs="Arial"/>
          <w:sz w:val="21"/>
        </w:rPr>
        <w:t xml:space="preserve"> to </w:t>
      </w:r>
      <w:r w:rsidRPr="00A74810">
        <w:rPr>
          <w:rFonts w:cs="Arial"/>
          <w:sz w:val="21"/>
        </w:rPr>
        <w:t>enable the employer to meet the service needs of clients as outlined in contracts and service agreements</w:t>
      </w:r>
      <w:r w:rsidR="009B04D9" w:rsidRPr="00A74810">
        <w:rPr>
          <w:rFonts w:cs="Arial"/>
          <w:sz w:val="21"/>
        </w:rPr>
        <w:t xml:space="preserve"> and informed by the recommendations from the IBT regularisation work group 2 report and the IBT requirement for efficient rostering</w:t>
      </w:r>
      <w:r w:rsidRPr="00A74810">
        <w:rPr>
          <w:rFonts w:cs="Arial"/>
          <w:sz w:val="21"/>
        </w:rPr>
        <w:t xml:space="preserve">.  This assessment will </w:t>
      </w:r>
      <w:r w:rsidR="006E3C7A" w:rsidRPr="00A74810">
        <w:rPr>
          <w:rFonts w:cs="Arial"/>
          <w:sz w:val="21"/>
        </w:rPr>
        <w:t xml:space="preserve">also </w:t>
      </w:r>
      <w:r w:rsidRPr="00A74810">
        <w:rPr>
          <w:rFonts w:cs="Arial"/>
          <w:sz w:val="21"/>
        </w:rPr>
        <w:t>include the number of employees that currently have Level 3 New Zealand Certificate qualifications.  This information will be shared with the settlement parties</w:t>
      </w:r>
      <w:r w:rsidR="006E3C7A" w:rsidRPr="00A74810">
        <w:rPr>
          <w:rFonts w:cs="Arial"/>
          <w:sz w:val="21"/>
        </w:rPr>
        <w:t xml:space="preserve"> and used to inform the Budget 2017 bid</w:t>
      </w:r>
      <w:r w:rsidRPr="00A74810">
        <w:rPr>
          <w:rFonts w:cs="Arial"/>
          <w:sz w:val="21"/>
        </w:rPr>
        <w:t>.</w:t>
      </w:r>
    </w:p>
    <w:p w:rsidR="00AC72EB" w:rsidRPr="006D485C" w:rsidRDefault="00AC72EB" w:rsidP="00AC72EB">
      <w:pPr>
        <w:pStyle w:val="ListParagraph"/>
        <w:numPr>
          <w:ilvl w:val="2"/>
          <w:numId w:val="12"/>
        </w:numPr>
        <w:spacing w:after="0"/>
        <w:jc w:val="both"/>
        <w:rPr>
          <w:rFonts w:cs="Arial"/>
          <w:sz w:val="21"/>
        </w:rPr>
      </w:pPr>
      <w:r w:rsidRPr="006D485C">
        <w:rPr>
          <w:rFonts w:cs="Arial"/>
          <w:sz w:val="21"/>
        </w:rPr>
        <w:t>Each employer will work towards achieving the required level of workers with Level 3 qualifications</w:t>
      </w:r>
      <w:r w:rsidR="001E3240" w:rsidRPr="006D485C">
        <w:rPr>
          <w:rFonts w:cs="Arial"/>
          <w:sz w:val="21"/>
        </w:rPr>
        <w:t xml:space="preserve"> (as identified under (iii) above)</w:t>
      </w:r>
      <w:r w:rsidR="00490985" w:rsidRPr="006D485C">
        <w:rPr>
          <w:rFonts w:cs="Arial"/>
          <w:sz w:val="21"/>
        </w:rPr>
        <w:t xml:space="preserve"> from 1 April 2017.</w:t>
      </w:r>
      <w:r w:rsidRPr="006D485C">
        <w:rPr>
          <w:rFonts w:cs="Arial"/>
          <w:sz w:val="21"/>
        </w:rPr>
        <w:t xml:space="preserve"> </w:t>
      </w:r>
    </w:p>
    <w:p w:rsidR="002C5C55" w:rsidRPr="0078394B" w:rsidRDefault="002C1249" w:rsidP="002C1249">
      <w:pPr>
        <w:pStyle w:val="ListParagraph"/>
        <w:numPr>
          <w:ilvl w:val="2"/>
          <w:numId w:val="12"/>
        </w:numPr>
        <w:spacing w:after="0"/>
        <w:jc w:val="both"/>
        <w:rPr>
          <w:rFonts w:cs="Arial"/>
          <w:sz w:val="21"/>
        </w:rPr>
      </w:pPr>
      <w:r w:rsidRPr="006D485C">
        <w:rPr>
          <w:rFonts w:cs="Arial"/>
          <w:sz w:val="21"/>
        </w:rPr>
        <w:t>Fuller arrangements may be possible following agreed costing work for the 2017 Budget bid</w:t>
      </w:r>
      <w:r w:rsidR="00A41DF3" w:rsidRPr="006D485C">
        <w:rPr>
          <w:rFonts w:cs="Arial"/>
          <w:sz w:val="21"/>
        </w:rPr>
        <w:t xml:space="preserve">.  </w:t>
      </w:r>
      <w:r w:rsidR="002A01AF" w:rsidRPr="006D485C">
        <w:rPr>
          <w:rFonts w:cs="Arial"/>
          <w:sz w:val="21"/>
        </w:rPr>
        <w:t xml:space="preserve">This </w:t>
      </w:r>
      <w:r w:rsidR="00A41DF3" w:rsidRPr="006D485C">
        <w:rPr>
          <w:rFonts w:cs="Arial"/>
          <w:sz w:val="21"/>
        </w:rPr>
        <w:t>may also</w:t>
      </w:r>
      <w:r w:rsidR="002A01AF" w:rsidRPr="006D485C">
        <w:rPr>
          <w:rFonts w:cs="Arial"/>
          <w:sz w:val="21"/>
        </w:rPr>
        <w:t xml:space="preserve"> be influenced by funder service agreement requirements </w:t>
      </w:r>
      <w:r w:rsidR="002A01AF" w:rsidRPr="0078394B">
        <w:rPr>
          <w:rFonts w:cs="Arial"/>
          <w:sz w:val="21"/>
        </w:rPr>
        <w:t>and any related contract variations.</w:t>
      </w:r>
    </w:p>
    <w:p w:rsidR="00AC72EB" w:rsidRPr="0078394B" w:rsidRDefault="00AC72EB" w:rsidP="00AC72EB">
      <w:pPr>
        <w:pStyle w:val="ListParagraph"/>
        <w:numPr>
          <w:ilvl w:val="2"/>
          <w:numId w:val="12"/>
        </w:numPr>
        <w:spacing w:after="0"/>
        <w:jc w:val="both"/>
        <w:rPr>
          <w:rFonts w:cs="Arial"/>
          <w:sz w:val="21"/>
        </w:rPr>
      </w:pPr>
      <w:r w:rsidRPr="0078394B">
        <w:rPr>
          <w:rFonts w:cs="Arial"/>
          <w:sz w:val="21"/>
        </w:rPr>
        <w:t>To assist with understanding the various components of regularisation</w:t>
      </w:r>
      <w:r w:rsidR="00ED2691" w:rsidRPr="0078394B">
        <w:rPr>
          <w:rFonts w:cs="Arial"/>
          <w:sz w:val="21"/>
        </w:rPr>
        <w:t xml:space="preserve"> (including the requirements of the employment standards introduced in the Employment Relations Act 2000),</w:t>
      </w:r>
      <w:r w:rsidRPr="0078394B">
        <w:rPr>
          <w:rFonts w:cs="Arial"/>
          <w:sz w:val="21"/>
        </w:rPr>
        <w:t xml:space="preserve"> the employers and unions agree to run joint workshops on a regional basis</w:t>
      </w:r>
      <w:r w:rsidR="002A01AF" w:rsidRPr="0078394B">
        <w:rPr>
          <w:rFonts w:cs="Arial"/>
          <w:sz w:val="21"/>
        </w:rPr>
        <w:t>,</w:t>
      </w:r>
      <w:r w:rsidRPr="0078394B">
        <w:rPr>
          <w:rFonts w:cs="Arial"/>
          <w:sz w:val="21"/>
        </w:rPr>
        <w:t xml:space="preserve"> or with individual providers</w:t>
      </w:r>
      <w:r w:rsidR="002A01AF" w:rsidRPr="0078394B">
        <w:rPr>
          <w:rFonts w:cs="Arial"/>
          <w:sz w:val="21"/>
        </w:rPr>
        <w:t>,</w:t>
      </w:r>
      <w:r w:rsidRPr="0078394B">
        <w:rPr>
          <w:rFonts w:cs="Arial"/>
          <w:sz w:val="21"/>
        </w:rPr>
        <w:t xml:space="preserve"> for </w:t>
      </w:r>
      <w:r w:rsidR="006E3C7A" w:rsidRPr="0078394B">
        <w:rPr>
          <w:rFonts w:cs="Arial"/>
          <w:sz w:val="21"/>
        </w:rPr>
        <w:t>unions, HCHA and providers</w:t>
      </w:r>
      <w:r w:rsidRPr="0078394B">
        <w:rPr>
          <w:rFonts w:cs="Arial"/>
          <w:sz w:val="21"/>
        </w:rPr>
        <w:t xml:space="preserve"> to notify</w:t>
      </w:r>
      <w:r w:rsidR="002A01AF" w:rsidRPr="0078394B">
        <w:rPr>
          <w:rFonts w:cs="Arial"/>
          <w:sz w:val="21"/>
        </w:rPr>
        <w:t xml:space="preserve"> </w:t>
      </w:r>
      <w:r w:rsidR="006E3C7A" w:rsidRPr="0078394B">
        <w:rPr>
          <w:rFonts w:cs="Arial"/>
          <w:sz w:val="21"/>
        </w:rPr>
        <w:t xml:space="preserve">/educate </w:t>
      </w:r>
      <w:r w:rsidR="002A01AF" w:rsidRPr="0078394B">
        <w:rPr>
          <w:rFonts w:cs="Arial"/>
          <w:sz w:val="21"/>
        </w:rPr>
        <w:t>and consult with</w:t>
      </w:r>
      <w:r w:rsidRPr="0078394B">
        <w:rPr>
          <w:rFonts w:cs="Arial"/>
          <w:sz w:val="21"/>
        </w:rPr>
        <w:t xml:space="preserve"> workers and providers about the move to a regularised workforce and the proposed implementation prior to 1 April 2017.</w:t>
      </w:r>
      <w:r w:rsidR="002A01AF" w:rsidRPr="0078394B">
        <w:rPr>
          <w:rFonts w:cs="Arial"/>
          <w:sz w:val="21"/>
        </w:rPr>
        <w:t xml:space="preserve">  The costs of running these workshops, including payment for employee time, will be funded by the Ministry of Health.  </w:t>
      </w:r>
    </w:p>
    <w:p w:rsidR="00ED2691" w:rsidRPr="0067467E" w:rsidRDefault="00ED2691" w:rsidP="00ED2691">
      <w:pPr>
        <w:pStyle w:val="ListParagraph"/>
        <w:numPr>
          <w:ilvl w:val="2"/>
          <w:numId w:val="12"/>
        </w:numPr>
        <w:spacing w:after="0"/>
        <w:jc w:val="both"/>
        <w:rPr>
          <w:rFonts w:cs="Arial"/>
          <w:sz w:val="21"/>
        </w:rPr>
      </w:pPr>
      <w:r w:rsidRPr="0067467E">
        <w:rPr>
          <w:rFonts w:cs="Arial"/>
          <w:sz w:val="21"/>
        </w:rPr>
        <w:t>The Ministry will provide a one-off payment, apportioned to providers on the basis of $75.00 per qualifying employee, for the purposes of costs associa</w:t>
      </w:r>
      <w:r w:rsidR="00E242B8">
        <w:rPr>
          <w:rFonts w:cs="Arial"/>
          <w:sz w:val="21"/>
        </w:rPr>
        <w:t>ted with the workshops in [5</w:t>
      </w:r>
      <w:r w:rsidRPr="0067467E">
        <w:rPr>
          <w:rFonts w:cs="Arial"/>
          <w:sz w:val="21"/>
        </w:rPr>
        <w:t xml:space="preserve"> </w:t>
      </w:r>
      <w:r w:rsidR="00E242B8">
        <w:rPr>
          <w:rFonts w:cs="Arial"/>
          <w:sz w:val="21"/>
        </w:rPr>
        <w:t xml:space="preserve">(a) </w:t>
      </w:r>
      <w:r w:rsidRPr="0067467E">
        <w:rPr>
          <w:rFonts w:cs="Arial"/>
          <w:sz w:val="21"/>
        </w:rPr>
        <w:t>(v)] above.  For audit purposes the parties will agree on the nature of the costs to be covered by the payment, and shall include paid time for a worker to attend a workshop.   The parties will also submit a budget for estimated costs</w:t>
      </w:r>
      <w:r w:rsidR="00E242B8">
        <w:rPr>
          <w:rFonts w:cs="Arial"/>
          <w:sz w:val="21"/>
        </w:rPr>
        <w:t xml:space="preserve"> of the pilots outlined in 5</w:t>
      </w:r>
      <w:r w:rsidRPr="0067467E">
        <w:rPr>
          <w:rFonts w:cs="Arial"/>
          <w:sz w:val="21"/>
        </w:rPr>
        <w:t xml:space="preserve"> </w:t>
      </w:r>
      <w:r w:rsidR="00E242B8">
        <w:rPr>
          <w:rFonts w:cs="Arial"/>
          <w:sz w:val="21"/>
        </w:rPr>
        <w:t xml:space="preserve">(a) </w:t>
      </w:r>
      <w:r w:rsidRPr="0067467E">
        <w:rPr>
          <w:rFonts w:cs="Arial"/>
          <w:sz w:val="21"/>
        </w:rPr>
        <w:t>(i) above which will be funded through a central fund on receipt of actual invoices for cost incurred.</w:t>
      </w:r>
    </w:p>
    <w:p w:rsidR="00EC724A" w:rsidRPr="0078394B" w:rsidRDefault="00EC724A" w:rsidP="00AC72EB">
      <w:pPr>
        <w:pStyle w:val="ListParagraph"/>
        <w:numPr>
          <w:ilvl w:val="2"/>
          <w:numId w:val="12"/>
        </w:numPr>
        <w:spacing w:after="0"/>
        <w:jc w:val="both"/>
        <w:rPr>
          <w:rFonts w:cs="Arial"/>
          <w:sz w:val="21"/>
        </w:rPr>
      </w:pPr>
      <w:r w:rsidRPr="0078394B">
        <w:rPr>
          <w:rFonts w:cs="Arial"/>
          <w:sz w:val="21"/>
        </w:rPr>
        <w:t>Gather information to assist with the implementation roll out.</w:t>
      </w:r>
    </w:p>
    <w:p w:rsidR="00AC72EB" w:rsidRPr="0078394B" w:rsidRDefault="00EC724A" w:rsidP="00AC72EB">
      <w:pPr>
        <w:pStyle w:val="ListParagraph"/>
        <w:numPr>
          <w:ilvl w:val="2"/>
          <w:numId w:val="12"/>
        </w:numPr>
        <w:spacing w:after="0"/>
        <w:jc w:val="both"/>
        <w:rPr>
          <w:rFonts w:cs="Arial"/>
          <w:sz w:val="21"/>
        </w:rPr>
      </w:pPr>
      <w:r w:rsidRPr="0078394B">
        <w:rPr>
          <w:rFonts w:cs="Arial"/>
          <w:sz w:val="21"/>
        </w:rPr>
        <w:t>T</w:t>
      </w:r>
      <w:r w:rsidR="00AC72EB" w:rsidRPr="0078394B">
        <w:rPr>
          <w:rFonts w:cs="Arial"/>
          <w:sz w:val="21"/>
        </w:rPr>
        <w:t>he HCHA</w:t>
      </w:r>
      <w:r w:rsidR="002A01AF" w:rsidRPr="0078394B">
        <w:rPr>
          <w:rFonts w:cs="Arial"/>
          <w:sz w:val="21"/>
        </w:rPr>
        <w:t>, providers</w:t>
      </w:r>
      <w:r w:rsidR="00AC72EB" w:rsidRPr="0078394B">
        <w:rPr>
          <w:rFonts w:cs="Arial"/>
          <w:sz w:val="21"/>
        </w:rPr>
        <w:t xml:space="preserve"> and union</w:t>
      </w:r>
      <w:r w:rsidRPr="0078394B">
        <w:rPr>
          <w:rFonts w:cs="Arial"/>
          <w:sz w:val="21"/>
        </w:rPr>
        <w:t xml:space="preserve"> representatives</w:t>
      </w:r>
      <w:r w:rsidR="00AC72EB" w:rsidRPr="0078394B">
        <w:rPr>
          <w:rFonts w:cs="Arial"/>
          <w:sz w:val="21"/>
        </w:rPr>
        <w:t xml:space="preserve"> will work together to develop </w:t>
      </w:r>
      <w:r w:rsidR="002A01AF" w:rsidRPr="0078394B">
        <w:rPr>
          <w:rFonts w:cs="Arial"/>
          <w:sz w:val="21"/>
        </w:rPr>
        <w:t xml:space="preserve">common </w:t>
      </w:r>
      <w:r w:rsidR="00AC72EB" w:rsidRPr="0078394B">
        <w:rPr>
          <w:rFonts w:cs="Arial"/>
          <w:sz w:val="21"/>
        </w:rPr>
        <w:t xml:space="preserve">resources such as </w:t>
      </w:r>
      <w:r w:rsidR="007C7F7D" w:rsidRPr="0078394B">
        <w:rPr>
          <w:rFonts w:cs="Arial"/>
          <w:sz w:val="21"/>
        </w:rPr>
        <w:t xml:space="preserve">recommended </w:t>
      </w:r>
      <w:r w:rsidR="00AC72EB" w:rsidRPr="0078394B">
        <w:rPr>
          <w:rFonts w:cs="Arial"/>
          <w:sz w:val="21"/>
        </w:rPr>
        <w:t>templates for employee notification, systems to record and monitor progress</w:t>
      </w:r>
      <w:r w:rsidR="006E3C7A" w:rsidRPr="0078394B">
        <w:rPr>
          <w:rFonts w:cs="Arial"/>
          <w:sz w:val="21"/>
        </w:rPr>
        <w:t xml:space="preserve"> and</w:t>
      </w:r>
      <w:r w:rsidR="00AC72EB" w:rsidRPr="0078394B">
        <w:rPr>
          <w:rFonts w:cs="Arial"/>
          <w:sz w:val="21"/>
        </w:rPr>
        <w:t xml:space="preserve"> trial</w:t>
      </w:r>
      <w:r w:rsidR="006E3C7A" w:rsidRPr="0078394B">
        <w:rPr>
          <w:rFonts w:cs="Arial"/>
          <w:sz w:val="21"/>
        </w:rPr>
        <w:t>ling</w:t>
      </w:r>
      <w:r w:rsidR="00AC72EB" w:rsidRPr="0078394B">
        <w:rPr>
          <w:rFonts w:cs="Arial"/>
          <w:sz w:val="21"/>
        </w:rPr>
        <w:t xml:space="preserve"> rostering practices.</w:t>
      </w:r>
    </w:p>
    <w:p w:rsidR="00AC72EB" w:rsidRPr="006D485C" w:rsidRDefault="00AC72EB" w:rsidP="00AC72EB">
      <w:pPr>
        <w:pStyle w:val="ListParagraph"/>
        <w:numPr>
          <w:ilvl w:val="2"/>
          <w:numId w:val="12"/>
        </w:numPr>
        <w:spacing w:after="0"/>
        <w:jc w:val="both"/>
        <w:rPr>
          <w:rFonts w:cs="Arial"/>
          <w:sz w:val="21"/>
        </w:rPr>
      </w:pPr>
      <w:r w:rsidRPr="006D485C">
        <w:rPr>
          <w:rFonts w:cs="Arial"/>
          <w:sz w:val="21"/>
        </w:rPr>
        <w:t>Employers and unions will provide regular feedback and reports to the working group to inform the long term objectives.</w:t>
      </w:r>
    </w:p>
    <w:p w:rsidR="006D485C" w:rsidRPr="006D485C" w:rsidRDefault="006D485C" w:rsidP="006D485C">
      <w:pPr>
        <w:spacing w:after="0"/>
        <w:ind w:left="720" w:firstLine="720"/>
        <w:jc w:val="both"/>
        <w:rPr>
          <w:rFonts w:cs="Arial"/>
          <w:b/>
          <w:sz w:val="21"/>
          <w:szCs w:val="18"/>
        </w:rPr>
      </w:pPr>
    </w:p>
    <w:p w:rsidR="006D485C" w:rsidRPr="00E242B8" w:rsidRDefault="006D485C" w:rsidP="00FE4857">
      <w:pPr>
        <w:pStyle w:val="Heading3"/>
      </w:pPr>
      <w:r w:rsidRPr="00E242B8">
        <w:t>Stage 2</w:t>
      </w:r>
    </w:p>
    <w:p w:rsidR="00527D15" w:rsidRPr="006D485C" w:rsidRDefault="00027667" w:rsidP="0027086C">
      <w:pPr>
        <w:pStyle w:val="ListParagraph"/>
        <w:numPr>
          <w:ilvl w:val="0"/>
          <w:numId w:val="18"/>
        </w:numPr>
        <w:spacing w:after="0"/>
        <w:jc w:val="both"/>
        <w:rPr>
          <w:rFonts w:cs="Arial"/>
          <w:sz w:val="21"/>
        </w:rPr>
      </w:pPr>
      <w:r w:rsidRPr="006D485C">
        <w:rPr>
          <w:rFonts w:cs="Arial"/>
          <w:sz w:val="21"/>
        </w:rPr>
        <w:t>Work on the other components of regularisation</w:t>
      </w:r>
      <w:r w:rsidR="000B1FDA" w:rsidRPr="006D485C">
        <w:rPr>
          <w:rFonts w:cs="Arial"/>
          <w:sz w:val="21"/>
        </w:rPr>
        <w:t xml:space="preserve"> </w:t>
      </w:r>
      <w:r w:rsidR="00515898" w:rsidRPr="006D485C">
        <w:rPr>
          <w:rFonts w:cs="Arial"/>
          <w:sz w:val="21"/>
        </w:rPr>
        <w:t xml:space="preserve"> </w:t>
      </w:r>
      <w:r w:rsidR="000B1FDA" w:rsidRPr="006D485C">
        <w:rPr>
          <w:rFonts w:cs="Arial"/>
          <w:sz w:val="21"/>
        </w:rPr>
        <w:t>(i</w:t>
      </w:r>
      <w:r w:rsidR="002C1249" w:rsidRPr="006D485C">
        <w:rPr>
          <w:rFonts w:cs="Arial"/>
          <w:sz w:val="21"/>
        </w:rPr>
        <w:t>.</w:t>
      </w:r>
      <w:r w:rsidR="000B1FDA" w:rsidRPr="006D485C">
        <w:rPr>
          <w:rFonts w:cs="Arial"/>
          <w:sz w:val="21"/>
        </w:rPr>
        <w:t>e</w:t>
      </w:r>
      <w:r w:rsidR="002C1249" w:rsidRPr="006D485C">
        <w:rPr>
          <w:rFonts w:cs="Arial"/>
          <w:sz w:val="21"/>
        </w:rPr>
        <w:t>.</w:t>
      </w:r>
      <w:r w:rsidR="000B1FDA" w:rsidRPr="006D485C">
        <w:rPr>
          <w:rFonts w:cs="Arial"/>
          <w:sz w:val="21"/>
        </w:rPr>
        <w:t xml:space="preserve"> </w:t>
      </w:r>
      <w:r w:rsidR="00527D15" w:rsidRPr="006D485C">
        <w:rPr>
          <w:rFonts w:cs="Arial"/>
          <w:sz w:val="21"/>
        </w:rPr>
        <w:t>agreeing on and identifying costs relating to</w:t>
      </w:r>
      <w:r w:rsidR="00A74810">
        <w:rPr>
          <w:rFonts w:cs="Arial"/>
          <w:sz w:val="21"/>
        </w:rPr>
        <w:t xml:space="preserve"> guaranteed hours, employment s</w:t>
      </w:r>
      <w:r w:rsidR="00680A8C" w:rsidRPr="006D485C">
        <w:rPr>
          <w:rFonts w:cs="Arial"/>
          <w:sz w:val="21"/>
        </w:rPr>
        <w:t>tandards legislative implications, and</w:t>
      </w:r>
      <w:r w:rsidR="00527D15" w:rsidRPr="006D485C">
        <w:rPr>
          <w:rFonts w:cs="Arial"/>
          <w:sz w:val="21"/>
        </w:rPr>
        <w:t xml:space="preserve"> </w:t>
      </w:r>
      <w:r w:rsidR="000B1FDA" w:rsidRPr="006D485C">
        <w:rPr>
          <w:rFonts w:cs="Arial"/>
          <w:sz w:val="21"/>
        </w:rPr>
        <w:t>training and payments for qualifications</w:t>
      </w:r>
      <w:r w:rsidR="0051498F" w:rsidRPr="006D485C">
        <w:rPr>
          <w:rFonts w:cs="Arial"/>
          <w:sz w:val="21"/>
        </w:rPr>
        <w:t xml:space="preserve"> (see agreed work programme principles</w:t>
      </w:r>
      <w:r w:rsidR="002C1249" w:rsidRPr="006D485C">
        <w:rPr>
          <w:rFonts w:cs="Arial"/>
          <w:sz w:val="21"/>
        </w:rPr>
        <w:t>)</w:t>
      </w:r>
      <w:r w:rsidR="00527D15" w:rsidRPr="006D485C">
        <w:rPr>
          <w:rFonts w:cs="Arial"/>
          <w:sz w:val="21"/>
        </w:rPr>
        <w:t xml:space="preserve">; and </w:t>
      </w:r>
      <w:r w:rsidR="00527D15" w:rsidRPr="006D485C">
        <w:rPr>
          <w:rFonts w:cs="Arial"/>
          <w:sz w:val="21"/>
        </w:rPr>
        <w:lastRenderedPageBreak/>
        <w:t>identifying additional funding and contractual changes to be made in relation to the existing funding framework</w:t>
      </w:r>
      <w:r w:rsidR="002C1249" w:rsidRPr="006D485C">
        <w:rPr>
          <w:rFonts w:cs="Arial"/>
          <w:sz w:val="21"/>
        </w:rPr>
        <w:t xml:space="preserve"> (see</w:t>
      </w:r>
      <w:r w:rsidR="0051498F" w:rsidRPr="006D485C">
        <w:rPr>
          <w:rFonts w:cs="Arial"/>
          <w:sz w:val="21"/>
        </w:rPr>
        <w:t xml:space="preserve"> agreed work programme principles </w:t>
      </w:r>
      <w:r w:rsidR="002C1249" w:rsidRPr="006D485C">
        <w:rPr>
          <w:rFonts w:cs="Arial"/>
          <w:sz w:val="21"/>
        </w:rPr>
        <w:t>regarding case mix mechanism)</w:t>
      </w:r>
      <w:r w:rsidRPr="006D485C">
        <w:rPr>
          <w:rFonts w:cs="Arial"/>
          <w:sz w:val="21"/>
        </w:rPr>
        <w:t xml:space="preserve"> will continue from </w:t>
      </w:r>
      <w:r w:rsidR="000B1FDA" w:rsidRPr="006D485C">
        <w:rPr>
          <w:rFonts w:cs="Arial"/>
          <w:sz w:val="21"/>
        </w:rPr>
        <w:t>August</w:t>
      </w:r>
      <w:r w:rsidRPr="006D485C">
        <w:rPr>
          <w:rFonts w:cs="Arial"/>
          <w:sz w:val="21"/>
        </w:rPr>
        <w:t xml:space="preserve"> 2016</w:t>
      </w:r>
      <w:r w:rsidR="000B1FDA" w:rsidRPr="006D485C">
        <w:rPr>
          <w:rFonts w:cs="Arial"/>
          <w:sz w:val="21"/>
        </w:rPr>
        <w:t xml:space="preserve"> with the</w:t>
      </w:r>
      <w:r w:rsidRPr="006D485C">
        <w:rPr>
          <w:rFonts w:cs="Arial"/>
          <w:sz w:val="21"/>
        </w:rPr>
        <w:t xml:space="preserve"> </w:t>
      </w:r>
      <w:r w:rsidR="002A0EB9" w:rsidRPr="006D485C">
        <w:rPr>
          <w:rFonts w:cs="Arial"/>
          <w:sz w:val="21"/>
        </w:rPr>
        <w:t xml:space="preserve">purpose </w:t>
      </w:r>
      <w:r w:rsidR="000B1FDA" w:rsidRPr="006D485C">
        <w:rPr>
          <w:rFonts w:cs="Arial"/>
          <w:sz w:val="21"/>
        </w:rPr>
        <w:t>of</w:t>
      </w:r>
      <w:r w:rsidR="008A7729" w:rsidRPr="006D485C">
        <w:rPr>
          <w:rFonts w:cs="Arial"/>
          <w:sz w:val="21"/>
        </w:rPr>
        <w:t xml:space="preserve"> inform</w:t>
      </w:r>
      <w:r w:rsidR="000B1FDA" w:rsidRPr="006D485C">
        <w:rPr>
          <w:rFonts w:cs="Arial"/>
          <w:sz w:val="21"/>
        </w:rPr>
        <w:t>ing</w:t>
      </w:r>
      <w:r w:rsidR="008A7729" w:rsidRPr="006D485C">
        <w:rPr>
          <w:rFonts w:cs="Arial"/>
          <w:sz w:val="21"/>
        </w:rPr>
        <w:t xml:space="preserve"> the 2017 Budget bid</w:t>
      </w:r>
      <w:r w:rsidR="00527D15" w:rsidRPr="006D485C">
        <w:rPr>
          <w:rFonts w:cs="Arial"/>
          <w:sz w:val="21"/>
        </w:rPr>
        <w:t xml:space="preserve"> and resulting changes to be introduced from 1 July 2017</w:t>
      </w:r>
      <w:r w:rsidR="008A7729" w:rsidRPr="006D485C">
        <w:rPr>
          <w:rFonts w:cs="Arial"/>
          <w:sz w:val="21"/>
        </w:rPr>
        <w:t>.</w:t>
      </w:r>
      <w:r w:rsidR="00A47491" w:rsidRPr="006D485C">
        <w:rPr>
          <w:rFonts w:cs="Arial"/>
          <w:sz w:val="21"/>
        </w:rPr>
        <w:t xml:space="preserve"> </w:t>
      </w:r>
      <w:r w:rsidR="00A74810">
        <w:rPr>
          <w:rFonts w:cs="Arial"/>
          <w:sz w:val="21"/>
        </w:rPr>
        <w:t xml:space="preserve"> </w:t>
      </w:r>
      <w:r w:rsidR="0026229B" w:rsidRPr="006D485C">
        <w:rPr>
          <w:rFonts w:cs="Arial"/>
          <w:sz w:val="21"/>
        </w:rPr>
        <w:t>It is intended that t</w:t>
      </w:r>
      <w:r w:rsidR="002C5C55" w:rsidRPr="006D485C">
        <w:rPr>
          <w:rFonts w:cs="Arial"/>
          <w:sz w:val="21"/>
        </w:rPr>
        <w:t>he wider Part B review</w:t>
      </w:r>
      <w:r w:rsidR="002A0EB9" w:rsidRPr="006D485C">
        <w:rPr>
          <w:rFonts w:cs="Arial"/>
          <w:sz w:val="21"/>
        </w:rPr>
        <w:t>, analysis</w:t>
      </w:r>
      <w:r w:rsidR="002C5C55" w:rsidRPr="006D485C">
        <w:rPr>
          <w:rFonts w:cs="Arial"/>
          <w:sz w:val="21"/>
        </w:rPr>
        <w:t xml:space="preserve"> and recommendations will continue to be progressed in a timely fashion</w:t>
      </w:r>
      <w:r w:rsidR="002A0EB9" w:rsidRPr="006D485C">
        <w:rPr>
          <w:rFonts w:cs="Arial"/>
          <w:sz w:val="21"/>
        </w:rPr>
        <w:t xml:space="preserve"> to inform future service delivery models</w:t>
      </w:r>
      <w:r w:rsidR="002C5C55" w:rsidRPr="006D485C">
        <w:rPr>
          <w:rFonts w:cs="Arial"/>
          <w:sz w:val="21"/>
        </w:rPr>
        <w:t xml:space="preserve">.  </w:t>
      </w:r>
      <w:r w:rsidR="00527D15" w:rsidRPr="006D485C">
        <w:rPr>
          <w:rFonts w:cs="Arial"/>
          <w:sz w:val="21"/>
        </w:rPr>
        <w:t>The Settlement Parties agree that</w:t>
      </w:r>
      <w:r w:rsidR="001F1253" w:rsidRPr="006D485C">
        <w:rPr>
          <w:rFonts w:cs="Arial"/>
          <w:sz w:val="21"/>
        </w:rPr>
        <w:t xml:space="preserve"> their representatives will </w:t>
      </w:r>
      <w:r w:rsidR="00527D15" w:rsidRPr="006D485C">
        <w:rPr>
          <w:rFonts w:cs="Arial"/>
          <w:sz w:val="21"/>
        </w:rPr>
        <w:t>continue</w:t>
      </w:r>
      <w:r w:rsidR="001F1253" w:rsidRPr="006D485C">
        <w:rPr>
          <w:rFonts w:cs="Arial"/>
          <w:sz w:val="21"/>
        </w:rPr>
        <w:t xml:space="preserve"> to work together collaboratively </w:t>
      </w:r>
      <w:r w:rsidR="002A0EB9" w:rsidRPr="006D485C">
        <w:rPr>
          <w:rFonts w:cs="Arial"/>
          <w:sz w:val="21"/>
        </w:rPr>
        <w:t xml:space="preserve">to support the wider analysis required to progress the other Part B review </w:t>
      </w:r>
      <w:r w:rsidR="001F1253" w:rsidRPr="006D485C">
        <w:rPr>
          <w:rFonts w:cs="Arial"/>
          <w:sz w:val="21"/>
        </w:rPr>
        <w:t>recommendations in order to address identified issues across the HCSS sector</w:t>
      </w:r>
      <w:r w:rsidR="002C1249" w:rsidRPr="006D485C">
        <w:rPr>
          <w:rFonts w:cs="Arial"/>
          <w:sz w:val="21"/>
        </w:rPr>
        <w:t>.</w:t>
      </w:r>
    </w:p>
    <w:p w:rsidR="006D485C" w:rsidRPr="006D485C" w:rsidRDefault="00047239" w:rsidP="002D6B66">
      <w:pPr>
        <w:pStyle w:val="ListParagraph"/>
        <w:numPr>
          <w:ilvl w:val="0"/>
          <w:numId w:val="18"/>
        </w:numPr>
        <w:spacing w:after="0"/>
        <w:jc w:val="both"/>
        <w:rPr>
          <w:rFonts w:cs="Arial"/>
          <w:sz w:val="21"/>
        </w:rPr>
      </w:pPr>
      <w:r w:rsidRPr="006D485C">
        <w:rPr>
          <w:rFonts w:cs="Arial"/>
          <w:sz w:val="21"/>
        </w:rPr>
        <w:t>Information from this work will take into account related work already underway in the sector including development of service delivery models.  Agreed costing work may have implications for or inform a 2017 Budget bid.</w:t>
      </w:r>
      <w:r w:rsidR="006D485C" w:rsidRPr="006D485C">
        <w:rPr>
          <w:rFonts w:cs="Arial"/>
          <w:sz w:val="21"/>
        </w:rPr>
        <w:t xml:space="preserve"> </w:t>
      </w:r>
    </w:p>
    <w:p w:rsidR="006D485C" w:rsidRPr="006D485C" w:rsidRDefault="006D485C" w:rsidP="006D485C">
      <w:pPr>
        <w:pStyle w:val="ListParagraph"/>
        <w:spacing w:after="0"/>
        <w:ind w:left="1440"/>
        <w:jc w:val="both"/>
        <w:rPr>
          <w:rFonts w:cs="Arial"/>
          <w:b/>
          <w:sz w:val="21"/>
        </w:rPr>
      </w:pPr>
    </w:p>
    <w:p w:rsidR="00515898" w:rsidRPr="00E242B8" w:rsidRDefault="0026229B" w:rsidP="00FE4857">
      <w:pPr>
        <w:pStyle w:val="Heading3"/>
      </w:pPr>
      <w:r w:rsidRPr="00E242B8">
        <w:t>Stage 3 Implementation Rollout</w:t>
      </w:r>
    </w:p>
    <w:p w:rsidR="0026229B" w:rsidRPr="006D485C" w:rsidRDefault="0026229B" w:rsidP="00A74810">
      <w:pPr>
        <w:pStyle w:val="ListParagraph"/>
        <w:numPr>
          <w:ilvl w:val="2"/>
          <w:numId w:val="21"/>
        </w:numPr>
        <w:tabs>
          <w:tab w:val="left" w:pos="709"/>
          <w:tab w:val="left" w:pos="993"/>
        </w:tabs>
        <w:spacing w:after="0"/>
        <w:jc w:val="both"/>
        <w:rPr>
          <w:rFonts w:cs="Arial"/>
          <w:sz w:val="21"/>
        </w:rPr>
      </w:pPr>
      <w:r w:rsidRPr="006D485C">
        <w:rPr>
          <w:rFonts w:cs="Arial"/>
          <w:sz w:val="21"/>
        </w:rPr>
        <w:t xml:space="preserve">The implementation/rollout of guaranteed hours will commence across the sector </w:t>
      </w:r>
      <w:r w:rsidR="00A74810">
        <w:rPr>
          <w:rFonts w:cs="Arial"/>
          <w:sz w:val="21"/>
        </w:rPr>
        <w:t xml:space="preserve">utilising the </w:t>
      </w:r>
      <w:r w:rsidRPr="006D485C">
        <w:rPr>
          <w:rFonts w:cs="Arial"/>
          <w:sz w:val="21"/>
        </w:rPr>
        <w:t>information gained from the pilots.  The roll out will be completed by 1 April 2017 to ensure full implementation</w:t>
      </w:r>
      <w:r w:rsidR="00693EA3">
        <w:rPr>
          <w:rFonts w:cs="Arial"/>
          <w:sz w:val="21"/>
        </w:rPr>
        <w:t xml:space="preserve"> of guaranteed hours for</w:t>
      </w:r>
      <w:r w:rsidRPr="006D485C">
        <w:rPr>
          <w:rFonts w:cs="Arial"/>
          <w:sz w:val="21"/>
        </w:rPr>
        <w:t xml:space="preserve"> a regularised workforce has occurred by 1 April 2017.</w:t>
      </w:r>
    </w:p>
    <w:p w:rsidR="0026229B" w:rsidRPr="00A74810" w:rsidRDefault="0026229B" w:rsidP="00A74810">
      <w:pPr>
        <w:pStyle w:val="ListParagraph"/>
        <w:numPr>
          <w:ilvl w:val="2"/>
          <w:numId w:val="21"/>
        </w:numPr>
        <w:spacing w:after="0"/>
        <w:jc w:val="both"/>
        <w:rPr>
          <w:rFonts w:cs="Arial"/>
          <w:sz w:val="21"/>
        </w:rPr>
      </w:pPr>
      <w:r w:rsidRPr="00A74810">
        <w:rPr>
          <w:rFonts w:cs="Arial"/>
          <w:sz w:val="21"/>
        </w:rPr>
        <w:t>It is anticipated the roll out of the guaranteed hours and training components of the regularisation will commence in February 2017.</w:t>
      </w:r>
    </w:p>
    <w:p w:rsidR="0026229B" w:rsidRPr="00A74810" w:rsidRDefault="0026229B" w:rsidP="00A74810">
      <w:pPr>
        <w:pStyle w:val="ListParagraph"/>
        <w:numPr>
          <w:ilvl w:val="2"/>
          <w:numId w:val="21"/>
        </w:numPr>
        <w:spacing w:after="0"/>
        <w:jc w:val="both"/>
        <w:rPr>
          <w:rFonts w:cs="Arial"/>
          <w:sz w:val="21"/>
        </w:rPr>
      </w:pPr>
      <w:r w:rsidRPr="00A74810">
        <w:rPr>
          <w:rFonts w:cs="Arial"/>
          <w:sz w:val="21"/>
        </w:rPr>
        <w:t>Providers and unions will agree a rollout schedule which takes account of the particular circumstances of each provider.</w:t>
      </w:r>
    </w:p>
    <w:p w:rsidR="0026229B" w:rsidRPr="00A74810" w:rsidRDefault="0026229B" w:rsidP="00A74810">
      <w:pPr>
        <w:pStyle w:val="ListParagraph"/>
        <w:numPr>
          <w:ilvl w:val="2"/>
          <w:numId w:val="21"/>
        </w:numPr>
        <w:spacing w:after="0"/>
        <w:jc w:val="both"/>
        <w:rPr>
          <w:rFonts w:cs="Arial"/>
          <w:sz w:val="21"/>
        </w:rPr>
      </w:pPr>
      <w:r w:rsidRPr="00A74810">
        <w:rPr>
          <w:rFonts w:cs="Arial"/>
          <w:sz w:val="21"/>
        </w:rPr>
        <w:t>The providers, funders and unions agree they will work collaboratively through all the processes that involve changes to service contracts, employment models and models of care.</w:t>
      </w:r>
    </w:p>
    <w:p w:rsidR="0026229B" w:rsidRPr="00FB7137" w:rsidRDefault="0026229B" w:rsidP="0026229B">
      <w:pPr>
        <w:pStyle w:val="ListParagraph"/>
        <w:spacing w:after="0"/>
        <w:ind w:left="1800"/>
        <w:jc w:val="both"/>
        <w:rPr>
          <w:rFonts w:cs="Arial"/>
          <w:b/>
          <w:sz w:val="21"/>
        </w:rPr>
      </w:pPr>
    </w:p>
    <w:p w:rsidR="0051498F" w:rsidRPr="00FB7137" w:rsidRDefault="00BE0CAD" w:rsidP="00BE0CAD">
      <w:pPr>
        <w:pStyle w:val="ListParagraph"/>
        <w:numPr>
          <w:ilvl w:val="0"/>
          <w:numId w:val="12"/>
        </w:numPr>
        <w:spacing w:after="0"/>
        <w:jc w:val="both"/>
        <w:rPr>
          <w:rFonts w:cs="Arial"/>
          <w:sz w:val="21"/>
        </w:rPr>
      </w:pPr>
      <w:r w:rsidRPr="00FB7137">
        <w:rPr>
          <w:rFonts w:cs="Arial"/>
          <w:sz w:val="21"/>
        </w:rPr>
        <w:t xml:space="preserve">This variation will be signed in conjunction with the agreed Work Programme Principles that outline </w:t>
      </w:r>
      <w:r w:rsidR="00D72B92" w:rsidRPr="00FB7137">
        <w:rPr>
          <w:rFonts w:cs="Arial"/>
          <w:sz w:val="21"/>
        </w:rPr>
        <w:t xml:space="preserve">plans </w:t>
      </w:r>
      <w:r w:rsidRPr="00FB7137">
        <w:rPr>
          <w:rFonts w:cs="Arial"/>
          <w:sz w:val="21"/>
        </w:rPr>
        <w:t>to progress all components of regularisation within agreed timeframes.</w:t>
      </w:r>
      <w:r w:rsidR="00E242B8">
        <w:rPr>
          <w:rFonts w:cs="Arial"/>
          <w:sz w:val="21"/>
        </w:rPr>
        <w:t xml:space="preserve">  It is accepted the work programme principles may change as the work progresses and as such is living document.</w:t>
      </w:r>
    </w:p>
    <w:p w:rsidR="0051498F" w:rsidRPr="006D485C" w:rsidRDefault="0051498F" w:rsidP="002C1249">
      <w:pPr>
        <w:spacing w:after="0"/>
        <w:jc w:val="both"/>
        <w:rPr>
          <w:rFonts w:cs="Arial"/>
          <w:sz w:val="21"/>
          <w:szCs w:val="18"/>
        </w:rPr>
      </w:pPr>
    </w:p>
    <w:p w:rsidR="005B5017" w:rsidRPr="006D485C" w:rsidRDefault="005B5017" w:rsidP="006D485C">
      <w:pPr>
        <w:spacing w:after="0"/>
        <w:jc w:val="both"/>
        <w:rPr>
          <w:rFonts w:cs="Arial"/>
          <w:b/>
          <w:sz w:val="21"/>
        </w:rPr>
      </w:pPr>
    </w:p>
    <w:p w:rsidR="005B5017" w:rsidRPr="0078394B" w:rsidRDefault="007F5CEE" w:rsidP="00AD3474">
      <w:pPr>
        <w:pStyle w:val="ListParagraph"/>
        <w:numPr>
          <w:ilvl w:val="0"/>
          <w:numId w:val="12"/>
        </w:numPr>
        <w:spacing w:after="0"/>
        <w:jc w:val="both"/>
        <w:rPr>
          <w:rFonts w:cs="Arial"/>
          <w:b/>
          <w:sz w:val="21"/>
        </w:rPr>
      </w:pPr>
      <w:r w:rsidRPr="0078394B">
        <w:rPr>
          <w:rFonts w:cs="Arial"/>
          <w:b/>
          <w:sz w:val="21"/>
        </w:rPr>
        <w:t>No disadvantage</w:t>
      </w:r>
    </w:p>
    <w:p w:rsidR="005B5017" w:rsidRPr="0078394B" w:rsidRDefault="005B5017" w:rsidP="006D485C">
      <w:pPr>
        <w:spacing w:after="0"/>
        <w:jc w:val="both"/>
        <w:rPr>
          <w:rFonts w:cs="Arial"/>
          <w:b/>
          <w:sz w:val="21"/>
        </w:rPr>
      </w:pPr>
    </w:p>
    <w:p w:rsidR="007F5CEE" w:rsidRPr="0067467E" w:rsidRDefault="007F5CEE" w:rsidP="006D485C">
      <w:pPr>
        <w:pStyle w:val="ListParagraph"/>
        <w:numPr>
          <w:ilvl w:val="1"/>
          <w:numId w:val="12"/>
        </w:numPr>
        <w:spacing w:after="0"/>
        <w:jc w:val="both"/>
        <w:rPr>
          <w:rFonts w:cs="Arial"/>
          <w:sz w:val="21"/>
        </w:rPr>
      </w:pPr>
      <w:r w:rsidRPr="0067467E">
        <w:rPr>
          <w:rFonts w:cs="Arial"/>
          <w:sz w:val="21"/>
        </w:rPr>
        <w:t xml:space="preserve">The parties note that the implementation of guaranteed hours will occur on 1 April 2017, three months prior to the end of the 2016/17 financial year.  </w:t>
      </w:r>
    </w:p>
    <w:p w:rsidR="007F5CEE" w:rsidRPr="0067467E" w:rsidRDefault="007F5CEE" w:rsidP="006D485C">
      <w:pPr>
        <w:pStyle w:val="ListParagraph"/>
        <w:numPr>
          <w:ilvl w:val="1"/>
          <w:numId w:val="12"/>
        </w:numPr>
        <w:spacing w:after="0"/>
        <w:jc w:val="both"/>
        <w:rPr>
          <w:rFonts w:cs="Arial"/>
          <w:sz w:val="21"/>
        </w:rPr>
      </w:pPr>
      <w:r w:rsidRPr="0067467E">
        <w:rPr>
          <w:rFonts w:cs="Arial"/>
          <w:sz w:val="21"/>
        </w:rPr>
        <w:t>The parties agree that no party should be financially disadvantaged in the period 1 April 2017 to 1 July 2017 as a result of the im</w:t>
      </w:r>
      <w:r w:rsidR="003F7E19">
        <w:rPr>
          <w:rFonts w:cs="Arial"/>
          <w:sz w:val="21"/>
        </w:rPr>
        <w:t>plementation of regularisation</w:t>
      </w:r>
      <w:r w:rsidRPr="0067467E">
        <w:rPr>
          <w:rFonts w:cs="Arial"/>
          <w:sz w:val="21"/>
        </w:rPr>
        <w:t>.</w:t>
      </w:r>
      <w:r w:rsidR="00AD3474" w:rsidRPr="0067467E">
        <w:rPr>
          <w:rFonts w:cs="Arial"/>
          <w:sz w:val="21"/>
        </w:rPr>
        <w:t xml:space="preserve">  Although it was intended that the initial costs of regularisation would occur within existing HCSS funding and additional funding would be determined through a new budget bid it is acknowledged that a full budget bid has not yet been made.  </w:t>
      </w:r>
    </w:p>
    <w:p w:rsidR="007F5CEE" w:rsidRPr="0067467E" w:rsidRDefault="007F5CEE" w:rsidP="006D485C">
      <w:pPr>
        <w:pStyle w:val="ListParagraph"/>
        <w:numPr>
          <w:ilvl w:val="1"/>
          <w:numId w:val="12"/>
        </w:numPr>
        <w:spacing w:after="0"/>
        <w:jc w:val="both"/>
        <w:rPr>
          <w:rFonts w:cs="Arial"/>
          <w:sz w:val="21"/>
        </w:rPr>
      </w:pPr>
      <w:r w:rsidRPr="0067467E">
        <w:rPr>
          <w:rFonts w:cs="Arial"/>
          <w:sz w:val="21"/>
        </w:rPr>
        <w:t>If a party or any member of the party’s representative group believes that they will be financially disadvantaged over the period 1 April 2017 to 1 July 2017, because of the im</w:t>
      </w:r>
      <w:r w:rsidR="00573F3D">
        <w:rPr>
          <w:rFonts w:cs="Arial"/>
          <w:sz w:val="21"/>
        </w:rPr>
        <w:t>plementation of regularisation</w:t>
      </w:r>
      <w:r w:rsidRPr="0067467E">
        <w:rPr>
          <w:rFonts w:cs="Arial"/>
          <w:sz w:val="21"/>
        </w:rPr>
        <w:t xml:space="preserve">, they will raise it in writing with the IBT settlement parties together with the supporting evidence.  </w:t>
      </w:r>
    </w:p>
    <w:p w:rsidR="007F5CEE" w:rsidRPr="0067467E" w:rsidRDefault="007F5CEE" w:rsidP="006D485C">
      <w:pPr>
        <w:pStyle w:val="ListParagraph"/>
        <w:numPr>
          <w:ilvl w:val="1"/>
          <w:numId w:val="12"/>
        </w:numPr>
        <w:spacing w:after="0"/>
        <w:jc w:val="both"/>
        <w:rPr>
          <w:rFonts w:cs="Arial"/>
          <w:sz w:val="21"/>
        </w:rPr>
      </w:pPr>
      <w:r w:rsidRPr="0067467E">
        <w:rPr>
          <w:rFonts w:cs="Arial"/>
          <w:sz w:val="21"/>
        </w:rPr>
        <w:t>The parties will meet within 2 weeks of the issue of financial disadvantage being raised and address the issue in good faith.</w:t>
      </w:r>
    </w:p>
    <w:p w:rsidR="00AD3474" w:rsidRPr="0067467E" w:rsidRDefault="00AD3474" w:rsidP="006D485C">
      <w:pPr>
        <w:pStyle w:val="ListParagraph"/>
        <w:numPr>
          <w:ilvl w:val="1"/>
          <w:numId w:val="12"/>
        </w:numPr>
        <w:spacing w:after="0"/>
        <w:jc w:val="both"/>
        <w:rPr>
          <w:rFonts w:cs="Arial"/>
          <w:sz w:val="21"/>
        </w:rPr>
      </w:pPr>
      <w:r w:rsidRPr="0067467E">
        <w:rPr>
          <w:rFonts w:cs="Arial"/>
          <w:sz w:val="21"/>
        </w:rPr>
        <w:t>Any resolution of proven and agreed disadvantage that requires additional funds will be capped and will be payable by the Ministry of Health up to the agreed cap.  If funds are required beyond the cap discussions will need to occur within the process determined in clause 7 (vi and vii below).</w:t>
      </w:r>
    </w:p>
    <w:p w:rsidR="007F5CEE" w:rsidRPr="0067467E" w:rsidRDefault="007F5CEE" w:rsidP="006D485C">
      <w:pPr>
        <w:pStyle w:val="ListParagraph"/>
        <w:numPr>
          <w:ilvl w:val="1"/>
          <w:numId w:val="12"/>
        </w:numPr>
        <w:spacing w:after="0"/>
        <w:jc w:val="both"/>
        <w:rPr>
          <w:rFonts w:cs="Arial"/>
          <w:sz w:val="21"/>
        </w:rPr>
      </w:pPr>
      <w:r w:rsidRPr="0067467E">
        <w:rPr>
          <w:rFonts w:cs="Arial"/>
          <w:sz w:val="21"/>
        </w:rPr>
        <w:lastRenderedPageBreak/>
        <w:t>If agreement cannot be reached on whether or not financial disadvantage will occur, or on the extent of disadvantage, or on the appropriate remedy to mitigate it within 30 days of the matter being raised, then the parties will appoint an independent person to review the matter and make recommendations on the appropriate course of action including the remedy, if any.</w:t>
      </w:r>
    </w:p>
    <w:p w:rsidR="007F5CEE" w:rsidRDefault="007F5CEE" w:rsidP="006D485C">
      <w:pPr>
        <w:pStyle w:val="ListParagraph"/>
        <w:numPr>
          <w:ilvl w:val="1"/>
          <w:numId w:val="12"/>
        </w:numPr>
        <w:spacing w:after="0"/>
        <w:jc w:val="both"/>
        <w:rPr>
          <w:rFonts w:cs="Arial"/>
          <w:sz w:val="21"/>
        </w:rPr>
      </w:pPr>
      <w:r w:rsidRPr="0067467E">
        <w:rPr>
          <w:rFonts w:cs="Arial"/>
          <w:sz w:val="21"/>
        </w:rPr>
        <w:t>The parties will not unreasonably refuse to agree to the recommendations of the independent person.</w:t>
      </w:r>
      <w:r w:rsidR="00AD3474" w:rsidRPr="0067467E">
        <w:rPr>
          <w:rFonts w:cs="Arial"/>
          <w:sz w:val="21"/>
        </w:rPr>
        <w:t xml:space="preserve">  </w:t>
      </w:r>
    </w:p>
    <w:p w:rsidR="00FC3960" w:rsidRPr="00FC3960" w:rsidRDefault="00FC3960" w:rsidP="00FE4857">
      <w:pPr>
        <w:pStyle w:val="Heading2"/>
      </w:pPr>
      <w:r w:rsidRPr="00FC3960">
        <w:t>Post 1 July 2017</w:t>
      </w:r>
    </w:p>
    <w:p w:rsidR="00FC3960" w:rsidRDefault="00FC3960" w:rsidP="00FC3960">
      <w:pPr>
        <w:pStyle w:val="ListParagraph"/>
        <w:numPr>
          <w:ilvl w:val="2"/>
          <w:numId w:val="12"/>
        </w:numPr>
        <w:spacing w:after="0"/>
        <w:jc w:val="both"/>
        <w:rPr>
          <w:rFonts w:cs="Arial"/>
          <w:sz w:val="21"/>
        </w:rPr>
      </w:pPr>
      <w:r>
        <w:rPr>
          <w:rFonts w:cs="Arial"/>
          <w:sz w:val="21"/>
        </w:rPr>
        <w:t>For the period post 1 July 2017 the variation is signed on the full understanding that the full costs of full regularisation as defined in this Variation will be incorporated in the budget bid for 2017/18.</w:t>
      </w:r>
    </w:p>
    <w:p w:rsidR="00FC3960" w:rsidRDefault="00FC3960" w:rsidP="00FC3960">
      <w:pPr>
        <w:pStyle w:val="ListParagraph"/>
        <w:numPr>
          <w:ilvl w:val="2"/>
          <w:numId w:val="12"/>
        </w:numPr>
        <w:spacing w:after="0"/>
        <w:jc w:val="both"/>
        <w:rPr>
          <w:rFonts w:cs="Arial"/>
          <w:sz w:val="21"/>
        </w:rPr>
      </w:pPr>
      <w:r>
        <w:rPr>
          <w:rFonts w:cs="Arial"/>
          <w:sz w:val="21"/>
        </w:rPr>
        <w:t>The intention is that no party shall be disadvantaged.</w:t>
      </w:r>
    </w:p>
    <w:p w:rsidR="00FC3960" w:rsidRPr="00FC3960" w:rsidRDefault="00FC3960" w:rsidP="00FC3960">
      <w:pPr>
        <w:pStyle w:val="ListParagraph"/>
        <w:numPr>
          <w:ilvl w:val="2"/>
          <w:numId w:val="12"/>
        </w:numPr>
        <w:spacing w:after="0"/>
        <w:jc w:val="both"/>
        <w:rPr>
          <w:rFonts w:cs="Arial"/>
          <w:sz w:val="21"/>
        </w:rPr>
      </w:pPr>
      <w:r w:rsidRPr="00FC3960">
        <w:rPr>
          <w:rFonts w:cs="Arial"/>
          <w:sz w:val="21"/>
        </w:rPr>
        <w:t xml:space="preserve">If a party or any member of the party’s representative group believes that they will be financially disadvantaged </w:t>
      </w:r>
      <w:r>
        <w:rPr>
          <w:rFonts w:cs="Arial"/>
          <w:sz w:val="21"/>
        </w:rPr>
        <w:t>from</w:t>
      </w:r>
      <w:r w:rsidRPr="00FC3960">
        <w:rPr>
          <w:rFonts w:cs="Arial"/>
          <w:sz w:val="21"/>
        </w:rPr>
        <w:t xml:space="preserve"> 1 July 2017, because of the implementation of </w:t>
      </w:r>
      <w:r w:rsidR="00622506">
        <w:rPr>
          <w:rFonts w:cs="Arial"/>
          <w:sz w:val="21"/>
        </w:rPr>
        <w:t>regularisation</w:t>
      </w:r>
      <w:r w:rsidRPr="00FC3960">
        <w:rPr>
          <w:rFonts w:cs="Arial"/>
          <w:sz w:val="21"/>
        </w:rPr>
        <w:t xml:space="preserve">, they will raise it in writing with the IBT settlement parties together with the supporting evidence.  </w:t>
      </w:r>
    </w:p>
    <w:p w:rsidR="00FC3960" w:rsidRPr="00FC3960" w:rsidRDefault="00FC3960" w:rsidP="00FC3960">
      <w:pPr>
        <w:pStyle w:val="ListParagraph"/>
        <w:numPr>
          <w:ilvl w:val="2"/>
          <w:numId w:val="12"/>
        </w:numPr>
        <w:spacing w:after="0"/>
        <w:jc w:val="both"/>
        <w:rPr>
          <w:rFonts w:cs="Arial"/>
          <w:sz w:val="21"/>
        </w:rPr>
      </w:pPr>
      <w:r w:rsidRPr="00FC3960">
        <w:rPr>
          <w:rFonts w:cs="Arial"/>
          <w:sz w:val="21"/>
        </w:rPr>
        <w:t>The parties will meet within 2 weeks of the issue of financial disadvantage being raised and address the issue in good faith.</w:t>
      </w:r>
    </w:p>
    <w:p w:rsidR="00FC3960" w:rsidRPr="00FC3960" w:rsidRDefault="00FC3960" w:rsidP="00FC3960">
      <w:pPr>
        <w:pStyle w:val="ListParagraph"/>
        <w:numPr>
          <w:ilvl w:val="2"/>
          <w:numId w:val="12"/>
        </w:numPr>
        <w:spacing w:after="0"/>
        <w:jc w:val="both"/>
        <w:rPr>
          <w:rFonts w:cs="Arial"/>
          <w:sz w:val="21"/>
        </w:rPr>
      </w:pPr>
      <w:r w:rsidRPr="00FC3960">
        <w:rPr>
          <w:rFonts w:cs="Arial"/>
          <w:sz w:val="21"/>
        </w:rPr>
        <w:t>If agreement cannot be reached on whether or not financial disadvantage will occur, or on the extent of disadvantage, or on the appropriate remedy to mitigate it within 30 days of the matter being raised, then the parties will appoint an independent person to review the matter and make recommendations on the appropriate course of action including the remedy, if any.</w:t>
      </w:r>
    </w:p>
    <w:p w:rsidR="00FC3960" w:rsidRPr="00FC3960" w:rsidRDefault="00FC3960" w:rsidP="00FC3960">
      <w:pPr>
        <w:pStyle w:val="ListParagraph"/>
        <w:numPr>
          <w:ilvl w:val="2"/>
          <w:numId w:val="12"/>
        </w:numPr>
        <w:spacing w:after="0"/>
        <w:jc w:val="both"/>
        <w:rPr>
          <w:rFonts w:cs="Arial"/>
          <w:sz w:val="21"/>
        </w:rPr>
      </w:pPr>
      <w:r w:rsidRPr="00FC3960">
        <w:rPr>
          <w:rFonts w:cs="Arial"/>
          <w:sz w:val="21"/>
        </w:rPr>
        <w:t xml:space="preserve">The parties will not unreasonably refuse to agree to the recommendations of the independent person.  </w:t>
      </w:r>
    </w:p>
    <w:p w:rsidR="004F2858" w:rsidRPr="0078394B" w:rsidRDefault="004F2858" w:rsidP="00FE4857">
      <w:pPr>
        <w:pStyle w:val="Heading2"/>
      </w:pPr>
      <w:r w:rsidRPr="0078394B">
        <w:t>Term</w:t>
      </w:r>
    </w:p>
    <w:p w:rsidR="007513A3" w:rsidRPr="00FB7137" w:rsidRDefault="004F2858" w:rsidP="0051498F">
      <w:pPr>
        <w:pStyle w:val="ListParagraph"/>
        <w:numPr>
          <w:ilvl w:val="0"/>
          <w:numId w:val="12"/>
        </w:numPr>
        <w:spacing w:after="0"/>
        <w:jc w:val="both"/>
        <w:rPr>
          <w:rFonts w:cs="Arial"/>
          <w:sz w:val="21"/>
        </w:rPr>
      </w:pPr>
      <w:r w:rsidRPr="0078394B">
        <w:rPr>
          <w:rFonts w:cs="Arial"/>
          <w:sz w:val="21"/>
        </w:rPr>
        <w:t xml:space="preserve">This </w:t>
      </w:r>
      <w:r w:rsidR="00027667" w:rsidRPr="0078394B">
        <w:rPr>
          <w:rFonts w:cs="Arial"/>
          <w:sz w:val="21"/>
        </w:rPr>
        <w:t>Variation</w:t>
      </w:r>
      <w:r w:rsidRPr="0078394B">
        <w:rPr>
          <w:rFonts w:cs="Arial"/>
          <w:sz w:val="21"/>
        </w:rPr>
        <w:t xml:space="preserve"> will come into effect</w:t>
      </w:r>
      <w:r w:rsidR="00893E3B" w:rsidRPr="0078394B">
        <w:rPr>
          <w:rFonts w:cs="Arial"/>
          <w:sz w:val="21"/>
        </w:rPr>
        <w:t xml:space="preserve"> immediately following the authorised</w:t>
      </w:r>
      <w:r w:rsidR="00893E3B" w:rsidRPr="006D485C">
        <w:rPr>
          <w:rFonts w:cs="Arial"/>
          <w:sz w:val="21"/>
        </w:rPr>
        <w:t xml:space="preserve"> signatures from each Settlement Party</w:t>
      </w:r>
      <w:r w:rsidRPr="00FB7137">
        <w:rPr>
          <w:rFonts w:cs="Arial"/>
          <w:sz w:val="21"/>
        </w:rPr>
        <w:t xml:space="preserve"> </w:t>
      </w:r>
      <w:r w:rsidR="00BE0CAD" w:rsidRPr="00FB7137">
        <w:rPr>
          <w:rFonts w:cs="Arial"/>
          <w:sz w:val="21"/>
        </w:rPr>
        <w:t>and</w:t>
      </w:r>
      <w:r w:rsidR="00490985" w:rsidRPr="00FB7137">
        <w:rPr>
          <w:rFonts w:cs="Arial"/>
          <w:sz w:val="21"/>
        </w:rPr>
        <w:t xml:space="preserve"> </w:t>
      </w:r>
      <w:r w:rsidRPr="00FB7137">
        <w:rPr>
          <w:rFonts w:cs="Arial"/>
          <w:sz w:val="21"/>
        </w:rPr>
        <w:t xml:space="preserve">will remain in force until </w:t>
      </w:r>
      <w:r w:rsidR="00893E3B" w:rsidRPr="00FB7137">
        <w:rPr>
          <w:rFonts w:cs="Arial"/>
          <w:sz w:val="21"/>
        </w:rPr>
        <w:t>the Settlement Parties agree otherwise</w:t>
      </w:r>
      <w:r w:rsidRPr="00FB7137">
        <w:rPr>
          <w:rFonts w:cs="Arial"/>
          <w:sz w:val="21"/>
        </w:rPr>
        <w:t>.</w:t>
      </w:r>
    </w:p>
    <w:p w:rsidR="00680A8C" w:rsidRPr="00FB7137" w:rsidRDefault="00680A8C" w:rsidP="006627B3">
      <w:pPr>
        <w:spacing w:after="0"/>
        <w:jc w:val="both"/>
        <w:rPr>
          <w:rFonts w:cs="Arial"/>
          <w:sz w:val="21"/>
        </w:rPr>
      </w:pPr>
    </w:p>
    <w:p w:rsidR="002D40BD" w:rsidRPr="00FC3960" w:rsidRDefault="00680A8C" w:rsidP="00FE4857">
      <w:pPr>
        <w:pStyle w:val="Heading2"/>
      </w:pPr>
      <w:r w:rsidRPr="00FC3960">
        <w:t>Ratificatio</w:t>
      </w:r>
      <w:r w:rsidR="002D40BD" w:rsidRPr="00FC3960">
        <w:t xml:space="preserve">n </w:t>
      </w:r>
    </w:p>
    <w:p w:rsidR="001F590C" w:rsidRPr="00FC3960" w:rsidRDefault="00D47B30" w:rsidP="00FC3960">
      <w:pPr>
        <w:pStyle w:val="ListParagraph"/>
        <w:numPr>
          <w:ilvl w:val="0"/>
          <w:numId w:val="12"/>
        </w:numPr>
        <w:tabs>
          <w:tab w:val="left" w:pos="1701"/>
        </w:tabs>
        <w:spacing w:after="0"/>
        <w:jc w:val="both"/>
        <w:rPr>
          <w:rFonts w:cs="Arial"/>
          <w:sz w:val="21"/>
        </w:rPr>
      </w:pPr>
      <w:r w:rsidRPr="00FC3960">
        <w:rPr>
          <w:rFonts w:cs="Arial"/>
          <w:sz w:val="21"/>
        </w:rPr>
        <w:t xml:space="preserve">Each provider party, along with the HCHA, will be responsible for encouraging and seeking ratification of this Variation in accordance with the process set out in the settlement agreement. </w:t>
      </w:r>
      <w:r w:rsidR="00403E46">
        <w:rPr>
          <w:rFonts w:cs="Arial"/>
          <w:sz w:val="21"/>
        </w:rPr>
        <w:t>The provider parties</w:t>
      </w:r>
      <w:r w:rsidR="00E242B8">
        <w:rPr>
          <w:rFonts w:cs="Arial"/>
          <w:sz w:val="21"/>
        </w:rPr>
        <w:t>’</w:t>
      </w:r>
      <w:r w:rsidR="00403E46">
        <w:rPr>
          <w:rFonts w:cs="Arial"/>
          <w:sz w:val="21"/>
        </w:rPr>
        <w:t xml:space="preserve"> signatures are contingent on ratif</w:t>
      </w:r>
      <w:r w:rsidR="00982B0F">
        <w:rPr>
          <w:rFonts w:cs="Arial"/>
          <w:sz w:val="21"/>
        </w:rPr>
        <w:t>i</w:t>
      </w:r>
      <w:r w:rsidR="00403E46">
        <w:rPr>
          <w:rFonts w:cs="Arial"/>
          <w:sz w:val="21"/>
        </w:rPr>
        <w:t>cation by</w:t>
      </w:r>
      <w:r w:rsidR="00982B0F">
        <w:rPr>
          <w:rFonts w:cs="Arial"/>
          <w:sz w:val="21"/>
        </w:rPr>
        <w:t xml:space="preserve"> </w:t>
      </w:r>
      <w:r w:rsidR="00012E3F">
        <w:rPr>
          <w:rFonts w:cs="Arial"/>
          <w:sz w:val="21"/>
        </w:rPr>
        <w:t>other providers</w:t>
      </w:r>
      <w:r w:rsidR="00982B0F">
        <w:rPr>
          <w:rFonts w:cs="Arial"/>
          <w:sz w:val="21"/>
        </w:rPr>
        <w:t xml:space="preserve"> as described in the settlement agreement</w:t>
      </w:r>
      <w:r w:rsidR="00403E46">
        <w:rPr>
          <w:rFonts w:cs="Arial"/>
          <w:sz w:val="21"/>
        </w:rPr>
        <w:t>.</w:t>
      </w:r>
    </w:p>
    <w:p w:rsidR="001F590C" w:rsidRPr="006D485C" w:rsidRDefault="001F590C" w:rsidP="004F2858">
      <w:pPr>
        <w:spacing w:after="0"/>
        <w:rPr>
          <w:rFonts w:cs="Arial"/>
          <w:sz w:val="21"/>
        </w:rPr>
      </w:pPr>
    </w:p>
    <w:p w:rsidR="001F590C" w:rsidRPr="006D485C" w:rsidRDefault="00FC3960" w:rsidP="00FC3960">
      <w:pPr>
        <w:tabs>
          <w:tab w:val="left" w:pos="2355"/>
        </w:tabs>
        <w:spacing w:after="0"/>
        <w:rPr>
          <w:rFonts w:cs="Arial"/>
          <w:sz w:val="21"/>
        </w:rPr>
      </w:pPr>
      <w:r>
        <w:rPr>
          <w:rFonts w:cs="Arial"/>
          <w:sz w:val="21"/>
        </w:rPr>
        <w:tab/>
      </w:r>
    </w:p>
    <w:p w:rsidR="00982B0F" w:rsidRDefault="00982B0F">
      <w:pPr>
        <w:rPr>
          <w:rFonts w:cs="Arial"/>
          <w:sz w:val="21"/>
        </w:rPr>
      </w:pPr>
      <w:r>
        <w:rPr>
          <w:rFonts w:cs="Arial"/>
          <w:sz w:val="21"/>
        </w:rPr>
        <w:br w:type="page"/>
      </w:r>
    </w:p>
    <w:p w:rsidR="001F590C" w:rsidRPr="006D485C" w:rsidRDefault="001F590C" w:rsidP="004F2858">
      <w:pPr>
        <w:spacing w:after="0"/>
        <w:rPr>
          <w:rFonts w:cs="Arial"/>
          <w:sz w:val="21"/>
        </w:rPr>
      </w:pPr>
    </w:p>
    <w:p w:rsidR="00145317" w:rsidRPr="006D485C" w:rsidRDefault="008B0122" w:rsidP="004F2858">
      <w:pPr>
        <w:spacing w:after="0"/>
        <w:rPr>
          <w:rFonts w:cs="Arial"/>
          <w:sz w:val="21"/>
        </w:rPr>
      </w:pPr>
      <w:r w:rsidRPr="006D485C">
        <w:rPr>
          <w:rFonts w:cs="Arial"/>
          <w:sz w:val="21"/>
        </w:rPr>
        <w:t>______________________</w:t>
      </w:r>
      <w:r w:rsidRPr="006D485C">
        <w:rPr>
          <w:rFonts w:cs="Arial"/>
          <w:sz w:val="21"/>
        </w:rPr>
        <w:tab/>
      </w:r>
      <w:r w:rsidRPr="006D485C">
        <w:rPr>
          <w:rFonts w:cs="Arial"/>
          <w:sz w:val="21"/>
        </w:rPr>
        <w:tab/>
      </w:r>
      <w:r w:rsidRPr="006D485C">
        <w:rPr>
          <w:rFonts w:cs="Arial"/>
          <w:sz w:val="21"/>
        </w:rPr>
        <w:tab/>
      </w:r>
      <w:r w:rsidRPr="006D485C">
        <w:rPr>
          <w:rFonts w:cs="Arial"/>
          <w:sz w:val="21"/>
        </w:rPr>
        <w:tab/>
      </w:r>
      <w:r w:rsidRPr="006D485C">
        <w:rPr>
          <w:rFonts w:cs="Arial"/>
          <w:sz w:val="21"/>
        </w:rPr>
        <w:tab/>
        <w:t>_________________________</w:t>
      </w:r>
    </w:p>
    <w:p w:rsidR="001350B4" w:rsidRPr="006D485C" w:rsidRDefault="001350B4" w:rsidP="004F2858">
      <w:pPr>
        <w:spacing w:after="0"/>
        <w:rPr>
          <w:rFonts w:cs="Arial"/>
          <w:b/>
          <w:sz w:val="21"/>
        </w:rPr>
      </w:pPr>
      <w:r w:rsidRPr="006D485C">
        <w:rPr>
          <w:rFonts w:cs="Arial"/>
          <w:b/>
          <w:sz w:val="21"/>
        </w:rPr>
        <w:t xml:space="preserve">For and on behalf of </w:t>
      </w:r>
      <w:r w:rsidRPr="006D485C">
        <w:rPr>
          <w:rFonts w:cs="Arial"/>
          <w:b/>
          <w:sz w:val="21"/>
        </w:rPr>
        <w:tab/>
      </w:r>
      <w:r w:rsidRPr="006D485C">
        <w:rPr>
          <w:rFonts w:cs="Arial"/>
          <w:b/>
          <w:sz w:val="21"/>
        </w:rPr>
        <w:tab/>
      </w:r>
      <w:r w:rsidRPr="006D485C">
        <w:rPr>
          <w:rFonts w:cs="Arial"/>
          <w:b/>
          <w:sz w:val="21"/>
        </w:rPr>
        <w:tab/>
      </w:r>
      <w:r w:rsidRPr="006D485C">
        <w:rPr>
          <w:rFonts w:cs="Arial"/>
          <w:b/>
          <w:sz w:val="21"/>
        </w:rPr>
        <w:tab/>
      </w:r>
      <w:r w:rsidRPr="006D485C">
        <w:rPr>
          <w:rFonts w:cs="Arial"/>
          <w:b/>
          <w:sz w:val="21"/>
        </w:rPr>
        <w:tab/>
      </w:r>
      <w:r w:rsidRPr="006D485C">
        <w:rPr>
          <w:rFonts w:cs="Arial"/>
          <w:b/>
          <w:sz w:val="21"/>
        </w:rPr>
        <w:tab/>
        <w:t>For and on behalf of</w:t>
      </w:r>
    </w:p>
    <w:p w:rsidR="00145317" w:rsidRPr="006D485C" w:rsidRDefault="00145317" w:rsidP="004F2858">
      <w:pPr>
        <w:spacing w:after="0"/>
        <w:rPr>
          <w:rFonts w:cs="Arial"/>
          <w:b/>
          <w:sz w:val="21"/>
        </w:rPr>
      </w:pPr>
      <w:r w:rsidRPr="006D485C">
        <w:rPr>
          <w:rFonts w:cs="Arial"/>
          <w:b/>
          <w:sz w:val="21"/>
        </w:rPr>
        <w:t>Ministry of Health</w:t>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b/>
          <w:sz w:val="21"/>
        </w:rPr>
        <w:t>20 DHBs</w:t>
      </w:r>
    </w:p>
    <w:p w:rsidR="00145317" w:rsidRPr="006D485C" w:rsidRDefault="00145317" w:rsidP="004F2858">
      <w:pPr>
        <w:spacing w:after="0"/>
        <w:rPr>
          <w:rFonts w:cs="Arial"/>
          <w:sz w:val="21"/>
        </w:rPr>
      </w:pPr>
      <w:r w:rsidRPr="006D485C">
        <w:rPr>
          <w:rFonts w:cs="Arial"/>
          <w:sz w:val="21"/>
        </w:rPr>
        <w:t>Date:</w:t>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t>Date:</w:t>
      </w:r>
    </w:p>
    <w:p w:rsidR="001350B4" w:rsidRPr="006D485C" w:rsidRDefault="001350B4" w:rsidP="004F2858">
      <w:pPr>
        <w:spacing w:after="0"/>
        <w:rPr>
          <w:rFonts w:cs="Arial"/>
          <w:sz w:val="21"/>
        </w:rPr>
      </w:pPr>
    </w:p>
    <w:p w:rsidR="001350B4" w:rsidRPr="006D485C" w:rsidRDefault="001350B4" w:rsidP="004F2858">
      <w:pPr>
        <w:spacing w:after="0"/>
        <w:rPr>
          <w:rFonts w:cs="Arial"/>
          <w:sz w:val="21"/>
        </w:rPr>
      </w:pPr>
    </w:p>
    <w:p w:rsidR="008B0122" w:rsidRPr="006D485C" w:rsidRDefault="008B0122" w:rsidP="004F2858">
      <w:pPr>
        <w:spacing w:after="0"/>
        <w:rPr>
          <w:rFonts w:cs="Arial"/>
          <w:sz w:val="21"/>
        </w:rPr>
      </w:pPr>
    </w:p>
    <w:p w:rsidR="00145317" w:rsidRPr="006D485C" w:rsidRDefault="008B0122" w:rsidP="004F2858">
      <w:pPr>
        <w:spacing w:after="0"/>
        <w:rPr>
          <w:rFonts w:cs="Arial"/>
          <w:sz w:val="21"/>
        </w:rPr>
      </w:pPr>
      <w:r w:rsidRPr="006D485C">
        <w:rPr>
          <w:rFonts w:cs="Arial"/>
          <w:sz w:val="21"/>
        </w:rPr>
        <w:t>_____________________</w:t>
      </w:r>
      <w:r w:rsidRPr="006D485C">
        <w:rPr>
          <w:rFonts w:cs="Arial"/>
          <w:sz w:val="21"/>
        </w:rPr>
        <w:tab/>
      </w:r>
      <w:r w:rsidRPr="006D485C">
        <w:rPr>
          <w:rFonts w:cs="Arial"/>
          <w:sz w:val="21"/>
        </w:rPr>
        <w:tab/>
      </w:r>
      <w:r w:rsidRPr="006D485C">
        <w:rPr>
          <w:rFonts w:cs="Arial"/>
          <w:sz w:val="21"/>
        </w:rPr>
        <w:tab/>
      </w:r>
      <w:r w:rsidRPr="006D485C">
        <w:rPr>
          <w:rFonts w:cs="Arial"/>
          <w:sz w:val="21"/>
        </w:rPr>
        <w:tab/>
      </w:r>
      <w:r w:rsidRPr="006D485C">
        <w:rPr>
          <w:rFonts w:cs="Arial"/>
          <w:sz w:val="21"/>
        </w:rPr>
        <w:tab/>
        <w:t>__________________________</w:t>
      </w:r>
    </w:p>
    <w:p w:rsidR="00145317" w:rsidRPr="006D485C" w:rsidRDefault="001350B4" w:rsidP="004F2858">
      <w:pPr>
        <w:spacing w:after="0"/>
        <w:rPr>
          <w:rFonts w:cs="Arial"/>
          <w:b/>
          <w:sz w:val="21"/>
        </w:rPr>
      </w:pPr>
      <w:r w:rsidRPr="006D485C">
        <w:rPr>
          <w:rFonts w:cs="Arial"/>
          <w:b/>
          <w:sz w:val="21"/>
        </w:rPr>
        <w:t xml:space="preserve">For and on behalf of </w:t>
      </w:r>
      <w:r w:rsidR="00145317" w:rsidRPr="006D485C">
        <w:rPr>
          <w:rFonts w:cs="Arial"/>
          <w:b/>
          <w:sz w:val="21"/>
        </w:rPr>
        <w:t>E Tu</w:t>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Pr="006D485C">
        <w:rPr>
          <w:rFonts w:cs="Arial"/>
          <w:b/>
          <w:sz w:val="21"/>
        </w:rPr>
        <w:t>For and on behalf of</w:t>
      </w:r>
      <w:r w:rsidRPr="006D485C">
        <w:rPr>
          <w:rFonts w:cs="Arial"/>
          <w:sz w:val="21"/>
        </w:rPr>
        <w:t xml:space="preserve"> </w:t>
      </w:r>
      <w:r w:rsidR="008B0122" w:rsidRPr="006D485C">
        <w:rPr>
          <w:rFonts w:cs="Arial"/>
          <w:b/>
          <w:sz w:val="21"/>
        </w:rPr>
        <w:t>PSA</w:t>
      </w:r>
    </w:p>
    <w:p w:rsidR="00145317" w:rsidRPr="006D485C" w:rsidRDefault="00145317" w:rsidP="004F2858">
      <w:pPr>
        <w:spacing w:after="0"/>
        <w:rPr>
          <w:rFonts w:cs="Arial"/>
          <w:sz w:val="21"/>
        </w:rPr>
      </w:pPr>
      <w:r w:rsidRPr="006D485C">
        <w:rPr>
          <w:rFonts w:cs="Arial"/>
          <w:sz w:val="21"/>
        </w:rPr>
        <w:t>Date</w:t>
      </w:r>
      <w:r w:rsidR="008B0122" w:rsidRPr="006D485C">
        <w:rPr>
          <w:rFonts w:cs="Arial"/>
          <w:sz w:val="21"/>
        </w:rPr>
        <w:t>:</w:t>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r>
      <w:r w:rsidR="008B0122" w:rsidRPr="006D485C">
        <w:rPr>
          <w:rFonts w:cs="Arial"/>
          <w:sz w:val="21"/>
        </w:rPr>
        <w:tab/>
        <w:t>Date:</w:t>
      </w:r>
    </w:p>
    <w:p w:rsidR="001350B4" w:rsidRPr="006D485C" w:rsidRDefault="001350B4" w:rsidP="004F2858">
      <w:pPr>
        <w:spacing w:after="0"/>
        <w:rPr>
          <w:rFonts w:cs="Arial"/>
          <w:sz w:val="21"/>
        </w:rPr>
      </w:pPr>
    </w:p>
    <w:p w:rsidR="001350B4" w:rsidRPr="006D485C" w:rsidRDefault="001350B4" w:rsidP="004F2858">
      <w:pPr>
        <w:spacing w:after="0"/>
        <w:rPr>
          <w:rFonts w:cs="Arial"/>
          <w:sz w:val="21"/>
        </w:rPr>
      </w:pPr>
    </w:p>
    <w:p w:rsidR="008B0122" w:rsidRPr="006D485C" w:rsidRDefault="008B0122" w:rsidP="004F2858">
      <w:pPr>
        <w:spacing w:after="0"/>
        <w:rPr>
          <w:rFonts w:cs="Arial"/>
          <w:sz w:val="21"/>
        </w:rPr>
      </w:pPr>
    </w:p>
    <w:p w:rsidR="008B0122" w:rsidRPr="006D485C" w:rsidRDefault="008B0122" w:rsidP="004F2858">
      <w:pPr>
        <w:spacing w:after="0"/>
        <w:rPr>
          <w:rFonts w:cs="Arial"/>
          <w:sz w:val="21"/>
        </w:rPr>
      </w:pPr>
      <w:r w:rsidRPr="006D485C">
        <w:rPr>
          <w:rFonts w:cs="Arial"/>
          <w:sz w:val="21"/>
        </w:rPr>
        <w:t>____________________</w:t>
      </w:r>
      <w:r w:rsidRPr="006D485C">
        <w:rPr>
          <w:rFonts w:cs="Arial"/>
          <w:sz w:val="21"/>
        </w:rPr>
        <w:tab/>
      </w:r>
      <w:r w:rsidRPr="006D485C">
        <w:rPr>
          <w:rFonts w:cs="Arial"/>
          <w:sz w:val="21"/>
        </w:rPr>
        <w:tab/>
      </w:r>
      <w:r w:rsidRPr="006D485C">
        <w:rPr>
          <w:rFonts w:cs="Arial"/>
          <w:sz w:val="21"/>
        </w:rPr>
        <w:tab/>
      </w:r>
      <w:r w:rsidRPr="006D485C">
        <w:rPr>
          <w:rFonts w:cs="Arial"/>
          <w:sz w:val="21"/>
        </w:rPr>
        <w:tab/>
      </w:r>
      <w:r w:rsidRPr="006D485C">
        <w:rPr>
          <w:rFonts w:cs="Arial"/>
          <w:sz w:val="21"/>
        </w:rPr>
        <w:tab/>
        <w:t>__________________________</w:t>
      </w:r>
    </w:p>
    <w:p w:rsidR="001350B4" w:rsidRPr="006D485C" w:rsidRDefault="001350B4" w:rsidP="004F2858">
      <w:pPr>
        <w:spacing w:after="0"/>
        <w:rPr>
          <w:rFonts w:cs="Arial"/>
          <w:b/>
          <w:sz w:val="21"/>
        </w:rPr>
      </w:pPr>
      <w:r w:rsidRPr="006D485C">
        <w:rPr>
          <w:rFonts w:cs="Arial"/>
          <w:b/>
          <w:sz w:val="21"/>
        </w:rPr>
        <w:t xml:space="preserve">For and on behalf of </w:t>
      </w:r>
      <w:r w:rsidRPr="006D485C">
        <w:rPr>
          <w:rFonts w:cs="Arial"/>
          <w:b/>
          <w:sz w:val="21"/>
        </w:rPr>
        <w:tab/>
      </w:r>
      <w:r w:rsidRPr="006D485C">
        <w:rPr>
          <w:rFonts w:cs="Arial"/>
          <w:b/>
          <w:sz w:val="21"/>
        </w:rPr>
        <w:tab/>
      </w:r>
      <w:r w:rsidRPr="006D485C">
        <w:rPr>
          <w:rFonts w:cs="Arial"/>
          <w:b/>
          <w:sz w:val="21"/>
        </w:rPr>
        <w:tab/>
      </w:r>
      <w:r w:rsidRPr="006D485C">
        <w:rPr>
          <w:rFonts w:cs="Arial"/>
          <w:b/>
          <w:sz w:val="21"/>
        </w:rPr>
        <w:tab/>
      </w:r>
      <w:r w:rsidRPr="006D485C">
        <w:rPr>
          <w:rFonts w:cs="Arial"/>
          <w:b/>
          <w:sz w:val="21"/>
        </w:rPr>
        <w:tab/>
      </w:r>
      <w:r w:rsidRPr="006D485C">
        <w:rPr>
          <w:rFonts w:cs="Arial"/>
          <w:b/>
          <w:sz w:val="21"/>
        </w:rPr>
        <w:tab/>
        <w:t>For and on behalf of</w:t>
      </w:r>
    </w:p>
    <w:p w:rsidR="00AC2DF7" w:rsidRPr="006D485C" w:rsidRDefault="008B0122" w:rsidP="004F2858">
      <w:pPr>
        <w:spacing w:after="0"/>
        <w:rPr>
          <w:rFonts w:cs="Arial"/>
          <w:b/>
          <w:sz w:val="21"/>
        </w:rPr>
      </w:pPr>
      <w:r w:rsidRPr="006D485C">
        <w:rPr>
          <w:rFonts w:cs="Arial"/>
          <w:b/>
          <w:sz w:val="21"/>
        </w:rPr>
        <w:t>Access Home</w:t>
      </w:r>
      <w:r w:rsidR="001350B4" w:rsidRPr="006D485C">
        <w:rPr>
          <w:rFonts w:cs="Arial"/>
          <w:b/>
          <w:sz w:val="21"/>
        </w:rPr>
        <w:t xml:space="preserve"> H</w:t>
      </w:r>
      <w:r w:rsidRPr="006D485C">
        <w:rPr>
          <w:rFonts w:cs="Arial"/>
          <w:b/>
          <w:sz w:val="21"/>
        </w:rPr>
        <w:t>ealth Ltd</w:t>
      </w:r>
      <w:r w:rsidRPr="006D485C">
        <w:rPr>
          <w:rFonts w:cs="Arial"/>
          <w:sz w:val="21"/>
        </w:rPr>
        <w:tab/>
      </w:r>
      <w:r w:rsidRPr="006D485C">
        <w:rPr>
          <w:rFonts w:cs="Arial"/>
          <w:sz w:val="21"/>
        </w:rPr>
        <w:tab/>
      </w:r>
      <w:r w:rsidRPr="006D485C">
        <w:rPr>
          <w:rFonts w:cs="Arial"/>
          <w:sz w:val="21"/>
        </w:rPr>
        <w:tab/>
      </w:r>
      <w:r w:rsidR="00E17250" w:rsidRPr="006D485C">
        <w:rPr>
          <w:rFonts w:cs="Arial"/>
          <w:sz w:val="21"/>
        </w:rPr>
        <w:tab/>
      </w:r>
      <w:r w:rsidR="00E17250" w:rsidRPr="006D485C">
        <w:rPr>
          <w:rFonts w:cs="Arial"/>
          <w:sz w:val="21"/>
        </w:rPr>
        <w:tab/>
      </w:r>
      <w:r w:rsidR="001350B4" w:rsidRPr="006D485C">
        <w:rPr>
          <w:rFonts w:cs="Arial"/>
          <w:b/>
          <w:sz w:val="21"/>
        </w:rPr>
        <w:t xml:space="preserve">Healthcare </w:t>
      </w:r>
      <w:r w:rsidR="00AC2DF7" w:rsidRPr="006D485C">
        <w:rPr>
          <w:rFonts w:cs="Arial"/>
          <w:b/>
          <w:sz w:val="21"/>
        </w:rPr>
        <w:t>of New Zealand Ltd</w:t>
      </w:r>
    </w:p>
    <w:p w:rsidR="008B0122" w:rsidRPr="006D485C" w:rsidRDefault="008B0122" w:rsidP="00AC2DF7">
      <w:pPr>
        <w:spacing w:after="0"/>
        <w:ind w:left="5040" w:firstLine="720"/>
        <w:rPr>
          <w:rFonts w:cs="Arial"/>
          <w:sz w:val="21"/>
        </w:rPr>
      </w:pPr>
    </w:p>
    <w:p w:rsidR="008B0122" w:rsidRPr="006D485C" w:rsidRDefault="008B0122" w:rsidP="004F2858">
      <w:pPr>
        <w:spacing w:after="0"/>
        <w:rPr>
          <w:rFonts w:cs="Arial"/>
          <w:sz w:val="21"/>
        </w:rPr>
      </w:pPr>
      <w:r w:rsidRPr="006D485C">
        <w:rPr>
          <w:rFonts w:cs="Arial"/>
          <w:sz w:val="21"/>
        </w:rPr>
        <w:t>Date:</w:t>
      </w:r>
      <w:r w:rsidRPr="006D485C">
        <w:rPr>
          <w:rFonts w:cs="Arial"/>
          <w:sz w:val="21"/>
        </w:rPr>
        <w:tab/>
      </w:r>
      <w:r w:rsidRPr="006D485C">
        <w:rPr>
          <w:rFonts w:cs="Arial"/>
          <w:sz w:val="21"/>
        </w:rPr>
        <w:tab/>
      </w:r>
      <w:r w:rsidRPr="006D485C">
        <w:rPr>
          <w:rFonts w:cs="Arial"/>
          <w:sz w:val="21"/>
        </w:rPr>
        <w:tab/>
      </w:r>
      <w:r w:rsidRPr="006D485C">
        <w:rPr>
          <w:rFonts w:cs="Arial"/>
          <w:sz w:val="21"/>
        </w:rPr>
        <w:tab/>
      </w:r>
      <w:r w:rsidRPr="006D485C">
        <w:rPr>
          <w:rFonts w:cs="Arial"/>
          <w:sz w:val="21"/>
        </w:rPr>
        <w:tab/>
      </w:r>
      <w:r w:rsidRPr="006D485C">
        <w:rPr>
          <w:rFonts w:cs="Arial"/>
          <w:sz w:val="21"/>
        </w:rPr>
        <w:tab/>
      </w:r>
      <w:r w:rsidRPr="006D485C">
        <w:rPr>
          <w:rFonts w:cs="Arial"/>
          <w:sz w:val="21"/>
        </w:rPr>
        <w:tab/>
      </w:r>
      <w:r w:rsidRPr="006D485C">
        <w:rPr>
          <w:rFonts w:cs="Arial"/>
          <w:sz w:val="21"/>
        </w:rPr>
        <w:tab/>
        <w:t>Date:</w:t>
      </w:r>
    </w:p>
    <w:p w:rsidR="001350B4" w:rsidRPr="006D485C" w:rsidRDefault="001350B4" w:rsidP="004F2858">
      <w:pPr>
        <w:spacing w:after="0"/>
        <w:rPr>
          <w:rFonts w:cs="Arial"/>
          <w:sz w:val="21"/>
        </w:rPr>
      </w:pPr>
    </w:p>
    <w:p w:rsidR="001350B4" w:rsidRPr="006D485C" w:rsidRDefault="001350B4" w:rsidP="004F2858">
      <w:pPr>
        <w:spacing w:after="0"/>
        <w:rPr>
          <w:rFonts w:cs="Arial"/>
          <w:sz w:val="21"/>
        </w:rPr>
      </w:pPr>
    </w:p>
    <w:p w:rsidR="001350B4" w:rsidRPr="006D485C" w:rsidRDefault="001350B4" w:rsidP="004F2858">
      <w:pPr>
        <w:spacing w:after="0"/>
        <w:rPr>
          <w:rFonts w:cs="Arial"/>
          <w:sz w:val="21"/>
        </w:rPr>
      </w:pPr>
    </w:p>
    <w:p w:rsidR="001350B4" w:rsidRPr="006D485C" w:rsidRDefault="001350B4" w:rsidP="004F2858">
      <w:pPr>
        <w:spacing w:after="0"/>
        <w:rPr>
          <w:rFonts w:cs="Arial"/>
          <w:sz w:val="21"/>
        </w:rPr>
      </w:pPr>
      <w:r w:rsidRPr="006D485C">
        <w:rPr>
          <w:rFonts w:cs="Arial"/>
          <w:sz w:val="21"/>
        </w:rPr>
        <w:t>___________________</w:t>
      </w:r>
    </w:p>
    <w:p w:rsidR="001350B4" w:rsidRPr="006D485C" w:rsidRDefault="001350B4" w:rsidP="004F2858">
      <w:pPr>
        <w:spacing w:after="0"/>
        <w:rPr>
          <w:rFonts w:cs="Arial"/>
          <w:b/>
          <w:sz w:val="21"/>
        </w:rPr>
      </w:pPr>
      <w:r w:rsidRPr="006D485C">
        <w:rPr>
          <w:rFonts w:cs="Arial"/>
          <w:b/>
          <w:sz w:val="21"/>
        </w:rPr>
        <w:t xml:space="preserve">For and on behalf of </w:t>
      </w:r>
    </w:p>
    <w:p w:rsidR="001350B4" w:rsidRPr="006D485C" w:rsidRDefault="001350B4" w:rsidP="004F2858">
      <w:pPr>
        <w:spacing w:after="0"/>
        <w:rPr>
          <w:rFonts w:cs="Arial"/>
          <w:b/>
          <w:sz w:val="21"/>
        </w:rPr>
      </w:pPr>
      <w:r w:rsidRPr="006D485C">
        <w:rPr>
          <w:rFonts w:cs="Arial"/>
          <w:b/>
          <w:sz w:val="21"/>
        </w:rPr>
        <w:t>NZCTU</w:t>
      </w:r>
    </w:p>
    <w:p w:rsidR="001350B4" w:rsidRPr="006D485C" w:rsidRDefault="001350B4" w:rsidP="004F2858">
      <w:pPr>
        <w:spacing w:after="0"/>
        <w:rPr>
          <w:rFonts w:cs="Arial"/>
          <w:sz w:val="21"/>
        </w:rPr>
      </w:pPr>
      <w:r w:rsidRPr="006D485C">
        <w:rPr>
          <w:rFonts w:cs="Arial"/>
          <w:sz w:val="21"/>
        </w:rPr>
        <w:t>Date:</w:t>
      </w:r>
    </w:p>
    <w:sectPr w:rsidR="001350B4" w:rsidRPr="006D485C" w:rsidSect="000A7A58">
      <w:headerReference w:type="even" r:id="rId8"/>
      <w:headerReference w:type="default" r:id="rId9"/>
      <w:footerReference w:type="even" r:id="rId10"/>
      <w:footerReference w:type="default" r:id="rId11"/>
      <w:headerReference w:type="first" r:id="rId12"/>
      <w:footerReference w:type="first" r:id="rId13"/>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2F6" w:rsidRDefault="00A722F6">
      <w:pPr>
        <w:spacing w:after="0" w:line="240" w:lineRule="auto"/>
      </w:pPr>
      <w:r>
        <w:separator/>
      </w:r>
    </w:p>
  </w:endnote>
  <w:endnote w:type="continuationSeparator" w:id="0">
    <w:p w:rsidR="00A722F6" w:rsidRDefault="00A7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0F" w:rsidRDefault="00982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86667"/>
      <w:docPartObj>
        <w:docPartGallery w:val="Page Numbers (Bottom of Page)"/>
        <w:docPartUnique/>
      </w:docPartObj>
    </w:sdtPr>
    <w:sdtEndPr>
      <w:rPr>
        <w:noProof/>
      </w:rPr>
    </w:sdtEndPr>
    <w:sdtContent>
      <w:p w:rsidR="00E242B8" w:rsidRDefault="00E242B8">
        <w:pPr>
          <w:pStyle w:val="Footer"/>
          <w:jc w:val="right"/>
        </w:pPr>
        <w:r>
          <w:fldChar w:fldCharType="begin"/>
        </w:r>
        <w:r>
          <w:instrText xml:space="preserve"> PAGE   \* MERGEFORMAT </w:instrText>
        </w:r>
        <w:r>
          <w:fldChar w:fldCharType="separate"/>
        </w:r>
        <w:r w:rsidR="00FE4857">
          <w:rPr>
            <w:noProof/>
          </w:rPr>
          <w:t>1</w:t>
        </w:r>
        <w:r>
          <w:rPr>
            <w:noProof/>
          </w:rPr>
          <w:fldChar w:fldCharType="end"/>
        </w:r>
      </w:p>
    </w:sdtContent>
  </w:sdt>
  <w:p w:rsidR="00E242B8" w:rsidRDefault="00982B0F">
    <w:pPr>
      <w:pStyle w:val="Footer"/>
      <w:jc w:val="right"/>
    </w:pPr>
    <w:r>
      <w:t>MOH Update 20</w:t>
    </w:r>
    <w:r w:rsidR="00E242B8">
      <w:t xml:space="preserve"> October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0F" w:rsidRDefault="00982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2F6" w:rsidRDefault="00A722F6">
      <w:pPr>
        <w:spacing w:after="0" w:line="240" w:lineRule="auto"/>
      </w:pPr>
      <w:r>
        <w:separator/>
      </w:r>
    </w:p>
  </w:footnote>
  <w:footnote w:type="continuationSeparator" w:id="0">
    <w:p w:rsidR="00A722F6" w:rsidRDefault="00A7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0F" w:rsidRDefault="00982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B8" w:rsidRDefault="00E24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0F" w:rsidRDefault="0098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C7D"/>
    <w:multiLevelType w:val="hybridMultilevel"/>
    <w:tmpl w:val="617C2786"/>
    <w:lvl w:ilvl="0" w:tplc="76BA54DE">
      <w:start w:val="4"/>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BCC4655"/>
    <w:multiLevelType w:val="hybridMultilevel"/>
    <w:tmpl w:val="267CC6D2"/>
    <w:lvl w:ilvl="0" w:tplc="1F602882">
      <w:start w:val="1"/>
      <w:numFmt w:val="lowerLetter"/>
      <w:pStyle w:val="Heading3"/>
      <w:lvlText w:val="(%1)"/>
      <w:lvlJc w:val="left"/>
      <w:pPr>
        <w:ind w:left="1430" w:hanging="360"/>
      </w:pPr>
      <w:rPr>
        <w:rFonts w:hint="default"/>
        <w:b/>
      </w:rPr>
    </w:lvl>
    <w:lvl w:ilvl="1" w:tplc="14090019" w:tentative="1">
      <w:start w:val="1"/>
      <w:numFmt w:val="lowerLetter"/>
      <w:lvlText w:val="%2."/>
      <w:lvlJc w:val="left"/>
      <w:pPr>
        <w:ind w:left="2150" w:hanging="360"/>
      </w:pPr>
    </w:lvl>
    <w:lvl w:ilvl="2" w:tplc="1409001B" w:tentative="1">
      <w:start w:val="1"/>
      <w:numFmt w:val="lowerRoman"/>
      <w:lvlText w:val="%3."/>
      <w:lvlJc w:val="right"/>
      <w:pPr>
        <w:ind w:left="2870" w:hanging="180"/>
      </w:pPr>
    </w:lvl>
    <w:lvl w:ilvl="3" w:tplc="1409000F" w:tentative="1">
      <w:start w:val="1"/>
      <w:numFmt w:val="decimal"/>
      <w:lvlText w:val="%4."/>
      <w:lvlJc w:val="left"/>
      <w:pPr>
        <w:ind w:left="3590" w:hanging="360"/>
      </w:pPr>
    </w:lvl>
    <w:lvl w:ilvl="4" w:tplc="14090019" w:tentative="1">
      <w:start w:val="1"/>
      <w:numFmt w:val="lowerLetter"/>
      <w:lvlText w:val="%5."/>
      <w:lvlJc w:val="left"/>
      <w:pPr>
        <w:ind w:left="4310" w:hanging="360"/>
      </w:pPr>
    </w:lvl>
    <w:lvl w:ilvl="5" w:tplc="1409001B" w:tentative="1">
      <w:start w:val="1"/>
      <w:numFmt w:val="lowerRoman"/>
      <w:lvlText w:val="%6."/>
      <w:lvlJc w:val="right"/>
      <w:pPr>
        <w:ind w:left="5030" w:hanging="180"/>
      </w:pPr>
    </w:lvl>
    <w:lvl w:ilvl="6" w:tplc="1409000F" w:tentative="1">
      <w:start w:val="1"/>
      <w:numFmt w:val="decimal"/>
      <w:lvlText w:val="%7."/>
      <w:lvlJc w:val="left"/>
      <w:pPr>
        <w:ind w:left="5750" w:hanging="360"/>
      </w:pPr>
    </w:lvl>
    <w:lvl w:ilvl="7" w:tplc="14090019" w:tentative="1">
      <w:start w:val="1"/>
      <w:numFmt w:val="lowerLetter"/>
      <w:lvlText w:val="%8."/>
      <w:lvlJc w:val="left"/>
      <w:pPr>
        <w:ind w:left="6470" w:hanging="360"/>
      </w:pPr>
    </w:lvl>
    <w:lvl w:ilvl="8" w:tplc="1409001B" w:tentative="1">
      <w:start w:val="1"/>
      <w:numFmt w:val="lowerRoman"/>
      <w:lvlText w:val="%9."/>
      <w:lvlJc w:val="right"/>
      <w:pPr>
        <w:ind w:left="7190" w:hanging="180"/>
      </w:pPr>
    </w:lvl>
  </w:abstractNum>
  <w:abstractNum w:abstractNumId="2">
    <w:nsid w:val="25AF74E2"/>
    <w:multiLevelType w:val="hybridMultilevel"/>
    <w:tmpl w:val="AD423FA4"/>
    <w:lvl w:ilvl="0" w:tplc="14090017">
      <w:start w:val="1"/>
      <w:numFmt w:val="lowerLetter"/>
      <w:lvlText w:val="%1)"/>
      <w:lvlJc w:val="left"/>
      <w:pPr>
        <w:ind w:left="1222" w:hanging="360"/>
      </w:pPr>
    </w:lvl>
    <w:lvl w:ilvl="1" w:tplc="14090019" w:tentative="1">
      <w:start w:val="1"/>
      <w:numFmt w:val="lowerLetter"/>
      <w:lvlText w:val="%2."/>
      <w:lvlJc w:val="left"/>
      <w:pPr>
        <w:ind w:left="1942" w:hanging="360"/>
      </w:pPr>
    </w:lvl>
    <w:lvl w:ilvl="2" w:tplc="1409001B" w:tentative="1">
      <w:start w:val="1"/>
      <w:numFmt w:val="lowerRoman"/>
      <w:lvlText w:val="%3."/>
      <w:lvlJc w:val="right"/>
      <w:pPr>
        <w:ind w:left="2662" w:hanging="180"/>
      </w:pPr>
    </w:lvl>
    <w:lvl w:ilvl="3" w:tplc="1409000F" w:tentative="1">
      <w:start w:val="1"/>
      <w:numFmt w:val="decimal"/>
      <w:lvlText w:val="%4."/>
      <w:lvlJc w:val="left"/>
      <w:pPr>
        <w:ind w:left="3382" w:hanging="360"/>
      </w:pPr>
    </w:lvl>
    <w:lvl w:ilvl="4" w:tplc="14090019" w:tentative="1">
      <w:start w:val="1"/>
      <w:numFmt w:val="lowerLetter"/>
      <w:lvlText w:val="%5."/>
      <w:lvlJc w:val="left"/>
      <w:pPr>
        <w:ind w:left="4102" w:hanging="360"/>
      </w:pPr>
    </w:lvl>
    <w:lvl w:ilvl="5" w:tplc="1409001B" w:tentative="1">
      <w:start w:val="1"/>
      <w:numFmt w:val="lowerRoman"/>
      <w:lvlText w:val="%6."/>
      <w:lvlJc w:val="right"/>
      <w:pPr>
        <w:ind w:left="4822" w:hanging="180"/>
      </w:pPr>
    </w:lvl>
    <w:lvl w:ilvl="6" w:tplc="1409000F" w:tentative="1">
      <w:start w:val="1"/>
      <w:numFmt w:val="decimal"/>
      <w:lvlText w:val="%7."/>
      <w:lvlJc w:val="left"/>
      <w:pPr>
        <w:ind w:left="5542" w:hanging="360"/>
      </w:pPr>
    </w:lvl>
    <w:lvl w:ilvl="7" w:tplc="14090019" w:tentative="1">
      <w:start w:val="1"/>
      <w:numFmt w:val="lowerLetter"/>
      <w:lvlText w:val="%8."/>
      <w:lvlJc w:val="left"/>
      <w:pPr>
        <w:ind w:left="6262" w:hanging="360"/>
      </w:pPr>
    </w:lvl>
    <w:lvl w:ilvl="8" w:tplc="1409001B" w:tentative="1">
      <w:start w:val="1"/>
      <w:numFmt w:val="lowerRoman"/>
      <w:lvlText w:val="%9."/>
      <w:lvlJc w:val="right"/>
      <w:pPr>
        <w:ind w:left="6982" w:hanging="180"/>
      </w:pPr>
    </w:lvl>
  </w:abstractNum>
  <w:abstractNum w:abstractNumId="3">
    <w:nsid w:val="2B5F2043"/>
    <w:multiLevelType w:val="hybridMultilevel"/>
    <w:tmpl w:val="E7CAB4C6"/>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2C3B2166"/>
    <w:multiLevelType w:val="hybridMultilevel"/>
    <w:tmpl w:val="1D9AF456"/>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385A0803"/>
    <w:multiLevelType w:val="hybridMultilevel"/>
    <w:tmpl w:val="426CAAD8"/>
    <w:lvl w:ilvl="0" w:tplc="8710079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388219F6"/>
    <w:multiLevelType w:val="hybridMultilevel"/>
    <w:tmpl w:val="69CAD2D0"/>
    <w:lvl w:ilvl="0" w:tplc="1409000F">
      <w:start w:val="1"/>
      <w:numFmt w:val="decimal"/>
      <w:lvlText w:val="%1."/>
      <w:lvlJc w:val="lef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AF04CBE"/>
    <w:multiLevelType w:val="hybridMultilevel"/>
    <w:tmpl w:val="B6D0F7EE"/>
    <w:lvl w:ilvl="0" w:tplc="A434D21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1B9051B"/>
    <w:multiLevelType w:val="hybridMultilevel"/>
    <w:tmpl w:val="2B0247F2"/>
    <w:lvl w:ilvl="0" w:tplc="A434D21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90C2851"/>
    <w:multiLevelType w:val="hybridMultilevel"/>
    <w:tmpl w:val="0A12BE16"/>
    <w:lvl w:ilvl="0" w:tplc="1409000F">
      <w:start w:val="1"/>
      <w:numFmt w:val="decimal"/>
      <w:lvlText w:val="%1."/>
      <w:lvlJc w:val="left"/>
      <w:pPr>
        <w:ind w:left="107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CD00A4F"/>
    <w:multiLevelType w:val="hybridMultilevel"/>
    <w:tmpl w:val="57F4BCA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0E40A83"/>
    <w:multiLevelType w:val="hybridMultilevel"/>
    <w:tmpl w:val="EFCABB1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6A6667D"/>
    <w:multiLevelType w:val="hybridMultilevel"/>
    <w:tmpl w:val="DCBCD2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C5A3D4C"/>
    <w:multiLevelType w:val="hybridMultilevel"/>
    <w:tmpl w:val="A28EA66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F436835"/>
    <w:multiLevelType w:val="hybridMultilevel"/>
    <w:tmpl w:val="F90E47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1E72E43"/>
    <w:multiLevelType w:val="hybridMultilevel"/>
    <w:tmpl w:val="7804A174"/>
    <w:lvl w:ilvl="0" w:tplc="1409000F">
      <w:start w:val="1"/>
      <w:numFmt w:val="decimal"/>
      <w:lvlText w:val="%1."/>
      <w:lvlJc w:val="left"/>
      <w:pPr>
        <w:ind w:left="107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24839AD"/>
    <w:multiLevelType w:val="hybridMultilevel"/>
    <w:tmpl w:val="0B227D1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6D4830C7"/>
    <w:multiLevelType w:val="hybridMultilevel"/>
    <w:tmpl w:val="DC203960"/>
    <w:lvl w:ilvl="0" w:tplc="D26AE564">
      <w:numFmt w:val="bullet"/>
      <w:lvlText w:val="-"/>
      <w:lvlJc w:val="left"/>
      <w:pPr>
        <w:ind w:left="1146" w:hanging="360"/>
      </w:pPr>
      <w:rPr>
        <w:rFonts w:ascii="Arial" w:eastAsiaTheme="minorHAnsi" w:hAnsi="Arial" w:cs="Aria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8">
    <w:nsid w:val="6FF977A6"/>
    <w:multiLevelType w:val="hybridMultilevel"/>
    <w:tmpl w:val="CCD0D6A8"/>
    <w:lvl w:ilvl="0" w:tplc="A434D21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1010E55"/>
    <w:multiLevelType w:val="hybridMultilevel"/>
    <w:tmpl w:val="F5348E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3136F24"/>
    <w:multiLevelType w:val="hybridMultilevel"/>
    <w:tmpl w:val="F5F8D5F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6"/>
  </w:num>
  <w:num w:numId="3">
    <w:abstractNumId w:val="0"/>
  </w:num>
  <w:num w:numId="4">
    <w:abstractNumId w:val="17"/>
  </w:num>
  <w:num w:numId="5">
    <w:abstractNumId w:val="18"/>
  </w:num>
  <w:num w:numId="6">
    <w:abstractNumId w:val="8"/>
  </w:num>
  <w:num w:numId="7">
    <w:abstractNumId w:val="12"/>
  </w:num>
  <w:num w:numId="8">
    <w:abstractNumId w:val="2"/>
  </w:num>
  <w:num w:numId="9">
    <w:abstractNumId w:val="19"/>
  </w:num>
  <w:num w:numId="10">
    <w:abstractNumId w:val="10"/>
  </w:num>
  <w:num w:numId="11">
    <w:abstractNumId w:val="7"/>
  </w:num>
  <w:num w:numId="12">
    <w:abstractNumId w:val="15"/>
  </w:num>
  <w:num w:numId="13">
    <w:abstractNumId w:val="11"/>
  </w:num>
  <w:num w:numId="14">
    <w:abstractNumId w:val="13"/>
  </w:num>
  <w:num w:numId="15">
    <w:abstractNumId w:val="4"/>
  </w:num>
  <w:num w:numId="16">
    <w:abstractNumId w:val="20"/>
  </w:num>
  <w:num w:numId="17">
    <w:abstractNumId w:val="9"/>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54D"/>
    <w:rsid w:val="00012E3F"/>
    <w:rsid w:val="00027667"/>
    <w:rsid w:val="0003437E"/>
    <w:rsid w:val="00047239"/>
    <w:rsid w:val="00056989"/>
    <w:rsid w:val="00075CF7"/>
    <w:rsid w:val="000A2634"/>
    <w:rsid w:val="000A7A58"/>
    <w:rsid w:val="000B1FDA"/>
    <w:rsid w:val="000C3AAB"/>
    <w:rsid w:val="000F6336"/>
    <w:rsid w:val="00102DC8"/>
    <w:rsid w:val="001350B4"/>
    <w:rsid w:val="00145317"/>
    <w:rsid w:val="00145440"/>
    <w:rsid w:val="00155DDF"/>
    <w:rsid w:val="00171311"/>
    <w:rsid w:val="001D2AA3"/>
    <w:rsid w:val="001E3240"/>
    <w:rsid w:val="001F1253"/>
    <w:rsid w:val="001F590C"/>
    <w:rsid w:val="00224ECF"/>
    <w:rsid w:val="0025778D"/>
    <w:rsid w:val="0026229B"/>
    <w:rsid w:val="0027086C"/>
    <w:rsid w:val="002A01AF"/>
    <w:rsid w:val="002A0EB9"/>
    <w:rsid w:val="002C1249"/>
    <w:rsid w:val="002C18B9"/>
    <w:rsid w:val="002C5C55"/>
    <w:rsid w:val="002D40BD"/>
    <w:rsid w:val="002D6B66"/>
    <w:rsid w:val="0032671C"/>
    <w:rsid w:val="0033028A"/>
    <w:rsid w:val="003404AB"/>
    <w:rsid w:val="003A0F9D"/>
    <w:rsid w:val="003B30F0"/>
    <w:rsid w:val="003B5E11"/>
    <w:rsid w:val="003F7E19"/>
    <w:rsid w:val="00403E46"/>
    <w:rsid w:val="004265BF"/>
    <w:rsid w:val="00460FDC"/>
    <w:rsid w:val="00490985"/>
    <w:rsid w:val="004A41CE"/>
    <w:rsid w:val="004C4705"/>
    <w:rsid w:val="004F2858"/>
    <w:rsid w:val="00500540"/>
    <w:rsid w:val="0051498F"/>
    <w:rsid w:val="00515898"/>
    <w:rsid w:val="00527D15"/>
    <w:rsid w:val="00563EF5"/>
    <w:rsid w:val="00573F3D"/>
    <w:rsid w:val="00575937"/>
    <w:rsid w:val="00580427"/>
    <w:rsid w:val="005B5017"/>
    <w:rsid w:val="005C780B"/>
    <w:rsid w:val="005E2211"/>
    <w:rsid w:val="00622506"/>
    <w:rsid w:val="006627B3"/>
    <w:rsid w:val="0067467E"/>
    <w:rsid w:val="00680A8C"/>
    <w:rsid w:val="00693EA3"/>
    <w:rsid w:val="006C09C0"/>
    <w:rsid w:val="006C4D4E"/>
    <w:rsid w:val="006D485C"/>
    <w:rsid w:val="006E3C7A"/>
    <w:rsid w:val="006F18E2"/>
    <w:rsid w:val="00720D47"/>
    <w:rsid w:val="007221D2"/>
    <w:rsid w:val="00724DD0"/>
    <w:rsid w:val="00740EF1"/>
    <w:rsid w:val="00745B89"/>
    <w:rsid w:val="007513A3"/>
    <w:rsid w:val="0078394B"/>
    <w:rsid w:val="007852DE"/>
    <w:rsid w:val="00786CD5"/>
    <w:rsid w:val="00790E25"/>
    <w:rsid w:val="007A0D8C"/>
    <w:rsid w:val="007A5DEE"/>
    <w:rsid w:val="007C7F7D"/>
    <w:rsid w:val="007D389A"/>
    <w:rsid w:val="007E7084"/>
    <w:rsid w:val="007E7553"/>
    <w:rsid w:val="007F5CEE"/>
    <w:rsid w:val="00801D3C"/>
    <w:rsid w:val="00813F6E"/>
    <w:rsid w:val="00823E44"/>
    <w:rsid w:val="00844898"/>
    <w:rsid w:val="00884A35"/>
    <w:rsid w:val="00891CB7"/>
    <w:rsid w:val="00893CFA"/>
    <w:rsid w:val="00893E3B"/>
    <w:rsid w:val="008A7729"/>
    <w:rsid w:val="008B0122"/>
    <w:rsid w:val="008F3996"/>
    <w:rsid w:val="009138C8"/>
    <w:rsid w:val="00946A8D"/>
    <w:rsid w:val="00982B0F"/>
    <w:rsid w:val="009866FE"/>
    <w:rsid w:val="009B04D9"/>
    <w:rsid w:val="009E748C"/>
    <w:rsid w:val="00A01C80"/>
    <w:rsid w:val="00A03EEA"/>
    <w:rsid w:val="00A41DF3"/>
    <w:rsid w:val="00A47491"/>
    <w:rsid w:val="00A63942"/>
    <w:rsid w:val="00A722F6"/>
    <w:rsid w:val="00A74810"/>
    <w:rsid w:val="00A858A2"/>
    <w:rsid w:val="00AA7E28"/>
    <w:rsid w:val="00AC2DF7"/>
    <w:rsid w:val="00AC72EB"/>
    <w:rsid w:val="00AD2E38"/>
    <w:rsid w:val="00AD3474"/>
    <w:rsid w:val="00AF3065"/>
    <w:rsid w:val="00B03001"/>
    <w:rsid w:val="00B32028"/>
    <w:rsid w:val="00B731CF"/>
    <w:rsid w:val="00B96525"/>
    <w:rsid w:val="00BA7863"/>
    <w:rsid w:val="00BE0CAD"/>
    <w:rsid w:val="00BE7D16"/>
    <w:rsid w:val="00C165AC"/>
    <w:rsid w:val="00C51DA8"/>
    <w:rsid w:val="00CB2AB4"/>
    <w:rsid w:val="00CE20F0"/>
    <w:rsid w:val="00D47B30"/>
    <w:rsid w:val="00D60363"/>
    <w:rsid w:val="00D65111"/>
    <w:rsid w:val="00D72B92"/>
    <w:rsid w:val="00D72DE0"/>
    <w:rsid w:val="00D734FE"/>
    <w:rsid w:val="00DD69A8"/>
    <w:rsid w:val="00DE3CEE"/>
    <w:rsid w:val="00E101FE"/>
    <w:rsid w:val="00E11A43"/>
    <w:rsid w:val="00E17250"/>
    <w:rsid w:val="00E217B0"/>
    <w:rsid w:val="00E242B8"/>
    <w:rsid w:val="00E30615"/>
    <w:rsid w:val="00E40B22"/>
    <w:rsid w:val="00E60FCF"/>
    <w:rsid w:val="00EA1281"/>
    <w:rsid w:val="00EC724A"/>
    <w:rsid w:val="00ED2691"/>
    <w:rsid w:val="00F209FE"/>
    <w:rsid w:val="00F55269"/>
    <w:rsid w:val="00F853AE"/>
    <w:rsid w:val="00FB7137"/>
    <w:rsid w:val="00FC07A0"/>
    <w:rsid w:val="00FC3960"/>
    <w:rsid w:val="00FE48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417A5E-FEC2-4116-AF8A-0341D729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857"/>
    <w:pPr>
      <w:spacing w:after="0"/>
      <w:jc w:val="center"/>
      <w:outlineLvl w:val="0"/>
    </w:pPr>
    <w:rPr>
      <w:rFonts w:cs="Arial"/>
      <w:b/>
      <w:sz w:val="21"/>
      <w:szCs w:val="24"/>
    </w:rPr>
  </w:style>
  <w:style w:type="paragraph" w:styleId="Heading2">
    <w:name w:val="heading 2"/>
    <w:basedOn w:val="Normal"/>
    <w:next w:val="Normal"/>
    <w:link w:val="Heading2Char"/>
    <w:uiPriority w:val="9"/>
    <w:unhideWhenUsed/>
    <w:qFormat/>
    <w:rsid w:val="00FE4857"/>
    <w:pPr>
      <w:spacing w:after="0"/>
      <w:jc w:val="both"/>
      <w:outlineLvl w:val="1"/>
    </w:pPr>
    <w:rPr>
      <w:rFonts w:cs="Arial"/>
      <w:b/>
      <w:sz w:val="21"/>
    </w:rPr>
  </w:style>
  <w:style w:type="paragraph" w:styleId="Heading3">
    <w:name w:val="heading 3"/>
    <w:basedOn w:val="ListParagraph"/>
    <w:next w:val="Normal"/>
    <w:link w:val="Heading3Char"/>
    <w:uiPriority w:val="9"/>
    <w:unhideWhenUsed/>
    <w:qFormat/>
    <w:rsid w:val="00FE4857"/>
    <w:pPr>
      <w:numPr>
        <w:numId w:val="22"/>
      </w:numPr>
      <w:spacing w:after="0"/>
      <w:jc w:val="both"/>
      <w:outlineLvl w:val="2"/>
    </w:pPr>
    <w:rPr>
      <w:rFonts w:cs="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58"/>
    <w:pPr>
      <w:ind w:left="720"/>
      <w:contextualSpacing/>
    </w:pPr>
  </w:style>
  <w:style w:type="paragraph" w:styleId="Footer">
    <w:name w:val="footer"/>
    <w:basedOn w:val="Normal"/>
    <w:link w:val="FooterChar"/>
    <w:uiPriority w:val="99"/>
    <w:unhideWhenUsed/>
    <w:rsid w:val="004F2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58"/>
  </w:style>
  <w:style w:type="paragraph" w:styleId="BalloonText">
    <w:name w:val="Balloon Text"/>
    <w:basedOn w:val="Normal"/>
    <w:link w:val="BalloonTextChar"/>
    <w:uiPriority w:val="99"/>
    <w:semiHidden/>
    <w:unhideWhenUsed/>
    <w:rsid w:val="008B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122"/>
    <w:rPr>
      <w:rFonts w:ascii="Segoe UI" w:hAnsi="Segoe UI" w:cs="Segoe UI"/>
      <w:sz w:val="18"/>
      <w:szCs w:val="18"/>
    </w:rPr>
  </w:style>
  <w:style w:type="paragraph" w:styleId="Header">
    <w:name w:val="header"/>
    <w:basedOn w:val="Normal"/>
    <w:link w:val="HeaderChar"/>
    <w:uiPriority w:val="99"/>
    <w:unhideWhenUsed/>
    <w:rsid w:val="00C51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DA8"/>
  </w:style>
  <w:style w:type="character" w:styleId="CommentReference">
    <w:name w:val="annotation reference"/>
    <w:basedOn w:val="DefaultParagraphFont"/>
    <w:uiPriority w:val="99"/>
    <w:semiHidden/>
    <w:unhideWhenUsed/>
    <w:rsid w:val="0003437E"/>
    <w:rPr>
      <w:sz w:val="16"/>
      <w:szCs w:val="16"/>
    </w:rPr>
  </w:style>
  <w:style w:type="paragraph" w:styleId="CommentText">
    <w:name w:val="annotation text"/>
    <w:basedOn w:val="Normal"/>
    <w:link w:val="CommentTextChar"/>
    <w:uiPriority w:val="99"/>
    <w:semiHidden/>
    <w:unhideWhenUsed/>
    <w:rsid w:val="0003437E"/>
    <w:pPr>
      <w:spacing w:line="240" w:lineRule="auto"/>
    </w:pPr>
    <w:rPr>
      <w:sz w:val="20"/>
      <w:szCs w:val="20"/>
    </w:rPr>
  </w:style>
  <w:style w:type="character" w:customStyle="1" w:styleId="CommentTextChar">
    <w:name w:val="Comment Text Char"/>
    <w:basedOn w:val="DefaultParagraphFont"/>
    <w:link w:val="CommentText"/>
    <w:uiPriority w:val="99"/>
    <w:semiHidden/>
    <w:rsid w:val="0003437E"/>
    <w:rPr>
      <w:sz w:val="20"/>
      <w:szCs w:val="20"/>
    </w:rPr>
  </w:style>
  <w:style w:type="paragraph" w:styleId="CommentSubject">
    <w:name w:val="annotation subject"/>
    <w:basedOn w:val="CommentText"/>
    <w:next w:val="CommentText"/>
    <w:link w:val="CommentSubjectChar"/>
    <w:uiPriority w:val="99"/>
    <w:semiHidden/>
    <w:unhideWhenUsed/>
    <w:rsid w:val="0003437E"/>
    <w:rPr>
      <w:b/>
      <w:bCs/>
    </w:rPr>
  </w:style>
  <w:style w:type="character" w:customStyle="1" w:styleId="CommentSubjectChar">
    <w:name w:val="Comment Subject Char"/>
    <w:basedOn w:val="CommentTextChar"/>
    <w:link w:val="CommentSubject"/>
    <w:uiPriority w:val="99"/>
    <w:semiHidden/>
    <w:rsid w:val="0003437E"/>
    <w:rPr>
      <w:b/>
      <w:bCs/>
      <w:sz w:val="20"/>
      <w:szCs w:val="20"/>
    </w:rPr>
  </w:style>
  <w:style w:type="paragraph" w:styleId="Revision">
    <w:name w:val="Revision"/>
    <w:hidden/>
    <w:uiPriority w:val="99"/>
    <w:semiHidden/>
    <w:rsid w:val="00E17250"/>
    <w:pPr>
      <w:spacing w:after="0" w:line="240" w:lineRule="auto"/>
    </w:pPr>
  </w:style>
  <w:style w:type="character" w:customStyle="1" w:styleId="Heading1Char">
    <w:name w:val="Heading 1 Char"/>
    <w:basedOn w:val="DefaultParagraphFont"/>
    <w:link w:val="Heading1"/>
    <w:uiPriority w:val="9"/>
    <w:rsid w:val="00FE4857"/>
    <w:rPr>
      <w:rFonts w:cs="Arial"/>
      <w:b/>
      <w:sz w:val="21"/>
      <w:szCs w:val="24"/>
    </w:rPr>
  </w:style>
  <w:style w:type="character" w:customStyle="1" w:styleId="Heading2Char">
    <w:name w:val="Heading 2 Char"/>
    <w:basedOn w:val="DefaultParagraphFont"/>
    <w:link w:val="Heading2"/>
    <w:uiPriority w:val="9"/>
    <w:rsid w:val="00FE4857"/>
    <w:rPr>
      <w:rFonts w:cs="Arial"/>
      <w:b/>
      <w:sz w:val="21"/>
    </w:rPr>
  </w:style>
  <w:style w:type="character" w:customStyle="1" w:styleId="Heading3Char">
    <w:name w:val="Heading 3 Char"/>
    <w:basedOn w:val="DefaultParagraphFont"/>
    <w:link w:val="Heading3"/>
    <w:uiPriority w:val="9"/>
    <w:rsid w:val="00FE4857"/>
    <w:rPr>
      <w:rFonts w:cs="Arial"/>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97223">
      <w:bodyDiv w:val="1"/>
      <w:marLeft w:val="0"/>
      <w:marRight w:val="0"/>
      <w:marTop w:val="0"/>
      <w:marBottom w:val="0"/>
      <w:divBdr>
        <w:top w:val="none" w:sz="0" w:space="0" w:color="auto"/>
        <w:left w:val="none" w:sz="0" w:space="0" w:color="auto"/>
        <w:bottom w:val="none" w:sz="0" w:space="0" w:color="auto"/>
        <w:right w:val="none" w:sz="0" w:space="0" w:color="auto"/>
      </w:divBdr>
    </w:div>
    <w:div w:id="17539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4662-7DBD-47A7-8C25-D00A50AF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43EFF4B9</Template>
  <TotalTime>1</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to In-Between Travel Settlement Agreement: 20 October 2016</dc:title>
  <dc:creator>Ministry of Health</dc:creator>
  <cp:lastModifiedBy>Ministry of Health</cp:lastModifiedBy>
  <cp:revision>2</cp:revision>
  <cp:lastPrinted>2016-10-20T04:36:00Z</cp:lastPrinted>
  <dcterms:created xsi:type="dcterms:W3CDTF">2017-03-21T22:08:00Z</dcterms:created>
  <dcterms:modified xsi:type="dcterms:W3CDTF">2017-03-21T22:08:00Z</dcterms:modified>
</cp:coreProperties>
</file>