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2D1A" w14:textId="2313CCF5" w:rsidR="00D839CD" w:rsidRPr="009A4FEE" w:rsidRDefault="00D839CD" w:rsidP="00497FC1">
      <w:pPr>
        <w:rPr>
          <w:rFonts w:ascii="Poppins" w:hAnsi="Poppins" w:cs="Poppins"/>
          <w:b/>
          <w:bCs/>
          <w:sz w:val="32"/>
          <w:szCs w:val="32"/>
        </w:rPr>
      </w:pPr>
      <w:r w:rsidRPr="009A4FEE">
        <w:rPr>
          <w:rFonts w:ascii="Poppins" w:hAnsi="Poppins" w:cs="Poppins"/>
          <w:noProof/>
        </w:rPr>
        <mc:AlternateContent>
          <mc:Choice Requires="wps">
            <w:drawing>
              <wp:anchor distT="0" distB="0" distL="114300" distR="114300" simplePos="0" relativeHeight="251659264" behindDoc="1" locked="0" layoutInCell="1" allowOverlap="1" wp14:anchorId="49AA8AC0" wp14:editId="19E4120C">
                <wp:simplePos x="0" y="0"/>
                <wp:positionH relativeFrom="margin">
                  <wp:align>right</wp:align>
                </wp:positionH>
                <wp:positionV relativeFrom="page">
                  <wp:posOffset>857250</wp:posOffset>
                </wp:positionV>
                <wp:extent cx="2379889" cy="504825"/>
                <wp:effectExtent l="0" t="0" r="1905" b="9525"/>
                <wp:wrapNone/>
                <wp:docPr id="1" name="docshape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379889" cy="504825"/>
                        </a:xfrm>
                        <a:prstGeom prst="rect">
                          <a:avLst/>
                        </a:prstGeom>
                        <a:blipFill>
                          <a:blip r:embed="rId7"/>
                          <a:stretch>
                            <a:fillRect/>
                          </a:stretch>
                        </a:blipFill>
                        <a:ln>
                          <a:noFill/>
                        </a:ln>
                      </wps:spPr>
                      <wps:txbx>
                        <w:txbxContent>
                          <w:p w14:paraId="6F46EE6E" w14:textId="77777777" w:rsidR="00D839CD" w:rsidRDefault="00D839CD" w:rsidP="00C84239">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8AC0" id="_x0000_t202" coordsize="21600,21600" o:spt="202" path="m,l,21600r21600,l21600,xe">
                <v:stroke joinstyle="miter"/>
                <v:path gradientshapeok="t" o:connecttype="rect"/>
              </v:shapetype>
              <v:shape id="docshape12" o:spid="_x0000_s1026" type="#_x0000_t202" style="position:absolute;margin-left:136.2pt;margin-top:67.5pt;width:187.4pt;height:3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" stroked="f">
                <v:fill r:id="rId8" o:title="" recolor="t" rotate="t" type="frame"/>
                <o:lock v:ext="edit" aspectratio="t"/>
                <v:textbox inset="0,0,0,0">
                  <w:txbxContent>
                    <w:p w14:paraId="6F46EE6E" w14:textId="77777777" w:rsidR="00D839CD" w:rsidRDefault="00D839CD" w:rsidP="00C84239">
                      <w:pPr>
                        <w:jc w:val="right"/>
                      </w:pPr>
                    </w:p>
                  </w:txbxContent>
                </v:textbox>
                <w10:wrap anchorx="margin" anchory="page"/>
              </v:shape>
            </w:pict>
          </mc:Fallback>
        </mc:AlternateContent>
      </w:r>
    </w:p>
    <w:p w14:paraId="42F905AB" w14:textId="77777777" w:rsidR="00497FC1" w:rsidRPr="009A4FEE" w:rsidRDefault="00497FC1" w:rsidP="00497FC1">
      <w:pPr>
        <w:rPr>
          <w:rFonts w:ascii="Poppins" w:hAnsi="Poppins" w:cs="Poppins"/>
          <w:b/>
          <w:bCs/>
          <w:sz w:val="32"/>
          <w:szCs w:val="32"/>
        </w:rPr>
      </w:pPr>
    </w:p>
    <w:p w14:paraId="21C82990" w14:textId="10B88651" w:rsidR="00A07164" w:rsidRDefault="00A80570" w:rsidP="00497FC1">
      <w:pPr>
        <w:rPr>
          <w:rFonts w:ascii="Poppins" w:hAnsi="Poppins" w:cs="Poppins"/>
          <w:b/>
          <w:bCs/>
          <w:color w:val="002060"/>
          <w:sz w:val="44"/>
          <w:szCs w:val="44"/>
        </w:rPr>
      </w:pPr>
      <w:r w:rsidRPr="00A80570">
        <w:rPr>
          <w:rFonts w:ascii="Poppins" w:hAnsi="Poppins" w:cs="Poppins"/>
          <w:b/>
          <w:bCs/>
          <w:color w:val="002060"/>
          <w:sz w:val="44"/>
          <w:szCs w:val="44"/>
        </w:rPr>
        <w:t>Health and Disability Sector 1 July 2023 Funding Increases – Proposed Care and Support Worker Wage Increase – Tripartite Discussions and Sector Proposal</w:t>
      </w:r>
    </w:p>
    <w:p w14:paraId="1BE193C2" w14:textId="659AF428" w:rsidR="00FF2011" w:rsidRDefault="00FF2011" w:rsidP="00A07164">
      <w:pPr>
        <w:rPr>
          <w:rFonts w:ascii="Poppins" w:hAnsi="Poppins" w:cs="Poppins"/>
          <w:sz w:val="20"/>
          <w:szCs w:val="20"/>
        </w:rPr>
      </w:pPr>
      <w:r>
        <w:rPr>
          <w:rFonts w:ascii="Poppins" w:hAnsi="Poppins" w:cs="Poppins"/>
          <w:sz w:val="20"/>
          <w:szCs w:val="20"/>
        </w:rPr>
        <w:t>August 2023</w:t>
      </w:r>
    </w:p>
    <w:p w14:paraId="53B97103" w14:textId="77777777" w:rsidR="00FF2011" w:rsidRDefault="00FF2011" w:rsidP="00A07164">
      <w:pPr>
        <w:rPr>
          <w:rFonts w:ascii="Poppins" w:hAnsi="Poppins" w:cs="Poppins"/>
          <w:sz w:val="20"/>
          <w:szCs w:val="20"/>
        </w:rPr>
      </w:pPr>
    </w:p>
    <w:p w14:paraId="7B43BC3D" w14:textId="3CB7014B" w:rsidR="00A07164" w:rsidRPr="00A07164" w:rsidRDefault="00A07164" w:rsidP="00A07164">
      <w:pPr>
        <w:rPr>
          <w:rFonts w:ascii="Poppins" w:hAnsi="Poppins" w:cs="Poppins"/>
          <w:sz w:val="20"/>
          <w:szCs w:val="20"/>
        </w:rPr>
      </w:pPr>
      <w:proofErr w:type="gramStart"/>
      <w:r w:rsidRPr="00A07164">
        <w:rPr>
          <w:rFonts w:ascii="Poppins" w:hAnsi="Poppins" w:cs="Poppins"/>
          <w:sz w:val="20"/>
          <w:szCs w:val="20"/>
        </w:rPr>
        <w:t>Following recent tripartite discussions, it</w:t>
      </w:r>
      <w:proofErr w:type="gramEnd"/>
      <w:r w:rsidRPr="00A07164">
        <w:rPr>
          <w:rFonts w:ascii="Poppins" w:hAnsi="Poppins" w:cs="Poppins"/>
          <w:sz w:val="20"/>
          <w:szCs w:val="20"/>
        </w:rPr>
        <w:t xml:space="preserve"> is proposed that service providers across the Home and Community, Disability, Mental Health &amp; Addictions, and Aged </w:t>
      </w:r>
      <w:r w:rsidR="00A0084A" w:rsidRPr="00A07164">
        <w:rPr>
          <w:rFonts w:ascii="Poppins" w:hAnsi="Poppins" w:cs="Poppins"/>
          <w:sz w:val="20"/>
          <w:szCs w:val="20"/>
        </w:rPr>
        <w:t xml:space="preserve">Residential </w:t>
      </w:r>
      <w:r w:rsidRPr="00A07164">
        <w:rPr>
          <w:rFonts w:ascii="Poppins" w:hAnsi="Poppins" w:cs="Poppins"/>
          <w:sz w:val="20"/>
          <w:szCs w:val="20"/>
        </w:rPr>
        <w:t xml:space="preserve">Care sectors consider increasing the wage rates for care and support workers (CSWs) by 3% from funding made available from funders, effective 1 July 2023. </w:t>
      </w:r>
    </w:p>
    <w:p w14:paraId="474DAA91" w14:textId="1D6F8390" w:rsidR="00A07164" w:rsidRPr="00A07164" w:rsidRDefault="00A07164" w:rsidP="00A07164">
      <w:pPr>
        <w:rPr>
          <w:rFonts w:ascii="Poppins" w:hAnsi="Poppins" w:cs="Poppins"/>
          <w:sz w:val="20"/>
          <w:szCs w:val="20"/>
        </w:rPr>
      </w:pPr>
      <w:r w:rsidRPr="00A07164">
        <w:rPr>
          <w:rFonts w:ascii="Poppins" w:hAnsi="Poppins" w:cs="Poppins"/>
          <w:sz w:val="20"/>
          <w:szCs w:val="20"/>
        </w:rPr>
        <w:t xml:space="preserve">The purpose of this sector proposal is to outline a collective approach to ensure sector consistency.  It is not a formal agreement or mechanism that can bind any party.  However, some of the funding offered is tagged to this purpose – see further details below.  </w:t>
      </w:r>
    </w:p>
    <w:p w14:paraId="41A351EF" w14:textId="3424A265" w:rsidR="00A07164" w:rsidRPr="00A07164" w:rsidRDefault="00A07164" w:rsidP="00A07164">
      <w:pPr>
        <w:rPr>
          <w:rFonts w:ascii="Poppins" w:hAnsi="Poppins" w:cs="Poppins"/>
          <w:sz w:val="20"/>
          <w:szCs w:val="20"/>
        </w:rPr>
      </w:pPr>
      <w:r w:rsidRPr="00A07164">
        <w:rPr>
          <w:rFonts w:ascii="Poppins" w:hAnsi="Poppins" w:cs="Poppins"/>
          <w:sz w:val="20"/>
          <w:szCs w:val="20"/>
        </w:rPr>
        <w:t xml:space="preserve">The four relevant peak bodies and three unions have agreed to share this proposal and encourage members to consider the proposal. </w:t>
      </w:r>
    </w:p>
    <w:p w14:paraId="4198D51A" w14:textId="01B21334" w:rsidR="00A07164" w:rsidRPr="00A07164" w:rsidRDefault="00A07164" w:rsidP="00A07164">
      <w:pPr>
        <w:rPr>
          <w:rFonts w:ascii="Poppins" w:hAnsi="Poppins" w:cs="Poppins"/>
          <w:sz w:val="20"/>
          <w:szCs w:val="20"/>
        </w:rPr>
      </w:pPr>
      <w:r w:rsidRPr="00A07164">
        <w:rPr>
          <w:rFonts w:ascii="Poppins" w:hAnsi="Poppins" w:cs="Poppins"/>
          <w:sz w:val="20"/>
          <w:szCs w:val="20"/>
        </w:rPr>
        <w:t xml:space="preserve">This proposal means that individual service providers will need to decide whether they follow the suggested approach, and therefore proceed with a process to vary their CSW employment agreements to implement the suggested wage increase – until such time as a sector solution is implemented in relation to pay equity for this workforce (expected in early 2024).  Separate employment collective bargaining processes between unions and individual employers will continue. </w:t>
      </w:r>
    </w:p>
    <w:p w14:paraId="2B717D18" w14:textId="0EBAE8C9" w:rsidR="00A07164" w:rsidRPr="00A07164" w:rsidRDefault="00A07164" w:rsidP="00A07164">
      <w:pPr>
        <w:rPr>
          <w:rFonts w:ascii="Poppins" w:hAnsi="Poppins" w:cs="Poppins"/>
          <w:sz w:val="20"/>
          <w:szCs w:val="20"/>
        </w:rPr>
      </w:pPr>
      <w:r w:rsidRPr="00A07164">
        <w:rPr>
          <w:rFonts w:ascii="Poppins" w:hAnsi="Poppins" w:cs="Poppins"/>
          <w:sz w:val="20"/>
          <w:szCs w:val="20"/>
        </w:rPr>
        <w:t xml:space="preserve">All representatives have been clear in their views and expectations that the sector would benefit from a consistent sector approach.  Given that there has been a decision not to </w:t>
      </w:r>
      <w:proofErr w:type="gramStart"/>
      <w:r w:rsidRPr="00A07164">
        <w:rPr>
          <w:rFonts w:ascii="Poppins" w:hAnsi="Poppins" w:cs="Poppins"/>
          <w:sz w:val="20"/>
          <w:szCs w:val="20"/>
        </w:rPr>
        <w:t>effect</w:t>
      </w:r>
      <w:proofErr w:type="gramEnd"/>
      <w:r w:rsidRPr="00A07164">
        <w:rPr>
          <w:rFonts w:ascii="Poppins" w:hAnsi="Poppins" w:cs="Poppins"/>
          <w:sz w:val="20"/>
          <w:szCs w:val="20"/>
        </w:rPr>
        <w:t xml:space="preserve"> any increase via the existing legislation for CSWs, and the request from unions and service providers for an additional funding increase for CSW wage increases was not accepted, the proposed increase largely needs to come out of general business as usual funding provided by the multiple funders involved (noting that some funders have tagged funding for this specific purpose).  Whilst the general funding is offered to service </w:t>
      </w:r>
      <w:r w:rsidRPr="00A07164">
        <w:rPr>
          <w:rFonts w:ascii="Poppins" w:hAnsi="Poppins" w:cs="Poppins"/>
          <w:sz w:val="20"/>
          <w:szCs w:val="20"/>
        </w:rPr>
        <w:lastRenderedPageBreak/>
        <w:t xml:space="preserve">providers to use at their discretion, the Minister of Health and Te </w:t>
      </w:r>
      <w:proofErr w:type="spellStart"/>
      <w:r w:rsidRPr="00A07164">
        <w:rPr>
          <w:rFonts w:ascii="Poppins" w:hAnsi="Poppins" w:cs="Poppins"/>
          <w:sz w:val="20"/>
          <w:szCs w:val="20"/>
        </w:rPr>
        <w:t>Whatu</w:t>
      </w:r>
      <w:proofErr w:type="spellEnd"/>
      <w:r w:rsidRPr="00A07164">
        <w:rPr>
          <w:rFonts w:ascii="Poppins" w:hAnsi="Poppins" w:cs="Poppins"/>
          <w:sz w:val="20"/>
          <w:szCs w:val="20"/>
        </w:rPr>
        <w:t xml:space="preserve"> Ora have made it clear that they have strong expectations that a large part of the funding should be used for wage increases.  </w:t>
      </w:r>
    </w:p>
    <w:p w14:paraId="0594BADB" w14:textId="1809D14D" w:rsidR="00A07164" w:rsidRPr="00A07164" w:rsidRDefault="00A07164" w:rsidP="00A07164">
      <w:pPr>
        <w:rPr>
          <w:rFonts w:ascii="Poppins" w:hAnsi="Poppins" w:cs="Poppins"/>
          <w:sz w:val="20"/>
          <w:szCs w:val="20"/>
        </w:rPr>
      </w:pPr>
      <w:r w:rsidRPr="00A07164">
        <w:rPr>
          <w:rFonts w:ascii="Poppins" w:hAnsi="Poppins" w:cs="Poppins"/>
          <w:sz w:val="20"/>
          <w:szCs w:val="20"/>
        </w:rPr>
        <w:t xml:space="preserve">For clarity, the proposed sector approach relates solely to CSWs.  It will be left to service providers to determine how they address other workforce relativities.  </w:t>
      </w:r>
    </w:p>
    <w:p w14:paraId="35D10C8C" w14:textId="77777777" w:rsidR="00A07164" w:rsidRPr="00A0084A" w:rsidRDefault="00A07164" w:rsidP="00A07164">
      <w:pPr>
        <w:rPr>
          <w:rFonts w:ascii="Poppins" w:hAnsi="Poppins" w:cs="Poppins"/>
          <w:b/>
          <w:bCs/>
          <w:sz w:val="20"/>
          <w:szCs w:val="20"/>
        </w:rPr>
      </w:pPr>
      <w:r w:rsidRPr="00A0084A">
        <w:rPr>
          <w:rFonts w:ascii="Poppins" w:hAnsi="Poppins" w:cs="Poppins"/>
          <w:b/>
          <w:bCs/>
          <w:sz w:val="20"/>
          <w:szCs w:val="20"/>
        </w:rPr>
        <w:t>Available Funding</w:t>
      </w:r>
    </w:p>
    <w:p w14:paraId="2FDB180C" w14:textId="6D242821" w:rsidR="00A07164" w:rsidRPr="00A0084A" w:rsidRDefault="00A07164" w:rsidP="00A0084A">
      <w:pPr>
        <w:pStyle w:val="ListParagraph"/>
        <w:numPr>
          <w:ilvl w:val="0"/>
          <w:numId w:val="40"/>
        </w:numPr>
        <w:rPr>
          <w:rFonts w:ascii="Poppins" w:hAnsi="Poppins" w:cs="Poppins"/>
          <w:sz w:val="20"/>
          <w:szCs w:val="20"/>
        </w:rPr>
      </w:pPr>
      <w:r w:rsidRPr="00A0084A">
        <w:rPr>
          <w:rFonts w:ascii="Poppins" w:hAnsi="Poppins" w:cs="Poppins"/>
          <w:sz w:val="20"/>
          <w:szCs w:val="20"/>
        </w:rPr>
        <w:t xml:space="preserve">Providers contracted by Te </w:t>
      </w:r>
      <w:proofErr w:type="spellStart"/>
      <w:r w:rsidRPr="00A0084A">
        <w:rPr>
          <w:rFonts w:ascii="Poppins" w:hAnsi="Poppins" w:cs="Poppins"/>
          <w:sz w:val="20"/>
          <w:szCs w:val="20"/>
        </w:rPr>
        <w:t>Whatu</w:t>
      </w:r>
      <w:proofErr w:type="spellEnd"/>
      <w:r w:rsidRPr="00A0084A">
        <w:rPr>
          <w:rFonts w:ascii="Poppins" w:hAnsi="Poppins" w:cs="Poppins"/>
          <w:sz w:val="20"/>
          <w:szCs w:val="20"/>
        </w:rPr>
        <w:t xml:space="preserve"> Ora have recently been notified that there will be a 5% BAU funding increase from 1 July 2023.  </w:t>
      </w:r>
    </w:p>
    <w:p w14:paraId="03365F40" w14:textId="4C1A48DB" w:rsidR="00A07164" w:rsidRPr="00A0084A" w:rsidRDefault="00A07164" w:rsidP="00A0084A">
      <w:pPr>
        <w:pStyle w:val="ListParagraph"/>
        <w:numPr>
          <w:ilvl w:val="0"/>
          <w:numId w:val="40"/>
        </w:numPr>
        <w:rPr>
          <w:rFonts w:ascii="Poppins" w:hAnsi="Poppins" w:cs="Poppins"/>
          <w:sz w:val="20"/>
          <w:szCs w:val="20"/>
        </w:rPr>
      </w:pPr>
      <w:r w:rsidRPr="00A0084A">
        <w:rPr>
          <w:rFonts w:ascii="Poppins" w:hAnsi="Poppins" w:cs="Poppins"/>
          <w:sz w:val="20"/>
          <w:szCs w:val="20"/>
        </w:rPr>
        <w:t xml:space="preserve">MSD has previously confirmed </w:t>
      </w:r>
      <w:proofErr w:type="gramStart"/>
      <w:r w:rsidRPr="00A0084A">
        <w:rPr>
          <w:rFonts w:ascii="Poppins" w:hAnsi="Poppins" w:cs="Poppins"/>
          <w:sz w:val="20"/>
          <w:szCs w:val="20"/>
        </w:rPr>
        <w:t>7%, and</w:t>
      </w:r>
      <w:proofErr w:type="gramEnd"/>
      <w:r w:rsidRPr="00A0084A">
        <w:rPr>
          <w:rFonts w:ascii="Poppins" w:hAnsi="Poppins" w:cs="Poppins"/>
          <w:sz w:val="20"/>
          <w:szCs w:val="20"/>
        </w:rPr>
        <w:t xml:space="preserve"> is now offering an additional 3% tagged for the purpose of increasing CSW wage rates from 1 July 2023.</w:t>
      </w:r>
    </w:p>
    <w:p w14:paraId="57F0DA63" w14:textId="6F4DD557" w:rsidR="00A07164" w:rsidRPr="00A0084A" w:rsidRDefault="00A07164" w:rsidP="00A0084A">
      <w:pPr>
        <w:pStyle w:val="ListParagraph"/>
        <w:numPr>
          <w:ilvl w:val="0"/>
          <w:numId w:val="40"/>
        </w:numPr>
        <w:rPr>
          <w:rFonts w:ascii="Poppins" w:hAnsi="Poppins" w:cs="Poppins"/>
          <w:sz w:val="20"/>
          <w:szCs w:val="20"/>
        </w:rPr>
      </w:pPr>
      <w:r w:rsidRPr="00A0084A">
        <w:rPr>
          <w:rFonts w:ascii="Poppins" w:hAnsi="Poppins" w:cs="Poppins"/>
          <w:sz w:val="20"/>
          <w:szCs w:val="20"/>
        </w:rPr>
        <w:t xml:space="preserve">ACC has previously confirmed 0.9% to HCSS providers.  It is now offering additional tagged funding to enable providers to increase CSW wage rates by 3% (this funding will be topped up from the 0.9% already confirmed). </w:t>
      </w:r>
    </w:p>
    <w:p w14:paraId="4DF6F463" w14:textId="7A4EB304" w:rsidR="00A07164" w:rsidRPr="00A0084A" w:rsidRDefault="00A07164" w:rsidP="00A0084A">
      <w:pPr>
        <w:pStyle w:val="ListParagraph"/>
        <w:numPr>
          <w:ilvl w:val="0"/>
          <w:numId w:val="40"/>
        </w:numPr>
        <w:rPr>
          <w:rFonts w:ascii="Poppins" w:hAnsi="Poppins" w:cs="Poppins"/>
          <w:sz w:val="20"/>
          <w:szCs w:val="20"/>
        </w:rPr>
      </w:pPr>
      <w:proofErr w:type="spellStart"/>
      <w:r w:rsidRPr="00A0084A">
        <w:rPr>
          <w:rFonts w:ascii="Poppins" w:hAnsi="Poppins" w:cs="Poppins"/>
          <w:sz w:val="20"/>
          <w:szCs w:val="20"/>
        </w:rPr>
        <w:t>Whaikaha</w:t>
      </w:r>
      <w:proofErr w:type="spellEnd"/>
      <w:r w:rsidRPr="00A0084A">
        <w:rPr>
          <w:rFonts w:ascii="Poppins" w:hAnsi="Poppins" w:cs="Poppins"/>
          <w:sz w:val="20"/>
          <w:szCs w:val="20"/>
        </w:rPr>
        <w:t xml:space="preserve"> is offering a general 3% funding increase, which will not have any conditions attached to it (meaning providers may use their discretion), but </w:t>
      </w:r>
      <w:proofErr w:type="spellStart"/>
      <w:r w:rsidRPr="00A0084A">
        <w:rPr>
          <w:rFonts w:ascii="Poppins" w:hAnsi="Poppins" w:cs="Poppins"/>
          <w:sz w:val="20"/>
          <w:szCs w:val="20"/>
        </w:rPr>
        <w:t>Whaikaha</w:t>
      </w:r>
      <w:proofErr w:type="spellEnd"/>
      <w:r w:rsidRPr="00A0084A">
        <w:rPr>
          <w:rFonts w:ascii="Poppins" w:hAnsi="Poppins" w:cs="Poppins"/>
          <w:sz w:val="20"/>
          <w:szCs w:val="20"/>
        </w:rPr>
        <w:t xml:space="preserve"> will be strongly encouraging providers to pass on 3% for CSW wage increases.</w:t>
      </w:r>
    </w:p>
    <w:p w14:paraId="160A6471" w14:textId="4061D0E3" w:rsidR="00A07164" w:rsidRPr="00A0084A" w:rsidRDefault="00A07164" w:rsidP="00A0084A">
      <w:pPr>
        <w:pStyle w:val="ListParagraph"/>
        <w:numPr>
          <w:ilvl w:val="0"/>
          <w:numId w:val="40"/>
        </w:numPr>
        <w:rPr>
          <w:rFonts w:ascii="Poppins" w:hAnsi="Poppins" w:cs="Poppins"/>
          <w:sz w:val="20"/>
          <w:szCs w:val="20"/>
        </w:rPr>
      </w:pPr>
      <w:proofErr w:type="spellStart"/>
      <w:r w:rsidRPr="00A0084A">
        <w:rPr>
          <w:rFonts w:ascii="Poppins" w:hAnsi="Poppins" w:cs="Poppins"/>
          <w:sz w:val="20"/>
          <w:szCs w:val="20"/>
        </w:rPr>
        <w:t>Oranga</w:t>
      </w:r>
      <w:proofErr w:type="spellEnd"/>
      <w:r w:rsidRPr="00A0084A">
        <w:rPr>
          <w:rFonts w:ascii="Poppins" w:hAnsi="Poppins" w:cs="Poppins"/>
          <w:sz w:val="20"/>
          <w:szCs w:val="20"/>
        </w:rPr>
        <w:t xml:space="preserve"> Tamariki, Corrections, and Housing and Urban Development will offer an additional 3% funding tagged to enable providers to increase CSW wage rates.</w:t>
      </w:r>
    </w:p>
    <w:p w14:paraId="6AB7DFCF" w14:textId="4FBD3541" w:rsidR="009A4FEE" w:rsidRDefault="00A07164" w:rsidP="00A0084A">
      <w:pPr>
        <w:pStyle w:val="ListParagraph"/>
        <w:numPr>
          <w:ilvl w:val="0"/>
          <w:numId w:val="40"/>
        </w:numPr>
        <w:rPr>
          <w:rFonts w:ascii="Poppins" w:hAnsi="Poppins" w:cs="Poppins"/>
          <w:sz w:val="20"/>
          <w:szCs w:val="20"/>
        </w:rPr>
      </w:pPr>
      <w:r w:rsidRPr="00A0084A">
        <w:rPr>
          <w:rFonts w:ascii="Poppins" w:hAnsi="Poppins" w:cs="Poppins"/>
          <w:sz w:val="20"/>
          <w:szCs w:val="20"/>
        </w:rPr>
        <w:t>Travel payments for In-Between Travel (IBT) will be updated to the new proposed base wage rates.</w:t>
      </w:r>
    </w:p>
    <w:p w14:paraId="22CE92ED" w14:textId="77777777" w:rsidR="006441D5" w:rsidRDefault="006441D5" w:rsidP="006441D5">
      <w:pPr>
        <w:rPr>
          <w:rFonts w:ascii="Poppins" w:hAnsi="Poppins" w:cs="Poppins"/>
          <w:sz w:val="20"/>
          <w:szCs w:val="20"/>
        </w:rPr>
      </w:pPr>
    </w:p>
    <w:p w14:paraId="74A378E3" w14:textId="52D65B04" w:rsidR="006441D5" w:rsidRPr="006441D5" w:rsidRDefault="006441D5" w:rsidP="006441D5">
      <w:pPr>
        <w:rPr>
          <w:rFonts w:ascii="Poppins" w:hAnsi="Poppins" w:cs="Poppins"/>
          <w:sz w:val="20"/>
          <w:szCs w:val="20"/>
        </w:rPr>
      </w:pPr>
      <w:r w:rsidRPr="006441D5">
        <w:rPr>
          <w:rFonts w:ascii="Poppins" w:hAnsi="Poppins" w:cs="Poppins"/>
          <w:sz w:val="20"/>
          <w:szCs w:val="20"/>
        </w:rPr>
        <w:t xml:space="preserve">The funding outlined above has been confirmed in a letter to service provider representatives from funder representatives (led by Te </w:t>
      </w:r>
      <w:proofErr w:type="spellStart"/>
      <w:r w:rsidRPr="006441D5">
        <w:rPr>
          <w:rFonts w:ascii="Poppins" w:hAnsi="Poppins" w:cs="Poppins"/>
          <w:sz w:val="20"/>
          <w:szCs w:val="20"/>
        </w:rPr>
        <w:t>Whatu</w:t>
      </w:r>
      <w:proofErr w:type="spellEnd"/>
      <w:r w:rsidRPr="006441D5">
        <w:rPr>
          <w:rFonts w:ascii="Poppins" w:hAnsi="Poppins" w:cs="Poppins"/>
          <w:sz w:val="20"/>
          <w:szCs w:val="20"/>
        </w:rPr>
        <w:t xml:space="preserve"> Ora), dated 20 July 2023.  Individual service providers will receive written confirmation directly from the relevant funders (noting that there will be different timeframes for receiving the funding from the different funders).  </w:t>
      </w:r>
    </w:p>
    <w:p w14:paraId="42599725" w14:textId="1586FFB8" w:rsidR="006441D5" w:rsidRPr="006441D5" w:rsidRDefault="006441D5" w:rsidP="006441D5">
      <w:pPr>
        <w:rPr>
          <w:rFonts w:ascii="Poppins" w:hAnsi="Poppins" w:cs="Poppins"/>
          <w:sz w:val="20"/>
          <w:szCs w:val="20"/>
        </w:rPr>
      </w:pPr>
      <w:r w:rsidRPr="006441D5">
        <w:rPr>
          <w:rFonts w:ascii="Poppins" w:hAnsi="Poppins" w:cs="Poppins"/>
          <w:sz w:val="20"/>
          <w:szCs w:val="20"/>
        </w:rPr>
        <w:t xml:space="preserve">Te </w:t>
      </w:r>
      <w:proofErr w:type="spellStart"/>
      <w:r w:rsidRPr="006441D5">
        <w:rPr>
          <w:rFonts w:ascii="Poppins" w:hAnsi="Poppins" w:cs="Poppins"/>
          <w:sz w:val="20"/>
          <w:szCs w:val="20"/>
        </w:rPr>
        <w:t>Whatu</w:t>
      </w:r>
      <w:proofErr w:type="spellEnd"/>
      <w:r w:rsidRPr="006441D5">
        <w:rPr>
          <w:rFonts w:ascii="Poppins" w:hAnsi="Poppins" w:cs="Poppins"/>
          <w:sz w:val="20"/>
          <w:szCs w:val="20"/>
        </w:rPr>
        <w:t xml:space="preserve"> Ora will publish the new proposed base wage rates on their website. </w:t>
      </w:r>
    </w:p>
    <w:p w14:paraId="02083053" w14:textId="77777777" w:rsidR="006441D5" w:rsidRPr="006441D5" w:rsidRDefault="006441D5" w:rsidP="006441D5">
      <w:pPr>
        <w:rPr>
          <w:rFonts w:ascii="Poppins" w:hAnsi="Poppins" w:cs="Poppins"/>
          <w:sz w:val="20"/>
          <w:szCs w:val="20"/>
        </w:rPr>
      </w:pPr>
      <w:r w:rsidRPr="006441D5">
        <w:rPr>
          <w:rFonts w:ascii="Poppins" w:hAnsi="Poppins" w:cs="Poppins"/>
          <w:sz w:val="20"/>
          <w:szCs w:val="20"/>
        </w:rPr>
        <w:t>It has been acknowledged that some service providers have signed contract variations on the understanding that this funding increase is not specifically tagged for any purpose and that providers can use the funding to alleviate various cost pressures (which includes wage increases for all staff) at their discretion.</w:t>
      </w:r>
    </w:p>
    <w:p w14:paraId="0F329761" w14:textId="77777777" w:rsidR="006441D5" w:rsidRPr="006441D5" w:rsidRDefault="006441D5" w:rsidP="006441D5">
      <w:pPr>
        <w:rPr>
          <w:rFonts w:ascii="Poppins" w:hAnsi="Poppins" w:cs="Poppins"/>
          <w:sz w:val="20"/>
          <w:szCs w:val="20"/>
        </w:rPr>
      </w:pPr>
    </w:p>
    <w:p w14:paraId="22E612B3" w14:textId="77777777" w:rsidR="006441D5" w:rsidRPr="006441D5" w:rsidRDefault="006441D5" w:rsidP="006441D5">
      <w:pPr>
        <w:rPr>
          <w:rFonts w:ascii="Poppins" w:hAnsi="Poppins" w:cs="Poppins"/>
          <w:b/>
          <w:bCs/>
          <w:sz w:val="20"/>
          <w:szCs w:val="20"/>
        </w:rPr>
      </w:pPr>
      <w:r w:rsidRPr="006441D5">
        <w:rPr>
          <w:rFonts w:ascii="Poppins" w:hAnsi="Poppins" w:cs="Poppins"/>
          <w:b/>
          <w:bCs/>
          <w:sz w:val="20"/>
          <w:szCs w:val="20"/>
        </w:rPr>
        <w:t>Pay equity</w:t>
      </w:r>
    </w:p>
    <w:p w14:paraId="078D082F" w14:textId="49AC0DFD" w:rsidR="006441D5" w:rsidRPr="006441D5" w:rsidRDefault="006441D5" w:rsidP="006441D5">
      <w:pPr>
        <w:rPr>
          <w:rFonts w:ascii="Poppins" w:hAnsi="Poppins" w:cs="Poppins"/>
          <w:sz w:val="20"/>
          <w:szCs w:val="20"/>
        </w:rPr>
      </w:pPr>
      <w:r w:rsidRPr="006441D5">
        <w:rPr>
          <w:rFonts w:ascii="Poppins" w:hAnsi="Poppins" w:cs="Poppins"/>
          <w:sz w:val="20"/>
          <w:szCs w:val="20"/>
        </w:rPr>
        <w:t xml:space="preserve">The funder representatives have indicated that it will be useful to have a consistent sector approach in relation to a CSW wage increase from 1 July 2023 for the purposes of future funding in relation to the current pay equity claim process.  It has been suggested that the </w:t>
      </w:r>
      <w:r w:rsidRPr="006441D5">
        <w:rPr>
          <w:rFonts w:ascii="Poppins" w:hAnsi="Poppins" w:cs="Poppins"/>
          <w:sz w:val="20"/>
          <w:szCs w:val="20"/>
        </w:rPr>
        <w:lastRenderedPageBreak/>
        <w:t xml:space="preserve">proposed 3% increase will be used as a common baseline in funding calculations for future pay equity funding – regardless of whether individual service providers have actioned this increase or not.  This is the subject of ongoing engagement between the relevant parties. </w:t>
      </w:r>
    </w:p>
    <w:p w14:paraId="487FA919" w14:textId="77777777" w:rsidR="006441D5" w:rsidRPr="006441D5" w:rsidRDefault="006441D5" w:rsidP="006441D5">
      <w:pPr>
        <w:rPr>
          <w:rFonts w:ascii="Poppins" w:hAnsi="Poppins" w:cs="Poppins"/>
          <w:sz w:val="20"/>
          <w:szCs w:val="20"/>
        </w:rPr>
      </w:pPr>
      <w:r w:rsidRPr="006441D5">
        <w:rPr>
          <w:rFonts w:ascii="Poppins" w:hAnsi="Poppins" w:cs="Poppins"/>
          <w:sz w:val="20"/>
          <w:szCs w:val="20"/>
        </w:rPr>
        <w:t xml:space="preserve">It should also be noted that no decisions have yet been made by Government about the mechanism to be used to implement any future sector pay equity solution.  So, it is not yet clear what will happen to the existing CSW legislation which is set to expire on 31 December 2023.  </w:t>
      </w:r>
    </w:p>
    <w:p w14:paraId="0BB7CADA" w14:textId="3F2E0E64" w:rsidR="0032593A" w:rsidRPr="0032593A" w:rsidRDefault="006441D5" w:rsidP="0032593A">
      <w:pPr>
        <w:rPr>
          <w:rFonts w:ascii="Poppins" w:hAnsi="Poppins" w:cs="Poppins"/>
          <w:b/>
          <w:bCs/>
          <w:sz w:val="20"/>
          <w:szCs w:val="20"/>
        </w:rPr>
      </w:pPr>
      <w:r w:rsidRPr="0032593A">
        <w:rPr>
          <w:rFonts w:ascii="Poppins" w:hAnsi="Poppins" w:cs="Poppins"/>
          <w:b/>
          <w:bCs/>
          <w:sz w:val="20"/>
          <w:szCs w:val="20"/>
        </w:rPr>
        <w:t>Proposed base wage rates from 1 July 2023:</w:t>
      </w:r>
    </w:p>
    <w:tbl>
      <w:tblPr>
        <w:tblW w:w="8680" w:type="dxa"/>
        <w:tblInd w:w="-3" w:type="dxa"/>
        <w:tblCellMar>
          <w:left w:w="0" w:type="dxa"/>
          <w:right w:w="0" w:type="dxa"/>
        </w:tblCellMar>
        <w:tblLook w:val="04A0" w:firstRow="1" w:lastRow="0" w:firstColumn="1" w:lastColumn="0" w:noHBand="0" w:noVBand="1"/>
      </w:tblPr>
      <w:tblGrid>
        <w:gridCol w:w="4460"/>
        <w:gridCol w:w="2320"/>
        <w:gridCol w:w="1900"/>
      </w:tblGrid>
      <w:tr w:rsidR="0032593A" w:rsidRPr="0032593A" w14:paraId="003C4C54" w14:textId="77777777" w:rsidTr="00645715">
        <w:trPr>
          <w:trHeight w:val="600"/>
        </w:trPr>
        <w:tc>
          <w:tcPr>
            <w:tcW w:w="4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DBFB3" w14:textId="77777777" w:rsidR="0032593A" w:rsidRPr="0032593A" w:rsidRDefault="0032593A" w:rsidP="00645715">
            <w:pPr>
              <w:rPr>
                <w:rFonts w:ascii="Poppins" w:hAnsi="Poppins" w:cs="Poppins"/>
                <w:b/>
                <w:bCs/>
                <w:color w:val="000000"/>
                <w:sz w:val="20"/>
                <w:szCs w:val="20"/>
              </w:rPr>
            </w:pPr>
            <w:r w:rsidRPr="0032593A">
              <w:rPr>
                <w:rFonts w:ascii="Poppins" w:hAnsi="Poppins" w:cs="Poppins"/>
                <w:b/>
                <w:bCs/>
                <w:color w:val="000000"/>
                <w:sz w:val="20"/>
                <w:szCs w:val="20"/>
              </w:rPr>
              <w:t>Worker’s length of service with employer</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FF9D6" w14:textId="77777777" w:rsidR="0032593A" w:rsidRPr="0032593A" w:rsidRDefault="0032593A" w:rsidP="00645715">
            <w:pPr>
              <w:jc w:val="center"/>
              <w:rPr>
                <w:rFonts w:ascii="Poppins" w:hAnsi="Poppins" w:cs="Poppins"/>
                <w:b/>
                <w:bCs/>
                <w:color w:val="000000"/>
                <w:sz w:val="20"/>
                <w:szCs w:val="20"/>
              </w:rPr>
            </w:pPr>
            <w:r w:rsidRPr="0032593A">
              <w:rPr>
                <w:rFonts w:ascii="Poppins" w:hAnsi="Poppins" w:cs="Poppins"/>
                <w:b/>
                <w:bCs/>
                <w:color w:val="000000"/>
                <w:sz w:val="20"/>
                <w:szCs w:val="20"/>
              </w:rPr>
              <w:t>1 July 2022 to 31 December 2023</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806F57" w14:textId="77777777" w:rsidR="0032593A" w:rsidRPr="0032593A" w:rsidRDefault="0032593A" w:rsidP="00645715">
            <w:pPr>
              <w:jc w:val="center"/>
              <w:rPr>
                <w:rFonts w:ascii="Poppins" w:hAnsi="Poppins" w:cs="Poppins"/>
                <w:b/>
                <w:bCs/>
                <w:color w:val="000000"/>
                <w:sz w:val="20"/>
                <w:szCs w:val="20"/>
              </w:rPr>
            </w:pPr>
            <w:r w:rsidRPr="0032593A">
              <w:rPr>
                <w:rFonts w:ascii="Poppins" w:hAnsi="Poppins" w:cs="Poppins"/>
                <w:b/>
                <w:bCs/>
                <w:color w:val="000000"/>
                <w:sz w:val="20"/>
                <w:szCs w:val="20"/>
              </w:rPr>
              <w:t>3% increase</w:t>
            </w:r>
          </w:p>
        </w:tc>
      </w:tr>
      <w:tr w:rsidR="0032593A" w:rsidRPr="0032593A" w14:paraId="54422EAF"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8DF53"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Less than 3 years</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C3E76"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$22.49</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4E56B"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$23.38</w:t>
            </w:r>
            <w:r w:rsidRPr="0032593A">
              <w:rPr>
                <w:rFonts w:ascii="Poppins" w:hAnsi="Poppins" w:cs="Poppins"/>
                <w:b/>
                <w:bCs/>
                <w:color w:val="000000"/>
                <w:sz w:val="20"/>
                <w:szCs w:val="20"/>
              </w:rPr>
              <w:t>*</w:t>
            </w:r>
          </w:p>
        </w:tc>
      </w:tr>
      <w:tr w:rsidR="0032593A" w:rsidRPr="0032593A" w14:paraId="34237D20"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5D03C"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3 years or more but less than 8 years</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24D6A"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$24.06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09728"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$24.78</w:t>
            </w:r>
          </w:p>
        </w:tc>
      </w:tr>
      <w:tr w:rsidR="0032593A" w:rsidRPr="0032593A" w14:paraId="5323E11A"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3F2D1"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8 years or more but less than 12 years</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70C9F"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$26.16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C21A7"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$26.94</w:t>
            </w:r>
          </w:p>
        </w:tc>
      </w:tr>
      <w:tr w:rsidR="0032593A" w:rsidRPr="0032593A" w14:paraId="4E23D58B"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F8FB1"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12 years or more, if subclause (2) applies</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84CB3"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$27.20</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328DF"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$28.02</w:t>
            </w:r>
          </w:p>
        </w:tc>
      </w:tr>
      <w:tr w:rsidR="0032593A" w:rsidRPr="0032593A" w14:paraId="4C1BD97A" w14:textId="77777777" w:rsidTr="00645715">
        <w:trPr>
          <w:trHeight w:val="6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409DD"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12 years or more, if subclause (2) does not apply</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B515B"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$28.25</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2CE361"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$29.10</w:t>
            </w:r>
          </w:p>
        </w:tc>
      </w:tr>
    </w:tbl>
    <w:p w14:paraId="637303F8" w14:textId="77777777" w:rsidR="0032593A" w:rsidRPr="0032593A" w:rsidRDefault="0032593A" w:rsidP="0032593A">
      <w:pPr>
        <w:rPr>
          <w:rFonts w:ascii="Poppins" w:hAnsi="Poppins" w:cs="Poppins"/>
          <w:sz w:val="20"/>
          <w:szCs w:val="20"/>
        </w:rPr>
      </w:pPr>
    </w:p>
    <w:tbl>
      <w:tblPr>
        <w:tblW w:w="8680" w:type="dxa"/>
        <w:tblInd w:w="-3" w:type="dxa"/>
        <w:tblCellMar>
          <w:left w:w="0" w:type="dxa"/>
          <w:right w:w="0" w:type="dxa"/>
        </w:tblCellMar>
        <w:tblLook w:val="04A0" w:firstRow="1" w:lastRow="0" w:firstColumn="1" w:lastColumn="0" w:noHBand="0" w:noVBand="1"/>
      </w:tblPr>
      <w:tblGrid>
        <w:gridCol w:w="4460"/>
        <w:gridCol w:w="2320"/>
        <w:gridCol w:w="1900"/>
      </w:tblGrid>
      <w:tr w:rsidR="0032593A" w:rsidRPr="0032593A" w14:paraId="51B17245" w14:textId="77777777" w:rsidTr="00645715">
        <w:trPr>
          <w:trHeight w:val="600"/>
        </w:trPr>
        <w:tc>
          <w:tcPr>
            <w:tcW w:w="4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C3B73" w14:textId="77777777" w:rsidR="0032593A" w:rsidRPr="0032593A" w:rsidRDefault="0032593A" w:rsidP="00645715">
            <w:pPr>
              <w:rPr>
                <w:rFonts w:ascii="Poppins" w:hAnsi="Poppins" w:cs="Poppins"/>
                <w:b/>
                <w:bCs/>
                <w:color w:val="000000"/>
                <w:sz w:val="20"/>
                <w:szCs w:val="20"/>
              </w:rPr>
            </w:pPr>
            <w:r w:rsidRPr="0032593A">
              <w:rPr>
                <w:rFonts w:ascii="Poppins" w:hAnsi="Poppins" w:cs="Poppins"/>
                <w:b/>
                <w:bCs/>
                <w:color w:val="000000"/>
                <w:sz w:val="20"/>
                <w:szCs w:val="20"/>
              </w:rPr>
              <w:t>Worker’s level of qualification</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319C5F" w14:textId="77777777" w:rsidR="0032593A" w:rsidRPr="0032593A" w:rsidRDefault="0032593A" w:rsidP="00645715">
            <w:pPr>
              <w:jc w:val="center"/>
              <w:rPr>
                <w:rFonts w:ascii="Poppins" w:hAnsi="Poppins" w:cs="Poppins"/>
                <w:b/>
                <w:bCs/>
                <w:color w:val="000000"/>
                <w:sz w:val="20"/>
                <w:szCs w:val="20"/>
              </w:rPr>
            </w:pPr>
            <w:r w:rsidRPr="0032593A">
              <w:rPr>
                <w:rFonts w:ascii="Poppins" w:hAnsi="Poppins" w:cs="Poppins"/>
                <w:b/>
                <w:bCs/>
                <w:color w:val="000000"/>
                <w:sz w:val="20"/>
                <w:szCs w:val="20"/>
              </w:rPr>
              <w:t>1 July 2022 to 31 December 2023</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8AA12" w14:textId="77777777" w:rsidR="0032593A" w:rsidRPr="0032593A" w:rsidRDefault="0032593A" w:rsidP="00645715">
            <w:pPr>
              <w:jc w:val="center"/>
              <w:rPr>
                <w:rFonts w:ascii="Poppins" w:hAnsi="Poppins" w:cs="Poppins"/>
                <w:b/>
                <w:bCs/>
                <w:color w:val="000000"/>
                <w:sz w:val="20"/>
                <w:szCs w:val="20"/>
              </w:rPr>
            </w:pPr>
            <w:r w:rsidRPr="0032593A">
              <w:rPr>
                <w:rFonts w:ascii="Poppins" w:hAnsi="Poppins" w:cs="Poppins"/>
                <w:b/>
                <w:bCs/>
                <w:color w:val="000000"/>
                <w:sz w:val="20"/>
                <w:szCs w:val="20"/>
              </w:rPr>
              <w:t>3% increase</w:t>
            </w:r>
          </w:p>
        </w:tc>
      </w:tr>
      <w:tr w:rsidR="0032593A" w:rsidRPr="0032593A" w14:paraId="2AC9ED0C"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9931D"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No relevant qualification</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D9568"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$22.49</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97067"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$23.38</w:t>
            </w:r>
            <w:r w:rsidRPr="0032593A">
              <w:rPr>
                <w:rFonts w:ascii="Poppins" w:hAnsi="Poppins" w:cs="Poppins"/>
                <w:b/>
                <w:bCs/>
                <w:color w:val="000000"/>
                <w:sz w:val="20"/>
                <w:szCs w:val="20"/>
              </w:rPr>
              <w:t>*</w:t>
            </w:r>
          </w:p>
        </w:tc>
      </w:tr>
      <w:tr w:rsidR="0032593A" w:rsidRPr="0032593A" w14:paraId="13593A70"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79FBB"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Level 2 qualification</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78F85"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$24.06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A998D6"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$24.78</w:t>
            </w:r>
          </w:p>
        </w:tc>
      </w:tr>
      <w:tr w:rsidR="0032593A" w:rsidRPr="0032593A" w14:paraId="642BE5E2"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3955B"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Level 3 qualification</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5A684"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$26.16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71E35B"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$26.94</w:t>
            </w:r>
          </w:p>
        </w:tc>
      </w:tr>
      <w:tr w:rsidR="0032593A" w:rsidRPr="0032593A" w14:paraId="3F9ABC79" w14:textId="77777777" w:rsidTr="00645715">
        <w:trPr>
          <w:trHeight w:val="30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F086A" w14:textId="77777777" w:rsidR="0032593A" w:rsidRPr="0032593A" w:rsidRDefault="0032593A" w:rsidP="00645715">
            <w:pPr>
              <w:rPr>
                <w:rFonts w:ascii="Poppins" w:hAnsi="Poppins" w:cs="Poppins"/>
                <w:color w:val="000000"/>
                <w:sz w:val="20"/>
                <w:szCs w:val="20"/>
              </w:rPr>
            </w:pPr>
            <w:r w:rsidRPr="0032593A">
              <w:rPr>
                <w:rFonts w:ascii="Poppins" w:hAnsi="Poppins" w:cs="Poppins"/>
                <w:color w:val="000000"/>
                <w:sz w:val="20"/>
                <w:szCs w:val="20"/>
              </w:rPr>
              <w:t>Level 4 qualification</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280E8"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$28.25</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8192E" w14:textId="77777777" w:rsidR="0032593A" w:rsidRPr="0032593A" w:rsidRDefault="0032593A" w:rsidP="00645715">
            <w:pPr>
              <w:jc w:val="center"/>
              <w:rPr>
                <w:rFonts w:ascii="Poppins" w:hAnsi="Poppins" w:cs="Poppins"/>
                <w:color w:val="000000"/>
                <w:sz w:val="20"/>
                <w:szCs w:val="20"/>
              </w:rPr>
            </w:pPr>
            <w:r w:rsidRPr="0032593A">
              <w:rPr>
                <w:rFonts w:ascii="Poppins" w:hAnsi="Poppins" w:cs="Poppins"/>
                <w:color w:val="000000"/>
                <w:sz w:val="20"/>
                <w:szCs w:val="20"/>
              </w:rPr>
              <w:t>$29.10</w:t>
            </w:r>
          </w:p>
        </w:tc>
      </w:tr>
    </w:tbl>
    <w:p w14:paraId="2E3D41BA" w14:textId="77777777" w:rsidR="0032593A" w:rsidRPr="0032593A" w:rsidRDefault="0032593A" w:rsidP="0032593A">
      <w:pPr>
        <w:rPr>
          <w:rFonts w:ascii="Poppins" w:hAnsi="Poppins" w:cs="Poppins"/>
          <w:sz w:val="20"/>
          <w:szCs w:val="20"/>
        </w:rPr>
      </w:pPr>
    </w:p>
    <w:p w14:paraId="7F0F5941" w14:textId="77777777" w:rsidR="0032593A" w:rsidRPr="0032593A" w:rsidRDefault="0032593A" w:rsidP="0032593A">
      <w:pPr>
        <w:rPr>
          <w:rFonts w:ascii="Poppins" w:hAnsi="Poppins" w:cs="Poppins"/>
          <w:sz w:val="20"/>
          <w:szCs w:val="20"/>
        </w:rPr>
      </w:pPr>
      <w:r w:rsidRPr="0032593A">
        <w:rPr>
          <w:rFonts w:ascii="Poppins" w:hAnsi="Poppins" w:cs="Poppins"/>
          <w:sz w:val="20"/>
          <w:szCs w:val="20"/>
        </w:rPr>
        <w:t>*Note that as the starting rate is lower than the NZ minimum wage, the NZ minimum wage of $22.70 is used in the calculation.</w:t>
      </w:r>
    </w:p>
    <w:p w14:paraId="0E23BA89" w14:textId="77777777" w:rsidR="0032593A" w:rsidRPr="006441D5" w:rsidRDefault="0032593A" w:rsidP="006441D5">
      <w:pPr>
        <w:rPr>
          <w:rFonts w:ascii="Poppins" w:hAnsi="Poppins" w:cs="Poppins"/>
          <w:sz w:val="20"/>
          <w:szCs w:val="20"/>
        </w:rPr>
      </w:pPr>
    </w:p>
    <w:sectPr w:rsidR="0032593A" w:rsidRPr="006441D5" w:rsidSect="009A4F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3757" w14:textId="77777777" w:rsidR="00CE1A0F" w:rsidRDefault="00CE1A0F" w:rsidP="00ED70CD">
      <w:pPr>
        <w:spacing w:after="0" w:line="240" w:lineRule="auto"/>
      </w:pPr>
      <w:r>
        <w:separator/>
      </w:r>
    </w:p>
  </w:endnote>
  <w:endnote w:type="continuationSeparator" w:id="0">
    <w:p w14:paraId="4A084BCB" w14:textId="77777777" w:rsidR="00CE1A0F" w:rsidRDefault="00CE1A0F" w:rsidP="00ED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8780" w14:textId="77777777" w:rsidR="00CE1A0F" w:rsidRDefault="00CE1A0F" w:rsidP="00ED70CD">
      <w:pPr>
        <w:spacing w:after="0" w:line="240" w:lineRule="auto"/>
      </w:pPr>
      <w:r>
        <w:separator/>
      </w:r>
    </w:p>
  </w:footnote>
  <w:footnote w:type="continuationSeparator" w:id="0">
    <w:p w14:paraId="3C8674A0" w14:textId="77777777" w:rsidR="00CE1A0F" w:rsidRDefault="00CE1A0F" w:rsidP="00ED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02"/>
    <w:multiLevelType w:val="hybridMultilevel"/>
    <w:tmpl w:val="FBD814E6"/>
    <w:lvl w:ilvl="0" w:tplc="14090001">
      <w:start w:val="1"/>
      <w:numFmt w:val="bullet"/>
      <w:lvlText w:val=""/>
      <w:lvlJc w:val="left"/>
      <w:pPr>
        <w:ind w:left="720" w:hanging="360"/>
      </w:pPr>
      <w:rPr>
        <w:rFonts w:ascii="Symbol" w:hAnsi="Symbol" w:hint="default"/>
        <w:b w:val="0"/>
        <w:color w:val="auto"/>
        <w:sz w:val="22"/>
        <w:szCs w:val="22"/>
      </w:rPr>
    </w:lvl>
    <w:lvl w:ilvl="1" w:tplc="2578DF22">
      <w:start w:val="1"/>
      <w:numFmt w:val="lowerLetter"/>
      <w:lvlText w:val="%2)"/>
      <w:lvlJc w:val="left"/>
      <w:pPr>
        <w:ind w:left="1440" w:hanging="360"/>
      </w:pPr>
    </w:lvl>
    <w:lvl w:ilvl="2" w:tplc="8B023862">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204FEA"/>
    <w:multiLevelType w:val="hybridMultilevel"/>
    <w:tmpl w:val="F7F8AC6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 w15:restartNumberingAfterBreak="0">
    <w:nsid w:val="01BC2B2B"/>
    <w:multiLevelType w:val="hybridMultilevel"/>
    <w:tmpl w:val="58B80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E062E6"/>
    <w:multiLevelType w:val="hybridMultilevel"/>
    <w:tmpl w:val="3F2A9F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3B0F83"/>
    <w:multiLevelType w:val="hybridMultilevel"/>
    <w:tmpl w:val="6F662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5477A6"/>
    <w:multiLevelType w:val="hybridMultilevel"/>
    <w:tmpl w:val="90C8C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4D4089"/>
    <w:multiLevelType w:val="hybridMultilevel"/>
    <w:tmpl w:val="EFD66998"/>
    <w:lvl w:ilvl="0" w:tplc="14090001">
      <w:start w:val="1"/>
      <w:numFmt w:val="bullet"/>
      <w:lvlText w:val=""/>
      <w:lvlJc w:val="left"/>
      <w:pPr>
        <w:ind w:left="1080" w:hanging="72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025512"/>
    <w:multiLevelType w:val="hybridMultilevel"/>
    <w:tmpl w:val="5B4A8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245513"/>
    <w:multiLevelType w:val="hybridMultilevel"/>
    <w:tmpl w:val="8DDA6884"/>
    <w:lvl w:ilvl="0" w:tplc="C02CE804">
      <w:numFmt w:val="bullet"/>
      <w:lvlText w:val="•"/>
      <w:lvlJc w:val="left"/>
      <w:pPr>
        <w:ind w:left="1080" w:hanging="720"/>
      </w:pPr>
      <w:rPr>
        <w:rFonts w:ascii="Poppins" w:eastAsiaTheme="minorHAnsi" w:hAnsi="Poppins" w:cs="Poppi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155157"/>
    <w:multiLevelType w:val="hybridMultilevel"/>
    <w:tmpl w:val="5F166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A44524"/>
    <w:multiLevelType w:val="hybridMultilevel"/>
    <w:tmpl w:val="EAB82D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9B3541"/>
    <w:multiLevelType w:val="hybridMultilevel"/>
    <w:tmpl w:val="CC6CF092"/>
    <w:lvl w:ilvl="0" w:tplc="43A43B7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081F17"/>
    <w:multiLevelType w:val="hybridMultilevel"/>
    <w:tmpl w:val="CA524BC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D85DEE"/>
    <w:multiLevelType w:val="hybridMultilevel"/>
    <w:tmpl w:val="6764F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DA4675"/>
    <w:multiLevelType w:val="multilevel"/>
    <w:tmpl w:val="7E4460CC"/>
    <w:lvl w:ilvl="0">
      <w:start w:val="1"/>
      <w:numFmt w:val="decimal"/>
      <w:pStyle w:val="Heading1"/>
      <w:lvlText w:val="%1."/>
      <w:lvlJc w:val="left"/>
      <w:pPr>
        <w:ind w:left="3835" w:hanging="432"/>
      </w:pPr>
    </w:lvl>
    <w:lvl w:ilvl="1">
      <w:start w:val="1"/>
      <w:numFmt w:val="decimal"/>
      <w:pStyle w:val="Heading2"/>
      <w:lvlText w:val="%1.%2"/>
      <w:lvlJc w:val="left"/>
      <w:pPr>
        <w:ind w:left="718" w:hanging="576"/>
      </w:pPr>
    </w:lvl>
    <w:lvl w:ilvl="2">
      <w:start w:val="1"/>
      <w:numFmt w:val="decimal"/>
      <w:pStyle w:val="Heading3"/>
      <w:lvlText w:val="%1.%2.%3"/>
      <w:lvlJc w:val="left"/>
      <w:pPr>
        <w:ind w:left="458" w:hanging="720"/>
      </w:pPr>
    </w:lvl>
    <w:lvl w:ilvl="3">
      <w:start w:val="1"/>
      <w:numFmt w:val="decimal"/>
      <w:pStyle w:val="Heading4"/>
      <w:lvlText w:val="%1.%2.%3.%4"/>
      <w:lvlJc w:val="left"/>
      <w:pPr>
        <w:ind w:left="602" w:hanging="864"/>
      </w:pPr>
    </w:lvl>
    <w:lvl w:ilvl="4">
      <w:start w:val="1"/>
      <w:numFmt w:val="decimal"/>
      <w:pStyle w:val="Heading5"/>
      <w:lvlText w:val="%1.%2.%3.%4.%5"/>
      <w:lvlJc w:val="left"/>
      <w:pPr>
        <w:ind w:left="746" w:hanging="1008"/>
      </w:pPr>
    </w:lvl>
    <w:lvl w:ilvl="5">
      <w:start w:val="1"/>
      <w:numFmt w:val="decimal"/>
      <w:pStyle w:val="Heading6"/>
      <w:lvlText w:val="%1.%2.%3.%4.%5.%6"/>
      <w:lvlJc w:val="left"/>
      <w:pPr>
        <w:ind w:left="890" w:hanging="1152"/>
      </w:pPr>
    </w:lvl>
    <w:lvl w:ilvl="6">
      <w:start w:val="1"/>
      <w:numFmt w:val="decimal"/>
      <w:pStyle w:val="Heading7"/>
      <w:lvlText w:val="%1.%2.%3.%4.%5.%6.%7"/>
      <w:lvlJc w:val="left"/>
      <w:pPr>
        <w:ind w:left="1034" w:hanging="1296"/>
      </w:pPr>
    </w:lvl>
    <w:lvl w:ilvl="7">
      <w:start w:val="1"/>
      <w:numFmt w:val="decimal"/>
      <w:pStyle w:val="Heading8"/>
      <w:lvlText w:val="%1.%2.%3.%4.%5.%6.%7.%8"/>
      <w:lvlJc w:val="left"/>
      <w:pPr>
        <w:ind w:left="1178" w:hanging="1440"/>
      </w:pPr>
    </w:lvl>
    <w:lvl w:ilvl="8">
      <w:start w:val="1"/>
      <w:numFmt w:val="decimal"/>
      <w:pStyle w:val="Heading9"/>
      <w:lvlText w:val="%1.%2.%3.%4.%5.%6.%7.%8.%9"/>
      <w:lvlJc w:val="left"/>
      <w:pPr>
        <w:ind w:left="1322" w:hanging="1584"/>
      </w:pPr>
    </w:lvl>
  </w:abstractNum>
  <w:abstractNum w:abstractNumId="15" w15:restartNumberingAfterBreak="0">
    <w:nsid w:val="35885782"/>
    <w:multiLevelType w:val="hybridMultilevel"/>
    <w:tmpl w:val="C8C4B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D078C7"/>
    <w:multiLevelType w:val="multilevel"/>
    <w:tmpl w:val="91D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1037A"/>
    <w:multiLevelType w:val="hybridMultilevel"/>
    <w:tmpl w:val="208C0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795C35"/>
    <w:multiLevelType w:val="multilevel"/>
    <w:tmpl w:val="409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4583F"/>
    <w:multiLevelType w:val="multilevel"/>
    <w:tmpl w:val="658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DD1207"/>
    <w:multiLevelType w:val="multilevel"/>
    <w:tmpl w:val="944C8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882392"/>
    <w:multiLevelType w:val="hybridMultilevel"/>
    <w:tmpl w:val="745440A4"/>
    <w:lvl w:ilvl="0" w:tplc="8CCABDA8">
      <w:start w:val="1"/>
      <w:numFmt w:val="decimal"/>
      <w:lvlText w:val="%1."/>
      <w:lvlJc w:val="left"/>
      <w:pPr>
        <w:ind w:left="720" w:hanging="360"/>
      </w:pPr>
      <w:rPr>
        <w:rFonts w:hint="default"/>
        <w:b w:val="0"/>
        <w:color w:val="auto"/>
        <w:sz w:val="22"/>
        <w:szCs w:val="22"/>
      </w:rPr>
    </w:lvl>
    <w:lvl w:ilvl="1" w:tplc="2578DF22">
      <w:start w:val="1"/>
      <w:numFmt w:val="lowerLetter"/>
      <w:lvlText w:val="%2)"/>
      <w:lvlJc w:val="left"/>
      <w:pPr>
        <w:ind w:left="1440" w:hanging="360"/>
      </w:pPr>
    </w:lvl>
    <w:lvl w:ilvl="2" w:tplc="8B023862">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933DFB"/>
    <w:multiLevelType w:val="hybridMultilevel"/>
    <w:tmpl w:val="4FD6599E"/>
    <w:lvl w:ilvl="0" w:tplc="02E67F2C">
      <w:start w:val="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197A0E"/>
    <w:multiLevelType w:val="hybridMultilevel"/>
    <w:tmpl w:val="925C6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736001"/>
    <w:multiLevelType w:val="hybridMultilevel"/>
    <w:tmpl w:val="A08244DC"/>
    <w:lvl w:ilvl="0" w:tplc="2D22C67A">
      <w:start w:val="1"/>
      <w:numFmt w:val="bullet"/>
      <w:lvlText w:val="•"/>
      <w:lvlJc w:val="left"/>
      <w:pPr>
        <w:tabs>
          <w:tab w:val="num" w:pos="720"/>
        </w:tabs>
        <w:ind w:left="720" w:hanging="360"/>
      </w:pPr>
      <w:rPr>
        <w:rFonts w:ascii="Arial" w:hAnsi="Arial" w:hint="default"/>
      </w:rPr>
    </w:lvl>
    <w:lvl w:ilvl="1" w:tplc="D1C067E4">
      <w:numFmt w:val="bullet"/>
      <w:lvlText w:val="o"/>
      <w:lvlJc w:val="left"/>
      <w:pPr>
        <w:tabs>
          <w:tab w:val="num" w:pos="1440"/>
        </w:tabs>
        <w:ind w:left="1440" w:hanging="360"/>
      </w:pPr>
      <w:rPr>
        <w:rFonts w:ascii="Courier New" w:hAnsi="Courier New" w:hint="default"/>
      </w:rPr>
    </w:lvl>
    <w:lvl w:ilvl="2" w:tplc="F00A506A" w:tentative="1">
      <w:start w:val="1"/>
      <w:numFmt w:val="bullet"/>
      <w:lvlText w:val="•"/>
      <w:lvlJc w:val="left"/>
      <w:pPr>
        <w:tabs>
          <w:tab w:val="num" w:pos="2160"/>
        </w:tabs>
        <w:ind w:left="2160" w:hanging="360"/>
      </w:pPr>
      <w:rPr>
        <w:rFonts w:ascii="Arial" w:hAnsi="Arial" w:hint="default"/>
      </w:rPr>
    </w:lvl>
    <w:lvl w:ilvl="3" w:tplc="8B64E534" w:tentative="1">
      <w:start w:val="1"/>
      <w:numFmt w:val="bullet"/>
      <w:lvlText w:val="•"/>
      <w:lvlJc w:val="left"/>
      <w:pPr>
        <w:tabs>
          <w:tab w:val="num" w:pos="2880"/>
        </w:tabs>
        <w:ind w:left="2880" w:hanging="360"/>
      </w:pPr>
      <w:rPr>
        <w:rFonts w:ascii="Arial" w:hAnsi="Arial" w:hint="default"/>
      </w:rPr>
    </w:lvl>
    <w:lvl w:ilvl="4" w:tplc="8F123976" w:tentative="1">
      <w:start w:val="1"/>
      <w:numFmt w:val="bullet"/>
      <w:lvlText w:val="•"/>
      <w:lvlJc w:val="left"/>
      <w:pPr>
        <w:tabs>
          <w:tab w:val="num" w:pos="3600"/>
        </w:tabs>
        <w:ind w:left="3600" w:hanging="360"/>
      </w:pPr>
      <w:rPr>
        <w:rFonts w:ascii="Arial" w:hAnsi="Arial" w:hint="default"/>
      </w:rPr>
    </w:lvl>
    <w:lvl w:ilvl="5" w:tplc="E640A1DA" w:tentative="1">
      <w:start w:val="1"/>
      <w:numFmt w:val="bullet"/>
      <w:lvlText w:val="•"/>
      <w:lvlJc w:val="left"/>
      <w:pPr>
        <w:tabs>
          <w:tab w:val="num" w:pos="4320"/>
        </w:tabs>
        <w:ind w:left="4320" w:hanging="360"/>
      </w:pPr>
      <w:rPr>
        <w:rFonts w:ascii="Arial" w:hAnsi="Arial" w:hint="default"/>
      </w:rPr>
    </w:lvl>
    <w:lvl w:ilvl="6" w:tplc="D3F2610E" w:tentative="1">
      <w:start w:val="1"/>
      <w:numFmt w:val="bullet"/>
      <w:lvlText w:val="•"/>
      <w:lvlJc w:val="left"/>
      <w:pPr>
        <w:tabs>
          <w:tab w:val="num" w:pos="5040"/>
        </w:tabs>
        <w:ind w:left="5040" w:hanging="360"/>
      </w:pPr>
      <w:rPr>
        <w:rFonts w:ascii="Arial" w:hAnsi="Arial" w:hint="default"/>
      </w:rPr>
    </w:lvl>
    <w:lvl w:ilvl="7" w:tplc="E514B36E" w:tentative="1">
      <w:start w:val="1"/>
      <w:numFmt w:val="bullet"/>
      <w:lvlText w:val="•"/>
      <w:lvlJc w:val="left"/>
      <w:pPr>
        <w:tabs>
          <w:tab w:val="num" w:pos="5760"/>
        </w:tabs>
        <w:ind w:left="5760" w:hanging="360"/>
      </w:pPr>
      <w:rPr>
        <w:rFonts w:ascii="Arial" w:hAnsi="Arial" w:hint="default"/>
      </w:rPr>
    </w:lvl>
    <w:lvl w:ilvl="8" w:tplc="06206C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A06AB"/>
    <w:multiLevelType w:val="hybridMultilevel"/>
    <w:tmpl w:val="484C0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32E64"/>
    <w:multiLevelType w:val="multilevel"/>
    <w:tmpl w:val="FB8A6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617EB4"/>
    <w:multiLevelType w:val="hybridMultilevel"/>
    <w:tmpl w:val="2EC82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AE1C77"/>
    <w:multiLevelType w:val="hybridMultilevel"/>
    <w:tmpl w:val="6492C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5B705E"/>
    <w:multiLevelType w:val="hybridMultilevel"/>
    <w:tmpl w:val="0F381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D11D9E"/>
    <w:multiLevelType w:val="hybridMultilevel"/>
    <w:tmpl w:val="575CD9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4726AC5"/>
    <w:multiLevelType w:val="hybridMultilevel"/>
    <w:tmpl w:val="E676C2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11748D"/>
    <w:multiLevelType w:val="hybridMultilevel"/>
    <w:tmpl w:val="61D22C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A664201"/>
    <w:multiLevelType w:val="hybridMultilevel"/>
    <w:tmpl w:val="D8E8F2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06754C"/>
    <w:multiLevelType w:val="hybridMultilevel"/>
    <w:tmpl w:val="5596F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84368F"/>
    <w:multiLevelType w:val="multilevel"/>
    <w:tmpl w:val="B2B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EB5504"/>
    <w:multiLevelType w:val="hybridMultilevel"/>
    <w:tmpl w:val="A380DE30"/>
    <w:lvl w:ilvl="0" w:tplc="7446FF50">
      <w:start w:val="1"/>
      <w:numFmt w:val="bullet"/>
      <w:lvlText w:val=""/>
      <w:lvlJc w:val="left"/>
      <w:pPr>
        <w:tabs>
          <w:tab w:val="num" w:pos="720"/>
        </w:tabs>
        <w:ind w:left="720" w:hanging="360"/>
      </w:pPr>
      <w:rPr>
        <w:rFonts w:ascii="Symbol" w:hAnsi="Symbol" w:hint="default"/>
      </w:rPr>
    </w:lvl>
    <w:lvl w:ilvl="1" w:tplc="665EAEB0" w:tentative="1">
      <w:start w:val="1"/>
      <w:numFmt w:val="bullet"/>
      <w:lvlText w:val=""/>
      <w:lvlJc w:val="left"/>
      <w:pPr>
        <w:tabs>
          <w:tab w:val="num" w:pos="1440"/>
        </w:tabs>
        <w:ind w:left="1440" w:hanging="360"/>
      </w:pPr>
      <w:rPr>
        <w:rFonts w:ascii="Symbol" w:hAnsi="Symbol" w:hint="default"/>
      </w:rPr>
    </w:lvl>
    <w:lvl w:ilvl="2" w:tplc="38C668C8" w:tentative="1">
      <w:start w:val="1"/>
      <w:numFmt w:val="bullet"/>
      <w:lvlText w:val=""/>
      <w:lvlJc w:val="left"/>
      <w:pPr>
        <w:tabs>
          <w:tab w:val="num" w:pos="2160"/>
        </w:tabs>
        <w:ind w:left="2160" w:hanging="360"/>
      </w:pPr>
      <w:rPr>
        <w:rFonts w:ascii="Symbol" w:hAnsi="Symbol" w:hint="default"/>
      </w:rPr>
    </w:lvl>
    <w:lvl w:ilvl="3" w:tplc="32DA3D8C" w:tentative="1">
      <w:start w:val="1"/>
      <w:numFmt w:val="bullet"/>
      <w:lvlText w:val=""/>
      <w:lvlJc w:val="left"/>
      <w:pPr>
        <w:tabs>
          <w:tab w:val="num" w:pos="2880"/>
        </w:tabs>
        <w:ind w:left="2880" w:hanging="360"/>
      </w:pPr>
      <w:rPr>
        <w:rFonts w:ascii="Symbol" w:hAnsi="Symbol" w:hint="default"/>
      </w:rPr>
    </w:lvl>
    <w:lvl w:ilvl="4" w:tplc="806E6396" w:tentative="1">
      <w:start w:val="1"/>
      <w:numFmt w:val="bullet"/>
      <w:lvlText w:val=""/>
      <w:lvlJc w:val="left"/>
      <w:pPr>
        <w:tabs>
          <w:tab w:val="num" w:pos="3600"/>
        </w:tabs>
        <w:ind w:left="3600" w:hanging="360"/>
      </w:pPr>
      <w:rPr>
        <w:rFonts w:ascii="Symbol" w:hAnsi="Symbol" w:hint="default"/>
      </w:rPr>
    </w:lvl>
    <w:lvl w:ilvl="5" w:tplc="E6B67272" w:tentative="1">
      <w:start w:val="1"/>
      <w:numFmt w:val="bullet"/>
      <w:lvlText w:val=""/>
      <w:lvlJc w:val="left"/>
      <w:pPr>
        <w:tabs>
          <w:tab w:val="num" w:pos="4320"/>
        </w:tabs>
        <w:ind w:left="4320" w:hanging="360"/>
      </w:pPr>
      <w:rPr>
        <w:rFonts w:ascii="Symbol" w:hAnsi="Symbol" w:hint="default"/>
      </w:rPr>
    </w:lvl>
    <w:lvl w:ilvl="6" w:tplc="F4F4EBD0" w:tentative="1">
      <w:start w:val="1"/>
      <w:numFmt w:val="bullet"/>
      <w:lvlText w:val=""/>
      <w:lvlJc w:val="left"/>
      <w:pPr>
        <w:tabs>
          <w:tab w:val="num" w:pos="5040"/>
        </w:tabs>
        <w:ind w:left="5040" w:hanging="360"/>
      </w:pPr>
      <w:rPr>
        <w:rFonts w:ascii="Symbol" w:hAnsi="Symbol" w:hint="default"/>
      </w:rPr>
    </w:lvl>
    <w:lvl w:ilvl="7" w:tplc="172672CC" w:tentative="1">
      <w:start w:val="1"/>
      <w:numFmt w:val="bullet"/>
      <w:lvlText w:val=""/>
      <w:lvlJc w:val="left"/>
      <w:pPr>
        <w:tabs>
          <w:tab w:val="num" w:pos="5760"/>
        </w:tabs>
        <w:ind w:left="5760" w:hanging="360"/>
      </w:pPr>
      <w:rPr>
        <w:rFonts w:ascii="Symbol" w:hAnsi="Symbol" w:hint="default"/>
      </w:rPr>
    </w:lvl>
    <w:lvl w:ilvl="8" w:tplc="6D1AD60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88B2DD5"/>
    <w:multiLevelType w:val="hybridMultilevel"/>
    <w:tmpl w:val="FCB0861C"/>
    <w:lvl w:ilvl="0" w:tplc="A2BA665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226AFB"/>
    <w:multiLevelType w:val="hybridMultilevel"/>
    <w:tmpl w:val="1C7E51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3726F8AC">
      <w:numFmt w:val="bullet"/>
      <w:lvlText w:val="–"/>
      <w:lvlJc w:val="left"/>
      <w:pPr>
        <w:ind w:left="2160" w:hanging="360"/>
      </w:pPr>
      <w:rPr>
        <w:rFonts w:ascii="Calibri" w:eastAsiaTheme="minorHAnsi"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F5818BA"/>
    <w:multiLevelType w:val="hybridMultilevel"/>
    <w:tmpl w:val="7F823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
  </w:num>
  <w:num w:numId="4">
    <w:abstractNumId w:val="21"/>
  </w:num>
  <w:num w:numId="5">
    <w:abstractNumId w:val="0"/>
  </w:num>
  <w:num w:numId="6">
    <w:abstractNumId w:val="14"/>
  </w:num>
  <w:num w:numId="7">
    <w:abstractNumId w:val="23"/>
  </w:num>
  <w:num w:numId="8">
    <w:abstractNumId w:val="34"/>
  </w:num>
  <w:num w:numId="9">
    <w:abstractNumId w:val="4"/>
  </w:num>
  <w:num w:numId="10">
    <w:abstractNumId w:val="10"/>
  </w:num>
  <w:num w:numId="11">
    <w:abstractNumId w:val="29"/>
  </w:num>
  <w:num w:numId="12">
    <w:abstractNumId w:val="35"/>
  </w:num>
  <w:num w:numId="13">
    <w:abstractNumId w:val="18"/>
  </w:num>
  <w:num w:numId="14">
    <w:abstractNumId w:val="16"/>
  </w:num>
  <w:num w:numId="15">
    <w:abstractNumId w:val="19"/>
  </w:num>
  <w:num w:numId="16">
    <w:abstractNumId w:val="38"/>
  </w:num>
  <w:num w:numId="17">
    <w:abstractNumId w:val="30"/>
  </w:num>
  <w:num w:numId="18">
    <w:abstractNumId w:val="1"/>
  </w:num>
  <w:num w:numId="19">
    <w:abstractNumId w:val="20"/>
  </w:num>
  <w:num w:numId="20">
    <w:abstractNumId w:val="22"/>
  </w:num>
  <w:num w:numId="21">
    <w:abstractNumId w:val="36"/>
  </w:num>
  <w:num w:numId="22">
    <w:abstractNumId w:val="24"/>
  </w:num>
  <w:num w:numId="23">
    <w:abstractNumId w:val="5"/>
  </w:num>
  <w:num w:numId="24">
    <w:abstractNumId w:val="31"/>
  </w:num>
  <w:num w:numId="25">
    <w:abstractNumId w:val="9"/>
  </w:num>
  <w:num w:numId="26">
    <w:abstractNumId w:val="7"/>
  </w:num>
  <w:num w:numId="27">
    <w:abstractNumId w:val="15"/>
  </w:num>
  <w:num w:numId="28">
    <w:abstractNumId w:val="13"/>
  </w:num>
  <w:num w:numId="29">
    <w:abstractNumId w:val="27"/>
  </w:num>
  <w:num w:numId="30">
    <w:abstractNumId w:val="39"/>
  </w:num>
  <w:num w:numId="31">
    <w:abstractNumId w:val="26"/>
  </w:num>
  <w:num w:numId="32">
    <w:abstractNumId w:val="11"/>
  </w:num>
  <w:num w:numId="33">
    <w:abstractNumId w:val="6"/>
  </w:num>
  <w:num w:numId="34">
    <w:abstractNumId w:val="37"/>
  </w:num>
  <w:num w:numId="35">
    <w:abstractNumId w:val="12"/>
  </w:num>
  <w:num w:numId="36">
    <w:abstractNumId w:val="3"/>
  </w:num>
  <w:num w:numId="37">
    <w:abstractNumId w:val="17"/>
  </w:num>
  <w:num w:numId="38">
    <w:abstractNumId w:val="33"/>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C1"/>
    <w:rsid w:val="0000048E"/>
    <w:rsid w:val="00004557"/>
    <w:rsid w:val="00007145"/>
    <w:rsid w:val="000122A7"/>
    <w:rsid w:val="00012B38"/>
    <w:rsid w:val="0001327F"/>
    <w:rsid w:val="00017096"/>
    <w:rsid w:val="000177E9"/>
    <w:rsid w:val="0002468B"/>
    <w:rsid w:val="00027BD0"/>
    <w:rsid w:val="000374DB"/>
    <w:rsid w:val="00040A9E"/>
    <w:rsid w:val="000441A0"/>
    <w:rsid w:val="0004687C"/>
    <w:rsid w:val="0004715E"/>
    <w:rsid w:val="00052B95"/>
    <w:rsid w:val="00055D93"/>
    <w:rsid w:val="000642BB"/>
    <w:rsid w:val="00065A03"/>
    <w:rsid w:val="000676DB"/>
    <w:rsid w:val="00070F97"/>
    <w:rsid w:val="000722BE"/>
    <w:rsid w:val="00076981"/>
    <w:rsid w:val="00080248"/>
    <w:rsid w:val="00083632"/>
    <w:rsid w:val="00087F9E"/>
    <w:rsid w:val="00087FC9"/>
    <w:rsid w:val="00091307"/>
    <w:rsid w:val="00094F14"/>
    <w:rsid w:val="0009640A"/>
    <w:rsid w:val="00096AE3"/>
    <w:rsid w:val="00097454"/>
    <w:rsid w:val="000A7D6B"/>
    <w:rsid w:val="000B008C"/>
    <w:rsid w:val="000B0341"/>
    <w:rsid w:val="000B1907"/>
    <w:rsid w:val="000B25D8"/>
    <w:rsid w:val="000B46E6"/>
    <w:rsid w:val="000B56D1"/>
    <w:rsid w:val="000C07A8"/>
    <w:rsid w:val="000C0A97"/>
    <w:rsid w:val="000C1E9A"/>
    <w:rsid w:val="000C295E"/>
    <w:rsid w:val="000C732E"/>
    <w:rsid w:val="000D5327"/>
    <w:rsid w:val="000E30FF"/>
    <w:rsid w:val="000E3399"/>
    <w:rsid w:val="000F43E2"/>
    <w:rsid w:val="000F4669"/>
    <w:rsid w:val="000F7BD5"/>
    <w:rsid w:val="001038E9"/>
    <w:rsid w:val="0010401C"/>
    <w:rsid w:val="001140AC"/>
    <w:rsid w:val="00122CE7"/>
    <w:rsid w:val="00126EA6"/>
    <w:rsid w:val="00127173"/>
    <w:rsid w:val="00131CAB"/>
    <w:rsid w:val="0013711A"/>
    <w:rsid w:val="00145130"/>
    <w:rsid w:val="00147626"/>
    <w:rsid w:val="00150173"/>
    <w:rsid w:val="00155E9A"/>
    <w:rsid w:val="00165841"/>
    <w:rsid w:val="00165F80"/>
    <w:rsid w:val="001707C8"/>
    <w:rsid w:val="00170C36"/>
    <w:rsid w:val="00177F4A"/>
    <w:rsid w:val="0018122C"/>
    <w:rsid w:val="00184087"/>
    <w:rsid w:val="001840CD"/>
    <w:rsid w:val="00184E31"/>
    <w:rsid w:val="0018639A"/>
    <w:rsid w:val="00190236"/>
    <w:rsid w:val="00196ADB"/>
    <w:rsid w:val="001A766B"/>
    <w:rsid w:val="001B083E"/>
    <w:rsid w:val="001B217E"/>
    <w:rsid w:val="001B7DD8"/>
    <w:rsid w:val="001C56F0"/>
    <w:rsid w:val="001C5F9C"/>
    <w:rsid w:val="001D2FE5"/>
    <w:rsid w:val="001D5563"/>
    <w:rsid w:val="001E4B88"/>
    <w:rsid w:val="001E644F"/>
    <w:rsid w:val="001F0BC9"/>
    <w:rsid w:val="001F2A30"/>
    <w:rsid w:val="001F38AF"/>
    <w:rsid w:val="001F40CC"/>
    <w:rsid w:val="001F4A44"/>
    <w:rsid w:val="001F518E"/>
    <w:rsid w:val="001F530F"/>
    <w:rsid w:val="001F5D25"/>
    <w:rsid w:val="001F6312"/>
    <w:rsid w:val="001F78A1"/>
    <w:rsid w:val="00200F6A"/>
    <w:rsid w:val="00205BEF"/>
    <w:rsid w:val="00210D37"/>
    <w:rsid w:val="0021121E"/>
    <w:rsid w:val="00213170"/>
    <w:rsid w:val="00216488"/>
    <w:rsid w:val="00220920"/>
    <w:rsid w:val="00221125"/>
    <w:rsid w:val="0022607F"/>
    <w:rsid w:val="002274B9"/>
    <w:rsid w:val="00227F93"/>
    <w:rsid w:val="00234B90"/>
    <w:rsid w:val="0023533C"/>
    <w:rsid w:val="00237F00"/>
    <w:rsid w:val="00237F37"/>
    <w:rsid w:val="00250BFD"/>
    <w:rsid w:val="00251E47"/>
    <w:rsid w:val="00260D13"/>
    <w:rsid w:val="0026603B"/>
    <w:rsid w:val="00274FD7"/>
    <w:rsid w:val="002869D5"/>
    <w:rsid w:val="00287C53"/>
    <w:rsid w:val="00290C52"/>
    <w:rsid w:val="00291381"/>
    <w:rsid w:val="0029574B"/>
    <w:rsid w:val="002A0BC4"/>
    <w:rsid w:val="002A16EE"/>
    <w:rsid w:val="002A2A29"/>
    <w:rsid w:val="002A2C1D"/>
    <w:rsid w:val="002A3AD9"/>
    <w:rsid w:val="002B045F"/>
    <w:rsid w:val="002B0BDA"/>
    <w:rsid w:val="002B14EC"/>
    <w:rsid w:val="002B1D11"/>
    <w:rsid w:val="002C236F"/>
    <w:rsid w:val="002C5FEF"/>
    <w:rsid w:val="002C7A98"/>
    <w:rsid w:val="002D088B"/>
    <w:rsid w:val="002D19B5"/>
    <w:rsid w:val="002E5909"/>
    <w:rsid w:val="002F2604"/>
    <w:rsid w:val="002F4755"/>
    <w:rsid w:val="00301655"/>
    <w:rsid w:val="00304C36"/>
    <w:rsid w:val="003101FB"/>
    <w:rsid w:val="00315E14"/>
    <w:rsid w:val="00322F4D"/>
    <w:rsid w:val="003235BC"/>
    <w:rsid w:val="003249FF"/>
    <w:rsid w:val="00324BE2"/>
    <w:rsid w:val="00325486"/>
    <w:rsid w:val="0032593A"/>
    <w:rsid w:val="003261FD"/>
    <w:rsid w:val="00327092"/>
    <w:rsid w:val="00333C1E"/>
    <w:rsid w:val="00340271"/>
    <w:rsid w:val="0034399D"/>
    <w:rsid w:val="00344C7B"/>
    <w:rsid w:val="003466FA"/>
    <w:rsid w:val="00350F18"/>
    <w:rsid w:val="00357959"/>
    <w:rsid w:val="003616A4"/>
    <w:rsid w:val="00361FC2"/>
    <w:rsid w:val="00362297"/>
    <w:rsid w:val="00363CC1"/>
    <w:rsid w:val="00364DB4"/>
    <w:rsid w:val="003701B8"/>
    <w:rsid w:val="00377303"/>
    <w:rsid w:val="0038220F"/>
    <w:rsid w:val="00387267"/>
    <w:rsid w:val="00387388"/>
    <w:rsid w:val="0039118E"/>
    <w:rsid w:val="00391B50"/>
    <w:rsid w:val="00394772"/>
    <w:rsid w:val="0039511D"/>
    <w:rsid w:val="00396A7F"/>
    <w:rsid w:val="003971DB"/>
    <w:rsid w:val="003976BF"/>
    <w:rsid w:val="003A05A9"/>
    <w:rsid w:val="003A09CF"/>
    <w:rsid w:val="003A3E54"/>
    <w:rsid w:val="003A5D04"/>
    <w:rsid w:val="003A71B7"/>
    <w:rsid w:val="003B2705"/>
    <w:rsid w:val="003C3E9D"/>
    <w:rsid w:val="003C58D1"/>
    <w:rsid w:val="003D0E3E"/>
    <w:rsid w:val="003D1B2F"/>
    <w:rsid w:val="003D2E83"/>
    <w:rsid w:val="003D53CA"/>
    <w:rsid w:val="003F2358"/>
    <w:rsid w:val="003F717E"/>
    <w:rsid w:val="00401E2F"/>
    <w:rsid w:val="00405352"/>
    <w:rsid w:val="0040592B"/>
    <w:rsid w:val="00405D85"/>
    <w:rsid w:val="004067C9"/>
    <w:rsid w:val="0041108E"/>
    <w:rsid w:val="004176EF"/>
    <w:rsid w:val="004215E7"/>
    <w:rsid w:val="004253FA"/>
    <w:rsid w:val="004258AA"/>
    <w:rsid w:val="004329A0"/>
    <w:rsid w:val="00434CC7"/>
    <w:rsid w:val="00436E44"/>
    <w:rsid w:val="00453013"/>
    <w:rsid w:val="00454C65"/>
    <w:rsid w:val="00456A81"/>
    <w:rsid w:val="00456F1C"/>
    <w:rsid w:val="00461497"/>
    <w:rsid w:val="00461616"/>
    <w:rsid w:val="00462300"/>
    <w:rsid w:val="00466E89"/>
    <w:rsid w:val="00470179"/>
    <w:rsid w:val="004723CD"/>
    <w:rsid w:val="00473CB1"/>
    <w:rsid w:val="004767AD"/>
    <w:rsid w:val="0048141B"/>
    <w:rsid w:val="004826E8"/>
    <w:rsid w:val="00483F2D"/>
    <w:rsid w:val="0048463B"/>
    <w:rsid w:val="0049183F"/>
    <w:rsid w:val="00497DFD"/>
    <w:rsid w:val="00497FC1"/>
    <w:rsid w:val="004B36B8"/>
    <w:rsid w:val="004B4A83"/>
    <w:rsid w:val="004B7FAC"/>
    <w:rsid w:val="004C046E"/>
    <w:rsid w:val="004C082D"/>
    <w:rsid w:val="004C10D6"/>
    <w:rsid w:val="004C53DF"/>
    <w:rsid w:val="004C5B54"/>
    <w:rsid w:val="004D2C0E"/>
    <w:rsid w:val="004D391C"/>
    <w:rsid w:val="004D56FF"/>
    <w:rsid w:val="004E127D"/>
    <w:rsid w:val="004F1011"/>
    <w:rsid w:val="0050018F"/>
    <w:rsid w:val="00507E63"/>
    <w:rsid w:val="00513163"/>
    <w:rsid w:val="00515F5B"/>
    <w:rsid w:val="00516773"/>
    <w:rsid w:val="00521D7B"/>
    <w:rsid w:val="0052653F"/>
    <w:rsid w:val="00533CA8"/>
    <w:rsid w:val="00534398"/>
    <w:rsid w:val="00534572"/>
    <w:rsid w:val="005347E3"/>
    <w:rsid w:val="00535600"/>
    <w:rsid w:val="0053662E"/>
    <w:rsid w:val="00536E79"/>
    <w:rsid w:val="0054662E"/>
    <w:rsid w:val="00550F9A"/>
    <w:rsid w:val="005515ED"/>
    <w:rsid w:val="00553DE5"/>
    <w:rsid w:val="005570FA"/>
    <w:rsid w:val="00561AE8"/>
    <w:rsid w:val="0056432B"/>
    <w:rsid w:val="0057493C"/>
    <w:rsid w:val="00575A58"/>
    <w:rsid w:val="00580204"/>
    <w:rsid w:val="0058034A"/>
    <w:rsid w:val="00580633"/>
    <w:rsid w:val="00582FC7"/>
    <w:rsid w:val="0058580C"/>
    <w:rsid w:val="00587C51"/>
    <w:rsid w:val="00593E94"/>
    <w:rsid w:val="00595724"/>
    <w:rsid w:val="005A6CE7"/>
    <w:rsid w:val="005B7FF0"/>
    <w:rsid w:val="005C0837"/>
    <w:rsid w:val="005C0881"/>
    <w:rsid w:val="005C099C"/>
    <w:rsid w:val="005C187F"/>
    <w:rsid w:val="005C45D1"/>
    <w:rsid w:val="005C5767"/>
    <w:rsid w:val="005C6E9B"/>
    <w:rsid w:val="005D0121"/>
    <w:rsid w:val="005D7A92"/>
    <w:rsid w:val="005E108F"/>
    <w:rsid w:val="005E1332"/>
    <w:rsid w:val="005E209A"/>
    <w:rsid w:val="005E48A3"/>
    <w:rsid w:val="005E5388"/>
    <w:rsid w:val="005E6E78"/>
    <w:rsid w:val="005E7413"/>
    <w:rsid w:val="005F2A16"/>
    <w:rsid w:val="005F42B2"/>
    <w:rsid w:val="00614A78"/>
    <w:rsid w:val="006227BE"/>
    <w:rsid w:val="006233E9"/>
    <w:rsid w:val="00623D80"/>
    <w:rsid w:val="00624107"/>
    <w:rsid w:val="00626442"/>
    <w:rsid w:val="006312C5"/>
    <w:rsid w:val="006375D0"/>
    <w:rsid w:val="00637B6D"/>
    <w:rsid w:val="006408B7"/>
    <w:rsid w:val="00643C33"/>
    <w:rsid w:val="006441D5"/>
    <w:rsid w:val="00651A17"/>
    <w:rsid w:val="00654632"/>
    <w:rsid w:val="00654C3E"/>
    <w:rsid w:val="00654DEF"/>
    <w:rsid w:val="0066205F"/>
    <w:rsid w:val="00662140"/>
    <w:rsid w:val="0066402A"/>
    <w:rsid w:val="00664DF4"/>
    <w:rsid w:val="00665621"/>
    <w:rsid w:val="00667110"/>
    <w:rsid w:val="00671DF1"/>
    <w:rsid w:val="00674092"/>
    <w:rsid w:val="006769BF"/>
    <w:rsid w:val="0068189E"/>
    <w:rsid w:val="006824C1"/>
    <w:rsid w:val="006845B5"/>
    <w:rsid w:val="00687438"/>
    <w:rsid w:val="00687F5E"/>
    <w:rsid w:val="006911BC"/>
    <w:rsid w:val="00691B8B"/>
    <w:rsid w:val="0069550A"/>
    <w:rsid w:val="006956A1"/>
    <w:rsid w:val="0069638E"/>
    <w:rsid w:val="006A3242"/>
    <w:rsid w:val="006A5783"/>
    <w:rsid w:val="006B188A"/>
    <w:rsid w:val="006C03FF"/>
    <w:rsid w:val="006C20FF"/>
    <w:rsid w:val="006C344D"/>
    <w:rsid w:val="006C553F"/>
    <w:rsid w:val="006C6981"/>
    <w:rsid w:val="006D0A19"/>
    <w:rsid w:val="006D2396"/>
    <w:rsid w:val="006D6959"/>
    <w:rsid w:val="006E3CD6"/>
    <w:rsid w:val="006E5503"/>
    <w:rsid w:val="006E5952"/>
    <w:rsid w:val="006E7212"/>
    <w:rsid w:val="006F1737"/>
    <w:rsid w:val="006F7AC8"/>
    <w:rsid w:val="007019AF"/>
    <w:rsid w:val="0070685F"/>
    <w:rsid w:val="00713196"/>
    <w:rsid w:val="00714776"/>
    <w:rsid w:val="007166EF"/>
    <w:rsid w:val="00717270"/>
    <w:rsid w:val="00717EC3"/>
    <w:rsid w:val="007210D5"/>
    <w:rsid w:val="00722D4B"/>
    <w:rsid w:val="00722EB7"/>
    <w:rsid w:val="00723943"/>
    <w:rsid w:val="00737430"/>
    <w:rsid w:val="00740C2D"/>
    <w:rsid w:val="00745B31"/>
    <w:rsid w:val="007545E0"/>
    <w:rsid w:val="00755F29"/>
    <w:rsid w:val="00756025"/>
    <w:rsid w:val="007618FF"/>
    <w:rsid w:val="00762264"/>
    <w:rsid w:val="007646C4"/>
    <w:rsid w:val="007662A0"/>
    <w:rsid w:val="00767EE8"/>
    <w:rsid w:val="00773F6D"/>
    <w:rsid w:val="00774796"/>
    <w:rsid w:val="00776317"/>
    <w:rsid w:val="00780F3D"/>
    <w:rsid w:val="00785579"/>
    <w:rsid w:val="0079066F"/>
    <w:rsid w:val="00790695"/>
    <w:rsid w:val="00793C4C"/>
    <w:rsid w:val="00794514"/>
    <w:rsid w:val="007A2107"/>
    <w:rsid w:val="007A32B2"/>
    <w:rsid w:val="007A7B29"/>
    <w:rsid w:val="007B1176"/>
    <w:rsid w:val="007B4311"/>
    <w:rsid w:val="007C678B"/>
    <w:rsid w:val="007D0243"/>
    <w:rsid w:val="007D5255"/>
    <w:rsid w:val="007D778E"/>
    <w:rsid w:val="007E0664"/>
    <w:rsid w:val="007E095C"/>
    <w:rsid w:val="007E3FCA"/>
    <w:rsid w:val="007F5890"/>
    <w:rsid w:val="007F58F6"/>
    <w:rsid w:val="007F6A1B"/>
    <w:rsid w:val="00800FB7"/>
    <w:rsid w:val="008047ED"/>
    <w:rsid w:val="0080762D"/>
    <w:rsid w:val="00813EFC"/>
    <w:rsid w:val="00814251"/>
    <w:rsid w:val="00814FC7"/>
    <w:rsid w:val="00817A4F"/>
    <w:rsid w:val="008227C9"/>
    <w:rsid w:val="00825B82"/>
    <w:rsid w:val="008278D2"/>
    <w:rsid w:val="008318E3"/>
    <w:rsid w:val="0083740D"/>
    <w:rsid w:val="00837894"/>
    <w:rsid w:val="00842F6D"/>
    <w:rsid w:val="008467AA"/>
    <w:rsid w:val="008471D0"/>
    <w:rsid w:val="00851836"/>
    <w:rsid w:val="008531D4"/>
    <w:rsid w:val="00855DC6"/>
    <w:rsid w:val="00856A28"/>
    <w:rsid w:val="008631DF"/>
    <w:rsid w:val="00865C33"/>
    <w:rsid w:val="00871D10"/>
    <w:rsid w:val="0087212C"/>
    <w:rsid w:val="00876F02"/>
    <w:rsid w:val="0087766D"/>
    <w:rsid w:val="00877D3E"/>
    <w:rsid w:val="00880CBA"/>
    <w:rsid w:val="00881573"/>
    <w:rsid w:val="00881C98"/>
    <w:rsid w:val="00883963"/>
    <w:rsid w:val="0088514D"/>
    <w:rsid w:val="00895306"/>
    <w:rsid w:val="008963FE"/>
    <w:rsid w:val="00896FB6"/>
    <w:rsid w:val="008A2B32"/>
    <w:rsid w:val="008A39E2"/>
    <w:rsid w:val="008A4ACC"/>
    <w:rsid w:val="008A6EA6"/>
    <w:rsid w:val="008B5DD6"/>
    <w:rsid w:val="008C02BF"/>
    <w:rsid w:val="008C35C9"/>
    <w:rsid w:val="008C3C3E"/>
    <w:rsid w:val="008D319B"/>
    <w:rsid w:val="008D3240"/>
    <w:rsid w:val="008D3E70"/>
    <w:rsid w:val="008D6886"/>
    <w:rsid w:val="008D754E"/>
    <w:rsid w:val="008E26C6"/>
    <w:rsid w:val="008E2C70"/>
    <w:rsid w:val="008F146B"/>
    <w:rsid w:val="008F4A03"/>
    <w:rsid w:val="008F6539"/>
    <w:rsid w:val="008F6DF5"/>
    <w:rsid w:val="00901736"/>
    <w:rsid w:val="00902313"/>
    <w:rsid w:val="009100CD"/>
    <w:rsid w:val="0091181B"/>
    <w:rsid w:val="00916EC1"/>
    <w:rsid w:val="009213F7"/>
    <w:rsid w:val="00921720"/>
    <w:rsid w:val="009225E3"/>
    <w:rsid w:val="00924093"/>
    <w:rsid w:val="009262E0"/>
    <w:rsid w:val="0093338D"/>
    <w:rsid w:val="00935244"/>
    <w:rsid w:val="009420BD"/>
    <w:rsid w:val="0094420C"/>
    <w:rsid w:val="00946064"/>
    <w:rsid w:val="00950CB4"/>
    <w:rsid w:val="00951797"/>
    <w:rsid w:val="00953B38"/>
    <w:rsid w:val="00954846"/>
    <w:rsid w:val="00954E19"/>
    <w:rsid w:val="009558C8"/>
    <w:rsid w:val="00955D1D"/>
    <w:rsid w:val="0095791E"/>
    <w:rsid w:val="00961A92"/>
    <w:rsid w:val="0098496F"/>
    <w:rsid w:val="00987423"/>
    <w:rsid w:val="00991D1D"/>
    <w:rsid w:val="0099744B"/>
    <w:rsid w:val="009A0997"/>
    <w:rsid w:val="009A24A6"/>
    <w:rsid w:val="009A2641"/>
    <w:rsid w:val="009A3C42"/>
    <w:rsid w:val="009A4DB9"/>
    <w:rsid w:val="009A4FEE"/>
    <w:rsid w:val="009A5C57"/>
    <w:rsid w:val="009A5F22"/>
    <w:rsid w:val="009B30D5"/>
    <w:rsid w:val="009B5AD7"/>
    <w:rsid w:val="009B6880"/>
    <w:rsid w:val="009B6933"/>
    <w:rsid w:val="009B6D91"/>
    <w:rsid w:val="009D0A3A"/>
    <w:rsid w:val="009D0BE3"/>
    <w:rsid w:val="009D156B"/>
    <w:rsid w:val="009D18A1"/>
    <w:rsid w:val="009D4333"/>
    <w:rsid w:val="009E04DE"/>
    <w:rsid w:val="009E059F"/>
    <w:rsid w:val="009E681D"/>
    <w:rsid w:val="009E6B37"/>
    <w:rsid w:val="009E76BB"/>
    <w:rsid w:val="009F08E3"/>
    <w:rsid w:val="009F090B"/>
    <w:rsid w:val="009F2D04"/>
    <w:rsid w:val="009F3FF5"/>
    <w:rsid w:val="009F5317"/>
    <w:rsid w:val="009F742F"/>
    <w:rsid w:val="009F7661"/>
    <w:rsid w:val="00A0045C"/>
    <w:rsid w:val="00A0084A"/>
    <w:rsid w:val="00A00DDF"/>
    <w:rsid w:val="00A00EFB"/>
    <w:rsid w:val="00A035AE"/>
    <w:rsid w:val="00A07164"/>
    <w:rsid w:val="00A12253"/>
    <w:rsid w:val="00A20B1A"/>
    <w:rsid w:val="00A218B1"/>
    <w:rsid w:val="00A32709"/>
    <w:rsid w:val="00A37097"/>
    <w:rsid w:val="00A42036"/>
    <w:rsid w:val="00A442A2"/>
    <w:rsid w:val="00A47C42"/>
    <w:rsid w:val="00A51125"/>
    <w:rsid w:val="00A526B4"/>
    <w:rsid w:val="00A5303C"/>
    <w:rsid w:val="00A541B1"/>
    <w:rsid w:val="00A57709"/>
    <w:rsid w:val="00A60ECF"/>
    <w:rsid w:val="00A62E8F"/>
    <w:rsid w:val="00A64795"/>
    <w:rsid w:val="00A6656B"/>
    <w:rsid w:val="00A67B98"/>
    <w:rsid w:val="00A67FC6"/>
    <w:rsid w:val="00A7000A"/>
    <w:rsid w:val="00A72BB5"/>
    <w:rsid w:val="00A80570"/>
    <w:rsid w:val="00A826F2"/>
    <w:rsid w:val="00A9419B"/>
    <w:rsid w:val="00AA264B"/>
    <w:rsid w:val="00AB1FEB"/>
    <w:rsid w:val="00AB4E29"/>
    <w:rsid w:val="00AB6E12"/>
    <w:rsid w:val="00AC0486"/>
    <w:rsid w:val="00AC071C"/>
    <w:rsid w:val="00AC1F21"/>
    <w:rsid w:val="00AC7FED"/>
    <w:rsid w:val="00AD128F"/>
    <w:rsid w:val="00AD2531"/>
    <w:rsid w:val="00AD3DF4"/>
    <w:rsid w:val="00AD46C3"/>
    <w:rsid w:val="00AE2CCA"/>
    <w:rsid w:val="00AE3A03"/>
    <w:rsid w:val="00B016B3"/>
    <w:rsid w:val="00B04C4F"/>
    <w:rsid w:val="00B07898"/>
    <w:rsid w:val="00B07F9D"/>
    <w:rsid w:val="00B10033"/>
    <w:rsid w:val="00B123B5"/>
    <w:rsid w:val="00B13C24"/>
    <w:rsid w:val="00B149CF"/>
    <w:rsid w:val="00B14FA1"/>
    <w:rsid w:val="00B22D99"/>
    <w:rsid w:val="00B25442"/>
    <w:rsid w:val="00B30B99"/>
    <w:rsid w:val="00B351BD"/>
    <w:rsid w:val="00B36F96"/>
    <w:rsid w:val="00B40AC5"/>
    <w:rsid w:val="00B41332"/>
    <w:rsid w:val="00B4143B"/>
    <w:rsid w:val="00B43385"/>
    <w:rsid w:val="00B44602"/>
    <w:rsid w:val="00B4696C"/>
    <w:rsid w:val="00B51E79"/>
    <w:rsid w:val="00B6549F"/>
    <w:rsid w:val="00B658FC"/>
    <w:rsid w:val="00B66BD1"/>
    <w:rsid w:val="00B75A7B"/>
    <w:rsid w:val="00B81A92"/>
    <w:rsid w:val="00B872F5"/>
    <w:rsid w:val="00B95B3F"/>
    <w:rsid w:val="00BA1559"/>
    <w:rsid w:val="00BA673A"/>
    <w:rsid w:val="00BB0520"/>
    <w:rsid w:val="00BB3D74"/>
    <w:rsid w:val="00BB64A5"/>
    <w:rsid w:val="00BB7376"/>
    <w:rsid w:val="00BC08C2"/>
    <w:rsid w:val="00BC3318"/>
    <w:rsid w:val="00BC5D58"/>
    <w:rsid w:val="00BD26FC"/>
    <w:rsid w:val="00BD4DC8"/>
    <w:rsid w:val="00BD6182"/>
    <w:rsid w:val="00BD68F0"/>
    <w:rsid w:val="00BE171D"/>
    <w:rsid w:val="00BE7E75"/>
    <w:rsid w:val="00BF3511"/>
    <w:rsid w:val="00C20E84"/>
    <w:rsid w:val="00C22B01"/>
    <w:rsid w:val="00C233BA"/>
    <w:rsid w:val="00C24412"/>
    <w:rsid w:val="00C303DA"/>
    <w:rsid w:val="00C314EE"/>
    <w:rsid w:val="00C317E0"/>
    <w:rsid w:val="00C36441"/>
    <w:rsid w:val="00C3701A"/>
    <w:rsid w:val="00C40381"/>
    <w:rsid w:val="00C4164A"/>
    <w:rsid w:val="00C43C00"/>
    <w:rsid w:val="00C52885"/>
    <w:rsid w:val="00C5329F"/>
    <w:rsid w:val="00C56725"/>
    <w:rsid w:val="00C637C3"/>
    <w:rsid w:val="00C65BBF"/>
    <w:rsid w:val="00C673F8"/>
    <w:rsid w:val="00C84239"/>
    <w:rsid w:val="00C847E3"/>
    <w:rsid w:val="00C90C4D"/>
    <w:rsid w:val="00C95360"/>
    <w:rsid w:val="00C96A35"/>
    <w:rsid w:val="00C97B3E"/>
    <w:rsid w:val="00CA02D0"/>
    <w:rsid w:val="00CA0FB9"/>
    <w:rsid w:val="00CB0B41"/>
    <w:rsid w:val="00CB108A"/>
    <w:rsid w:val="00CB1A02"/>
    <w:rsid w:val="00CC0873"/>
    <w:rsid w:val="00CC4A12"/>
    <w:rsid w:val="00CC564C"/>
    <w:rsid w:val="00CC6EF6"/>
    <w:rsid w:val="00CD15A9"/>
    <w:rsid w:val="00CD190F"/>
    <w:rsid w:val="00CE15A1"/>
    <w:rsid w:val="00CE1A0F"/>
    <w:rsid w:val="00CE2F45"/>
    <w:rsid w:val="00CE3814"/>
    <w:rsid w:val="00CE6FF5"/>
    <w:rsid w:val="00CE7200"/>
    <w:rsid w:val="00CF2744"/>
    <w:rsid w:val="00CF2A2E"/>
    <w:rsid w:val="00CF358F"/>
    <w:rsid w:val="00CF4507"/>
    <w:rsid w:val="00D0081A"/>
    <w:rsid w:val="00D0229D"/>
    <w:rsid w:val="00D12FF4"/>
    <w:rsid w:val="00D13426"/>
    <w:rsid w:val="00D15FC1"/>
    <w:rsid w:val="00D17157"/>
    <w:rsid w:val="00D202A2"/>
    <w:rsid w:val="00D203D2"/>
    <w:rsid w:val="00D23710"/>
    <w:rsid w:val="00D261AA"/>
    <w:rsid w:val="00D32226"/>
    <w:rsid w:val="00D333E7"/>
    <w:rsid w:val="00D338AB"/>
    <w:rsid w:val="00D4105E"/>
    <w:rsid w:val="00D44AAF"/>
    <w:rsid w:val="00D468F5"/>
    <w:rsid w:val="00D52ABA"/>
    <w:rsid w:val="00D53554"/>
    <w:rsid w:val="00D5615C"/>
    <w:rsid w:val="00D568B4"/>
    <w:rsid w:val="00D64ED5"/>
    <w:rsid w:val="00D66A68"/>
    <w:rsid w:val="00D67774"/>
    <w:rsid w:val="00D82C3B"/>
    <w:rsid w:val="00D839CD"/>
    <w:rsid w:val="00D8428B"/>
    <w:rsid w:val="00D846D5"/>
    <w:rsid w:val="00D871DF"/>
    <w:rsid w:val="00D94541"/>
    <w:rsid w:val="00D95027"/>
    <w:rsid w:val="00D9523C"/>
    <w:rsid w:val="00D96D2E"/>
    <w:rsid w:val="00D97829"/>
    <w:rsid w:val="00DA6AAD"/>
    <w:rsid w:val="00DB0807"/>
    <w:rsid w:val="00DB1DE6"/>
    <w:rsid w:val="00DB4D7C"/>
    <w:rsid w:val="00DC042D"/>
    <w:rsid w:val="00DC1B8E"/>
    <w:rsid w:val="00DC6338"/>
    <w:rsid w:val="00DC6661"/>
    <w:rsid w:val="00DC6760"/>
    <w:rsid w:val="00DD6637"/>
    <w:rsid w:val="00DE1C98"/>
    <w:rsid w:val="00DE6ED7"/>
    <w:rsid w:val="00DF05B9"/>
    <w:rsid w:val="00DF2812"/>
    <w:rsid w:val="00DF4A1D"/>
    <w:rsid w:val="00DF7B6A"/>
    <w:rsid w:val="00E04689"/>
    <w:rsid w:val="00E062DC"/>
    <w:rsid w:val="00E2073B"/>
    <w:rsid w:val="00E23079"/>
    <w:rsid w:val="00E23680"/>
    <w:rsid w:val="00E248E8"/>
    <w:rsid w:val="00E36A65"/>
    <w:rsid w:val="00E40AC3"/>
    <w:rsid w:val="00E429A0"/>
    <w:rsid w:val="00E42C94"/>
    <w:rsid w:val="00E5063C"/>
    <w:rsid w:val="00E50BF6"/>
    <w:rsid w:val="00E517AC"/>
    <w:rsid w:val="00E52653"/>
    <w:rsid w:val="00E53C99"/>
    <w:rsid w:val="00E54935"/>
    <w:rsid w:val="00E57155"/>
    <w:rsid w:val="00E60E16"/>
    <w:rsid w:val="00E6395E"/>
    <w:rsid w:val="00E65B9D"/>
    <w:rsid w:val="00E72CFF"/>
    <w:rsid w:val="00E7317E"/>
    <w:rsid w:val="00E73CD6"/>
    <w:rsid w:val="00E74D71"/>
    <w:rsid w:val="00E76C04"/>
    <w:rsid w:val="00E80C3F"/>
    <w:rsid w:val="00E80D93"/>
    <w:rsid w:val="00E8134E"/>
    <w:rsid w:val="00E81B76"/>
    <w:rsid w:val="00E85AB3"/>
    <w:rsid w:val="00E85BBA"/>
    <w:rsid w:val="00E85C75"/>
    <w:rsid w:val="00E86995"/>
    <w:rsid w:val="00E877A5"/>
    <w:rsid w:val="00E92530"/>
    <w:rsid w:val="00E93285"/>
    <w:rsid w:val="00E93415"/>
    <w:rsid w:val="00E960C2"/>
    <w:rsid w:val="00E97223"/>
    <w:rsid w:val="00EA01CB"/>
    <w:rsid w:val="00EA0CE5"/>
    <w:rsid w:val="00EB10E0"/>
    <w:rsid w:val="00EB1A4D"/>
    <w:rsid w:val="00EB69B0"/>
    <w:rsid w:val="00EC0AB6"/>
    <w:rsid w:val="00ED70CD"/>
    <w:rsid w:val="00EE2369"/>
    <w:rsid w:val="00EE26F4"/>
    <w:rsid w:val="00EE3E08"/>
    <w:rsid w:val="00EE4141"/>
    <w:rsid w:val="00EE5AF1"/>
    <w:rsid w:val="00EE6814"/>
    <w:rsid w:val="00EF0860"/>
    <w:rsid w:val="00EF6236"/>
    <w:rsid w:val="00F02841"/>
    <w:rsid w:val="00F051B1"/>
    <w:rsid w:val="00F05C5E"/>
    <w:rsid w:val="00F06F3A"/>
    <w:rsid w:val="00F165E6"/>
    <w:rsid w:val="00F17F9C"/>
    <w:rsid w:val="00F21BD7"/>
    <w:rsid w:val="00F2218D"/>
    <w:rsid w:val="00F270A5"/>
    <w:rsid w:val="00F3093A"/>
    <w:rsid w:val="00F31F30"/>
    <w:rsid w:val="00F33B01"/>
    <w:rsid w:val="00F376A9"/>
    <w:rsid w:val="00F406B8"/>
    <w:rsid w:val="00F44BE7"/>
    <w:rsid w:val="00F50761"/>
    <w:rsid w:val="00F56584"/>
    <w:rsid w:val="00F62DCA"/>
    <w:rsid w:val="00F64383"/>
    <w:rsid w:val="00F6798C"/>
    <w:rsid w:val="00F77DC4"/>
    <w:rsid w:val="00F77F0C"/>
    <w:rsid w:val="00F821A2"/>
    <w:rsid w:val="00F82D09"/>
    <w:rsid w:val="00F919F2"/>
    <w:rsid w:val="00F926B4"/>
    <w:rsid w:val="00F935D9"/>
    <w:rsid w:val="00FA0E5B"/>
    <w:rsid w:val="00FA3097"/>
    <w:rsid w:val="00FA6DC4"/>
    <w:rsid w:val="00FA757B"/>
    <w:rsid w:val="00FB1511"/>
    <w:rsid w:val="00FC3241"/>
    <w:rsid w:val="00FC407C"/>
    <w:rsid w:val="00FC4222"/>
    <w:rsid w:val="00FC4F0B"/>
    <w:rsid w:val="00FC7FC6"/>
    <w:rsid w:val="00FD1D88"/>
    <w:rsid w:val="00FD31FB"/>
    <w:rsid w:val="00FD4D1C"/>
    <w:rsid w:val="00FD5EC8"/>
    <w:rsid w:val="00FD743A"/>
    <w:rsid w:val="00FE230A"/>
    <w:rsid w:val="00FE4ADC"/>
    <w:rsid w:val="00FE5D82"/>
    <w:rsid w:val="00FE68A7"/>
    <w:rsid w:val="00FF2011"/>
    <w:rsid w:val="00FF61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6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071C"/>
    <w:pPr>
      <w:keepNext/>
      <w:numPr>
        <w:numId w:val="6"/>
      </w:numPr>
      <w:spacing w:before="240" w:after="60" w:line="240" w:lineRule="auto"/>
      <w:ind w:left="431" w:hanging="431"/>
      <w:outlineLvl w:val="0"/>
    </w:pPr>
    <w:rPr>
      <w:rFonts w:ascii="Arial" w:eastAsia="Times New Roman" w:hAnsi="Arial" w:cs="Arial"/>
      <w:b/>
      <w:bCs/>
      <w:kern w:val="32"/>
      <w:sz w:val="28"/>
      <w:szCs w:val="32"/>
      <w:lang w:eastAsia="en-AU"/>
    </w:rPr>
  </w:style>
  <w:style w:type="paragraph" w:styleId="Heading2">
    <w:name w:val="heading 2"/>
    <w:basedOn w:val="Normal"/>
    <w:next w:val="Normal"/>
    <w:link w:val="Heading2Char"/>
    <w:qFormat/>
    <w:rsid w:val="00AC071C"/>
    <w:pPr>
      <w:keepNext/>
      <w:numPr>
        <w:ilvl w:val="1"/>
        <w:numId w:val="6"/>
      </w:numPr>
      <w:spacing w:before="480" w:after="120" w:line="240" w:lineRule="auto"/>
      <w:outlineLvl w:val="1"/>
    </w:pPr>
    <w:rPr>
      <w:rFonts w:ascii="Arial Bold" w:eastAsia="Times New Roman" w:hAnsi="Arial Bold" w:cs="Arial"/>
      <w:b/>
      <w:bCs/>
      <w:iCs/>
      <w:sz w:val="24"/>
      <w:szCs w:val="28"/>
      <w:lang w:eastAsia="en-AU"/>
    </w:rPr>
  </w:style>
  <w:style w:type="paragraph" w:styleId="Heading3">
    <w:name w:val="heading 3"/>
    <w:basedOn w:val="Normal"/>
    <w:next w:val="Normal"/>
    <w:link w:val="Heading3Char"/>
    <w:uiPriority w:val="9"/>
    <w:qFormat/>
    <w:rsid w:val="00AC071C"/>
    <w:pPr>
      <w:keepNext/>
      <w:numPr>
        <w:ilvl w:val="2"/>
        <w:numId w:val="6"/>
      </w:numPr>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uiPriority w:val="9"/>
    <w:semiHidden/>
    <w:unhideWhenUsed/>
    <w:qFormat/>
    <w:rsid w:val="00AC071C"/>
    <w:pPr>
      <w:keepNext/>
      <w:numPr>
        <w:ilvl w:val="3"/>
        <w:numId w:val="6"/>
      </w:numPr>
      <w:spacing w:before="240" w:after="60" w:line="240" w:lineRule="auto"/>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AC071C"/>
    <w:pPr>
      <w:numPr>
        <w:ilvl w:val="4"/>
        <w:numId w:val="6"/>
      </w:numPr>
      <w:spacing w:before="240" w:after="60" w:line="240" w:lineRule="auto"/>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AC071C"/>
    <w:pPr>
      <w:numPr>
        <w:ilvl w:val="5"/>
        <w:numId w:val="6"/>
      </w:numPr>
      <w:spacing w:before="240" w:after="60" w:line="240" w:lineRule="auto"/>
      <w:outlineLvl w:val="5"/>
    </w:pPr>
    <w:rPr>
      <w:rFonts w:ascii="Calibri" w:eastAsia="Times New Roman" w:hAnsi="Calibri" w:cs="Times New Roman"/>
      <w:b/>
      <w:bCs/>
      <w:lang w:eastAsia="en-AU"/>
    </w:rPr>
  </w:style>
  <w:style w:type="paragraph" w:styleId="Heading7">
    <w:name w:val="heading 7"/>
    <w:basedOn w:val="Normal"/>
    <w:next w:val="Normal"/>
    <w:link w:val="Heading7Char"/>
    <w:uiPriority w:val="9"/>
    <w:semiHidden/>
    <w:unhideWhenUsed/>
    <w:qFormat/>
    <w:rsid w:val="00AC071C"/>
    <w:pPr>
      <w:numPr>
        <w:ilvl w:val="6"/>
        <w:numId w:val="6"/>
      </w:numPr>
      <w:spacing w:before="240" w:after="60" w:line="240" w:lineRule="auto"/>
      <w:outlineLvl w:val="6"/>
    </w:pPr>
    <w:rPr>
      <w:rFonts w:ascii="Calibri" w:eastAsia="Times New Roman" w:hAnsi="Calibri" w:cs="Times New Roman"/>
      <w:sz w:val="23"/>
      <w:szCs w:val="24"/>
      <w:lang w:eastAsia="en-AU"/>
    </w:rPr>
  </w:style>
  <w:style w:type="paragraph" w:styleId="Heading8">
    <w:name w:val="heading 8"/>
    <w:basedOn w:val="Normal"/>
    <w:next w:val="Normal"/>
    <w:link w:val="Heading8Char"/>
    <w:uiPriority w:val="9"/>
    <w:semiHidden/>
    <w:unhideWhenUsed/>
    <w:qFormat/>
    <w:rsid w:val="00AC071C"/>
    <w:pPr>
      <w:numPr>
        <w:ilvl w:val="7"/>
        <w:numId w:val="6"/>
      </w:numPr>
      <w:spacing w:before="240" w:after="60" w:line="240" w:lineRule="auto"/>
      <w:outlineLvl w:val="7"/>
    </w:pPr>
    <w:rPr>
      <w:rFonts w:ascii="Calibri" w:eastAsia="Times New Roman" w:hAnsi="Calibri" w:cs="Times New Roman"/>
      <w:i/>
      <w:iCs/>
      <w:sz w:val="23"/>
      <w:szCs w:val="24"/>
      <w:lang w:eastAsia="en-AU"/>
    </w:rPr>
  </w:style>
  <w:style w:type="paragraph" w:styleId="Heading9">
    <w:name w:val="heading 9"/>
    <w:basedOn w:val="Normal"/>
    <w:next w:val="Normal"/>
    <w:link w:val="Heading9Char"/>
    <w:uiPriority w:val="9"/>
    <w:semiHidden/>
    <w:unhideWhenUsed/>
    <w:qFormat/>
    <w:rsid w:val="00AC071C"/>
    <w:pPr>
      <w:numPr>
        <w:ilvl w:val="8"/>
        <w:numId w:val="6"/>
      </w:numPr>
      <w:spacing w:before="240" w:after="60" w:line="240"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vel 3,List Paragraph1,List Paragraph numbered,List Bullet indent,Normal text,Bullet Normal,numbered,FooterText,Paragraphe de liste1,Bulletr List Paragraph,列出段落,列出段落1,Bullet List,Board paper bullet list,#List Paragraph,target,Rec para,L"/>
    <w:basedOn w:val="Normal"/>
    <w:link w:val="ListParagraphChar"/>
    <w:uiPriority w:val="34"/>
    <w:qFormat/>
    <w:rsid w:val="00F376A9"/>
    <w:pPr>
      <w:ind w:left="720"/>
      <w:contextualSpacing/>
    </w:pPr>
  </w:style>
  <w:style w:type="paragraph" w:styleId="Header">
    <w:name w:val="header"/>
    <w:basedOn w:val="Normal"/>
    <w:link w:val="HeaderChar"/>
    <w:uiPriority w:val="99"/>
    <w:unhideWhenUsed/>
    <w:rsid w:val="00ED7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CD"/>
  </w:style>
  <w:style w:type="paragraph" w:styleId="Footer">
    <w:name w:val="footer"/>
    <w:basedOn w:val="Normal"/>
    <w:link w:val="FooterChar"/>
    <w:uiPriority w:val="99"/>
    <w:unhideWhenUsed/>
    <w:rsid w:val="00ED7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CD"/>
  </w:style>
  <w:style w:type="character" w:styleId="CommentReference">
    <w:name w:val="annotation reference"/>
    <w:basedOn w:val="DefaultParagraphFont"/>
    <w:uiPriority w:val="99"/>
    <w:semiHidden/>
    <w:unhideWhenUsed/>
    <w:rsid w:val="00BA1559"/>
    <w:rPr>
      <w:sz w:val="16"/>
      <w:szCs w:val="16"/>
    </w:rPr>
  </w:style>
  <w:style w:type="paragraph" w:styleId="CommentText">
    <w:name w:val="annotation text"/>
    <w:basedOn w:val="Normal"/>
    <w:link w:val="CommentTextChar"/>
    <w:uiPriority w:val="99"/>
    <w:semiHidden/>
    <w:unhideWhenUsed/>
    <w:rsid w:val="00BA15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A1559"/>
    <w:rPr>
      <w:rFonts w:ascii="Times New Roman" w:eastAsia="Times New Roman" w:hAnsi="Times New Roman" w:cs="Times New Roman"/>
      <w:sz w:val="20"/>
      <w:szCs w:val="20"/>
    </w:rPr>
  </w:style>
  <w:style w:type="paragraph" w:styleId="NoSpacing">
    <w:name w:val="No Spacing"/>
    <w:uiPriority w:val="1"/>
    <w:qFormat/>
    <w:rsid w:val="00BA1559"/>
    <w:pPr>
      <w:spacing w:after="0" w:line="240" w:lineRule="auto"/>
    </w:pPr>
  </w:style>
  <w:style w:type="character" w:customStyle="1" w:styleId="Heading1Char">
    <w:name w:val="Heading 1 Char"/>
    <w:basedOn w:val="DefaultParagraphFont"/>
    <w:link w:val="Heading1"/>
    <w:rsid w:val="00AC071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AC071C"/>
    <w:rPr>
      <w:rFonts w:ascii="Arial Bold" w:eastAsia="Times New Roman" w:hAnsi="Arial Bold" w:cs="Arial"/>
      <w:b/>
      <w:bCs/>
      <w:iCs/>
      <w:sz w:val="24"/>
      <w:szCs w:val="28"/>
      <w:lang w:eastAsia="en-AU"/>
    </w:rPr>
  </w:style>
  <w:style w:type="character" w:customStyle="1" w:styleId="Heading3Char">
    <w:name w:val="Heading 3 Char"/>
    <w:basedOn w:val="DefaultParagraphFont"/>
    <w:link w:val="Heading3"/>
    <w:uiPriority w:val="9"/>
    <w:rsid w:val="00AC071C"/>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semiHidden/>
    <w:rsid w:val="00AC071C"/>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AC071C"/>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AC071C"/>
    <w:rPr>
      <w:rFonts w:ascii="Calibri" w:eastAsia="Times New Roman" w:hAnsi="Calibri" w:cs="Times New Roman"/>
      <w:b/>
      <w:bCs/>
      <w:lang w:eastAsia="en-AU"/>
    </w:rPr>
  </w:style>
  <w:style w:type="character" w:customStyle="1" w:styleId="Heading7Char">
    <w:name w:val="Heading 7 Char"/>
    <w:basedOn w:val="DefaultParagraphFont"/>
    <w:link w:val="Heading7"/>
    <w:uiPriority w:val="9"/>
    <w:semiHidden/>
    <w:rsid w:val="00AC071C"/>
    <w:rPr>
      <w:rFonts w:ascii="Calibri" w:eastAsia="Times New Roman" w:hAnsi="Calibri" w:cs="Times New Roman"/>
      <w:sz w:val="23"/>
      <w:szCs w:val="24"/>
      <w:lang w:eastAsia="en-AU"/>
    </w:rPr>
  </w:style>
  <w:style w:type="character" w:customStyle="1" w:styleId="Heading8Char">
    <w:name w:val="Heading 8 Char"/>
    <w:basedOn w:val="DefaultParagraphFont"/>
    <w:link w:val="Heading8"/>
    <w:uiPriority w:val="9"/>
    <w:semiHidden/>
    <w:rsid w:val="00AC071C"/>
    <w:rPr>
      <w:rFonts w:ascii="Calibri" w:eastAsia="Times New Roman" w:hAnsi="Calibri" w:cs="Times New Roman"/>
      <w:i/>
      <w:iCs/>
      <w:sz w:val="23"/>
      <w:szCs w:val="24"/>
      <w:lang w:eastAsia="en-AU"/>
    </w:rPr>
  </w:style>
  <w:style w:type="character" w:customStyle="1" w:styleId="Heading9Char">
    <w:name w:val="Heading 9 Char"/>
    <w:basedOn w:val="DefaultParagraphFont"/>
    <w:link w:val="Heading9"/>
    <w:uiPriority w:val="9"/>
    <w:semiHidden/>
    <w:rsid w:val="00AC071C"/>
    <w:rPr>
      <w:rFonts w:ascii="Cambria" w:eastAsia="Times New Roman" w:hAnsi="Cambria" w:cs="Times New Roman"/>
      <w:lang w:eastAsia="en-AU"/>
    </w:rPr>
  </w:style>
  <w:style w:type="character" w:customStyle="1" w:styleId="ListParagraphChar">
    <w:name w:val="List Paragraph Char"/>
    <w:aliases w:val="Level 3 Char,List Paragraph1 Char,List Paragraph numbered Char,List Bullet indent Char,Normal text Char,Bullet Normal Char,numbered Char,FooterText Char,Paragraphe de liste1 Char,Bulletr List Paragraph Char,列出段落 Char,列出段落1 Char"/>
    <w:basedOn w:val="DefaultParagraphFont"/>
    <w:link w:val="ListParagraph"/>
    <w:uiPriority w:val="34"/>
    <w:qFormat/>
    <w:rsid w:val="00AC071C"/>
  </w:style>
  <w:style w:type="paragraph" w:customStyle="1" w:styleId="paragraph">
    <w:name w:val="paragraph"/>
    <w:basedOn w:val="Normal"/>
    <w:rsid w:val="003101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101FB"/>
  </w:style>
  <w:style w:type="character" w:customStyle="1" w:styleId="eop">
    <w:name w:val="eop"/>
    <w:basedOn w:val="DefaultParagraphFont"/>
    <w:rsid w:val="003101FB"/>
  </w:style>
  <w:style w:type="character" w:styleId="Hyperlink">
    <w:name w:val="Hyperlink"/>
    <w:basedOn w:val="DefaultParagraphFont"/>
    <w:uiPriority w:val="99"/>
    <w:unhideWhenUsed/>
    <w:rsid w:val="0010401C"/>
    <w:rPr>
      <w:color w:val="0563C1" w:themeColor="hyperlink"/>
      <w:u w:val="single"/>
    </w:rPr>
  </w:style>
  <w:style w:type="character" w:styleId="UnresolvedMention">
    <w:name w:val="Unresolved Mention"/>
    <w:basedOn w:val="DefaultParagraphFont"/>
    <w:uiPriority w:val="99"/>
    <w:semiHidden/>
    <w:unhideWhenUsed/>
    <w:rsid w:val="0010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97760">
      <w:bodyDiv w:val="1"/>
      <w:marLeft w:val="0"/>
      <w:marRight w:val="0"/>
      <w:marTop w:val="0"/>
      <w:marBottom w:val="0"/>
      <w:divBdr>
        <w:top w:val="none" w:sz="0" w:space="0" w:color="auto"/>
        <w:left w:val="none" w:sz="0" w:space="0" w:color="auto"/>
        <w:bottom w:val="none" w:sz="0" w:space="0" w:color="auto"/>
        <w:right w:val="none" w:sz="0" w:space="0" w:color="auto"/>
      </w:divBdr>
      <w:divsChild>
        <w:div w:id="1614167910">
          <w:marLeft w:val="0"/>
          <w:marRight w:val="0"/>
          <w:marTop w:val="0"/>
          <w:marBottom w:val="0"/>
          <w:divBdr>
            <w:top w:val="none" w:sz="0" w:space="0" w:color="auto"/>
            <w:left w:val="none" w:sz="0" w:space="0" w:color="auto"/>
            <w:bottom w:val="none" w:sz="0" w:space="0" w:color="auto"/>
            <w:right w:val="none" w:sz="0" w:space="0" w:color="auto"/>
          </w:divBdr>
        </w:div>
        <w:div w:id="326712109">
          <w:marLeft w:val="0"/>
          <w:marRight w:val="0"/>
          <w:marTop w:val="0"/>
          <w:marBottom w:val="0"/>
          <w:divBdr>
            <w:top w:val="none" w:sz="0" w:space="0" w:color="auto"/>
            <w:left w:val="none" w:sz="0" w:space="0" w:color="auto"/>
            <w:bottom w:val="none" w:sz="0" w:space="0" w:color="auto"/>
            <w:right w:val="none" w:sz="0" w:space="0" w:color="auto"/>
          </w:divBdr>
        </w:div>
        <w:div w:id="2014456929">
          <w:marLeft w:val="0"/>
          <w:marRight w:val="0"/>
          <w:marTop w:val="0"/>
          <w:marBottom w:val="0"/>
          <w:divBdr>
            <w:top w:val="none" w:sz="0" w:space="0" w:color="auto"/>
            <w:left w:val="none" w:sz="0" w:space="0" w:color="auto"/>
            <w:bottom w:val="none" w:sz="0" w:space="0" w:color="auto"/>
            <w:right w:val="none" w:sz="0" w:space="0" w:color="auto"/>
          </w:divBdr>
        </w:div>
        <w:div w:id="228460990">
          <w:marLeft w:val="0"/>
          <w:marRight w:val="0"/>
          <w:marTop w:val="0"/>
          <w:marBottom w:val="0"/>
          <w:divBdr>
            <w:top w:val="none" w:sz="0" w:space="0" w:color="auto"/>
            <w:left w:val="none" w:sz="0" w:space="0" w:color="auto"/>
            <w:bottom w:val="none" w:sz="0" w:space="0" w:color="auto"/>
            <w:right w:val="none" w:sz="0" w:space="0" w:color="auto"/>
          </w:divBdr>
        </w:div>
        <w:div w:id="216864831">
          <w:marLeft w:val="0"/>
          <w:marRight w:val="0"/>
          <w:marTop w:val="0"/>
          <w:marBottom w:val="0"/>
          <w:divBdr>
            <w:top w:val="none" w:sz="0" w:space="0" w:color="auto"/>
            <w:left w:val="none" w:sz="0" w:space="0" w:color="auto"/>
            <w:bottom w:val="none" w:sz="0" w:space="0" w:color="auto"/>
            <w:right w:val="none" w:sz="0" w:space="0" w:color="auto"/>
          </w:divBdr>
        </w:div>
      </w:divsChild>
    </w:div>
    <w:div w:id="13861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2023-08-13T21:55:00Z</dcterms:created>
  <dcterms:modified xsi:type="dcterms:W3CDTF">2023-08-13T21:55:00Z</dcterms:modified>
</cp:coreProperties>
</file>