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ABBC" w14:textId="3814BA81" w:rsidR="00691112" w:rsidRPr="00102DCD" w:rsidRDefault="00691112" w:rsidP="00102DCD">
      <w:pPr>
        <w:pStyle w:val="Heading1"/>
      </w:pPr>
      <w:r w:rsidRPr="00554C10">
        <w:rPr>
          <w:noProof/>
          <w:sz w:val="28"/>
          <w:szCs w:val="28"/>
        </w:rPr>
        <w:drawing>
          <wp:anchor distT="0" distB="0" distL="114300" distR="114300" simplePos="0" relativeHeight="251658240" behindDoc="1" locked="0" layoutInCell="1" allowOverlap="1" wp14:anchorId="1F6C2669" wp14:editId="3B1D74F5">
            <wp:simplePos x="0" y="0"/>
            <wp:positionH relativeFrom="column">
              <wp:posOffset>-596265</wp:posOffset>
            </wp:positionH>
            <wp:positionV relativeFrom="paragraph">
              <wp:posOffset>0</wp:posOffset>
            </wp:positionV>
            <wp:extent cx="2122170" cy="373380"/>
            <wp:effectExtent l="0" t="0" r="0" b="7620"/>
            <wp:wrapTight wrapText="bothSides">
              <wp:wrapPolygon edited="0">
                <wp:start x="0" y="0"/>
                <wp:lineTo x="0" y="20939"/>
                <wp:lineTo x="12022" y="20939"/>
                <wp:lineTo x="12022" y="17633"/>
                <wp:lineTo x="21329" y="12122"/>
                <wp:lineTo x="21329" y="0"/>
                <wp:lineTo x="0" y="0"/>
              </wp:wrapPolygon>
            </wp:wrapTight>
            <wp:docPr id="1325731784" name="Picture 1325731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217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3835C5" w14:textId="77777777" w:rsidR="00691112" w:rsidRDefault="00691112" w:rsidP="00102DCD">
      <w:pPr>
        <w:pStyle w:val="Heading2"/>
      </w:pPr>
    </w:p>
    <w:p w14:paraId="3D61E7F6" w14:textId="63427A89" w:rsidR="00C12FAA" w:rsidRPr="005B0DC6" w:rsidRDefault="00EE56DF" w:rsidP="005D419D">
      <w:pPr>
        <w:jc w:val="center"/>
        <w:rPr>
          <w:rFonts w:ascii="Poppins Black" w:hAnsi="Poppins Black" w:cs="Poppins Black"/>
          <w:b/>
          <w:bCs/>
          <w:color w:val="0C818F" w:themeColor="accent3"/>
          <w:sz w:val="34"/>
          <w:szCs w:val="34"/>
        </w:rPr>
      </w:pPr>
      <w:r w:rsidRPr="005B0DC6">
        <w:rPr>
          <w:rFonts w:ascii="Poppins Black" w:hAnsi="Poppins Black" w:cs="Poppins Black"/>
          <w:b/>
          <w:bCs/>
          <w:color w:val="0C818F" w:themeColor="accent3"/>
          <w:sz w:val="34"/>
          <w:szCs w:val="34"/>
        </w:rPr>
        <w:t>Information for primary healthcare professionals</w:t>
      </w:r>
    </w:p>
    <w:p w14:paraId="700CACC5" w14:textId="693AC0CD" w:rsidR="00C12FAA" w:rsidRPr="005B0DC6" w:rsidRDefault="00EE56DF" w:rsidP="005D419D">
      <w:pPr>
        <w:jc w:val="center"/>
        <w:rPr>
          <w:rFonts w:ascii="Poppins" w:hAnsi="Poppins" w:cs="Poppins"/>
          <w:color w:val="0C818F" w:themeColor="accent3"/>
          <w:sz w:val="34"/>
          <w:szCs w:val="34"/>
        </w:rPr>
      </w:pPr>
      <w:r w:rsidRPr="005B0DC6">
        <w:rPr>
          <w:rFonts w:ascii="Poppins" w:hAnsi="Poppins" w:cs="Poppins"/>
          <w:color w:val="0C818F" w:themeColor="accent3"/>
          <w:sz w:val="34"/>
          <w:szCs w:val="34"/>
        </w:rPr>
        <w:t>Community Referred Radiology (CRR) Programme</w:t>
      </w:r>
    </w:p>
    <w:p w14:paraId="13D995FC" w14:textId="1312D4F1" w:rsidR="00A84F52" w:rsidRPr="005E56B1" w:rsidRDefault="00AD694B" w:rsidP="00FD0B3F">
      <w:pPr>
        <w:rPr>
          <w:rFonts w:ascii="Poppins" w:hAnsi="Poppins" w:cs="Poppins"/>
        </w:rPr>
      </w:pPr>
      <w:r w:rsidRPr="00AD694B">
        <w:rPr>
          <w:rFonts w:ascii="Poppins" w:hAnsi="Poppins" w:cs="Poppins"/>
        </w:rPr>
        <w:t xml:space="preserve">Health NZ | Te Whatu Ora </w:t>
      </w:r>
      <w:r w:rsidR="00967C01" w:rsidRPr="00967C01">
        <w:rPr>
          <w:rFonts w:ascii="Poppins" w:hAnsi="Poppins" w:cs="Poppins"/>
        </w:rPr>
        <w:t>recognises that access to timely and effective radiology is critical to providing high quality care, reducing waiting times for treatment and improving outcomes.</w:t>
      </w:r>
    </w:p>
    <w:p w14:paraId="400DC545" w14:textId="5AD15AFB" w:rsidR="00DD256C" w:rsidRDefault="00275489" w:rsidP="00DD256C">
      <w:pPr>
        <w:rPr>
          <w:rFonts w:ascii="Poppins" w:hAnsi="Poppins" w:cs="Poppins"/>
          <w:b/>
          <w:bCs/>
          <w:color w:val="0C818F" w:themeColor="accent3"/>
        </w:rPr>
      </w:pPr>
      <w:r>
        <w:rPr>
          <w:rFonts w:ascii="Poppins" w:hAnsi="Poppins" w:cs="Poppins"/>
          <w:b/>
          <w:bCs/>
          <w:color w:val="0C818F" w:themeColor="accent3"/>
        </w:rPr>
        <w:t>Phased programme roll out from 1</w:t>
      </w:r>
      <w:r w:rsidRPr="00275489">
        <w:rPr>
          <w:rFonts w:ascii="Poppins" w:hAnsi="Poppins" w:cs="Poppins"/>
          <w:b/>
          <w:bCs/>
          <w:color w:val="0C818F" w:themeColor="accent3"/>
          <w:vertAlign w:val="superscript"/>
        </w:rPr>
        <w:t>st</w:t>
      </w:r>
      <w:r>
        <w:rPr>
          <w:rFonts w:ascii="Poppins" w:hAnsi="Poppins" w:cs="Poppins"/>
          <w:b/>
          <w:bCs/>
          <w:color w:val="0C818F" w:themeColor="accent3"/>
        </w:rPr>
        <w:t xml:space="preserve"> September </w:t>
      </w:r>
      <w:r w:rsidR="00860CA8">
        <w:rPr>
          <w:rFonts w:ascii="Poppins" w:hAnsi="Poppins" w:cs="Poppins"/>
          <w:b/>
          <w:bCs/>
          <w:color w:val="0C818F" w:themeColor="accent3"/>
        </w:rPr>
        <w:t>2025</w:t>
      </w:r>
    </w:p>
    <w:p w14:paraId="5C12BEF5" w14:textId="660175CB" w:rsidR="00186B0C" w:rsidRDefault="00186B0C" w:rsidP="00186B0C">
      <w:pPr>
        <w:rPr>
          <w:rFonts w:ascii="Poppins" w:hAnsi="Poppins" w:cs="Poppins"/>
        </w:rPr>
      </w:pPr>
      <w:r w:rsidRPr="00186B0C">
        <w:rPr>
          <w:rFonts w:ascii="Poppins" w:hAnsi="Poppins" w:cs="Poppins"/>
        </w:rPr>
        <w:t xml:space="preserve">The Phase 1 </w:t>
      </w:r>
      <w:r w:rsidRPr="00186B0C">
        <w:rPr>
          <w:rFonts w:ascii="Poppins" w:hAnsi="Poppins" w:cs="Poppins"/>
          <w:i/>
          <w:iCs/>
        </w:rPr>
        <w:t>National Primary Care Referral Criteria for Imaging</w:t>
      </w:r>
      <w:r w:rsidRPr="00186B0C">
        <w:rPr>
          <w:rFonts w:ascii="Poppins" w:hAnsi="Poppins" w:cs="Poppins"/>
        </w:rPr>
        <w:t xml:space="preserve"> allows General Practitioners, Urgent Care </w:t>
      </w:r>
      <w:r w:rsidR="00197302">
        <w:rPr>
          <w:rFonts w:ascii="Poppins" w:hAnsi="Poppins" w:cs="Poppins"/>
        </w:rPr>
        <w:t>Physicians</w:t>
      </w:r>
      <w:r w:rsidRPr="00186B0C">
        <w:rPr>
          <w:rFonts w:ascii="Poppins" w:hAnsi="Poppins" w:cs="Poppins"/>
        </w:rPr>
        <w:t xml:space="preserve">, and primary </w:t>
      </w:r>
      <w:r w:rsidR="00063897">
        <w:rPr>
          <w:rFonts w:ascii="Poppins" w:hAnsi="Poppins" w:cs="Poppins"/>
        </w:rPr>
        <w:t xml:space="preserve">and urgent </w:t>
      </w:r>
      <w:r w:rsidRPr="00186B0C">
        <w:rPr>
          <w:rFonts w:ascii="Poppins" w:hAnsi="Poppins" w:cs="Poppins"/>
        </w:rPr>
        <w:t>care Nurse Practitioners to refer patients directly for imaging without a hospital specialist assessment or emergency department referral from 1</w:t>
      </w:r>
      <w:r w:rsidRPr="00186B0C">
        <w:rPr>
          <w:rFonts w:ascii="Poppins" w:hAnsi="Poppins" w:cs="Poppins"/>
          <w:vertAlign w:val="superscript"/>
        </w:rPr>
        <w:t>st</w:t>
      </w:r>
      <w:r w:rsidRPr="00186B0C">
        <w:rPr>
          <w:rFonts w:ascii="Poppins" w:hAnsi="Poppins" w:cs="Poppins"/>
        </w:rPr>
        <w:t xml:space="preserve"> September 2025.   </w:t>
      </w:r>
      <w:r w:rsidR="00937883">
        <w:rPr>
          <w:rFonts w:ascii="Poppins" w:hAnsi="Poppins" w:cs="Poppins"/>
          <w:b/>
          <w:bCs/>
          <w:color w:val="15284C"/>
        </w:rPr>
        <w:t xml:space="preserve">Available </w:t>
      </w:r>
      <w:hyperlink r:id="rId14" w:history="1">
        <w:r w:rsidR="00937883">
          <w:rPr>
            <w:rStyle w:val="Hyperlink"/>
            <w:rFonts w:ascii="Poppins" w:hAnsi="Poppins" w:cs="Poppins"/>
            <w:b/>
            <w:bCs/>
          </w:rPr>
          <w:t>here</w:t>
        </w:r>
      </w:hyperlink>
      <w:r w:rsidR="00937883">
        <w:rPr>
          <w:rFonts w:ascii="Poppins" w:hAnsi="Poppins" w:cs="Poppins"/>
          <w:b/>
          <w:bCs/>
          <w:color w:val="15284C"/>
        </w:rPr>
        <w:t xml:space="preserve"> </w:t>
      </w:r>
      <w:r w:rsidR="00937883">
        <w:t xml:space="preserve">  </w:t>
      </w:r>
    </w:p>
    <w:p w14:paraId="56349A10" w14:textId="332310B1" w:rsidR="00186B0C" w:rsidRPr="00186B0C" w:rsidRDefault="00186B0C" w:rsidP="00186B0C">
      <w:pPr>
        <w:rPr>
          <w:rFonts w:ascii="Poppins" w:hAnsi="Poppins" w:cs="Poppins"/>
        </w:rPr>
      </w:pPr>
      <w:r w:rsidRPr="00186B0C">
        <w:rPr>
          <w:rFonts w:ascii="Poppins" w:hAnsi="Poppins" w:cs="Poppins"/>
        </w:rPr>
        <w:t xml:space="preserve">Imaging references across the Community </w:t>
      </w:r>
      <w:proofErr w:type="spellStart"/>
      <w:r w:rsidRPr="00186B0C">
        <w:rPr>
          <w:rFonts w:ascii="Poppins" w:hAnsi="Poppins" w:cs="Poppins"/>
        </w:rPr>
        <w:t>HealthPathways</w:t>
      </w:r>
      <w:proofErr w:type="spellEnd"/>
      <w:r w:rsidRPr="00186B0C">
        <w:rPr>
          <w:rFonts w:ascii="Poppins" w:hAnsi="Poppins" w:cs="Poppins"/>
        </w:rPr>
        <w:t xml:space="preserve"> </w:t>
      </w:r>
      <w:r w:rsidR="008C3872">
        <w:rPr>
          <w:rFonts w:ascii="Poppins" w:hAnsi="Poppins" w:cs="Poppins"/>
        </w:rPr>
        <w:t xml:space="preserve">are currently being </w:t>
      </w:r>
      <w:r w:rsidRPr="00186B0C">
        <w:rPr>
          <w:rFonts w:ascii="Poppins" w:hAnsi="Poppins" w:cs="Poppins"/>
        </w:rPr>
        <w:t xml:space="preserve"> updated to align these criteria nationwide. Diagnostic X-ray, ultrasound and CT imaging referral criteria for both adults and children are specified in the new criteria for the following exams:</w:t>
      </w:r>
    </w:p>
    <w:p w14:paraId="3B074895" w14:textId="2534D3BA" w:rsidR="00186B0C" w:rsidRPr="00186B0C" w:rsidRDefault="00186B0C" w:rsidP="00F607B0">
      <w:pPr>
        <w:numPr>
          <w:ilvl w:val="0"/>
          <w:numId w:val="35"/>
        </w:numPr>
        <w:spacing w:after="60"/>
        <w:rPr>
          <w:rFonts w:ascii="Poppins" w:hAnsi="Poppins" w:cs="Poppins"/>
        </w:rPr>
      </w:pPr>
      <w:r w:rsidRPr="00186B0C">
        <w:rPr>
          <w:rFonts w:ascii="Poppins" w:hAnsi="Poppins" w:cs="Poppins"/>
        </w:rPr>
        <w:t>Adult CT: Chest Abdomen and Pelvis, Chest, Colonography (or</w:t>
      </w:r>
      <w:r w:rsidR="00DA5079">
        <w:rPr>
          <w:rFonts w:ascii="Poppins" w:hAnsi="Poppins" w:cs="Poppins"/>
        </w:rPr>
        <w:t xml:space="preserve"> </w:t>
      </w:r>
      <w:r w:rsidRPr="00186B0C">
        <w:rPr>
          <w:rFonts w:ascii="Poppins" w:hAnsi="Poppins" w:cs="Poppins"/>
        </w:rPr>
        <w:t xml:space="preserve">colonoscopy), Head, Intravenous </w:t>
      </w:r>
      <w:proofErr w:type="spellStart"/>
      <w:r w:rsidRPr="00186B0C">
        <w:rPr>
          <w:rFonts w:ascii="Poppins" w:hAnsi="Poppins" w:cs="Poppins"/>
        </w:rPr>
        <w:t>Urogram</w:t>
      </w:r>
      <w:proofErr w:type="spellEnd"/>
      <w:r w:rsidRPr="00186B0C">
        <w:rPr>
          <w:rFonts w:ascii="Poppins" w:hAnsi="Poppins" w:cs="Poppins"/>
        </w:rPr>
        <w:t>/ Renal, KUB, Sinus</w:t>
      </w:r>
    </w:p>
    <w:p w14:paraId="21783DC5" w14:textId="11B154E9" w:rsidR="00186B0C" w:rsidRPr="00186B0C" w:rsidRDefault="00186B0C" w:rsidP="00F607B0">
      <w:pPr>
        <w:numPr>
          <w:ilvl w:val="0"/>
          <w:numId w:val="35"/>
        </w:numPr>
        <w:spacing w:after="60"/>
        <w:rPr>
          <w:rFonts w:ascii="Poppins" w:hAnsi="Poppins" w:cs="Poppins"/>
        </w:rPr>
      </w:pPr>
      <w:r w:rsidRPr="00186B0C">
        <w:rPr>
          <w:rFonts w:ascii="Poppins" w:hAnsi="Poppins" w:cs="Poppins"/>
        </w:rPr>
        <w:t>Adult Ultrasound: Abdomen, Carotid, DVT, Guided FNA, Musculoskeletal incl. shoulder, Pelvis, Renal, Scrotum, Soft Tissue Lump, Neck/Thyroid</w:t>
      </w:r>
    </w:p>
    <w:p w14:paraId="1CE6668A" w14:textId="5B131AB3" w:rsidR="00186B0C" w:rsidRPr="00186B0C" w:rsidRDefault="00186B0C" w:rsidP="00F607B0">
      <w:pPr>
        <w:numPr>
          <w:ilvl w:val="0"/>
          <w:numId w:val="35"/>
        </w:numPr>
        <w:spacing w:after="60"/>
        <w:rPr>
          <w:rFonts w:ascii="Poppins" w:hAnsi="Poppins" w:cs="Poppins"/>
        </w:rPr>
      </w:pPr>
      <w:r w:rsidRPr="00186B0C">
        <w:rPr>
          <w:rFonts w:ascii="Poppins" w:hAnsi="Poppins" w:cs="Poppins"/>
        </w:rPr>
        <w:t>Adult X-ray: Abdomen, Ankle, Foot, Chest, Elbow, Knee, Pelvis, Hip, Shoulder, Spine, Wrist, Hand</w:t>
      </w:r>
    </w:p>
    <w:p w14:paraId="4DF889E8" w14:textId="06F43DBE" w:rsidR="00186B0C" w:rsidRPr="00186B0C" w:rsidRDefault="00186B0C" w:rsidP="00F607B0">
      <w:pPr>
        <w:numPr>
          <w:ilvl w:val="0"/>
          <w:numId w:val="35"/>
        </w:numPr>
        <w:spacing w:after="60"/>
        <w:rPr>
          <w:rFonts w:ascii="Poppins" w:hAnsi="Poppins" w:cs="Poppins"/>
        </w:rPr>
      </w:pPr>
      <w:r w:rsidRPr="00186B0C">
        <w:rPr>
          <w:rFonts w:ascii="Poppins" w:hAnsi="Poppins" w:cs="Poppins"/>
        </w:rPr>
        <w:t xml:space="preserve">Paediatric CT: Head </w:t>
      </w:r>
    </w:p>
    <w:p w14:paraId="52CF77F3" w14:textId="62F14709" w:rsidR="00186B0C" w:rsidRPr="00186B0C" w:rsidRDefault="00186B0C" w:rsidP="00F607B0">
      <w:pPr>
        <w:numPr>
          <w:ilvl w:val="0"/>
          <w:numId w:val="35"/>
        </w:numPr>
        <w:spacing w:after="60"/>
        <w:rPr>
          <w:rFonts w:ascii="Poppins" w:hAnsi="Poppins" w:cs="Poppins"/>
        </w:rPr>
      </w:pPr>
      <w:r w:rsidRPr="00186B0C">
        <w:rPr>
          <w:rFonts w:ascii="Poppins" w:hAnsi="Poppins" w:cs="Poppins"/>
        </w:rPr>
        <w:t>Paediatric Ultrasound: Abdomen, Hip, Neck / Thyroid, Pelvis, Renal, Scrotum / Testes, Soft Tissue, Spine</w:t>
      </w:r>
    </w:p>
    <w:p w14:paraId="71EC67EC" w14:textId="7469D487" w:rsidR="00BB5B58" w:rsidRDefault="00186B0C" w:rsidP="00BB5B58">
      <w:pPr>
        <w:numPr>
          <w:ilvl w:val="0"/>
          <w:numId w:val="35"/>
        </w:numPr>
        <w:spacing w:after="60"/>
        <w:rPr>
          <w:rFonts w:ascii="Poppins" w:hAnsi="Poppins" w:cs="Poppins"/>
        </w:rPr>
      </w:pPr>
      <w:r w:rsidRPr="00186B0C">
        <w:rPr>
          <w:rFonts w:ascii="Poppins" w:hAnsi="Poppins" w:cs="Poppins"/>
        </w:rPr>
        <w:t>Paediatric X-ray: Abdomen, Chest, Elbow, Feet, Knee, Pelvis / Hip, Shoulder, Spine, Wrist / Hands</w:t>
      </w:r>
    </w:p>
    <w:p w14:paraId="6DB06EB4" w14:textId="77777777" w:rsidR="00DE4894" w:rsidRDefault="00DE4894" w:rsidP="00DE4894">
      <w:pPr>
        <w:spacing w:after="0"/>
        <w:rPr>
          <w:rFonts w:ascii="Poppins" w:hAnsi="Poppins" w:cs="Poppins"/>
          <w:b/>
          <w:bCs/>
          <w:color w:val="0C818F" w:themeColor="accent3"/>
        </w:rPr>
      </w:pPr>
    </w:p>
    <w:p w14:paraId="211D6765" w14:textId="0F8B4A5C" w:rsidR="00091A6C" w:rsidRDefault="00325A3E" w:rsidP="00091A6C">
      <w:pPr>
        <w:rPr>
          <w:rFonts w:ascii="Poppins" w:hAnsi="Poppins" w:cs="Poppins"/>
          <w:b/>
          <w:bCs/>
          <w:color w:val="0C818F" w:themeColor="accent3"/>
        </w:rPr>
      </w:pPr>
      <w:r>
        <w:rPr>
          <w:rFonts w:ascii="Poppins" w:hAnsi="Poppins" w:cs="Poppins"/>
          <w:b/>
          <w:bCs/>
          <w:color w:val="0C818F" w:themeColor="accent3"/>
        </w:rPr>
        <w:t>Will direct access be expanded to other professional groups?</w:t>
      </w:r>
    </w:p>
    <w:p w14:paraId="46CF7299" w14:textId="3799C4BD" w:rsidR="00633619" w:rsidRDefault="00991860" w:rsidP="00091A6C">
      <w:pPr>
        <w:rPr>
          <w:rFonts w:ascii="Poppins" w:hAnsi="Poppins" w:cs="Poppins"/>
        </w:rPr>
      </w:pPr>
      <w:r>
        <w:rPr>
          <w:rFonts w:ascii="Poppins" w:hAnsi="Poppins" w:cs="Poppins"/>
        </w:rPr>
        <w:t xml:space="preserve">Subsequent phases will consider </w:t>
      </w:r>
      <w:r w:rsidR="00091A6C" w:rsidRPr="00091A6C">
        <w:rPr>
          <w:rFonts w:ascii="Poppins" w:hAnsi="Poppins" w:cs="Poppins"/>
        </w:rPr>
        <w:t xml:space="preserve">direct access for additional modalities and other primary healthcare practitioners for some indications. Phased enhanced access will lessen the burden on any one professional group.    </w:t>
      </w:r>
    </w:p>
    <w:p w14:paraId="58E59676" w14:textId="77777777" w:rsidR="009B35C1" w:rsidRPr="00F6558A" w:rsidRDefault="009B35C1" w:rsidP="009B35C1">
      <w:pPr>
        <w:spacing w:after="0"/>
        <w:jc w:val="both"/>
        <w:rPr>
          <w:rFonts w:ascii="Poppins" w:hAnsi="Poppins" w:cs="Poppins"/>
          <w:b/>
          <w:bCs/>
        </w:rPr>
      </w:pPr>
    </w:p>
    <w:p w14:paraId="7ACA037B" w14:textId="77777777" w:rsidR="009B35C1" w:rsidRPr="009B35C1" w:rsidRDefault="009B35C1" w:rsidP="009B35C1">
      <w:pPr>
        <w:rPr>
          <w:rFonts w:ascii="Poppins" w:hAnsi="Poppins" w:cs="Poppins"/>
          <w:b/>
          <w:bCs/>
          <w:color w:val="0C818F" w:themeColor="accent3"/>
        </w:rPr>
      </w:pPr>
      <w:r w:rsidRPr="009B35C1">
        <w:rPr>
          <w:rFonts w:ascii="Poppins" w:hAnsi="Poppins" w:cs="Poppins"/>
          <w:b/>
          <w:bCs/>
          <w:color w:val="0C818F" w:themeColor="accent3"/>
        </w:rPr>
        <w:t>Are the new criteria mandatory?</w:t>
      </w:r>
    </w:p>
    <w:p w14:paraId="32F484FD" w14:textId="77777777" w:rsidR="009B35C1" w:rsidRPr="00F6558A" w:rsidRDefault="009B35C1" w:rsidP="009B35C1">
      <w:pPr>
        <w:spacing w:after="0"/>
        <w:jc w:val="both"/>
        <w:rPr>
          <w:rFonts w:ascii="Poppins" w:hAnsi="Poppins" w:cs="Poppins"/>
        </w:rPr>
      </w:pPr>
      <w:r w:rsidRPr="00F6558A">
        <w:rPr>
          <w:rFonts w:ascii="Poppins" w:hAnsi="Poppins" w:cs="Poppins"/>
        </w:rPr>
        <w:t xml:space="preserve">Yes. Given the primary objective of the CRR programme is to enable more consistent clinically appropriate access to diagnostic radiology, implementation of the national CRR Criteria is mandatory and should not be delayed or modified locally based on capacity or other constraints (although the ‘how’ and ‘where’ may be adapted to reflect the variability of local service models and resource availability). </w:t>
      </w:r>
    </w:p>
    <w:p w14:paraId="699EA8C3" w14:textId="77777777" w:rsidR="009B35C1" w:rsidRPr="00F6558A" w:rsidRDefault="009B35C1" w:rsidP="009B35C1">
      <w:pPr>
        <w:spacing w:after="0"/>
        <w:jc w:val="both"/>
        <w:rPr>
          <w:rFonts w:ascii="Poppins" w:hAnsi="Poppins" w:cs="Poppins"/>
          <w:color w:val="FF0000"/>
        </w:rPr>
      </w:pPr>
    </w:p>
    <w:p w14:paraId="06BD2C4A" w14:textId="77777777" w:rsidR="009B35C1" w:rsidRPr="00F6558A" w:rsidRDefault="009B35C1" w:rsidP="009B35C1">
      <w:pPr>
        <w:spacing w:after="0"/>
        <w:jc w:val="both"/>
        <w:rPr>
          <w:rFonts w:ascii="Poppins" w:hAnsi="Poppins" w:cs="Poppins"/>
        </w:rPr>
      </w:pPr>
      <w:r w:rsidRPr="00F6558A">
        <w:rPr>
          <w:rFonts w:ascii="Poppins" w:hAnsi="Poppins" w:cs="Poppins"/>
        </w:rPr>
        <w:t xml:space="preserve">Where imaging is not indicated, the CRR referral criteria include advice on alternative management. Nationally, CRR hubs will work collectively to develop standardised responses for declined referrals. When imaging is not publicly funded but may still be indicated, the patient may wish to consider privately funded imaging. </w:t>
      </w:r>
    </w:p>
    <w:p w14:paraId="2258D87E" w14:textId="77777777" w:rsidR="009B35C1" w:rsidRPr="00F6558A" w:rsidRDefault="009B35C1" w:rsidP="009B35C1">
      <w:pPr>
        <w:spacing w:after="0"/>
        <w:jc w:val="both"/>
        <w:rPr>
          <w:rFonts w:ascii="Poppins" w:hAnsi="Poppins" w:cs="Poppins"/>
        </w:rPr>
      </w:pPr>
    </w:p>
    <w:p w14:paraId="457629CC" w14:textId="77777777" w:rsidR="009B35C1" w:rsidRPr="009B35C1" w:rsidRDefault="009B35C1" w:rsidP="009B35C1">
      <w:pPr>
        <w:rPr>
          <w:rFonts w:ascii="Poppins" w:hAnsi="Poppins" w:cs="Poppins"/>
          <w:b/>
          <w:bCs/>
          <w:color w:val="0C818F" w:themeColor="accent3"/>
        </w:rPr>
      </w:pPr>
      <w:r w:rsidRPr="009B35C1">
        <w:rPr>
          <w:rFonts w:ascii="Poppins" w:hAnsi="Poppins" w:cs="Poppins"/>
          <w:b/>
          <w:bCs/>
          <w:color w:val="0C818F" w:themeColor="accent3"/>
        </w:rPr>
        <w:t>What will change on 1st September?</w:t>
      </w:r>
    </w:p>
    <w:p w14:paraId="612E50A6" w14:textId="79250423" w:rsidR="009B35C1" w:rsidRPr="00F6558A" w:rsidRDefault="009B35C1" w:rsidP="009B35C1">
      <w:pPr>
        <w:spacing w:after="0"/>
        <w:jc w:val="both"/>
        <w:rPr>
          <w:rFonts w:ascii="Poppins" w:hAnsi="Poppins" w:cs="Poppins"/>
        </w:rPr>
      </w:pPr>
      <w:r w:rsidRPr="00F6558A">
        <w:rPr>
          <w:rFonts w:ascii="Poppins" w:hAnsi="Poppins" w:cs="Poppins"/>
        </w:rPr>
        <w:t xml:space="preserve">Health </w:t>
      </w:r>
      <w:r w:rsidR="006F3CBC">
        <w:rPr>
          <w:rFonts w:ascii="Poppins" w:hAnsi="Poppins" w:cs="Poppins"/>
        </w:rPr>
        <w:t>NZ</w:t>
      </w:r>
      <w:r w:rsidRPr="00F6558A">
        <w:rPr>
          <w:rFonts w:ascii="Poppins" w:hAnsi="Poppins" w:cs="Poppins"/>
        </w:rPr>
        <w:t xml:space="preserve"> will publish new community referred radiology criteria on 1</w:t>
      </w:r>
      <w:r w:rsidR="006822E8" w:rsidRPr="006822E8">
        <w:rPr>
          <w:rFonts w:ascii="Poppins" w:hAnsi="Poppins" w:cs="Poppins"/>
          <w:vertAlign w:val="superscript"/>
        </w:rPr>
        <w:t>st</w:t>
      </w:r>
      <w:r w:rsidRPr="00F6558A">
        <w:rPr>
          <w:rFonts w:ascii="Poppins" w:hAnsi="Poppins" w:cs="Poppins"/>
        </w:rPr>
        <w:t xml:space="preserve"> September 2025.  This may mean a change in access for referring primary care practitioners. Both local pathways and capacity for imaging are being established to enable the new criteria.  The local pathways and capacity may not be fully in place for 1</w:t>
      </w:r>
      <w:r w:rsidR="0056341F" w:rsidRPr="0056341F">
        <w:rPr>
          <w:rFonts w:ascii="Poppins" w:hAnsi="Poppins" w:cs="Poppins"/>
          <w:vertAlign w:val="superscript"/>
        </w:rPr>
        <w:t>st</w:t>
      </w:r>
      <w:r w:rsidRPr="00F6558A">
        <w:rPr>
          <w:rFonts w:ascii="Poppins" w:hAnsi="Poppins" w:cs="Poppins"/>
        </w:rPr>
        <w:t xml:space="preserve"> September and there will be transition period. Your regional team will keep you updated as these changes are put into place.</w:t>
      </w:r>
    </w:p>
    <w:p w14:paraId="48D8CC77" w14:textId="77777777" w:rsidR="009B35C1" w:rsidRPr="00F6558A" w:rsidRDefault="009B35C1" w:rsidP="009B35C1">
      <w:pPr>
        <w:spacing w:after="0"/>
        <w:jc w:val="both"/>
        <w:rPr>
          <w:rFonts w:ascii="Poppins" w:hAnsi="Poppins" w:cs="Poppins"/>
          <w:b/>
          <w:bCs/>
        </w:rPr>
      </w:pPr>
    </w:p>
    <w:p w14:paraId="4028DB1B" w14:textId="77777777" w:rsidR="009B35C1" w:rsidRPr="009B35C1" w:rsidRDefault="009B35C1" w:rsidP="009B35C1">
      <w:pPr>
        <w:rPr>
          <w:rFonts w:ascii="Poppins" w:hAnsi="Poppins" w:cs="Poppins"/>
          <w:b/>
          <w:bCs/>
          <w:color w:val="0C818F" w:themeColor="accent3"/>
        </w:rPr>
      </w:pPr>
      <w:r w:rsidRPr="009B35C1">
        <w:rPr>
          <w:rFonts w:ascii="Poppins" w:hAnsi="Poppins" w:cs="Poppins"/>
          <w:b/>
          <w:bCs/>
          <w:color w:val="0C818F" w:themeColor="accent3"/>
        </w:rPr>
        <w:t>What is the role of CRR regional hubs?</w:t>
      </w:r>
    </w:p>
    <w:p w14:paraId="7A6A6788" w14:textId="77777777" w:rsidR="009B35C1" w:rsidRPr="00F6558A" w:rsidRDefault="009B35C1" w:rsidP="009B35C1">
      <w:pPr>
        <w:jc w:val="both"/>
        <w:rPr>
          <w:rFonts w:ascii="Poppins" w:hAnsi="Poppins" w:cs="Poppins"/>
        </w:rPr>
      </w:pPr>
      <w:r w:rsidRPr="00F6558A">
        <w:rPr>
          <w:rFonts w:ascii="Poppins" w:hAnsi="Poppins" w:cs="Poppins"/>
        </w:rPr>
        <w:t>CRR hubs are being established in each region from 1</w:t>
      </w:r>
      <w:r w:rsidRPr="00F6558A">
        <w:rPr>
          <w:rFonts w:ascii="Poppins" w:hAnsi="Poppins" w:cs="Poppins"/>
          <w:vertAlign w:val="superscript"/>
        </w:rPr>
        <w:t>st</w:t>
      </w:r>
      <w:r w:rsidRPr="00F6558A">
        <w:rPr>
          <w:rFonts w:ascii="Poppins" w:hAnsi="Poppins" w:cs="Poppins"/>
        </w:rPr>
        <w:t xml:space="preserve"> September 2025 over 9 months. CRR hubs will:</w:t>
      </w:r>
    </w:p>
    <w:p w14:paraId="5F12CC9B" w14:textId="66217166" w:rsidR="009B35C1" w:rsidRPr="00F6558A" w:rsidRDefault="009B35C1" w:rsidP="00F607B0">
      <w:pPr>
        <w:numPr>
          <w:ilvl w:val="0"/>
          <w:numId w:val="35"/>
        </w:numPr>
        <w:spacing w:after="60"/>
        <w:rPr>
          <w:rFonts w:ascii="Poppins" w:hAnsi="Poppins" w:cs="Poppins"/>
        </w:rPr>
      </w:pPr>
      <w:r w:rsidRPr="00F6558A">
        <w:rPr>
          <w:rFonts w:ascii="Poppins" w:hAnsi="Poppins" w:cs="Poppins"/>
        </w:rPr>
        <w:t xml:space="preserve">Prospectively triage routine referrals from Primary Care to support appropriate access and </w:t>
      </w:r>
      <w:r w:rsidR="0056341F" w:rsidRPr="00F6558A">
        <w:rPr>
          <w:rFonts w:ascii="Poppins" w:hAnsi="Poppins" w:cs="Poppins"/>
        </w:rPr>
        <w:t>high-quality</w:t>
      </w:r>
      <w:r w:rsidRPr="00F6558A">
        <w:rPr>
          <w:rFonts w:ascii="Poppins" w:hAnsi="Poppins" w:cs="Poppins"/>
        </w:rPr>
        <w:t xml:space="preserve"> referrals.</w:t>
      </w:r>
    </w:p>
    <w:p w14:paraId="6F404E6B" w14:textId="77777777" w:rsidR="009B35C1" w:rsidRPr="00F6558A" w:rsidRDefault="009B35C1" w:rsidP="00F607B0">
      <w:pPr>
        <w:numPr>
          <w:ilvl w:val="0"/>
          <w:numId w:val="35"/>
        </w:numPr>
        <w:spacing w:after="60"/>
        <w:rPr>
          <w:rFonts w:ascii="Poppins" w:hAnsi="Poppins" w:cs="Poppins"/>
        </w:rPr>
      </w:pPr>
      <w:r w:rsidRPr="00F6558A">
        <w:rPr>
          <w:rFonts w:ascii="Poppins" w:hAnsi="Poppins" w:cs="Poppins"/>
        </w:rPr>
        <w:t xml:space="preserve">Undertake clinical audit of urgent referrals </w:t>
      </w:r>
    </w:p>
    <w:p w14:paraId="110D3F3B" w14:textId="77777777" w:rsidR="009B35C1" w:rsidRPr="00F6558A" w:rsidRDefault="009B35C1" w:rsidP="00F607B0">
      <w:pPr>
        <w:numPr>
          <w:ilvl w:val="0"/>
          <w:numId w:val="35"/>
        </w:numPr>
        <w:spacing w:after="60"/>
        <w:rPr>
          <w:rFonts w:ascii="Poppins" w:hAnsi="Poppins" w:cs="Poppins"/>
        </w:rPr>
      </w:pPr>
      <w:r w:rsidRPr="00F6558A">
        <w:rPr>
          <w:rFonts w:ascii="Poppins" w:hAnsi="Poppins" w:cs="Poppins"/>
        </w:rPr>
        <w:t>Provide timely liaison and advice to radiology services and primary care, including on alternative care pathways</w:t>
      </w:r>
    </w:p>
    <w:p w14:paraId="443F84B0" w14:textId="77777777" w:rsidR="009B35C1" w:rsidRPr="00F6558A" w:rsidRDefault="009B35C1" w:rsidP="00F607B0">
      <w:pPr>
        <w:numPr>
          <w:ilvl w:val="0"/>
          <w:numId w:val="35"/>
        </w:numPr>
        <w:spacing w:after="60"/>
        <w:rPr>
          <w:rFonts w:ascii="Poppins" w:hAnsi="Poppins" w:cs="Poppins"/>
        </w:rPr>
      </w:pPr>
      <w:r w:rsidRPr="00F6558A">
        <w:rPr>
          <w:rFonts w:ascii="Poppins" w:hAnsi="Poppins" w:cs="Poppins"/>
        </w:rPr>
        <w:t>Develop and deliver education packages.</w:t>
      </w:r>
    </w:p>
    <w:p w14:paraId="53D22E00" w14:textId="77777777" w:rsidR="009B35C1" w:rsidRPr="00F6558A" w:rsidRDefault="009B35C1" w:rsidP="009B35C1">
      <w:pPr>
        <w:widowControl w:val="0"/>
        <w:autoSpaceDE w:val="0"/>
        <w:autoSpaceDN w:val="0"/>
        <w:spacing w:after="0"/>
        <w:jc w:val="both"/>
        <w:rPr>
          <w:rFonts w:ascii="Poppins" w:eastAsia="Arial" w:hAnsi="Poppins" w:cs="Poppins"/>
          <w:shd w:val="clear" w:color="auto" w:fill="FFFFFF"/>
          <w:lang w:eastAsia="en-NZ"/>
        </w:rPr>
      </w:pPr>
      <w:r w:rsidRPr="00F6558A">
        <w:rPr>
          <w:rFonts w:ascii="Poppins" w:eastAsia="Arial" w:hAnsi="Poppins" w:cs="Poppins"/>
          <w:shd w:val="clear" w:color="auto" w:fill="FFFFFF"/>
          <w:lang w:eastAsia="en-NZ"/>
        </w:rPr>
        <w:t xml:space="preserve">CRR hubs will also play a vital role in ensuring referrals from eligible referrers are not rejected by public radiology services; as well as moderating demand by promoting adherence to the criteria.  </w:t>
      </w:r>
    </w:p>
    <w:p w14:paraId="413B9C94" w14:textId="77777777" w:rsidR="009B35C1" w:rsidRPr="00F6558A" w:rsidRDefault="009B35C1" w:rsidP="009B35C1">
      <w:pPr>
        <w:spacing w:after="0"/>
        <w:jc w:val="both"/>
        <w:rPr>
          <w:rFonts w:ascii="Poppins" w:hAnsi="Poppins" w:cs="Poppins"/>
          <w:b/>
          <w:bCs/>
          <w:i/>
          <w:iCs/>
          <w:color w:val="808080" w:themeColor="accent4" w:themeShade="80"/>
        </w:rPr>
      </w:pPr>
    </w:p>
    <w:p w14:paraId="26F2A6CB" w14:textId="42EC6BE2" w:rsidR="009B35C1" w:rsidRPr="009474B8" w:rsidRDefault="00507E68" w:rsidP="009B35C1">
      <w:pPr>
        <w:spacing w:after="0"/>
        <w:jc w:val="both"/>
        <w:rPr>
          <w:rFonts w:ascii="Poppins" w:hAnsi="Poppins" w:cs="Poppins"/>
          <w:b/>
          <w:bCs/>
          <w:color w:val="15284C"/>
        </w:rPr>
      </w:pPr>
      <w:r>
        <w:rPr>
          <w:rFonts w:ascii="Poppins" w:hAnsi="Poppins" w:cs="Poppins"/>
          <w:b/>
          <w:bCs/>
          <w:color w:val="15284C"/>
        </w:rPr>
        <w:t xml:space="preserve">Appointment of </w:t>
      </w:r>
      <w:r w:rsidR="009B35C1" w:rsidRPr="009474B8">
        <w:rPr>
          <w:rFonts w:ascii="Poppins" w:hAnsi="Poppins" w:cs="Poppins"/>
          <w:b/>
          <w:bCs/>
          <w:color w:val="15284C"/>
        </w:rPr>
        <w:t xml:space="preserve">Primary Care Radiology Liaison roles for the CRR hubs will </w:t>
      </w:r>
      <w:r>
        <w:rPr>
          <w:rFonts w:ascii="Poppins" w:hAnsi="Poppins" w:cs="Poppins"/>
          <w:b/>
          <w:bCs/>
          <w:color w:val="15284C"/>
        </w:rPr>
        <w:t>begin over</w:t>
      </w:r>
      <w:r w:rsidR="00A16B49">
        <w:rPr>
          <w:rFonts w:ascii="Poppins" w:hAnsi="Poppins" w:cs="Poppins"/>
          <w:b/>
          <w:bCs/>
          <w:color w:val="15284C"/>
        </w:rPr>
        <w:t xml:space="preserve"> </w:t>
      </w:r>
      <w:r w:rsidR="009B35C1" w:rsidRPr="009474B8">
        <w:rPr>
          <w:rFonts w:ascii="Poppins" w:hAnsi="Poppins" w:cs="Poppins"/>
          <w:b/>
          <w:bCs/>
          <w:color w:val="15284C"/>
        </w:rPr>
        <w:t>July and August.</w:t>
      </w:r>
      <w:r w:rsidR="00DB5D14" w:rsidRPr="00DB5D14">
        <w:t xml:space="preserve"> </w:t>
      </w:r>
    </w:p>
    <w:p w14:paraId="45F58918" w14:textId="77777777" w:rsidR="009B35C1" w:rsidRPr="00F6558A" w:rsidRDefault="009B35C1" w:rsidP="009B35C1">
      <w:pPr>
        <w:spacing w:after="0"/>
        <w:jc w:val="both"/>
        <w:rPr>
          <w:rFonts w:ascii="Poppins" w:hAnsi="Poppins" w:cs="Poppins"/>
        </w:rPr>
      </w:pPr>
    </w:p>
    <w:p w14:paraId="77994544" w14:textId="77777777" w:rsidR="009B35C1" w:rsidRPr="009B35C1" w:rsidRDefault="009B35C1" w:rsidP="009B35C1">
      <w:pPr>
        <w:rPr>
          <w:rFonts w:ascii="Poppins" w:hAnsi="Poppins" w:cs="Poppins"/>
          <w:b/>
          <w:bCs/>
          <w:color w:val="0C818F" w:themeColor="accent3"/>
        </w:rPr>
      </w:pPr>
      <w:r w:rsidRPr="009B35C1">
        <w:rPr>
          <w:rFonts w:ascii="Poppins" w:hAnsi="Poppins" w:cs="Poppins"/>
          <w:b/>
          <w:bCs/>
          <w:color w:val="0C818F" w:themeColor="accent3"/>
        </w:rPr>
        <w:t>What is out of scope?</w:t>
      </w:r>
    </w:p>
    <w:p w14:paraId="4E0342F4" w14:textId="77777777" w:rsidR="009B35C1" w:rsidRPr="00F6558A" w:rsidRDefault="009B35C1" w:rsidP="009B35C1">
      <w:pPr>
        <w:spacing w:after="0"/>
        <w:jc w:val="both"/>
        <w:rPr>
          <w:rFonts w:ascii="Poppins" w:hAnsi="Poppins" w:cs="Poppins"/>
          <w:lang w:val="en-US"/>
        </w:rPr>
      </w:pPr>
      <w:r w:rsidRPr="00F6558A">
        <w:rPr>
          <w:rFonts w:ascii="Poppins" w:hAnsi="Poppins" w:cs="Poppins"/>
          <w:lang w:val="en-US"/>
        </w:rPr>
        <w:t xml:space="preserve">Imaging covered by ACC or other funding streams, including under the Primary Maternity Services Notice (2021), is outside the scope of these criteria. </w:t>
      </w:r>
    </w:p>
    <w:p w14:paraId="6E2C7137" w14:textId="77777777" w:rsidR="009B35C1" w:rsidRPr="00F6558A" w:rsidRDefault="009B35C1" w:rsidP="009B35C1">
      <w:pPr>
        <w:spacing w:after="0"/>
        <w:jc w:val="both"/>
        <w:rPr>
          <w:rFonts w:ascii="Poppins" w:hAnsi="Poppins" w:cs="Poppins"/>
          <w:lang w:val="en-US"/>
        </w:rPr>
      </w:pPr>
    </w:p>
    <w:p w14:paraId="3A003E5F" w14:textId="4B875D89" w:rsidR="009B35C1" w:rsidRPr="00F6558A" w:rsidRDefault="009B35C1" w:rsidP="009B35C1">
      <w:pPr>
        <w:spacing w:after="0"/>
        <w:jc w:val="both"/>
        <w:rPr>
          <w:rFonts w:ascii="Poppins" w:hAnsi="Poppins" w:cs="Poppins"/>
          <w:lang w:val="en-US"/>
        </w:rPr>
      </w:pPr>
      <w:r w:rsidRPr="00F6558A">
        <w:rPr>
          <w:rFonts w:ascii="Poppins" w:hAnsi="Poppins" w:cs="Poppins"/>
          <w:lang w:val="en-US"/>
        </w:rPr>
        <w:t xml:space="preserve">Imaging that is part of screening or surveillance </w:t>
      </w:r>
      <w:proofErr w:type="spellStart"/>
      <w:r w:rsidRPr="00F6558A">
        <w:rPr>
          <w:rFonts w:ascii="Poppins" w:hAnsi="Poppins" w:cs="Poppins"/>
          <w:lang w:val="en-US"/>
        </w:rPr>
        <w:t>programmes</w:t>
      </w:r>
      <w:proofErr w:type="spellEnd"/>
      <w:r w:rsidRPr="00F6558A">
        <w:rPr>
          <w:rFonts w:ascii="Poppins" w:hAnsi="Poppins" w:cs="Poppins"/>
          <w:lang w:val="en-US"/>
        </w:rPr>
        <w:t xml:space="preserve"> </w:t>
      </w:r>
      <w:r w:rsidR="00F607B0">
        <w:rPr>
          <w:rFonts w:ascii="Poppins" w:hAnsi="Poppins" w:cs="Poppins"/>
          <w:lang w:val="en-US"/>
        </w:rPr>
        <w:t>is</w:t>
      </w:r>
      <w:r w:rsidRPr="00F6558A">
        <w:rPr>
          <w:rFonts w:ascii="Poppins" w:hAnsi="Poppins" w:cs="Poppins"/>
          <w:lang w:val="en-US"/>
        </w:rPr>
        <w:t xml:space="preserve"> outside the scope of these criteria. </w:t>
      </w:r>
    </w:p>
    <w:p w14:paraId="366591DD" w14:textId="77777777" w:rsidR="009B35C1" w:rsidRPr="00F6558A" w:rsidRDefault="009B35C1" w:rsidP="009B35C1">
      <w:pPr>
        <w:spacing w:after="0"/>
        <w:jc w:val="both"/>
        <w:rPr>
          <w:rFonts w:ascii="Poppins" w:hAnsi="Poppins" w:cs="Poppins"/>
        </w:rPr>
      </w:pPr>
    </w:p>
    <w:p w14:paraId="71998C78" w14:textId="77777777" w:rsidR="009B35C1" w:rsidRPr="009B35C1" w:rsidRDefault="009B35C1" w:rsidP="009B35C1">
      <w:pPr>
        <w:rPr>
          <w:rFonts w:ascii="Poppins" w:hAnsi="Poppins" w:cs="Poppins"/>
          <w:b/>
          <w:bCs/>
          <w:color w:val="0C818F" w:themeColor="accent3"/>
        </w:rPr>
      </w:pPr>
      <w:r w:rsidRPr="009B35C1">
        <w:rPr>
          <w:rFonts w:ascii="Poppins" w:hAnsi="Poppins" w:cs="Poppins"/>
          <w:b/>
          <w:bCs/>
          <w:color w:val="0C818F" w:themeColor="accent3"/>
        </w:rPr>
        <w:t xml:space="preserve">What impact will the new criteria have on hospital waitlists? </w:t>
      </w:r>
    </w:p>
    <w:p w14:paraId="2AAED8D9" w14:textId="1725EAEA" w:rsidR="009B35C1" w:rsidRPr="00F6558A" w:rsidRDefault="009B35C1" w:rsidP="009B35C1">
      <w:pPr>
        <w:spacing w:after="0"/>
        <w:jc w:val="both"/>
        <w:rPr>
          <w:rFonts w:ascii="Poppins" w:hAnsi="Poppins" w:cs="Poppins"/>
          <w:lang w:val="en-US"/>
        </w:rPr>
      </w:pPr>
      <w:r w:rsidRPr="00F6558A">
        <w:rPr>
          <w:rFonts w:ascii="Poppins" w:hAnsi="Poppins" w:cs="Poppins"/>
          <w:lang w:val="en-US"/>
        </w:rPr>
        <w:t xml:space="preserve">Health </w:t>
      </w:r>
      <w:r w:rsidR="006F3CBC">
        <w:rPr>
          <w:rFonts w:ascii="Poppins" w:hAnsi="Poppins" w:cs="Poppins"/>
          <w:lang w:val="en-US"/>
        </w:rPr>
        <w:t>NZ</w:t>
      </w:r>
      <w:r w:rsidRPr="00F6558A">
        <w:rPr>
          <w:rFonts w:ascii="Poppins" w:hAnsi="Poppins" w:cs="Poppins"/>
          <w:lang w:val="en-US"/>
        </w:rPr>
        <w:t xml:space="preserve"> is mindful that secondary care is experiencing growing waitlists and demand exceeding capacity.</w:t>
      </w:r>
    </w:p>
    <w:p w14:paraId="10C1BD0C" w14:textId="77777777" w:rsidR="009B35C1" w:rsidRPr="00F6558A" w:rsidRDefault="009B35C1" w:rsidP="009B35C1">
      <w:pPr>
        <w:spacing w:after="0"/>
        <w:jc w:val="both"/>
        <w:rPr>
          <w:rFonts w:ascii="Poppins" w:hAnsi="Poppins" w:cs="Poppins"/>
        </w:rPr>
      </w:pPr>
    </w:p>
    <w:p w14:paraId="737E4262" w14:textId="77777777" w:rsidR="009B35C1" w:rsidRPr="00F6558A" w:rsidRDefault="009B35C1" w:rsidP="009B35C1">
      <w:pPr>
        <w:spacing w:after="0"/>
        <w:jc w:val="both"/>
        <w:rPr>
          <w:rFonts w:ascii="Poppins" w:hAnsi="Poppins" w:cs="Poppins"/>
        </w:rPr>
      </w:pPr>
      <w:r w:rsidRPr="00F6558A">
        <w:rPr>
          <w:rFonts w:ascii="Poppins" w:hAnsi="Poppins" w:cs="Poppins"/>
        </w:rPr>
        <w:t>The regional hubs are designed to help triage and manage demand with the goal to ensure new demand from the CRR programme will be responded to systematically.</w:t>
      </w:r>
    </w:p>
    <w:p w14:paraId="4DC59F50" w14:textId="77777777" w:rsidR="009B35C1" w:rsidRPr="00F6558A" w:rsidRDefault="009B35C1" w:rsidP="009B35C1">
      <w:pPr>
        <w:spacing w:after="0"/>
        <w:jc w:val="both"/>
        <w:rPr>
          <w:rFonts w:ascii="Poppins" w:hAnsi="Poppins" w:cs="Poppins"/>
        </w:rPr>
      </w:pPr>
    </w:p>
    <w:p w14:paraId="317DA7B1" w14:textId="77777777" w:rsidR="009B35C1" w:rsidRPr="00F6558A" w:rsidRDefault="009B35C1" w:rsidP="009B35C1">
      <w:pPr>
        <w:spacing w:after="0"/>
        <w:jc w:val="both"/>
        <w:rPr>
          <w:rFonts w:ascii="Poppins" w:hAnsi="Poppins" w:cs="Poppins"/>
        </w:rPr>
      </w:pPr>
      <w:r w:rsidRPr="00F6558A">
        <w:rPr>
          <w:rFonts w:ascii="Poppins" w:hAnsi="Poppins" w:cs="Poppins"/>
        </w:rPr>
        <w:t>We expect that some regions will mitigate some existing demand through adherence to the new criteria.  We will monitor demand versus capacity and how much shifts from hospital referred to community referred demand.</w:t>
      </w:r>
    </w:p>
    <w:p w14:paraId="3C96ECCB" w14:textId="77777777" w:rsidR="009B35C1" w:rsidRPr="00F6558A" w:rsidRDefault="009B35C1" w:rsidP="009B35C1">
      <w:pPr>
        <w:spacing w:after="0"/>
        <w:jc w:val="both"/>
        <w:rPr>
          <w:rFonts w:ascii="Poppins" w:hAnsi="Poppins" w:cs="Poppins"/>
        </w:rPr>
      </w:pPr>
    </w:p>
    <w:p w14:paraId="05070A22" w14:textId="77777777" w:rsidR="009B35C1" w:rsidRPr="009B35C1" w:rsidRDefault="009B35C1" w:rsidP="009B35C1">
      <w:pPr>
        <w:rPr>
          <w:rFonts w:ascii="Poppins" w:hAnsi="Poppins" w:cs="Poppins"/>
          <w:b/>
          <w:bCs/>
          <w:color w:val="0C818F" w:themeColor="accent3"/>
        </w:rPr>
      </w:pPr>
      <w:r w:rsidRPr="009B35C1">
        <w:rPr>
          <w:rFonts w:ascii="Poppins" w:hAnsi="Poppins" w:cs="Poppins"/>
          <w:b/>
          <w:bCs/>
          <w:color w:val="0C818F" w:themeColor="accent3"/>
        </w:rPr>
        <w:t>Do the criteria include agreed referral turnaround times?</w:t>
      </w:r>
    </w:p>
    <w:p w14:paraId="7A1C5A6B" w14:textId="554B3E14" w:rsidR="009B35C1" w:rsidRPr="00F6558A" w:rsidRDefault="009B35C1" w:rsidP="009B35C1">
      <w:pPr>
        <w:spacing w:after="0"/>
        <w:jc w:val="both"/>
        <w:rPr>
          <w:rFonts w:ascii="Poppins" w:hAnsi="Poppins" w:cs="Poppins"/>
        </w:rPr>
      </w:pPr>
      <w:r w:rsidRPr="00F6558A">
        <w:rPr>
          <w:rFonts w:ascii="Poppins" w:hAnsi="Poppins" w:cs="Poppins"/>
        </w:rPr>
        <w:t xml:space="preserve">Yes. The criteria </w:t>
      </w:r>
      <w:r w:rsidR="00894958" w:rsidRPr="00F6558A">
        <w:rPr>
          <w:rFonts w:ascii="Poppins" w:hAnsi="Poppins" w:cs="Poppins"/>
        </w:rPr>
        <w:t>include</w:t>
      </w:r>
      <w:r w:rsidRPr="00F6558A">
        <w:rPr>
          <w:rFonts w:ascii="Poppins" w:hAnsi="Poppins" w:cs="Poppins"/>
        </w:rPr>
        <w:t xml:space="preserve"> the agreed referral turnaround times and applicable wait list priority codes based on clinical acuity and the potential for the imaging findings to impact the patient’s management outcome. </w:t>
      </w:r>
    </w:p>
    <w:p w14:paraId="2CC5B12F" w14:textId="77777777" w:rsidR="009B35C1" w:rsidRPr="00F6558A" w:rsidRDefault="009B35C1" w:rsidP="009B35C1">
      <w:pPr>
        <w:spacing w:after="0"/>
        <w:jc w:val="both"/>
        <w:rPr>
          <w:rFonts w:ascii="Poppins" w:hAnsi="Poppins" w:cs="Poppins"/>
        </w:rPr>
      </w:pPr>
    </w:p>
    <w:p w14:paraId="372B2AB9" w14:textId="77777777" w:rsidR="009B35C1" w:rsidRPr="00F6558A" w:rsidRDefault="009B35C1" w:rsidP="009B35C1">
      <w:pPr>
        <w:jc w:val="both"/>
        <w:rPr>
          <w:rFonts w:ascii="Poppins" w:hAnsi="Poppins" w:cs="Poppins"/>
        </w:rPr>
      </w:pPr>
      <w:r w:rsidRPr="00F6558A">
        <w:rPr>
          <w:rFonts w:ascii="Poppins" w:hAnsi="Poppins" w:cs="Poppins"/>
        </w:rPr>
        <w:t xml:space="preserve">The priority codes are selected from the Radiology National Clinical Network Radiology Service Level Guide which includes expected reporting turnaround times and provision for identifying cases where the imaging may be more safely deferred in the event of prolonged radiology capacity restriction.  </w:t>
      </w:r>
    </w:p>
    <w:p w14:paraId="0E12BC19" w14:textId="77777777" w:rsidR="009B35C1" w:rsidRPr="00F6558A" w:rsidRDefault="009B35C1" w:rsidP="009B35C1">
      <w:pPr>
        <w:spacing w:after="0"/>
        <w:jc w:val="both"/>
        <w:rPr>
          <w:rFonts w:ascii="Poppins" w:hAnsi="Poppins" w:cs="Poppins"/>
        </w:rPr>
      </w:pPr>
      <w:r w:rsidRPr="00F6558A">
        <w:rPr>
          <w:rFonts w:ascii="Poppins" w:hAnsi="Poppins" w:cs="Poppins"/>
        </w:rPr>
        <w:t>The priority codes applied to these community-referred criteria are acute (within 24 hours), urgent (within 48 hours), urgent P2 (within two weeks), non-urgent P3 (within six weeks), or a “S” specified date code for follow up studies.</w:t>
      </w:r>
    </w:p>
    <w:p w14:paraId="7FC6CA18" w14:textId="77777777" w:rsidR="009B35C1" w:rsidRPr="00F6558A" w:rsidRDefault="009B35C1" w:rsidP="009B35C1">
      <w:pPr>
        <w:spacing w:after="0"/>
        <w:jc w:val="both"/>
        <w:rPr>
          <w:rFonts w:ascii="Poppins" w:hAnsi="Poppins" w:cs="Poppins"/>
        </w:rPr>
      </w:pPr>
    </w:p>
    <w:p w14:paraId="0843F1B5" w14:textId="77777777" w:rsidR="009B35C1" w:rsidRPr="009B35C1" w:rsidRDefault="009B35C1" w:rsidP="009B35C1">
      <w:pPr>
        <w:rPr>
          <w:rFonts w:ascii="Poppins" w:hAnsi="Poppins" w:cs="Poppins"/>
          <w:b/>
          <w:bCs/>
          <w:color w:val="0C818F" w:themeColor="accent3"/>
        </w:rPr>
      </w:pPr>
      <w:r w:rsidRPr="009B35C1">
        <w:rPr>
          <w:rFonts w:ascii="Poppins" w:hAnsi="Poppins" w:cs="Poppins"/>
          <w:b/>
          <w:bCs/>
          <w:color w:val="0C818F" w:themeColor="accent3"/>
        </w:rPr>
        <w:t>What about patient follow-up?</w:t>
      </w:r>
    </w:p>
    <w:p w14:paraId="319C7151" w14:textId="77777777" w:rsidR="009B35C1" w:rsidRPr="00F6558A" w:rsidRDefault="009B35C1" w:rsidP="009B35C1">
      <w:pPr>
        <w:spacing w:after="0"/>
        <w:jc w:val="both"/>
        <w:rPr>
          <w:rFonts w:ascii="Poppins" w:hAnsi="Poppins" w:cs="Poppins"/>
        </w:rPr>
      </w:pPr>
      <w:r w:rsidRPr="00F6558A">
        <w:rPr>
          <w:rFonts w:ascii="Poppins" w:hAnsi="Poppins" w:cs="Poppins"/>
        </w:rPr>
        <w:t xml:space="preserve">If Hospital and Specialist Services (H&amp;SS) has already initiated an imaging pathway, they will remain responsible for managing the imaging and any related follow-up. This includes ordering the scan, reviewing results, and determining next steps. H&amp;SS referrers are being informed of this approach. A notable exception is </w:t>
      </w:r>
      <w:r w:rsidRPr="00F6558A">
        <w:rPr>
          <w:rFonts w:ascii="Poppins" w:hAnsi="Poppins" w:cs="Poppins"/>
        </w:rPr>
        <w:lastRenderedPageBreak/>
        <w:t xml:space="preserve">where the results of a scan change where follow-up occurs (i.e. a normal result means the patient doesn’t need to be seen in clinic). In this case H&amp;SS will be responsible for communicating this to the patient. The Phase 1 </w:t>
      </w:r>
      <w:r w:rsidRPr="00F6558A">
        <w:rPr>
          <w:rFonts w:ascii="Poppins" w:hAnsi="Poppins" w:cs="Poppins"/>
          <w:i/>
          <w:iCs/>
        </w:rPr>
        <w:t xml:space="preserve">National Primary Care Referral Criteria for Imaging </w:t>
      </w:r>
      <w:r w:rsidRPr="00F6558A">
        <w:rPr>
          <w:rFonts w:ascii="Poppins" w:hAnsi="Poppins" w:cs="Poppins"/>
        </w:rPr>
        <w:t>applies priority codes includes indications for follow-up imaging.</w:t>
      </w:r>
    </w:p>
    <w:p w14:paraId="59B3EB9E" w14:textId="77777777" w:rsidR="009B35C1" w:rsidRPr="00F6558A" w:rsidRDefault="009B35C1" w:rsidP="009B35C1">
      <w:pPr>
        <w:spacing w:after="0"/>
        <w:jc w:val="both"/>
        <w:rPr>
          <w:rFonts w:ascii="Poppins" w:hAnsi="Poppins" w:cs="Poppins"/>
        </w:rPr>
      </w:pPr>
    </w:p>
    <w:p w14:paraId="6662F944" w14:textId="77777777" w:rsidR="009B35C1" w:rsidRPr="009B35C1" w:rsidRDefault="009B35C1" w:rsidP="009B35C1">
      <w:pPr>
        <w:rPr>
          <w:rFonts w:ascii="Poppins" w:hAnsi="Poppins" w:cs="Poppins"/>
          <w:b/>
          <w:bCs/>
          <w:color w:val="0C818F" w:themeColor="accent3"/>
        </w:rPr>
      </w:pPr>
      <w:r w:rsidRPr="009B35C1">
        <w:rPr>
          <w:rFonts w:ascii="Poppins" w:hAnsi="Poppins" w:cs="Poppins"/>
          <w:b/>
          <w:bCs/>
          <w:color w:val="0C818F" w:themeColor="accent3"/>
        </w:rPr>
        <w:t>Will implementation of the CRR programme mean less access for some patients?</w:t>
      </w:r>
    </w:p>
    <w:p w14:paraId="7E01A2FB" w14:textId="77777777" w:rsidR="009B35C1" w:rsidRPr="00F6558A" w:rsidRDefault="009B35C1" w:rsidP="009B35C1">
      <w:pPr>
        <w:jc w:val="both"/>
        <w:rPr>
          <w:rFonts w:ascii="Poppins" w:hAnsi="Poppins" w:cs="Poppins"/>
        </w:rPr>
      </w:pPr>
      <w:r w:rsidRPr="00F6558A">
        <w:rPr>
          <w:rFonts w:ascii="Poppins" w:hAnsi="Poppins" w:cs="Poppins"/>
        </w:rPr>
        <w:t xml:space="preserve">The CRR programme is designed to ensure fair and consistent access for everyone. A 2024 stocktake found that access to radiology services varies greatly across the country; and complex referral pathways with variable same day access for urgent imaging with differential treatment based on referrer type. </w:t>
      </w:r>
    </w:p>
    <w:p w14:paraId="1FD66C00" w14:textId="1247727F" w:rsidR="009B35C1" w:rsidRPr="00F6558A" w:rsidRDefault="009B35C1" w:rsidP="009B35C1">
      <w:pPr>
        <w:jc w:val="both"/>
        <w:rPr>
          <w:rFonts w:ascii="Poppins" w:hAnsi="Poppins" w:cs="Poppins"/>
        </w:rPr>
      </w:pPr>
      <w:r w:rsidRPr="00F6558A">
        <w:rPr>
          <w:rFonts w:ascii="Poppins" w:hAnsi="Poppins" w:cs="Poppins"/>
        </w:rPr>
        <w:t xml:space="preserve">Schemes that provide generous access via private partnership arrangements can exacerbate inequities between regions and sub-regions to access to care. To address these challenges, Health </w:t>
      </w:r>
      <w:r w:rsidR="006F3CBC">
        <w:rPr>
          <w:rFonts w:ascii="Poppins" w:hAnsi="Poppins" w:cs="Poppins"/>
        </w:rPr>
        <w:t>NZ</w:t>
      </w:r>
      <w:r w:rsidRPr="00F6558A">
        <w:rPr>
          <w:rFonts w:ascii="Poppins" w:hAnsi="Poppins" w:cs="Poppins"/>
        </w:rPr>
        <w:t xml:space="preserve"> has developed a nationally consistent strategic response to community access.  </w:t>
      </w:r>
    </w:p>
    <w:p w14:paraId="7FF9F65E" w14:textId="77777777" w:rsidR="009B35C1" w:rsidRPr="009B35C1" w:rsidRDefault="009B35C1" w:rsidP="009B35C1">
      <w:pPr>
        <w:rPr>
          <w:rFonts w:ascii="Poppins" w:hAnsi="Poppins" w:cs="Poppins"/>
          <w:b/>
          <w:bCs/>
          <w:color w:val="0C818F" w:themeColor="accent3"/>
        </w:rPr>
      </w:pPr>
      <w:r w:rsidRPr="009B35C1">
        <w:rPr>
          <w:rFonts w:ascii="Poppins" w:hAnsi="Poppins" w:cs="Poppins"/>
          <w:b/>
          <w:bCs/>
          <w:color w:val="0C818F" w:themeColor="accent3"/>
        </w:rPr>
        <w:t>What about walk-in imaging arrangements?</w:t>
      </w:r>
    </w:p>
    <w:p w14:paraId="336D6118" w14:textId="77777777" w:rsidR="009B35C1" w:rsidRPr="00F6558A" w:rsidRDefault="009B35C1" w:rsidP="009B35C1">
      <w:pPr>
        <w:spacing w:after="0"/>
        <w:jc w:val="both"/>
        <w:rPr>
          <w:rFonts w:ascii="Poppins" w:hAnsi="Poppins" w:cs="Poppins"/>
        </w:rPr>
      </w:pPr>
      <w:r w:rsidRPr="00F6558A">
        <w:rPr>
          <w:rFonts w:ascii="Poppins" w:hAnsi="Poppins" w:cs="Poppins"/>
        </w:rPr>
        <w:t xml:space="preserve">Prospective triage of community referred X-rays is not a core requirement of the CRR hubs being established.  Walk-in arrangements may be subject to clinical audit and regional hubs may develop processes to ensure alignment (such as rapid triage or trusted provider schemes).  </w:t>
      </w:r>
    </w:p>
    <w:p w14:paraId="0632B3C2" w14:textId="77777777" w:rsidR="009B35C1" w:rsidRPr="00F6558A" w:rsidRDefault="009B35C1" w:rsidP="009B35C1">
      <w:pPr>
        <w:spacing w:after="0"/>
        <w:jc w:val="both"/>
        <w:rPr>
          <w:rFonts w:ascii="Poppins" w:hAnsi="Poppins" w:cs="Poppins"/>
          <w:b/>
          <w:bCs/>
        </w:rPr>
      </w:pPr>
    </w:p>
    <w:p w14:paraId="6226CB61" w14:textId="77777777" w:rsidR="009B35C1" w:rsidRPr="009B35C1" w:rsidRDefault="009B35C1" w:rsidP="009B35C1">
      <w:pPr>
        <w:rPr>
          <w:rFonts w:ascii="Poppins" w:hAnsi="Poppins" w:cs="Poppins"/>
          <w:b/>
          <w:bCs/>
          <w:color w:val="0C818F" w:themeColor="accent3"/>
        </w:rPr>
      </w:pPr>
      <w:bookmarkStart w:id="0" w:name="_Hlk202867072"/>
      <w:r w:rsidRPr="009B35C1">
        <w:rPr>
          <w:rFonts w:ascii="Poppins" w:hAnsi="Poppins" w:cs="Poppins"/>
          <w:b/>
          <w:bCs/>
          <w:color w:val="0C818F" w:themeColor="accent3"/>
        </w:rPr>
        <w:t xml:space="preserve">What changes are being made to e-referral platforms to support direct access? </w:t>
      </w:r>
    </w:p>
    <w:p w14:paraId="05552108" w14:textId="77777777" w:rsidR="009B35C1" w:rsidRPr="00F6558A" w:rsidRDefault="009B35C1" w:rsidP="009B35C1">
      <w:pPr>
        <w:spacing w:after="0"/>
        <w:jc w:val="both"/>
        <w:rPr>
          <w:rFonts w:ascii="Poppins" w:hAnsi="Poppins" w:cs="Poppins"/>
        </w:rPr>
      </w:pPr>
      <w:r w:rsidRPr="00F6558A">
        <w:rPr>
          <w:rFonts w:ascii="Poppins" w:hAnsi="Poppins" w:cs="Poppins"/>
        </w:rPr>
        <w:t xml:space="preserve">ERMS, BPAC and </w:t>
      </w:r>
      <w:proofErr w:type="spellStart"/>
      <w:r w:rsidRPr="00F6558A">
        <w:rPr>
          <w:rFonts w:ascii="Poppins" w:hAnsi="Poppins" w:cs="Poppins"/>
        </w:rPr>
        <w:t>HealthLink</w:t>
      </w:r>
      <w:proofErr w:type="spellEnd"/>
      <w:r w:rsidRPr="00F6558A">
        <w:rPr>
          <w:rFonts w:ascii="Poppins" w:hAnsi="Poppins" w:cs="Poppins"/>
        </w:rPr>
        <w:t xml:space="preserve"> electronic referral platforms are being updated to align with the new access criteria and/or links to relevant updated </w:t>
      </w:r>
      <w:proofErr w:type="spellStart"/>
      <w:r w:rsidRPr="00F6558A">
        <w:rPr>
          <w:rFonts w:ascii="Poppins" w:hAnsi="Poppins" w:cs="Poppins"/>
        </w:rPr>
        <w:t>HealthPathways</w:t>
      </w:r>
      <w:proofErr w:type="spellEnd"/>
      <w:r w:rsidRPr="00F6558A">
        <w:rPr>
          <w:rFonts w:ascii="Poppins" w:hAnsi="Poppins" w:cs="Poppins"/>
        </w:rPr>
        <w:t xml:space="preserve"> sites.  </w:t>
      </w:r>
    </w:p>
    <w:p w14:paraId="2DE0ECC0" w14:textId="77777777" w:rsidR="009B35C1" w:rsidRPr="00F6558A" w:rsidRDefault="009B35C1" w:rsidP="009B35C1">
      <w:pPr>
        <w:spacing w:after="0"/>
        <w:jc w:val="both"/>
        <w:rPr>
          <w:rFonts w:ascii="Poppins" w:hAnsi="Poppins" w:cs="Poppins"/>
        </w:rPr>
      </w:pPr>
    </w:p>
    <w:p w14:paraId="28E7481C" w14:textId="40A32089" w:rsidR="009B35C1" w:rsidRPr="00F6558A" w:rsidRDefault="009B35C1" w:rsidP="009B35C1">
      <w:pPr>
        <w:spacing w:after="0"/>
        <w:jc w:val="both"/>
        <w:rPr>
          <w:rFonts w:ascii="Poppins" w:hAnsi="Poppins" w:cs="Poppins"/>
        </w:rPr>
      </w:pPr>
      <w:r w:rsidRPr="00F6558A">
        <w:rPr>
          <w:rFonts w:ascii="Poppins" w:hAnsi="Poppins" w:cs="Poppins"/>
        </w:rPr>
        <w:t xml:space="preserve">Digital solutions to ensure referrers are interfaced with Health </w:t>
      </w:r>
      <w:r w:rsidR="006F3CBC">
        <w:rPr>
          <w:rFonts w:ascii="Poppins" w:hAnsi="Poppins" w:cs="Poppins"/>
        </w:rPr>
        <w:t>NZ</w:t>
      </w:r>
      <w:r w:rsidRPr="00F6558A">
        <w:rPr>
          <w:rFonts w:ascii="Poppins" w:hAnsi="Poppins" w:cs="Poppins"/>
        </w:rPr>
        <w:t xml:space="preserve"> systems are being implemented. A priority is to ensure community-based referrers can view current and prior imaging and reports for radiology requests made through Health </w:t>
      </w:r>
      <w:r w:rsidR="006F3CBC">
        <w:rPr>
          <w:rFonts w:ascii="Poppins" w:hAnsi="Poppins" w:cs="Poppins"/>
        </w:rPr>
        <w:t xml:space="preserve">NZ </w:t>
      </w:r>
      <w:r w:rsidRPr="00F6558A">
        <w:rPr>
          <w:rFonts w:ascii="Poppins" w:hAnsi="Poppins" w:cs="Poppins"/>
        </w:rPr>
        <w:t xml:space="preserve">in their region. This capability will be available by October for Northern and Te Waipounamu regions and March for Te Manawa Taki and Central regions.  Digital enhancements also include removing manual processes, facilitating improved workflows, and enhanced visibility of referral status.   </w:t>
      </w:r>
    </w:p>
    <w:bookmarkEnd w:id="0"/>
    <w:p w14:paraId="4BC62327" w14:textId="77777777" w:rsidR="009B35C1" w:rsidRPr="00F6558A" w:rsidRDefault="009B35C1" w:rsidP="009B35C1">
      <w:pPr>
        <w:spacing w:after="0"/>
        <w:jc w:val="both"/>
        <w:rPr>
          <w:rFonts w:ascii="Poppins" w:hAnsi="Poppins" w:cs="Poppins"/>
          <w:b/>
          <w:bCs/>
        </w:rPr>
      </w:pPr>
    </w:p>
    <w:p w14:paraId="0B3F65DD" w14:textId="77777777" w:rsidR="009B35C1" w:rsidRPr="009B35C1" w:rsidRDefault="009B35C1" w:rsidP="009B35C1">
      <w:pPr>
        <w:rPr>
          <w:rFonts w:ascii="Poppins" w:hAnsi="Poppins" w:cs="Poppins"/>
          <w:b/>
          <w:bCs/>
          <w:color w:val="0C818F" w:themeColor="accent3"/>
        </w:rPr>
      </w:pPr>
      <w:r w:rsidRPr="009B35C1">
        <w:rPr>
          <w:rFonts w:ascii="Poppins" w:hAnsi="Poppins" w:cs="Poppins"/>
          <w:b/>
          <w:bCs/>
          <w:color w:val="0C818F" w:themeColor="accent3"/>
        </w:rPr>
        <w:t>What is health NZ doing to improve national radiology data?</w:t>
      </w:r>
    </w:p>
    <w:p w14:paraId="1A3388D5" w14:textId="3F3DAC9C" w:rsidR="009B35C1" w:rsidRPr="00F6558A" w:rsidRDefault="009B35C1" w:rsidP="009B35C1">
      <w:pPr>
        <w:spacing w:after="0"/>
        <w:jc w:val="both"/>
        <w:rPr>
          <w:rFonts w:ascii="Poppins" w:hAnsi="Poppins" w:cs="Poppins"/>
        </w:rPr>
      </w:pPr>
      <w:r w:rsidRPr="00F6558A">
        <w:rPr>
          <w:rFonts w:ascii="Poppins" w:hAnsi="Poppins" w:cs="Poppins"/>
        </w:rPr>
        <w:t xml:space="preserve">Health </w:t>
      </w:r>
      <w:r w:rsidR="006F3CBC">
        <w:rPr>
          <w:rFonts w:ascii="Poppins" w:hAnsi="Poppins" w:cs="Poppins"/>
        </w:rPr>
        <w:t>NZ</w:t>
      </w:r>
      <w:r w:rsidRPr="00F6558A">
        <w:rPr>
          <w:rFonts w:ascii="Poppins" w:hAnsi="Poppins" w:cs="Poppins"/>
        </w:rPr>
        <w:t xml:space="preserve"> is developing a national Health Data Platform (HDP) that will hold consistent data on scan activity and waitlists from across the country, along with a dashboard for Community Referred Radiology (CRR) activity. </w:t>
      </w:r>
    </w:p>
    <w:p w14:paraId="46151A09" w14:textId="77777777" w:rsidR="009B35C1" w:rsidRPr="00F6558A" w:rsidRDefault="009B35C1" w:rsidP="009B35C1">
      <w:pPr>
        <w:spacing w:after="0"/>
        <w:jc w:val="both"/>
        <w:rPr>
          <w:rFonts w:ascii="Poppins" w:hAnsi="Poppins" w:cs="Poppins"/>
        </w:rPr>
      </w:pPr>
    </w:p>
    <w:p w14:paraId="3294B020" w14:textId="596C7C62" w:rsidR="009B35C1" w:rsidRPr="00F6558A" w:rsidRDefault="009B35C1" w:rsidP="009B35C1">
      <w:pPr>
        <w:spacing w:after="0"/>
        <w:jc w:val="both"/>
        <w:rPr>
          <w:rFonts w:ascii="Poppins" w:hAnsi="Poppins" w:cs="Poppins"/>
        </w:rPr>
      </w:pPr>
      <w:r w:rsidRPr="00F6558A">
        <w:rPr>
          <w:rFonts w:ascii="Poppins" w:hAnsi="Poppins" w:cs="Poppins"/>
        </w:rPr>
        <w:t xml:space="preserve">To make this data accurate, Health </w:t>
      </w:r>
      <w:r w:rsidR="006F3CBC">
        <w:rPr>
          <w:rFonts w:ascii="Poppins" w:hAnsi="Poppins" w:cs="Poppins"/>
        </w:rPr>
        <w:t>NZ</w:t>
      </w:r>
      <w:r w:rsidRPr="00F6558A">
        <w:rPr>
          <w:rFonts w:ascii="Poppins" w:hAnsi="Poppins" w:cs="Poppins"/>
        </w:rPr>
        <w:t xml:space="preserve"> is working with Primary Health Organisations (PHOs) to ensure all community referrals are recorded and shared - even in areas where referrals currently go straight to providers and aren’t tracked. This will give a clear, up-to-date view of radiology activity at both district and exam levels.</w:t>
      </w:r>
    </w:p>
    <w:p w14:paraId="0D3581D6" w14:textId="77777777" w:rsidR="009B35C1" w:rsidRPr="00F6558A" w:rsidRDefault="009B35C1" w:rsidP="009B35C1">
      <w:pPr>
        <w:spacing w:after="0"/>
        <w:jc w:val="both"/>
        <w:rPr>
          <w:rFonts w:ascii="Poppins" w:hAnsi="Poppins" w:cs="Poppins"/>
        </w:rPr>
      </w:pPr>
    </w:p>
    <w:p w14:paraId="58C2A9C9" w14:textId="77777777" w:rsidR="009B35C1" w:rsidRPr="009B35C1" w:rsidRDefault="009B35C1" w:rsidP="009B35C1">
      <w:pPr>
        <w:rPr>
          <w:rFonts w:ascii="Poppins" w:hAnsi="Poppins" w:cs="Poppins"/>
          <w:b/>
          <w:bCs/>
          <w:color w:val="0C818F" w:themeColor="accent3"/>
        </w:rPr>
      </w:pPr>
      <w:r w:rsidRPr="009B35C1">
        <w:rPr>
          <w:rFonts w:ascii="Poppins" w:hAnsi="Poppins" w:cs="Poppins"/>
          <w:b/>
          <w:bCs/>
          <w:color w:val="0C818F" w:themeColor="accent3"/>
        </w:rPr>
        <w:t>Other benefits of consistent access</w:t>
      </w:r>
    </w:p>
    <w:p w14:paraId="3EF862F4" w14:textId="77777777" w:rsidR="009B35C1" w:rsidRPr="00F6558A" w:rsidRDefault="009B35C1" w:rsidP="009B35C1">
      <w:pPr>
        <w:jc w:val="both"/>
        <w:rPr>
          <w:rFonts w:ascii="Poppins" w:hAnsi="Poppins" w:cs="Poppins"/>
        </w:rPr>
      </w:pPr>
      <w:r w:rsidRPr="00F6558A">
        <w:rPr>
          <w:rFonts w:ascii="Poppins" w:hAnsi="Poppins" w:cs="Poppins"/>
        </w:rPr>
        <w:t>Better access to diagnostic imaging helps community and primary healthcare providers decide the best next steps for their patients. It means patients can often get care closer to home instead of waiting to see a hospital specialist just for an imaging referral.</w:t>
      </w:r>
    </w:p>
    <w:p w14:paraId="59F909CC" w14:textId="77777777" w:rsidR="009B35C1" w:rsidRPr="00F6558A" w:rsidRDefault="009B35C1" w:rsidP="009B35C1">
      <w:pPr>
        <w:jc w:val="both"/>
        <w:rPr>
          <w:rFonts w:ascii="Poppins" w:hAnsi="Poppins" w:cs="Poppins"/>
        </w:rPr>
      </w:pPr>
      <w:r w:rsidRPr="00F6558A">
        <w:rPr>
          <w:rFonts w:ascii="Poppins" w:hAnsi="Poppins" w:cs="Poppins"/>
        </w:rPr>
        <w:t>Faster and easier access to radiology is essential for high-quality care. It helps people get a diagnosis and the right treatment sooner, which reduces waiting times and leads to better health outcomes. Timely imaging also plays a key role in detecting cancers earlier.</w:t>
      </w:r>
    </w:p>
    <w:p w14:paraId="41F9CB2C" w14:textId="77777777" w:rsidR="009B35C1" w:rsidRPr="00F6558A" w:rsidRDefault="009B35C1" w:rsidP="009B35C1">
      <w:pPr>
        <w:jc w:val="both"/>
        <w:rPr>
          <w:rFonts w:ascii="Poppins" w:hAnsi="Poppins" w:cs="Poppins"/>
        </w:rPr>
      </w:pPr>
      <w:r w:rsidRPr="00F6558A">
        <w:rPr>
          <w:rFonts w:ascii="Poppins" w:hAnsi="Poppins" w:cs="Poppins"/>
        </w:rPr>
        <w:t>This is a great example of how bringing health services closer to communities can ensure all New Zealanders get consistent, high-quality care, no matter where they live.</w:t>
      </w:r>
    </w:p>
    <w:p w14:paraId="26F43EB0" w14:textId="77777777" w:rsidR="009B35C1" w:rsidRPr="009B35C1" w:rsidRDefault="009B35C1" w:rsidP="009B35C1">
      <w:pPr>
        <w:rPr>
          <w:rFonts w:ascii="Poppins" w:hAnsi="Poppins" w:cs="Poppins"/>
          <w:b/>
          <w:bCs/>
          <w:color w:val="0C818F" w:themeColor="accent3"/>
        </w:rPr>
      </w:pPr>
      <w:r w:rsidRPr="009B35C1">
        <w:rPr>
          <w:rFonts w:ascii="Poppins" w:hAnsi="Poppins" w:cs="Poppins"/>
          <w:b/>
          <w:bCs/>
          <w:color w:val="0C818F" w:themeColor="accent3"/>
        </w:rPr>
        <w:t>For more information contact</w:t>
      </w:r>
    </w:p>
    <w:p w14:paraId="0315A867" w14:textId="77777777" w:rsidR="009B35C1" w:rsidRPr="00F6558A" w:rsidRDefault="009B35C1" w:rsidP="009B35C1">
      <w:pPr>
        <w:jc w:val="both"/>
        <w:rPr>
          <w:rFonts w:ascii="Poppins" w:hAnsi="Poppins" w:cs="Poppins"/>
        </w:rPr>
      </w:pPr>
      <w:hyperlink r:id="rId15" w:history="1">
        <w:r w:rsidRPr="00F6558A">
          <w:rPr>
            <w:rStyle w:val="Hyperlink"/>
            <w:rFonts w:ascii="Poppins" w:hAnsi="Poppins" w:cs="Poppins"/>
          </w:rPr>
          <w:t>Alex.Viner@tewhatuora.govt.nz</w:t>
        </w:r>
      </w:hyperlink>
      <w:r w:rsidRPr="00F6558A">
        <w:rPr>
          <w:rFonts w:ascii="Poppins" w:hAnsi="Poppins" w:cs="Poppins"/>
        </w:rPr>
        <w:t xml:space="preserve"> </w:t>
      </w:r>
    </w:p>
    <w:p w14:paraId="70EA2F50" w14:textId="77777777" w:rsidR="009B35C1" w:rsidRPr="00F6558A" w:rsidRDefault="009B35C1" w:rsidP="009B35C1">
      <w:pPr>
        <w:jc w:val="both"/>
        <w:rPr>
          <w:rFonts w:ascii="Poppins" w:hAnsi="Poppins" w:cs="Poppins"/>
        </w:rPr>
      </w:pPr>
    </w:p>
    <w:p w14:paraId="6325FD3C" w14:textId="77777777" w:rsidR="009B35C1" w:rsidRPr="00F6558A" w:rsidRDefault="009B35C1" w:rsidP="009B35C1">
      <w:pPr>
        <w:jc w:val="both"/>
        <w:rPr>
          <w:rFonts w:ascii="Poppins" w:hAnsi="Poppins" w:cs="Poppins"/>
        </w:rPr>
      </w:pPr>
    </w:p>
    <w:p w14:paraId="2DA52A80" w14:textId="77777777" w:rsidR="00091A6C" w:rsidRPr="00091A6C" w:rsidRDefault="00091A6C" w:rsidP="00091A6C">
      <w:pPr>
        <w:rPr>
          <w:rFonts w:ascii="Poppins" w:hAnsi="Poppins" w:cs="Poppins"/>
          <w:b/>
          <w:bCs/>
          <w:color w:val="0C818F" w:themeColor="accent3"/>
        </w:rPr>
      </w:pPr>
    </w:p>
    <w:sectPr w:rsidR="00091A6C" w:rsidRPr="00091A6C" w:rsidSect="00B2323E">
      <w:headerReference w:type="default" r:id="rId16"/>
      <w:footerReference w:type="default" r:id="rId17"/>
      <w:headerReference w:type="first" r:id="rId18"/>
      <w:footerReference w:type="first" r:id="rId19"/>
      <w:pgSz w:w="11906" w:h="16838"/>
      <w:pgMar w:top="1530" w:right="1440" w:bottom="1701" w:left="1440" w:header="850"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92AAC" w14:textId="77777777" w:rsidR="005E3846" w:rsidRDefault="005E3846" w:rsidP="001D3387">
      <w:r>
        <w:separator/>
      </w:r>
    </w:p>
  </w:endnote>
  <w:endnote w:type="continuationSeparator" w:id="0">
    <w:p w14:paraId="7518EDFC" w14:textId="77777777" w:rsidR="005E3846" w:rsidRDefault="005E3846" w:rsidP="001D3387">
      <w:r>
        <w:continuationSeparator/>
      </w:r>
    </w:p>
  </w:endnote>
  <w:endnote w:type="continuationNotice" w:id="1">
    <w:p w14:paraId="2D2F04EB" w14:textId="77777777" w:rsidR="005E3846" w:rsidRDefault="005E3846" w:rsidP="001D3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altName w:val="Nirmala UI"/>
    <w:panose1 w:val="00000500000000000000"/>
    <w:charset w:val="00"/>
    <w:family w:val="auto"/>
    <w:pitch w:val="variable"/>
    <w:sig w:usb0="00008007" w:usb1="00000000" w:usb2="00000000" w:usb3="00000000" w:csb0="00000093" w:csb1="00000000"/>
  </w:font>
  <w:font w:name="GillSans">
    <w:altName w:val="Calibri"/>
    <w:panose1 w:val="00000000000000000000"/>
    <w:charset w:val="00"/>
    <w:family w:val="modern"/>
    <w:notTrueType/>
    <w:pitch w:val="variable"/>
    <w:sig w:usb0="00000003" w:usb1="00000000" w:usb2="00000000" w:usb3="00000000" w:csb0="00000001" w:csb1="00000000"/>
  </w:font>
  <w:font w:name="Poppins Black">
    <w:panose1 w:val="00000A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5526" w14:textId="2AFF3454" w:rsidR="00315933" w:rsidRDefault="00000000" w:rsidP="005154E1">
    <w:pPr>
      <w:pStyle w:val="Footerbody"/>
      <w:tabs>
        <w:tab w:val="right" w:pos="8931"/>
      </w:tabs>
      <w:spacing w:after="100" w:afterAutospacing="1"/>
    </w:pPr>
    <w:sdt>
      <w:sdtPr>
        <w:id w:val="-332449008"/>
        <w:docPartObj>
          <w:docPartGallery w:val="Page Numbers (Bottom of Page)"/>
          <w:docPartUnique/>
        </w:docPartObj>
      </w:sdtPr>
      <w:sdtContent>
        <w:r w:rsidR="005154E1">
          <w:tab/>
        </w:r>
        <w:r w:rsidR="005154E1">
          <w:fldChar w:fldCharType="begin"/>
        </w:r>
        <w:r w:rsidR="005154E1">
          <w:instrText xml:space="preserve"> PAGE   \* MERGEFORMAT </w:instrText>
        </w:r>
        <w:r w:rsidR="005154E1">
          <w:fldChar w:fldCharType="separate"/>
        </w:r>
        <w:r w:rsidR="005154E1">
          <w:t>1</w:t>
        </w:r>
        <w:r w:rsidR="005154E1">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868514"/>
      <w:docPartObj>
        <w:docPartGallery w:val="Page Numbers (Bottom of Page)"/>
        <w:docPartUnique/>
      </w:docPartObj>
    </w:sdtPr>
    <w:sdtContent>
      <w:p w14:paraId="47E4F51C" w14:textId="77777777" w:rsidR="00684CAC" w:rsidRDefault="001C5B33" w:rsidP="001D3387">
        <w:pPr>
          <w:pStyle w:val="Footer"/>
        </w:pPr>
        <w:r>
          <w:rPr>
            <w:noProof/>
          </w:rPr>
          <w:drawing>
            <wp:anchor distT="0" distB="0" distL="114300" distR="114300" simplePos="0" relativeHeight="251658241" behindDoc="1" locked="0" layoutInCell="1" allowOverlap="1" wp14:anchorId="74173CF4" wp14:editId="3A8A50EE">
              <wp:simplePos x="0" y="0"/>
              <wp:positionH relativeFrom="column">
                <wp:posOffset>-569595</wp:posOffset>
              </wp:positionH>
              <wp:positionV relativeFrom="paragraph">
                <wp:posOffset>226143</wp:posOffset>
              </wp:positionV>
              <wp:extent cx="1417955" cy="257810"/>
              <wp:effectExtent l="0" t="0" r="0" b="8890"/>
              <wp:wrapTight wrapText="bothSides">
                <wp:wrapPolygon edited="0">
                  <wp:start x="0" y="0"/>
                  <wp:lineTo x="0" y="20749"/>
                  <wp:lineTo x="17992" y="20749"/>
                  <wp:lineTo x="21184" y="7980"/>
                  <wp:lineTo x="21184" y="1596"/>
                  <wp:lineTo x="15380" y="0"/>
                  <wp:lineTo x="0" y="0"/>
                </wp:wrapPolygon>
              </wp:wrapTight>
              <wp:docPr id="1994800233" name="Picture 199480023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17955" cy="257810"/>
                      </a:xfrm>
                      <a:prstGeom prst="rect">
                        <a:avLst/>
                      </a:prstGeom>
                    </pic:spPr>
                  </pic:pic>
                </a:graphicData>
              </a:graphic>
            </wp:anchor>
          </w:drawing>
        </w:r>
      </w:p>
    </w:sdtContent>
  </w:sdt>
  <w:p w14:paraId="359C07EB" w14:textId="77777777" w:rsidR="003A10C8" w:rsidRDefault="004B7053" w:rsidP="001D3387">
    <w:pPr>
      <w:pStyle w:val="Footer"/>
    </w:pPr>
    <w:r w:rsidRPr="004B7053">
      <w:rPr>
        <w:rFonts w:ascii="Poppins" w:hAnsi="Poppins" w:cs="Poppins"/>
        <w:b/>
        <w:bCs/>
        <w:noProof/>
        <w:kern w:val="22"/>
        <w:sz w:val="48"/>
        <w:szCs w:val="48"/>
      </w:rPr>
      <w:drawing>
        <wp:anchor distT="0" distB="0" distL="114300" distR="114300" simplePos="0" relativeHeight="251658242" behindDoc="1" locked="0" layoutInCell="1" allowOverlap="1" wp14:anchorId="674F90B4" wp14:editId="726F25D9">
          <wp:simplePos x="0" y="0"/>
          <wp:positionH relativeFrom="column">
            <wp:posOffset>4658995</wp:posOffset>
          </wp:positionH>
          <wp:positionV relativeFrom="paragraph">
            <wp:posOffset>44450</wp:posOffset>
          </wp:positionV>
          <wp:extent cx="1671205" cy="294410"/>
          <wp:effectExtent l="0" t="0" r="5715" b="0"/>
          <wp:wrapTight wrapText="bothSides">
            <wp:wrapPolygon edited="0">
              <wp:start x="0" y="0"/>
              <wp:lineTo x="0" y="19594"/>
              <wp:lineTo x="12068" y="19594"/>
              <wp:lineTo x="21428" y="11197"/>
              <wp:lineTo x="21428" y="0"/>
              <wp:lineTo x="0" y="0"/>
            </wp:wrapPolygon>
          </wp:wrapTight>
          <wp:docPr id="189629951" name="Picture 18962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1205" cy="29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D1C">
      <w:rPr>
        <w:noProof/>
      </w:rPr>
      <w:drawing>
        <wp:anchor distT="0" distB="0" distL="114300" distR="114300" simplePos="0" relativeHeight="251658240" behindDoc="1" locked="0" layoutInCell="1" allowOverlap="1" wp14:anchorId="2D0BFB95" wp14:editId="3FBF3F72">
          <wp:simplePos x="0" y="0"/>
          <wp:positionH relativeFrom="page">
            <wp:posOffset>7699375</wp:posOffset>
          </wp:positionH>
          <wp:positionV relativeFrom="paragraph">
            <wp:posOffset>161925</wp:posOffset>
          </wp:positionV>
          <wp:extent cx="7539990" cy="942340"/>
          <wp:effectExtent l="0" t="0" r="3810" b="0"/>
          <wp:wrapNone/>
          <wp:docPr id="551749140" name="Picture 551749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39990"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C1C26" w14:textId="77777777" w:rsidR="005E3846" w:rsidRDefault="005E3846" w:rsidP="001D3387">
      <w:r>
        <w:separator/>
      </w:r>
    </w:p>
  </w:footnote>
  <w:footnote w:type="continuationSeparator" w:id="0">
    <w:p w14:paraId="05755877" w14:textId="77777777" w:rsidR="005E3846" w:rsidRDefault="005E3846" w:rsidP="001D3387">
      <w:r>
        <w:continuationSeparator/>
      </w:r>
    </w:p>
  </w:footnote>
  <w:footnote w:type="continuationNotice" w:id="1">
    <w:p w14:paraId="0F757DD8" w14:textId="77777777" w:rsidR="005E3846" w:rsidRDefault="005E3846" w:rsidP="001D3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E238" w14:textId="1971826F" w:rsidR="001E1669" w:rsidRPr="001E1669" w:rsidRDefault="001E1669" w:rsidP="00F70943">
    <w:pPr>
      <w:pStyle w:val="Heading1"/>
      <w:jc w:val="center"/>
    </w:pPr>
    <w:r w:rsidRPr="001E1669">
      <w:rPr>
        <w:rFonts w:eastAsia="Roboto"/>
        <w:noProof/>
      </w:rPr>
      <w:drawing>
        <wp:anchor distT="0" distB="0" distL="114300" distR="114300" simplePos="0" relativeHeight="251658244" behindDoc="1" locked="0" layoutInCell="1" allowOverlap="1" wp14:anchorId="499786DF" wp14:editId="551DEE0E">
          <wp:simplePos x="0" y="0"/>
          <wp:positionH relativeFrom="page">
            <wp:posOffset>6985</wp:posOffset>
          </wp:positionH>
          <wp:positionV relativeFrom="paragraph">
            <wp:posOffset>-556260</wp:posOffset>
          </wp:positionV>
          <wp:extent cx="7543800" cy="927100"/>
          <wp:effectExtent l="0" t="0" r="0" b="0"/>
          <wp:wrapNone/>
          <wp:docPr id="680153573" name="Picture 680153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927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A78B" w14:textId="77777777" w:rsidR="009E4A54" w:rsidRDefault="009E4A54" w:rsidP="001D3387">
    <w:pPr>
      <w:pStyle w:val="Header"/>
    </w:pPr>
    <w:r w:rsidRPr="0037243B">
      <w:rPr>
        <w:rStyle w:val="BodyTextChar"/>
        <w:rFonts w:ascii="Roboto" w:eastAsiaTheme="majorEastAsia" w:hAnsi="Roboto"/>
        <w:noProof/>
        <w:highlight w:val="yellow"/>
      </w:rPr>
      <mc:AlternateContent>
        <mc:Choice Requires="wps">
          <w:drawing>
            <wp:anchor distT="45720" distB="45720" distL="114300" distR="114300" simplePos="0" relativeHeight="251658243" behindDoc="0" locked="0" layoutInCell="1" allowOverlap="1" wp14:anchorId="78426F24" wp14:editId="27AEB30A">
              <wp:simplePos x="0" y="0"/>
              <wp:positionH relativeFrom="margin">
                <wp:posOffset>2028190</wp:posOffset>
              </wp:positionH>
              <wp:positionV relativeFrom="paragraph">
                <wp:posOffset>-472440</wp:posOffset>
              </wp:positionV>
              <wp:extent cx="2491105" cy="304800"/>
              <wp:effectExtent l="0" t="0" r="4445"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304800"/>
                      </a:xfrm>
                      <a:prstGeom prst="rect">
                        <a:avLst/>
                      </a:prstGeom>
                      <a:solidFill>
                        <a:srgbClr val="FFFFFF"/>
                      </a:solidFill>
                      <a:ln w="9525">
                        <a:noFill/>
                        <a:miter lim="800000"/>
                        <a:headEnd/>
                        <a:tailEnd/>
                      </a:ln>
                    </wps:spPr>
                    <wps:txbx>
                      <w:txbxContent>
                        <w:p w14:paraId="26F1DAB9" w14:textId="77777777" w:rsidR="009E4A54" w:rsidRPr="00C43A8A" w:rsidRDefault="00000000" w:rsidP="001D3387">
                          <w:pPr>
                            <w:pStyle w:val="Header"/>
                          </w:pPr>
                          <w:sdt>
                            <w:sdtPr>
                              <w:rPr>
                                <w:rStyle w:val="BodyTextChar"/>
                                <w:rFonts w:ascii="Roboto" w:eastAsiaTheme="majorEastAsia" w:hAnsi="Roboto"/>
                                <w:highlight w:val="yellow"/>
                              </w:rPr>
                              <w:alias w:val="Click here to choose Security classification"/>
                              <w:tag w:val="Security classfication"/>
                              <w:id w:val="-1198548716"/>
                              <w:showingPlcHdr/>
                              <w:dropDownList>
                                <w:listItem w:value="Choose an item."/>
                                <w:listItem w:displayText="Unclassified" w:value="Unclassified"/>
                                <w:listItem w:displayText="In Confidence" w:value="In Confidence"/>
                                <w:listItem w:displayText="Sensitive" w:value="Sensitive"/>
                                <w:listItem w:displayText="Restricted" w:value="Restricted"/>
                                <w:listItem w:displayText="Budget - Sensitive" w:value="Budget - Sensitive"/>
                              </w:dropDownList>
                            </w:sdtPr>
                            <w:sdtEndPr>
                              <w:rPr>
                                <w:rStyle w:val="DefaultParagraphFont"/>
                                <w:rFonts w:ascii="Arial" w:eastAsia="Roboto" w:hAnsi="Arial"/>
                                <w:kern w:val="0"/>
                              </w:rPr>
                            </w:sdtEndPr>
                            <w:sdtContent>
                              <w:r w:rsidR="009E4A54" w:rsidRPr="00D4589D">
                                <w:rPr>
                                  <w:rStyle w:val="PlaceholderText"/>
                                </w:rPr>
                                <w:t>Choose an item.</w:t>
                              </w:r>
                            </w:sdtContent>
                          </w:sdt>
                        </w:p>
                        <w:p w14:paraId="2760AAAC" w14:textId="77777777" w:rsidR="009E4A54" w:rsidRPr="0037243B" w:rsidRDefault="009E4A54" w:rsidP="001D33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26F24" id="_x0000_t202" coordsize="21600,21600" o:spt="202" path="m,l,21600r21600,l21600,xe">
              <v:stroke joinstyle="miter"/>
              <v:path gradientshapeok="t" o:connecttype="rect"/>
            </v:shapetype>
            <v:shape id="Text Box 2" o:spid="_x0000_s1026" type="#_x0000_t202" style="position:absolute;margin-left:159.7pt;margin-top:-37.2pt;width:196.15pt;height:2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" stroked="f">
              <v:textbox>
                <w:txbxContent>
                  <w:p w14:paraId="26F1DAB9" w14:textId="77777777" w:rsidR="009E4A54" w:rsidRPr="00C43A8A" w:rsidRDefault="00000000" w:rsidP="001D3387">
                    <w:pPr>
                      <w:pStyle w:val="Header"/>
                    </w:pPr>
                    <w:sdt>
                      <w:sdtPr>
                        <w:rPr>
                          <w:rStyle w:val="BodyTextChar"/>
                          <w:rFonts w:ascii="Roboto" w:eastAsiaTheme="majorEastAsia" w:hAnsi="Roboto"/>
                          <w:highlight w:val="yellow"/>
                        </w:rPr>
                        <w:alias w:val="Click here to choose Security classification"/>
                        <w:tag w:val="Security classfication"/>
                        <w:id w:val="-1198548716"/>
                        <w:showingPlcHdr/>
                        <w:dropDownList>
                          <w:listItem w:value="Choose an item."/>
                          <w:listItem w:displayText="Unclassified" w:value="Unclassified"/>
                          <w:listItem w:displayText="In Confidence" w:value="In Confidence"/>
                          <w:listItem w:displayText="Sensitive" w:value="Sensitive"/>
                          <w:listItem w:displayText="Restricted" w:value="Restricted"/>
                          <w:listItem w:displayText="Budget - Sensitive" w:value="Budget - Sensitive"/>
                        </w:dropDownList>
                      </w:sdtPr>
                      <w:sdtEndPr>
                        <w:rPr>
                          <w:rStyle w:val="DefaultParagraphFont"/>
                          <w:rFonts w:ascii="Arial" w:eastAsia="Roboto" w:hAnsi="Arial"/>
                          <w:kern w:val="0"/>
                        </w:rPr>
                      </w:sdtEndPr>
                      <w:sdtContent>
                        <w:r w:rsidR="009E4A54" w:rsidRPr="00D4589D">
                          <w:rPr>
                            <w:rStyle w:val="PlaceholderText"/>
                          </w:rPr>
                          <w:t>Choose an item.</w:t>
                        </w:r>
                      </w:sdtContent>
                    </w:sdt>
                  </w:p>
                  <w:p w14:paraId="2760AAAC" w14:textId="77777777" w:rsidR="009E4A54" w:rsidRPr="0037243B" w:rsidRDefault="009E4A54" w:rsidP="001D3387"/>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A8E"/>
    <w:multiLevelType w:val="multilevel"/>
    <w:tmpl w:val="CD6C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C0605"/>
    <w:multiLevelType w:val="hybridMultilevel"/>
    <w:tmpl w:val="13B8E40C"/>
    <w:lvl w:ilvl="0" w:tplc="AC6295F2">
      <w:start w:val="1"/>
      <w:numFmt w:val="lowerLetter"/>
      <w:pStyle w:val="ListParagraph"/>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 w15:restartNumberingAfterBreak="0">
    <w:nsid w:val="07F73799"/>
    <w:multiLevelType w:val="hybridMultilevel"/>
    <w:tmpl w:val="4F480B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995C8A"/>
    <w:multiLevelType w:val="hybridMultilevel"/>
    <w:tmpl w:val="C8AE60C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2E22E2E"/>
    <w:multiLevelType w:val="multilevel"/>
    <w:tmpl w:val="8C0E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77585F"/>
    <w:multiLevelType w:val="multilevel"/>
    <w:tmpl w:val="6FA82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F3868"/>
    <w:multiLevelType w:val="hybridMultilevel"/>
    <w:tmpl w:val="4B04703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29B561A"/>
    <w:multiLevelType w:val="hybridMultilevel"/>
    <w:tmpl w:val="B39031F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54E63E5"/>
    <w:multiLevelType w:val="multilevel"/>
    <w:tmpl w:val="416C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F0ED8"/>
    <w:multiLevelType w:val="hybridMultilevel"/>
    <w:tmpl w:val="E54ADED8"/>
    <w:lvl w:ilvl="0" w:tplc="14090001">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lvl>
    <w:lvl w:ilvl="2" w:tplc="FFFFFFFF">
      <w:start w:val="1"/>
      <w:numFmt w:val="lowerLetter"/>
      <w:lvlText w:val="%3)"/>
      <w:lvlJc w:val="left"/>
      <w:pPr>
        <w:ind w:left="2405" w:hanging="36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 w15:restartNumberingAfterBreak="0">
    <w:nsid w:val="28E168DA"/>
    <w:multiLevelType w:val="multilevel"/>
    <w:tmpl w:val="61CC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84740"/>
    <w:multiLevelType w:val="multilevel"/>
    <w:tmpl w:val="3874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D596D"/>
    <w:multiLevelType w:val="multilevel"/>
    <w:tmpl w:val="E082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F9795A"/>
    <w:multiLevelType w:val="hybridMultilevel"/>
    <w:tmpl w:val="968E5ED6"/>
    <w:lvl w:ilvl="0" w:tplc="14090001">
      <w:start w:val="1"/>
      <w:numFmt w:val="bullet"/>
      <w:lvlText w:val=""/>
      <w:lvlJc w:val="left"/>
      <w:pPr>
        <w:ind w:left="1125" w:hanging="360"/>
      </w:pPr>
      <w:rPr>
        <w:rFonts w:ascii="Symbol" w:hAnsi="Symbol" w:hint="default"/>
      </w:rPr>
    </w:lvl>
    <w:lvl w:ilvl="1" w:tplc="14090003" w:tentative="1">
      <w:start w:val="1"/>
      <w:numFmt w:val="bullet"/>
      <w:lvlText w:val="o"/>
      <w:lvlJc w:val="left"/>
      <w:pPr>
        <w:ind w:left="1845" w:hanging="360"/>
      </w:pPr>
      <w:rPr>
        <w:rFonts w:ascii="Courier New" w:hAnsi="Courier New" w:cs="Courier New" w:hint="default"/>
      </w:rPr>
    </w:lvl>
    <w:lvl w:ilvl="2" w:tplc="14090005" w:tentative="1">
      <w:start w:val="1"/>
      <w:numFmt w:val="bullet"/>
      <w:lvlText w:val=""/>
      <w:lvlJc w:val="left"/>
      <w:pPr>
        <w:ind w:left="2565" w:hanging="360"/>
      </w:pPr>
      <w:rPr>
        <w:rFonts w:ascii="Wingdings" w:hAnsi="Wingdings" w:hint="default"/>
      </w:rPr>
    </w:lvl>
    <w:lvl w:ilvl="3" w:tplc="14090001" w:tentative="1">
      <w:start w:val="1"/>
      <w:numFmt w:val="bullet"/>
      <w:lvlText w:val=""/>
      <w:lvlJc w:val="left"/>
      <w:pPr>
        <w:ind w:left="3285" w:hanging="360"/>
      </w:pPr>
      <w:rPr>
        <w:rFonts w:ascii="Symbol" w:hAnsi="Symbol" w:hint="default"/>
      </w:rPr>
    </w:lvl>
    <w:lvl w:ilvl="4" w:tplc="14090003" w:tentative="1">
      <w:start w:val="1"/>
      <w:numFmt w:val="bullet"/>
      <w:lvlText w:val="o"/>
      <w:lvlJc w:val="left"/>
      <w:pPr>
        <w:ind w:left="4005" w:hanging="360"/>
      </w:pPr>
      <w:rPr>
        <w:rFonts w:ascii="Courier New" w:hAnsi="Courier New" w:cs="Courier New" w:hint="default"/>
      </w:rPr>
    </w:lvl>
    <w:lvl w:ilvl="5" w:tplc="14090005" w:tentative="1">
      <w:start w:val="1"/>
      <w:numFmt w:val="bullet"/>
      <w:lvlText w:val=""/>
      <w:lvlJc w:val="left"/>
      <w:pPr>
        <w:ind w:left="4725" w:hanging="360"/>
      </w:pPr>
      <w:rPr>
        <w:rFonts w:ascii="Wingdings" w:hAnsi="Wingdings" w:hint="default"/>
      </w:rPr>
    </w:lvl>
    <w:lvl w:ilvl="6" w:tplc="14090001" w:tentative="1">
      <w:start w:val="1"/>
      <w:numFmt w:val="bullet"/>
      <w:lvlText w:val=""/>
      <w:lvlJc w:val="left"/>
      <w:pPr>
        <w:ind w:left="5445" w:hanging="360"/>
      </w:pPr>
      <w:rPr>
        <w:rFonts w:ascii="Symbol" w:hAnsi="Symbol" w:hint="default"/>
      </w:rPr>
    </w:lvl>
    <w:lvl w:ilvl="7" w:tplc="14090003" w:tentative="1">
      <w:start w:val="1"/>
      <w:numFmt w:val="bullet"/>
      <w:lvlText w:val="o"/>
      <w:lvlJc w:val="left"/>
      <w:pPr>
        <w:ind w:left="6165" w:hanging="360"/>
      </w:pPr>
      <w:rPr>
        <w:rFonts w:ascii="Courier New" w:hAnsi="Courier New" w:cs="Courier New" w:hint="default"/>
      </w:rPr>
    </w:lvl>
    <w:lvl w:ilvl="8" w:tplc="14090005" w:tentative="1">
      <w:start w:val="1"/>
      <w:numFmt w:val="bullet"/>
      <w:lvlText w:val=""/>
      <w:lvlJc w:val="left"/>
      <w:pPr>
        <w:ind w:left="6885" w:hanging="360"/>
      </w:pPr>
      <w:rPr>
        <w:rFonts w:ascii="Wingdings" w:hAnsi="Wingdings" w:hint="default"/>
      </w:rPr>
    </w:lvl>
  </w:abstractNum>
  <w:abstractNum w:abstractNumId="14" w15:restartNumberingAfterBreak="0">
    <w:nsid w:val="2B871693"/>
    <w:multiLevelType w:val="hybridMultilevel"/>
    <w:tmpl w:val="4736746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2CA0303B"/>
    <w:multiLevelType w:val="hybridMultilevel"/>
    <w:tmpl w:val="859E8C28"/>
    <w:lvl w:ilvl="0" w:tplc="77905282">
      <w:start w:val="1"/>
      <w:numFmt w:val="bullet"/>
      <w:pStyle w:val="Bulletpoints"/>
      <w:lvlText w:val=""/>
      <w:lvlJc w:val="left"/>
      <w:pPr>
        <w:ind w:left="1570" w:hanging="360"/>
      </w:pPr>
      <w:rPr>
        <w:rFonts w:ascii="Symbol" w:hAnsi="Symbol" w:hint="default"/>
      </w:rPr>
    </w:lvl>
    <w:lvl w:ilvl="1" w:tplc="14090003" w:tentative="1">
      <w:start w:val="1"/>
      <w:numFmt w:val="bullet"/>
      <w:lvlText w:val="o"/>
      <w:lvlJc w:val="left"/>
      <w:pPr>
        <w:ind w:left="2290" w:hanging="360"/>
      </w:pPr>
      <w:rPr>
        <w:rFonts w:ascii="Courier New" w:hAnsi="Courier New" w:cs="Courier New" w:hint="default"/>
      </w:rPr>
    </w:lvl>
    <w:lvl w:ilvl="2" w:tplc="14090005" w:tentative="1">
      <w:start w:val="1"/>
      <w:numFmt w:val="bullet"/>
      <w:lvlText w:val=""/>
      <w:lvlJc w:val="left"/>
      <w:pPr>
        <w:ind w:left="3010" w:hanging="360"/>
      </w:pPr>
      <w:rPr>
        <w:rFonts w:ascii="Wingdings" w:hAnsi="Wingdings" w:hint="default"/>
      </w:rPr>
    </w:lvl>
    <w:lvl w:ilvl="3" w:tplc="14090001" w:tentative="1">
      <w:start w:val="1"/>
      <w:numFmt w:val="bullet"/>
      <w:lvlText w:val=""/>
      <w:lvlJc w:val="left"/>
      <w:pPr>
        <w:ind w:left="3730" w:hanging="360"/>
      </w:pPr>
      <w:rPr>
        <w:rFonts w:ascii="Symbol" w:hAnsi="Symbol" w:hint="default"/>
      </w:rPr>
    </w:lvl>
    <w:lvl w:ilvl="4" w:tplc="14090003" w:tentative="1">
      <w:start w:val="1"/>
      <w:numFmt w:val="bullet"/>
      <w:lvlText w:val="o"/>
      <w:lvlJc w:val="left"/>
      <w:pPr>
        <w:ind w:left="4450" w:hanging="360"/>
      </w:pPr>
      <w:rPr>
        <w:rFonts w:ascii="Courier New" w:hAnsi="Courier New" w:cs="Courier New" w:hint="default"/>
      </w:rPr>
    </w:lvl>
    <w:lvl w:ilvl="5" w:tplc="14090005" w:tentative="1">
      <w:start w:val="1"/>
      <w:numFmt w:val="bullet"/>
      <w:lvlText w:val=""/>
      <w:lvlJc w:val="left"/>
      <w:pPr>
        <w:ind w:left="5170" w:hanging="360"/>
      </w:pPr>
      <w:rPr>
        <w:rFonts w:ascii="Wingdings" w:hAnsi="Wingdings" w:hint="default"/>
      </w:rPr>
    </w:lvl>
    <w:lvl w:ilvl="6" w:tplc="14090001" w:tentative="1">
      <w:start w:val="1"/>
      <w:numFmt w:val="bullet"/>
      <w:lvlText w:val=""/>
      <w:lvlJc w:val="left"/>
      <w:pPr>
        <w:ind w:left="5890" w:hanging="360"/>
      </w:pPr>
      <w:rPr>
        <w:rFonts w:ascii="Symbol" w:hAnsi="Symbol" w:hint="default"/>
      </w:rPr>
    </w:lvl>
    <w:lvl w:ilvl="7" w:tplc="14090003" w:tentative="1">
      <w:start w:val="1"/>
      <w:numFmt w:val="bullet"/>
      <w:lvlText w:val="o"/>
      <w:lvlJc w:val="left"/>
      <w:pPr>
        <w:ind w:left="6610" w:hanging="360"/>
      </w:pPr>
      <w:rPr>
        <w:rFonts w:ascii="Courier New" w:hAnsi="Courier New" w:cs="Courier New" w:hint="default"/>
      </w:rPr>
    </w:lvl>
    <w:lvl w:ilvl="8" w:tplc="14090005" w:tentative="1">
      <w:start w:val="1"/>
      <w:numFmt w:val="bullet"/>
      <w:lvlText w:val=""/>
      <w:lvlJc w:val="left"/>
      <w:pPr>
        <w:ind w:left="7330" w:hanging="360"/>
      </w:pPr>
      <w:rPr>
        <w:rFonts w:ascii="Wingdings" w:hAnsi="Wingdings" w:hint="default"/>
      </w:rPr>
    </w:lvl>
  </w:abstractNum>
  <w:abstractNum w:abstractNumId="16" w15:restartNumberingAfterBreak="0">
    <w:nsid w:val="33AF02C8"/>
    <w:multiLevelType w:val="hybridMultilevel"/>
    <w:tmpl w:val="CC1CDBC0"/>
    <w:lvl w:ilvl="0" w:tplc="E264C090">
      <w:numFmt w:val="bullet"/>
      <w:lvlText w:val=""/>
      <w:lvlJc w:val="left"/>
      <w:pPr>
        <w:ind w:left="478" w:hanging="358"/>
      </w:pPr>
      <w:rPr>
        <w:rFonts w:ascii="Symbol" w:eastAsia="Symbol" w:hAnsi="Symbol" w:cs="Symbol" w:hint="default"/>
        <w:b w:val="0"/>
        <w:bCs w:val="0"/>
        <w:i w:val="0"/>
        <w:iCs w:val="0"/>
        <w:spacing w:val="0"/>
        <w:w w:val="100"/>
        <w:sz w:val="22"/>
        <w:szCs w:val="22"/>
        <w:lang w:val="en-US" w:eastAsia="en-US" w:bidi="ar-SA"/>
      </w:rPr>
    </w:lvl>
    <w:lvl w:ilvl="1" w:tplc="E83E1BA2">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7584AD54">
      <w:numFmt w:val="bullet"/>
      <w:lvlText w:val="•"/>
      <w:lvlJc w:val="left"/>
      <w:pPr>
        <w:ind w:left="1814" w:hanging="360"/>
      </w:pPr>
      <w:rPr>
        <w:rFonts w:hint="default"/>
        <w:lang w:val="en-US" w:eastAsia="en-US" w:bidi="ar-SA"/>
      </w:rPr>
    </w:lvl>
    <w:lvl w:ilvl="3" w:tplc="E13423CE">
      <w:numFmt w:val="bullet"/>
      <w:lvlText w:val="•"/>
      <w:lvlJc w:val="left"/>
      <w:pPr>
        <w:ind w:left="2788" w:hanging="360"/>
      </w:pPr>
      <w:rPr>
        <w:rFonts w:hint="default"/>
        <w:lang w:val="en-US" w:eastAsia="en-US" w:bidi="ar-SA"/>
      </w:rPr>
    </w:lvl>
    <w:lvl w:ilvl="4" w:tplc="EB18A9C8">
      <w:numFmt w:val="bullet"/>
      <w:lvlText w:val="•"/>
      <w:lvlJc w:val="left"/>
      <w:pPr>
        <w:ind w:left="3762" w:hanging="360"/>
      </w:pPr>
      <w:rPr>
        <w:rFonts w:hint="default"/>
        <w:lang w:val="en-US" w:eastAsia="en-US" w:bidi="ar-SA"/>
      </w:rPr>
    </w:lvl>
    <w:lvl w:ilvl="5" w:tplc="0B0C0FD4">
      <w:numFmt w:val="bullet"/>
      <w:lvlText w:val="•"/>
      <w:lvlJc w:val="left"/>
      <w:pPr>
        <w:ind w:left="4736" w:hanging="360"/>
      </w:pPr>
      <w:rPr>
        <w:rFonts w:hint="default"/>
        <w:lang w:val="en-US" w:eastAsia="en-US" w:bidi="ar-SA"/>
      </w:rPr>
    </w:lvl>
    <w:lvl w:ilvl="6" w:tplc="99A0F75E">
      <w:numFmt w:val="bullet"/>
      <w:lvlText w:val="•"/>
      <w:lvlJc w:val="left"/>
      <w:pPr>
        <w:ind w:left="5710" w:hanging="360"/>
      </w:pPr>
      <w:rPr>
        <w:rFonts w:hint="default"/>
        <w:lang w:val="en-US" w:eastAsia="en-US" w:bidi="ar-SA"/>
      </w:rPr>
    </w:lvl>
    <w:lvl w:ilvl="7" w:tplc="872066BC">
      <w:numFmt w:val="bullet"/>
      <w:lvlText w:val="•"/>
      <w:lvlJc w:val="left"/>
      <w:pPr>
        <w:ind w:left="6684" w:hanging="360"/>
      </w:pPr>
      <w:rPr>
        <w:rFonts w:hint="default"/>
        <w:lang w:val="en-US" w:eastAsia="en-US" w:bidi="ar-SA"/>
      </w:rPr>
    </w:lvl>
    <w:lvl w:ilvl="8" w:tplc="96861A56">
      <w:numFmt w:val="bullet"/>
      <w:lvlText w:val="•"/>
      <w:lvlJc w:val="left"/>
      <w:pPr>
        <w:ind w:left="7658" w:hanging="360"/>
      </w:pPr>
      <w:rPr>
        <w:rFonts w:hint="default"/>
        <w:lang w:val="en-US" w:eastAsia="en-US" w:bidi="ar-SA"/>
      </w:rPr>
    </w:lvl>
  </w:abstractNum>
  <w:abstractNum w:abstractNumId="17" w15:restartNumberingAfterBreak="0">
    <w:nsid w:val="351C3DD8"/>
    <w:multiLevelType w:val="multilevel"/>
    <w:tmpl w:val="6A70E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2217D"/>
    <w:multiLevelType w:val="multilevel"/>
    <w:tmpl w:val="E748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A87CC5"/>
    <w:multiLevelType w:val="multilevel"/>
    <w:tmpl w:val="AD8A3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B26C7"/>
    <w:multiLevelType w:val="multilevel"/>
    <w:tmpl w:val="C74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620328"/>
    <w:multiLevelType w:val="hybridMultilevel"/>
    <w:tmpl w:val="015210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C7D3516"/>
    <w:multiLevelType w:val="hybridMultilevel"/>
    <w:tmpl w:val="4D8EB60E"/>
    <w:lvl w:ilvl="0" w:tplc="02084884">
      <w:start w:val="1"/>
      <w:numFmt w:val="decimal"/>
      <w:pStyle w:val="Numberedbullets"/>
      <w:lvlText w:val="%1."/>
      <w:lvlJc w:val="left"/>
      <w:pPr>
        <w:ind w:left="720" w:hanging="360"/>
      </w:pPr>
      <w:rPr>
        <w:rFonts w:ascii="Roboto" w:hAnsi="Roboto" w:hint="default"/>
        <w:b w:val="0"/>
        <w:color w:val="auto"/>
        <w:sz w:val="22"/>
      </w:rPr>
    </w:lvl>
    <w:lvl w:ilvl="1" w:tplc="A51A6738">
      <w:start w:val="1"/>
      <w:numFmt w:val="lowerLetter"/>
      <w:pStyle w:val="Letteredbullet"/>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8753E0"/>
    <w:multiLevelType w:val="hybridMultilevel"/>
    <w:tmpl w:val="F21CE32A"/>
    <w:lvl w:ilvl="0" w:tplc="FFFFFFFF">
      <w:start w:val="1"/>
      <w:numFmt w:val="lowerLetter"/>
      <w:lvlText w:val="%1."/>
      <w:lvlJc w:val="left"/>
      <w:pPr>
        <w:ind w:left="144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D024208"/>
    <w:multiLevelType w:val="multilevel"/>
    <w:tmpl w:val="8DB4C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0E716C"/>
    <w:multiLevelType w:val="hybridMultilevel"/>
    <w:tmpl w:val="11B007C4"/>
    <w:lvl w:ilvl="0" w:tplc="4266AA42">
      <w:start w:val="1"/>
      <w:numFmt w:val="lowerLetter"/>
      <w:lvlText w:val="%1)"/>
      <w:lvlJc w:val="left"/>
      <w:pPr>
        <w:ind w:left="729" w:hanging="360"/>
      </w:pPr>
    </w:lvl>
    <w:lvl w:ilvl="1" w:tplc="14090019" w:tentative="1">
      <w:start w:val="1"/>
      <w:numFmt w:val="lowerLetter"/>
      <w:lvlText w:val="%2."/>
      <w:lvlJc w:val="left"/>
      <w:pPr>
        <w:ind w:left="1449" w:hanging="360"/>
      </w:pPr>
    </w:lvl>
    <w:lvl w:ilvl="2" w:tplc="1409001B" w:tentative="1">
      <w:start w:val="1"/>
      <w:numFmt w:val="lowerRoman"/>
      <w:lvlText w:val="%3."/>
      <w:lvlJc w:val="right"/>
      <w:pPr>
        <w:ind w:left="2169" w:hanging="180"/>
      </w:pPr>
    </w:lvl>
    <w:lvl w:ilvl="3" w:tplc="1409000F" w:tentative="1">
      <w:start w:val="1"/>
      <w:numFmt w:val="decimal"/>
      <w:lvlText w:val="%4."/>
      <w:lvlJc w:val="left"/>
      <w:pPr>
        <w:ind w:left="2889" w:hanging="360"/>
      </w:pPr>
    </w:lvl>
    <w:lvl w:ilvl="4" w:tplc="14090019" w:tentative="1">
      <w:start w:val="1"/>
      <w:numFmt w:val="lowerLetter"/>
      <w:lvlText w:val="%5."/>
      <w:lvlJc w:val="left"/>
      <w:pPr>
        <w:ind w:left="3609" w:hanging="360"/>
      </w:pPr>
    </w:lvl>
    <w:lvl w:ilvl="5" w:tplc="1409001B" w:tentative="1">
      <w:start w:val="1"/>
      <w:numFmt w:val="lowerRoman"/>
      <w:lvlText w:val="%6."/>
      <w:lvlJc w:val="right"/>
      <w:pPr>
        <w:ind w:left="4329" w:hanging="180"/>
      </w:pPr>
    </w:lvl>
    <w:lvl w:ilvl="6" w:tplc="1409000F" w:tentative="1">
      <w:start w:val="1"/>
      <w:numFmt w:val="decimal"/>
      <w:lvlText w:val="%7."/>
      <w:lvlJc w:val="left"/>
      <w:pPr>
        <w:ind w:left="5049" w:hanging="360"/>
      </w:pPr>
    </w:lvl>
    <w:lvl w:ilvl="7" w:tplc="14090019" w:tentative="1">
      <w:start w:val="1"/>
      <w:numFmt w:val="lowerLetter"/>
      <w:lvlText w:val="%8."/>
      <w:lvlJc w:val="left"/>
      <w:pPr>
        <w:ind w:left="5769" w:hanging="360"/>
      </w:pPr>
    </w:lvl>
    <w:lvl w:ilvl="8" w:tplc="1409001B" w:tentative="1">
      <w:start w:val="1"/>
      <w:numFmt w:val="lowerRoman"/>
      <w:lvlText w:val="%9."/>
      <w:lvlJc w:val="right"/>
      <w:pPr>
        <w:ind w:left="6489" w:hanging="180"/>
      </w:pPr>
    </w:lvl>
  </w:abstractNum>
  <w:abstractNum w:abstractNumId="26" w15:restartNumberingAfterBreak="0">
    <w:nsid w:val="41D13EA1"/>
    <w:multiLevelType w:val="hybridMultilevel"/>
    <w:tmpl w:val="F24A90C0"/>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27" w15:restartNumberingAfterBreak="0">
    <w:nsid w:val="47000DBF"/>
    <w:multiLevelType w:val="multilevel"/>
    <w:tmpl w:val="FAE4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6719C"/>
    <w:multiLevelType w:val="multilevel"/>
    <w:tmpl w:val="85CE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5A4D92"/>
    <w:multiLevelType w:val="hybridMultilevel"/>
    <w:tmpl w:val="3BEC42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52D60F6"/>
    <w:multiLevelType w:val="multilevel"/>
    <w:tmpl w:val="1FD6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DE315F"/>
    <w:multiLevelType w:val="hybridMultilevel"/>
    <w:tmpl w:val="95CAF1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2703DC8"/>
    <w:multiLevelType w:val="multilevel"/>
    <w:tmpl w:val="A3BC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75432C"/>
    <w:multiLevelType w:val="multilevel"/>
    <w:tmpl w:val="6872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750C32"/>
    <w:multiLevelType w:val="hybridMultilevel"/>
    <w:tmpl w:val="1EB6A1F6"/>
    <w:lvl w:ilvl="0" w:tplc="1409000F">
      <w:start w:val="1"/>
      <w:numFmt w:val="decimal"/>
      <w:lvlText w:val="%1."/>
      <w:lvlJc w:val="left"/>
      <w:pPr>
        <w:ind w:left="-351" w:hanging="360"/>
      </w:pPr>
      <w:rPr>
        <w:rFonts w:hint="default"/>
      </w:rPr>
    </w:lvl>
    <w:lvl w:ilvl="1" w:tplc="E1CE4F8C">
      <w:start w:val="1"/>
      <w:numFmt w:val="lowerLetter"/>
      <w:lvlText w:val="%2."/>
      <w:lvlJc w:val="left"/>
      <w:pPr>
        <w:ind w:left="369" w:hanging="360"/>
      </w:pPr>
    </w:lvl>
    <w:lvl w:ilvl="2" w:tplc="14090017">
      <w:start w:val="1"/>
      <w:numFmt w:val="lowerLetter"/>
      <w:lvlText w:val="%3)"/>
      <w:lvlJc w:val="left"/>
      <w:pPr>
        <w:ind w:left="1269" w:hanging="360"/>
      </w:pPr>
    </w:lvl>
    <w:lvl w:ilvl="3" w:tplc="1409000F" w:tentative="1">
      <w:start w:val="1"/>
      <w:numFmt w:val="decimal"/>
      <w:lvlText w:val="%4."/>
      <w:lvlJc w:val="left"/>
      <w:pPr>
        <w:ind w:left="1809" w:hanging="360"/>
      </w:pPr>
    </w:lvl>
    <w:lvl w:ilvl="4" w:tplc="14090019" w:tentative="1">
      <w:start w:val="1"/>
      <w:numFmt w:val="lowerLetter"/>
      <w:lvlText w:val="%5."/>
      <w:lvlJc w:val="left"/>
      <w:pPr>
        <w:ind w:left="2529" w:hanging="360"/>
      </w:pPr>
    </w:lvl>
    <w:lvl w:ilvl="5" w:tplc="1409001B" w:tentative="1">
      <w:start w:val="1"/>
      <w:numFmt w:val="lowerRoman"/>
      <w:lvlText w:val="%6."/>
      <w:lvlJc w:val="right"/>
      <w:pPr>
        <w:ind w:left="3249" w:hanging="180"/>
      </w:pPr>
    </w:lvl>
    <w:lvl w:ilvl="6" w:tplc="1409000F" w:tentative="1">
      <w:start w:val="1"/>
      <w:numFmt w:val="decimal"/>
      <w:lvlText w:val="%7."/>
      <w:lvlJc w:val="left"/>
      <w:pPr>
        <w:ind w:left="3969" w:hanging="360"/>
      </w:pPr>
    </w:lvl>
    <w:lvl w:ilvl="7" w:tplc="14090019" w:tentative="1">
      <w:start w:val="1"/>
      <w:numFmt w:val="lowerLetter"/>
      <w:lvlText w:val="%8."/>
      <w:lvlJc w:val="left"/>
      <w:pPr>
        <w:ind w:left="4689" w:hanging="360"/>
      </w:pPr>
    </w:lvl>
    <w:lvl w:ilvl="8" w:tplc="1409001B" w:tentative="1">
      <w:start w:val="1"/>
      <w:numFmt w:val="lowerRoman"/>
      <w:lvlText w:val="%9."/>
      <w:lvlJc w:val="right"/>
      <w:pPr>
        <w:ind w:left="5409" w:hanging="180"/>
      </w:pPr>
    </w:lvl>
  </w:abstractNum>
  <w:abstractNum w:abstractNumId="35" w15:restartNumberingAfterBreak="0">
    <w:nsid w:val="7208768F"/>
    <w:multiLevelType w:val="multilevel"/>
    <w:tmpl w:val="4746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F31519"/>
    <w:multiLevelType w:val="hybridMultilevel"/>
    <w:tmpl w:val="26726C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5DE2696"/>
    <w:multiLevelType w:val="multilevel"/>
    <w:tmpl w:val="F4A89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444FB"/>
    <w:multiLevelType w:val="hybridMultilevel"/>
    <w:tmpl w:val="A8DEC8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D6137C8"/>
    <w:multiLevelType w:val="multilevel"/>
    <w:tmpl w:val="B22E0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692977">
    <w:abstractNumId w:val="2"/>
  </w:num>
  <w:num w:numId="2" w16cid:durableId="1714039771">
    <w:abstractNumId w:val="22"/>
  </w:num>
  <w:num w:numId="3" w16cid:durableId="812597907">
    <w:abstractNumId w:val="13"/>
  </w:num>
  <w:num w:numId="4" w16cid:durableId="341250523">
    <w:abstractNumId w:val="15"/>
  </w:num>
  <w:num w:numId="5" w16cid:durableId="23755561">
    <w:abstractNumId w:val="34"/>
  </w:num>
  <w:num w:numId="6" w16cid:durableId="519969438">
    <w:abstractNumId w:val="16"/>
  </w:num>
  <w:num w:numId="7" w16cid:durableId="790973105">
    <w:abstractNumId w:val="14"/>
  </w:num>
  <w:num w:numId="8" w16cid:durableId="1049379138">
    <w:abstractNumId w:val="21"/>
  </w:num>
  <w:num w:numId="9" w16cid:durableId="1168834580">
    <w:abstractNumId w:val="23"/>
  </w:num>
  <w:num w:numId="10" w16cid:durableId="1095055051">
    <w:abstractNumId w:val="26"/>
  </w:num>
  <w:num w:numId="11" w16cid:durableId="943269646">
    <w:abstractNumId w:val="9"/>
  </w:num>
  <w:num w:numId="12" w16cid:durableId="824198947">
    <w:abstractNumId w:val="25"/>
  </w:num>
  <w:num w:numId="13" w16cid:durableId="1143156945">
    <w:abstractNumId w:val="3"/>
  </w:num>
  <w:num w:numId="14" w16cid:durableId="601844652">
    <w:abstractNumId w:val="1"/>
  </w:num>
  <w:num w:numId="15" w16cid:durableId="856424771">
    <w:abstractNumId w:val="7"/>
  </w:num>
  <w:num w:numId="16" w16cid:durableId="1251937648">
    <w:abstractNumId w:val="11"/>
  </w:num>
  <w:num w:numId="17" w16cid:durableId="1176336488">
    <w:abstractNumId w:val="8"/>
  </w:num>
  <w:num w:numId="18" w16cid:durableId="950014177">
    <w:abstractNumId w:val="37"/>
  </w:num>
  <w:num w:numId="19" w16cid:durableId="91168875">
    <w:abstractNumId w:val="10"/>
  </w:num>
  <w:num w:numId="20" w16cid:durableId="1266033702">
    <w:abstractNumId w:val="18"/>
  </w:num>
  <w:num w:numId="21" w16cid:durableId="728453965">
    <w:abstractNumId w:val="36"/>
  </w:num>
  <w:num w:numId="22" w16cid:durableId="2063823682">
    <w:abstractNumId w:val="38"/>
  </w:num>
  <w:num w:numId="23" w16cid:durableId="1028750818">
    <w:abstractNumId w:val="6"/>
  </w:num>
  <w:num w:numId="24" w16cid:durableId="1760247095">
    <w:abstractNumId w:val="28"/>
  </w:num>
  <w:num w:numId="25" w16cid:durableId="259727209">
    <w:abstractNumId w:val="20"/>
  </w:num>
  <w:num w:numId="26" w16cid:durableId="1108429732">
    <w:abstractNumId w:val="17"/>
  </w:num>
  <w:num w:numId="27" w16cid:durableId="697197525">
    <w:abstractNumId w:val="27"/>
  </w:num>
  <w:num w:numId="28" w16cid:durableId="762186711">
    <w:abstractNumId w:val="30"/>
  </w:num>
  <w:num w:numId="29" w16cid:durableId="528182855">
    <w:abstractNumId w:val="35"/>
  </w:num>
  <w:num w:numId="30" w16cid:durableId="2135975009">
    <w:abstractNumId w:val="4"/>
  </w:num>
  <w:num w:numId="31" w16cid:durableId="1117603193">
    <w:abstractNumId w:val="32"/>
  </w:num>
  <w:num w:numId="32" w16cid:durableId="2000108772">
    <w:abstractNumId w:val="33"/>
  </w:num>
  <w:num w:numId="33" w16cid:durableId="608464966">
    <w:abstractNumId w:val="0"/>
  </w:num>
  <w:num w:numId="34" w16cid:durableId="1429426995">
    <w:abstractNumId w:val="12"/>
  </w:num>
  <w:num w:numId="35" w16cid:durableId="756097434">
    <w:abstractNumId w:val="39"/>
  </w:num>
  <w:num w:numId="36" w16cid:durableId="2073189764">
    <w:abstractNumId w:val="29"/>
  </w:num>
  <w:num w:numId="37" w16cid:durableId="84807211">
    <w:abstractNumId w:val="5"/>
  </w:num>
  <w:num w:numId="38" w16cid:durableId="1967463997">
    <w:abstractNumId w:val="24"/>
  </w:num>
  <w:num w:numId="39" w16cid:durableId="1513297719">
    <w:abstractNumId w:val="19"/>
  </w:num>
  <w:num w:numId="40" w16cid:durableId="7576783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E8"/>
    <w:rsid w:val="000028F2"/>
    <w:rsid w:val="00002BE9"/>
    <w:rsid w:val="00003E41"/>
    <w:rsid w:val="000044BB"/>
    <w:rsid w:val="0000470E"/>
    <w:rsid w:val="00005911"/>
    <w:rsid w:val="0000771D"/>
    <w:rsid w:val="00010A2C"/>
    <w:rsid w:val="00012232"/>
    <w:rsid w:val="000144D1"/>
    <w:rsid w:val="000151BA"/>
    <w:rsid w:val="000152D1"/>
    <w:rsid w:val="00015E89"/>
    <w:rsid w:val="000173FD"/>
    <w:rsid w:val="0001798E"/>
    <w:rsid w:val="000224E5"/>
    <w:rsid w:val="00022FF4"/>
    <w:rsid w:val="00026111"/>
    <w:rsid w:val="000277A9"/>
    <w:rsid w:val="000317B0"/>
    <w:rsid w:val="0003258C"/>
    <w:rsid w:val="00033E8B"/>
    <w:rsid w:val="00035444"/>
    <w:rsid w:val="000373B0"/>
    <w:rsid w:val="00040F8D"/>
    <w:rsid w:val="000419B2"/>
    <w:rsid w:val="0004338D"/>
    <w:rsid w:val="00043EC1"/>
    <w:rsid w:val="000475D3"/>
    <w:rsid w:val="00050565"/>
    <w:rsid w:val="00051C40"/>
    <w:rsid w:val="0005373C"/>
    <w:rsid w:val="00054249"/>
    <w:rsid w:val="0005555D"/>
    <w:rsid w:val="00063841"/>
    <w:rsid w:val="00063897"/>
    <w:rsid w:val="00063B59"/>
    <w:rsid w:val="00065588"/>
    <w:rsid w:val="00066A45"/>
    <w:rsid w:val="0006734F"/>
    <w:rsid w:val="0006761A"/>
    <w:rsid w:val="000676FD"/>
    <w:rsid w:val="00070F9F"/>
    <w:rsid w:val="000715FC"/>
    <w:rsid w:val="00071BAD"/>
    <w:rsid w:val="00072EEA"/>
    <w:rsid w:val="00073FB7"/>
    <w:rsid w:val="00074E3E"/>
    <w:rsid w:val="00076AD8"/>
    <w:rsid w:val="00076E88"/>
    <w:rsid w:val="00080FA6"/>
    <w:rsid w:val="000811D2"/>
    <w:rsid w:val="000831C0"/>
    <w:rsid w:val="00084131"/>
    <w:rsid w:val="000879CE"/>
    <w:rsid w:val="00090C9D"/>
    <w:rsid w:val="00090FF5"/>
    <w:rsid w:val="00091653"/>
    <w:rsid w:val="00091A6C"/>
    <w:rsid w:val="00091D87"/>
    <w:rsid w:val="000928C4"/>
    <w:rsid w:val="00093322"/>
    <w:rsid w:val="0009337C"/>
    <w:rsid w:val="00095FBF"/>
    <w:rsid w:val="000960F7"/>
    <w:rsid w:val="00096A25"/>
    <w:rsid w:val="000A2721"/>
    <w:rsid w:val="000A3F1F"/>
    <w:rsid w:val="000A4C24"/>
    <w:rsid w:val="000A55EF"/>
    <w:rsid w:val="000B0086"/>
    <w:rsid w:val="000B02E5"/>
    <w:rsid w:val="000B6950"/>
    <w:rsid w:val="000C3737"/>
    <w:rsid w:val="000C5B6D"/>
    <w:rsid w:val="000C7637"/>
    <w:rsid w:val="000D0530"/>
    <w:rsid w:val="000D05A2"/>
    <w:rsid w:val="000D155B"/>
    <w:rsid w:val="000D22B1"/>
    <w:rsid w:val="000D2979"/>
    <w:rsid w:val="000D6401"/>
    <w:rsid w:val="000E0EB8"/>
    <w:rsid w:val="000E2D3F"/>
    <w:rsid w:val="000E4D03"/>
    <w:rsid w:val="000E5E64"/>
    <w:rsid w:val="000F391F"/>
    <w:rsid w:val="000F3C92"/>
    <w:rsid w:val="000F547F"/>
    <w:rsid w:val="000F578E"/>
    <w:rsid w:val="000F61D8"/>
    <w:rsid w:val="00101F01"/>
    <w:rsid w:val="00102DCD"/>
    <w:rsid w:val="00105A39"/>
    <w:rsid w:val="00107228"/>
    <w:rsid w:val="00111440"/>
    <w:rsid w:val="0011155D"/>
    <w:rsid w:val="00111A34"/>
    <w:rsid w:val="00112C49"/>
    <w:rsid w:val="0011321A"/>
    <w:rsid w:val="001153C6"/>
    <w:rsid w:val="00115412"/>
    <w:rsid w:val="00115B94"/>
    <w:rsid w:val="00124333"/>
    <w:rsid w:val="00124AE9"/>
    <w:rsid w:val="00125A18"/>
    <w:rsid w:val="00126D79"/>
    <w:rsid w:val="001273CC"/>
    <w:rsid w:val="00130193"/>
    <w:rsid w:val="00130895"/>
    <w:rsid w:val="00130930"/>
    <w:rsid w:val="00132CF1"/>
    <w:rsid w:val="00134AFF"/>
    <w:rsid w:val="00140295"/>
    <w:rsid w:val="001409A7"/>
    <w:rsid w:val="00142708"/>
    <w:rsid w:val="0014310D"/>
    <w:rsid w:val="00143F53"/>
    <w:rsid w:val="00146976"/>
    <w:rsid w:val="00146D79"/>
    <w:rsid w:val="00146EC8"/>
    <w:rsid w:val="0014761F"/>
    <w:rsid w:val="001510FE"/>
    <w:rsid w:val="001534C7"/>
    <w:rsid w:val="00153F07"/>
    <w:rsid w:val="0015535B"/>
    <w:rsid w:val="0016019C"/>
    <w:rsid w:val="00164C18"/>
    <w:rsid w:val="00164F73"/>
    <w:rsid w:val="00170734"/>
    <w:rsid w:val="00173CD9"/>
    <w:rsid w:val="0017448A"/>
    <w:rsid w:val="00175D0F"/>
    <w:rsid w:val="00175F2B"/>
    <w:rsid w:val="00177E56"/>
    <w:rsid w:val="00185C3E"/>
    <w:rsid w:val="001867BE"/>
    <w:rsid w:val="00186B0C"/>
    <w:rsid w:val="00186E74"/>
    <w:rsid w:val="00190C22"/>
    <w:rsid w:val="0019321A"/>
    <w:rsid w:val="00194DB8"/>
    <w:rsid w:val="00194E1B"/>
    <w:rsid w:val="00195F56"/>
    <w:rsid w:val="00197302"/>
    <w:rsid w:val="001A28FC"/>
    <w:rsid w:val="001A3CB4"/>
    <w:rsid w:val="001A3FF0"/>
    <w:rsid w:val="001B1A62"/>
    <w:rsid w:val="001B23B4"/>
    <w:rsid w:val="001B5BCE"/>
    <w:rsid w:val="001B64EF"/>
    <w:rsid w:val="001B7991"/>
    <w:rsid w:val="001B7E90"/>
    <w:rsid w:val="001C0F8D"/>
    <w:rsid w:val="001C3E27"/>
    <w:rsid w:val="001C5B33"/>
    <w:rsid w:val="001C6078"/>
    <w:rsid w:val="001C7BE8"/>
    <w:rsid w:val="001D126A"/>
    <w:rsid w:val="001D157E"/>
    <w:rsid w:val="001D1FC0"/>
    <w:rsid w:val="001D21E8"/>
    <w:rsid w:val="001D3387"/>
    <w:rsid w:val="001D627E"/>
    <w:rsid w:val="001E0133"/>
    <w:rsid w:val="001E06DC"/>
    <w:rsid w:val="001E07F3"/>
    <w:rsid w:val="001E1037"/>
    <w:rsid w:val="001E1669"/>
    <w:rsid w:val="001E347A"/>
    <w:rsid w:val="001E486B"/>
    <w:rsid w:val="001E4ECD"/>
    <w:rsid w:val="001F059C"/>
    <w:rsid w:val="001F0838"/>
    <w:rsid w:val="001F1477"/>
    <w:rsid w:val="001F3D9D"/>
    <w:rsid w:val="001F6346"/>
    <w:rsid w:val="001F6D3E"/>
    <w:rsid w:val="001F7708"/>
    <w:rsid w:val="0020091A"/>
    <w:rsid w:val="0020370E"/>
    <w:rsid w:val="00207E3B"/>
    <w:rsid w:val="00213EC3"/>
    <w:rsid w:val="0021567D"/>
    <w:rsid w:val="00217972"/>
    <w:rsid w:val="002200A5"/>
    <w:rsid w:val="00221DE5"/>
    <w:rsid w:val="00222765"/>
    <w:rsid w:val="00222821"/>
    <w:rsid w:val="00222E39"/>
    <w:rsid w:val="00223D14"/>
    <w:rsid w:val="00224AB8"/>
    <w:rsid w:val="0022577B"/>
    <w:rsid w:val="002300DA"/>
    <w:rsid w:val="0023172D"/>
    <w:rsid w:val="002342C7"/>
    <w:rsid w:val="00235E54"/>
    <w:rsid w:val="0023793A"/>
    <w:rsid w:val="002410DA"/>
    <w:rsid w:val="00241971"/>
    <w:rsid w:val="002430EB"/>
    <w:rsid w:val="002437C2"/>
    <w:rsid w:val="00243F4A"/>
    <w:rsid w:val="00247A26"/>
    <w:rsid w:val="002539DB"/>
    <w:rsid w:val="002546AB"/>
    <w:rsid w:val="002556A6"/>
    <w:rsid w:val="00260A28"/>
    <w:rsid w:val="00260D0D"/>
    <w:rsid w:val="002611FD"/>
    <w:rsid w:val="00261AC9"/>
    <w:rsid w:val="0026281E"/>
    <w:rsid w:val="00266884"/>
    <w:rsid w:val="002718AB"/>
    <w:rsid w:val="0027387D"/>
    <w:rsid w:val="00273981"/>
    <w:rsid w:val="00275489"/>
    <w:rsid w:val="002764E5"/>
    <w:rsid w:val="00276631"/>
    <w:rsid w:val="00280AAF"/>
    <w:rsid w:val="00280E76"/>
    <w:rsid w:val="00283A44"/>
    <w:rsid w:val="0028499E"/>
    <w:rsid w:val="00286572"/>
    <w:rsid w:val="00291BBC"/>
    <w:rsid w:val="00291E5D"/>
    <w:rsid w:val="0029208A"/>
    <w:rsid w:val="00294D48"/>
    <w:rsid w:val="00297146"/>
    <w:rsid w:val="00297418"/>
    <w:rsid w:val="002A070C"/>
    <w:rsid w:val="002A2203"/>
    <w:rsid w:val="002A58D5"/>
    <w:rsid w:val="002A7CC6"/>
    <w:rsid w:val="002B3468"/>
    <w:rsid w:val="002B7C5F"/>
    <w:rsid w:val="002C1FDF"/>
    <w:rsid w:val="002C5611"/>
    <w:rsid w:val="002C6F05"/>
    <w:rsid w:val="002C7115"/>
    <w:rsid w:val="002D1931"/>
    <w:rsid w:val="002D2281"/>
    <w:rsid w:val="002D37B3"/>
    <w:rsid w:val="002D3D4A"/>
    <w:rsid w:val="002D471C"/>
    <w:rsid w:val="002D48C3"/>
    <w:rsid w:val="002E2807"/>
    <w:rsid w:val="002E4650"/>
    <w:rsid w:val="002F050D"/>
    <w:rsid w:val="002F0C8C"/>
    <w:rsid w:val="002F473F"/>
    <w:rsid w:val="002F6106"/>
    <w:rsid w:val="002F6315"/>
    <w:rsid w:val="00301370"/>
    <w:rsid w:val="00302E79"/>
    <w:rsid w:val="00305DA8"/>
    <w:rsid w:val="00305F64"/>
    <w:rsid w:val="0030739A"/>
    <w:rsid w:val="00310DA7"/>
    <w:rsid w:val="00312E12"/>
    <w:rsid w:val="003133EB"/>
    <w:rsid w:val="00314091"/>
    <w:rsid w:val="00314B15"/>
    <w:rsid w:val="00315933"/>
    <w:rsid w:val="00315D80"/>
    <w:rsid w:val="0032055E"/>
    <w:rsid w:val="00321EB9"/>
    <w:rsid w:val="00324FDA"/>
    <w:rsid w:val="00324FDD"/>
    <w:rsid w:val="003252C6"/>
    <w:rsid w:val="00325A3E"/>
    <w:rsid w:val="00325E91"/>
    <w:rsid w:val="00326C2C"/>
    <w:rsid w:val="00327F75"/>
    <w:rsid w:val="0033052F"/>
    <w:rsid w:val="003305DC"/>
    <w:rsid w:val="00330D13"/>
    <w:rsid w:val="003324AB"/>
    <w:rsid w:val="00335888"/>
    <w:rsid w:val="003367CC"/>
    <w:rsid w:val="00340C19"/>
    <w:rsid w:val="00341779"/>
    <w:rsid w:val="003435EC"/>
    <w:rsid w:val="0034633E"/>
    <w:rsid w:val="00346880"/>
    <w:rsid w:val="00347587"/>
    <w:rsid w:val="0035070D"/>
    <w:rsid w:val="003518B0"/>
    <w:rsid w:val="0035202B"/>
    <w:rsid w:val="003524D7"/>
    <w:rsid w:val="003538C8"/>
    <w:rsid w:val="00356F40"/>
    <w:rsid w:val="003571DA"/>
    <w:rsid w:val="0035747E"/>
    <w:rsid w:val="0036084E"/>
    <w:rsid w:val="00360AC0"/>
    <w:rsid w:val="00361BA7"/>
    <w:rsid w:val="00361D1B"/>
    <w:rsid w:val="00362DE9"/>
    <w:rsid w:val="00363D06"/>
    <w:rsid w:val="00367B01"/>
    <w:rsid w:val="00367B1D"/>
    <w:rsid w:val="003722F4"/>
    <w:rsid w:val="00372E7F"/>
    <w:rsid w:val="0037657E"/>
    <w:rsid w:val="00376FB2"/>
    <w:rsid w:val="003772DF"/>
    <w:rsid w:val="0038517B"/>
    <w:rsid w:val="00386F4D"/>
    <w:rsid w:val="00390539"/>
    <w:rsid w:val="00392D5A"/>
    <w:rsid w:val="003965DF"/>
    <w:rsid w:val="00396F6D"/>
    <w:rsid w:val="003A0E91"/>
    <w:rsid w:val="003A10C8"/>
    <w:rsid w:val="003A1462"/>
    <w:rsid w:val="003A1E25"/>
    <w:rsid w:val="003A4A10"/>
    <w:rsid w:val="003A597D"/>
    <w:rsid w:val="003A6265"/>
    <w:rsid w:val="003B0035"/>
    <w:rsid w:val="003B0040"/>
    <w:rsid w:val="003B2BDB"/>
    <w:rsid w:val="003B5851"/>
    <w:rsid w:val="003B5FD4"/>
    <w:rsid w:val="003C0681"/>
    <w:rsid w:val="003C2127"/>
    <w:rsid w:val="003C4CDE"/>
    <w:rsid w:val="003C4D5C"/>
    <w:rsid w:val="003C579E"/>
    <w:rsid w:val="003C5C62"/>
    <w:rsid w:val="003C5E87"/>
    <w:rsid w:val="003C6A25"/>
    <w:rsid w:val="003C7BD9"/>
    <w:rsid w:val="003D117D"/>
    <w:rsid w:val="003D4107"/>
    <w:rsid w:val="003D4243"/>
    <w:rsid w:val="003D50F5"/>
    <w:rsid w:val="003D5D33"/>
    <w:rsid w:val="003D699C"/>
    <w:rsid w:val="003D6BC7"/>
    <w:rsid w:val="003D6E29"/>
    <w:rsid w:val="003E1BB0"/>
    <w:rsid w:val="003E2875"/>
    <w:rsid w:val="003E28CA"/>
    <w:rsid w:val="003E3406"/>
    <w:rsid w:val="003E5E84"/>
    <w:rsid w:val="003E78C7"/>
    <w:rsid w:val="003F11FB"/>
    <w:rsid w:val="003F21C4"/>
    <w:rsid w:val="003F2CFD"/>
    <w:rsid w:val="003F4FC2"/>
    <w:rsid w:val="003F5381"/>
    <w:rsid w:val="003F6088"/>
    <w:rsid w:val="00401CFA"/>
    <w:rsid w:val="00402EB7"/>
    <w:rsid w:val="00404A5D"/>
    <w:rsid w:val="00406EBE"/>
    <w:rsid w:val="004079F7"/>
    <w:rsid w:val="00407E17"/>
    <w:rsid w:val="00410569"/>
    <w:rsid w:val="004114E4"/>
    <w:rsid w:val="004117EA"/>
    <w:rsid w:val="00412E72"/>
    <w:rsid w:val="0041785C"/>
    <w:rsid w:val="00422C3A"/>
    <w:rsid w:val="00423477"/>
    <w:rsid w:val="0042350F"/>
    <w:rsid w:val="00424D7C"/>
    <w:rsid w:val="00425359"/>
    <w:rsid w:val="00425D65"/>
    <w:rsid w:val="00431323"/>
    <w:rsid w:val="0043271F"/>
    <w:rsid w:val="00433691"/>
    <w:rsid w:val="00436439"/>
    <w:rsid w:val="004365F3"/>
    <w:rsid w:val="00437759"/>
    <w:rsid w:val="00437EAE"/>
    <w:rsid w:val="00442D59"/>
    <w:rsid w:val="00446D88"/>
    <w:rsid w:val="00453992"/>
    <w:rsid w:val="004546E4"/>
    <w:rsid w:val="004555CE"/>
    <w:rsid w:val="00456FD3"/>
    <w:rsid w:val="004570F5"/>
    <w:rsid w:val="004620E4"/>
    <w:rsid w:val="0046305E"/>
    <w:rsid w:val="00463D95"/>
    <w:rsid w:val="00464072"/>
    <w:rsid w:val="004716E5"/>
    <w:rsid w:val="00471C60"/>
    <w:rsid w:val="00471D7E"/>
    <w:rsid w:val="004720C7"/>
    <w:rsid w:val="004742D0"/>
    <w:rsid w:val="004745C8"/>
    <w:rsid w:val="004748AC"/>
    <w:rsid w:val="00475CB3"/>
    <w:rsid w:val="004776C1"/>
    <w:rsid w:val="004826FD"/>
    <w:rsid w:val="00482C31"/>
    <w:rsid w:val="00483290"/>
    <w:rsid w:val="00483DB0"/>
    <w:rsid w:val="00484F5F"/>
    <w:rsid w:val="00485610"/>
    <w:rsid w:val="004858FA"/>
    <w:rsid w:val="00485B5A"/>
    <w:rsid w:val="00485DC9"/>
    <w:rsid w:val="0048655C"/>
    <w:rsid w:val="004865EA"/>
    <w:rsid w:val="0049027F"/>
    <w:rsid w:val="00490BBA"/>
    <w:rsid w:val="004919E3"/>
    <w:rsid w:val="004933BE"/>
    <w:rsid w:val="004957FC"/>
    <w:rsid w:val="00496FAD"/>
    <w:rsid w:val="004974D3"/>
    <w:rsid w:val="00497BDE"/>
    <w:rsid w:val="004A071C"/>
    <w:rsid w:val="004A0F95"/>
    <w:rsid w:val="004A2468"/>
    <w:rsid w:val="004A6776"/>
    <w:rsid w:val="004A7078"/>
    <w:rsid w:val="004B61A7"/>
    <w:rsid w:val="004B69BB"/>
    <w:rsid w:val="004B7053"/>
    <w:rsid w:val="004C0200"/>
    <w:rsid w:val="004C2546"/>
    <w:rsid w:val="004C314F"/>
    <w:rsid w:val="004C40E7"/>
    <w:rsid w:val="004C4219"/>
    <w:rsid w:val="004C4C4D"/>
    <w:rsid w:val="004C5AA3"/>
    <w:rsid w:val="004D2AA8"/>
    <w:rsid w:val="004D2DA8"/>
    <w:rsid w:val="004D2F55"/>
    <w:rsid w:val="004D55AA"/>
    <w:rsid w:val="004E0942"/>
    <w:rsid w:val="004E0AA2"/>
    <w:rsid w:val="004E0F8C"/>
    <w:rsid w:val="004E2440"/>
    <w:rsid w:val="004E2CAE"/>
    <w:rsid w:val="004E30C3"/>
    <w:rsid w:val="004E44EE"/>
    <w:rsid w:val="004E6924"/>
    <w:rsid w:val="004F0376"/>
    <w:rsid w:val="004F3679"/>
    <w:rsid w:val="004F41B0"/>
    <w:rsid w:val="004F4242"/>
    <w:rsid w:val="004F5BC0"/>
    <w:rsid w:val="004F7249"/>
    <w:rsid w:val="004F7908"/>
    <w:rsid w:val="004F79CB"/>
    <w:rsid w:val="004F7A2A"/>
    <w:rsid w:val="004F7DAE"/>
    <w:rsid w:val="00501A98"/>
    <w:rsid w:val="00503CAE"/>
    <w:rsid w:val="00504A73"/>
    <w:rsid w:val="00507841"/>
    <w:rsid w:val="00507E68"/>
    <w:rsid w:val="00514832"/>
    <w:rsid w:val="005154E1"/>
    <w:rsid w:val="0051615D"/>
    <w:rsid w:val="00516E91"/>
    <w:rsid w:val="00521BE1"/>
    <w:rsid w:val="0052333E"/>
    <w:rsid w:val="00523593"/>
    <w:rsid w:val="005247D4"/>
    <w:rsid w:val="00524BA6"/>
    <w:rsid w:val="00525E42"/>
    <w:rsid w:val="00527D3B"/>
    <w:rsid w:val="005306BE"/>
    <w:rsid w:val="00531915"/>
    <w:rsid w:val="00532035"/>
    <w:rsid w:val="00532871"/>
    <w:rsid w:val="00533479"/>
    <w:rsid w:val="00536EE1"/>
    <w:rsid w:val="0053772C"/>
    <w:rsid w:val="00540360"/>
    <w:rsid w:val="005432B1"/>
    <w:rsid w:val="00544041"/>
    <w:rsid w:val="005442C4"/>
    <w:rsid w:val="00544372"/>
    <w:rsid w:val="00551BBA"/>
    <w:rsid w:val="0055773D"/>
    <w:rsid w:val="00563012"/>
    <w:rsid w:val="0056341F"/>
    <w:rsid w:val="00563E47"/>
    <w:rsid w:val="0056574D"/>
    <w:rsid w:val="00565FFB"/>
    <w:rsid w:val="00566B42"/>
    <w:rsid w:val="00570CCB"/>
    <w:rsid w:val="00570EFD"/>
    <w:rsid w:val="005713CF"/>
    <w:rsid w:val="00571C5C"/>
    <w:rsid w:val="00572467"/>
    <w:rsid w:val="00580E13"/>
    <w:rsid w:val="00580E2E"/>
    <w:rsid w:val="00581496"/>
    <w:rsid w:val="00581E8C"/>
    <w:rsid w:val="00585406"/>
    <w:rsid w:val="0058639F"/>
    <w:rsid w:val="00586997"/>
    <w:rsid w:val="00590243"/>
    <w:rsid w:val="005909F6"/>
    <w:rsid w:val="005913C3"/>
    <w:rsid w:val="00591BD9"/>
    <w:rsid w:val="005924E4"/>
    <w:rsid w:val="00593F6A"/>
    <w:rsid w:val="00596F84"/>
    <w:rsid w:val="005972FD"/>
    <w:rsid w:val="005979FC"/>
    <w:rsid w:val="005A0F16"/>
    <w:rsid w:val="005A1546"/>
    <w:rsid w:val="005A170C"/>
    <w:rsid w:val="005A2A6F"/>
    <w:rsid w:val="005A2E45"/>
    <w:rsid w:val="005A341B"/>
    <w:rsid w:val="005A527E"/>
    <w:rsid w:val="005A53DF"/>
    <w:rsid w:val="005A74E1"/>
    <w:rsid w:val="005B007E"/>
    <w:rsid w:val="005B0B55"/>
    <w:rsid w:val="005B0DC6"/>
    <w:rsid w:val="005B20B2"/>
    <w:rsid w:val="005B4ACC"/>
    <w:rsid w:val="005B7A47"/>
    <w:rsid w:val="005C1E8A"/>
    <w:rsid w:val="005C6655"/>
    <w:rsid w:val="005C6F0E"/>
    <w:rsid w:val="005C7A1F"/>
    <w:rsid w:val="005D419D"/>
    <w:rsid w:val="005D60FF"/>
    <w:rsid w:val="005D696B"/>
    <w:rsid w:val="005D7B3A"/>
    <w:rsid w:val="005D7CD7"/>
    <w:rsid w:val="005E3846"/>
    <w:rsid w:val="005E4A5F"/>
    <w:rsid w:val="005E56B1"/>
    <w:rsid w:val="005F1995"/>
    <w:rsid w:val="005F1AD3"/>
    <w:rsid w:val="005F574F"/>
    <w:rsid w:val="005F696B"/>
    <w:rsid w:val="005F69AB"/>
    <w:rsid w:val="005F7319"/>
    <w:rsid w:val="00605AB5"/>
    <w:rsid w:val="00612D6C"/>
    <w:rsid w:val="006130E4"/>
    <w:rsid w:val="006164B1"/>
    <w:rsid w:val="0061654E"/>
    <w:rsid w:val="006178B2"/>
    <w:rsid w:val="00620DA2"/>
    <w:rsid w:val="006216C6"/>
    <w:rsid w:val="00621876"/>
    <w:rsid w:val="006245D4"/>
    <w:rsid w:val="00624793"/>
    <w:rsid w:val="006252CD"/>
    <w:rsid w:val="006271C3"/>
    <w:rsid w:val="00627ECC"/>
    <w:rsid w:val="006306F8"/>
    <w:rsid w:val="00633619"/>
    <w:rsid w:val="00635D02"/>
    <w:rsid w:val="00635DD0"/>
    <w:rsid w:val="00635FB8"/>
    <w:rsid w:val="00637082"/>
    <w:rsid w:val="00637D2D"/>
    <w:rsid w:val="006402D9"/>
    <w:rsid w:val="00640A52"/>
    <w:rsid w:val="00640C0B"/>
    <w:rsid w:val="00641560"/>
    <w:rsid w:val="00643D41"/>
    <w:rsid w:val="00644EA3"/>
    <w:rsid w:val="00647471"/>
    <w:rsid w:val="00652548"/>
    <w:rsid w:val="0065447D"/>
    <w:rsid w:val="006573B2"/>
    <w:rsid w:val="00664CE9"/>
    <w:rsid w:val="00675A17"/>
    <w:rsid w:val="00676C1D"/>
    <w:rsid w:val="006779BC"/>
    <w:rsid w:val="00677EB8"/>
    <w:rsid w:val="0068029B"/>
    <w:rsid w:val="006822E8"/>
    <w:rsid w:val="006822F3"/>
    <w:rsid w:val="00684CAC"/>
    <w:rsid w:val="0068619E"/>
    <w:rsid w:val="00687423"/>
    <w:rsid w:val="00691112"/>
    <w:rsid w:val="00695E9C"/>
    <w:rsid w:val="006A32FB"/>
    <w:rsid w:val="006A49E7"/>
    <w:rsid w:val="006A58A7"/>
    <w:rsid w:val="006A64AD"/>
    <w:rsid w:val="006A691B"/>
    <w:rsid w:val="006A6CC0"/>
    <w:rsid w:val="006A6EAD"/>
    <w:rsid w:val="006A7B7F"/>
    <w:rsid w:val="006B1CA8"/>
    <w:rsid w:val="006B27C1"/>
    <w:rsid w:val="006B3AB9"/>
    <w:rsid w:val="006B4F62"/>
    <w:rsid w:val="006C0708"/>
    <w:rsid w:val="006C3D6B"/>
    <w:rsid w:val="006C5512"/>
    <w:rsid w:val="006C7574"/>
    <w:rsid w:val="006D1B60"/>
    <w:rsid w:val="006E04E5"/>
    <w:rsid w:val="006E09AD"/>
    <w:rsid w:val="006E5071"/>
    <w:rsid w:val="006E52C0"/>
    <w:rsid w:val="006F01B3"/>
    <w:rsid w:val="006F0519"/>
    <w:rsid w:val="006F33FD"/>
    <w:rsid w:val="006F3546"/>
    <w:rsid w:val="006F3CBC"/>
    <w:rsid w:val="006F5B98"/>
    <w:rsid w:val="006F6203"/>
    <w:rsid w:val="0070039D"/>
    <w:rsid w:val="00701C4C"/>
    <w:rsid w:val="00703D47"/>
    <w:rsid w:val="007041A5"/>
    <w:rsid w:val="0070422A"/>
    <w:rsid w:val="00704D4C"/>
    <w:rsid w:val="00705FEE"/>
    <w:rsid w:val="00706B50"/>
    <w:rsid w:val="00712791"/>
    <w:rsid w:val="00713CAA"/>
    <w:rsid w:val="007156E4"/>
    <w:rsid w:val="00715903"/>
    <w:rsid w:val="00720EFB"/>
    <w:rsid w:val="00721E36"/>
    <w:rsid w:val="00722985"/>
    <w:rsid w:val="007253A7"/>
    <w:rsid w:val="00725C52"/>
    <w:rsid w:val="0072735A"/>
    <w:rsid w:val="00727A2A"/>
    <w:rsid w:val="00730160"/>
    <w:rsid w:val="0073029B"/>
    <w:rsid w:val="007305C6"/>
    <w:rsid w:val="00730CED"/>
    <w:rsid w:val="00732AE5"/>
    <w:rsid w:val="00737DC8"/>
    <w:rsid w:val="00740FBE"/>
    <w:rsid w:val="00742C52"/>
    <w:rsid w:val="00742C7F"/>
    <w:rsid w:val="00744B87"/>
    <w:rsid w:val="007452C4"/>
    <w:rsid w:val="00745E82"/>
    <w:rsid w:val="00746462"/>
    <w:rsid w:val="007515FA"/>
    <w:rsid w:val="00752CEE"/>
    <w:rsid w:val="00753A9A"/>
    <w:rsid w:val="00754138"/>
    <w:rsid w:val="00754DB3"/>
    <w:rsid w:val="00755769"/>
    <w:rsid w:val="0076065B"/>
    <w:rsid w:val="00760D1D"/>
    <w:rsid w:val="007610C2"/>
    <w:rsid w:val="0076131D"/>
    <w:rsid w:val="00761381"/>
    <w:rsid w:val="00762632"/>
    <w:rsid w:val="007636F0"/>
    <w:rsid w:val="00766532"/>
    <w:rsid w:val="00767762"/>
    <w:rsid w:val="00770D5E"/>
    <w:rsid w:val="00773362"/>
    <w:rsid w:val="00777088"/>
    <w:rsid w:val="00780AC4"/>
    <w:rsid w:val="007844A5"/>
    <w:rsid w:val="00784C55"/>
    <w:rsid w:val="00784ECC"/>
    <w:rsid w:val="00785BB1"/>
    <w:rsid w:val="00786CFF"/>
    <w:rsid w:val="00791FAC"/>
    <w:rsid w:val="00792843"/>
    <w:rsid w:val="00794B88"/>
    <w:rsid w:val="00795813"/>
    <w:rsid w:val="00795E33"/>
    <w:rsid w:val="007963EC"/>
    <w:rsid w:val="00796BE4"/>
    <w:rsid w:val="00796F4F"/>
    <w:rsid w:val="00797611"/>
    <w:rsid w:val="007A0746"/>
    <w:rsid w:val="007A0A11"/>
    <w:rsid w:val="007A0DDE"/>
    <w:rsid w:val="007A23E7"/>
    <w:rsid w:val="007A3920"/>
    <w:rsid w:val="007A4D7D"/>
    <w:rsid w:val="007B28D0"/>
    <w:rsid w:val="007B2A1F"/>
    <w:rsid w:val="007B2CC0"/>
    <w:rsid w:val="007B4027"/>
    <w:rsid w:val="007B7AE7"/>
    <w:rsid w:val="007C1BB6"/>
    <w:rsid w:val="007C50C2"/>
    <w:rsid w:val="007C51F0"/>
    <w:rsid w:val="007C586E"/>
    <w:rsid w:val="007C609E"/>
    <w:rsid w:val="007C7357"/>
    <w:rsid w:val="007D2504"/>
    <w:rsid w:val="007D696A"/>
    <w:rsid w:val="007D7C00"/>
    <w:rsid w:val="007E06E0"/>
    <w:rsid w:val="007E12F1"/>
    <w:rsid w:val="007E35E6"/>
    <w:rsid w:val="007E38AA"/>
    <w:rsid w:val="007E3CCC"/>
    <w:rsid w:val="007E46C2"/>
    <w:rsid w:val="007E730E"/>
    <w:rsid w:val="007F1A1C"/>
    <w:rsid w:val="007F223B"/>
    <w:rsid w:val="007F3BD5"/>
    <w:rsid w:val="007F449C"/>
    <w:rsid w:val="007F504D"/>
    <w:rsid w:val="007F6414"/>
    <w:rsid w:val="00800214"/>
    <w:rsid w:val="00802F50"/>
    <w:rsid w:val="00804794"/>
    <w:rsid w:val="0080534C"/>
    <w:rsid w:val="008073D5"/>
    <w:rsid w:val="00807521"/>
    <w:rsid w:val="00807B0D"/>
    <w:rsid w:val="0081069A"/>
    <w:rsid w:val="00812BA5"/>
    <w:rsid w:val="00815AE4"/>
    <w:rsid w:val="00816BA6"/>
    <w:rsid w:val="0082409D"/>
    <w:rsid w:val="0082555E"/>
    <w:rsid w:val="008279FB"/>
    <w:rsid w:val="00827F10"/>
    <w:rsid w:val="00830032"/>
    <w:rsid w:val="008345B8"/>
    <w:rsid w:val="00834FD5"/>
    <w:rsid w:val="00836991"/>
    <w:rsid w:val="0083727D"/>
    <w:rsid w:val="00841232"/>
    <w:rsid w:val="00841337"/>
    <w:rsid w:val="0084494F"/>
    <w:rsid w:val="00845574"/>
    <w:rsid w:val="00846B88"/>
    <w:rsid w:val="0085008E"/>
    <w:rsid w:val="00851316"/>
    <w:rsid w:val="008524CF"/>
    <w:rsid w:val="00854549"/>
    <w:rsid w:val="00854BC0"/>
    <w:rsid w:val="00855C2E"/>
    <w:rsid w:val="00856691"/>
    <w:rsid w:val="0085678C"/>
    <w:rsid w:val="008569FE"/>
    <w:rsid w:val="00856AC7"/>
    <w:rsid w:val="00856FBE"/>
    <w:rsid w:val="0085713E"/>
    <w:rsid w:val="00857954"/>
    <w:rsid w:val="00860CA8"/>
    <w:rsid w:val="00860D06"/>
    <w:rsid w:val="00863572"/>
    <w:rsid w:val="0086372E"/>
    <w:rsid w:val="00864724"/>
    <w:rsid w:val="00864BB8"/>
    <w:rsid w:val="008659EA"/>
    <w:rsid w:val="008667B5"/>
    <w:rsid w:val="00870600"/>
    <w:rsid w:val="0087213D"/>
    <w:rsid w:val="0087506A"/>
    <w:rsid w:val="008758EB"/>
    <w:rsid w:val="0087665C"/>
    <w:rsid w:val="008769BC"/>
    <w:rsid w:val="00877EF5"/>
    <w:rsid w:val="008801E5"/>
    <w:rsid w:val="00880C6A"/>
    <w:rsid w:val="008813C6"/>
    <w:rsid w:val="0088219B"/>
    <w:rsid w:val="00885B30"/>
    <w:rsid w:val="00886C94"/>
    <w:rsid w:val="008874D6"/>
    <w:rsid w:val="008903EF"/>
    <w:rsid w:val="00894958"/>
    <w:rsid w:val="00894CE1"/>
    <w:rsid w:val="00896100"/>
    <w:rsid w:val="00896BF7"/>
    <w:rsid w:val="0089771A"/>
    <w:rsid w:val="008A0FF9"/>
    <w:rsid w:val="008A1203"/>
    <w:rsid w:val="008A135B"/>
    <w:rsid w:val="008A5C6E"/>
    <w:rsid w:val="008B03B5"/>
    <w:rsid w:val="008B29CF"/>
    <w:rsid w:val="008B33BD"/>
    <w:rsid w:val="008B4B1B"/>
    <w:rsid w:val="008B4CF9"/>
    <w:rsid w:val="008B51D3"/>
    <w:rsid w:val="008B7676"/>
    <w:rsid w:val="008B7FA8"/>
    <w:rsid w:val="008C3723"/>
    <w:rsid w:val="008C3872"/>
    <w:rsid w:val="008C3A4E"/>
    <w:rsid w:val="008C4460"/>
    <w:rsid w:val="008C73DC"/>
    <w:rsid w:val="008D0D2F"/>
    <w:rsid w:val="008D2864"/>
    <w:rsid w:val="008D439E"/>
    <w:rsid w:val="008D5FCD"/>
    <w:rsid w:val="008D689C"/>
    <w:rsid w:val="008D7B6D"/>
    <w:rsid w:val="008E03DB"/>
    <w:rsid w:val="008E1D00"/>
    <w:rsid w:val="008E1DF9"/>
    <w:rsid w:val="008E2BD0"/>
    <w:rsid w:val="008E4525"/>
    <w:rsid w:val="008E45E1"/>
    <w:rsid w:val="008F07A5"/>
    <w:rsid w:val="008F1E4A"/>
    <w:rsid w:val="008F1F16"/>
    <w:rsid w:val="008F2CE6"/>
    <w:rsid w:val="00901440"/>
    <w:rsid w:val="009021B0"/>
    <w:rsid w:val="0090293E"/>
    <w:rsid w:val="00912092"/>
    <w:rsid w:val="009122CF"/>
    <w:rsid w:val="009129DA"/>
    <w:rsid w:val="009140D3"/>
    <w:rsid w:val="00914BEF"/>
    <w:rsid w:val="00917928"/>
    <w:rsid w:val="00917F2C"/>
    <w:rsid w:val="00920CB3"/>
    <w:rsid w:val="00922E6D"/>
    <w:rsid w:val="00922ED0"/>
    <w:rsid w:val="009268EA"/>
    <w:rsid w:val="009303C1"/>
    <w:rsid w:val="00930D57"/>
    <w:rsid w:val="00932185"/>
    <w:rsid w:val="00935EC1"/>
    <w:rsid w:val="00936788"/>
    <w:rsid w:val="0093710E"/>
    <w:rsid w:val="00937883"/>
    <w:rsid w:val="00945203"/>
    <w:rsid w:val="009474B8"/>
    <w:rsid w:val="00947869"/>
    <w:rsid w:val="00950FFD"/>
    <w:rsid w:val="009542B7"/>
    <w:rsid w:val="00954A89"/>
    <w:rsid w:val="00954D94"/>
    <w:rsid w:val="009561BC"/>
    <w:rsid w:val="00956354"/>
    <w:rsid w:val="00956D02"/>
    <w:rsid w:val="00960D0E"/>
    <w:rsid w:val="009627C4"/>
    <w:rsid w:val="0096348C"/>
    <w:rsid w:val="00965486"/>
    <w:rsid w:val="0096565D"/>
    <w:rsid w:val="0096670A"/>
    <w:rsid w:val="00967C01"/>
    <w:rsid w:val="0097074D"/>
    <w:rsid w:val="00970EF9"/>
    <w:rsid w:val="00971FBA"/>
    <w:rsid w:val="0097230A"/>
    <w:rsid w:val="009750FE"/>
    <w:rsid w:val="0097600F"/>
    <w:rsid w:val="0098060B"/>
    <w:rsid w:val="00985EF7"/>
    <w:rsid w:val="009917A7"/>
    <w:rsid w:val="00991860"/>
    <w:rsid w:val="009918C9"/>
    <w:rsid w:val="00994CA2"/>
    <w:rsid w:val="009A0125"/>
    <w:rsid w:val="009A0E06"/>
    <w:rsid w:val="009A1CC8"/>
    <w:rsid w:val="009A3CC4"/>
    <w:rsid w:val="009B05DE"/>
    <w:rsid w:val="009B35C1"/>
    <w:rsid w:val="009B3909"/>
    <w:rsid w:val="009B4713"/>
    <w:rsid w:val="009B497D"/>
    <w:rsid w:val="009B5DD9"/>
    <w:rsid w:val="009B747F"/>
    <w:rsid w:val="009C0754"/>
    <w:rsid w:val="009C38A8"/>
    <w:rsid w:val="009C4840"/>
    <w:rsid w:val="009C4E38"/>
    <w:rsid w:val="009C5778"/>
    <w:rsid w:val="009C645E"/>
    <w:rsid w:val="009D452D"/>
    <w:rsid w:val="009E4A54"/>
    <w:rsid w:val="009E504D"/>
    <w:rsid w:val="009E69D6"/>
    <w:rsid w:val="009E6EC1"/>
    <w:rsid w:val="009E7D2F"/>
    <w:rsid w:val="009F195F"/>
    <w:rsid w:val="009F22F5"/>
    <w:rsid w:val="009F2E3F"/>
    <w:rsid w:val="009F3D4D"/>
    <w:rsid w:val="00A00A53"/>
    <w:rsid w:val="00A022F7"/>
    <w:rsid w:val="00A03777"/>
    <w:rsid w:val="00A04243"/>
    <w:rsid w:val="00A06AC7"/>
    <w:rsid w:val="00A13085"/>
    <w:rsid w:val="00A137AE"/>
    <w:rsid w:val="00A139B1"/>
    <w:rsid w:val="00A16B49"/>
    <w:rsid w:val="00A2052C"/>
    <w:rsid w:val="00A211DE"/>
    <w:rsid w:val="00A225EA"/>
    <w:rsid w:val="00A22BF8"/>
    <w:rsid w:val="00A23B5F"/>
    <w:rsid w:val="00A25298"/>
    <w:rsid w:val="00A26C54"/>
    <w:rsid w:val="00A27877"/>
    <w:rsid w:val="00A3048E"/>
    <w:rsid w:val="00A30D6E"/>
    <w:rsid w:val="00A3188A"/>
    <w:rsid w:val="00A325BC"/>
    <w:rsid w:val="00A3348F"/>
    <w:rsid w:val="00A37FF8"/>
    <w:rsid w:val="00A40921"/>
    <w:rsid w:val="00A41024"/>
    <w:rsid w:val="00A41303"/>
    <w:rsid w:val="00A41DBB"/>
    <w:rsid w:val="00A434B6"/>
    <w:rsid w:val="00A43D93"/>
    <w:rsid w:val="00A4427B"/>
    <w:rsid w:val="00A4468E"/>
    <w:rsid w:val="00A50025"/>
    <w:rsid w:val="00A503FC"/>
    <w:rsid w:val="00A53C34"/>
    <w:rsid w:val="00A63DB4"/>
    <w:rsid w:val="00A643C5"/>
    <w:rsid w:val="00A6640A"/>
    <w:rsid w:val="00A664CF"/>
    <w:rsid w:val="00A674E0"/>
    <w:rsid w:val="00A6772B"/>
    <w:rsid w:val="00A70F41"/>
    <w:rsid w:val="00A7720B"/>
    <w:rsid w:val="00A779DC"/>
    <w:rsid w:val="00A8043E"/>
    <w:rsid w:val="00A80529"/>
    <w:rsid w:val="00A8185B"/>
    <w:rsid w:val="00A82C42"/>
    <w:rsid w:val="00A84F52"/>
    <w:rsid w:val="00A86A7D"/>
    <w:rsid w:val="00A87621"/>
    <w:rsid w:val="00A87758"/>
    <w:rsid w:val="00A878BA"/>
    <w:rsid w:val="00A879DE"/>
    <w:rsid w:val="00A91574"/>
    <w:rsid w:val="00A92B1B"/>
    <w:rsid w:val="00A92D1C"/>
    <w:rsid w:val="00A92E85"/>
    <w:rsid w:val="00A96C1C"/>
    <w:rsid w:val="00A97E34"/>
    <w:rsid w:val="00AA0750"/>
    <w:rsid w:val="00AA1E9A"/>
    <w:rsid w:val="00AA268C"/>
    <w:rsid w:val="00AA31C9"/>
    <w:rsid w:val="00AA3F21"/>
    <w:rsid w:val="00AA4700"/>
    <w:rsid w:val="00AA71FD"/>
    <w:rsid w:val="00AA76DA"/>
    <w:rsid w:val="00AB176C"/>
    <w:rsid w:val="00AB1FB9"/>
    <w:rsid w:val="00AB3391"/>
    <w:rsid w:val="00AB3FDB"/>
    <w:rsid w:val="00AB7133"/>
    <w:rsid w:val="00AB7251"/>
    <w:rsid w:val="00AC0547"/>
    <w:rsid w:val="00AC1659"/>
    <w:rsid w:val="00AC19D5"/>
    <w:rsid w:val="00AC3BF4"/>
    <w:rsid w:val="00AC74E5"/>
    <w:rsid w:val="00AC7906"/>
    <w:rsid w:val="00AD1D2A"/>
    <w:rsid w:val="00AD2ABD"/>
    <w:rsid w:val="00AD2B0C"/>
    <w:rsid w:val="00AD3588"/>
    <w:rsid w:val="00AD42E6"/>
    <w:rsid w:val="00AD62AC"/>
    <w:rsid w:val="00AD694B"/>
    <w:rsid w:val="00AD6F37"/>
    <w:rsid w:val="00AE3125"/>
    <w:rsid w:val="00AE4234"/>
    <w:rsid w:val="00AE4573"/>
    <w:rsid w:val="00AE6853"/>
    <w:rsid w:val="00AE6ECB"/>
    <w:rsid w:val="00AE70D2"/>
    <w:rsid w:val="00AE76C6"/>
    <w:rsid w:val="00AE7E3E"/>
    <w:rsid w:val="00AE7FEE"/>
    <w:rsid w:val="00AF15E9"/>
    <w:rsid w:val="00AF319C"/>
    <w:rsid w:val="00AF37DA"/>
    <w:rsid w:val="00AF4F6C"/>
    <w:rsid w:val="00AF553F"/>
    <w:rsid w:val="00B00B2E"/>
    <w:rsid w:val="00B01323"/>
    <w:rsid w:val="00B0218C"/>
    <w:rsid w:val="00B03C10"/>
    <w:rsid w:val="00B07B27"/>
    <w:rsid w:val="00B119B1"/>
    <w:rsid w:val="00B1201C"/>
    <w:rsid w:val="00B1295F"/>
    <w:rsid w:val="00B1298B"/>
    <w:rsid w:val="00B12C8E"/>
    <w:rsid w:val="00B17633"/>
    <w:rsid w:val="00B226F3"/>
    <w:rsid w:val="00B2323E"/>
    <w:rsid w:val="00B23240"/>
    <w:rsid w:val="00B247B0"/>
    <w:rsid w:val="00B26064"/>
    <w:rsid w:val="00B26C9B"/>
    <w:rsid w:val="00B27441"/>
    <w:rsid w:val="00B3179E"/>
    <w:rsid w:val="00B33960"/>
    <w:rsid w:val="00B33A58"/>
    <w:rsid w:val="00B368D3"/>
    <w:rsid w:val="00B374F2"/>
    <w:rsid w:val="00B37DCC"/>
    <w:rsid w:val="00B41261"/>
    <w:rsid w:val="00B414A3"/>
    <w:rsid w:val="00B41C0B"/>
    <w:rsid w:val="00B41E8A"/>
    <w:rsid w:val="00B46996"/>
    <w:rsid w:val="00B477AE"/>
    <w:rsid w:val="00B47C95"/>
    <w:rsid w:val="00B525E9"/>
    <w:rsid w:val="00B532C3"/>
    <w:rsid w:val="00B54B46"/>
    <w:rsid w:val="00B54F30"/>
    <w:rsid w:val="00B55645"/>
    <w:rsid w:val="00B60F4F"/>
    <w:rsid w:val="00B611BF"/>
    <w:rsid w:val="00B61C46"/>
    <w:rsid w:val="00B62593"/>
    <w:rsid w:val="00B62C6F"/>
    <w:rsid w:val="00B632C2"/>
    <w:rsid w:val="00B63D57"/>
    <w:rsid w:val="00B64BFA"/>
    <w:rsid w:val="00B676E9"/>
    <w:rsid w:val="00B71325"/>
    <w:rsid w:val="00B71BB6"/>
    <w:rsid w:val="00B734CE"/>
    <w:rsid w:val="00B73C43"/>
    <w:rsid w:val="00B74537"/>
    <w:rsid w:val="00B75C4C"/>
    <w:rsid w:val="00B779CB"/>
    <w:rsid w:val="00B805A4"/>
    <w:rsid w:val="00B81DA6"/>
    <w:rsid w:val="00B843FB"/>
    <w:rsid w:val="00B8637A"/>
    <w:rsid w:val="00B86962"/>
    <w:rsid w:val="00B86C21"/>
    <w:rsid w:val="00B9136E"/>
    <w:rsid w:val="00B9356D"/>
    <w:rsid w:val="00B94C39"/>
    <w:rsid w:val="00B96297"/>
    <w:rsid w:val="00BA1B55"/>
    <w:rsid w:val="00BA21D6"/>
    <w:rsid w:val="00BA22E7"/>
    <w:rsid w:val="00BA230D"/>
    <w:rsid w:val="00BA2E29"/>
    <w:rsid w:val="00BA530E"/>
    <w:rsid w:val="00BA536D"/>
    <w:rsid w:val="00BA5B04"/>
    <w:rsid w:val="00BA64B8"/>
    <w:rsid w:val="00BA7150"/>
    <w:rsid w:val="00BB2C1B"/>
    <w:rsid w:val="00BB33D8"/>
    <w:rsid w:val="00BB34AA"/>
    <w:rsid w:val="00BB5B58"/>
    <w:rsid w:val="00BB5F6A"/>
    <w:rsid w:val="00BC07AA"/>
    <w:rsid w:val="00BC30F7"/>
    <w:rsid w:val="00BC3205"/>
    <w:rsid w:val="00BC5F52"/>
    <w:rsid w:val="00BC7603"/>
    <w:rsid w:val="00BC7668"/>
    <w:rsid w:val="00BD1D21"/>
    <w:rsid w:val="00BD25D7"/>
    <w:rsid w:val="00BD3C21"/>
    <w:rsid w:val="00BD43FC"/>
    <w:rsid w:val="00BD6DA6"/>
    <w:rsid w:val="00BE01D5"/>
    <w:rsid w:val="00BE412E"/>
    <w:rsid w:val="00BE4C4D"/>
    <w:rsid w:val="00BE6F53"/>
    <w:rsid w:val="00BE72EE"/>
    <w:rsid w:val="00BF14F6"/>
    <w:rsid w:val="00BF167C"/>
    <w:rsid w:val="00BF3980"/>
    <w:rsid w:val="00C02451"/>
    <w:rsid w:val="00C036B3"/>
    <w:rsid w:val="00C0677F"/>
    <w:rsid w:val="00C06A95"/>
    <w:rsid w:val="00C10B0F"/>
    <w:rsid w:val="00C120F2"/>
    <w:rsid w:val="00C12FAA"/>
    <w:rsid w:val="00C1586F"/>
    <w:rsid w:val="00C2074D"/>
    <w:rsid w:val="00C2117F"/>
    <w:rsid w:val="00C2118A"/>
    <w:rsid w:val="00C21736"/>
    <w:rsid w:val="00C248E3"/>
    <w:rsid w:val="00C26CD6"/>
    <w:rsid w:val="00C2725D"/>
    <w:rsid w:val="00C3139F"/>
    <w:rsid w:val="00C329A2"/>
    <w:rsid w:val="00C343DF"/>
    <w:rsid w:val="00C353FA"/>
    <w:rsid w:val="00C35D3B"/>
    <w:rsid w:val="00C37195"/>
    <w:rsid w:val="00C41385"/>
    <w:rsid w:val="00C41447"/>
    <w:rsid w:val="00C443BC"/>
    <w:rsid w:val="00C44BD3"/>
    <w:rsid w:val="00C458E7"/>
    <w:rsid w:val="00C46C7A"/>
    <w:rsid w:val="00C4757B"/>
    <w:rsid w:val="00C477A9"/>
    <w:rsid w:val="00C47F08"/>
    <w:rsid w:val="00C50147"/>
    <w:rsid w:val="00C508B1"/>
    <w:rsid w:val="00C50B10"/>
    <w:rsid w:val="00C50C68"/>
    <w:rsid w:val="00C53B17"/>
    <w:rsid w:val="00C53FCA"/>
    <w:rsid w:val="00C558F3"/>
    <w:rsid w:val="00C5621F"/>
    <w:rsid w:val="00C61220"/>
    <w:rsid w:val="00C629E9"/>
    <w:rsid w:val="00C631AA"/>
    <w:rsid w:val="00C639EB"/>
    <w:rsid w:val="00C64616"/>
    <w:rsid w:val="00C65126"/>
    <w:rsid w:val="00C657BF"/>
    <w:rsid w:val="00C657FB"/>
    <w:rsid w:val="00C671C6"/>
    <w:rsid w:val="00C67FB8"/>
    <w:rsid w:val="00C7507B"/>
    <w:rsid w:val="00C760AF"/>
    <w:rsid w:val="00C778AC"/>
    <w:rsid w:val="00C804B7"/>
    <w:rsid w:val="00C80981"/>
    <w:rsid w:val="00C83902"/>
    <w:rsid w:val="00C8698E"/>
    <w:rsid w:val="00C9014F"/>
    <w:rsid w:val="00C9244C"/>
    <w:rsid w:val="00C92E2E"/>
    <w:rsid w:val="00C96EE8"/>
    <w:rsid w:val="00C9739E"/>
    <w:rsid w:val="00CA033E"/>
    <w:rsid w:val="00CA1383"/>
    <w:rsid w:val="00CA16C4"/>
    <w:rsid w:val="00CA2155"/>
    <w:rsid w:val="00CA2CE1"/>
    <w:rsid w:val="00CA2E7B"/>
    <w:rsid w:val="00CA3A77"/>
    <w:rsid w:val="00CA7101"/>
    <w:rsid w:val="00CA72FB"/>
    <w:rsid w:val="00CA79B0"/>
    <w:rsid w:val="00CB4261"/>
    <w:rsid w:val="00CB5CFC"/>
    <w:rsid w:val="00CB618A"/>
    <w:rsid w:val="00CB6673"/>
    <w:rsid w:val="00CB702F"/>
    <w:rsid w:val="00CC036A"/>
    <w:rsid w:val="00CC0452"/>
    <w:rsid w:val="00CC3275"/>
    <w:rsid w:val="00CC50B5"/>
    <w:rsid w:val="00CD0314"/>
    <w:rsid w:val="00CD1113"/>
    <w:rsid w:val="00CD1C4E"/>
    <w:rsid w:val="00CD35D0"/>
    <w:rsid w:val="00CD4C42"/>
    <w:rsid w:val="00CE0C50"/>
    <w:rsid w:val="00CE2E19"/>
    <w:rsid w:val="00CE68DE"/>
    <w:rsid w:val="00CE7E0F"/>
    <w:rsid w:val="00CF0CBB"/>
    <w:rsid w:val="00CF1252"/>
    <w:rsid w:val="00CF2D03"/>
    <w:rsid w:val="00CF48F1"/>
    <w:rsid w:val="00CF4D29"/>
    <w:rsid w:val="00CF594C"/>
    <w:rsid w:val="00CF60C9"/>
    <w:rsid w:val="00D00581"/>
    <w:rsid w:val="00D02837"/>
    <w:rsid w:val="00D02C66"/>
    <w:rsid w:val="00D04BCD"/>
    <w:rsid w:val="00D04C74"/>
    <w:rsid w:val="00D05891"/>
    <w:rsid w:val="00D069BD"/>
    <w:rsid w:val="00D121C1"/>
    <w:rsid w:val="00D16ACC"/>
    <w:rsid w:val="00D16D00"/>
    <w:rsid w:val="00D23A7C"/>
    <w:rsid w:val="00D24106"/>
    <w:rsid w:val="00D24E2E"/>
    <w:rsid w:val="00D26B23"/>
    <w:rsid w:val="00D26C96"/>
    <w:rsid w:val="00D27DEC"/>
    <w:rsid w:val="00D307F1"/>
    <w:rsid w:val="00D30ED3"/>
    <w:rsid w:val="00D312EA"/>
    <w:rsid w:val="00D322CA"/>
    <w:rsid w:val="00D34093"/>
    <w:rsid w:val="00D34C13"/>
    <w:rsid w:val="00D4071A"/>
    <w:rsid w:val="00D41A82"/>
    <w:rsid w:val="00D42F27"/>
    <w:rsid w:val="00D42FBC"/>
    <w:rsid w:val="00D43BBE"/>
    <w:rsid w:val="00D44DA8"/>
    <w:rsid w:val="00D45A92"/>
    <w:rsid w:val="00D46D1D"/>
    <w:rsid w:val="00D46F05"/>
    <w:rsid w:val="00D500EE"/>
    <w:rsid w:val="00D5113F"/>
    <w:rsid w:val="00D52E4B"/>
    <w:rsid w:val="00D562EB"/>
    <w:rsid w:val="00D56FAC"/>
    <w:rsid w:val="00D5734B"/>
    <w:rsid w:val="00D57984"/>
    <w:rsid w:val="00D60075"/>
    <w:rsid w:val="00D6102B"/>
    <w:rsid w:val="00D63E0C"/>
    <w:rsid w:val="00D6455C"/>
    <w:rsid w:val="00D72752"/>
    <w:rsid w:val="00D72A04"/>
    <w:rsid w:val="00D80362"/>
    <w:rsid w:val="00D81560"/>
    <w:rsid w:val="00D82168"/>
    <w:rsid w:val="00D82868"/>
    <w:rsid w:val="00D835AD"/>
    <w:rsid w:val="00D86684"/>
    <w:rsid w:val="00D86C97"/>
    <w:rsid w:val="00D906AC"/>
    <w:rsid w:val="00D90B8B"/>
    <w:rsid w:val="00D93431"/>
    <w:rsid w:val="00D9682D"/>
    <w:rsid w:val="00D97655"/>
    <w:rsid w:val="00DA144D"/>
    <w:rsid w:val="00DA1A40"/>
    <w:rsid w:val="00DA2089"/>
    <w:rsid w:val="00DA38B2"/>
    <w:rsid w:val="00DA4489"/>
    <w:rsid w:val="00DA44E1"/>
    <w:rsid w:val="00DA5079"/>
    <w:rsid w:val="00DA5378"/>
    <w:rsid w:val="00DA73A6"/>
    <w:rsid w:val="00DB2118"/>
    <w:rsid w:val="00DB3623"/>
    <w:rsid w:val="00DB5D14"/>
    <w:rsid w:val="00DB63AD"/>
    <w:rsid w:val="00DC0CCF"/>
    <w:rsid w:val="00DC1255"/>
    <w:rsid w:val="00DC1BD1"/>
    <w:rsid w:val="00DC3130"/>
    <w:rsid w:val="00DC4195"/>
    <w:rsid w:val="00DC6B2E"/>
    <w:rsid w:val="00DC7F27"/>
    <w:rsid w:val="00DD256C"/>
    <w:rsid w:val="00DD7521"/>
    <w:rsid w:val="00DE2654"/>
    <w:rsid w:val="00DE45A1"/>
    <w:rsid w:val="00DE4894"/>
    <w:rsid w:val="00DF0755"/>
    <w:rsid w:val="00DF3170"/>
    <w:rsid w:val="00DF5C0F"/>
    <w:rsid w:val="00DF6622"/>
    <w:rsid w:val="00DF67E8"/>
    <w:rsid w:val="00DF773C"/>
    <w:rsid w:val="00E0096E"/>
    <w:rsid w:val="00E0097F"/>
    <w:rsid w:val="00E00E03"/>
    <w:rsid w:val="00E04E10"/>
    <w:rsid w:val="00E052E6"/>
    <w:rsid w:val="00E06FE8"/>
    <w:rsid w:val="00E072B7"/>
    <w:rsid w:val="00E0732E"/>
    <w:rsid w:val="00E07C02"/>
    <w:rsid w:val="00E1076F"/>
    <w:rsid w:val="00E111B5"/>
    <w:rsid w:val="00E12325"/>
    <w:rsid w:val="00E12DCF"/>
    <w:rsid w:val="00E20E0E"/>
    <w:rsid w:val="00E22E1B"/>
    <w:rsid w:val="00E22E5B"/>
    <w:rsid w:val="00E25DAA"/>
    <w:rsid w:val="00E2697A"/>
    <w:rsid w:val="00E26A90"/>
    <w:rsid w:val="00E31541"/>
    <w:rsid w:val="00E33D9D"/>
    <w:rsid w:val="00E37FA6"/>
    <w:rsid w:val="00E5162B"/>
    <w:rsid w:val="00E52671"/>
    <w:rsid w:val="00E54A2F"/>
    <w:rsid w:val="00E55107"/>
    <w:rsid w:val="00E56143"/>
    <w:rsid w:val="00E6183E"/>
    <w:rsid w:val="00E6561C"/>
    <w:rsid w:val="00E65B8D"/>
    <w:rsid w:val="00E6718B"/>
    <w:rsid w:val="00E67A05"/>
    <w:rsid w:val="00E7090B"/>
    <w:rsid w:val="00E71CB2"/>
    <w:rsid w:val="00E75B6C"/>
    <w:rsid w:val="00E76110"/>
    <w:rsid w:val="00E773D2"/>
    <w:rsid w:val="00E77C05"/>
    <w:rsid w:val="00E82891"/>
    <w:rsid w:val="00E831C3"/>
    <w:rsid w:val="00E84CF8"/>
    <w:rsid w:val="00E86325"/>
    <w:rsid w:val="00E870CF"/>
    <w:rsid w:val="00E9135C"/>
    <w:rsid w:val="00E916A9"/>
    <w:rsid w:val="00E91DB8"/>
    <w:rsid w:val="00E922D8"/>
    <w:rsid w:val="00E92AC9"/>
    <w:rsid w:val="00E92B22"/>
    <w:rsid w:val="00E93CC9"/>
    <w:rsid w:val="00E94BE3"/>
    <w:rsid w:val="00E975BE"/>
    <w:rsid w:val="00EA0D83"/>
    <w:rsid w:val="00EA11F4"/>
    <w:rsid w:val="00EA3924"/>
    <w:rsid w:val="00EA4295"/>
    <w:rsid w:val="00EA6B25"/>
    <w:rsid w:val="00EB3422"/>
    <w:rsid w:val="00EB6347"/>
    <w:rsid w:val="00EC0A4F"/>
    <w:rsid w:val="00EC2E7E"/>
    <w:rsid w:val="00EC49BE"/>
    <w:rsid w:val="00EC5AC0"/>
    <w:rsid w:val="00EC5AC1"/>
    <w:rsid w:val="00EC5D3E"/>
    <w:rsid w:val="00EC78A5"/>
    <w:rsid w:val="00EC7EBE"/>
    <w:rsid w:val="00ED0269"/>
    <w:rsid w:val="00ED1DBA"/>
    <w:rsid w:val="00ED569D"/>
    <w:rsid w:val="00ED6114"/>
    <w:rsid w:val="00ED650D"/>
    <w:rsid w:val="00ED77B0"/>
    <w:rsid w:val="00EE0DF4"/>
    <w:rsid w:val="00EE24E5"/>
    <w:rsid w:val="00EE56DF"/>
    <w:rsid w:val="00EE5F4B"/>
    <w:rsid w:val="00EE6A7C"/>
    <w:rsid w:val="00EE6E3E"/>
    <w:rsid w:val="00EF3159"/>
    <w:rsid w:val="00EF3A29"/>
    <w:rsid w:val="00EF4C52"/>
    <w:rsid w:val="00EF7942"/>
    <w:rsid w:val="00F02514"/>
    <w:rsid w:val="00F03012"/>
    <w:rsid w:val="00F04AF9"/>
    <w:rsid w:val="00F05AF5"/>
    <w:rsid w:val="00F06E9A"/>
    <w:rsid w:val="00F108C0"/>
    <w:rsid w:val="00F130B2"/>
    <w:rsid w:val="00F1485A"/>
    <w:rsid w:val="00F16A38"/>
    <w:rsid w:val="00F23B73"/>
    <w:rsid w:val="00F24965"/>
    <w:rsid w:val="00F320B5"/>
    <w:rsid w:val="00F32520"/>
    <w:rsid w:val="00F328B4"/>
    <w:rsid w:val="00F346C8"/>
    <w:rsid w:val="00F35F6E"/>
    <w:rsid w:val="00F40603"/>
    <w:rsid w:val="00F41A0D"/>
    <w:rsid w:val="00F429D5"/>
    <w:rsid w:val="00F47660"/>
    <w:rsid w:val="00F514C7"/>
    <w:rsid w:val="00F52A2F"/>
    <w:rsid w:val="00F52ED8"/>
    <w:rsid w:val="00F536A3"/>
    <w:rsid w:val="00F55FAB"/>
    <w:rsid w:val="00F57AEA"/>
    <w:rsid w:val="00F607B0"/>
    <w:rsid w:val="00F608FA"/>
    <w:rsid w:val="00F62057"/>
    <w:rsid w:val="00F70943"/>
    <w:rsid w:val="00F71140"/>
    <w:rsid w:val="00F71837"/>
    <w:rsid w:val="00F720C7"/>
    <w:rsid w:val="00F72765"/>
    <w:rsid w:val="00F77794"/>
    <w:rsid w:val="00F77C8E"/>
    <w:rsid w:val="00F83D40"/>
    <w:rsid w:val="00F87264"/>
    <w:rsid w:val="00F8751F"/>
    <w:rsid w:val="00F87BB4"/>
    <w:rsid w:val="00F90BDB"/>
    <w:rsid w:val="00F9138E"/>
    <w:rsid w:val="00F9160D"/>
    <w:rsid w:val="00F92FB6"/>
    <w:rsid w:val="00F937B4"/>
    <w:rsid w:val="00F961E3"/>
    <w:rsid w:val="00FA023C"/>
    <w:rsid w:val="00FA2BB8"/>
    <w:rsid w:val="00FA358F"/>
    <w:rsid w:val="00FA5A93"/>
    <w:rsid w:val="00FA5C2D"/>
    <w:rsid w:val="00FB0A65"/>
    <w:rsid w:val="00FB0C4E"/>
    <w:rsid w:val="00FB26D7"/>
    <w:rsid w:val="00FB49B7"/>
    <w:rsid w:val="00FB5BC3"/>
    <w:rsid w:val="00FC412D"/>
    <w:rsid w:val="00FC4E3F"/>
    <w:rsid w:val="00FD0B3F"/>
    <w:rsid w:val="00FD1637"/>
    <w:rsid w:val="00FD3682"/>
    <w:rsid w:val="00FD65E8"/>
    <w:rsid w:val="00FD673A"/>
    <w:rsid w:val="00FD6AAC"/>
    <w:rsid w:val="00FD7EFB"/>
    <w:rsid w:val="00FE05C1"/>
    <w:rsid w:val="00FE1736"/>
    <w:rsid w:val="00FE381A"/>
    <w:rsid w:val="00FE4FA3"/>
    <w:rsid w:val="00FE5B8B"/>
    <w:rsid w:val="00FE5DD1"/>
    <w:rsid w:val="00FE6141"/>
    <w:rsid w:val="00FE6B7D"/>
    <w:rsid w:val="00FE6BCF"/>
    <w:rsid w:val="00FF0F8F"/>
    <w:rsid w:val="00FF1EB2"/>
    <w:rsid w:val="00FF25AA"/>
    <w:rsid w:val="00FF61DA"/>
    <w:rsid w:val="00FF66E3"/>
    <w:rsid w:val="082A7FB9"/>
    <w:rsid w:val="08935B3A"/>
    <w:rsid w:val="500E3F71"/>
    <w:rsid w:val="51287256"/>
    <w:rsid w:val="560E2433"/>
    <w:rsid w:val="7DF8487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4DF9B"/>
  <w15:chartTrackingRefBased/>
  <w15:docId w15:val="{64E89CBC-A1D3-491A-A02F-A8683A65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87"/>
    <w:pPr>
      <w:spacing w:line="240" w:lineRule="auto"/>
    </w:pPr>
    <w:rPr>
      <w:rFonts w:ascii="Arial" w:eastAsia="Roboto" w:hAnsi="Arial" w:cs="Arial"/>
    </w:rPr>
  </w:style>
  <w:style w:type="paragraph" w:styleId="Heading1">
    <w:name w:val="heading 1"/>
    <w:basedOn w:val="Normal"/>
    <w:next w:val="Normal"/>
    <w:link w:val="Heading1Char"/>
    <w:uiPriority w:val="9"/>
    <w:qFormat/>
    <w:rsid w:val="00102DCD"/>
    <w:pPr>
      <w:keepNext/>
      <w:keepLines/>
      <w:spacing w:after="120"/>
      <w:outlineLvl w:val="0"/>
    </w:pPr>
    <w:rPr>
      <w:rFonts w:eastAsiaTheme="majorEastAsia"/>
      <w:b/>
      <w:bCs/>
      <w:color w:val="15284C" w:themeColor="text1"/>
      <w:sz w:val="44"/>
      <w:szCs w:val="44"/>
    </w:rPr>
  </w:style>
  <w:style w:type="paragraph" w:styleId="Heading2">
    <w:name w:val="heading 2"/>
    <w:basedOn w:val="Heading1"/>
    <w:next w:val="Normal"/>
    <w:link w:val="Heading2Char"/>
    <w:uiPriority w:val="9"/>
    <w:unhideWhenUsed/>
    <w:qFormat/>
    <w:rsid w:val="00102DCD"/>
    <w:pPr>
      <w:spacing w:before="240" w:after="240"/>
      <w:outlineLvl w:val="1"/>
    </w:pPr>
    <w:rPr>
      <w:color w:val="0C818F" w:themeColor="accent3"/>
      <w:sz w:val="32"/>
      <w:szCs w:val="28"/>
    </w:rPr>
  </w:style>
  <w:style w:type="paragraph" w:styleId="Heading3">
    <w:name w:val="heading 3"/>
    <w:basedOn w:val="Normal"/>
    <w:next w:val="Normal"/>
    <w:link w:val="Heading3Char"/>
    <w:uiPriority w:val="9"/>
    <w:unhideWhenUsed/>
    <w:qFormat/>
    <w:rsid w:val="00102DCD"/>
    <w:pPr>
      <w:spacing w:before="360" w:after="240"/>
      <w:outlineLvl w:val="2"/>
    </w:pPr>
    <w:rPr>
      <w:rFonts w:cs="Poppins"/>
      <w:b/>
      <w:bCs/>
      <w:iCs/>
      <w:color w:val="0C818F" w:themeColor="accent3"/>
      <w:sz w:val="28"/>
      <w:szCs w:val="28"/>
    </w:rPr>
  </w:style>
  <w:style w:type="paragraph" w:styleId="Heading4">
    <w:name w:val="heading 4"/>
    <w:basedOn w:val="Normal"/>
    <w:next w:val="Normal"/>
    <w:link w:val="Heading4Char"/>
    <w:uiPriority w:val="9"/>
    <w:unhideWhenUsed/>
    <w:qFormat/>
    <w:rsid w:val="00102DCD"/>
    <w:pPr>
      <w:keepNext/>
      <w:keepLines/>
      <w:spacing w:before="240" w:after="120"/>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emplate title"/>
    <w:basedOn w:val="Normal"/>
    <w:link w:val="NoSpacingChar"/>
    <w:uiPriority w:val="1"/>
    <w:rsid w:val="00C50B10"/>
    <w:pPr>
      <w:ind w:left="-9214" w:firstLine="9214"/>
    </w:pPr>
    <w:rPr>
      <w:rFonts w:ascii="Poppins" w:hAnsi="Poppins" w:cs="Poppins"/>
      <w:b/>
      <w:bCs/>
      <w:color w:val="15284C"/>
      <w:sz w:val="48"/>
      <w:szCs w:val="48"/>
    </w:rPr>
  </w:style>
  <w:style w:type="character" w:customStyle="1" w:styleId="NoSpacingChar">
    <w:name w:val="No Spacing Char"/>
    <w:aliases w:val="Template title Char"/>
    <w:basedOn w:val="DefaultParagraphFont"/>
    <w:link w:val="NoSpacing"/>
    <w:uiPriority w:val="1"/>
    <w:rsid w:val="00C50B10"/>
    <w:rPr>
      <w:rFonts w:ascii="Poppins" w:hAnsi="Poppins" w:cs="Poppins"/>
      <w:b/>
      <w:bCs/>
      <w:noProof/>
      <w:color w:val="15284C"/>
      <w:sz w:val="48"/>
      <w:szCs w:val="48"/>
    </w:rPr>
  </w:style>
  <w:style w:type="paragraph" w:styleId="Header">
    <w:name w:val="header"/>
    <w:basedOn w:val="Normal"/>
    <w:link w:val="HeaderChar"/>
    <w:uiPriority w:val="99"/>
    <w:unhideWhenUsed/>
    <w:rsid w:val="00EB3422"/>
    <w:pPr>
      <w:tabs>
        <w:tab w:val="center" w:pos="4513"/>
        <w:tab w:val="right" w:pos="9026"/>
      </w:tabs>
      <w:spacing w:after="0"/>
    </w:pPr>
  </w:style>
  <w:style w:type="character" w:customStyle="1" w:styleId="HeaderChar">
    <w:name w:val="Header Char"/>
    <w:basedOn w:val="DefaultParagraphFont"/>
    <w:link w:val="Header"/>
    <w:uiPriority w:val="99"/>
    <w:rsid w:val="00EB3422"/>
  </w:style>
  <w:style w:type="paragraph" w:styleId="Footer">
    <w:name w:val="footer"/>
    <w:basedOn w:val="Normal"/>
    <w:link w:val="FooterChar"/>
    <w:uiPriority w:val="99"/>
    <w:unhideWhenUsed/>
    <w:rsid w:val="00EB3422"/>
    <w:pPr>
      <w:tabs>
        <w:tab w:val="center" w:pos="4513"/>
        <w:tab w:val="right" w:pos="9026"/>
      </w:tabs>
      <w:spacing w:after="0"/>
    </w:pPr>
  </w:style>
  <w:style w:type="character" w:customStyle="1" w:styleId="FooterChar">
    <w:name w:val="Footer Char"/>
    <w:basedOn w:val="DefaultParagraphFont"/>
    <w:link w:val="Footer"/>
    <w:uiPriority w:val="99"/>
    <w:rsid w:val="00EB3422"/>
  </w:style>
  <w:style w:type="character" w:customStyle="1" w:styleId="Heading1Char">
    <w:name w:val="Heading 1 Char"/>
    <w:basedOn w:val="DefaultParagraphFont"/>
    <w:link w:val="Heading1"/>
    <w:uiPriority w:val="9"/>
    <w:rsid w:val="00102DCD"/>
    <w:rPr>
      <w:rFonts w:ascii="Arial" w:eastAsiaTheme="majorEastAsia" w:hAnsi="Arial" w:cs="Arial"/>
      <w:b/>
      <w:bCs/>
      <w:noProof/>
      <w:color w:val="15284C" w:themeColor="text1"/>
      <w:sz w:val="44"/>
      <w:szCs w:val="44"/>
    </w:rPr>
  </w:style>
  <w:style w:type="paragraph" w:styleId="TOCHeading">
    <w:name w:val="TOC Heading"/>
    <w:basedOn w:val="Heading1"/>
    <w:next w:val="Normal"/>
    <w:uiPriority w:val="39"/>
    <w:unhideWhenUsed/>
    <w:rsid w:val="00EB3422"/>
    <w:pPr>
      <w:outlineLvl w:val="9"/>
    </w:pPr>
    <w:rPr>
      <w:b w:val="0"/>
      <w:bCs w:val="0"/>
    </w:rPr>
  </w:style>
  <w:style w:type="character" w:customStyle="1" w:styleId="Heading2Char">
    <w:name w:val="Heading 2 Char"/>
    <w:basedOn w:val="DefaultParagraphFont"/>
    <w:link w:val="Heading2"/>
    <w:uiPriority w:val="9"/>
    <w:rsid w:val="00102DCD"/>
    <w:rPr>
      <w:rFonts w:ascii="Arial" w:eastAsiaTheme="majorEastAsia" w:hAnsi="Arial" w:cs="Arial"/>
      <w:b/>
      <w:bCs/>
      <w:noProof/>
      <w:color w:val="0C818F" w:themeColor="accent3"/>
      <w:sz w:val="32"/>
      <w:szCs w:val="28"/>
    </w:rPr>
  </w:style>
  <w:style w:type="character" w:customStyle="1" w:styleId="Heading3Char">
    <w:name w:val="Heading 3 Char"/>
    <w:basedOn w:val="DefaultParagraphFont"/>
    <w:link w:val="Heading3"/>
    <w:uiPriority w:val="9"/>
    <w:rsid w:val="00102DCD"/>
    <w:rPr>
      <w:rFonts w:ascii="Arial" w:eastAsia="Roboto" w:hAnsi="Arial" w:cs="Poppins"/>
      <w:b/>
      <w:bCs/>
      <w:iCs/>
      <w:color w:val="0C818F" w:themeColor="accent3"/>
      <w:sz w:val="28"/>
      <w:szCs w:val="28"/>
      <w:lang w:val="en-US"/>
    </w:rPr>
  </w:style>
  <w:style w:type="paragraph" w:styleId="TOC1">
    <w:name w:val="toc 1"/>
    <w:basedOn w:val="Normal"/>
    <w:next w:val="Normal"/>
    <w:autoRedefine/>
    <w:uiPriority w:val="39"/>
    <w:unhideWhenUsed/>
    <w:rsid w:val="00EB3422"/>
    <w:pPr>
      <w:spacing w:after="100"/>
    </w:pPr>
  </w:style>
  <w:style w:type="paragraph" w:styleId="TOC2">
    <w:name w:val="toc 2"/>
    <w:basedOn w:val="Normal"/>
    <w:next w:val="Normal"/>
    <w:autoRedefine/>
    <w:uiPriority w:val="39"/>
    <w:unhideWhenUsed/>
    <w:rsid w:val="00EB3422"/>
    <w:pPr>
      <w:spacing w:after="100"/>
      <w:ind w:left="220"/>
    </w:pPr>
  </w:style>
  <w:style w:type="paragraph" w:styleId="TOC3">
    <w:name w:val="toc 3"/>
    <w:basedOn w:val="Normal"/>
    <w:next w:val="Normal"/>
    <w:autoRedefine/>
    <w:uiPriority w:val="39"/>
    <w:unhideWhenUsed/>
    <w:rsid w:val="00EB3422"/>
    <w:pPr>
      <w:spacing w:after="100"/>
      <w:ind w:left="440"/>
    </w:pPr>
  </w:style>
  <w:style w:type="character" w:styleId="Hyperlink">
    <w:name w:val="Hyperlink"/>
    <w:basedOn w:val="DefaultParagraphFont"/>
    <w:uiPriority w:val="99"/>
    <w:unhideWhenUsed/>
    <w:rsid w:val="00EB3422"/>
    <w:rPr>
      <w:color w:val="2B529C" w:themeColor="hyperlink"/>
      <w:u w:val="single"/>
    </w:rPr>
  </w:style>
  <w:style w:type="table" w:styleId="TableGrid">
    <w:name w:val="Table Grid"/>
    <w:basedOn w:val="TableNormal"/>
    <w:uiPriority w:val="39"/>
    <w:rsid w:val="008E45E1"/>
    <w:pPr>
      <w:spacing w:before="120" w:after="120"/>
      <w:ind w:left="357" w:hanging="357"/>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Arial" w:hAnsi="Arial"/>
        <w:b/>
        <w:color w:val="auto"/>
        <w:sz w:val="20"/>
      </w:rPr>
      <w:tblPr/>
      <w:tcPr>
        <w:shd w:val="clear" w:color="auto" w:fill="F2F2F2" w:themeFill="accent4" w:themeFillShade="F2"/>
      </w:tcPr>
    </w:tblStylePr>
  </w:style>
  <w:style w:type="table" w:styleId="TableGridLight">
    <w:name w:val="Grid Table Light"/>
    <w:basedOn w:val="TableNormal"/>
    <w:uiPriority w:val="40"/>
    <w:rsid w:val="00175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rial" w:hAnsi="Arial"/>
        <w:b/>
        <w:color w:val="F6F4EC" w:themeColor="background1"/>
        <w:sz w:val="24"/>
      </w:rPr>
      <w:tblPr/>
      <w:tcPr>
        <w:shd w:val="clear" w:color="auto" w:fill="15284C"/>
      </w:tcPr>
    </w:tblStylePr>
    <w:tblStylePr w:type="nwCell">
      <w:tblPr/>
      <w:tcPr>
        <w:tcBorders>
          <w:top w:val="nil"/>
          <w:left w:val="nil"/>
          <w:bottom w:val="nil"/>
          <w:right w:val="nil"/>
          <w:insideH w:val="nil"/>
          <w:insideV w:val="nil"/>
          <w:tl2br w:val="nil"/>
          <w:tr2bl w:val="nil"/>
        </w:tcBorders>
        <w:shd w:val="clear" w:color="auto" w:fill="F6F4EC" w:themeFill="background1"/>
      </w:tcPr>
    </w:tblStylePr>
  </w:style>
  <w:style w:type="table" w:styleId="ListTable4-Accent5">
    <w:name w:val="List Table 4 Accent 5"/>
    <w:basedOn w:val="TableNormal"/>
    <w:uiPriority w:val="49"/>
    <w:rsid w:val="005247D4"/>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tcBorders>
        <w:shd w:val="clear" w:color="auto" w:fill="15284C" w:themeFill="accent5"/>
      </w:tcPr>
    </w:tblStylePr>
    <w:tblStylePr w:type="lastRow">
      <w:rPr>
        <w:b/>
        <w:bCs/>
      </w:rPr>
      <w:tblPr/>
      <w:tcPr>
        <w:tcBorders>
          <w:top w:val="double" w:sz="4" w:space="0" w:color="3C6DC9" w:themeColor="accent5" w:themeTint="99"/>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table" w:styleId="PlainTable4">
    <w:name w:val="Plain Table 4"/>
    <w:basedOn w:val="TableNormal"/>
    <w:uiPriority w:val="44"/>
    <w:rsid w:val="000E4D0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EADB" w:themeFill="background1" w:themeFillShade="F2"/>
      </w:tcPr>
    </w:tblStylePr>
    <w:tblStylePr w:type="band1Horz">
      <w:tblPr/>
      <w:tcPr>
        <w:shd w:val="clear" w:color="auto" w:fill="EEEADB" w:themeFill="background1" w:themeFillShade="F2"/>
      </w:tcPr>
    </w:tblStylePr>
  </w:style>
  <w:style w:type="table" w:styleId="ListTable5Dark-Accent6">
    <w:name w:val="List Table 5 Dark Accent 6"/>
    <w:basedOn w:val="TableNormal"/>
    <w:uiPriority w:val="50"/>
    <w:rsid w:val="000E4D03"/>
    <w:pPr>
      <w:spacing w:after="0" w:line="240" w:lineRule="auto"/>
    </w:pPr>
    <w:rPr>
      <w:color w:val="F6F4EC"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6F4EC" w:themeColor="background1"/>
        </w:tcBorders>
      </w:tcPr>
    </w:tblStylePr>
    <w:tblStylePr w:type="lastRow">
      <w:rPr>
        <w:b/>
        <w:bCs/>
      </w:rPr>
      <w:tblPr/>
      <w:tcPr>
        <w:tcBorders>
          <w:top w:val="single" w:sz="4" w:space="0" w:color="F6F4EC" w:themeColor="background1"/>
        </w:tcBorders>
      </w:tcPr>
    </w:tblStylePr>
    <w:tblStylePr w:type="firstCol">
      <w:rPr>
        <w:b/>
        <w:bCs/>
      </w:rPr>
      <w:tblPr/>
      <w:tcPr>
        <w:tcBorders>
          <w:right w:val="single" w:sz="4" w:space="0" w:color="F6F4EC" w:themeColor="background1"/>
        </w:tcBorders>
      </w:tcPr>
    </w:tblStylePr>
    <w:tblStylePr w:type="lastCol">
      <w:rPr>
        <w:b/>
        <w:bCs/>
      </w:rPr>
      <w:tblPr/>
      <w:tcPr>
        <w:tcBorders>
          <w:left w:val="single" w:sz="4" w:space="0" w:color="F6F4EC" w:themeColor="background1"/>
        </w:tcBorders>
      </w:tcPr>
    </w:tblStylePr>
    <w:tblStylePr w:type="band1Vert">
      <w:tblPr/>
      <w:tcPr>
        <w:tcBorders>
          <w:left w:val="single" w:sz="4" w:space="0" w:color="F6F4EC" w:themeColor="background1"/>
          <w:right w:val="single" w:sz="4" w:space="0" w:color="F6F4EC" w:themeColor="background1"/>
        </w:tcBorders>
      </w:tcPr>
    </w:tblStylePr>
    <w:tblStylePr w:type="band2Vert">
      <w:tblPr/>
      <w:tcPr>
        <w:tcBorders>
          <w:left w:val="single" w:sz="4" w:space="0" w:color="F6F4EC" w:themeColor="background1"/>
          <w:right w:val="single" w:sz="4" w:space="0" w:color="F6F4EC" w:themeColor="background1"/>
        </w:tcBorders>
      </w:tcPr>
    </w:tblStylePr>
    <w:tblStylePr w:type="band1Horz">
      <w:tblPr/>
      <w:tcPr>
        <w:tcBorders>
          <w:top w:val="single" w:sz="4" w:space="0" w:color="F6F4EC" w:themeColor="background1"/>
          <w:bottom w:val="single" w:sz="4" w:space="0" w:color="F6F4E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2">
    <w:name w:val="List Table 4 Accent 2"/>
    <w:basedOn w:val="TableNormal"/>
    <w:uiPriority w:val="49"/>
    <w:rsid w:val="00863572"/>
    <w:pPr>
      <w:spacing w:after="0" w:line="240" w:lineRule="auto"/>
    </w:pPr>
    <w:tblPr>
      <w:tblStyleRowBandSize w:val="1"/>
      <w:tblStyleColBandSize w:val="1"/>
      <w:tblBorders>
        <w:top w:val="single" w:sz="4" w:space="0" w:color="2870FF" w:themeColor="accent2" w:themeTint="99"/>
        <w:left w:val="single" w:sz="4" w:space="0" w:color="2870FF" w:themeColor="accent2" w:themeTint="99"/>
        <w:bottom w:val="single" w:sz="4" w:space="0" w:color="2870FF" w:themeColor="accent2" w:themeTint="99"/>
        <w:right w:val="single" w:sz="4" w:space="0" w:color="2870FF" w:themeColor="accent2" w:themeTint="99"/>
        <w:insideH w:val="single" w:sz="4" w:space="0" w:color="2870FF" w:themeColor="accent2" w:themeTint="99"/>
      </w:tblBorders>
    </w:tblPr>
    <w:tblStylePr w:type="firstRow">
      <w:rPr>
        <w:b/>
        <w:bCs/>
        <w:color w:val="F6F4EC" w:themeColor="background1"/>
      </w:rPr>
      <w:tblPr/>
      <w:tcPr>
        <w:tcBorders>
          <w:top w:val="single" w:sz="4" w:space="0" w:color="003399" w:themeColor="accent2"/>
          <w:left w:val="single" w:sz="4" w:space="0" w:color="003399" w:themeColor="accent2"/>
          <w:bottom w:val="single" w:sz="4" w:space="0" w:color="003399" w:themeColor="accent2"/>
          <w:right w:val="single" w:sz="4" w:space="0" w:color="003399" w:themeColor="accent2"/>
          <w:insideH w:val="nil"/>
        </w:tcBorders>
        <w:shd w:val="clear" w:color="auto" w:fill="003399" w:themeFill="accent2"/>
      </w:tcPr>
    </w:tblStylePr>
    <w:tblStylePr w:type="lastRow">
      <w:rPr>
        <w:b/>
        <w:bCs/>
      </w:rPr>
      <w:tblPr/>
      <w:tcPr>
        <w:tcBorders>
          <w:top w:val="double" w:sz="4" w:space="0" w:color="2870FF" w:themeColor="accent2" w:themeTint="99"/>
        </w:tcBorders>
      </w:tcPr>
    </w:tblStylePr>
    <w:tblStylePr w:type="firstCol">
      <w:rPr>
        <w:b/>
        <w:bCs/>
      </w:rPr>
    </w:tblStylePr>
    <w:tblStylePr w:type="lastCol">
      <w:rPr>
        <w:b/>
        <w:bCs/>
      </w:rPr>
    </w:tblStylePr>
    <w:tblStylePr w:type="band1Vert">
      <w:tblPr/>
      <w:tcPr>
        <w:shd w:val="clear" w:color="auto" w:fill="B7CFFF" w:themeFill="accent2" w:themeFillTint="33"/>
      </w:tcPr>
    </w:tblStylePr>
    <w:tblStylePr w:type="band1Horz">
      <w:tblPr/>
      <w:tcPr>
        <w:shd w:val="clear" w:color="auto" w:fill="B7CFFF" w:themeFill="accent2" w:themeFillTint="33"/>
      </w:tcPr>
    </w:tblStylePr>
  </w:style>
  <w:style w:type="table" w:styleId="ListTable4-Accent3">
    <w:name w:val="List Table 4 Accent 3"/>
    <w:basedOn w:val="TableNormal"/>
    <w:uiPriority w:val="49"/>
    <w:rsid w:val="00863572"/>
    <w:pPr>
      <w:spacing w:after="0" w:line="240" w:lineRule="auto"/>
    </w:pPr>
    <w:tblPr>
      <w:tblStyleRowBandSize w:val="1"/>
      <w:tblStyleColBandSize w:val="1"/>
      <w:tblBorders>
        <w:top w:val="single" w:sz="4" w:space="0" w:color="3ADAEE" w:themeColor="accent3" w:themeTint="99"/>
        <w:left w:val="single" w:sz="4" w:space="0" w:color="3ADAEE" w:themeColor="accent3" w:themeTint="99"/>
        <w:bottom w:val="single" w:sz="4" w:space="0" w:color="3ADAEE" w:themeColor="accent3" w:themeTint="99"/>
        <w:right w:val="single" w:sz="4" w:space="0" w:color="3ADAEE" w:themeColor="accent3" w:themeTint="99"/>
        <w:insideH w:val="single" w:sz="4" w:space="0" w:color="3ADAEE" w:themeColor="accent3" w:themeTint="99"/>
      </w:tblBorders>
    </w:tblPr>
    <w:tblStylePr w:type="firstRow">
      <w:rPr>
        <w:b/>
        <w:bCs/>
        <w:color w:val="F6F4EC" w:themeColor="background1"/>
      </w:rPr>
      <w:tblPr/>
      <w:tcPr>
        <w:tcBorders>
          <w:top w:val="single" w:sz="4" w:space="0" w:color="0C818F" w:themeColor="accent3"/>
          <w:left w:val="single" w:sz="4" w:space="0" w:color="0C818F" w:themeColor="accent3"/>
          <w:bottom w:val="single" w:sz="4" w:space="0" w:color="0C818F" w:themeColor="accent3"/>
          <w:right w:val="single" w:sz="4" w:space="0" w:color="0C818F" w:themeColor="accent3"/>
          <w:insideH w:val="nil"/>
        </w:tcBorders>
        <w:shd w:val="clear" w:color="auto" w:fill="0C818F" w:themeFill="accent3"/>
      </w:tcPr>
    </w:tblStylePr>
    <w:tblStylePr w:type="lastRow">
      <w:rPr>
        <w:b/>
        <w:bCs/>
      </w:rPr>
      <w:tblPr/>
      <w:tcPr>
        <w:tcBorders>
          <w:top w:val="double" w:sz="4" w:space="0" w:color="3ADAEE" w:themeColor="accent3" w:themeTint="99"/>
        </w:tcBorders>
      </w:tcPr>
    </w:tblStylePr>
    <w:tblStylePr w:type="firstCol">
      <w:rPr>
        <w:b/>
        <w:bCs/>
      </w:rPr>
    </w:tblStylePr>
    <w:tblStylePr w:type="lastCol">
      <w:rPr>
        <w:b/>
        <w:bCs/>
      </w:rPr>
    </w:tblStylePr>
    <w:tblStylePr w:type="band1Vert">
      <w:tblPr/>
      <w:tcPr>
        <w:shd w:val="clear" w:color="auto" w:fill="BDF3F9" w:themeFill="accent3" w:themeFillTint="33"/>
      </w:tcPr>
    </w:tblStylePr>
    <w:tblStylePr w:type="band1Horz">
      <w:tblPr/>
      <w:tcPr>
        <w:shd w:val="clear" w:color="auto" w:fill="BDF3F9" w:themeFill="accent3" w:themeFillTint="33"/>
      </w:tcPr>
    </w:tblStylePr>
  </w:style>
  <w:style w:type="table" w:styleId="ListTable3">
    <w:name w:val="List Table 3"/>
    <w:basedOn w:val="TableNormal"/>
    <w:uiPriority w:val="48"/>
    <w:rsid w:val="00863572"/>
    <w:pPr>
      <w:spacing w:after="0" w:line="240" w:lineRule="auto"/>
    </w:pPr>
    <w:tblPr>
      <w:tblStyleRowBandSize w:val="1"/>
      <w:tblStyleColBandSize w:val="1"/>
      <w:tblBorders>
        <w:top w:val="single" w:sz="4" w:space="0" w:color="15284C" w:themeColor="text1"/>
        <w:left w:val="single" w:sz="4" w:space="0" w:color="15284C" w:themeColor="text1"/>
        <w:bottom w:val="single" w:sz="4" w:space="0" w:color="15284C" w:themeColor="text1"/>
        <w:right w:val="single" w:sz="4" w:space="0" w:color="15284C" w:themeColor="text1"/>
      </w:tblBorders>
    </w:tblPr>
    <w:tblStylePr w:type="firstRow">
      <w:rPr>
        <w:b/>
        <w:bCs/>
        <w:color w:val="F6F4EC" w:themeColor="background1"/>
      </w:rPr>
      <w:tblPr/>
      <w:tcPr>
        <w:shd w:val="clear" w:color="auto" w:fill="15284C" w:themeFill="text1"/>
      </w:tcPr>
    </w:tblStylePr>
    <w:tblStylePr w:type="lastRow">
      <w:rPr>
        <w:b/>
        <w:bCs/>
      </w:rPr>
      <w:tblPr/>
      <w:tcPr>
        <w:tcBorders>
          <w:top w:val="double" w:sz="4" w:space="0" w:color="15284C" w:themeColor="text1"/>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15284C" w:themeColor="text1"/>
          <w:right w:val="single" w:sz="4" w:space="0" w:color="15284C" w:themeColor="text1"/>
        </w:tcBorders>
      </w:tcPr>
    </w:tblStylePr>
    <w:tblStylePr w:type="band1Horz">
      <w:tblPr/>
      <w:tcPr>
        <w:tcBorders>
          <w:top w:val="single" w:sz="4" w:space="0" w:color="15284C" w:themeColor="text1"/>
          <w:bottom w:val="single" w:sz="4" w:space="0" w:color="15284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284C" w:themeColor="text1"/>
          <w:left w:val="nil"/>
        </w:tcBorders>
      </w:tcPr>
    </w:tblStylePr>
    <w:tblStylePr w:type="swCell">
      <w:tblPr/>
      <w:tcPr>
        <w:tcBorders>
          <w:top w:val="double" w:sz="4" w:space="0" w:color="15284C" w:themeColor="text1"/>
          <w:right w:val="nil"/>
        </w:tcBorders>
      </w:tcPr>
    </w:tblStylePr>
  </w:style>
  <w:style w:type="table" w:styleId="ListTable4-Accent1">
    <w:name w:val="List Table 4 Accent 1"/>
    <w:basedOn w:val="TableNormal"/>
    <w:uiPriority w:val="49"/>
    <w:rsid w:val="00863572"/>
    <w:pPr>
      <w:spacing w:after="0" w:line="240" w:lineRule="auto"/>
    </w:pPr>
    <w:tblPr>
      <w:tblStyleRowBandSize w:val="1"/>
      <w:tblStyleColBandSize w:val="1"/>
      <w:tblBorders>
        <w:top w:val="single" w:sz="4" w:space="0" w:color="935ACF" w:themeColor="accent1" w:themeTint="99"/>
        <w:left w:val="single" w:sz="4" w:space="0" w:color="935ACF" w:themeColor="accent1" w:themeTint="99"/>
        <w:bottom w:val="single" w:sz="4" w:space="0" w:color="935ACF" w:themeColor="accent1" w:themeTint="99"/>
        <w:right w:val="single" w:sz="4" w:space="0" w:color="935ACF" w:themeColor="accent1" w:themeTint="99"/>
        <w:insideH w:val="single" w:sz="4" w:space="0" w:color="935ACF" w:themeColor="accent1" w:themeTint="99"/>
      </w:tblBorders>
    </w:tblPr>
    <w:tblStylePr w:type="firstRow">
      <w:rPr>
        <w:b/>
        <w:bCs/>
        <w:color w:val="F6F4EC" w:themeColor="background1"/>
      </w:rPr>
      <w:tblPr/>
      <w:tcPr>
        <w:tcBorders>
          <w:top w:val="single" w:sz="4" w:space="0" w:color="4D2379" w:themeColor="accent1"/>
          <w:left w:val="single" w:sz="4" w:space="0" w:color="4D2379" w:themeColor="accent1"/>
          <w:bottom w:val="single" w:sz="4" w:space="0" w:color="4D2379" w:themeColor="accent1"/>
          <w:right w:val="single" w:sz="4" w:space="0" w:color="4D2379" w:themeColor="accent1"/>
          <w:insideH w:val="nil"/>
        </w:tcBorders>
        <w:shd w:val="clear" w:color="auto" w:fill="4D2379" w:themeFill="accent1"/>
      </w:tcPr>
    </w:tblStylePr>
    <w:tblStylePr w:type="lastRow">
      <w:rPr>
        <w:b/>
        <w:bCs/>
      </w:rPr>
      <w:tblPr/>
      <w:tcPr>
        <w:tcBorders>
          <w:top w:val="double" w:sz="4" w:space="0" w:color="935ACF" w:themeColor="accent1" w:themeTint="99"/>
        </w:tcBorders>
      </w:tcPr>
    </w:tblStylePr>
    <w:tblStylePr w:type="firstCol">
      <w:rPr>
        <w:b/>
        <w:bCs/>
      </w:rPr>
    </w:tblStylePr>
    <w:tblStylePr w:type="lastCol">
      <w:rPr>
        <w:b/>
        <w:bCs/>
      </w:rPr>
    </w:tblStylePr>
    <w:tblStylePr w:type="band1Vert">
      <w:tblPr/>
      <w:tcPr>
        <w:shd w:val="clear" w:color="auto" w:fill="DAC7EF" w:themeFill="accent1" w:themeFillTint="33"/>
      </w:tcPr>
    </w:tblStylePr>
    <w:tblStylePr w:type="band1Horz">
      <w:tblPr/>
      <w:tcPr>
        <w:shd w:val="clear" w:color="auto" w:fill="DAC7EF" w:themeFill="accent1" w:themeFillTint="33"/>
      </w:tcPr>
    </w:tblStylePr>
  </w:style>
  <w:style w:type="table" w:styleId="ListTable4">
    <w:name w:val="List Table 4"/>
    <w:basedOn w:val="TableNormal"/>
    <w:uiPriority w:val="49"/>
    <w:rsid w:val="00863572"/>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tcBorders>
        <w:shd w:val="clear" w:color="auto" w:fill="15284C" w:themeFill="text1"/>
      </w:tcPr>
    </w:tblStylePr>
    <w:tblStylePr w:type="lastRow">
      <w:rPr>
        <w:b/>
        <w:bCs/>
      </w:rPr>
      <w:tblPr/>
      <w:tcPr>
        <w:tcBorders>
          <w:top w:val="double" w:sz="4" w:space="0" w:color="3C6DC9" w:themeColor="text1" w:themeTint="99"/>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ListTable3-Accent3">
    <w:name w:val="List Table 3 Accent 3"/>
    <w:basedOn w:val="TableNormal"/>
    <w:uiPriority w:val="48"/>
    <w:rsid w:val="00863572"/>
    <w:pPr>
      <w:spacing w:after="0" w:line="240" w:lineRule="auto"/>
    </w:pPr>
    <w:tblPr>
      <w:tblStyleRowBandSize w:val="1"/>
      <w:tblStyleColBandSize w:val="1"/>
      <w:tblBorders>
        <w:top w:val="single" w:sz="4" w:space="0" w:color="0C818F" w:themeColor="accent3"/>
        <w:left w:val="single" w:sz="4" w:space="0" w:color="0C818F" w:themeColor="accent3"/>
        <w:bottom w:val="single" w:sz="4" w:space="0" w:color="0C818F" w:themeColor="accent3"/>
        <w:right w:val="single" w:sz="4" w:space="0" w:color="0C818F" w:themeColor="accent3"/>
      </w:tblBorders>
    </w:tblPr>
    <w:tblStylePr w:type="firstRow">
      <w:rPr>
        <w:b/>
        <w:bCs/>
        <w:color w:val="F6F4EC" w:themeColor="background1"/>
      </w:rPr>
      <w:tblPr/>
      <w:tcPr>
        <w:shd w:val="clear" w:color="auto" w:fill="0C818F" w:themeFill="accent3"/>
      </w:tcPr>
    </w:tblStylePr>
    <w:tblStylePr w:type="lastRow">
      <w:rPr>
        <w:b/>
        <w:bCs/>
      </w:rPr>
      <w:tblPr/>
      <w:tcPr>
        <w:tcBorders>
          <w:top w:val="double" w:sz="4" w:space="0" w:color="0C818F" w:themeColor="accent3"/>
        </w:tcBorders>
        <w:shd w:val="clear" w:color="auto" w:fill="F6F4EC" w:themeFill="background1"/>
      </w:tcPr>
    </w:tblStylePr>
    <w:tblStylePr w:type="firstCol">
      <w:rPr>
        <w:b/>
        <w:bCs/>
      </w:rPr>
      <w:tblPr/>
      <w:tcPr>
        <w:tcBorders>
          <w:right w:val="nil"/>
        </w:tcBorders>
        <w:shd w:val="clear" w:color="auto" w:fill="F6F4EC" w:themeFill="background1"/>
      </w:tcPr>
    </w:tblStylePr>
    <w:tblStylePr w:type="lastCol">
      <w:rPr>
        <w:b/>
        <w:bCs/>
      </w:rPr>
      <w:tblPr/>
      <w:tcPr>
        <w:tcBorders>
          <w:left w:val="nil"/>
        </w:tcBorders>
        <w:shd w:val="clear" w:color="auto" w:fill="F6F4EC" w:themeFill="background1"/>
      </w:tcPr>
    </w:tblStylePr>
    <w:tblStylePr w:type="band1Vert">
      <w:tblPr/>
      <w:tcPr>
        <w:tcBorders>
          <w:left w:val="single" w:sz="4" w:space="0" w:color="0C818F" w:themeColor="accent3"/>
          <w:right w:val="single" w:sz="4" w:space="0" w:color="0C818F" w:themeColor="accent3"/>
        </w:tcBorders>
      </w:tcPr>
    </w:tblStylePr>
    <w:tblStylePr w:type="band1Horz">
      <w:tblPr/>
      <w:tcPr>
        <w:tcBorders>
          <w:top w:val="single" w:sz="4" w:space="0" w:color="0C818F" w:themeColor="accent3"/>
          <w:bottom w:val="single" w:sz="4" w:space="0" w:color="0C818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818F" w:themeColor="accent3"/>
          <w:left w:val="nil"/>
        </w:tcBorders>
      </w:tcPr>
    </w:tblStylePr>
    <w:tblStylePr w:type="swCell">
      <w:tblPr/>
      <w:tcPr>
        <w:tcBorders>
          <w:top w:val="double" w:sz="4" w:space="0" w:color="0C818F" w:themeColor="accent3"/>
          <w:right w:val="nil"/>
        </w:tcBorders>
      </w:tcPr>
    </w:tblStylePr>
  </w:style>
  <w:style w:type="paragraph" w:styleId="ListParagraph">
    <w:name w:val="List Paragraph"/>
    <w:aliases w:val="Letterd bullet,Bullets,Level 3,List Paragraph1,List Paragraph numbered,List Bullet indent,Body,Recommendation,List Paragraph11,TOC style,lp1,Bullet OSM,Proposal Bullet List,Rec para,Bullet Normal,Colorful List - Accent 11,Bullet Heading"/>
    <w:basedOn w:val="Normal"/>
    <w:link w:val="ListParagraphChar"/>
    <w:uiPriority w:val="34"/>
    <w:qFormat/>
    <w:rsid w:val="00730160"/>
    <w:pPr>
      <w:numPr>
        <w:numId w:val="14"/>
      </w:numPr>
      <w:spacing w:line="259" w:lineRule="auto"/>
    </w:pPr>
  </w:style>
  <w:style w:type="paragraph" w:styleId="BodyText">
    <w:name w:val="Body Text"/>
    <w:basedOn w:val="Normal"/>
    <w:link w:val="BodyTextChar"/>
    <w:semiHidden/>
    <w:rsid w:val="00C639EB"/>
    <w:pPr>
      <w:spacing w:after="120" w:line="240" w:lineRule="atLeast"/>
      <w:jc w:val="both"/>
    </w:pPr>
    <w:rPr>
      <w:rFonts w:eastAsia="Times New Roman"/>
      <w:kern w:val="22"/>
    </w:rPr>
  </w:style>
  <w:style w:type="character" w:customStyle="1" w:styleId="BodyTextChar">
    <w:name w:val="Body Text Char"/>
    <w:basedOn w:val="DefaultParagraphFont"/>
    <w:link w:val="BodyText"/>
    <w:rsid w:val="00C639EB"/>
    <w:rPr>
      <w:rFonts w:ascii="Arial" w:eastAsia="Times New Roman" w:hAnsi="Arial" w:cs="Arial"/>
      <w:kern w:val="22"/>
    </w:rPr>
  </w:style>
  <w:style w:type="paragraph" w:customStyle="1" w:styleId="ReportBody-TeWhatuOra">
    <w:name w:val="Report Body - Te Whatu Ora"/>
    <w:basedOn w:val="Normal"/>
    <w:link w:val="ReportBody-TeWhatuOraChar"/>
    <w:autoRedefine/>
    <w:rsid w:val="00C639EB"/>
    <w:pPr>
      <w:autoSpaceDE w:val="0"/>
      <w:autoSpaceDN w:val="0"/>
      <w:spacing w:line="360" w:lineRule="auto"/>
    </w:pPr>
    <w:rPr>
      <w:bCs/>
      <w:color w:val="15284C" w:themeColor="text1"/>
      <w:shd w:val="clear" w:color="auto" w:fill="FFFFFF"/>
      <w:lang w:eastAsia="en-NZ"/>
    </w:rPr>
  </w:style>
  <w:style w:type="character" w:customStyle="1" w:styleId="ReportBody-TeWhatuOraChar">
    <w:name w:val="Report Body - Te Whatu Ora Char"/>
    <w:basedOn w:val="DefaultParagraphFont"/>
    <w:link w:val="ReportBody-TeWhatuOra"/>
    <w:rsid w:val="00C639EB"/>
    <w:rPr>
      <w:rFonts w:ascii="Arial" w:eastAsia="Roboto" w:hAnsi="Arial" w:cs="Arial"/>
      <w:bCs/>
      <w:color w:val="15284C" w:themeColor="text1"/>
      <w:lang w:eastAsia="en-NZ"/>
    </w:rPr>
  </w:style>
  <w:style w:type="paragraph" w:customStyle="1" w:styleId="TableHeading2">
    <w:name w:val="Table Heading 2"/>
    <w:basedOn w:val="Normal"/>
    <w:link w:val="TableHeading2Char"/>
    <w:uiPriority w:val="2"/>
    <w:rsid w:val="00C639EB"/>
    <w:pPr>
      <w:spacing w:before="60" w:after="60" w:line="240" w:lineRule="atLeast"/>
    </w:pPr>
    <w:rPr>
      <w:rFonts w:eastAsia="Times New Roman"/>
      <w:b/>
      <w:bCs/>
      <w:color w:val="15284C" w:themeColor="text1"/>
      <w:sz w:val="20"/>
      <w:szCs w:val="14"/>
      <w:lang w:val="en-GB" w:eastAsia="en-GB"/>
    </w:rPr>
  </w:style>
  <w:style w:type="paragraph" w:customStyle="1" w:styleId="TableText">
    <w:name w:val="Table Text"/>
    <w:link w:val="TableTextChar"/>
    <w:uiPriority w:val="2"/>
    <w:rsid w:val="00C639EB"/>
    <w:pPr>
      <w:autoSpaceDE w:val="0"/>
      <w:autoSpaceDN w:val="0"/>
      <w:adjustRightInd w:val="0"/>
      <w:spacing w:before="60" w:after="60" w:line="240" w:lineRule="atLeast"/>
    </w:pPr>
    <w:rPr>
      <w:rFonts w:ascii="Arial" w:eastAsia="Times New Roman" w:hAnsi="Arial" w:cs="GillSans"/>
      <w:sz w:val="20"/>
      <w:szCs w:val="18"/>
      <w:lang w:val="en-GB" w:eastAsia="en-AU"/>
    </w:rPr>
  </w:style>
  <w:style w:type="character" w:styleId="PlaceholderText">
    <w:name w:val="Placeholder Text"/>
    <w:basedOn w:val="DefaultParagraphFont"/>
    <w:uiPriority w:val="99"/>
    <w:semiHidden/>
    <w:rsid w:val="00C639EB"/>
  </w:style>
  <w:style w:type="paragraph" w:customStyle="1" w:styleId="TableBold">
    <w:name w:val="Table Bold"/>
    <w:basedOn w:val="Normal"/>
    <w:link w:val="TableBoldChar"/>
    <w:uiPriority w:val="2"/>
    <w:rsid w:val="00C639EB"/>
    <w:pPr>
      <w:spacing w:before="60" w:after="60"/>
    </w:pPr>
    <w:rPr>
      <w:rFonts w:eastAsia="Times New Roman"/>
      <w:b/>
      <w:szCs w:val="20"/>
    </w:rPr>
  </w:style>
  <w:style w:type="character" w:customStyle="1" w:styleId="TableBoldChar">
    <w:name w:val="Table Bold Char"/>
    <w:basedOn w:val="DefaultParagraphFont"/>
    <w:link w:val="TableBold"/>
    <w:uiPriority w:val="2"/>
    <w:rsid w:val="00C639EB"/>
    <w:rPr>
      <w:rFonts w:ascii="Arial" w:eastAsia="Times New Roman" w:hAnsi="Arial" w:cs="Arial"/>
      <w:b/>
      <w:szCs w:val="20"/>
    </w:rPr>
  </w:style>
  <w:style w:type="character" w:customStyle="1" w:styleId="TableTextChar">
    <w:name w:val="Table Text Char"/>
    <w:basedOn w:val="DefaultParagraphFont"/>
    <w:link w:val="TableText"/>
    <w:uiPriority w:val="2"/>
    <w:rsid w:val="00C639EB"/>
    <w:rPr>
      <w:rFonts w:ascii="Arial" w:eastAsia="Times New Roman" w:hAnsi="Arial" w:cs="GillSans"/>
      <w:sz w:val="20"/>
      <w:szCs w:val="18"/>
      <w:lang w:val="en-GB" w:eastAsia="en-AU"/>
    </w:rPr>
  </w:style>
  <w:style w:type="table" w:styleId="PlainTable2">
    <w:name w:val="Plain Table 2"/>
    <w:basedOn w:val="TableNormal"/>
    <w:uiPriority w:val="42"/>
    <w:rsid w:val="00C558F3"/>
    <w:pPr>
      <w:spacing w:after="0" w:line="240" w:lineRule="auto"/>
    </w:pPr>
    <w:tblPr>
      <w:tblStyleRowBandSize w:val="1"/>
      <w:tblStyleColBandSize w:val="1"/>
      <w:tblBorders>
        <w:top w:val="single" w:sz="4" w:space="0" w:color="5C85D2" w:themeColor="text1" w:themeTint="80"/>
        <w:bottom w:val="single" w:sz="4" w:space="0" w:color="5C85D2" w:themeColor="text1" w:themeTint="80"/>
      </w:tblBorders>
    </w:tblPr>
    <w:tblStylePr w:type="firstRow">
      <w:rPr>
        <w:b/>
        <w:bCs/>
      </w:rPr>
      <w:tblPr/>
      <w:tcPr>
        <w:tcBorders>
          <w:bottom w:val="single" w:sz="4" w:space="0" w:color="5C85D2" w:themeColor="text1" w:themeTint="80"/>
        </w:tcBorders>
      </w:tcPr>
    </w:tblStylePr>
    <w:tblStylePr w:type="lastRow">
      <w:rPr>
        <w:b/>
        <w:bCs/>
      </w:rPr>
      <w:tblPr/>
      <w:tcPr>
        <w:tcBorders>
          <w:top w:val="single" w:sz="4" w:space="0" w:color="5C85D2" w:themeColor="text1" w:themeTint="80"/>
        </w:tcBorders>
      </w:tcPr>
    </w:tblStylePr>
    <w:tblStylePr w:type="firstCol">
      <w:rPr>
        <w:b/>
        <w:bCs/>
      </w:rPr>
    </w:tblStylePr>
    <w:tblStylePr w:type="lastCol">
      <w:rPr>
        <w:b/>
        <w:bCs/>
      </w:rPr>
    </w:tblStylePr>
    <w:tblStylePr w:type="band1Vert">
      <w:tblPr/>
      <w:tcPr>
        <w:tcBorders>
          <w:left w:val="single" w:sz="4" w:space="0" w:color="5C85D2" w:themeColor="text1" w:themeTint="80"/>
          <w:right w:val="single" w:sz="4" w:space="0" w:color="5C85D2" w:themeColor="text1" w:themeTint="80"/>
        </w:tcBorders>
      </w:tcPr>
    </w:tblStylePr>
    <w:tblStylePr w:type="band2Vert">
      <w:tblPr/>
      <w:tcPr>
        <w:tcBorders>
          <w:left w:val="single" w:sz="4" w:space="0" w:color="5C85D2" w:themeColor="text1" w:themeTint="80"/>
          <w:right w:val="single" w:sz="4" w:space="0" w:color="5C85D2" w:themeColor="text1" w:themeTint="80"/>
        </w:tcBorders>
      </w:tcPr>
    </w:tblStylePr>
    <w:tblStylePr w:type="band1Horz">
      <w:tblPr/>
      <w:tcPr>
        <w:tcBorders>
          <w:top w:val="single" w:sz="4" w:space="0" w:color="5C85D2" w:themeColor="text1" w:themeTint="80"/>
          <w:bottom w:val="single" w:sz="4" w:space="0" w:color="5C85D2" w:themeColor="text1" w:themeTint="80"/>
        </w:tcBorders>
      </w:tcPr>
    </w:tblStylePr>
  </w:style>
  <w:style w:type="table" w:styleId="GridTable1Light-Accent2">
    <w:name w:val="Grid Table 1 Light Accent 2"/>
    <w:basedOn w:val="TableNormal"/>
    <w:uiPriority w:val="46"/>
    <w:rsid w:val="00C558F3"/>
    <w:pPr>
      <w:spacing w:after="0" w:line="240" w:lineRule="auto"/>
    </w:pPr>
    <w:tblPr>
      <w:tblStyleRowBandSize w:val="1"/>
      <w:tblStyleColBandSize w:val="1"/>
      <w:tblBorders>
        <w:top w:val="single" w:sz="4" w:space="0" w:color="709FFF" w:themeColor="accent2" w:themeTint="66"/>
        <w:left w:val="single" w:sz="4" w:space="0" w:color="709FFF" w:themeColor="accent2" w:themeTint="66"/>
        <w:bottom w:val="single" w:sz="4" w:space="0" w:color="709FFF" w:themeColor="accent2" w:themeTint="66"/>
        <w:right w:val="single" w:sz="4" w:space="0" w:color="709FFF" w:themeColor="accent2" w:themeTint="66"/>
        <w:insideH w:val="single" w:sz="4" w:space="0" w:color="709FFF" w:themeColor="accent2" w:themeTint="66"/>
        <w:insideV w:val="single" w:sz="4" w:space="0" w:color="709FFF" w:themeColor="accent2" w:themeTint="66"/>
      </w:tblBorders>
    </w:tblPr>
    <w:tblStylePr w:type="firstRow">
      <w:rPr>
        <w:b/>
        <w:bCs/>
      </w:rPr>
      <w:tblPr/>
      <w:tcPr>
        <w:tcBorders>
          <w:bottom w:val="single" w:sz="12" w:space="0" w:color="2870FF" w:themeColor="accent2" w:themeTint="99"/>
        </w:tcBorders>
      </w:tcPr>
    </w:tblStylePr>
    <w:tblStylePr w:type="lastRow">
      <w:rPr>
        <w:b/>
        <w:bCs/>
      </w:rPr>
      <w:tblPr/>
      <w:tcPr>
        <w:tcBorders>
          <w:top w:val="double" w:sz="2" w:space="0" w:color="2870FF"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A25298"/>
    <w:pPr>
      <w:spacing w:after="0" w:line="240" w:lineRule="auto"/>
    </w:pPr>
    <w:tblPr>
      <w:tblStyleRowBandSize w:val="1"/>
      <w:tblStyleColBandSize w:val="1"/>
      <w:tblBorders>
        <w:top w:val="single" w:sz="4" w:space="0" w:color="3C6DC9" w:themeColor="text1" w:themeTint="99"/>
        <w:left w:val="single" w:sz="4" w:space="0" w:color="3C6DC9" w:themeColor="text1" w:themeTint="99"/>
        <w:bottom w:val="single" w:sz="4" w:space="0" w:color="3C6DC9" w:themeColor="text1" w:themeTint="99"/>
        <w:right w:val="single" w:sz="4" w:space="0" w:color="3C6DC9" w:themeColor="text1" w:themeTint="99"/>
        <w:insideH w:val="single" w:sz="4" w:space="0" w:color="3C6DC9" w:themeColor="text1" w:themeTint="99"/>
        <w:insideV w:val="single" w:sz="4" w:space="0" w:color="3C6DC9" w:themeColor="text1" w:themeTint="99"/>
      </w:tblBorders>
    </w:tblPr>
    <w:tblStylePr w:type="firstRow">
      <w:rPr>
        <w:b/>
        <w:bCs/>
        <w:color w:val="F6F4EC" w:themeColor="background1"/>
      </w:rPr>
      <w:tblPr/>
      <w:tcPr>
        <w:tcBorders>
          <w:top w:val="single" w:sz="4" w:space="0" w:color="15284C" w:themeColor="text1"/>
          <w:left w:val="single" w:sz="4" w:space="0" w:color="15284C" w:themeColor="text1"/>
          <w:bottom w:val="single" w:sz="4" w:space="0" w:color="15284C" w:themeColor="text1"/>
          <w:right w:val="single" w:sz="4" w:space="0" w:color="15284C" w:themeColor="text1"/>
          <w:insideH w:val="nil"/>
          <w:insideV w:val="nil"/>
        </w:tcBorders>
        <w:shd w:val="clear" w:color="auto" w:fill="15284C" w:themeFill="text1"/>
      </w:tcPr>
    </w:tblStylePr>
    <w:tblStylePr w:type="lastRow">
      <w:rPr>
        <w:b/>
        <w:bCs/>
      </w:rPr>
      <w:tblPr/>
      <w:tcPr>
        <w:tcBorders>
          <w:top w:val="double" w:sz="4" w:space="0" w:color="15284C" w:themeColor="text1"/>
        </w:tcBorders>
      </w:tcPr>
    </w:tblStylePr>
    <w:tblStylePr w:type="firstCol">
      <w:rPr>
        <w:b/>
        <w:bCs/>
      </w:rPr>
    </w:tblStylePr>
    <w:tblStylePr w:type="lastCol">
      <w:rPr>
        <w:b/>
        <w:bCs/>
      </w:rPr>
    </w:tblStylePr>
    <w:tblStylePr w:type="band1Vert">
      <w:tblPr/>
      <w:tcPr>
        <w:shd w:val="clear" w:color="auto" w:fill="BECEED" w:themeFill="text1" w:themeFillTint="33"/>
      </w:tcPr>
    </w:tblStylePr>
    <w:tblStylePr w:type="band1Horz">
      <w:tblPr/>
      <w:tcPr>
        <w:shd w:val="clear" w:color="auto" w:fill="BECEED" w:themeFill="text1" w:themeFillTint="33"/>
      </w:tcPr>
    </w:tblStylePr>
  </w:style>
  <w:style w:type="table" w:styleId="GridTable4-Accent5">
    <w:name w:val="Grid Table 4 Accent 5"/>
    <w:basedOn w:val="TableNormal"/>
    <w:uiPriority w:val="49"/>
    <w:rsid w:val="00A25298"/>
    <w:pPr>
      <w:spacing w:after="0" w:line="240" w:lineRule="auto"/>
    </w:pPr>
    <w:tblPr>
      <w:tblStyleRowBandSize w:val="1"/>
      <w:tblStyleColBandSize w:val="1"/>
      <w:tblBorders>
        <w:top w:val="single" w:sz="4" w:space="0" w:color="3C6DC9" w:themeColor="accent5" w:themeTint="99"/>
        <w:left w:val="single" w:sz="4" w:space="0" w:color="3C6DC9" w:themeColor="accent5" w:themeTint="99"/>
        <w:bottom w:val="single" w:sz="4" w:space="0" w:color="3C6DC9" w:themeColor="accent5" w:themeTint="99"/>
        <w:right w:val="single" w:sz="4" w:space="0" w:color="3C6DC9" w:themeColor="accent5" w:themeTint="99"/>
        <w:insideH w:val="single" w:sz="4" w:space="0" w:color="3C6DC9" w:themeColor="accent5" w:themeTint="99"/>
        <w:insideV w:val="single" w:sz="4" w:space="0" w:color="3C6DC9" w:themeColor="accent5" w:themeTint="99"/>
      </w:tblBorders>
    </w:tblPr>
    <w:tblStylePr w:type="firstRow">
      <w:rPr>
        <w:b/>
        <w:bCs/>
        <w:color w:val="F6F4EC" w:themeColor="background1"/>
      </w:rPr>
      <w:tblPr/>
      <w:tcPr>
        <w:tcBorders>
          <w:top w:val="single" w:sz="4" w:space="0" w:color="15284C" w:themeColor="accent5"/>
          <w:left w:val="single" w:sz="4" w:space="0" w:color="15284C" w:themeColor="accent5"/>
          <w:bottom w:val="single" w:sz="4" w:space="0" w:color="15284C" w:themeColor="accent5"/>
          <w:right w:val="single" w:sz="4" w:space="0" w:color="15284C" w:themeColor="accent5"/>
          <w:insideH w:val="nil"/>
          <w:insideV w:val="nil"/>
        </w:tcBorders>
        <w:shd w:val="clear" w:color="auto" w:fill="15284C" w:themeFill="accent5"/>
      </w:tcPr>
    </w:tblStylePr>
    <w:tblStylePr w:type="lastRow">
      <w:rPr>
        <w:b/>
        <w:bCs/>
      </w:rPr>
      <w:tblPr/>
      <w:tcPr>
        <w:tcBorders>
          <w:top w:val="double" w:sz="4" w:space="0" w:color="15284C" w:themeColor="accent5"/>
        </w:tcBorders>
      </w:tcPr>
    </w:tblStylePr>
    <w:tblStylePr w:type="firstCol">
      <w:rPr>
        <w:b/>
        <w:bCs/>
      </w:rPr>
    </w:tblStylePr>
    <w:tblStylePr w:type="lastCol">
      <w:rPr>
        <w:b/>
        <w:bCs/>
      </w:rPr>
    </w:tblStylePr>
    <w:tblStylePr w:type="band1Vert">
      <w:tblPr/>
      <w:tcPr>
        <w:shd w:val="clear" w:color="auto" w:fill="BECEED" w:themeFill="accent5" w:themeFillTint="33"/>
      </w:tcPr>
    </w:tblStylePr>
    <w:tblStylePr w:type="band1Horz">
      <w:tblPr/>
      <w:tcPr>
        <w:shd w:val="clear" w:color="auto" w:fill="BECEED" w:themeFill="accent5" w:themeFillTint="33"/>
      </w:tcPr>
    </w:tblStylePr>
  </w:style>
  <w:style w:type="paragraph" w:customStyle="1" w:styleId="Bold">
    <w:name w:val="Bold"/>
    <w:basedOn w:val="TableHeading2"/>
    <w:link w:val="BoldChar"/>
    <w:rsid w:val="00F03012"/>
    <w:rPr>
      <w:rFonts w:eastAsia="Roboto"/>
      <w:color w:val="auto"/>
    </w:rPr>
  </w:style>
  <w:style w:type="character" w:customStyle="1" w:styleId="TableHeading2Char">
    <w:name w:val="Table Heading 2 Char"/>
    <w:basedOn w:val="DefaultParagraphFont"/>
    <w:link w:val="TableHeading2"/>
    <w:uiPriority w:val="2"/>
    <w:rsid w:val="00F03012"/>
    <w:rPr>
      <w:rFonts w:ascii="Arial" w:eastAsia="Times New Roman" w:hAnsi="Arial" w:cs="Arial"/>
      <w:b/>
      <w:bCs/>
      <w:color w:val="15284C" w:themeColor="text1"/>
      <w:sz w:val="20"/>
      <w:szCs w:val="14"/>
      <w:lang w:val="en-GB" w:eastAsia="en-GB"/>
    </w:rPr>
  </w:style>
  <w:style w:type="character" w:customStyle="1" w:styleId="BoldChar">
    <w:name w:val="Bold Char"/>
    <w:basedOn w:val="TableHeading2Char"/>
    <w:link w:val="Bold"/>
    <w:rsid w:val="00F03012"/>
    <w:rPr>
      <w:rFonts w:ascii="Arial" w:eastAsia="Roboto" w:hAnsi="Arial" w:cs="Arial"/>
      <w:b/>
      <w:bCs/>
      <w:color w:val="15284C" w:themeColor="text1"/>
      <w:sz w:val="20"/>
      <w:szCs w:val="14"/>
      <w:lang w:val="en-GB" w:eastAsia="en-GB"/>
    </w:rPr>
  </w:style>
  <w:style w:type="paragraph" w:customStyle="1" w:styleId="Bold11pt">
    <w:name w:val="Bold 11pt"/>
    <w:basedOn w:val="Bold"/>
    <w:link w:val="Bold11ptChar"/>
    <w:rsid w:val="00EC5AC0"/>
    <w:rPr>
      <w:sz w:val="22"/>
      <w:szCs w:val="22"/>
    </w:rPr>
  </w:style>
  <w:style w:type="character" w:customStyle="1" w:styleId="Bold11ptChar">
    <w:name w:val="Bold 11pt Char"/>
    <w:basedOn w:val="BoldChar"/>
    <w:link w:val="Bold11pt"/>
    <w:rsid w:val="00EC5AC0"/>
    <w:rPr>
      <w:rFonts w:ascii="Arial" w:eastAsia="Roboto" w:hAnsi="Arial" w:cs="Arial"/>
      <w:b/>
      <w:bCs/>
      <w:color w:val="15284C" w:themeColor="text1"/>
      <w:sz w:val="20"/>
      <w:szCs w:val="14"/>
      <w:lang w:val="en-GB" w:eastAsia="en-GB"/>
    </w:rPr>
  </w:style>
  <w:style w:type="paragraph" w:customStyle="1" w:styleId="Bulletpoints">
    <w:name w:val="Bullet points"/>
    <w:basedOn w:val="ListParagraph"/>
    <w:link w:val="BulletpointsChar"/>
    <w:qFormat/>
    <w:rsid w:val="00102DCD"/>
    <w:pPr>
      <w:numPr>
        <w:numId w:val="4"/>
      </w:numPr>
      <w:ind w:left="357" w:hanging="357"/>
    </w:pPr>
    <w:rPr>
      <w:shd w:val="clear" w:color="auto" w:fill="FFFFFF"/>
    </w:rPr>
  </w:style>
  <w:style w:type="character" w:customStyle="1" w:styleId="ListParagraphChar">
    <w:name w:val="List Paragraph Char"/>
    <w:aliases w:val="Letterd bullet Char,Bullets Char,Level 3 Char,List Paragraph1 Char,List Paragraph numbered Char,List Bullet indent Char,Body Char,Recommendation Char,List Paragraph11 Char,TOC style Char,lp1 Char,Bullet OSM Char,Rec para Char"/>
    <w:basedOn w:val="DefaultParagraphFont"/>
    <w:link w:val="ListParagraph"/>
    <w:uiPriority w:val="34"/>
    <w:qFormat/>
    <w:rsid w:val="00730160"/>
    <w:rPr>
      <w:rFonts w:ascii="Arial" w:eastAsia="Roboto" w:hAnsi="Arial" w:cs="Arial"/>
      <w:lang w:val="en-US"/>
    </w:rPr>
  </w:style>
  <w:style w:type="character" w:customStyle="1" w:styleId="BulletpointsChar">
    <w:name w:val="Bullet points Char"/>
    <w:basedOn w:val="ListParagraphChar"/>
    <w:link w:val="Bulletpoints"/>
    <w:rsid w:val="00102DCD"/>
    <w:rPr>
      <w:rFonts w:ascii="Arial" w:eastAsia="Roboto" w:hAnsi="Arial" w:cs="Arial"/>
      <w:lang w:val="en-US"/>
    </w:rPr>
  </w:style>
  <w:style w:type="paragraph" w:customStyle="1" w:styleId="Footerbody">
    <w:name w:val="Footer body"/>
    <w:basedOn w:val="Normal"/>
    <w:link w:val="FooterbodyChar"/>
    <w:qFormat/>
    <w:rsid w:val="001D3387"/>
    <w:rPr>
      <w:sz w:val="18"/>
      <w:szCs w:val="18"/>
    </w:rPr>
  </w:style>
  <w:style w:type="character" w:customStyle="1" w:styleId="FooterbodyChar">
    <w:name w:val="Footer body Char"/>
    <w:basedOn w:val="DefaultParagraphFont"/>
    <w:link w:val="Footerbody"/>
    <w:rsid w:val="001D3387"/>
    <w:rPr>
      <w:rFonts w:ascii="Arial" w:eastAsia="Roboto" w:hAnsi="Arial" w:cs="Arial"/>
      <w:sz w:val="18"/>
      <w:szCs w:val="18"/>
      <w:lang w:val="en-US"/>
    </w:rPr>
  </w:style>
  <w:style w:type="paragraph" w:customStyle="1" w:styleId="Numberedbullets">
    <w:name w:val="Numbered bullets"/>
    <w:basedOn w:val="Normal"/>
    <w:link w:val="NumberedbulletsChar"/>
    <w:qFormat/>
    <w:rsid w:val="00F70943"/>
    <w:pPr>
      <w:widowControl w:val="0"/>
      <w:numPr>
        <w:numId w:val="2"/>
      </w:numPr>
      <w:autoSpaceDE w:val="0"/>
      <w:autoSpaceDN w:val="0"/>
      <w:spacing w:line="259" w:lineRule="auto"/>
      <w:ind w:left="357" w:hanging="357"/>
    </w:pPr>
    <w:rPr>
      <w:rFonts w:eastAsia="Arial"/>
      <w:shd w:val="clear" w:color="auto" w:fill="FFFFFF"/>
    </w:rPr>
  </w:style>
  <w:style w:type="character" w:customStyle="1" w:styleId="NumberedbulletsChar">
    <w:name w:val="Numbered bullets Char"/>
    <w:basedOn w:val="DefaultParagraphFont"/>
    <w:link w:val="Numberedbullets"/>
    <w:rsid w:val="00F70943"/>
    <w:rPr>
      <w:rFonts w:ascii="Arial" w:eastAsia="Arial" w:hAnsi="Arial" w:cs="Arial"/>
      <w:lang w:val="en-US"/>
    </w:rPr>
  </w:style>
  <w:style w:type="paragraph" w:customStyle="1" w:styleId="Heading30">
    <w:name w:val="Heading3"/>
    <w:basedOn w:val="Heading3"/>
    <w:link w:val="Heading3Char0"/>
    <w:rsid w:val="00C657FB"/>
    <w:rPr>
      <w:rFonts w:cs="Arial"/>
      <w:i/>
      <w:iCs w:val="0"/>
      <w:color w:val="auto"/>
      <w:sz w:val="22"/>
      <w:szCs w:val="22"/>
    </w:rPr>
  </w:style>
  <w:style w:type="character" w:customStyle="1" w:styleId="Heading3Char0">
    <w:name w:val="Heading3 Char"/>
    <w:basedOn w:val="Heading3Char"/>
    <w:link w:val="Heading30"/>
    <w:rsid w:val="00C657FB"/>
    <w:rPr>
      <w:rFonts w:ascii="Arial" w:eastAsia="Roboto" w:hAnsi="Arial" w:cs="Arial"/>
      <w:b/>
      <w:bCs/>
      <w:i/>
      <w:iCs w:val="0"/>
      <w:noProof/>
      <w:color w:val="15284C"/>
      <w:sz w:val="28"/>
      <w:szCs w:val="28"/>
      <w:lang w:val="en-US"/>
    </w:rPr>
  </w:style>
  <w:style w:type="paragraph" w:customStyle="1" w:styleId="Default">
    <w:name w:val="Default"/>
    <w:rsid w:val="00B41E8A"/>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rsid w:val="00B73C43"/>
    <w:pPr>
      <w:widowControl w:val="0"/>
      <w:autoSpaceDE w:val="0"/>
      <w:autoSpaceDN w:val="0"/>
      <w:spacing w:after="0"/>
      <w:ind w:left="105"/>
    </w:pPr>
    <w:rPr>
      <w:rFonts w:eastAsia="Arial"/>
    </w:rPr>
  </w:style>
  <w:style w:type="character" w:styleId="CommentReference">
    <w:name w:val="annotation reference"/>
    <w:basedOn w:val="DefaultParagraphFont"/>
    <w:uiPriority w:val="99"/>
    <w:semiHidden/>
    <w:unhideWhenUsed/>
    <w:rsid w:val="00B27441"/>
    <w:rPr>
      <w:sz w:val="16"/>
      <w:szCs w:val="16"/>
    </w:rPr>
  </w:style>
  <w:style w:type="paragraph" w:styleId="CommentText">
    <w:name w:val="annotation text"/>
    <w:basedOn w:val="Normal"/>
    <w:link w:val="CommentTextChar"/>
    <w:uiPriority w:val="99"/>
    <w:unhideWhenUsed/>
    <w:rsid w:val="00B27441"/>
    <w:rPr>
      <w:sz w:val="20"/>
      <w:szCs w:val="20"/>
    </w:rPr>
  </w:style>
  <w:style w:type="character" w:customStyle="1" w:styleId="CommentTextChar">
    <w:name w:val="Comment Text Char"/>
    <w:basedOn w:val="DefaultParagraphFont"/>
    <w:link w:val="CommentText"/>
    <w:uiPriority w:val="99"/>
    <w:rsid w:val="00B27441"/>
    <w:rPr>
      <w:rFonts w:ascii="Arial" w:eastAsia="Roboto"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633619"/>
    <w:rPr>
      <w:b/>
      <w:bCs/>
    </w:rPr>
  </w:style>
  <w:style w:type="character" w:customStyle="1" w:styleId="CommentSubjectChar">
    <w:name w:val="Comment Subject Char"/>
    <w:basedOn w:val="CommentTextChar"/>
    <w:link w:val="CommentSubject"/>
    <w:uiPriority w:val="99"/>
    <w:semiHidden/>
    <w:rsid w:val="00633619"/>
    <w:rPr>
      <w:rFonts w:ascii="Arial" w:eastAsia="Roboto" w:hAnsi="Arial" w:cs="Arial"/>
      <w:b/>
      <w:bCs/>
      <w:sz w:val="20"/>
      <w:szCs w:val="20"/>
      <w:lang w:val="en-US"/>
    </w:rPr>
  </w:style>
  <w:style w:type="character" w:customStyle="1" w:styleId="Heading4Char">
    <w:name w:val="Heading 4 Char"/>
    <w:basedOn w:val="DefaultParagraphFont"/>
    <w:link w:val="Heading4"/>
    <w:uiPriority w:val="9"/>
    <w:rsid w:val="00102DCD"/>
    <w:rPr>
      <w:rFonts w:ascii="Arial" w:eastAsiaTheme="majorEastAsia" w:hAnsi="Arial" w:cstheme="majorBidi"/>
      <w:b/>
      <w:iCs/>
      <w:sz w:val="24"/>
      <w:lang w:val="en-US"/>
    </w:rPr>
  </w:style>
  <w:style w:type="paragraph" w:customStyle="1" w:styleId="Letteredbullet">
    <w:name w:val="Lettered bullet"/>
    <w:basedOn w:val="Numberedbullets"/>
    <w:qFormat/>
    <w:rsid w:val="00730160"/>
    <w:pPr>
      <w:numPr>
        <w:ilvl w:val="1"/>
      </w:numPr>
      <w:ind w:left="811" w:hanging="357"/>
    </w:pPr>
    <w:rPr>
      <w:shd w:val="clear" w:color="auto" w:fill="auto"/>
    </w:rPr>
  </w:style>
  <w:style w:type="paragraph" w:styleId="Revision">
    <w:name w:val="Revision"/>
    <w:hidden/>
    <w:uiPriority w:val="99"/>
    <w:semiHidden/>
    <w:rsid w:val="00800214"/>
    <w:pPr>
      <w:spacing w:after="0" w:line="240" w:lineRule="auto"/>
    </w:pPr>
    <w:rPr>
      <w:rFonts w:ascii="Arial" w:eastAsia="Roboto" w:hAnsi="Arial" w:cs="Arial"/>
      <w:noProof/>
    </w:rPr>
  </w:style>
  <w:style w:type="character" w:styleId="UnresolvedMention">
    <w:name w:val="Unresolved Mention"/>
    <w:basedOn w:val="DefaultParagraphFont"/>
    <w:uiPriority w:val="99"/>
    <w:semiHidden/>
    <w:unhideWhenUsed/>
    <w:rsid w:val="003E28CA"/>
    <w:rPr>
      <w:color w:val="605E5C"/>
      <w:shd w:val="clear" w:color="auto" w:fill="E1DFDD"/>
    </w:rPr>
  </w:style>
  <w:style w:type="paragraph" w:customStyle="1" w:styleId="paragraph">
    <w:name w:val="paragraph"/>
    <w:basedOn w:val="Normal"/>
    <w:rsid w:val="00C12FAA"/>
    <w:pPr>
      <w:spacing w:before="100" w:beforeAutospacing="1" w:after="100" w:afterAutospacing="1"/>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C12FAA"/>
  </w:style>
  <w:style w:type="paragraph" w:styleId="FootnoteText">
    <w:name w:val="footnote text"/>
    <w:basedOn w:val="Normal"/>
    <w:link w:val="FootnoteTextChar"/>
    <w:uiPriority w:val="99"/>
    <w:semiHidden/>
    <w:unhideWhenUsed/>
    <w:rsid w:val="00C12FAA"/>
    <w:pPr>
      <w:spacing w:after="0"/>
    </w:pPr>
    <w:rPr>
      <w:rFonts w:eastAsia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C12FAA"/>
    <w:rPr>
      <w:rFonts w:ascii="Arial" w:hAnsi="Arial" w:cs="Arial"/>
      <w:kern w:val="2"/>
      <w:sz w:val="20"/>
      <w:szCs w:val="20"/>
      <w14:ligatures w14:val="standardContextual"/>
    </w:rPr>
  </w:style>
  <w:style w:type="character" w:styleId="FootnoteReference">
    <w:name w:val="footnote reference"/>
    <w:basedOn w:val="DefaultParagraphFont"/>
    <w:uiPriority w:val="99"/>
    <w:semiHidden/>
    <w:unhideWhenUsed/>
    <w:rsid w:val="00C12FAA"/>
    <w:rPr>
      <w:vertAlign w:val="superscript"/>
    </w:rPr>
  </w:style>
  <w:style w:type="character" w:styleId="Mention">
    <w:name w:val="Mention"/>
    <w:basedOn w:val="DefaultParagraphFont"/>
    <w:uiPriority w:val="99"/>
    <w:unhideWhenUsed/>
    <w:rsid w:val="00CA3A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692">
      <w:bodyDiv w:val="1"/>
      <w:marLeft w:val="0"/>
      <w:marRight w:val="0"/>
      <w:marTop w:val="0"/>
      <w:marBottom w:val="0"/>
      <w:divBdr>
        <w:top w:val="none" w:sz="0" w:space="0" w:color="auto"/>
        <w:left w:val="none" w:sz="0" w:space="0" w:color="auto"/>
        <w:bottom w:val="none" w:sz="0" w:space="0" w:color="auto"/>
        <w:right w:val="none" w:sz="0" w:space="0" w:color="auto"/>
      </w:divBdr>
    </w:div>
    <w:div w:id="23412010">
      <w:bodyDiv w:val="1"/>
      <w:marLeft w:val="0"/>
      <w:marRight w:val="0"/>
      <w:marTop w:val="0"/>
      <w:marBottom w:val="0"/>
      <w:divBdr>
        <w:top w:val="none" w:sz="0" w:space="0" w:color="auto"/>
        <w:left w:val="none" w:sz="0" w:space="0" w:color="auto"/>
        <w:bottom w:val="none" w:sz="0" w:space="0" w:color="auto"/>
        <w:right w:val="none" w:sz="0" w:space="0" w:color="auto"/>
      </w:divBdr>
    </w:div>
    <w:div w:id="80374451">
      <w:bodyDiv w:val="1"/>
      <w:marLeft w:val="0"/>
      <w:marRight w:val="0"/>
      <w:marTop w:val="0"/>
      <w:marBottom w:val="0"/>
      <w:divBdr>
        <w:top w:val="none" w:sz="0" w:space="0" w:color="auto"/>
        <w:left w:val="none" w:sz="0" w:space="0" w:color="auto"/>
        <w:bottom w:val="none" w:sz="0" w:space="0" w:color="auto"/>
        <w:right w:val="none" w:sz="0" w:space="0" w:color="auto"/>
      </w:divBdr>
    </w:div>
    <w:div w:id="90666814">
      <w:bodyDiv w:val="1"/>
      <w:marLeft w:val="0"/>
      <w:marRight w:val="0"/>
      <w:marTop w:val="0"/>
      <w:marBottom w:val="0"/>
      <w:divBdr>
        <w:top w:val="none" w:sz="0" w:space="0" w:color="auto"/>
        <w:left w:val="none" w:sz="0" w:space="0" w:color="auto"/>
        <w:bottom w:val="none" w:sz="0" w:space="0" w:color="auto"/>
        <w:right w:val="none" w:sz="0" w:space="0" w:color="auto"/>
      </w:divBdr>
    </w:div>
    <w:div w:id="101263238">
      <w:bodyDiv w:val="1"/>
      <w:marLeft w:val="0"/>
      <w:marRight w:val="0"/>
      <w:marTop w:val="0"/>
      <w:marBottom w:val="0"/>
      <w:divBdr>
        <w:top w:val="none" w:sz="0" w:space="0" w:color="auto"/>
        <w:left w:val="none" w:sz="0" w:space="0" w:color="auto"/>
        <w:bottom w:val="none" w:sz="0" w:space="0" w:color="auto"/>
        <w:right w:val="none" w:sz="0" w:space="0" w:color="auto"/>
      </w:divBdr>
    </w:div>
    <w:div w:id="162283690">
      <w:bodyDiv w:val="1"/>
      <w:marLeft w:val="0"/>
      <w:marRight w:val="0"/>
      <w:marTop w:val="0"/>
      <w:marBottom w:val="0"/>
      <w:divBdr>
        <w:top w:val="none" w:sz="0" w:space="0" w:color="auto"/>
        <w:left w:val="none" w:sz="0" w:space="0" w:color="auto"/>
        <w:bottom w:val="none" w:sz="0" w:space="0" w:color="auto"/>
        <w:right w:val="none" w:sz="0" w:space="0" w:color="auto"/>
      </w:divBdr>
    </w:div>
    <w:div w:id="163017010">
      <w:bodyDiv w:val="1"/>
      <w:marLeft w:val="0"/>
      <w:marRight w:val="0"/>
      <w:marTop w:val="0"/>
      <w:marBottom w:val="0"/>
      <w:divBdr>
        <w:top w:val="none" w:sz="0" w:space="0" w:color="auto"/>
        <w:left w:val="none" w:sz="0" w:space="0" w:color="auto"/>
        <w:bottom w:val="none" w:sz="0" w:space="0" w:color="auto"/>
        <w:right w:val="none" w:sz="0" w:space="0" w:color="auto"/>
      </w:divBdr>
    </w:div>
    <w:div w:id="221184042">
      <w:bodyDiv w:val="1"/>
      <w:marLeft w:val="0"/>
      <w:marRight w:val="0"/>
      <w:marTop w:val="0"/>
      <w:marBottom w:val="0"/>
      <w:divBdr>
        <w:top w:val="none" w:sz="0" w:space="0" w:color="auto"/>
        <w:left w:val="none" w:sz="0" w:space="0" w:color="auto"/>
        <w:bottom w:val="none" w:sz="0" w:space="0" w:color="auto"/>
        <w:right w:val="none" w:sz="0" w:space="0" w:color="auto"/>
      </w:divBdr>
    </w:div>
    <w:div w:id="225800079">
      <w:bodyDiv w:val="1"/>
      <w:marLeft w:val="0"/>
      <w:marRight w:val="0"/>
      <w:marTop w:val="0"/>
      <w:marBottom w:val="0"/>
      <w:divBdr>
        <w:top w:val="none" w:sz="0" w:space="0" w:color="auto"/>
        <w:left w:val="none" w:sz="0" w:space="0" w:color="auto"/>
        <w:bottom w:val="none" w:sz="0" w:space="0" w:color="auto"/>
        <w:right w:val="none" w:sz="0" w:space="0" w:color="auto"/>
      </w:divBdr>
    </w:div>
    <w:div w:id="238832849">
      <w:bodyDiv w:val="1"/>
      <w:marLeft w:val="0"/>
      <w:marRight w:val="0"/>
      <w:marTop w:val="0"/>
      <w:marBottom w:val="0"/>
      <w:divBdr>
        <w:top w:val="none" w:sz="0" w:space="0" w:color="auto"/>
        <w:left w:val="none" w:sz="0" w:space="0" w:color="auto"/>
        <w:bottom w:val="none" w:sz="0" w:space="0" w:color="auto"/>
        <w:right w:val="none" w:sz="0" w:space="0" w:color="auto"/>
      </w:divBdr>
    </w:div>
    <w:div w:id="259610523">
      <w:bodyDiv w:val="1"/>
      <w:marLeft w:val="0"/>
      <w:marRight w:val="0"/>
      <w:marTop w:val="0"/>
      <w:marBottom w:val="0"/>
      <w:divBdr>
        <w:top w:val="none" w:sz="0" w:space="0" w:color="auto"/>
        <w:left w:val="none" w:sz="0" w:space="0" w:color="auto"/>
        <w:bottom w:val="none" w:sz="0" w:space="0" w:color="auto"/>
        <w:right w:val="none" w:sz="0" w:space="0" w:color="auto"/>
      </w:divBdr>
    </w:div>
    <w:div w:id="263534816">
      <w:bodyDiv w:val="1"/>
      <w:marLeft w:val="0"/>
      <w:marRight w:val="0"/>
      <w:marTop w:val="0"/>
      <w:marBottom w:val="0"/>
      <w:divBdr>
        <w:top w:val="none" w:sz="0" w:space="0" w:color="auto"/>
        <w:left w:val="none" w:sz="0" w:space="0" w:color="auto"/>
        <w:bottom w:val="none" w:sz="0" w:space="0" w:color="auto"/>
        <w:right w:val="none" w:sz="0" w:space="0" w:color="auto"/>
      </w:divBdr>
    </w:div>
    <w:div w:id="271204047">
      <w:bodyDiv w:val="1"/>
      <w:marLeft w:val="0"/>
      <w:marRight w:val="0"/>
      <w:marTop w:val="0"/>
      <w:marBottom w:val="0"/>
      <w:divBdr>
        <w:top w:val="none" w:sz="0" w:space="0" w:color="auto"/>
        <w:left w:val="none" w:sz="0" w:space="0" w:color="auto"/>
        <w:bottom w:val="none" w:sz="0" w:space="0" w:color="auto"/>
        <w:right w:val="none" w:sz="0" w:space="0" w:color="auto"/>
      </w:divBdr>
    </w:div>
    <w:div w:id="271909107">
      <w:bodyDiv w:val="1"/>
      <w:marLeft w:val="0"/>
      <w:marRight w:val="0"/>
      <w:marTop w:val="0"/>
      <w:marBottom w:val="0"/>
      <w:divBdr>
        <w:top w:val="none" w:sz="0" w:space="0" w:color="auto"/>
        <w:left w:val="none" w:sz="0" w:space="0" w:color="auto"/>
        <w:bottom w:val="none" w:sz="0" w:space="0" w:color="auto"/>
        <w:right w:val="none" w:sz="0" w:space="0" w:color="auto"/>
      </w:divBdr>
    </w:div>
    <w:div w:id="359404648">
      <w:bodyDiv w:val="1"/>
      <w:marLeft w:val="0"/>
      <w:marRight w:val="0"/>
      <w:marTop w:val="0"/>
      <w:marBottom w:val="0"/>
      <w:divBdr>
        <w:top w:val="none" w:sz="0" w:space="0" w:color="auto"/>
        <w:left w:val="none" w:sz="0" w:space="0" w:color="auto"/>
        <w:bottom w:val="none" w:sz="0" w:space="0" w:color="auto"/>
        <w:right w:val="none" w:sz="0" w:space="0" w:color="auto"/>
      </w:divBdr>
    </w:div>
    <w:div w:id="377709257">
      <w:bodyDiv w:val="1"/>
      <w:marLeft w:val="0"/>
      <w:marRight w:val="0"/>
      <w:marTop w:val="0"/>
      <w:marBottom w:val="0"/>
      <w:divBdr>
        <w:top w:val="none" w:sz="0" w:space="0" w:color="auto"/>
        <w:left w:val="none" w:sz="0" w:space="0" w:color="auto"/>
        <w:bottom w:val="none" w:sz="0" w:space="0" w:color="auto"/>
        <w:right w:val="none" w:sz="0" w:space="0" w:color="auto"/>
      </w:divBdr>
    </w:div>
    <w:div w:id="450249962">
      <w:bodyDiv w:val="1"/>
      <w:marLeft w:val="0"/>
      <w:marRight w:val="0"/>
      <w:marTop w:val="0"/>
      <w:marBottom w:val="0"/>
      <w:divBdr>
        <w:top w:val="none" w:sz="0" w:space="0" w:color="auto"/>
        <w:left w:val="none" w:sz="0" w:space="0" w:color="auto"/>
        <w:bottom w:val="none" w:sz="0" w:space="0" w:color="auto"/>
        <w:right w:val="none" w:sz="0" w:space="0" w:color="auto"/>
      </w:divBdr>
    </w:div>
    <w:div w:id="538784923">
      <w:bodyDiv w:val="1"/>
      <w:marLeft w:val="0"/>
      <w:marRight w:val="0"/>
      <w:marTop w:val="0"/>
      <w:marBottom w:val="0"/>
      <w:divBdr>
        <w:top w:val="none" w:sz="0" w:space="0" w:color="auto"/>
        <w:left w:val="none" w:sz="0" w:space="0" w:color="auto"/>
        <w:bottom w:val="none" w:sz="0" w:space="0" w:color="auto"/>
        <w:right w:val="none" w:sz="0" w:space="0" w:color="auto"/>
      </w:divBdr>
    </w:div>
    <w:div w:id="560217703">
      <w:bodyDiv w:val="1"/>
      <w:marLeft w:val="0"/>
      <w:marRight w:val="0"/>
      <w:marTop w:val="0"/>
      <w:marBottom w:val="0"/>
      <w:divBdr>
        <w:top w:val="none" w:sz="0" w:space="0" w:color="auto"/>
        <w:left w:val="none" w:sz="0" w:space="0" w:color="auto"/>
        <w:bottom w:val="none" w:sz="0" w:space="0" w:color="auto"/>
        <w:right w:val="none" w:sz="0" w:space="0" w:color="auto"/>
      </w:divBdr>
    </w:div>
    <w:div w:id="581068717">
      <w:bodyDiv w:val="1"/>
      <w:marLeft w:val="0"/>
      <w:marRight w:val="0"/>
      <w:marTop w:val="0"/>
      <w:marBottom w:val="0"/>
      <w:divBdr>
        <w:top w:val="none" w:sz="0" w:space="0" w:color="auto"/>
        <w:left w:val="none" w:sz="0" w:space="0" w:color="auto"/>
        <w:bottom w:val="none" w:sz="0" w:space="0" w:color="auto"/>
        <w:right w:val="none" w:sz="0" w:space="0" w:color="auto"/>
      </w:divBdr>
    </w:div>
    <w:div w:id="605506589">
      <w:bodyDiv w:val="1"/>
      <w:marLeft w:val="0"/>
      <w:marRight w:val="0"/>
      <w:marTop w:val="0"/>
      <w:marBottom w:val="0"/>
      <w:divBdr>
        <w:top w:val="none" w:sz="0" w:space="0" w:color="auto"/>
        <w:left w:val="none" w:sz="0" w:space="0" w:color="auto"/>
        <w:bottom w:val="none" w:sz="0" w:space="0" w:color="auto"/>
        <w:right w:val="none" w:sz="0" w:space="0" w:color="auto"/>
      </w:divBdr>
    </w:div>
    <w:div w:id="611672373">
      <w:bodyDiv w:val="1"/>
      <w:marLeft w:val="0"/>
      <w:marRight w:val="0"/>
      <w:marTop w:val="0"/>
      <w:marBottom w:val="0"/>
      <w:divBdr>
        <w:top w:val="none" w:sz="0" w:space="0" w:color="auto"/>
        <w:left w:val="none" w:sz="0" w:space="0" w:color="auto"/>
        <w:bottom w:val="none" w:sz="0" w:space="0" w:color="auto"/>
        <w:right w:val="none" w:sz="0" w:space="0" w:color="auto"/>
      </w:divBdr>
    </w:div>
    <w:div w:id="663361236">
      <w:bodyDiv w:val="1"/>
      <w:marLeft w:val="0"/>
      <w:marRight w:val="0"/>
      <w:marTop w:val="0"/>
      <w:marBottom w:val="0"/>
      <w:divBdr>
        <w:top w:val="none" w:sz="0" w:space="0" w:color="auto"/>
        <w:left w:val="none" w:sz="0" w:space="0" w:color="auto"/>
        <w:bottom w:val="none" w:sz="0" w:space="0" w:color="auto"/>
        <w:right w:val="none" w:sz="0" w:space="0" w:color="auto"/>
      </w:divBdr>
    </w:div>
    <w:div w:id="673336921">
      <w:bodyDiv w:val="1"/>
      <w:marLeft w:val="0"/>
      <w:marRight w:val="0"/>
      <w:marTop w:val="0"/>
      <w:marBottom w:val="0"/>
      <w:divBdr>
        <w:top w:val="none" w:sz="0" w:space="0" w:color="auto"/>
        <w:left w:val="none" w:sz="0" w:space="0" w:color="auto"/>
        <w:bottom w:val="none" w:sz="0" w:space="0" w:color="auto"/>
        <w:right w:val="none" w:sz="0" w:space="0" w:color="auto"/>
      </w:divBdr>
    </w:div>
    <w:div w:id="679817375">
      <w:bodyDiv w:val="1"/>
      <w:marLeft w:val="0"/>
      <w:marRight w:val="0"/>
      <w:marTop w:val="0"/>
      <w:marBottom w:val="0"/>
      <w:divBdr>
        <w:top w:val="none" w:sz="0" w:space="0" w:color="auto"/>
        <w:left w:val="none" w:sz="0" w:space="0" w:color="auto"/>
        <w:bottom w:val="none" w:sz="0" w:space="0" w:color="auto"/>
        <w:right w:val="none" w:sz="0" w:space="0" w:color="auto"/>
      </w:divBdr>
    </w:div>
    <w:div w:id="712734831">
      <w:bodyDiv w:val="1"/>
      <w:marLeft w:val="0"/>
      <w:marRight w:val="0"/>
      <w:marTop w:val="0"/>
      <w:marBottom w:val="0"/>
      <w:divBdr>
        <w:top w:val="none" w:sz="0" w:space="0" w:color="auto"/>
        <w:left w:val="none" w:sz="0" w:space="0" w:color="auto"/>
        <w:bottom w:val="none" w:sz="0" w:space="0" w:color="auto"/>
        <w:right w:val="none" w:sz="0" w:space="0" w:color="auto"/>
      </w:divBdr>
    </w:div>
    <w:div w:id="804205075">
      <w:bodyDiv w:val="1"/>
      <w:marLeft w:val="0"/>
      <w:marRight w:val="0"/>
      <w:marTop w:val="0"/>
      <w:marBottom w:val="0"/>
      <w:divBdr>
        <w:top w:val="none" w:sz="0" w:space="0" w:color="auto"/>
        <w:left w:val="none" w:sz="0" w:space="0" w:color="auto"/>
        <w:bottom w:val="none" w:sz="0" w:space="0" w:color="auto"/>
        <w:right w:val="none" w:sz="0" w:space="0" w:color="auto"/>
      </w:divBdr>
    </w:div>
    <w:div w:id="807011537">
      <w:bodyDiv w:val="1"/>
      <w:marLeft w:val="0"/>
      <w:marRight w:val="0"/>
      <w:marTop w:val="0"/>
      <w:marBottom w:val="0"/>
      <w:divBdr>
        <w:top w:val="none" w:sz="0" w:space="0" w:color="auto"/>
        <w:left w:val="none" w:sz="0" w:space="0" w:color="auto"/>
        <w:bottom w:val="none" w:sz="0" w:space="0" w:color="auto"/>
        <w:right w:val="none" w:sz="0" w:space="0" w:color="auto"/>
      </w:divBdr>
    </w:div>
    <w:div w:id="814882733">
      <w:bodyDiv w:val="1"/>
      <w:marLeft w:val="0"/>
      <w:marRight w:val="0"/>
      <w:marTop w:val="0"/>
      <w:marBottom w:val="0"/>
      <w:divBdr>
        <w:top w:val="none" w:sz="0" w:space="0" w:color="auto"/>
        <w:left w:val="none" w:sz="0" w:space="0" w:color="auto"/>
        <w:bottom w:val="none" w:sz="0" w:space="0" w:color="auto"/>
        <w:right w:val="none" w:sz="0" w:space="0" w:color="auto"/>
      </w:divBdr>
    </w:div>
    <w:div w:id="821893710">
      <w:bodyDiv w:val="1"/>
      <w:marLeft w:val="0"/>
      <w:marRight w:val="0"/>
      <w:marTop w:val="0"/>
      <w:marBottom w:val="0"/>
      <w:divBdr>
        <w:top w:val="none" w:sz="0" w:space="0" w:color="auto"/>
        <w:left w:val="none" w:sz="0" w:space="0" w:color="auto"/>
        <w:bottom w:val="none" w:sz="0" w:space="0" w:color="auto"/>
        <w:right w:val="none" w:sz="0" w:space="0" w:color="auto"/>
      </w:divBdr>
    </w:div>
    <w:div w:id="834688400">
      <w:bodyDiv w:val="1"/>
      <w:marLeft w:val="0"/>
      <w:marRight w:val="0"/>
      <w:marTop w:val="0"/>
      <w:marBottom w:val="0"/>
      <w:divBdr>
        <w:top w:val="none" w:sz="0" w:space="0" w:color="auto"/>
        <w:left w:val="none" w:sz="0" w:space="0" w:color="auto"/>
        <w:bottom w:val="none" w:sz="0" w:space="0" w:color="auto"/>
        <w:right w:val="none" w:sz="0" w:space="0" w:color="auto"/>
      </w:divBdr>
    </w:div>
    <w:div w:id="843126022">
      <w:bodyDiv w:val="1"/>
      <w:marLeft w:val="0"/>
      <w:marRight w:val="0"/>
      <w:marTop w:val="0"/>
      <w:marBottom w:val="0"/>
      <w:divBdr>
        <w:top w:val="none" w:sz="0" w:space="0" w:color="auto"/>
        <w:left w:val="none" w:sz="0" w:space="0" w:color="auto"/>
        <w:bottom w:val="none" w:sz="0" w:space="0" w:color="auto"/>
        <w:right w:val="none" w:sz="0" w:space="0" w:color="auto"/>
      </w:divBdr>
    </w:div>
    <w:div w:id="872496247">
      <w:bodyDiv w:val="1"/>
      <w:marLeft w:val="0"/>
      <w:marRight w:val="0"/>
      <w:marTop w:val="0"/>
      <w:marBottom w:val="0"/>
      <w:divBdr>
        <w:top w:val="none" w:sz="0" w:space="0" w:color="auto"/>
        <w:left w:val="none" w:sz="0" w:space="0" w:color="auto"/>
        <w:bottom w:val="none" w:sz="0" w:space="0" w:color="auto"/>
        <w:right w:val="none" w:sz="0" w:space="0" w:color="auto"/>
      </w:divBdr>
      <w:divsChild>
        <w:div w:id="45418581">
          <w:marLeft w:val="0"/>
          <w:marRight w:val="0"/>
          <w:marTop w:val="0"/>
          <w:marBottom w:val="0"/>
          <w:divBdr>
            <w:top w:val="none" w:sz="0" w:space="0" w:color="auto"/>
            <w:left w:val="none" w:sz="0" w:space="0" w:color="auto"/>
            <w:bottom w:val="none" w:sz="0" w:space="0" w:color="auto"/>
            <w:right w:val="none" w:sz="0" w:space="0" w:color="auto"/>
          </w:divBdr>
        </w:div>
        <w:div w:id="569196149">
          <w:marLeft w:val="0"/>
          <w:marRight w:val="0"/>
          <w:marTop w:val="0"/>
          <w:marBottom w:val="0"/>
          <w:divBdr>
            <w:top w:val="none" w:sz="0" w:space="0" w:color="auto"/>
            <w:left w:val="none" w:sz="0" w:space="0" w:color="auto"/>
            <w:bottom w:val="none" w:sz="0" w:space="0" w:color="auto"/>
            <w:right w:val="none" w:sz="0" w:space="0" w:color="auto"/>
          </w:divBdr>
        </w:div>
        <w:div w:id="615789808">
          <w:marLeft w:val="0"/>
          <w:marRight w:val="0"/>
          <w:marTop w:val="0"/>
          <w:marBottom w:val="0"/>
          <w:divBdr>
            <w:top w:val="none" w:sz="0" w:space="0" w:color="auto"/>
            <w:left w:val="none" w:sz="0" w:space="0" w:color="auto"/>
            <w:bottom w:val="none" w:sz="0" w:space="0" w:color="auto"/>
            <w:right w:val="none" w:sz="0" w:space="0" w:color="auto"/>
          </w:divBdr>
        </w:div>
        <w:div w:id="1014265277">
          <w:marLeft w:val="0"/>
          <w:marRight w:val="0"/>
          <w:marTop w:val="0"/>
          <w:marBottom w:val="0"/>
          <w:divBdr>
            <w:top w:val="none" w:sz="0" w:space="0" w:color="auto"/>
            <w:left w:val="none" w:sz="0" w:space="0" w:color="auto"/>
            <w:bottom w:val="none" w:sz="0" w:space="0" w:color="auto"/>
            <w:right w:val="none" w:sz="0" w:space="0" w:color="auto"/>
          </w:divBdr>
        </w:div>
        <w:div w:id="1036732190">
          <w:marLeft w:val="0"/>
          <w:marRight w:val="0"/>
          <w:marTop w:val="0"/>
          <w:marBottom w:val="0"/>
          <w:divBdr>
            <w:top w:val="none" w:sz="0" w:space="0" w:color="auto"/>
            <w:left w:val="none" w:sz="0" w:space="0" w:color="auto"/>
            <w:bottom w:val="none" w:sz="0" w:space="0" w:color="auto"/>
            <w:right w:val="none" w:sz="0" w:space="0" w:color="auto"/>
          </w:divBdr>
        </w:div>
        <w:div w:id="1864439659">
          <w:marLeft w:val="0"/>
          <w:marRight w:val="0"/>
          <w:marTop w:val="0"/>
          <w:marBottom w:val="0"/>
          <w:divBdr>
            <w:top w:val="none" w:sz="0" w:space="0" w:color="auto"/>
            <w:left w:val="none" w:sz="0" w:space="0" w:color="auto"/>
            <w:bottom w:val="none" w:sz="0" w:space="0" w:color="auto"/>
            <w:right w:val="none" w:sz="0" w:space="0" w:color="auto"/>
          </w:divBdr>
        </w:div>
        <w:div w:id="1889486776">
          <w:marLeft w:val="0"/>
          <w:marRight w:val="0"/>
          <w:marTop w:val="0"/>
          <w:marBottom w:val="0"/>
          <w:divBdr>
            <w:top w:val="none" w:sz="0" w:space="0" w:color="auto"/>
            <w:left w:val="none" w:sz="0" w:space="0" w:color="auto"/>
            <w:bottom w:val="none" w:sz="0" w:space="0" w:color="auto"/>
            <w:right w:val="none" w:sz="0" w:space="0" w:color="auto"/>
          </w:divBdr>
        </w:div>
        <w:div w:id="2078891195">
          <w:marLeft w:val="0"/>
          <w:marRight w:val="0"/>
          <w:marTop w:val="0"/>
          <w:marBottom w:val="0"/>
          <w:divBdr>
            <w:top w:val="none" w:sz="0" w:space="0" w:color="auto"/>
            <w:left w:val="none" w:sz="0" w:space="0" w:color="auto"/>
            <w:bottom w:val="none" w:sz="0" w:space="0" w:color="auto"/>
            <w:right w:val="none" w:sz="0" w:space="0" w:color="auto"/>
          </w:divBdr>
        </w:div>
      </w:divsChild>
    </w:div>
    <w:div w:id="882908619">
      <w:bodyDiv w:val="1"/>
      <w:marLeft w:val="0"/>
      <w:marRight w:val="0"/>
      <w:marTop w:val="0"/>
      <w:marBottom w:val="0"/>
      <w:divBdr>
        <w:top w:val="none" w:sz="0" w:space="0" w:color="auto"/>
        <w:left w:val="none" w:sz="0" w:space="0" w:color="auto"/>
        <w:bottom w:val="none" w:sz="0" w:space="0" w:color="auto"/>
        <w:right w:val="none" w:sz="0" w:space="0" w:color="auto"/>
      </w:divBdr>
    </w:div>
    <w:div w:id="883905391">
      <w:bodyDiv w:val="1"/>
      <w:marLeft w:val="0"/>
      <w:marRight w:val="0"/>
      <w:marTop w:val="0"/>
      <w:marBottom w:val="0"/>
      <w:divBdr>
        <w:top w:val="none" w:sz="0" w:space="0" w:color="auto"/>
        <w:left w:val="none" w:sz="0" w:space="0" w:color="auto"/>
        <w:bottom w:val="none" w:sz="0" w:space="0" w:color="auto"/>
        <w:right w:val="none" w:sz="0" w:space="0" w:color="auto"/>
      </w:divBdr>
    </w:div>
    <w:div w:id="947196137">
      <w:bodyDiv w:val="1"/>
      <w:marLeft w:val="0"/>
      <w:marRight w:val="0"/>
      <w:marTop w:val="0"/>
      <w:marBottom w:val="0"/>
      <w:divBdr>
        <w:top w:val="none" w:sz="0" w:space="0" w:color="auto"/>
        <w:left w:val="none" w:sz="0" w:space="0" w:color="auto"/>
        <w:bottom w:val="none" w:sz="0" w:space="0" w:color="auto"/>
        <w:right w:val="none" w:sz="0" w:space="0" w:color="auto"/>
      </w:divBdr>
    </w:div>
    <w:div w:id="967278492">
      <w:bodyDiv w:val="1"/>
      <w:marLeft w:val="0"/>
      <w:marRight w:val="0"/>
      <w:marTop w:val="0"/>
      <w:marBottom w:val="0"/>
      <w:divBdr>
        <w:top w:val="none" w:sz="0" w:space="0" w:color="auto"/>
        <w:left w:val="none" w:sz="0" w:space="0" w:color="auto"/>
        <w:bottom w:val="none" w:sz="0" w:space="0" w:color="auto"/>
        <w:right w:val="none" w:sz="0" w:space="0" w:color="auto"/>
      </w:divBdr>
    </w:div>
    <w:div w:id="997927562">
      <w:bodyDiv w:val="1"/>
      <w:marLeft w:val="0"/>
      <w:marRight w:val="0"/>
      <w:marTop w:val="0"/>
      <w:marBottom w:val="0"/>
      <w:divBdr>
        <w:top w:val="none" w:sz="0" w:space="0" w:color="auto"/>
        <w:left w:val="none" w:sz="0" w:space="0" w:color="auto"/>
        <w:bottom w:val="none" w:sz="0" w:space="0" w:color="auto"/>
        <w:right w:val="none" w:sz="0" w:space="0" w:color="auto"/>
      </w:divBdr>
    </w:div>
    <w:div w:id="1006438058">
      <w:bodyDiv w:val="1"/>
      <w:marLeft w:val="0"/>
      <w:marRight w:val="0"/>
      <w:marTop w:val="0"/>
      <w:marBottom w:val="0"/>
      <w:divBdr>
        <w:top w:val="none" w:sz="0" w:space="0" w:color="auto"/>
        <w:left w:val="none" w:sz="0" w:space="0" w:color="auto"/>
        <w:bottom w:val="none" w:sz="0" w:space="0" w:color="auto"/>
        <w:right w:val="none" w:sz="0" w:space="0" w:color="auto"/>
      </w:divBdr>
    </w:div>
    <w:div w:id="1069379718">
      <w:bodyDiv w:val="1"/>
      <w:marLeft w:val="0"/>
      <w:marRight w:val="0"/>
      <w:marTop w:val="0"/>
      <w:marBottom w:val="0"/>
      <w:divBdr>
        <w:top w:val="none" w:sz="0" w:space="0" w:color="auto"/>
        <w:left w:val="none" w:sz="0" w:space="0" w:color="auto"/>
        <w:bottom w:val="none" w:sz="0" w:space="0" w:color="auto"/>
        <w:right w:val="none" w:sz="0" w:space="0" w:color="auto"/>
      </w:divBdr>
    </w:div>
    <w:div w:id="1073240052">
      <w:bodyDiv w:val="1"/>
      <w:marLeft w:val="0"/>
      <w:marRight w:val="0"/>
      <w:marTop w:val="0"/>
      <w:marBottom w:val="0"/>
      <w:divBdr>
        <w:top w:val="none" w:sz="0" w:space="0" w:color="auto"/>
        <w:left w:val="none" w:sz="0" w:space="0" w:color="auto"/>
        <w:bottom w:val="none" w:sz="0" w:space="0" w:color="auto"/>
        <w:right w:val="none" w:sz="0" w:space="0" w:color="auto"/>
      </w:divBdr>
    </w:div>
    <w:div w:id="1096829576">
      <w:bodyDiv w:val="1"/>
      <w:marLeft w:val="0"/>
      <w:marRight w:val="0"/>
      <w:marTop w:val="0"/>
      <w:marBottom w:val="0"/>
      <w:divBdr>
        <w:top w:val="none" w:sz="0" w:space="0" w:color="auto"/>
        <w:left w:val="none" w:sz="0" w:space="0" w:color="auto"/>
        <w:bottom w:val="none" w:sz="0" w:space="0" w:color="auto"/>
        <w:right w:val="none" w:sz="0" w:space="0" w:color="auto"/>
      </w:divBdr>
    </w:div>
    <w:div w:id="1097869774">
      <w:bodyDiv w:val="1"/>
      <w:marLeft w:val="0"/>
      <w:marRight w:val="0"/>
      <w:marTop w:val="0"/>
      <w:marBottom w:val="0"/>
      <w:divBdr>
        <w:top w:val="none" w:sz="0" w:space="0" w:color="auto"/>
        <w:left w:val="none" w:sz="0" w:space="0" w:color="auto"/>
        <w:bottom w:val="none" w:sz="0" w:space="0" w:color="auto"/>
        <w:right w:val="none" w:sz="0" w:space="0" w:color="auto"/>
      </w:divBdr>
    </w:div>
    <w:div w:id="1101218424">
      <w:bodyDiv w:val="1"/>
      <w:marLeft w:val="0"/>
      <w:marRight w:val="0"/>
      <w:marTop w:val="0"/>
      <w:marBottom w:val="0"/>
      <w:divBdr>
        <w:top w:val="none" w:sz="0" w:space="0" w:color="auto"/>
        <w:left w:val="none" w:sz="0" w:space="0" w:color="auto"/>
        <w:bottom w:val="none" w:sz="0" w:space="0" w:color="auto"/>
        <w:right w:val="none" w:sz="0" w:space="0" w:color="auto"/>
      </w:divBdr>
    </w:div>
    <w:div w:id="1121261030">
      <w:bodyDiv w:val="1"/>
      <w:marLeft w:val="0"/>
      <w:marRight w:val="0"/>
      <w:marTop w:val="0"/>
      <w:marBottom w:val="0"/>
      <w:divBdr>
        <w:top w:val="none" w:sz="0" w:space="0" w:color="auto"/>
        <w:left w:val="none" w:sz="0" w:space="0" w:color="auto"/>
        <w:bottom w:val="none" w:sz="0" w:space="0" w:color="auto"/>
        <w:right w:val="none" w:sz="0" w:space="0" w:color="auto"/>
      </w:divBdr>
    </w:div>
    <w:div w:id="1132288020">
      <w:bodyDiv w:val="1"/>
      <w:marLeft w:val="0"/>
      <w:marRight w:val="0"/>
      <w:marTop w:val="0"/>
      <w:marBottom w:val="0"/>
      <w:divBdr>
        <w:top w:val="none" w:sz="0" w:space="0" w:color="auto"/>
        <w:left w:val="none" w:sz="0" w:space="0" w:color="auto"/>
        <w:bottom w:val="none" w:sz="0" w:space="0" w:color="auto"/>
        <w:right w:val="none" w:sz="0" w:space="0" w:color="auto"/>
      </w:divBdr>
    </w:div>
    <w:div w:id="1150946945">
      <w:bodyDiv w:val="1"/>
      <w:marLeft w:val="0"/>
      <w:marRight w:val="0"/>
      <w:marTop w:val="0"/>
      <w:marBottom w:val="0"/>
      <w:divBdr>
        <w:top w:val="none" w:sz="0" w:space="0" w:color="auto"/>
        <w:left w:val="none" w:sz="0" w:space="0" w:color="auto"/>
        <w:bottom w:val="none" w:sz="0" w:space="0" w:color="auto"/>
        <w:right w:val="none" w:sz="0" w:space="0" w:color="auto"/>
      </w:divBdr>
    </w:div>
    <w:div w:id="1165391220">
      <w:bodyDiv w:val="1"/>
      <w:marLeft w:val="0"/>
      <w:marRight w:val="0"/>
      <w:marTop w:val="0"/>
      <w:marBottom w:val="0"/>
      <w:divBdr>
        <w:top w:val="none" w:sz="0" w:space="0" w:color="auto"/>
        <w:left w:val="none" w:sz="0" w:space="0" w:color="auto"/>
        <w:bottom w:val="none" w:sz="0" w:space="0" w:color="auto"/>
        <w:right w:val="none" w:sz="0" w:space="0" w:color="auto"/>
      </w:divBdr>
    </w:div>
    <w:div w:id="1166936421">
      <w:bodyDiv w:val="1"/>
      <w:marLeft w:val="0"/>
      <w:marRight w:val="0"/>
      <w:marTop w:val="0"/>
      <w:marBottom w:val="0"/>
      <w:divBdr>
        <w:top w:val="none" w:sz="0" w:space="0" w:color="auto"/>
        <w:left w:val="none" w:sz="0" w:space="0" w:color="auto"/>
        <w:bottom w:val="none" w:sz="0" w:space="0" w:color="auto"/>
        <w:right w:val="none" w:sz="0" w:space="0" w:color="auto"/>
      </w:divBdr>
    </w:div>
    <w:div w:id="1184249358">
      <w:bodyDiv w:val="1"/>
      <w:marLeft w:val="0"/>
      <w:marRight w:val="0"/>
      <w:marTop w:val="0"/>
      <w:marBottom w:val="0"/>
      <w:divBdr>
        <w:top w:val="none" w:sz="0" w:space="0" w:color="auto"/>
        <w:left w:val="none" w:sz="0" w:space="0" w:color="auto"/>
        <w:bottom w:val="none" w:sz="0" w:space="0" w:color="auto"/>
        <w:right w:val="none" w:sz="0" w:space="0" w:color="auto"/>
      </w:divBdr>
    </w:div>
    <w:div w:id="1225919355">
      <w:bodyDiv w:val="1"/>
      <w:marLeft w:val="0"/>
      <w:marRight w:val="0"/>
      <w:marTop w:val="0"/>
      <w:marBottom w:val="0"/>
      <w:divBdr>
        <w:top w:val="none" w:sz="0" w:space="0" w:color="auto"/>
        <w:left w:val="none" w:sz="0" w:space="0" w:color="auto"/>
        <w:bottom w:val="none" w:sz="0" w:space="0" w:color="auto"/>
        <w:right w:val="none" w:sz="0" w:space="0" w:color="auto"/>
      </w:divBdr>
    </w:div>
    <w:div w:id="1234512680">
      <w:bodyDiv w:val="1"/>
      <w:marLeft w:val="0"/>
      <w:marRight w:val="0"/>
      <w:marTop w:val="0"/>
      <w:marBottom w:val="0"/>
      <w:divBdr>
        <w:top w:val="none" w:sz="0" w:space="0" w:color="auto"/>
        <w:left w:val="none" w:sz="0" w:space="0" w:color="auto"/>
        <w:bottom w:val="none" w:sz="0" w:space="0" w:color="auto"/>
        <w:right w:val="none" w:sz="0" w:space="0" w:color="auto"/>
      </w:divBdr>
      <w:divsChild>
        <w:div w:id="158353364">
          <w:marLeft w:val="0"/>
          <w:marRight w:val="0"/>
          <w:marTop w:val="0"/>
          <w:marBottom w:val="0"/>
          <w:divBdr>
            <w:top w:val="none" w:sz="0" w:space="0" w:color="auto"/>
            <w:left w:val="none" w:sz="0" w:space="0" w:color="auto"/>
            <w:bottom w:val="none" w:sz="0" w:space="0" w:color="auto"/>
            <w:right w:val="none" w:sz="0" w:space="0" w:color="auto"/>
          </w:divBdr>
        </w:div>
        <w:div w:id="908147658">
          <w:marLeft w:val="0"/>
          <w:marRight w:val="0"/>
          <w:marTop w:val="0"/>
          <w:marBottom w:val="0"/>
          <w:divBdr>
            <w:top w:val="none" w:sz="0" w:space="0" w:color="auto"/>
            <w:left w:val="none" w:sz="0" w:space="0" w:color="auto"/>
            <w:bottom w:val="none" w:sz="0" w:space="0" w:color="auto"/>
            <w:right w:val="none" w:sz="0" w:space="0" w:color="auto"/>
          </w:divBdr>
        </w:div>
        <w:div w:id="1108309659">
          <w:marLeft w:val="0"/>
          <w:marRight w:val="0"/>
          <w:marTop w:val="0"/>
          <w:marBottom w:val="0"/>
          <w:divBdr>
            <w:top w:val="none" w:sz="0" w:space="0" w:color="auto"/>
            <w:left w:val="none" w:sz="0" w:space="0" w:color="auto"/>
            <w:bottom w:val="none" w:sz="0" w:space="0" w:color="auto"/>
            <w:right w:val="none" w:sz="0" w:space="0" w:color="auto"/>
          </w:divBdr>
        </w:div>
        <w:div w:id="1217623324">
          <w:marLeft w:val="0"/>
          <w:marRight w:val="0"/>
          <w:marTop w:val="0"/>
          <w:marBottom w:val="0"/>
          <w:divBdr>
            <w:top w:val="none" w:sz="0" w:space="0" w:color="auto"/>
            <w:left w:val="none" w:sz="0" w:space="0" w:color="auto"/>
            <w:bottom w:val="none" w:sz="0" w:space="0" w:color="auto"/>
            <w:right w:val="none" w:sz="0" w:space="0" w:color="auto"/>
          </w:divBdr>
        </w:div>
        <w:div w:id="1279222069">
          <w:marLeft w:val="0"/>
          <w:marRight w:val="0"/>
          <w:marTop w:val="0"/>
          <w:marBottom w:val="0"/>
          <w:divBdr>
            <w:top w:val="none" w:sz="0" w:space="0" w:color="auto"/>
            <w:left w:val="none" w:sz="0" w:space="0" w:color="auto"/>
            <w:bottom w:val="none" w:sz="0" w:space="0" w:color="auto"/>
            <w:right w:val="none" w:sz="0" w:space="0" w:color="auto"/>
          </w:divBdr>
        </w:div>
        <w:div w:id="1695377787">
          <w:marLeft w:val="0"/>
          <w:marRight w:val="0"/>
          <w:marTop w:val="0"/>
          <w:marBottom w:val="0"/>
          <w:divBdr>
            <w:top w:val="none" w:sz="0" w:space="0" w:color="auto"/>
            <w:left w:val="none" w:sz="0" w:space="0" w:color="auto"/>
            <w:bottom w:val="none" w:sz="0" w:space="0" w:color="auto"/>
            <w:right w:val="none" w:sz="0" w:space="0" w:color="auto"/>
          </w:divBdr>
        </w:div>
        <w:div w:id="1904485932">
          <w:marLeft w:val="0"/>
          <w:marRight w:val="0"/>
          <w:marTop w:val="0"/>
          <w:marBottom w:val="0"/>
          <w:divBdr>
            <w:top w:val="none" w:sz="0" w:space="0" w:color="auto"/>
            <w:left w:val="none" w:sz="0" w:space="0" w:color="auto"/>
            <w:bottom w:val="none" w:sz="0" w:space="0" w:color="auto"/>
            <w:right w:val="none" w:sz="0" w:space="0" w:color="auto"/>
          </w:divBdr>
        </w:div>
        <w:div w:id="2137602419">
          <w:marLeft w:val="0"/>
          <w:marRight w:val="0"/>
          <w:marTop w:val="0"/>
          <w:marBottom w:val="0"/>
          <w:divBdr>
            <w:top w:val="none" w:sz="0" w:space="0" w:color="auto"/>
            <w:left w:val="none" w:sz="0" w:space="0" w:color="auto"/>
            <w:bottom w:val="none" w:sz="0" w:space="0" w:color="auto"/>
            <w:right w:val="none" w:sz="0" w:space="0" w:color="auto"/>
          </w:divBdr>
        </w:div>
      </w:divsChild>
    </w:div>
    <w:div w:id="1238787519">
      <w:bodyDiv w:val="1"/>
      <w:marLeft w:val="0"/>
      <w:marRight w:val="0"/>
      <w:marTop w:val="0"/>
      <w:marBottom w:val="0"/>
      <w:divBdr>
        <w:top w:val="none" w:sz="0" w:space="0" w:color="auto"/>
        <w:left w:val="none" w:sz="0" w:space="0" w:color="auto"/>
        <w:bottom w:val="none" w:sz="0" w:space="0" w:color="auto"/>
        <w:right w:val="none" w:sz="0" w:space="0" w:color="auto"/>
      </w:divBdr>
    </w:div>
    <w:div w:id="1276018567">
      <w:bodyDiv w:val="1"/>
      <w:marLeft w:val="0"/>
      <w:marRight w:val="0"/>
      <w:marTop w:val="0"/>
      <w:marBottom w:val="0"/>
      <w:divBdr>
        <w:top w:val="none" w:sz="0" w:space="0" w:color="auto"/>
        <w:left w:val="none" w:sz="0" w:space="0" w:color="auto"/>
        <w:bottom w:val="none" w:sz="0" w:space="0" w:color="auto"/>
        <w:right w:val="none" w:sz="0" w:space="0" w:color="auto"/>
      </w:divBdr>
    </w:div>
    <w:div w:id="1291088253">
      <w:bodyDiv w:val="1"/>
      <w:marLeft w:val="0"/>
      <w:marRight w:val="0"/>
      <w:marTop w:val="0"/>
      <w:marBottom w:val="0"/>
      <w:divBdr>
        <w:top w:val="none" w:sz="0" w:space="0" w:color="auto"/>
        <w:left w:val="none" w:sz="0" w:space="0" w:color="auto"/>
        <w:bottom w:val="none" w:sz="0" w:space="0" w:color="auto"/>
        <w:right w:val="none" w:sz="0" w:space="0" w:color="auto"/>
      </w:divBdr>
    </w:div>
    <w:div w:id="1297222708">
      <w:bodyDiv w:val="1"/>
      <w:marLeft w:val="0"/>
      <w:marRight w:val="0"/>
      <w:marTop w:val="0"/>
      <w:marBottom w:val="0"/>
      <w:divBdr>
        <w:top w:val="none" w:sz="0" w:space="0" w:color="auto"/>
        <w:left w:val="none" w:sz="0" w:space="0" w:color="auto"/>
        <w:bottom w:val="none" w:sz="0" w:space="0" w:color="auto"/>
        <w:right w:val="none" w:sz="0" w:space="0" w:color="auto"/>
      </w:divBdr>
    </w:div>
    <w:div w:id="1323851414">
      <w:bodyDiv w:val="1"/>
      <w:marLeft w:val="0"/>
      <w:marRight w:val="0"/>
      <w:marTop w:val="0"/>
      <w:marBottom w:val="0"/>
      <w:divBdr>
        <w:top w:val="none" w:sz="0" w:space="0" w:color="auto"/>
        <w:left w:val="none" w:sz="0" w:space="0" w:color="auto"/>
        <w:bottom w:val="none" w:sz="0" w:space="0" w:color="auto"/>
        <w:right w:val="none" w:sz="0" w:space="0" w:color="auto"/>
      </w:divBdr>
    </w:div>
    <w:div w:id="1335107941">
      <w:bodyDiv w:val="1"/>
      <w:marLeft w:val="0"/>
      <w:marRight w:val="0"/>
      <w:marTop w:val="0"/>
      <w:marBottom w:val="0"/>
      <w:divBdr>
        <w:top w:val="none" w:sz="0" w:space="0" w:color="auto"/>
        <w:left w:val="none" w:sz="0" w:space="0" w:color="auto"/>
        <w:bottom w:val="none" w:sz="0" w:space="0" w:color="auto"/>
        <w:right w:val="none" w:sz="0" w:space="0" w:color="auto"/>
      </w:divBdr>
    </w:div>
    <w:div w:id="1386373618">
      <w:bodyDiv w:val="1"/>
      <w:marLeft w:val="0"/>
      <w:marRight w:val="0"/>
      <w:marTop w:val="0"/>
      <w:marBottom w:val="0"/>
      <w:divBdr>
        <w:top w:val="none" w:sz="0" w:space="0" w:color="auto"/>
        <w:left w:val="none" w:sz="0" w:space="0" w:color="auto"/>
        <w:bottom w:val="none" w:sz="0" w:space="0" w:color="auto"/>
        <w:right w:val="none" w:sz="0" w:space="0" w:color="auto"/>
      </w:divBdr>
    </w:div>
    <w:div w:id="1386445452">
      <w:bodyDiv w:val="1"/>
      <w:marLeft w:val="0"/>
      <w:marRight w:val="0"/>
      <w:marTop w:val="0"/>
      <w:marBottom w:val="0"/>
      <w:divBdr>
        <w:top w:val="none" w:sz="0" w:space="0" w:color="auto"/>
        <w:left w:val="none" w:sz="0" w:space="0" w:color="auto"/>
        <w:bottom w:val="none" w:sz="0" w:space="0" w:color="auto"/>
        <w:right w:val="none" w:sz="0" w:space="0" w:color="auto"/>
      </w:divBdr>
    </w:div>
    <w:div w:id="1398892968">
      <w:bodyDiv w:val="1"/>
      <w:marLeft w:val="0"/>
      <w:marRight w:val="0"/>
      <w:marTop w:val="0"/>
      <w:marBottom w:val="0"/>
      <w:divBdr>
        <w:top w:val="none" w:sz="0" w:space="0" w:color="auto"/>
        <w:left w:val="none" w:sz="0" w:space="0" w:color="auto"/>
        <w:bottom w:val="none" w:sz="0" w:space="0" w:color="auto"/>
        <w:right w:val="none" w:sz="0" w:space="0" w:color="auto"/>
      </w:divBdr>
    </w:div>
    <w:div w:id="1439982486">
      <w:bodyDiv w:val="1"/>
      <w:marLeft w:val="0"/>
      <w:marRight w:val="0"/>
      <w:marTop w:val="0"/>
      <w:marBottom w:val="0"/>
      <w:divBdr>
        <w:top w:val="none" w:sz="0" w:space="0" w:color="auto"/>
        <w:left w:val="none" w:sz="0" w:space="0" w:color="auto"/>
        <w:bottom w:val="none" w:sz="0" w:space="0" w:color="auto"/>
        <w:right w:val="none" w:sz="0" w:space="0" w:color="auto"/>
      </w:divBdr>
    </w:div>
    <w:div w:id="1467773647">
      <w:bodyDiv w:val="1"/>
      <w:marLeft w:val="0"/>
      <w:marRight w:val="0"/>
      <w:marTop w:val="0"/>
      <w:marBottom w:val="0"/>
      <w:divBdr>
        <w:top w:val="none" w:sz="0" w:space="0" w:color="auto"/>
        <w:left w:val="none" w:sz="0" w:space="0" w:color="auto"/>
        <w:bottom w:val="none" w:sz="0" w:space="0" w:color="auto"/>
        <w:right w:val="none" w:sz="0" w:space="0" w:color="auto"/>
      </w:divBdr>
    </w:div>
    <w:div w:id="1484392996">
      <w:bodyDiv w:val="1"/>
      <w:marLeft w:val="0"/>
      <w:marRight w:val="0"/>
      <w:marTop w:val="0"/>
      <w:marBottom w:val="0"/>
      <w:divBdr>
        <w:top w:val="none" w:sz="0" w:space="0" w:color="auto"/>
        <w:left w:val="none" w:sz="0" w:space="0" w:color="auto"/>
        <w:bottom w:val="none" w:sz="0" w:space="0" w:color="auto"/>
        <w:right w:val="none" w:sz="0" w:space="0" w:color="auto"/>
      </w:divBdr>
    </w:div>
    <w:div w:id="1514999922">
      <w:bodyDiv w:val="1"/>
      <w:marLeft w:val="0"/>
      <w:marRight w:val="0"/>
      <w:marTop w:val="0"/>
      <w:marBottom w:val="0"/>
      <w:divBdr>
        <w:top w:val="none" w:sz="0" w:space="0" w:color="auto"/>
        <w:left w:val="none" w:sz="0" w:space="0" w:color="auto"/>
        <w:bottom w:val="none" w:sz="0" w:space="0" w:color="auto"/>
        <w:right w:val="none" w:sz="0" w:space="0" w:color="auto"/>
      </w:divBdr>
    </w:div>
    <w:div w:id="1574392073">
      <w:bodyDiv w:val="1"/>
      <w:marLeft w:val="0"/>
      <w:marRight w:val="0"/>
      <w:marTop w:val="0"/>
      <w:marBottom w:val="0"/>
      <w:divBdr>
        <w:top w:val="none" w:sz="0" w:space="0" w:color="auto"/>
        <w:left w:val="none" w:sz="0" w:space="0" w:color="auto"/>
        <w:bottom w:val="none" w:sz="0" w:space="0" w:color="auto"/>
        <w:right w:val="none" w:sz="0" w:space="0" w:color="auto"/>
      </w:divBdr>
    </w:div>
    <w:div w:id="1583678733">
      <w:bodyDiv w:val="1"/>
      <w:marLeft w:val="0"/>
      <w:marRight w:val="0"/>
      <w:marTop w:val="0"/>
      <w:marBottom w:val="0"/>
      <w:divBdr>
        <w:top w:val="none" w:sz="0" w:space="0" w:color="auto"/>
        <w:left w:val="none" w:sz="0" w:space="0" w:color="auto"/>
        <w:bottom w:val="none" w:sz="0" w:space="0" w:color="auto"/>
        <w:right w:val="none" w:sz="0" w:space="0" w:color="auto"/>
      </w:divBdr>
    </w:div>
    <w:div w:id="1611469656">
      <w:bodyDiv w:val="1"/>
      <w:marLeft w:val="0"/>
      <w:marRight w:val="0"/>
      <w:marTop w:val="0"/>
      <w:marBottom w:val="0"/>
      <w:divBdr>
        <w:top w:val="none" w:sz="0" w:space="0" w:color="auto"/>
        <w:left w:val="none" w:sz="0" w:space="0" w:color="auto"/>
        <w:bottom w:val="none" w:sz="0" w:space="0" w:color="auto"/>
        <w:right w:val="none" w:sz="0" w:space="0" w:color="auto"/>
      </w:divBdr>
    </w:div>
    <w:div w:id="1621915101">
      <w:bodyDiv w:val="1"/>
      <w:marLeft w:val="0"/>
      <w:marRight w:val="0"/>
      <w:marTop w:val="0"/>
      <w:marBottom w:val="0"/>
      <w:divBdr>
        <w:top w:val="none" w:sz="0" w:space="0" w:color="auto"/>
        <w:left w:val="none" w:sz="0" w:space="0" w:color="auto"/>
        <w:bottom w:val="none" w:sz="0" w:space="0" w:color="auto"/>
        <w:right w:val="none" w:sz="0" w:space="0" w:color="auto"/>
      </w:divBdr>
    </w:div>
    <w:div w:id="1629045362">
      <w:bodyDiv w:val="1"/>
      <w:marLeft w:val="0"/>
      <w:marRight w:val="0"/>
      <w:marTop w:val="0"/>
      <w:marBottom w:val="0"/>
      <w:divBdr>
        <w:top w:val="none" w:sz="0" w:space="0" w:color="auto"/>
        <w:left w:val="none" w:sz="0" w:space="0" w:color="auto"/>
        <w:bottom w:val="none" w:sz="0" w:space="0" w:color="auto"/>
        <w:right w:val="none" w:sz="0" w:space="0" w:color="auto"/>
      </w:divBdr>
    </w:div>
    <w:div w:id="1654026195">
      <w:bodyDiv w:val="1"/>
      <w:marLeft w:val="0"/>
      <w:marRight w:val="0"/>
      <w:marTop w:val="0"/>
      <w:marBottom w:val="0"/>
      <w:divBdr>
        <w:top w:val="none" w:sz="0" w:space="0" w:color="auto"/>
        <w:left w:val="none" w:sz="0" w:space="0" w:color="auto"/>
        <w:bottom w:val="none" w:sz="0" w:space="0" w:color="auto"/>
        <w:right w:val="none" w:sz="0" w:space="0" w:color="auto"/>
      </w:divBdr>
    </w:div>
    <w:div w:id="1739092983">
      <w:bodyDiv w:val="1"/>
      <w:marLeft w:val="0"/>
      <w:marRight w:val="0"/>
      <w:marTop w:val="0"/>
      <w:marBottom w:val="0"/>
      <w:divBdr>
        <w:top w:val="none" w:sz="0" w:space="0" w:color="auto"/>
        <w:left w:val="none" w:sz="0" w:space="0" w:color="auto"/>
        <w:bottom w:val="none" w:sz="0" w:space="0" w:color="auto"/>
        <w:right w:val="none" w:sz="0" w:space="0" w:color="auto"/>
      </w:divBdr>
    </w:div>
    <w:div w:id="1740714440">
      <w:bodyDiv w:val="1"/>
      <w:marLeft w:val="0"/>
      <w:marRight w:val="0"/>
      <w:marTop w:val="0"/>
      <w:marBottom w:val="0"/>
      <w:divBdr>
        <w:top w:val="none" w:sz="0" w:space="0" w:color="auto"/>
        <w:left w:val="none" w:sz="0" w:space="0" w:color="auto"/>
        <w:bottom w:val="none" w:sz="0" w:space="0" w:color="auto"/>
        <w:right w:val="none" w:sz="0" w:space="0" w:color="auto"/>
      </w:divBdr>
    </w:div>
    <w:div w:id="1765879816">
      <w:bodyDiv w:val="1"/>
      <w:marLeft w:val="0"/>
      <w:marRight w:val="0"/>
      <w:marTop w:val="0"/>
      <w:marBottom w:val="0"/>
      <w:divBdr>
        <w:top w:val="none" w:sz="0" w:space="0" w:color="auto"/>
        <w:left w:val="none" w:sz="0" w:space="0" w:color="auto"/>
        <w:bottom w:val="none" w:sz="0" w:space="0" w:color="auto"/>
        <w:right w:val="none" w:sz="0" w:space="0" w:color="auto"/>
      </w:divBdr>
    </w:div>
    <w:div w:id="1773436075">
      <w:bodyDiv w:val="1"/>
      <w:marLeft w:val="0"/>
      <w:marRight w:val="0"/>
      <w:marTop w:val="0"/>
      <w:marBottom w:val="0"/>
      <w:divBdr>
        <w:top w:val="none" w:sz="0" w:space="0" w:color="auto"/>
        <w:left w:val="none" w:sz="0" w:space="0" w:color="auto"/>
        <w:bottom w:val="none" w:sz="0" w:space="0" w:color="auto"/>
        <w:right w:val="none" w:sz="0" w:space="0" w:color="auto"/>
      </w:divBdr>
    </w:div>
    <w:div w:id="1806775369">
      <w:bodyDiv w:val="1"/>
      <w:marLeft w:val="0"/>
      <w:marRight w:val="0"/>
      <w:marTop w:val="0"/>
      <w:marBottom w:val="0"/>
      <w:divBdr>
        <w:top w:val="none" w:sz="0" w:space="0" w:color="auto"/>
        <w:left w:val="none" w:sz="0" w:space="0" w:color="auto"/>
        <w:bottom w:val="none" w:sz="0" w:space="0" w:color="auto"/>
        <w:right w:val="none" w:sz="0" w:space="0" w:color="auto"/>
      </w:divBdr>
    </w:div>
    <w:div w:id="1864635283">
      <w:bodyDiv w:val="1"/>
      <w:marLeft w:val="0"/>
      <w:marRight w:val="0"/>
      <w:marTop w:val="0"/>
      <w:marBottom w:val="0"/>
      <w:divBdr>
        <w:top w:val="none" w:sz="0" w:space="0" w:color="auto"/>
        <w:left w:val="none" w:sz="0" w:space="0" w:color="auto"/>
        <w:bottom w:val="none" w:sz="0" w:space="0" w:color="auto"/>
        <w:right w:val="none" w:sz="0" w:space="0" w:color="auto"/>
      </w:divBdr>
    </w:div>
    <w:div w:id="1871675181">
      <w:bodyDiv w:val="1"/>
      <w:marLeft w:val="0"/>
      <w:marRight w:val="0"/>
      <w:marTop w:val="0"/>
      <w:marBottom w:val="0"/>
      <w:divBdr>
        <w:top w:val="none" w:sz="0" w:space="0" w:color="auto"/>
        <w:left w:val="none" w:sz="0" w:space="0" w:color="auto"/>
        <w:bottom w:val="none" w:sz="0" w:space="0" w:color="auto"/>
        <w:right w:val="none" w:sz="0" w:space="0" w:color="auto"/>
      </w:divBdr>
    </w:div>
    <w:div w:id="1915119279">
      <w:bodyDiv w:val="1"/>
      <w:marLeft w:val="0"/>
      <w:marRight w:val="0"/>
      <w:marTop w:val="0"/>
      <w:marBottom w:val="0"/>
      <w:divBdr>
        <w:top w:val="none" w:sz="0" w:space="0" w:color="auto"/>
        <w:left w:val="none" w:sz="0" w:space="0" w:color="auto"/>
        <w:bottom w:val="none" w:sz="0" w:space="0" w:color="auto"/>
        <w:right w:val="none" w:sz="0" w:space="0" w:color="auto"/>
      </w:divBdr>
    </w:div>
    <w:div w:id="1917787749">
      <w:bodyDiv w:val="1"/>
      <w:marLeft w:val="0"/>
      <w:marRight w:val="0"/>
      <w:marTop w:val="0"/>
      <w:marBottom w:val="0"/>
      <w:divBdr>
        <w:top w:val="none" w:sz="0" w:space="0" w:color="auto"/>
        <w:left w:val="none" w:sz="0" w:space="0" w:color="auto"/>
        <w:bottom w:val="none" w:sz="0" w:space="0" w:color="auto"/>
        <w:right w:val="none" w:sz="0" w:space="0" w:color="auto"/>
      </w:divBdr>
    </w:div>
    <w:div w:id="1968124388">
      <w:bodyDiv w:val="1"/>
      <w:marLeft w:val="0"/>
      <w:marRight w:val="0"/>
      <w:marTop w:val="0"/>
      <w:marBottom w:val="0"/>
      <w:divBdr>
        <w:top w:val="none" w:sz="0" w:space="0" w:color="auto"/>
        <w:left w:val="none" w:sz="0" w:space="0" w:color="auto"/>
        <w:bottom w:val="none" w:sz="0" w:space="0" w:color="auto"/>
        <w:right w:val="none" w:sz="0" w:space="0" w:color="auto"/>
      </w:divBdr>
    </w:div>
    <w:div w:id="1972592972">
      <w:bodyDiv w:val="1"/>
      <w:marLeft w:val="0"/>
      <w:marRight w:val="0"/>
      <w:marTop w:val="0"/>
      <w:marBottom w:val="0"/>
      <w:divBdr>
        <w:top w:val="none" w:sz="0" w:space="0" w:color="auto"/>
        <w:left w:val="none" w:sz="0" w:space="0" w:color="auto"/>
        <w:bottom w:val="none" w:sz="0" w:space="0" w:color="auto"/>
        <w:right w:val="none" w:sz="0" w:space="0" w:color="auto"/>
      </w:divBdr>
    </w:div>
    <w:div w:id="2005158133">
      <w:bodyDiv w:val="1"/>
      <w:marLeft w:val="0"/>
      <w:marRight w:val="0"/>
      <w:marTop w:val="0"/>
      <w:marBottom w:val="0"/>
      <w:divBdr>
        <w:top w:val="none" w:sz="0" w:space="0" w:color="auto"/>
        <w:left w:val="none" w:sz="0" w:space="0" w:color="auto"/>
        <w:bottom w:val="none" w:sz="0" w:space="0" w:color="auto"/>
        <w:right w:val="none" w:sz="0" w:space="0" w:color="auto"/>
      </w:divBdr>
    </w:div>
    <w:div w:id="2027319473">
      <w:bodyDiv w:val="1"/>
      <w:marLeft w:val="0"/>
      <w:marRight w:val="0"/>
      <w:marTop w:val="0"/>
      <w:marBottom w:val="0"/>
      <w:divBdr>
        <w:top w:val="none" w:sz="0" w:space="0" w:color="auto"/>
        <w:left w:val="none" w:sz="0" w:space="0" w:color="auto"/>
        <w:bottom w:val="none" w:sz="0" w:space="0" w:color="auto"/>
        <w:right w:val="none" w:sz="0" w:space="0" w:color="auto"/>
      </w:divBdr>
    </w:div>
    <w:div w:id="2041466897">
      <w:bodyDiv w:val="1"/>
      <w:marLeft w:val="0"/>
      <w:marRight w:val="0"/>
      <w:marTop w:val="0"/>
      <w:marBottom w:val="0"/>
      <w:divBdr>
        <w:top w:val="none" w:sz="0" w:space="0" w:color="auto"/>
        <w:left w:val="none" w:sz="0" w:space="0" w:color="auto"/>
        <w:bottom w:val="none" w:sz="0" w:space="0" w:color="auto"/>
        <w:right w:val="none" w:sz="0" w:space="0" w:color="auto"/>
      </w:divBdr>
    </w:div>
    <w:div w:id="2105295345">
      <w:bodyDiv w:val="1"/>
      <w:marLeft w:val="0"/>
      <w:marRight w:val="0"/>
      <w:marTop w:val="0"/>
      <w:marBottom w:val="0"/>
      <w:divBdr>
        <w:top w:val="none" w:sz="0" w:space="0" w:color="auto"/>
        <w:left w:val="none" w:sz="0" w:space="0" w:color="auto"/>
        <w:bottom w:val="none" w:sz="0" w:space="0" w:color="auto"/>
        <w:right w:val="none" w:sz="0" w:space="0" w:color="auto"/>
      </w:divBdr>
    </w:div>
    <w:div w:id="2114130286">
      <w:bodyDiv w:val="1"/>
      <w:marLeft w:val="0"/>
      <w:marRight w:val="0"/>
      <w:marTop w:val="0"/>
      <w:marBottom w:val="0"/>
      <w:divBdr>
        <w:top w:val="none" w:sz="0" w:space="0" w:color="auto"/>
        <w:left w:val="none" w:sz="0" w:space="0" w:color="auto"/>
        <w:bottom w:val="none" w:sz="0" w:space="0" w:color="auto"/>
        <w:right w:val="none" w:sz="0" w:space="0" w:color="auto"/>
      </w:divBdr>
    </w:div>
    <w:div w:id="2119180093">
      <w:bodyDiv w:val="1"/>
      <w:marLeft w:val="0"/>
      <w:marRight w:val="0"/>
      <w:marTop w:val="0"/>
      <w:marBottom w:val="0"/>
      <w:divBdr>
        <w:top w:val="none" w:sz="0" w:space="0" w:color="auto"/>
        <w:left w:val="none" w:sz="0" w:space="0" w:color="auto"/>
        <w:bottom w:val="none" w:sz="0" w:space="0" w:color="auto"/>
        <w:right w:val="none" w:sz="0" w:space="0" w:color="auto"/>
      </w:divBdr>
    </w:div>
    <w:div w:id="2126458186">
      <w:bodyDiv w:val="1"/>
      <w:marLeft w:val="0"/>
      <w:marRight w:val="0"/>
      <w:marTop w:val="0"/>
      <w:marBottom w:val="0"/>
      <w:divBdr>
        <w:top w:val="none" w:sz="0" w:space="0" w:color="auto"/>
        <w:left w:val="none" w:sz="0" w:space="0" w:color="auto"/>
        <w:bottom w:val="none" w:sz="0" w:space="0" w:color="auto"/>
        <w:right w:val="none" w:sz="0" w:space="0" w:color="auto"/>
      </w:divBdr>
    </w:div>
    <w:div w:id="2138178908">
      <w:bodyDiv w:val="1"/>
      <w:marLeft w:val="0"/>
      <w:marRight w:val="0"/>
      <w:marTop w:val="0"/>
      <w:marBottom w:val="0"/>
      <w:divBdr>
        <w:top w:val="none" w:sz="0" w:space="0" w:color="auto"/>
        <w:left w:val="none" w:sz="0" w:space="0" w:color="auto"/>
        <w:bottom w:val="none" w:sz="0" w:space="0" w:color="auto"/>
        <w:right w:val="none" w:sz="0" w:space="0" w:color="auto"/>
      </w:divBdr>
    </w:div>
    <w:div w:id="21436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lex.Viner@tewhatuora.govt.nz"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adiology.carepathways.tewhatuora.govt.nz/national"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AppData\Local\Temp\21e900c3-d49d-4367-ae7f-614e9dd19e2e_Minsters%20templates_May%202024%20v3%20(002).zip.e2e\Aide%20Memoire%20template_May%202024%20v2.dotx" TargetMode="External"/></Relationships>
</file>

<file path=word/theme/theme1.xml><?xml version="1.0" encoding="utf-8"?>
<a:theme xmlns:a="http://schemas.openxmlformats.org/drawingml/2006/main" name="Office Theme">
  <a:themeElements>
    <a:clrScheme name="Custom 2">
      <a:dk1>
        <a:srgbClr val="15284C"/>
      </a:dk1>
      <a:lt1>
        <a:srgbClr val="F6F4EC"/>
      </a:lt1>
      <a:dk2>
        <a:srgbClr val="15284C"/>
      </a:dk2>
      <a:lt2>
        <a:srgbClr val="30A1AC"/>
      </a:lt2>
      <a:accent1>
        <a:srgbClr val="4D2379"/>
      </a:accent1>
      <a:accent2>
        <a:srgbClr val="003399"/>
      </a:accent2>
      <a:accent3>
        <a:srgbClr val="0C818F"/>
      </a:accent3>
      <a:accent4>
        <a:srgbClr val="FFFFFF"/>
      </a:accent4>
      <a:accent5>
        <a:srgbClr val="15284C"/>
      </a:accent5>
      <a:accent6>
        <a:srgbClr val="FFFFFF"/>
      </a:accent6>
      <a:hlink>
        <a:srgbClr val="2B529C"/>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53c88c-d550-4ff1-afdc-d5dc691f60b0">
      <Value>332</Value>
      <Value>2</Value>
    </TaxCatchAll>
    <HNZReviewDate xmlns="9253c88c-d550-4ff1-afdc-d5dc691f60b0" xsi:nil="true"/>
    <mb22360ee3e3407ca28e907eb3b7ca6b xmlns="9253c88c-d550-4ff1-afdc-d5dc691f60b0">Draft4dbd6f0d-7021-43d2-a391-03666245495e</mb22360ee3e3407ca28e907eb3b7ca6b>
    <HNZOwner xmlns="7c3935ea-b804-4422-a480-ea607dd1238f">
      <UserInfo>
        <DisplayName/>
        <AccountId xsi:nil="true"/>
        <AccountType/>
      </UserInfo>
    </HNZOwner>
    <ka9b207035bc48f2a4f6a2bfed7195b7 xmlns="9253c88c-d550-4ff1-afdc-d5dc691f60b0">Machinery of Government2e6054d5-752b-4d46-83f0-5f1c4fdb28ea</ka9b207035bc48f2a4f6a2bfed7195b7>
    <f3e7f0a218d8438586e2a8545792c0ef xmlns="7c3935ea-b804-4422-a480-ea607dd1238f">
      <Terms xmlns="http://schemas.microsoft.com/office/infopath/2007/PartnerControls"/>
    </f3e7f0a218d8438586e2a8545792c0ef>
    <p7110e5651294189b89368865130750f xmlns="9253c88c-d550-4ff1-afdc-d5dc691f60b0" xsi:nil="true"/>
    <p777f0da518742b188a1f7fd5ee91810 xmlns="7c3935ea-b804-4422-a480-ea607dd1238f" xsi:nil="true"/>
    <_dlc_DocId xmlns="1648de66-f3f9-4d4b-aae7-60266db04554">1000205-1572720606-167575</_dlc_DocId>
    <_dlc_DocIdUrl xmlns="1648de66-f3f9-4d4b-aae7-60266db04554">
      <Url>https://hauoraaotearoa.sharepoint.com/sites/1000205/_layouts/15/DocIdRedir.aspx?ID=1000205-1572720606-167575</Url>
      <Description>1000205-1572720606-167575</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bf29b3f-1e51-457b-ae0c-362182e58074" ContentTypeId="0x010100D5C1E13D20A8554992C24F7EE470E023" PreviousValue="false" LastSyncTimeStamp="2024-06-19T04:25:26.467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ikau document" ma:contentTypeID="0x010100D5C1E13D20A8554992C24F7EE470E0230002BD5909385FFD43ADB4BD9619565D16" ma:contentTypeVersion="21" ma:contentTypeDescription="Create a new document." ma:contentTypeScope="" ma:versionID="b2b230d1e1795d0adf17ea8950afbff0">
  <xsd:schema xmlns:xsd="http://www.w3.org/2001/XMLSchema" xmlns:xs="http://www.w3.org/2001/XMLSchema" xmlns:p="http://schemas.microsoft.com/office/2006/metadata/properties" xmlns:ns1="http://schemas.microsoft.com/sharepoint/v3" xmlns:ns2="9253c88c-d550-4ff1-afdc-d5dc691f60b0" xmlns:ns3="7c3935ea-b804-4422-a480-ea607dd1238f" xmlns:ns4="1648de66-f3f9-4d4b-aae7-60266db04554" targetNamespace="http://schemas.microsoft.com/office/2006/metadata/properties" ma:root="true" ma:fieldsID="f24018e8908b51bc14687ef5d9525769" ns1:_="" ns2:_="" ns3:_="" ns4:_="">
    <xsd:import namespace="http://schemas.microsoft.com/sharepoint/v3"/>
    <xsd:import namespace="9253c88c-d550-4ff1-afdc-d5dc691f60b0"/>
    <xsd:import namespace="7c3935ea-b804-4422-a480-ea607dd1238f"/>
    <xsd:import namespace="1648de66-f3f9-4d4b-aae7-60266db04554"/>
    <xsd:element name="properties">
      <xsd:complexType>
        <xsd:sequence>
          <xsd:element name="documentManagement">
            <xsd:complexType>
              <xsd:all>
                <xsd:element ref="ns2:TaxCatchAll" minOccurs="0"/>
                <xsd:element ref="ns3:TaxCatchAllLabel" minOccurs="0"/>
                <xsd:element ref="ns2:ka9b207035bc48f2a4f6a2bfed7195b7" minOccurs="0"/>
                <xsd:element ref="ns1:Name" minOccurs="0"/>
                <xsd:element ref="ns3:f3e7f0a218d8438586e2a8545792c0ef" minOccurs="0"/>
                <xsd:element ref="ns2:mb22360ee3e3407ca28e907eb3b7ca6b" minOccurs="0"/>
                <xsd:element ref="ns3:HNZOwner" minOccurs="0"/>
                <xsd:element ref="ns2:p7110e5651294189b89368865130750f" minOccurs="0"/>
                <xsd:element ref="ns3:p777f0da518742b188a1f7fd5ee91810" minOccurs="0"/>
                <xsd:element ref="ns2:HNZReview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0fd8053b-0874-47de-b4a1-e474eba2a82e}" ma:internalName="TaxCatchAll" ma:showField="CatchAllData" ma:web="1648de66-f3f9-4d4b-aae7-60266db04554">
      <xsd:complexType>
        <xsd:complexContent>
          <xsd:extension base="dms:MultiChoiceLookup">
            <xsd:sequence>
              <xsd:element name="Value" type="dms:Lookup" maxOccurs="unbounded" minOccurs="0" nillable="true"/>
            </xsd:sequence>
          </xsd:extension>
        </xsd:complexContent>
      </xsd:complexType>
    </xsd:element>
    <xsd:element name="ka9b207035bc48f2a4f6a2bfed7195b7" ma:index="10" nillable="true" ma:displayName="Business Function_0" ma:hidden="true" ma:internalName="ka9b207035bc48f2a4f6a2bfed7195b7">
      <xsd:simpleType>
        <xsd:restriction base="dms:Note"/>
      </xsd:simpleType>
    </xsd:element>
    <xsd:element name="mb22360ee3e3407ca28e907eb3b7ca6b" ma:index="15" nillable="true" ma:displayName="Status_0" ma:hidden="true" ma:internalName="mb22360ee3e3407ca28e907eb3b7ca6b">
      <xsd:simpleType>
        <xsd:restriction base="dms:Note"/>
      </xsd:simpleType>
    </xsd:element>
    <xsd:element name="p7110e5651294189b89368865130750f" ma:index="18" nillable="true" ma:displayName="Region_0" ma:hidden="true" ma:internalName="p7110e5651294189b89368865130750f">
      <xsd:simpleType>
        <xsd:restriction base="dms:Note"/>
      </xsd:simpleType>
    </xsd:element>
    <xsd:element name="HNZReviewDate" ma:index="22" nillable="true" ma:displayName="Review Date" ma:description="Review Date for content" ma:format="DateOnly" ma:internalName="HNZ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3935ea-b804-4422-a480-ea607dd1238f" elementFormDefault="qualified">
    <xsd:import namespace="http://schemas.microsoft.com/office/2006/documentManagement/types"/>
    <xsd:import namespace="http://schemas.microsoft.com/office/infopath/2007/PartnerControls"/>
    <xsd:element name="TaxCatchAllLabel" ma:index="9" nillable="true" ma:displayName="Taxonomy Catch All Column1" ma:hidden="true" ma:list="{0fd8053b-0874-47de-b4a1-e474eba2a82e}"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3e7f0a218d8438586e2a8545792c0ef" ma:index="13" nillable="true" ma:taxonomy="true" ma:internalName="f3e7f0a218d8438586e2a8545792c0ef" ma:taxonomyFieldName="HNZTopic" ma:displayName="Topic" ma:default="" ma:fieldId="{f3e7f0a2-18d8-4385-86e2-a8545792c0ef}" ma:taxonomyMulti="true" ma:sspId="ebf29b3f-1e51-457b-ae0c-362182e58074" ma:termSetId="6fc62df7-d99b-474b-a41d-680956366171" ma:anchorId="00000000-0000-0000-0000-000000000000" ma:open="true" ma:isKeyword="false">
      <xsd:complexType>
        <xsd:sequence>
          <xsd:element ref="pc:Terms" minOccurs="0" maxOccurs="1"/>
        </xsd:sequence>
      </xsd:complexType>
    </xsd:element>
    <xsd:element name="HNZOwner" ma:index="17" nillable="true" ma:displayName="Owner" ma:internalName="HNZ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77f0da518742b188a1f7fd5ee91810" ma:index="20" nillable="true" ma:displayName="Local Area_0" ma:hidden="true" ma:internalName="p777f0da518742b188a1f7fd5ee9181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48de66-f3f9-4d4b-aae7-60266db04554"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7A18F-F563-4991-8DE4-628A578DB241}">
  <ds:schemaRefs>
    <ds:schemaRef ds:uri="http://schemas.microsoft.com/office/2006/metadata/properties"/>
    <ds:schemaRef ds:uri="http://schemas.microsoft.com/office/infopath/2007/PartnerControls"/>
    <ds:schemaRef ds:uri="9253c88c-d550-4ff1-afdc-d5dc691f60b0"/>
    <ds:schemaRef ds:uri="7c3935ea-b804-4422-a480-ea607dd1238f"/>
    <ds:schemaRef ds:uri="1648de66-f3f9-4d4b-aae7-60266db04554"/>
  </ds:schemaRefs>
</ds:datastoreItem>
</file>

<file path=customXml/itemProps2.xml><?xml version="1.0" encoding="utf-8"?>
<ds:datastoreItem xmlns:ds="http://schemas.openxmlformats.org/officeDocument/2006/customXml" ds:itemID="{FA979E5D-3A3E-4237-84E8-E357ACFD55E3}">
  <ds:schemaRefs>
    <ds:schemaRef ds:uri="http://schemas.openxmlformats.org/officeDocument/2006/bibliography"/>
  </ds:schemaRefs>
</ds:datastoreItem>
</file>

<file path=customXml/itemProps3.xml><?xml version="1.0" encoding="utf-8"?>
<ds:datastoreItem xmlns:ds="http://schemas.openxmlformats.org/officeDocument/2006/customXml" ds:itemID="{989E0409-C8CF-46AC-956D-7B56C5256619}">
  <ds:schemaRefs>
    <ds:schemaRef ds:uri="http://schemas.microsoft.com/sharepoint/v3/contenttype/forms"/>
  </ds:schemaRefs>
</ds:datastoreItem>
</file>

<file path=customXml/itemProps4.xml><?xml version="1.0" encoding="utf-8"?>
<ds:datastoreItem xmlns:ds="http://schemas.openxmlformats.org/officeDocument/2006/customXml" ds:itemID="{9750B1FC-FFA7-4ECF-8820-5F179533359A}">
  <ds:schemaRefs>
    <ds:schemaRef ds:uri="Microsoft.SharePoint.Taxonomy.ContentTypeSync"/>
  </ds:schemaRefs>
</ds:datastoreItem>
</file>

<file path=customXml/itemProps5.xml><?xml version="1.0" encoding="utf-8"?>
<ds:datastoreItem xmlns:ds="http://schemas.openxmlformats.org/officeDocument/2006/customXml" ds:itemID="{3706B4CF-E88F-4F37-8491-954DFA40CC75}">
  <ds:schemaRefs>
    <ds:schemaRef ds:uri="http://schemas.microsoft.com/sharepoint/events"/>
  </ds:schemaRefs>
</ds:datastoreItem>
</file>

<file path=customXml/itemProps6.xml><?xml version="1.0" encoding="utf-8"?>
<ds:datastoreItem xmlns:ds="http://schemas.openxmlformats.org/officeDocument/2006/customXml" ds:itemID="{20841691-A3AE-482C-A2D8-255979EFE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3c88c-d550-4ff1-afdc-d5dc691f60b0"/>
    <ds:schemaRef ds:uri="7c3935ea-b804-4422-a480-ea607dd1238f"/>
    <ds:schemaRef ds:uri="1648de66-f3f9-4d4b-aae7-60266db04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Aide Memoire template_May 2024 v2</Template>
  <TotalTime>231</TotalTime>
  <Pages>5</Pages>
  <Words>1407</Words>
  <Characters>8023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Jollee Kerr</dc:creator>
  <cp:keywords/>
  <dc:description/>
  <cp:lastModifiedBy>Alex Viner</cp:lastModifiedBy>
  <cp:revision>52</cp:revision>
  <cp:lastPrinted>2024-04-20T18:24:00Z</cp:lastPrinted>
  <dcterms:created xsi:type="dcterms:W3CDTF">2025-07-15T00:56:00Z</dcterms:created>
  <dcterms:modified xsi:type="dcterms:W3CDTF">2025-09-28T23:55:00Z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0x010100D5C1E13D20A8554992C24F7EE470E0230002BD5909385FFD43ADB4BD9619565D16</vt:lpwstr>
  </property>
  <property fmtid="{D5CDD505-2E9C-101B-9397-08002B2CF9AE}" pid="3" name="_dlc_DocIdItemGuid">
    <vt:lpwstr>906aad23-5526-498e-907b-b6bfb593db15</vt:lpwstr>
  </property>
  <property fmtid="{D5CDD505-2E9C-101B-9397-08002B2CF9AE}" pid="4" name="MediaServiceImageTags">
    <vt:lpwstr/>
  </property>
  <property fmtid="{D5CDD505-2E9C-101B-9397-08002B2CF9AE}" pid="5" name="BusinessFunction">
    <vt:lpwstr>332;#Machinery of Government|2e6054d5-752b-4d46-83f0-5f1c4fdb28ea</vt:lpwstr>
  </property>
  <property fmtid="{D5CDD505-2E9C-101B-9397-08002B2CF9AE}" pid="6" name="HNZStatus">
    <vt:lpwstr>2;#Draft|4dbd6f0d-7021-43d2-a391-03666245495e</vt:lpwstr>
  </property>
  <property fmtid="{D5CDD505-2E9C-101B-9397-08002B2CF9AE}" pid="7" name="HNZTopic">
    <vt:lpwstr/>
  </property>
  <property fmtid="{D5CDD505-2E9C-101B-9397-08002B2CF9AE}" pid="8" name="CreatedByText">
    <vt:lpwstr>Jollee Kerr</vt:lpwstr>
  </property>
  <property fmtid="{D5CDD505-2E9C-101B-9397-08002B2CF9AE}" pid="9" name="ModifiedByText">
    <vt:lpwstr>Jollee Kerr</vt:lpwstr>
  </property>
  <property fmtid="{D5CDD505-2E9C-101B-9397-08002B2CF9AE}" pid="10" name="_ExtendedDescription">
    <vt:lpwstr/>
  </property>
  <property fmtid="{D5CDD505-2E9C-101B-9397-08002B2CF9AE}" pid="11" name="HNZLocalArea">
    <vt:lpwstr/>
  </property>
  <property fmtid="{D5CDD505-2E9C-101B-9397-08002B2CF9AE}" pid="12" name="HNZRegion">
    <vt:lpwstr/>
  </property>
  <property fmtid="{D5CDD505-2E9C-101B-9397-08002B2CF9AE}" pid="13" name="p777f0da518742b188a1f7fd5ee918100">
    <vt:lpwstr/>
  </property>
  <property fmtid="{D5CDD505-2E9C-101B-9397-08002B2CF9AE}" pid="14" name="p7110e5651294189b89368865130750f0">
    <vt:lpwstr/>
  </property>
  <property fmtid="{D5CDD505-2E9C-101B-9397-08002B2CF9AE}" pid="15" name="ka9b207035bc48f2a4f6a2bfed7195b70">
    <vt:lpwstr>Machinery of Government|2e6054d5-752b-4d46-83f0-5f1c4fdb28ea</vt:lpwstr>
  </property>
  <property fmtid="{D5CDD505-2E9C-101B-9397-08002B2CF9AE}" pid="16" name="mb22360ee3e3407ca28e907eb3b7ca6b0">
    <vt:lpwstr>Draft|4dbd6f0d-7021-43d2-a391-03666245495e</vt:lpwstr>
  </property>
  <property fmtid="{D5CDD505-2E9C-101B-9397-08002B2CF9AE}" pid="17" name="b129038a2c8d4de88edfb48f2f360037">
    <vt:lpwstr/>
  </property>
  <property fmtid="{D5CDD505-2E9C-101B-9397-08002B2CF9AE}" pid="18" name="Life_x0020_Course">
    <vt:lpwstr/>
  </property>
  <property fmtid="{D5CDD505-2E9C-101B-9397-08002B2CF9AE}" pid="19" name="k9ee5ef6bc1b44e9b6cac8d49fc01329">
    <vt:lpwstr/>
  </property>
  <property fmtid="{D5CDD505-2E9C-101B-9397-08002B2CF9AE}" pid="20" name="Work_x0020_Programme">
    <vt:lpwstr/>
  </property>
  <property fmtid="{D5CDD505-2E9C-101B-9397-08002B2CF9AE}" pid="21" name="HNZWorkProgramme">
    <vt:lpwstr/>
  </property>
  <property fmtid="{D5CDD505-2E9C-101B-9397-08002B2CF9AE}" pid="22" name="HNZLifeCourse">
    <vt:lpwstr/>
  </property>
  <property fmtid="{D5CDD505-2E9C-101B-9397-08002B2CF9AE}" pid="23" name="n7550351343a46f2a8525b73f60545f8">
    <vt:lpwstr/>
  </property>
  <property fmtid="{D5CDD505-2E9C-101B-9397-08002B2CF9AE}" pid="24" name="lcf76f155ced4ddcb4097134ff3c332f">
    <vt:lpwstr/>
  </property>
  <property fmtid="{D5CDD505-2E9C-101B-9397-08002B2CF9AE}" pid="25" name="ld9a3a592f8646249650a4bef9865698">
    <vt:lpwstr/>
  </property>
  <property fmtid="{D5CDD505-2E9C-101B-9397-08002B2CF9AE}" pid="26" name="Work Programme">
    <vt:lpwstr/>
  </property>
  <property fmtid="{D5CDD505-2E9C-101B-9397-08002B2CF9AE}" pid="27" name="Life Course">
    <vt:lpwstr/>
  </property>
</Properties>
</file>