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:rsidR="008348B7" w:rsidRPr="00DD748F" w:rsidRDefault="00450C8A" w:rsidP="00916507">
            <w:pPr>
              <w:pStyle w:val="Title"/>
            </w:pPr>
            <w:bookmarkStart w:id="0" w:name="_GoBack"/>
            <w:bookmarkEnd w:id="0"/>
            <w:r>
              <w:t xml:space="preserve">National Review of </w:t>
            </w:r>
            <w:r w:rsidR="00916507">
              <w:t>Cold Chain Management Practices</w:t>
            </w:r>
            <w:r w:rsidR="0003497E">
              <w:t>: Summary and Recommendations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D373C" w:rsidRPr="00DD748F" w:rsidRDefault="00CD373C" w:rsidP="0092659B">
            <w:pPr>
              <w:spacing w:after="120"/>
              <w:jc w:val="right"/>
            </w:pPr>
          </w:p>
          <w:p w:rsidR="00423830" w:rsidRPr="00DD748F" w:rsidRDefault="00326F3A" w:rsidP="00450C8A">
            <w:pPr>
              <w:spacing w:after="120"/>
              <w:jc w:val="right"/>
              <w:rPr>
                <w:color w:val="002B7F"/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  <w:r w:rsidR="00916507">
              <w:rPr>
                <w:sz w:val="28"/>
                <w:szCs w:val="28"/>
              </w:rPr>
              <w:t xml:space="preserve"> </w:t>
            </w:r>
            <w:r w:rsidR="0003497E">
              <w:rPr>
                <w:sz w:val="28"/>
                <w:szCs w:val="28"/>
              </w:rPr>
              <w:t>2016</w:t>
            </w:r>
          </w:p>
        </w:tc>
      </w:tr>
    </w:tbl>
    <w:p w:rsidR="00450C8A" w:rsidRDefault="00BA0BD6" w:rsidP="00450C8A">
      <w:pPr>
        <w:pStyle w:val="Heading2"/>
      </w:pPr>
      <w:r>
        <w:t>Overview</w:t>
      </w:r>
      <w:r w:rsidR="00450C8A">
        <w:t xml:space="preserve"> </w:t>
      </w:r>
    </w:p>
    <w:p w:rsidR="00916507" w:rsidRPr="00290440" w:rsidRDefault="00916507" w:rsidP="00290440">
      <w:pPr>
        <w:keepNext/>
        <w:rPr>
          <w:lang w:val="en-GB"/>
        </w:rPr>
      </w:pPr>
      <w:r w:rsidRPr="00290440">
        <w:rPr>
          <w:lang w:val="en-GB"/>
        </w:rPr>
        <w:t>In December 2014, the Ministry of Health (the Ministry) commissioned PricewaterhouseCoopers (PwC) to undertake a review of co</w:t>
      </w:r>
      <w:r w:rsidR="006143D9">
        <w:rPr>
          <w:lang w:val="en-GB"/>
        </w:rPr>
        <w:t xml:space="preserve">ld chain management practices. </w:t>
      </w:r>
      <w:r w:rsidRPr="00290440">
        <w:rPr>
          <w:lang w:val="en-GB"/>
        </w:rPr>
        <w:t>This document is a summary of the key findings from the National Review of Cold Chain Management Practices.</w:t>
      </w:r>
    </w:p>
    <w:p w:rsidR="00916507" w:rsidRPr="00290440" w:rsidRDefault="00916507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The purpose of this </w:t>
      </w:r>
      <w:r w:rsidR="00AF3191">
        <w:rPr>
          <w:lang w:val="en-GB"/>
        </w:rPr>
        <w:t>r</w:t>
      </w:r>
      <w:r w:rsidRPr="00290440">
        <w:rPr>
          <w:lang w:val="en-GB"/>
        </w:rPr>
        <w:t xml:space="preserve">eview was to inform the update of the National Guidelines for Vaccine Storage and Distribution 2012 (the National Guidelines) </w:t>
      </w:r>
      <w:r w:rsidR="009B285C">
        <w:rPr>
          <w:lang w:val="en-GB"/>
        </w:rPr>
        <w:t xml:space="preserve">and </w:t>
      </w:r>
      <w:r w:rsidRPr="00290440">
        <w:rPr>
          <w:lang w:val="en-GB"/>
        </w:rPr>
        <w:t>indicate if specific resources and training are needed to improve cold chain management processes and the transportation of vacci</w:t>
      </w:r>
      <w:r w:rsidR="00DC3651">
        <w:rPr>
          <w:lang w:val="en-GB"/>
        </w:rPr>
        <w:t>nes to non-clinical settings (e</w:t>
      </w:r>
      <w:r w:rsidRPr="00290440">
        <w:rPr>
          <w:lang w:val="en-GB"/>
        </w:rPr>
        <w:t>g</w:t>
      </w:r>
      <w:r w:rsidR="00DC3651">
        <w:rPr>
          <w:lang w:val="en-GB"/>
        </w:rPr>
        <w:t>,</w:t>
      </w:r>
      <w:r w:rsidRPr="00290440">
        <w:rPr>
          <w:lang w:val="en-GB"/>
        </w:rPr>
        <w:t xml:space="preserve"> schools, homes and workplaces).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Pr="00B50904" w:rsidRDefault="00B50904" w:rsidP="00DC3651">
      <w:pPr>
        <w:keepNext/>
        <w:spacing w:after="120"/>
        <w:rPr>
          <w:b/>
          <w:sz w:val="28"/>
          <w:szCs w:val="28"/>
          <w:lang w:val="en-GB"/>
        </w:rPr>
      </w:pPr>
      <w:r w:rsidRPr="00B50904">
        <w:rPr>
          <w:b/>
          <w:sz w:val="28"/>
          <w:szCs w:val="28"/>
          <w:lang w:val="en-GB"/>
        </w:rPr>
        <w:t>The cold chain</w:t>
      </w: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Cold chain refers to the system of transporting and storing vaccines within the recommended temperature range of +2°C to +8°C from the place of manufacture to the point of vaccine administration. All immunisation providers</w:t>
      </w:r>
      <w:r w:rsidR="006F05AA">
        <w:rPr>
          <w:lang w:val="en-GB"/>
        </w:rPr>
        <w:t>,</w:t>
      </w:r>
      <w:r w:rsidRPr="00290440">
        <w:rPr>
          <w:lang w:val="en-GB"/>
        </w:rPr>
        <w:t xml:space="preserve"> including general practice</w:t>
      </w:r>
      <w:r w:rsidR="006F05AA">
        <w:rPr>
          <w:lang w:val="en-GB"/>
        </w:rPr>
        <w:t>s</w:t>
      </w:r>
      <w:r w:rsidRPr="00290440">
        <w:rPr>
          <w:lang w:val="en-GB"/>
        </w:rPr>
        <w:t>, pharmacists, school</w:t>
      </w:r>
      <w:r w:rsidR="00BD1362">
        <w:rPr>
          <w:lang w:val="en-GB"/>
        </w:rPr>
        <w:t>-</w:t>
      </w:r>
      <w:r w:rsidRPr="00290440">
        <w:rPr>
          <w:lang w:val="en-GB"/>
        </w:rPr>
        <w:t xml:space="preserve">based immunisation programmes and district health board (DHB) clinics/departments must maintain the cold chain at all times. 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A cold chain failure occurs when vaccines are compromised or destroyed by freezing, </w:t>
      </w:r>
      <w:r w:rsidR="009B285C">
        <w:rPr>
          <w:lang w:val="en-GB"/>
        </w:rPr>
        <w:t>be</w:t>
      </w:r>
      <w:r w:rsidR="006F05AA">
        <w:rPr>
          <w:lang w:val="en-GB"/>
        </w:rPr>
        <w:t>ing</w:t>
      </w:r>
      <w:r w:rsidR="009B285C">
        <w:rPr>
          <w:lang w:val="en-GB"/>
        </w:rPr>
        <w:t xml:space="preserve"> overheated</w:t>
      </w:r>
      <w:r w:rsidRPr="00290440">
        <w:rPr>
          <w:lang w:val="en-GB"/>
        </w:rPr>
        <w:t xml:space="preserve"> or be</w:t>
      </w:r>
      <w:r w:rsidR="006F05AA">
        <w:rPr>
          <w:lang w:val="en-GB"/>
        </w:rPr>
        <w:t>ing</w:t>
      </w:r>
      <w:r w:rsidRPr="00290440">
        <w:rPr>
          <w:lang w:val="en-GB"/>
        </w:rPr>
        <w:t xml:space="preserve"> exposed to direct sunlight/fluorescent light. 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Cold chain management practices nationwide are bas</w:t>
      </w:r>
      <w:r w:rsidR="00C84B62">
        <w:rPr>
          <w:lang w:val="en-GB"/>
        </w:rPr>
        <w:t xml:space="preserve">ed on the National Guidelines. </w:t>
      </w:r>
      <w:r w:rsidRPr="00290440">
        <w:rPr>
          <w:lang w:val="en-GB"/>
        </w:rPr>
        <w:t>All immunisation providers must achieve Cold Chain Accreditation (CCA) to ensure their cold chain management practices meet the minimum requirements for safe vaccine storage.</w:t>
      </w:r>
    </w:p>
    <w:p w:rsidR="00290440" w:rsidRPr="00B50904" w:rsidRDefault="00290440" w:rsidP="00290440">
      <w:pPr>
        <w:keepNext/>
        <w:rPr>
          <w:sz w:val="28"/>
          <w:szCs w:val="28"/>
          <w:lang w:val="en-GB"/>
        </w:rPr>
      </w:pPr>
    </w:p>
    <w:p w:rsidR="00916507" w:rsidRPr="00B50904" w:rsidRDefault="00916507" w:rsidP="00DC3651">
      <w:pPr>
        <w:keepNext/>
        <w:spacing w:after="120"/>
        <w:rPr>
          <w:b/>
          <w:sz w:val="28"/>
          <w:szCs w:val="28"/>
          <w:lang w:val="en-GB"/>
        </w:rPr>
      </w:pPr>
      <w:r w:rsidRPr="00B50904">
        <w:rPr>
          <w:b/>
          <w:sz w:val="28"/>
          <w:szCs w:val="28"/>
          <w:lang w:val="en-GB"/>
        </w:rPr>
        <w:t>Why review cold chain management practices?</w:t>
      </w: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Cold chain management is dependent on the people involved, the equipment used and the management</w:t>
      </w:r>
      <w:r w:rsidR="00C84B62">
        <w:rPr>
          <w:lang w:val="en-GB"/>
        </w:rPr>
        <w:t xml:space="preserve"> practices/processes in place. </w:t>
      </w:r>
      <w:r w:rsidRPr="00290440">
        <w:rPr>
          <w:lang w:val="en-GB"/>
        </w:rPr>
        <w:t xml:space="preserve">The cold chain involves multiple interactions </w:t>
      </w:r>
      <w:r w:rsidR="00C84B62">
        <w:rPr>
          <w:lang w:val="en-GB"/>
        </w:rPr>
        <w:t>that</w:t>
      </w:r>
      <w:r w:rsidRPr="00290440">
        <w:rPr>
          <w:lang w:val="en-GB"/>
        </w:rPr>
        <w:t xml:space="preserve"> are especially prone to human error.  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Pr="00290440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During 2013 and 2014, there were seven cold chain failures resulting in the re-immunisation of 327 individuals due to vaccine damage predominantly caused by human error. These failures </w:t>
      </w:r>
      <w:r w:rsidR="00AD2EF2" w:rsidRPr="00290440">
        <w:rPr>
          <w:lang w:val="en-GB"/>
        </w:rPr>
        <w:t>affect families</w:t>
      </w:r>
      <w:r w:rsidR="00AD2EF2">
        <w:rPr>
          <w:lang w:val="en-GB"/>
        </w:rPr>
        <w:t xml:space="preserve"> and the communities we are protecting</w:t>
      </w:r>
      <w:r w:rsidR="00D5672A">
        <w:rPr>
          <w:lang w:val="en-GB"/>
        </w:rPr>
        <w:t xml:space="preserve">.  Cold chain failures </w:t>
      </w:r>
      <w:r w:rsidRPr="00290440">
        <w:rPr>
          <w:lang w:val="en-GB"/>
        </w:rPr>
        <w:t>are time consuming for the provider, DHB and the Immunisation Advisory Centre (IMAC) as well as expensive because the</w:t>
      </w:r>
      <w:r w:rsidR="00C84B62">
        <w:rPr>
          <w:lang w:val="en-GB"/>
        </w:rPr>
        <w:t xml:space="preserve"> vaccines need to be replaced. </w:t>
      </w:r>
      <w:r w:rsidRPr="00290440">
        <w:rPr>
          <w:lang w:val="en-GB"/>
        </w:rPr>
        <w:t xml:space="preserve">Future cold chain failures also have the potential to undermine the public’s view of the National Immunisation Programme. The </w:t>
      </w:r>
      <w:r w:rsidR="006E61E1">
        <w:rPr>
          <w:lang w:val="en-GB"/>
        </w:rPr>
        <w:t>r</w:t>
      </w:r>
      <w:r w:rsidRPr="00290440">
        <w:rPr>
          <w:lang w:val="en-GB"/>
        </w:rPr>
        <w:t xml:space="preserve">eview’s key findings will assist in shaping cold chain management compliance strategies, improve cold chain processes and prevent future cold chain failures. </w:t>
      </w:r>
    </w:p>
    <w:p w:rsidR="00290440" w:rsidRDefault="00290440" w:rsidP="00916507">
      <w:pPr>
        <w:spacing w:after="120"/>
        <w:rPr>
          <w:b/>
          <w:sz w:val="20"/>
          <w:szCs w:val="20"/>
        </w:rPr>
      </w:pPr>
    </w:p>
    <w:p w:rsidR="00916507" w:rsidRPr="00B50904" w:rsidRDefault="00916507" w:rsidP="00DC3651">
      <w:pPr>
        <w:keepNext/>
        <w:spacing w:after="120"/>
        <w:rPr>
          <w:b/>
          <w:sz w:val="28"/>
          <w:szCs w:val="28"/>
          <w:lang w:val="en-GB"/>
        </w:rPr>
      </w:pPr>
      <w:r w:rsidRPr="00B50904">
        <w:rPr>
          <w:b/>
          <w:sz w:val="28"/>
          <w:szCs w:val="28"/>
          <w:lang w:val="en-GB"/>
        </w:rPr>
        <w:lastRenderedPageBreak/>
        <w:t xml:space="preserve">Scope of the review </w:t>
      </w:r>
    </w:p>
    <w:p w:rsidR="00916507" w:rsidRPr="00290440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The scope included review of: </w:t>
      </w:r>
    </w:p>
    <w:p w:rsidR="00916507" w:rsidRPr="00290440" w:rsidRDefault="00AF3191" w:rsidP="00290440">
      <w:pPr>
        <w:pStyle w:val="ListParagraph"/>
        <w:keepNext/>
        <w:numPr>
          <w:ilvl w:val="0"/>
          <w:numId w:val="24"/>
        </w:numPr>
        <w:rPr>
          <w:lang w:val="en-GB"/>
        </w:rPr>
      </w:pPr>
      <w:r>
        <w:rPr>
          <w:lang w:val="en-GB"/>
        </w:rPr>
        <w:t>c</w:t>
      </w:r>
      <w:r w:rsidR="00916507" w:rsidRPr="00290440">
        <w:rPr>
          <w:lang w:val="en-GB"/>
        </w:rPr>
        <w:t>old chain management practic</w:t>
      </w:r>
      <w:r w:rsidR="00DC3651">
        <w:rPr>
          <w:lang w:val="en-GB"/>
        </w:rPr>
        <w:t>es of immunisation providers (</w:t>
      </w:r>
      <w:proofErr w:type="spellStart"/>
      <w:r w:rsidR="00DC3651">
        <w:rPr>
          <w:lang w:val="en-GB"/>
        </w:rPr>
        <w:t>i</w:t>
      </w:r>
      <w:r w:rsidR="00916507" w:rsidRPr="00290440">
        <w:rPr>
          <w:lang w:val="en-GB"/>
        </w:rPr>
        <w:t>e</w:t>
      </w:r>
      <w:proofErr w:type="spellEnd"/>
      <w:r w:rsidR="00DC3651">
        <w:rPr>
          <w:lang w:val="en-GB"/>
        </w:rPr>
        <w:t>,</w:t>
      </w:r>
      <w:r w:rsidR="00916507" w:rsidRPr="00290440">
        <w:rPr>
          <w:lang w:val="en-GB"/>
        </w:rPr>
        <w:t xml:space="preserve"> general practice</w:t>
      </w:r>
      <w:r>
        <w:rPr>
          <w:lang w:val="en-GB"/>
        </w:rPr>
        <w:t>s</w:t>
      </w:r>
      <w:r w:rsidR="00916507" w:rsidRPr="00290440">
        <w:rPr>
          <w:lang w:val="en-GB"/>
        </w:rPr>
        <w:t>, school</w:t>
      </w:r>
      <w:r w:rsidR="00BD1362">
        <w:rPr>
          <w:lang w:val="en-GB"/>
        </w:rPr>
        <w:t>-</w:t>
      </w:r>
      <w:r w:rsidR="00916507" w:rsidRPr="00290440">
        <w:rPr>
          <w:lang w:val="en-GB"/>
        </w:rPr>
        <w:t>based immunisation programmes, DHB hospitals/wards/clinics/pharmacies, outreach immunisation services, community pharmacies and occupational health providers)</w:t>
      </w:r>
    </w:p>
    <w:p w:rsidR="00916507" w:rsidRPr="00290440" w:rsidRDefault="00AF3191" w:rsidP="00290440">
      <w:pPr>
        <w:pStyle w:val="ListParagraph"/>
        <w:keepNext/>
        <w:numPr>
          <w:ilvl w:val="0"/>
          <w:numId w:val="24"/>
        </w:numPr>
        <w:rPr>
          <w:lang w:val="en-GB"/>
        </w:rPr>
      </w:pPr>
      <w:r>
        <w:rPr>
          <w:lang w:val="en-GB"/>
        </w:rPr>
        <w:t>the N</w:t>
      </w:r>
      <w:r w:rsidR="00916507" w:rsidRPr="00290440">
        <w:rPr>
          <w:lang w:val="en-GB"/>
        </w:rPr>
        <w:t xml:space="preserve">ational </w:t>
      </w:r>
      <w:r>
        <w:rPr>
          <w:lang w:val="en-GB"/>
        </w:rPr>
        <w:t>G</w:t>
      </w:r>
      <w:r w:rsidR="00916507" w:rsidRPr="00290440">
        <w:rPr>
          <w:lang w:val="en-GB"/>
        </w:rPr>
        <w:t xml:space="preserve">uidelines and associated materials </w:t>
      </w:r>
    </w:p>
    <w:p w:rsidR="00916507" w:rsidRPr="00290440" w:rsidRDefault="00916507" w:rsidP="00290440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290440">
        <w:rPr>
          <w:lang w:val="en-GB"/>
        </w:rPr>
        <w:t>CCA processes.</w:t>
      </w:r>
    </w:p>
    <w:p w:rsidR="00290440" w:rsidRDefault="00290440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PwC conducted a provider survey (143 responses)</w:t>
      </w:r>
      <w:r w:rsidR="00AF3191">
        <w:rPr>
          <w:lang w:val="en-GB"/>
        </w:rPr>
        <w:t xml:space="preserve"> and</w:t>
      </w:r>
      <w:r w:rsidRPr="00290440">
        <w:rPr>
          <w:lang w:val="en-GB"/>
        </w:rPr>
        <w:t xml:space="preserve"> provider interviews (22), analysed the 2013/14 cold chain failure reports and reviewed national and international cold chain policies/practices. 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Out of scope were the vaccine storage and distribution processes that precede vaccine delive</w:t>
      </w:r>
      <w:r w:rsidR="00DC3651">
        <w:rPr>
          <w:lang w:val="en-GB"/>
        </w:rPr>
        <w:t>ry to immunisation providers (</w:t>
      </w:r>
      <w:proofErr w:type="spellStart"/>
      <w:r w:rsidR="00DC3651">
        <w:rPr>
          <w:lang w:val="en-GB"/>
        </w:rPr>
        <w:t>i</w:t>
      </w:r>
      <w:r w:rsidRPr="00290440">
        <w:rPr>
          <w:lang w:val="en-GB"/>
        </w:rPr>
        <w:t>e</w:t>
      </w:r>
      <w:proofErr w:type="spellEnd"/>
      <w:r w:rsidR="00DC3651">
        <w:rPr>
          <w:lang w:val="en-GB"/>
        </w:rPr>
        <w:t>,</w:t>
      </w:r>
      <w:r w:rsidRPr="00290440">
        <w:rPr>
          <w:lang w:val="en-GB"/>
        </w:rPr>
        <w:t xml:space="preserve"> the National Vaccine Store and regional distribution stores).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Default="00916507" w:rsidP="00290440">
      <w:pPr>
        <w:keepNext/>
        <w:rPr>
          <w:lang w:val="en-GB"/>
        </w:rPr>
      </w:pPr>
      <w:r w:rsidRPr="00290440">
        <w:rPr>
          <w:lang w:val="en-GB"/>
        </w:rPr>
        <w:t>As part of their findings</w:t>
      </w:r>
      <w:r w:rsidR="00AF3191">
        <w:rPr>
          <w:lang w:val="en-GB"/>
        </w:rPr>
        <w:t>,</w:t>
      </w:r>
      <w:r w:rsidRPr="00290440">
        <w:rPr>
          <w:lang w:val="en-GB"/>
        </w:rPr>
        <w:t xml:space="preserve"> PwC also analysed the National</w:t>
      </w:r>
      <w:r w:rsidR="006143D9">
        <w:rPr>
          <w:lang w:val="en-GB"/>
        </w:rPr>
        <w:t xml:space="preserve"> Cold Chain Audit (NCCA) data. </w:t>
      </w:r>
      <w:r w:rsidRPr="00290440">
        <w:rPr>
          <w:lang w:val="en-GB"/>
        </w:rPr>
        <w:t>The NCCA monitors the vaccine cold chain from the National Vaccine Store until vaccine a</w:t>
      </w:r>
      <w:r w:rsidR="006143D9">
        <w:rPr>
          <w:lang w:val="en-GB"/>
        </w:rPr>
        <w:t xml:space="preserve">dministration by the provider. </w:t>
      </w:r>
      <w:r w:rsidRPr="00290440">
        <w:rPr>
          <w:lang w:val="en-GB"/>
        </w:rPr>
        <w:t xml:space="preserve">Although this analysis was out of scope and is not reported in this summary, the Ministry and PHARMAC have used this information to improve NCCA processes. </w:t>
      </w:r>
    </w:p>
    <w:p w:rsidR="00290440" w:rsidRPr="00290440" w:rsidRDefault="00290440" w:rsidP="00290440">
      <w:pPr>
        <w:keepNext/>
        <w:rPr>
          <w:lang w:val="en-GB"/>
        </w:rPr>
      </w:pPr>
    </w:p>
    <w:p w:rsidR="00916507" w:rsidRPr="00B50904" w:rsidRDefault="00916507" w:rsidP="00DC3651">
      <w:pPr>
        <w:keepNext/>
        <w:spacing w:after="120"/>
        <w:rPr>
          <w:b/>
          <w:sz w:val="28"/>
          <w:szCs w:val="28"/>
          <w:lang w:val="en-GB"/>
        </w:rPr>
      </w:pPr>
      <w:r w:rsidRPr="00B50904">
        <w:rPr>
          <w:b/>
          <w:sz w:val="28"/>
          <w:szCs w:val="28"/>
          <w:lang w:val="en-GB"/>
        </w:rPr>
        <w:t>International policies and practices</w:t>
      </w:r>
    </w:p>
    <w:p w:rsidR="00916507" w:rsidRPr="00290440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The review of international cold chain policies/practices highlighted opportunities to improve cold chain management in New Zealand and </w:t>
      </w:r>
      <w:r w:rsidR="00AD2EF2">
        <w:rPr>
          <w:lang w:val="en-GB"/>
        </w:rPr>
        <w:t xml:space="preserve">it </w:t>
      </w:r>
      <w:r w:rsidRPr="00290440">
        <w:rPr>
          <w:lang w:val="en-GB"/>
        </w:rPr>
        <w:t xml:space="preserve">will be used to inform the review of the National Guidelines. For example, </w:t>
      </w:r>
      <w:r w:rsidR="00AD2EF2">
        <w:rPr>
          <w:lang w:val="en-GB"/>
        </w:rPr>
        <w:t xml:space="preserve">only using chilly bins for a maximum of </w:t>
      </w:r>
      <w:r w:rsidRPr="00290440">
        <w:rPr>
          <w:lang w:val="en-GB"/>
        </w:rPr>
        <w:t>eight</w:t>
      </w:r>
      <w:r w:rsidR="00AD2EF2">
        <w:rPr>
          <w:lang w:val="en-GB"/>
        </w:rPr>
        <w:t xml:space="preserve"> </w:t>
      </w:r>
      <w:r w:rsidRPr="00290440">
        <w:rPr>
          <w:lang w:val="en-GB"/>
        </w:rPr>
        <w:t>hour</w:t>
      </w:r>
      <w:r w:rsidR="00AD2EF2">
        <w:rPr>
          <w:lang w:val="en-GB"/>
        </w:rPr>
        <w:t>s</w:t>
      </w:r>
      <w:r w:rsidRPr="00290440">
        <w:rPr>
          <w:lang w:val="en-GB"/>
        </w:rPr>
        <w:t>, annual cold chain audits, enhanced cold chain failure reporting, use of portable refrigerators or validated medical grade chilly bins for off-site immunisation, annual cold chain training, twice daily minimum/maximum temperature recordings and weekly data logger downloads.</w:t>
      </w:r>
    </w:p>
    <w:p w:rsidR="00916507" w:rsidRPr="00B50904" w:rsidRDefault="00916507" w:rsidP="00DC3651">
      <w:pPr>
        <w:pStyle w:val="Heading2"/>
        <w:rPr>
          <w:lang w:val="en-GB"/>
        </w:rPr>
      </w:pPr>
      <w:r w:rsidRPr="00B50904">
        <w:rPr>
          <w:lang w:val="en-GB"/>
        </w:rPr>
        <w:t xml:space="preserve">Key </w:t>
      </w:r>
      <w:r w:rsidR="00326F3A">
        <w:rPr>
          <w:lang w:val="en-GB"/>
        </w:rPr>
        <w:t>f</w:t>
      </w:r>
      <w:r w:rsidRPr="00B50904">
        <w:rPr>
          <w:lang w:val="en-GB"/>
        </w:rPr>
        <w:t>indings</w:t>
      </w:r>
    </w:p>
    <w:p w:rsidR="00916507" w:rsidRPr="00290440" w:rsidRDefault="00916507" w:rsidP="00290440">
      <w:pPr>
        <w:keepNext/>
        <w:rPr>
          <w:lang w:val="en-GB"/>
        </w:rPr>
      </w:pPr>
      <w:r w:rsidRPr="00290440">
        <w:rPr>
          <w:lang w:val="en-GB"/>
        </w:rPr>
        <w:t xml:space="preserve">The </w:t>
      </w:r>
      <w:r w:rsidR="00AF3191">
        <w:rPr>
          <w:lang w:val="en-GB"/>
        </w:rPr>
        <w:t xml:space="preserve">following </w:t>
      </w:r>
      <w:r w:rsidRPr="00290440">
        <w:rPr>
          <w:lang w:val="en-GB"/>
        </w:rPr>
        <w:t xml:space="preserve">key findings identified </w:t>
      </w:r>
      <w:r w:rsidR="00AF3191">
        <w:rPr>
          <w:lang w:val="en-GB"/>
        </w:rPr>
        <w:t xml:space="preserve">the </w:t>
      </w:r>
      <w:r w:rsidRPr="00290440">
        <w:rPr>
          <w:lang w:val="en-GB"/>
        </w:rPr>
        <w:t>problem areas focusing on capability, process and technology (including equipment) and assisted in identifying potential solutions to the current cold chain issues and risks.</w:t>
      </w:r>
      <w:r w:rsidR="006143D9">
        <w:rPr>
          <w:lang w:val="en-GB"/>
        </w:rPr>
        <w:t xml:space="preserve"> 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>The use of many definitions to defi</w:t>
      </w:r>
      <w:r w:rsidR="00DC3651">
        <w:rPr>
          <w:lang w:val="en-GB"/>
        </w:rPr>
        <w:t>ne a break in the cold chain (e</w:t>
      </w:r>
      <w:r w:rsidRPr="00290440">
        <w:rPr>
          <w:lang w:val="en-GB"/>
        </w:rPr>
        <w:t>g</w:t>
      </w:r>
      <w:r w:rsidR="00DC3651">
        <w:rPr>
          <w:lang w:val="en-GB"/>
        </w:rPr>
        <w:t>,</w:t>
      </w:r>
      <w:r w:rsidRPr="00290440">
        <w:rPr>
          <w:lang w:val="en-GB"/>
        </w:rPr>
        <w:t xml:space="preserve"> failure, breach, excursion, cumulative damage) and the importance to be clear on the definition used. 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>A lack of insufficient data to accurately estimate cold chain failure costs as these include vaccine destruction and re-vaccination costs, resources to manage recalls/revaccination and the potential health costs associated with unprotected individuals.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>Cases of cumulative vaccine damage going unnoticed</w:t>
      </w:r>
      <w:r w:rsidR="00AF3191">
        <w:rPr>
          <w:lang w:val="en-GB"/>
        </w:rPr>
        <w:t>,</w:t>
      </w:r>
      <w:r w:rsidRPr="00290440">
        <w:rPr>
          <w:lang w:val="en-GB"/>
        </w:rPr>
        <w:t xml:space="preserve"> placing individuals at risk </w:t>
      </w:r>
      <w:r w:rsidR="00912ED0">
        <w:rPr>
          <w:lang w:val="en-GB"/>
        </w:rPr>
        <w:t xml:space="preserve">by </w:t>
      </w:r>
      <w:r w:rsidR="00AD2EF2">
        <w:rPr>
          <w:lang w:val="en-GB"/>
        </w:rPr>
        <w:t xml:space="preserve">compromised protection to </w:t>
      </w:r>
      <w:r w:rsidRPr="00290440">
        <w:rPr>
          <w:lang w:val="en-GB"/>
        </w:rPr>
        <w:t>disease.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 xml:space="preserve">Review of the cold chain </w:t>
      </w:r>
      <w:r w:rsidR="00AF3191">
        <w:rPr>
          <w:lang w:val="en-GB"/>
        </w:rPr>
        <w:t>before</w:t>
      </w:r>
      <w:r w:rsidRPr="00290440">
        <w:rPr>
          <w:lang w:val="en-GB"/>
        </w:rPr>
        <w:t xml:space="preserve"> arrival at the provider was out of scope but was identified by providers as a significant issue (eg</w:t>
      </w:r>
      <w:r w:rsidR="006143D9">
        <w:rPr>
          <w:lang w:val="en-GB"/>
        </w:rPr>
        <w:t>,</w:t>
      </w:r>
      <w:r w:rsidRPr="00290440">
        <w:rPr>
          <w:lang w:val="en-GB"/>
        </w:rPr>
        <w:t xml:space="preserve"> courier deliveries) and </w:t>
      </w:r>
      <w:r w:rsidR="00AD2EF2">
        <w:rPr>
          <w:lang w:val="en-GB"/>
        </w:rPr>
        <w:t xml:space="preserve">an area for improvement in the </w:t>
      </w:r>
      <w:r w:rsidRPr="00290440">
        <w:rPr>
          <w:lang w:val="en-GB"/>
        </w:rPr>
        <w:t xml:space="preserve">future. 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 xml:space="preserve">The process for receiving vaccines </w:t>
      </w:r>
      <w:r w:rsidR="00AF3191" w:rsidRPr="00290440">
        <w:rPr>
          <w:lang w:val="en-GB"/>
        </w:rPr>
        <w:t xml:space="preserve">involved </w:t>
      </w:r>
      <w:r w:rsidRPr="00290440">
        <w:rPr>
          <w:lang w:val="en-GB"/>
        </w:rPr>
        <w:t>multiple individuals during the receipting process</w:t>
      </w:r>
      <w:r w:rsidR="00AF3191">
        <w:rPr>
          <w:lang w:val="en-GB"/>
        </w:rPr>
        <w:t>,</w:t>
      </w:r>
      <w:r w:rsidRPr="00290440">
        <w:rPr>
          <w:lang w:val="en-GB"/>
        </w:rPr>
        <w:t xml:space="preserve"> causing the potential for cold chain failures as a result of staff absenteeism, lack of staff cold chain training, competing priorities and general delays.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t>Refrigerators continue to be a source of risk to vaccine integrity and temperature monitoring systems</w:t>
      </w:r>
      <w:r w:rsidR="00AF3191">
        <w:rPr>
          <w:lang w:val="en-GB"/>
        </w:rPr>
        <w:t>,</w:t>
      </w:r>
      <w:r w:rsidRPr="00290440">
        <w:rPr>
          <w:lang w:val="en-GB"/>
        </w:rPr>
        <w:t xml:space="preserve"> res</w:t>
      </w:r>
      <w:r w:rsidR="006143D9">
        <w:rPr>
          <w:lang w:val="en-GB"/>
        </w:rPr>
        <w:t xml:space="preserve">ulting in cold chain failures. </w:t>
      </w:r>
      <w:r w:rsidRPr="00290440">
        <w:rPr>
          <w:lang w:val="en-GB"/>
        </w:rPr>
        <w:t>Issues highlighted included: ag</w:t>
      </w:r>
      <w:r w:rsidR="00AD2EF2">
        <w:rPr>
          <w:lang w:val="en-GB"/>
        </w:rPr>
        <w:t>e</w:t>
      </w:r>
      <w:r w:rsidRPr="00290440">
        <w:rPr>
          <w:lang w:val="en-GB"/>
        </w:rPr>
        <w:t>ing refrigerators, equipment failures, inconsistent refrigerator temperature monitoring practices and the absence of guidance on recommended specifications when purchasing new</w:t>
      </w:r>
      <w:r w:rsidR="006143D9">
        <w:rPr>
          <w:lang w:val="en-GB"/>
        </w:rPr>
        <w:t xml:space="preserve"> pharmaceutical refrigerators. </w:t>
      </w:r>
      <w:r w:rsidRPr="00290440">
        <w:rPr>
          <w:lang w:val="en-GB"/>
        </w:rPr>
        <w:t>Purchase and replacement were viewed by providers as being unsupported.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sz w:val="20"/>
          <w:szCs w:val="20"/>
        </w:rPr>
      </w:pPr>
      <w:r w:rsidRPr="00290440">
        <w:rPr>
          <w:lang w:val="en-GB"/>
        </w:rPr>
        <w:lastRenderedPageBreak/>
        <w:t xml:space="preserve">Chilly bins continue to be regarded as a source of risk. Issues included: chilly bins </w:t>
      </w:r>
      <w:r w:rsidR="00AF3191">
        <w:rPr>
          <w:lang w:val="en-GB"/>
        </w:rPr>
        <w:t>being</w:t>
      </w:r>
      <w:r w:rsidRPr="00290440">
        <w:rPr>
          <w:lang w:val="en-GB"/>
        </w:rPr>
        <w:t xml:space="preserve"> prone to changes in ambient temperature; inconsistencies in temperature monitoring of the vaccines being stored and transported in chilly bins, and no standard chilly bin specifications.</w:t>
      </w:r>
      <w:r w:rsidR="00290440" w:rsidRPr="00290440">
        <w:rPr>
          <w:lang w:val="en-GB"/>
        </w:rPr>
        <w:t xml:space="preserve"> 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lang w:val="en-GB"/>
        </w:rPr>
      </w:pPr>
      <w:r w:rsidRPr="00290440">
        <w:rPr>
          <w:lang w:val="en-GB"/>
        </w:rPr>
        <w:t>Not all providers take appropriate action when they experience a cold chain fa</w:t>
      </w:r>
      <w:r w:rsidR="00DC3651">
        <w:rPr>
          <w:lang w:val="en-GB"/>
        </w:rPr>
        <w:t>ilure</w:t>
      </w:r>
      <w:r w:rsidR="00BD1362">
        <w:rPr>
          <w:lang w:val="en-GB"/>
        </w:rPr>
        <w:t>,</w:t>
      </w:r>
      <w:r w:rsidR="00DC3651">
        <w:rPr>
          <w:lang w:val="en-GB"/>
        </w:rPr>
        <w:t xml:space="preserve"> e</w:t>
      </w:r>
      <w:r w:rsidRPr="00290440">
        <w:rPr>
          <w:lang w:val="en-GB"/>
        </w:rPr>
        <w:t>g</w:t>
      </w:r>
      <w:r w:rsidR="00DC3651">
        <w:rPr>
          <w:lang w:val="en-GB"/>
        </w:rPr>
        <w:t>,</w:t>
      </w:r>
      <w:r w:rsidRPr="00290440">
        <w:rPr>
          <w:lang w:val="en-GB"/>
        </w:rPr>
        <w:t xml:space="preserve"> fail to notify their immunisation coordinator, apply discretion in the use of </w:t>
      </w:r>
      <w:r w:rsidR="00082C01">
        <w:rPr>
          <w:lang w:val="en-GB"/>
        </w:rPr>
        <w:t xml:space="preserve">the affected </w:t>
      </w:r>
      <w:r w:rsidRPr="00290440">
        <w:rPr>
          <w:lang w:val="en-GB"/>
        </w:rPr>
        <w:t xml:space="preserve">vaccines, have poor inventory management, </w:t>
      </w:r>
      <w:r w:rsidR="00082C01">
        <w:rPr>
          <w:lang w:val="en-GB"/>
        </w:rPr>
        <w:t xml:space="preserve">are </w:t>
      </w:r>
      <w:r w:rsidRPr="00290440">
        <w:rPr>
          <w:lang w:val="en-GB"/>
        </w:rPr>
        <w:t xml:space="preserve">unclear of escalation procedures and lack access to vaccine stability data. </w:t>
      </w:r>
    </w:p>
    <w:p w:rsidR="00290440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lang w:val="en-GB"/>
        </w:rPr>
      </w:pPr>
      <w:r w:rsidRPr="00290440">
        <w:rPr>
          <w:lang w:val="en-GB"/>
        </w:rPr>
        <w:t>Cold chain support and materials vary between provider and regions</w:t>
      </w:r>
      <w:r w:rsidR="00DF04BD">
        <w:rPr>
          <w:lang w:val="en-GB"/>
        </w:rPr>
        <w:t>,</w:t>
      </w:r>
      <w:r w:rsidRPr="00290440">
        <w:rPr>
          <w:lang w:val="en-GB"/>
        </w:rPr>
        <w:t xml:space="preserve"> although there is little evidence to suggest a cold chain failure has occurred as a result of training.</w:t>
      </w:r>
    </w:p>
    <w:p w:rsidR="00916507" w:rsidRPr="00290440" w:rsidRDefault="00916507" w:rsidP="00916507">
      <w:pPr>
        <w:pStyle w:val="ListParagraph"/>
        <w:keepNext/>
        <w:numPr>
          <w:ilvl w:val="0"/>
          <w:numId w:val="17"/>
        </w:numPr>
        <w:spacing w:after="120"/>
        <w:rPr>
          <w:lang w:val="en-GB"/>
        </w:rPr>
      </w:pPr>
      <w:r w:rsidRPr="00290440">
        <w:rPr>
          <w:lang w:val="en-GB"/>
        </w:rPr>
        <w:t>The current CCA model lacks frequency and scope as it focuses on equipment and policies in a clinical setting and does not include the use of chilly bins and cold chain requirements for off-site clinics.</w:t>
      </w:r>
    </w:p>
    <w:p w:rsidR="00916507" w:rsidRPr="00B50904" w:rsidRDefault="00916507" w:rsidP="00DC3651">
      <w:pPr>
        <w:pStyle w:val="Heading2"/>
      </w:pPr>
      <w:r w:rsidRPr="00B50904">
        <w:t>Review recommendations</w:t>
      </w:r>
    </w:p>
    <w:p w:rsidR="00916507" w:rsidRDefault="00916507" w:rsidP="00B50904">
      <w:pPr>
        <w:keepNext/>
        <w:rPr>
          <w:lang w:val="en-GB"/>
        </w:rPr>
      </w:pPr>
      <w:r w:rsidRPr="00B50904">
        <w:rPr>
          <w:lang w:val="en-GB"/>
        </w:rPr>
        <w:t>PwC identified the following solutions and provided the Ministry with recommendations based on their likely impact and ease with which they can be implemented. These solutions have been summarised below</w:t>
      </w:r>
      <w:r w:rsidR="00C84B62">
        <w:rPr>
          <w:lang w:val="en-GB"/>
        </w:rPr>
        <w:t>.</w:t>
      </w:r>
    </w:p>
    <w:p w:rsidR="00B50904" w:rsidRPr="00B50904" w:rsidRDefault="00B50904" w:rsidP="00B50904">
      <w:pPr>
        <w:keepNext/>
        <w:rPr>
          <w:lang w:val="en-GB"/>
        </w:rPr>
      </w:pP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t xml:space="preserve">Storage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Invit</w:t>
      </w:r>
      <w:r w:rsidR="00970A9B">
        <w:rPr>
          <w:lang w:val="en-GB"/>
        </w:rPr>
        <w:t>e</w:t>
      </w:r>
      <w:r w:rsidRPr="00B50904">
        <w:rPr>
          <w:lang w:val="en-GB"/>
        </w:rPr>
        <w:t xml:space="preserve"> refrigerator suppliers to take a more active role i</w:t>
      </w:r>
      <w:r w:rsidR="00C84B62">
        <w:rPr>
          <w:lang w:val="en-GB"/>
        </w:rPr>
        <w:t>n maintaining the cold chain (e</w:t>
      </w:r>
      <w:r w:rsidRPr="00B50904">
        <w:rPr>
          <w:lang w:val="en-GB"/>
        </w:rPr>
        <w:t>g</w:t>
      </w:r>
      <w:r w:rsidR="00C84B62">
        <w:rPr>
          <w:lang w:val="en-GB"/>
        </w:rPr>
        <w:t>,</w:t>
      </w:r>
      <w:r w:rsidRPr="00B50904">
        <w:rPr>
          <w:lang w:val="en-GB"/>
        </w:rPr>
        <w:t xml:space="preserve"> lease refrigerators or service</w:t>
      </w:r>
      <w:r w:rsidR="00970A9B">
        <w:rPr>
          <w:lang w:val="en-GB"/>
        </w:rPr>
        <w:t>-</w:t>
      </w:r>
      <w:r w:rsidRPr="00B50904">
        <w:rPr>
          <w:lang w:val="en-GB"/>
        </w:rPr>
        <w:t>based contracts on continuous reliability KPIs).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Working with refrigerator suppliers to establish a national database of refrigerator stock would enable potential refrigerator failure cohorts to be sized and mitigated.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24/7 remote or web monitoring that transmit refrigerator temperatures and alarms to smart devices.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Develop a basic factsheet outlining refrigerator specifications, performance, cost and suppliers.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Put a fridge door self-closing check in the CCA process.</w:t>
      </w: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t>Failure mitigation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Improve cold chain compliance by requiring all data loggers to be sampled at CCA (</w:t>
      </w:r>
      <w:proofErr w:type="spellStart"/>
      <w:r w:rsidRPr="00B50904">
        <w:rPr>
          <w:lang w:val="en-GB"/>
        </w:rPr>
        <w:t>ie</w:t>
      </w:r>
      <w:proofErr w:type="spellEnd"/>
      <w:r w:rsidR="00C84B62">
        <w:rPr>
          <w:lang w:val="en-GB"/>
        </w:rPr>
        <w:t>,</w:t>
      </w:r>
      <w:r w:rsidRPr="00B50904">
        <w:rPr>
          <w:lang w:val="en-GB"/>
        </w:rPr>
        <w:t xml:space="preserve"> readings outside the +2°C to +8°C range with no documented action will not pass CCA).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Give immunisatio</w:t>
      </w:r>
      <w:r w:rsidR="002610C8">
        <w:rPr>
          <w:lang w:val="en-GB"/>
        </w:rPr>
        <w:t>n coordinators access to up-to-</w:t>
      </w:r>
      <w:r w:rsidRPr="00B50904">
        <w:rPr>
          <w:lang w:val="en-GB"/>
        </w:rPr>
        <w:t>date vaccine stability data.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Use electronic vaccine stock management to assist forecasting and control stock levels.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Formalise failure reporting to ensure responses are adequate and prevent future occurrences.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Develop more comprehensive guidelines for managing breaches across a wide range of scenarios.</w:t>
      </w: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t xml:space="preserve">Performance measures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Link NCCA process compliance to CCA.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Reconcile vaccine order history with National Immunisation Register data and the vaccines returned for destruction.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Establish regular performance reporting to the Ministry and individual providers (eg</w:t>
      </w:r>
      <w:r w:rsidR="00C84B62">
        <w:rPr>
          <w:lang w:val="en-GB"/>
        </w:rPr>
        <w:t>,</w:t>
      </w:r>
      <w:r w:rsidRPr="00B50904">
        <w:rPr>
          <w:lang w:val="en-GB"/>
        </w:rPr>
        <w:t xml:space="preserve"> costs of poor quality, revaccinations and sharing cold chain failure scenarios).</w:t>
      </w: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t>Receiving vaccines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Consider using specialised cold chain couriers.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Develop a vaccine training package for reception staff.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Distinguish vaccine deliveries (eg</w:t>
      </w:r>
      <w:r w:rsidR="00C84B62">
        <w:rPr>
          <w:lang w:val="en-GB"/>
        </w:rPr>
        <w:t>,</w:t>
      </w:r>
      <w:r w:rsidRPr="00B50904">
        <w:rPr>
          <w:lang w:val="en-GB"/>
        </w:rPr>
        <w:t xml:space="preserve"> bright packaging and labelling). </w:t>
      </w:r>
    </w:p>
    <w:p w:rsidR="00B50904" w:rsidRDefault="00B50904" w:rsidP="00916507">
      <w:pPr>
        <w:spacing w:after="120"/>
        <w:rPr>
          <w:i/>
          <w:sz w:val="20"/>
          <w:szCs w:val="20"/>
        </w:rPr>
      </w:pPr>
    </w:p>
    <w:p w:rsidR="00B50904" w:rsidRDefault="00B50904" w:rsidP="00916507">
      <w:pPr>
        <w:spacing w:after="120"/>
        <w:rPr>
          <w:i/>
          <w:sz w:val="20"/>
          <w:szCs w:val="20"/>
        </w:rPr>
      </w:pP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lastRenderedPageBreak/>
        <w:t xml:space="preserve">Off-site clinics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Develop a set of specifications for chilly bins</w:t>
      </w:r>
      <w:r w:rsidR="0072602B">
        <w:rPr>
          <w:lang w:val="en-GB"/>
        </w:rPr>
        <w:t>,</w:t>
      </w:r>
      <w:r w:rsidRPr="00B50904">
        <w:rPr>
          <w:lang w:val="en-GB"/>
        </w:rPr>
        <w:t xml:space="preserve"> including packing guidelines</w:t>
      </w:r>
      <w:r w:rsidR="00BD1362">
        <w:rPr>
          <w:lang w:val="en-GB"/>
        </w:rPr>
        <w:t>.</w:t>
      </w:r>
      <w:r w:rsidRPr="00B50904">
        <w:rPr>
          <w:lang w:val="en-GB"/>
        </w:rPr>
        <w:t xml:space="preserve">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Price and test multiple chilly bin types (including plug</w:t>
      </w:r>
      <w:r w:rsidR="0072602B">
        <w:rPr>
          <w:lang w:val="en-GB"/>
        </w:rPr>
        <w:t>-</w:t>
      </w:r>
      <w:r w:rsidRPr="00B50904">
        <w:rPr>
          <w:lang w:val="en-GB"/>
        </w:rPr>
        <w:t xml:space="preserve">in ones) for use by outreach and school providers. 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Provide a list of preferred products (</w:t>
      </w:r>
      <w:proofErr w:type="spellStart"/>
      <w:r w:rsidRPr="00B50904">
        <w:rPr>
          <w:lang w:val="en-GB"/>
        </w:rPr>
        <w:t>ie</w:t>
      </w:r>
      <w:proofErr w:type="spellEnd"/>
      <w:r w:rsidR="00C84B62">
        <w:rPr>
          <w:lang w:val="en-GB"/>
        </w:rPr>
        <w:t>,</w:t>
      </w:r>
      <w:r w:rsidRPr="00B50904">
        <w:rPr>
          <w:lang w:val="en-GB"/>
        </w:rPr>
        <w:t xml:space="preserve"> chilly bins and temperature monitors with audible alarms) for use with chilly bins.</w:t>
      </w:r>
    </w:p>
    <w:p w:rsidR="00916507" w:rsidRPr="00B50904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Extend transportation guidelines to better mitigate environmental variables (eg</w:t>
      </w:r>
      <w:r w:rsidR="00C84B62">
        <w:rPr>
          <w:lang w:val="en-GB"/>
        </w:rPr>
        <w:t>,</w:t>
      </w:r>
      <w:r w:rsidRPr="00B50904">
        <w:rPr>
          <w:lang w:val="en-GB"/>
        </w:rPr>
        <w:t xml:space="preserve"> stored ice, car air conditioning</w:t>
      </w:r>
      <w:r w:rsidR="00C84B62">
        <w:rPr>
          <w:lang w:val="en-GB"/>
        </w:rPr>
        <w:t>,</w:t>
      </w:r>
      <w:r w:rsidRPr="00B50904">
        <w:rPr>
          <w:lang w:val="en-GB"/>
        </w:rPr>
        <w:t xml:space="preserve"> etc).</w:t>
      </w:r>
    </w:p>
    <w:p w:rsidR="00916507" w:rsidRDefault="00916507" w:rsidP="00B50904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B50904">
        <w:rPr>
          <w:lang w:val="en-GB"/>
        </w:rPr>
        <w:t>Add chilly bin equipment and practises to the CCA process.</w:t>
      </w:r>
    </w:p>
    <w:p w:rsidR="00B50904" w:rsidRPr="00B50904" w:rsidRDefault="00B50904" w:rsidP="00B50904">
      <w:pPr>
        <w:pStyle w:val="ListParagraph"/>
        <w:keepNext/>
        <w:rPr>
          <w:lang w:val="en-GB"/>
        </w:rPr>
      </w:pPr>
    </w:p>
    <w:p w:rsidR="00916507" w:rsidRPr="00AD2EF2" w:rsidRDefault="00916507" w:rsidP="00B50904">
      <w:pPr>
        <w:keepNext/>
        <w:rPr>
          <w:b/>
          <w:sz w:val="28"/>
          <w:szCs w:val="28"/>
          <w:lang w:val="en-GB"/>
        </w:rPr>
      </w:pPr>
      <w:r w:rsidRPr="00AD2EF2">
        <w:rPr>
          <w:b/>
          <w:sz w:val="28"/>
          <w:szCs w:val="28"/>
          <w:lang w:val="en-GB"/>
        </w:rPr>
        <w:t>Training, materials and support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>Standardise information and support models</w:t>
      </w:r>
      <w:r w:rsidR="00C84B62">
        <w:rPr>
          <w:lang w:val="en-GB"/>
        </w:rPr>
        <w:t>.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 xml:space="preserve">Consider a cold chain centre of excellence with a role in product support and centralised procurement. 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>Define policies versus guidelines to reduce variation</w:t>
      </w:r>
      <w:r w:rsidR="00C84B62">
        <w:rPr>
          <w:lang w:val="en-GB"/>
        </w:rPr>
        <w:t>.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>Tailor</w:t>
      </w:r>
      <w:r w:rsidR="00C84B62">
        <w:rPr>
          <w:lang w:val="en-GB"/>
        </w:rPr>
        <w:t xml:space="preserve"> policy/guidelines to providers.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>Use CCA to examine processes specific to the provider not just standard policies and equipment</w:t>
      </w:r>
      <w:r w:rsidR="00C84B62">
        <w:rPr>
          <w:lang w:val="en-GB"/>
        </w:rPr>
        <w:t>.</w:t>
      </w:r>
      <w:r w:rsidRPr="003B53BA">
        <w:rPr>
          <w:lang w:val="en-GB"/>
        </w:rPr>
        <w:t xml:space="preserve"> 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 xml:space="preserve">CCA is only valid if the identified </w:t>
      </w:r>
      <w:proofErr w:type="gramStart"/>
      <w:r w:rsidRPr="003B53BA">
        <w:rPr>
          <w:lang w:val="en-GB"/>
        </w:rPr>
        <w:t>staff are</w:t>
      </w:r>
      <w:proofErr w:type="gramEnd"/>
      <w:r w:rsidRPr="003B53BA">
        <w:rPr>
          <w:lang w:val="en-GB"/>
        </w:rPr>
        <w:t xml:space="preserve"> present</w:t>
      </w:r>
      <w:r w:rsidR="00C84B62">
        <w:rPr>
          <w:lang w:val="en-GB"/>
        </w:rPr>
        <w:t>.</w:t>
      </w:r>
    </w:p>
    <w:p w:rsidR="00916507" w:rsidRPr="003B53BA" w:rsidRDefault="00916507" w:rsidP="003B53BA">
      <w:pPr>
        <w:pStyle w:val="ListParagraph"/>
        <w:keepNext/>
        <w:numPr>
          <w:ilvl w:val="0"/>
          <w:numId w:val="24"/>
        </w:numPr>
        <w:rPr>
          <w:lang w:val="en-GB"/>
        </w:rPr>
      </w:pPr>
      <w:r w:rsidRPr="003B53BA">
        <w:rPr>
          <w:lang w:val="en-GB"/>
        </w:rPr>
        <w:t>Make CCA more frequent than three yearly.</w:t>
      </w:r>
    </w:p>
    <w:p w:rsidR="003B53BA" w:rsidRPr="00B04A05" w:rsidRDefault="003B53BA" w:rsidP="003B53BA">
      <w:pPr>
        <w:pStyle w:val="Heading2"/>
        <w:spacing w:before="240"/>
      </w:pPr>
      <w:r>
        <w:t>How the results will be used</w:t>
      </w:r>
    </w:p>
    <w:p w:rsidR="00B50904" w:rsidRPr="00B50904" w:rsidRDefault="00A50A58" w:rsidP="00B50904">
      <w:pPr>
        <w:keepNext/>
        <w:rPr>
          <w:lang w:val="en-GB"/>
        </w:rPr>
      </w:pPr>
      <w:r w:rsidRPr="00B50904">
        <w:rPr>
          <w:lang w:val="en-GB"/>
        </w:rPr>
        <w:t>Maintaining and improving cold chain management and compliance is a core component of the National Immunisation Programme.</w:t>
      </w:r>
      <w:r w:rsidR="006143D9">
        <w:rPr>
          <w:lang w:val="en-GB"/>
        </w:rPr>
        <w:t xml:space="preserve"> </w:t>
      </w:r>
      <w:r w:rsidR="00B50904" w:rsidRPr="00B04A05">
        <w:rPr>
          <w:lang w:val="en-GB"/>
        </w:rPr>
        <w:t xml:space="preserve">The Ministry accepts the </w:t>
      </w:r>
      <w:r w:rsidR="00B50904">
        <w:rPr>
          <w:lang w:val="en-GB"/>
        </w:rPr>
        <w:t>findings</w:t>
      </w:r>
      <w:r w:rsidR="00B50904" w:rsidRPr="00B04A05">
        <w:rPr>
          <w:lang w:val="en-GB"/>
        </w:rPr>
        <w:t xml:space="preserve"> provided by </w:t>
      </w:r>
      <w:r w:rsidR="00B50904">
        <w:rPr>
          <w:lang w:val="en-GB"/>
        </w:rPr>
        <w:t xml:space="preserve">PwC </w:t>
      </w:r>
      <w:r w:rsidR="00B50904" w:rsidRPr="00B04A05">
        <w:rPr>
          <w:lang w:val="en-GB"/>
        </w:rPr>
        <w:t xml:space="preserve">to improve </w:t>
      </w:r>
      <w:r w:rsidR="00B50904">
        <w:rPr>
          <w:lang w:val="en-GB"/>
        </w:rPr>
        <w:t xml:space="preserve">cold chain management practices and </w:t>
      </w:r>
      <w:r w:rsidR="00916507" w:rsidRPr="00B50904">
        <w:rPr>
          <w:lang w:val="en-GB"/>
        </w:rPr>
        <w:t xml:space="preserve">is working with PHARMAC and IMAC to consider and prioritise the </w:t>
      </w:r>
      <w:r w:rsidR="0072602B">
        <w:rPr>
          <w:lang w:val="en-GB"/>
        </w:rPr>
        <w:t>r</w:t>
      </w:r>
      <w:r w:rsidR="00916507" w:rsidRPr="00B50904">
        <w:rPr>
          <w:lang w:val="en-GB"/>
        </w:rPr>
        <w:t>eview recommendations.</w:t>
      </w:r>
      <w:r w:rsidR="00B50904" w:rsidRPr="00B50904">
        <w:rPr>
          <w:lang w:val="en-GB"/>
        </w:rPr>
        <w:t xml:space="preserve">  </w:t>
      </w:r>
    </w:p>
    <w:p w:rsidR="00B50904" w:rsidRDefault="00B50904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3B53BA" w:rsidP="00916507">
      <w:pPr>
        <w:spacing w:after="120"/>
        <w:rPr>
          <w:b/>
          <w:sz w:val="20"/>
          <w:szCs w:val="20"/>
        </w:rPr>
      </w:pPr>
    </w:p>
    <w:p w:rsidR="003B53BA" w:rsidRDefault="00471F40" w:rsidP="00471F40">
      <w:pPr>
        <w:spacing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NZ"/>
        </w:rPr>
        <w:drawing>
          <wp:inline distT="0" distB="0" distL="0" distR="0" wp14:anchorId="383CE40B" wp14:editId="13054E4B">
            <wp:extent cx="1287475" cy="638370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_logo1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9" cy="6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07" w:rsidRPr="003B53BA" w:rsidRDefault="00076113" w:rsidP="00DC3651">
      <w:pPr>
        <w:jc w:val="center"/>
        <w:rPr>
          <w:lang w:val="en-GB"/>
        </w:rPr>
      </w:pPr>
      <w:r>
        <w:t>HP 6454</w:t>
      </w:r>
    </w:p>
    <w:sectPr w:rsidR="00916507" w:rsidRPr="003B53BA" w:rsidSect="001E1E1B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86" w:rsidRDefault="004A0286">
      <w:r>
        <w:separator/>
      </w:r>
    </w:p>
  </w:endnote>
  <w:endnote w:type="continuationSeparator" w:id="0">
    <w:p w:rsidR="004A0286" w:rsidRDefault="004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E2" w:rsidRDefault="00EE6CE2" w:rsidP="00DD2C28">
    <w:pPr>
      <w:pStyle w:val="Footer"/>
      <w:pBdr>
        <w:top w:val="single" w:sz="4" w:space="4" w:color="auto"/>
      </w:pBdr>
      <w:tabs>
        <w:tab w:val="left" w:pos="567"/>
      </w:tabs>
      <w:ind w:left="567" w:hanging="56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B82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450C8A">
      <w:t xml:space="preserve">National Review of </w:t>
    </w:r>
    <w:r w:rsidR="00C84B62">
      <w:t>Cold Chain Management Practices: Summary and recommendations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E2" w:rsidRPr="00876FB8" w:rsidRDefault="00EE6CE2" w:rsidP="00876FB8">
    <w:pPr>
      <w:pStyle w:val="Footer"/>
      <w:pBdr>
        <w:top w:val="single" w:sz="4" w:space="4" w:color="auto"/>
      </w:pBdr>
    </w:pPr>
    <w:r>
      <w:tab/>
    </w:r>
    <w:r w:rsidR="00450C8A">
      <w:t xml:space="preserve">National Review of </w:t>
    </w:r>
    <w:r w:rsidR="00290440">
      <w:t>Cold Chain Management Practices</w:t>
    </w:r>
    <w:r w:rsidR="00C84B62">
      <w:t>: Summary and recommendations</w:t>
    </w:r>
    <w:r w:rsidR="00290440"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B8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E2" w:rsidRDefault="00EE6CE2" w:rsidP="00DD2C28">
    <w:pPr>
      <w:pStyle w:val="Footer"/>
      <w:pBdr>
        <w:top w:val="single" w:sz="4" w:space="4" w:color="auto"/>
      </w:pBdr>
    </w:pPr>
    <w:r>
      <w:tab/>
    </w:r>
    <w:r w:rsidR="00450C8A">
      <w:t xml:space="preserve">National Review of </w:t>
    </w:r>
    <w:r w:rsidR="00290440">
      <w:t>Cold Chain Management Practices</w:t>
    </w:r>
    <w:r w:rsidR="00C84B62">
      <w:t>: Summary and recommendations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2E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86" w:rsidRPr="00680D2D" w:rsidRDefault="004A0286" w:rsidP="00680D2D">
      <w:pPr>
        <w:pStyle w:val="Footer"/>
      </w:pPr>
    </w:p>
  </w:footnote>
  <w:footnote w:type="continuationSeparator" w:id="0">
    <w:p w:rsidR="004A0286" w:rsidRDefault="004A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96" w:rsidRDefault="00E60396" w:rsidP="00BD22FC">
    <w:pPr>
      <w:pStyle w:val="Header"/>
      <w:spacing w:after="480"/>
    </w:pPr>
    <w:r>
      <w:rPr>
        <w:noProof/>
        <w:lang w:eastAsia="en-NZ"/>
      </w:rPr>
      <w:drawing>
        <wp:inline distT="0" distB="0" distL="0" distR="0" wp14:anchorId="2F7FF28D" wp14:editId="5A88D480">
          <wp:extent cx="5939790" cy="490511"/>
          <wp:effectExtent l="0" t="0" r="381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banner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9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DC"/>
    <w:multiLevelType w:val="hybridMultilevel"/>
    <w:tmpl w:val="07407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34E"/>
    <w:multiLevelType w:val="hybridMultilevel"/>
    <w:tmpl w:val="DCB2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6E5"/>
    <w:multiLevelType w:val="hybridMultilevel"/>
    <w:tmpl w:val="519A1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5008"/>
    <w:multiLevelType w:val="hybridMultilevel"/>
    <w:tmpl w:val="1812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6070"/>
    <w:multiLevelType w:val="hybridMultilevel"/>
    <w:tmpl w:val="DC542766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1D9F241E"/>
    <w:multiLevelType w:val="hybridMultilevel"/>
    <w:tmpl w:val="7B1EB44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7C6200"/>
    <w:multiLevelType w:val="hybridMultilevel"/>
    <w:tmpl w:val="EC7A9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0BB3"/>
    <w:multiLevelType w:val="hybridMultilevel"/>
    <w:tmpl w:val="4CF837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E9B"/>
    <w:multiLevelType w:val="hybridMultilevel"/>
    <w:tmpl w:val="034E1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1921"/>
    <w:multiLevelType w:val="hybridMultilevel"/>
    <w:tmpl w:val="34540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D7A6B"/>
    <w:multiLevelType w:val="hybridMultilevel"/>
    <w:tmpl w:val="71DA1BFE"/>
    <w:lvl w:ilvl="0" w:tplc="4A8EA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642D"/>
    <w:multiLevelType w:val="hybridMultilevel"/>
    <w:tmpl w:val="03B69A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B685E"/>
    <w:multiLevelType w:val="hybridMultilevel"/>
    <w:tmpl w:val="7082B8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362B"/>
    <w:multiLevelType w:val="hybridMultilevel"/>
    <w:tmpl w:val="66869F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1FA9"/>
    <w:multiLevelType w:val="hybridMultilevel"/>
    <w:tmpl w:val="78221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1726F"/>
    <w:multiLevelType w:val="hybridMultilevel"/>
    <w:tmpl w:val="81FAF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B6BF4"/>
    <w:multiLevelType w:val="hybridMultilevel"/>
    <w:tmpl w:val="03B69AC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1">
    <w:nsid w:val="74D15137"/>
    <w:multiLevelType w:val="hybridMultilevel"/>
    <w:tmpl w:val="C74068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205FD"/>
    <w:multiLevelType w:val="hybridMultilevel"/>
    <w:tmpl w:val="E864D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7726A"/>
    <w:multiLevelType w:val="hybridMultilevel"/>
    <w:tmpl w:val="40288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4412C"/>
    <w:multiLevelType w:val="hybridMultilevel"/>
    <w:tmpl w:val="EA9CF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4"/>
  </w:num>
  <w:num w:numId="9">
    <w:abstractNumId w:val="14"/>
  </w:num>
  <w:num w:numId="10">
    <w:abstractNumId w:val="21"/>
  </w:num>
  <w:num w:numId="11">
    <w:abstractNumId w:val="19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22"/>
  </w:num>
  <w:num w:numId="21">
    <w:abstractNumId w:val="23"/>
  </w:num>
  <w:num w:numId="22">
    <w:abstractNumId w:val="3"/>
  </w:num>
  <w:num w:numId="23">
    <w:abstractNumId w:val="8"/>
  </w:num>
  <w:num w:numId="24">
    <w:abstractNumId w:val="16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7"/>
    <w:rsid w:val="000123DF"/>
    <w:rsid w:val="00014A27"/>
    <w:rsid w:val="00015CF8"/>
    <w:rsid w:val="00015F76"/>
    <w:rsid w:val="0003497E"/>
    <w:rsid w:val="00075ED0"/>
    <w:rsid w:val="00076113"/>
    <w:rsid w:val="00082C01"/>
    <w:rsid w:val="00091401"/>
    <w:rsid w:val="00095068"/>
    <w:rsid w:val="00095852"/>
    <w:rsid w:val="000A6BCB"/>
    <w:rsid w:val="000B1E21"/>
    <w:rsid w:val="000B2E95"/>
    <w:rsid w:val="000B5235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1502"/>
    <w:rsid w:val="001158C2"/>
    <w:rsid w:val="001175B4"/>
    <w:rsid w:val="0012142B"/>
    <w:rsid w:val="001227B0"/>
    <w:rsid w:val="00123376"/>
    <w:rsid w:val="00130CE3"/>
    <w:rsid w:val="001336C6"/>
    <w:rsid w:val="00137BE7"/>
    <w:rsid w:val="00142C45"/>
    <w:rsid w:val="00145424"/>
    <w:rsid w:val="00145D5F"/>
    <w:rsid w:val="001705DC"/>
    <w:rsid w:val="0018777F"/>
    <w:rsid w:val="001925EF"/>
    <w:rsid w:val="001A3A19"/>
    <w:rsid w:val="001E1749"/>
    <w:rsid w:val="001E1E1B"/>
    <w:rsid w:val="001F5811"/>
    <w:rsid w:val="00206DC0"/>
    <w:rsid w:val="00216CE0"/>
    <w:rsid w:val="002222BC"/>
    <w:rsid w:val="002233D8"/>
    <w:rsid w:val="0022723F"/>
    <w:rsid w:val="0023383C"/>
    <w:rsid w:val="002361F3"/>
    <w:rsid w:val="00240554"/>
    <w:rsid w:val="00246193"/>
    <w:rsid w:val="00251EEF"/>
    <w:rsid w:val="002542A3"/>
    <w:rsid w:val="00254ED0"/>
    <w:rsid w:val="00255D89"/>
    <w:rsid w:val="002610C8"/>
    <w:rsid w:val="0026708A"/>
    <w:rsid w:val="00271166"/>
    <w:rsid w:val="00271A36"/>
    <w:rsid w:val="00272F4E"/>
    <w:rsid w:val="00281EAA"/>
    <w:rsid w:val="00285375"/>
    <w:rsid w:val="0028738D"/>
    <w:rsid w:val="00290440"/>
    <w:rsid w:val="00296F98"/>
    <w:rsid w:val="002A35E8"/>
    <w:rsid w:val="002A38BC"/>
    <w:rsid w:val="002B34DC"/>
    <w:rsid w:val="002C1F8F"/>
    <w:rsid w:val="002C3EA2"/>
    <w:rsid w:val="002F5B0D"/>
    <w:rsid w:val="002F6FD4"/>
    <w:rsid w:val="003005BD"/>
    <w:rsid w:val="003030F4"/>
    <w:rsid w:val="003046F0"/>
    <w:rsid w:val="00306307"/>
    <w:rsid w:val="00307CE5"/>
    <w:rsid w:val="0031520E"/>
    <w:rsid w:val="00324371"/>
    <w:rsid w:val="00326F3A"/>
    <w:rsid w:val="00334085"/>
    <w:rsid w:val="00343CC9"/>
    <w:rsid w:val="00351AC8"/>
    <w:rsid w:val="00355A1B"/>
    <w:rsid w:val="003579BD"/>
    <w:rsid w:val="003611E5"/>
    <w:rsid w:val="00363CA9"/>
    <w:rsid w:val="00367836"/>
    <w:rsid w:val="0037123E"/>
    <w:rsid w:val="003717C9"/>
    <w:rsid w:val="003731B9"/>
    <w:rsid w:val="00373F1D"/>
    <w:rsid w:val="0037452C"/>
    <w:rsid w:val="00377653"/>
    <w:rsid w:val="00377C88"/>
    <w:rsid w:val="00377F02"/>
    <w:rsid w:val="00380122"/>
    <w:rsid w:val="0038143C"/>
    <w:rsid w:val="003A0523"/>
    <w:rsid w:val="003A128B"/>
    <w:rsid w:val="003A21EA"/>
    <w:rsid w:val="003A779C"/>
    <w:rsid w:val="003B145F"/>
    <w:rsid w:val="003B53BA"/>
    <w:rsid w:val="003B7FA2"/>
    <w:rsid w:val="003E4AB9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50C8A"/>
    <w:rsid w:val="004518F6"/>
    <w:rsid w:val="004535A4"/>
    <w:rsid w:val="00471F40"/>
    <w:rsid w:val="00477783"/>
    <w:rsid w:val="004845E0"/>
    <w:rsid w:val="0048760A"/>
    <w:rsid w:val="00492913"/>
    <w:rsid w:val="004A0286"/>
    <w:rsid w:val="004A6CC1"/>
    <w:rsid w:val="004B28B7"/>
    <w:rsid w:val="004B368D"/>
    <w:rsid w:val="004B57F3"/>
    <w:rsid w:val="004D17ED"/>
    <w:rsid w:val="004E420D"/>
    <w:rsid w:val="005020A1"/>
    <w:rsid w:val="005132E5"/>
    <w:rsid w:val="005243E3"/>
    <w:rsid w:val="00525F48"/>
    <w:rsid w:val="005363DD"/>
    <w:rsid w:val="0054187B"/>
    <w:rsid w:val="00545BA3"/>
    <w:rsid w:val="00546D2C"/>
    <w:rsid w:val="00554E9C"/>
    <w:rsid w:val="00555074"/>
    <w:rsid w:val="005559D9"/>
    <w:rsid w:val="00560222"/>
    <w:rsid w:val="0056098A"/>
    <w:rsid w:val="00563001"/>
    <w:rsid w:val="00577711"/>
    <w:rsid w:val="00582EA7"/>
    <w:rsid w:val="0058606E"/>
    <w:rsid w:val="00590D07"/>
    <w:rsid w:val="005950A6"/>
    <w:rsid w:val="005958F2"/>
    <w:rsid w:val="005960FF"/>
    <w:rsid w:val="00597F47"/>
    <w:rsid w:val="005B2223"/>
    <w:rsid w:val="005D24E8"/>
    <w:rsid w:val="005D3D35"/>
    <w:rsid w:val="005E2D49"/>
    <w:rsid w:val="005E44CE"/>
    <w:rsid w:val="006140C0"/>
    <w:rsid w:val="006143D9"/>
    <w:rsid w:val="00620375"/>
    <w:rsid w:val="00622810"/>
    <w:rsid w:val="006306C9"/>
    <w:rsid w:val="006339A0"/>
    <w:rsid w:val="00640014"/>
    <w:rsid w:val="00644953"/>
    <w:rsid w:val="00645AC7"/>
    <w:rsid w:val="00660E5F"/>
    <w:rsid w:val="00672B8B"/>
    <w:rsid w:val="00673303"/>
    <w:rsid w:val="006744E6"/>
    <w:rsid w:val="00676929"/>
    <w:rsid w:val="00680D2D"/>
    <w:rsid w:val="006819B0"/>
    <w:rsid w:val="0068254B"/>
    <w:rsid w:val="00686753"/>
    <w:rsid w:val="006A2250"/>
    <w:rsid w:val="006A425E"/>
    <w:rsid w:val="006C1E7F"/>
    <w:rsid w:val="006C1FB8"/>
    <w:rsid w:val="006C3558"/>
    <w:rsid w:val="006C407C"/>
    <w:rsid w:val="006D1FA2"/>
    <w:rsid w:val="006D2458"/>
    <w:rsid w:val="006E61E1"/>
    <w:rsid w:val="006F05AA"/>
    <w:rsid w:val="006F544C"/>
    <w:rsid w:val="00713B82"/>
    <w:rsid w:val="0072602B"/>
    <w:rsid w:val="007277AA"/>
    <w:rsid w:val="00737F49"/>
    <w:rsid w:val="00740786"/>
    <w:rsid w:val="0074188F"/>
    <w:rsid w:val="007446EF"/>
    <w:rsid w:val="00760E80"/>
    <w:rsid w:val="0076100E"/>
    <w:rsid w:val="00761961"/>
    <w:rsid w:val="00766D1F"/>
    <w:rsid w:val="00771B0E"/>
    <w:rsid w:val="00783974"/>
    <w:rsid w:val="00783D9C"/>
    <w:rsid w:val="00790152"/>
    <w:rsid w:val="00796AFA"/>
    <w:rsid w:val="007A008E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17FF2"/>
    <w:rsid w:val="00832071"/>
    <w:rsid w:val="008348B7"/>
    <w:rsid w:val="008357B6"/>
    <w:rsid w:val="00835C5B"/>
    <w:rsid w:val="00836F81"/>
    <w:rsid w:val="00842851"/>
    <w:rsid w:val="0084791E"/>
    <w:rsid w:val="0085124D"/>
    <w:rsid w:val="00852805"/>
    <w:rsid w:val="00854A77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117C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2ED0"/>
    <w:rsid w:val="00916507"/>
    <w:rsid w:val="00920A63"/>
    <w:rsid w:val="009230C2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0A9B"/>
    <w:rsid w:val="00973036"/>
    <w:rsid w:val="009842E4"/>
    <w:rsid w:val="009874FB"/>
    <w:rsid w:val="00993F56"/>
    <w:rsid w:val="009948F8"/>
    <w:rsid w:val="009A3D52"/>
    <w:rsid w:val="009A5D9A"/>
    <w:rsid w:val="009A7C5B"/>
    <w:rsid w:val="009B285C"/>
    <w:rsid w:val="009B5859"/>
    <w:rsid w:val="009C39E2"/>
    <w:rsid w:val="009C66A4"/>
    <w:rsid w:val="009D2457"/>
    <w:rsid w:val="009E07A9"/>
    <w:rsid w:val="009F1222"/>
    <w:rsid w:val="009F1BFF"/>
    <w:rsid w:val="009F4949"/>
    <w:rsid w:val="009F4CBC"/>
    <w:rsid w:val="00A0032E"/>
    <w:rsid w:val="00A00DBD"/>
    <w:rsid w:val="00A14C1E"/>
    <w:rsid w:val="00A2337F"/>
    <w:rsid w:val="00A27B28"/>
    <w:rsid w:val="00A31F67"/>
    <w:rsid w:val="00A33FB6"/>
    <w:rsid w:val="00A3619A"/>
    <w:rsid w:val="00A41A77"/>
    <w:rsid w:val="00A50A58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D2EF2"/>
    <w:rsid w:val="00AE57D5"/>
    <w:rsid w:val="00AE710D"/>
    <w:rsid w:val="00AF3191"/>
    <w:rsid w:val="00AF78CC"/>
    <w:rsid w:val="00B102DF"/>
    <w:rsid w:val="00B220C1"/>
    <w:rsid w:val="00B242C0"/>
    <w:rsid w:val="00B30B70"/>
    <w:rsid w:val="00B408C6"/>
    <w:rsid w:val="00B50904"/>
    <w:rsid w:val="00B52D24"/>
    <w:rsid w:val="00B530A4"/>
    <w:rsid w:val="00B57C49"/>
    <w:rsid w:val="00B61631"/>
    <w:rsid w:val="00B65B0A"/>
    <w:rsid w:val="00B67793"/>
    <w:rsid w:val="00B7079A"/>
    <w:rsid w:val="00B70D1A"/>
    <w:rsid w:val="00B75827"/>
    <w:rsid w:val="00B75C16"/>
    <w:rsid w:val="00B80E17"/>
    <w:rsid w:val="00B86FF2"/>
    <w:rsid w:val="00B92AC6"/>
    <w:rsid w:val="00B94CCA"/>
    <w:rsid w:val="00B958CC"/>
    <w:rsid w:val="00B96CEA"/>
    <w:rsid w:val="00BA0BD6"/>
    <w:rsid w:val="00BB32DF"/>
    <w:rsid w:val="00BC2FB8"/>
    <w:rsid w:val="00BC4B9D"/>
    <w:rsid w:val="00BC6094"/>
    <w:rsid w:val="00BC61BF"/>
    <w:rsid w:val="00BD1362"/>
    <w:rsid w:val="00BD22FC"/>
    <w:rsid w:val="00BD23EA"/>
    <w:rsid w:val="00BD2C58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71264"/>
    <w:rsid w:val="00C73C9F"/>
    <w:rsid w:val="00C8457A"/>
    <w:rsid w:val="00C84B62"/>
    <w:rsid w:val="00CA2A9E"/>
    <w:rsid w:val="00CB6E4F"/>
    <w:rsid w:val="00CC140B"/>
    <w:rsid w:val="00CC3C38"/>
    <w:rsid w:val="00CD373C"/>
    <w:rsid w:val="00CD6D75"/>
    <w:rsid w:val="00CD7328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7BA"/>
    <w:rsid w:val="00D30984"/>
    <w:rsid w:val="00D36191"/>
    <w:rsid w:val="00D40578"/>
    <w:rsid w:val="00D41CD5"/>
    <w:rsid w:val="00D518A4"/>
    <w:rsid w:val="00D52304"/>
    <w:rsid w:val="00D532EE"/>
    <w:rsid w:val="00D5672A"/>
    <w:rsid w:val="00D56D8D"/>
    <w:rsid w:val="00D67409"/>
    <w:rsid w:val="00D67D08"/>
    <w:rsid w:val="00D738F0"/>
    <w:rsid w:val="00D73C69"/>
    <w:rsid w:val="00D76A3D"/>
    <w:rsid w:val="00D77A3F"/>
    <w:rsid w:val="00D81249"/>
    <w:rsid w:val="00D96F46"/>
    <w:rsid w:val="00DA050F"/>
    <w:rsid w:val="00DA12D6"/>
    <w:rsid w:val="00DA1DDB"/>
    <w:rsid w:val="00DA30E7"/>
    <w:rsid w:val="00DA5318"/>
    <w:rsid w:val="00DA56D5"/>
    <w:rsid w:val="00DC3651"/>
    <w:rsid w:val="00DD2C28"/>
    <w:rsid w:val="00DD748F"/>
    <w:rsid w:val="00DE5ADA"/>
    <w:rsid w:val="00DF0496"/>
    <w:rsid w:val="00DF04BD"/>
    <w:rsid w:val="00E01D0C"/>
    <w:rsid w:val="00E062F3"/>
    <w:rsid w:val="00E13377"/>
    <w:rsid w:val="00E20F72"/>
    <w:rsid w:val="00E2207D"/>
    <w:rsid w:val="00E25705"/>
    <w:rsid w:val="00E2772A"/>
    <w:rsid w:val="00E27894"/>
    <w:rsid w:val="00E362D1"/>
    <w:rsid w:val="00E40493"/>
    <w:rsid w:val="00E43A89"/>
    <w:rsid w:val="00E44733"/>
    <w:rsid w:val="00E5476D"/>
    <w:rsid w:val="00E54AB1"/>
    <w:rsid w:val="00E60396"/>
    <w:rsid w:val="00E87B94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A0"/>
    <w:pPr>
      <w:spacing w:line="276" w:lineRule="auto"/>
    </w:pPr>
    <w:rPr>
      <w:rFonts w:ascii="Georgia" w:hAnsi="Georgia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324371"/>
    <w:pPr>
      <w:spacing w:after="240"/>
      <w:ind w:left="851" w:hanging="851"/>
      <w:outlineLvl w:val="0"/>
    </w:pPr>
    <w:rPr>
      <w:rFonts w:cs="Arial"/>
      <w:b/>
      <w:bCs/>
      <w:sz w:val="56"/>
      <w:szCs w:val="48"/>
    </w:rPr>
  </w:style>
  <w:style w:type="paragraph" w:styleId="Heading2">
    <w:name w:val="heading 2"/>
    <w:basedOn w:val="Normal"/>
    <w:next w:val="Normal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qFormat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5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92659B"/>
    <w:rPr>
      <w:color w:val="auto"/>
      <w:sz w:val="24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64" w:lineRule="auto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 w:line="264" w:lineRule="auto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Georgia" w:hAnsi="Georgia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EB461E"/>
    <w:rPr>
      <w:rFonts w:ascii="Georgia" w:hAnsi="Georgia"/>
      <w:sz w:val="18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Georgia" w:eastAsia="Calibri" w:hAnsi="Georgia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D9C"/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D9C"/>
    <w:rPr>
      <w:rFonts w:ascii="Georgia" w:eastAsiaTheme="majorEastAsia" w:hAnsi="Georgia" w:cstheme="majorBidi"/>
      <w:b/>
      <w:sz w:val="44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FD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D4"/>
    <w:rPr>
      <w:rFonts w:ascii="Georgia" w:hAnsi="Georg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A0"/>
    <w:pPr>
      <w:spacing w:line="276" w:lineRule="auto"/>
    </w:pPr>
    <w:rPr>
      <w:rFonts w:ascii="Georgia" w:hAnsi="Georgia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324371"/>
    <w:pPr>
      <w:spacing w:after="240"/>
      <w:ind w:left="851" w:hanging="851"/>
      <w:outlineLvl w:val="0"/>
    </w:pPr>
    <w:rPr>
      <w:rFonts w:cs="Arial"/>
      <w:b/>
      <w:bCs/>
      <w:sz w:val="56"/>
      <w:szCs w:val="48"/>
    </w:rPr>
  </w:style>
  <w:style w:type="paragraph" w:styleId="Heading2">
    <w:name w:val="heading 2"/>
    <w:basedOn w:val="Normal"/>
    <w:next w:val="Normal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qFormat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5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92659B"/>
    <w:rPr>
      <w:color w:val="auto"/>
      <w:sz w:val="24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64" w:lineRule="auto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 w:line="264" w:lineRule="auto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Georgia" w:hAnsi="Georgia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EB461E"/>
    <w:rPr>
      <w:rFonts w:ascii="Georgia" w:hAnsi="Georgia"/>
      <w:sz w:val="18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Georgia" w:eastAsia="Calibri" w:hAnsi="Georgia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D9C"/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D9C"/>
    <w:rPr>
      <w:rFonts w:ascii="Georgia" w:eastAsiaTheme="majorEastAsia" w:hAnsi="Georgia" w:cstheme="majorBidi"/>
      <w:b/>
      <w:sz w:val="44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FD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D4"/>
    <w:rPr>
      <w:rFonts w:ascii="Georgia" w:hAnsi="Georg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C4B417-0819-47F6-9EA4-B4543BD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Ministry of Health</dc:creator>
  <cp:lastModifiedBy>Ministry of Health </cp:lastModifiedBy>
  <cp:revision>2</cp:revision>
  <cp:lastPrinted>2016-07-07T23:26:00Z</cp:lastPrinted>
  <dcterms:created xsi:type="dcterms:W3CDTF">2016-07-18T06:24:00Z</dcterms:created>
  <dcterms:modified xsi:type="dcterms:W3CDTF">2016-07-18T06:24:00Z</dcterms:modified>
</cp:coreProperties>
</file>