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46" w:rsidRPr="00D11DCA" w:rsidRDefault="00A31B1A" w:rsidP="00127446">
      <w:pPr>
        <w:keepNext/>
        <w:spacing w:after="80"/>
        <w:jc w:val="center"/>
        <w:outlineLvl w:val="0"/>
        <w:rPr>
          <w:rFonts w:ascii="Georgia" w:hAnsi="Georgia" w:cs="Arial"/>
          <w:b/>
          <w:bCs/>
          <w:sz w:val="32"/>
          <w:szCs w:val="32"/>
        </w:rPr>
      </w:pPr>
      <w:bookmarkStart w:id="0" w:name="_GoBack"/>
      <w:r>
        <w:rPr>
          <w:rFonts w:ascii="Georgia" w:hAnsi="Georgia" w:cs="Arial"/>
          <w:b/>
          <w:bCs/>
          <w:sz w:val="32"/>
          <w:szCs w:val="32"/>
        </w:rPr>
        <w:t>Terms of reference</w:t>
      </w:r>
    </w:p>
    <w:p w:rsidR="00127446" w:rsidRPr="00D11DCA" w:rsidRDefault="00127446" w:rsidP="00127446">
      <w:pPr>
        <w:keepNext/>
        <w:pBdr>
          <w:bottom w:val="single" w:sz="18" w:space="3" w:color="auto"/>
        </w:pBdr>
        <w:spacing w:before="120" w:after="480"/>
        <w:jc w:val="center"/>
        <w:outlineLvl w:val="0"/>
        <w:rPr>
          <w:rFonts w:ascii="Georgia" w:hAnsi="Georgia" w:cs="Arial"/>
          <w:b/>
          <w:bCs/>
          <w:sz w:val="28"/>
          <w:szCs w:val="28"/>
        </w:rPr>
      </w:pPr>
      <w:r w:rsidRPr="00D11DCA">
        <w:rPr>
          <w:rFonts w:ascii="Georgia" w:hAnsi="Georgia" w:cs="Arial"/>
          <w:b/>
          <w:bCs/>
          <w:sz w:val="28"/>
          <w:szCs w:val="28"/>
        </w:rPr>
        <w:t>Review of</w:t>
      </w:r>
      <w:r w:rsidR="002F4DAC">
        <w:rPr>
          <w:rFonts w:ascii="Georgia" w:hAnsi="Georgia" w:cs="Arial"/>
          <w:b/>
          <w:bCs/>
          <w:sz w:val="28"/>
          <w:szCs w:val="28"/>
        </w:rPr>
        <w:t xml:space="preserve"> Adult Palliative Care S</w:t>
      </w:r>
      <w:r>
        <w:rPr>
          <w:rFonts w:ascii="Georgia" w:hAnsi="Georgia" w:cs="Arial"/>
          <w:b/>
          <w:bCs/>
          <w:sz w:val="28"/>
          <w:szCs w:val="28"/>
        </w:rPr>
        <w:t>ervices</w:t>
      </w:r>
    </w:p>
    <w:bookmarkEnd w:id="0"/>
    <w:p w:rsidR="00127446" w:rsidRPr="00D11DCA" w:rsidRDefault="00127446" w:rsidP="00127446">
      <w:pPr>
        <w:keepNext/>
        <w:spacing w:before="360" w:after="120"/>
        <w:outlineLvl w:val="2"/>
        <w:rPr>
          <w:rFonts w:ascii="Georgia" w:eastAsiaTheme="majorEastAsia" w:hAnsi="Georgia" w:cstheme="majorBidi"/>
          <w:b/>
          <w:bCs/>
        </w:rPr>
      </w:pPr>
      <w:r w:rsidRPr="00D11DCA">
        <w:rPr>
          <w:rFonts w:ascii="Georgia" w:eastAsiaTheme="majorEastAsia" w:hAnsi="Georgia" w:cstheme="majorBidi"/>
          <w:b/>
          <w:bCs/>
        </w:rPr>
        <w:t>Purpose</w:t>
      </w:r>
    </w:p>
    <w:p w:rsidR="00127446" w:rsidRPr="00D11DCA" w:rsidRDefault="00127446" w:rsidP="00127446">
      <w:pPr>
        <w:spacing w:after="200" w:line="276" w:lineRule="auto"/>
        <w:rPr>
          <w:rFonts w:eastAsiaTheme="minorHAnsi" w:cstheme="minorBidi"/>
          <w:szCs w:val="22"/>
          <w:lang w:eastAsia="en-US"/>
        </w:rPr>
      </w:pPr>
      <w:r>
        <w:rPr>
          <w:rFonts w:eastAsiaTheme="minorHAnsi" w:cstheme="minorBidi"/>
          <w:szCs w:val="22"/>
          <w:lang w:eastAsia="en-US"/>
        </w:rPr>
        <w:t>The purpose of the R</w:t>
      </w:r>
      <w:r w:rsidRPr="00D11DCA">
        <w:rPr>
          <w:rFonts w:eastAsiaTheme="minorHAnsi" w:cstheme="minorBidi"/>
          <w:szCs w:val="22"/>
          <w:lang w:eastAsia="en-US"/>
        </w:rPr>
        <w:t>eview is to recommend actions to ensure that all New Zealand adults who would benefit from palliativ</w:t>
      </w:r>
      <w:r>
        <w:rPr>
          <w:rFonts w:eastAsiaTheme="minorHAnsi" w:cstheme="minorBidi"/>
          <w:szCs w:val="22"/>
          <w:lang w:eastAsia="en-US"/>
        </w:rPr>
        <w:t>e care at the end of their life</w:t>
      </w:r>
      <w:r w:rsidRPr="00D11DCA">
        <w:rPr>
          <w:rFonts w:eastAsiaTheme="minorHAnsi" w:cstheme="minorBidi"/>
          <w:szCs w:val="22"/>
          <w:lang w:eastAsia="en-US"/>
        </w:rPr>
        <w:t xml:space="preserve"> receive high quality care, and a seamless experience of care regardless of whether they are at home, in hospital, in a hospice, or in an aged residential care (ARC) facility. </w:t>
      </w:r>
    </w:p>
    <w:p w:rsidR="00127446" w:rsidRPr="00D11DCA" w:rsidRDefault="00127446" w:rsidP="00127446">
      <w:pPr>
        <w:spacing w:after="80" w:line="276" w:lineRule="auto"/>
        <w:rPr>
          <w:rFonts w:eastAsiaTheme="minorHAnsi" w:cstheme="minorBidi"/>
          <w:szCs w:val="22"/>
          <w:lang w:eastAsia="en-US"/>
        </w:rPr>
      </w:pPr>
      <w:r>
        <w:rPr>
          <w:rFonts w:eastAsiaTheme="minorHAnsi" w:cstheme="minorBidi"/>
          <w:szCs w:val="22"/>
          <w:lang w:eastAsia="en-US"/>
        </w:rPr>
        <w:t>The R</w:t>
      </w:r>
      <w:r w:rsidRPr="00D11DCA">
        <w:rPr>
          <w:rFonts w:eastAsiaTheme="minorHAnsi" w:cstheme="minorBidi"/>
          <w:szCs w:val="22"/>
          <w:lang w:eastAsia="en-US"/>
        </w:rPr>
        <w:t>ev</w:t>
      </w:r>
      <w:r>
        <w:rPr>
          <w:rFonts w:eastAsiaTheme="minorHAnsi" w:cstheme="minorBidi"/>
          <w:szCs w:val="22"/>
          <w:lang w:eastAsia="en-US"/>
        </w:rPr>
        <w:t>iew will report to the Minister</w:t>
      </w:r>
      <w:r w:rsidRPr="00D11DCA">
        <w:rPr>
          <w:rFonts w:eastAsiaTheme="minorHAnsi" w:cstheme="minorBidi"/>
          <w:szCs w:val="22"/>
          <w:lang w:eastAsia="en-US"/>
        </w:rPr>
        <w:t xml:space="preserve"> of Health on:</w:t>
      </w:r>
    </w:p>
    <w:p w:rsidR="00127446" w:rsidRPr="00D11DCA" w:rsidRDefault="00127446" w:rsidP="00127446">
      <w:pPr>
        <w:numPr>
          <w:ilvl w:val="0"/>
          <w:numId w:val="1"/>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current service capability and capacity across all care settings and providers</w:t>
      </w:r>
    </w:p>
    <w:p w:rsidR="00127446" w:rsidRPr="00D11DCA" w:rsidRDefault="00127446" w:rsidP="00127446">
      <w:pPr>
        <w:numPr>
          <w:ilvl w:val="0"/>
          <w:numId w:val="1"/>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projected need for palliative care ser</w:t>
      </w:r>
      <w:r>
        <w:rPr>
          <w:rFonts w:eastAsiaTheme="minorHAnsi" w:cstheme="minorBidi"/>
          <w:szCs w:val="22"/>
          <w:lang w:eastAsia="en-US"/>
        </w:rPr>
        <w:t xml:space="preserve">vices over the next 10 to </w:t>
      </w:r>
      <w:r w:rsidRPr="00D11DCA">
        <w:rPr>
          <w:rFonts w:eastAsiaTheme="minorHAnsi" w:cstheme="minorBidi"/>
          <w:szCs w:val="22"/>
          <w:lang w:eastAsia="en-US"/>
        </w:rPr>
        <w:t>20 years</w:t>
      </w:r>
    </w:p>
    <w:p w:rsidR="00127446" w:rsidRPr="00D11DCA" w:rsidRDefault="00127446" w:rsidP="00127446">
      <w:pPr>
        <w:numPr>
          <w:ilvl w:val="0"/>
          <w:numId w:val="1"/>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gaps and barriers to achieving high quality and equitable provision of care, including workforce issues</w:t>
      </w:r>
      <w:r w:rsidR="00F01834">
        <w:rPr>
          <w:rFonts w:eastAsiaTheme="minorHAnsi" w:cstheme="minorBidi"/>
          <w:szCs w:val="22"/>
          <w:lang w:eastAsia="en-US"/>
        </w:rPr>
        <w:t>,</w:t>
      </w:r>
      <w:r w:rsidRPr="00D11DCA">
        <w:rPr>
          <w:rFonts w:eastAsiaTheme="minorHAnsi" w:cstheme="minorBidi"/>
          <w:szCs w:val="22"/>
          <w:lang w:eastAsia="en-US"/>
        </w:rPr>
        <w:t xml:space="preserve"> funding settings</w:t>
      </w:r>
      <w:r w:rsidR="00F01834">
        <w:rPr>
          <w:rFonts w:eastAsiaTheme="minorHAnsi" w:cstheme="minorBidi"/>
          <w:szCs w:val="22"/>
          <w:lang w:eastAsia="en-US"/>
        </w:rPr>
        <w:t>, and standards of care</w:t>
      </w:r>
    </w:p>
    <w:p w:rsidR="00127446" w:rsidRPr="00D11DCA" w:rsidRDefault="00127446" w:rsidP="00127446">
      <w:pPr>
        <w:numPr>
          <w:ilvl w:val="0"/>
          <w:numId w:val="1"/>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actions to improve integrated services across all providers and care settings over the next 3 to 5 years</w:t>
      </w:r>
    </w:p>
    <w:p w:rsidR="00127446" w:rsidRPr="00D11DCA" w:rsidRDefault="00127446" w:rsidP="00127446">
      <w:pPr>
        <w:numPr>
          <w:ilvl w:val="0"/>
          <w:numId w:val="1"/>
        </w:numPr>
        <w:spacing w:after="80" w:line="276" w:lineRule="auto"/>
        <w:ind w:left="426" w:hanging="426"/>
        <w:rPr>
          <w:rFonts w:eastAsiaTheme="minorHAnsi" w:cstheme="minorBidi"/>
          <w:szCs w:val="22"/>
          <w:lang w:eastAsia="en-US"/>
        </w:rPr>
      </w:pPr>
      <w:proofErr w:type="gramStart"/>
      <w:r w:rsidRPr="00D11DCA">
        <w:rPr>
          <w:rFonts w:eastAsiaTheme="minorHAnsi" w:cstheme="minorBidi"/>
          <w:szCs w:val="22"/>
          <w:lang w:eastAsia="en-US"/>
        </w:rPr>
        <w:t>actions</w:t>
      </w:r>
      <w:proofErr w:type="gramEnd"/>
      <w:r w:rsidRPr="00D11DCA">
        <w:rPr>
          <w:rFonts w:eastAsiaTheme="minorHAnsi" w:cstheme="minorBidi"/>
          <w:szCs w:val="22"/>
          <w:lang w:eastAsia="en-US"/>
        </w:rPr>
        <w:t xml:space="preserve"> to improve access to, and quality </w:t>
      </w:r>
      <w:r w:rsidR="00F01834">
        <w:rPr>
          <w:rFonts w:eastAsiaTheme="minorHAnsi" w:cstheme="minorBidi"/>
          <w:szCs w:val="22"/>
          <w:lang w:eastAsia="en-US"/>
        </w:rPr>
        <w:t xml:space="preserve">and standards </w:t>
      </w:r>
      <w:r w:rsidRPr="00D11DCA">
        <w:rPr>
          <w:rFonts w:eastAsiaTheme="minorHAnsi" w:cstheme="minorBidi"/>
          <w:szCs w:val="22"/>
          <w:lang w:eastAsia="en-US"/>
        </w:rPr>
        <w:t>of care, and ensure equitable provision of care over the next 3 to 5 years, including within existing funding levels.</w:t>
      </w:r>
    </w:p>
    <w:p w:rsidR="00127446" w:rsidRPr="00D11DCA" w:rsidRDefault="00127446" w:rsidP="00127446">
      <w:pPr>
        <w:keepNext/>
        <w:spacing w:before="360" w:after="120"/>
        <w:outlineLvl w:val="2"/>
        <w:rPr>
          <w:rFonts w:ascii="Georgia" w:eastAsiaTheme="majorEastAsia" w:hAnsi="Georgia" w:cstheme="majorBidi"/>
          <w:b/>
          <w:bCs/>
        </w:rPr>
      </w:pPr>
      <w:r w:rsidRPr="00D11DCA">
        <w:rPr>
          <w:rFonts w:ascii="Georgia" w:eastAsiaTheme="majorEastAsia" w:hAnsi="Georgia" w:cstheme="majorBidi"/>
          <w:b/>
          <w:bCs/>
        </w:rPr>
        <w:t>Background</w:t>
      </w:r>
    </w:p>
    <w:p w:rsidR="00127446" w:rsidRPr="00D11DCA" w:rsidRDefault="00127446" w:rsidP="00127446">
      <w:pPr>
        <w:spacing w:after="200" w:line="276" w:lineRule="auto"/>
        <w:rPr>
          <w:rFonts w:eastAsiaTheme="minorHAnsi" w:cstheme="minorBidi"/>
          <w:szCs w:val="22"/>
          <w:lang w:eastAsia="en-US"/>
        </w:rPr>
      </w:pPr>
      <w:r w:rsidRPr="00D11DCA">
        <w:rPr>
          <w:rFonts w:eastAsiaTheme="minorHAnsi" w:cstheme="minorBidi"/>
          <w:szCs w:val="22"/>
          <w:lang w:eastAsia="en-US"/>
        </w:rPr>
        <w:t>At the time of confirming new funding of $76.1 million for improving hospice community palliative care services in Budget 2015, Cabinet directed officials to undertake a review of hospice and palliative care services and report back to joint Ministers [CAB Min (15) 12/2(26)].</w:t>
      </w:r>
    </w:p>
    <w:p w:rsidR="00127446" w:rsidRPr="00D11DCA" w:rsidRDefault="00127446" w:rsidP="00127446">
      <w:pPr>
        <w:spacing w:after="200" w:line="276" w:lineRule="auto"/>
        <w:rPr>
          <w:rFonts w:eastAsiaTheme="minorHAnsi" w:cstheme="minorBidi"/>
          <w:szCs w:val="22"/>
          <w:lang w:eastAsia="en-US"/>
        </w:rPr>
      </w:pPr>
      <w:r w:rsidRPr="00D11DCA">
        <w:rPr>
          <w:rFonts w:eastAsiaTheme="minorHAnsi" w:cstheme="minorBidi"/>
          <w:szCs w:val="22"/>
          <w:lang w:eastAsia="en-US"/>
        </w:rPr>
        <w:t>While many New Zealanders are receiving excellent palliative care, the Government is not confident that all New Zealanders are receiving the level and quality of palliative care that they can expect from a modern health system.</w:t>
      </w:r>
    </w:p>
    <w:p w:rsidR="00127446" w:rsidRPr="00D11DCA" w:rsidRDefault="00127446" w:rsidP="00127446">
      <w:pPr>
        <w:spacing w:after="200" w:line="276" w:lineRule="auto"/>
        <w:rPr>
          <w:rFonts w:eastAsiaTheme="minorHAnsi" w:cstheme="minorBidi"/>
          <w:szCs w:val="22"/>
          <w:lang w:eastAsia="en-US"/>
        </w:rPr>
      </w:pPr>
      <w:r w:rsidRPr="00D11DCA">
        <w:rPr>
          <w:rFonts w:eastAsiaTheme="minorHAnsi" w:cstheme="minorBidi"/>
          <w:szCs w:val="22"/>
          <w:lang w:eastAsia="en-US"/>
        </w:rPr>
        <w:t xml:space="preserve">Access to palliative care varies depending on diagnosis and prognosis, and the availability of services in each region, rather than being based on assessed need. There is some evidence that some population groups are missing out on care appropriate to their needs. There is also room for improvement in </w:t>
      </w:r>
      <w:r>
        <w:rPr>
          <w:rFonts w:eastAsiaTheme="minorHAnsi" w:cstheme="minorBidi"/>
          <w:szCs w:val="22"/>
          <w:lang w:eastAsia="en-US"/>
        </w:rPr>
        <w:t xml:space="preserve">the </w:t>
      </w:r>
      <w:r w:rsidRPr="00D11DCA">
        <w:rPr>
          <w:rFonts w:eastAsiaTheme="minorHAnsi" w:cstheme="minorBidi"/>
          <w:szCs w:val="22"/>
          <w:lang w:eastAsia="en-US"/>
        </w:rPr>
        <w:t xml:space="preserve">quality of care across all care settings. </w:t>
      </w:r>
    </w:p>
    <w:p w:rsidR="00127446" w:rsidRPr="00D11DCA" w:rsidRDefault="00127446" w:rsidP="00127446">
      <w:pPr>
        <w:spacing w:after="200" w:line="276" w:lineRule="auto"/>
        <w:rPr>
          <w:rFonts w:eastAsiaTheme="minorHAnsi" w:cstheme="minorBidi"/>
          <w:szCs w:val="22"/>
          <w:lang w:eastAsia="en-US"/>
        </w:rPr>
      </w:pPr>
      <w:r w:rsidRPr="00D11DCA">
        <w:rPr>
          <w:rFonts w:eastAsiaTheme="minorHAnsi" w:cstheme="minorBidi"/>
          <w:szCs w:val="22"/>
          <w:lang w:eastAsia="en-US"/>
        </w:rPr>
        <w:t xml:space="preserve">New Zealand has a fragmented system of palliative care providers. While services are working well together in some regions, they are not working as well in others. The integration of services across primary and specialist care, and between fully-funded public providers and independent private and charitable providers, is understood to be </w:t>
      </w:r>
      <w:proofErr w:type="gramStart"/>
      <w:r w:rsidRPr="00D11DCA">
        <w:rPr>
          <w:rFonts w:eastAsiaTheme="minorHAnsi" w:cstheme="minorBidi"/>
          <w:szCs w:val="22"/>
          <w:lang w:eastAsia="en-US"/>
        </w:rPr>
        <w:t>a critical component of ensuring people are</w:t>
      </w:r>
      <w:proofErr w:type="gramEnd"/>
      <w:r w:rsidRPr="00D11DCA">
        <w:rPr>
          <w:rFonts w:eastAsiaTheme="minorHAnsi" w:cstheme="minorBidi"/>
          <w:szCs w:val="22"/>
          <w:lang w:eastAsia="en-US"/>
        </w:rPr>
        <w:t xml:space="preserve"> able to receive the </w:t>
      </w:r>
      <w:r>
        <w:rPr>
          <w:rFonts w:eastAsiaTheme="minorHAnsi" w:cstheme="minorBidi"/>
          <w:szCs w:val="22"/>
          <w:lang w:eastAsia="en-US"/>
        </w:rPr>
        <w:t>appropriate</w:t>
      </w:r>
      <w:r w:rsidRPr="00D11DCA">
        <w:rPr>
          <w:rFonts w:eastAsiaTheme="minorHAnsi" w:cstheme="minorBidi"/>
          <w:szCs w:val="22"/>
          <w:lang w:eastAsia="en-US"/>
        </w:rPr>
        <w:t xml:space="preserve"> level and quality of care. </w:t>
      </w:r>
    </w:p>
    <w:p w:rsidR="00127446" w:rsidRPr="00D11DCA" w:rsidRDefault="00127446" w:rsidP="00127446">
      <w:pPr>
        <w:spacing w:after="200" w:line="276" w:lineRule="auto"/>
        <w:rPr>
          <w:rFonts w:ascii="Georgia" w:eastAsiaTheme="majorEastAsia" w:hAnsi="Georgia" w:cstheme="majorBidi"/>
          <w:b/>
          <w:bCs/>
        </w:rPr>
      </w:pPr>
      <w:r w:rsidRPr="00D11DCA">
        <w:rPr>
          <w:rFonts w:eastAsiaTheme="minorHAnsi" w:cstheme="minorBidi"/>
          <w:szCs w:val="22"/>
          <w:lang w:eastAsia="en-US"/>
        </w:rPr>
        <w:t>Finally, it is not clear that current service and funding arrangements will meet future demand, and deliver affordable services in the medium term, as the health system responds to an increasing number of older people, and an increasing number of older people with complex health conditions.</w:t>
      </w:r>
      <w:r w:rsidRPr="00D11DCA">
        <w:rPr>
          <w:rFonts w:eastAsiaTheme="minorHAnsi" w:cstheme="minorBidi"/>
          <w:szCs w:val="22"/>
          <w:lang w:eastAsia="en-US"/>
        </w:rPr>
        <w:br w:type="page"/>
      </w:r>
    </w:p>
    <w:p w:rsidR="00127446" w:rsidRPr="00D11DCA" w:rsidRDefault="00127446" w:rsidP="00127446">
      <w:pPr>
        <w:keepNext/>
        <w:spacing w:after="120"/>
        <w:outlineLvl w:val="2"/>
        <w:rPr>
          <w:rFonts w:ascii="Georgia" w:eastAsiaTheme="majorEastAsia" w:hAnsi="Georgia" w:cstheme="majorBidi"/>
          <w:b/>
          <w:bCs/>
        </w:rPr>
      </w:pPr>
      <w:r w:rsidRPr="00D11DCA">
        <w:rPr>
          <w:rFonts w:ascii="Georgia" w:eastAsiaTheme="majorEastAsia" w:hAnsi="Georgia" w:cstheme="majorBidi"/>
          <w:b/>
          <w:bCs/>
        </w:rPr>
        <w:lastRenderedPageBreak/>
        <w:t>Scope</w:t>
      </w:r>
    </w:p>
    <w:p w:rsidR="00127446" w:rsidRPr="00D11DCA" w:rsidRDefault="00127446" w:rsidP="00127446">
      <w:pPr>
        <w:spacing w:after="60" w:line="276" w:lineRule="auto"/>
        <w:rPr>
          <w:rFonts w:eastAsiaTheme="minorHAnsi" w:cstheme="minorBidi"/>
          <w:szCs w:val="22"/>
          <w:lang w:eastAsia="en-US"/>
        </w:rPr>
      </w:pPr>
      <w:r>
        <w:rPr>
          <w:rFonts w:eastAsiaTheme="minorHAnsi" w:cstheme="minorBidi"/>
          <w:szCs w:val="22"/>
          <w:lang w:eastAsia="en-US"/>
        </w:rPr>
        <w:t>The scope of the R</w:t>
      </w:r>
      <w:r w:rsidRPr="00D11DCA">
        <w:rPr>
          <w:rFonts w:eastAsiaTheme="minorHAnsi" w:cstheme="minorBidi"/>
          <w:szCs w:val="22"/>
          <w:lang w:eastAsia="en-US"/>
        </w:rPr>
        <w:t>eview includes:</w:t>
      </w:r>
    </w:p>
    <w:p w:rsidR="00127446" w:rsidRPr="00D11DCA" w:rsidRDefault="00127446" w:rsidP="00127446">
      <w:pPr>
        <w:numPr>
          <w:ilvl w:val="0"/>
          <w:numId w:val="2"/>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establishing a definition of palliativ</w:t>
      </w:r>
      <w:r>
        <w:rPr>
          <w:rFonts w:eastAsiaTheme="minorHAnsi" w:cstheme="minorBidi"/>
          <w:szCs w:val="22"/>
          <w:lang w:eastAsia="en-US"/>
        </w:rPr>
        <w:t>e care for the purposes of the Review that focuses the R</w:t>
      </w:r>
      <w:r w:rsidRPr="00D11DCA">
        <w:rPr>
          <w:rFonts w:eastAsiaTheme="minorHAnsi" w:cstheme="minorBidi"/>
          <w:szCs w:val="22"/>
          <w:lang w:eastAsia="en-US"/>
        </w:rPr>
        <w:t>eview on palliative care towards the end of people’s life</w:t>
      </w:r>
    </w:p>
    <w:p w:rsidR="00127446" w:rsidRPr="00D11DCA" w:rsidRDefault="00127446" w:rsidP="00127446">
      <w:pPr>
        <w:numPr>
          <w:ilvl w:val="0"/>
          <w:numId w:val="2"/>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palliative care services for adults (defined as people18 years of age and over, subject to this aligning with data availability and the practical provision of care)</w:t>
      </w:r>
    </w:p>
    <w:p w:rsidR="00127446" w:rsidRPr="00D11DCA" w:rsidRDefault="00127446" w:rsidP="00127446">
      <w:pPr>
        <w:numPr>
          <w:ilvl w:val="0"/>
          <w:numId w:val="2"/>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 xml:space="preserve">primary and specialist palliative care services </w:t>
      </w:r>
    </w:p>
    <w:p w:rsidR="00127446" w:rsidRPr="00D11DCA" w:rsidRDefault="00127446" w:rsidP="00127446">
      <w:pPr>
        <w:numPr>
          <w:ilvl w:val="0"/>
          <w:numId w:val="2"/>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palliative care services provided across all places of care, including at home, in hospital, in a hospice, or in an ARC facility</w:t>
      </w:r>
    </w:p>
    <w:p w:rsidR="00127446" w:rsidRPr="00D11DCA" w:rsidRDefault="00127446" w:rsidP="00127446">
      <w:pPr>
        <w:numPr>
          <w:ilvl w:val="0"/>
          <w:numId w:val="2"/>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actions to improve services over the next 3 to 5 years</w:t>
      </w:r>
    </w:p>
    <w:p w:rsidR="00127446" w:rsidRPr="00D11DCA" w:rsidRDefault="00127446" w:rsidP="00127446">
      <w:pPr>
        <w:numPr>
          <w:ilvl w:val="0"/>
          <w:numId w:val="2"/>
        </w:numPr>
        <w:spacing w:after="200" w:line="276" w:lineRule="auto"/>
        <w:ind w:left="426" w:hanging="426"/>
        <w:rPr>
          <w:rFonts w:eastAsiaTheme="minorHAnsi" w:cstheme="minorBidi"/>
          <w:szCs w:val="22"/>
          <w:lang w:eastAsia="en-US"/>
        </w:rPr>
      </w:pPr>
      <w:proofErr w:type="gramStart"/>
      <w:r w:rsidRPr="00D11DCA">
        <w:rPr>
          <w:rFonts w:eastAsiaTheme="minorHAnsi" w:cstheme="minorBidi"/>
          <w:szCs w:val="22"/>
          <w:lang w:eastAsia="en-US"/>
        </w:rPr>
        <w:t>policy</w:t>
      </w:r>
      <w:proofErr w:type="gramEnd"/>
      <w:r w:rsidRPr="00D11DCA">
        <w:rPr>
          <w:rFonts w:eastAsiaTheme="minorHAnsi" w:cstheme="minorBidi"/>
          <w:szCs w:val="22"/>
          <w:lang w:eastAsia="en-US"/>
        </w:rPr>
        <w:t xml:space="preserve"> options within existing legislative settings.</w:t>
      </w:r>
    </w:p>
    <w:p w:rsidR="00127446" w:rsidRPr="00D11DCA" w:rsidRDefault="00127446" w:rsidP="00127446">
      <w:pPr>
        <w:spacing w:after="60" w:line="276" w:lineRule="auto"/>
        <w:rPr>
          <w:rFonts w:eastAsiaTheme="minorHAnsi" w:cstheme="minorBidi"/>
          <w:szCs w:val="22"/>
          <w:lang w:eastAsia="en-US"/>
        </w:rPr>
      </w:pPr>
      <w:r>
        <w:rPr>
          <w:rFonts w:eastAsiaTheme="minorHAnsi" w:cstheme="minorBidi"/>
          <w:szCs w:val="22"/>
          <w:lang w:eastAsia="en-US"/>
        </w:rPr>
        <w:t>The R</w:t>
      </w:r>
      <w:r w:rsidRPr="00D11DCA">
        <w:rPr>
          <w:rFonts w:eastAsiaTheme="minorHAnsi" w:cstheme="minorBidi"/>
          <w:szCs w:val="22"/>
          <w:lang w:eastAsia="en-US"/>
        </w:rPr>
        <w:t>eview does not cover:</w:t>
      </w:r>
    </w:p>
    <w:p w:rsidR="00127446" w:rsidRPr="00D11DCA" w:rsidRDefault="00127446" w:rsidP="00127446">
      <w:pPr>
        <w:numPr>
          <w:ilvl w:val="0"/>
          <w:numId w:val="3"/>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person-centred chronic disease management that focuses on improving quality of life</w:t>
      </w:r>
      <w:r>
        <w:rPr>
          <w:rFonts w:eastAsiaTheme="minorHAnsi" w:cstheme="minorBidi"/>
          <w:szCs w:val="22"/>
          <w:lang w:eastAsia="en-US"/>
        </w:rPr>
        <w:t xml:space="preserve"> for those people with life-limiting conditions</w:t>
      </w:r>
      <w:r w:rsidRPr="00D11DCA">
        <w:rPr>
          <w:rFonts w:eastAsiaTheme="minorHAnsi" w:cstheme="minorBidi"/>
          <w:szCs w:val="22"/>
          <w:lang w:eastAsia="en-US"/>
        </w:rPr>
        <w:t>, when death may still be many years away</w:t>
      </w:r>
    </w:p>
    <w:p w:rsidR="00127446" w:rsidRPr="00D11DCA" w:rsidRDefault="00127446" w:rsidP="00127446">
      <w:pPr>
        <w:numPr>
          <w:ilvl w:val="0"/>
          <w:numId w:val="3"/>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paediatric palliative care services</w:t>
      </w:r>
    </w:p>
    <w:p w:rsidR="00127446" w:rsidRPr="00D11DCA" w:rsidRDefault="00127446" w:rsidP="00127446">
      <w:pPr>
        <w:numPr>
          <w:ilvl w:val="0"/>
          <w:numId w:val="3"/>
        </w:numPr>
        <w:spacing w:after="200" w:line="276" w:lineRule="auto"/>
        <w:ind w:left="426" w:hanging="426"/>
        <w:rPr>
          <w:rFonts w:eastAsiaTheme="minorHAnsi" w:cstheme="minorBidi"/>
          <w:szCs w:val="22"/>
          <w:lang w:eastAsia="en-US"/>
        </w:rPr>
      </w:pPr>
      <w:proofErr w:type="gramStart"/>
      <w:r w:rsidRPr="00D11DCA">
        <w:rPr>
          <w:rFonts w:eastAsiaTheme="minorHAnsi" w:cstheme="minorBidi"/>
          <w:szCs w:val="22"/>
          <w:lang w:eastAsia="en-US"/>
        </w:rPr>
        <w:t>the</w:t>
      </w:r>
      <w:proofErr w:type="gramEnd"/>
      <w:r w:rsidRPr="00D11DCA">
        <w:rPr>
          <w:rFonts w:eastAsiaTheme="minorHAnsi" w:cstheme="minorBidi"/>
          <w:szCs w:val="22"/>
          <w:lang w:eastAsia="en-US"/>
        </w:rPr>
        <w:t xml:space="preserve"> legal status of voluntary euthanasia, which is the subject of</w:t>
      </w:r>
      <w:r w:rsidR="00801CC0">
        <w:rPr>
          <w:rFonts w:eastAsiaTheme="minorHAnsi" w:cstheme="minorBidi"/>
          <w:szCs w:val="22"/>
          <w:lang w:eastAsia="en-US"/>
        </w:rPr>
        <w:t xml:space="preserve"> a petition currently before the</w:t>
      </w:r>
      <w:r w:rsidRPr="00D11DCA">
        <w:rPr>
          <w:rFonts w:eastAsiaTheme="minorHAnsi" w:cstheme="minorBidi"/>
          <w:szCs w:val="22"/>
          <w:lang w:eastAsia="en-US"/>
        </w:rPr>
        <w:t xml:space="preserve"> Health Select Committee in 2015/16 (terms of reference</w:t>
      </w:r>
      <w:r w:rsidR="00801CC0">
        <w:rPr>
          <w:rFonts w:eastAsiaTheme="minorHAnsi" w:cstheme="minorBidi"/>
          <w:szCs w:val="22"/>
          <w:lang w:eastAsia="en-US"/>
        </w:rPr>
        <w:t xml:space="preserve"> for an inquiry</w:t>
      </w:r>
      <w:r w:rsidRPr="00D11DCA">
        <w:rPr>
          <w:rFonts w:eastAsiaTheme="minorHAnsi" w:cstheme="minorBidi"/>
          <w:szCs w:val="22"/>
          <w:lang w:eastAsia="en-US"/>
        </w:rPr>
        <w:t xml:space="preserve"> are under development).</w:t>
      </w:r>
    </w:p>
    <w:p w:rsidR="00127446" w:rsidRPr="00D11DCA" w:rsidRDefault="00127446" w:rsidP="00127446">
      <w:pPr>
        <w:spacing w:after="200" w:line="276" w:lineRule="auto"/>
        <w:rPr>
          <w:rFonts w:eastAsiaTheme="minorHAnsi" w:cstheme="minorBidi"/>
          <w:szCs w:val="22"/>
          <w:lang w:eastAsia="en-US"/>
        </w:rPr>
      </w:pPr>
      <w:r>
        <w:rPr>
          <w:rFonts w:eastAsiaTheme="minorHAnsi" w:cstheme="minorBidi"/>
          <w:szCs w:val="22"/>
          <w:lang w:eastAsia="en-US"/>
        </w:rPr>
        <w:t>The R</w:t>
      </w:r>
      <w:r w:rsidRPr="00D11DCA">
        <w:rPr>
          <w:rFonts w:eastAsiaTheme="minorHAnsi" w:cstheme="minorBidi"/>
          <w:szCs w:val="22"/>
          <w:lang w:eastAsia="en-US"/>
        </w:rPr>
        <w:t>eview findings and recomme</w:t>
      </w:r>
      <w:r>
        <w:rPr>
          <w:rFonts w:eastAsiaTheme="minorHAnsi" w:cstheme="minorBidi"/>
          <w:szCs w:val="22"/>
          <w:lang w:eastAsia="en-US"/>
        </w:rPr>
        <w:t>ndations will align with the update</w:t>
      </w:r>
      <w:r w:rsidRPr="00D11DCA">
        <w:rPr>
          <w:rFonts w:eastAsiaTheme="minorHAnsi" w:cstheme="minorBidi"/>
          <w:szCs w:val="22"/>
          <w:lang w:eastAsia="en-US"/>
        </w:rPr>
        <w:t xml:space="preserve"> of the New Zealand Health Strategy, due for completion at the end of 2015, and the refresh of the Health of Older People’s Strategy, due for completion in 2016.</w:t>
      </w:r>
    </w:p>
    <w:p w:rsidR="00127446" w:rsidRPr="00D11DCA" w:rsidRDefault="00127446" w:rsidP="00127446">
      <w:pPr>
        <w:keepNext/>
        <w:spacing w:before="360" w:after="120"/>
        <w:outlineLvl w:val="2"/>
        <w:rPr>
          <w:rFonts w:ascii="Georgia" w:eastAsiaTheme="majorEastAsia" w:hAnsi="Georgia" w:cstheme="majorBidi"/>
          <w:b/>
          <w:bCs/>
        </w:rPr>
      </w:pPr>
      <w:r w:rsidRPr="00D11DCA">
        <w:rPr>
          <w:rFonts w:ascii="Georgia" w:eastAsiaTheme="majorEastAsia" w:hAnsi="Georgia" w:cstheme="majorBidi"/>
          <w:b/>
          <w:bCs/>
        </w:rPr>
        <w:t>Approach</w:t>
      </w:r>
    </w:p>
    <w:p w:rsidR="00127446" w:rsidRPr="00D11DCA" w:rsidRDefault="00127446" w:rsidP="00127446">
      <w:pPr>
        <w:spacing w:after="200" w:line="276" w:lineRule="auto"/>
        <w:rPr>
          <w:rFonts w:eastAsiaTheme="minorHAnsi" w:cstheme="minorBidi"/>
          <w:szCs w:val="22"/>
          <w:lang w:eastAsia="en-US"/>
        </w:rPr>
      </w:pPr>
      <w:r>
        <w:rPr>
          <w:rFonts w:eastAsiaTheme="minorHAnsi" w:cstheme="minorBidi"/>
          <w:szCs w:val="22"/>
          <w:lang w:eastAsia="en-US"/>
        </w:rPr>
        <w:t>The R</w:t>
      </w:r>
      <w:r w:rsidRPr="00D11DCA">
        <w:rPr>
          <w:rFonts w:eastAsiaTheme="minorHAnsi" w:cstheme="minorBidi"/>
          <w:szCs w:val="22"/>
          <w:lang w:eastAsia="en-US"/>
        </w:rPr>
        <w:t>eview will be under</w:t>
      </w:r>
      <w:r>
        <w:rPr>
          <w:rFonts w:eastAsiaTheme="minorHAnsi" w:cstheme="minorBidi"/>
          <w:szCs w:val="22"/>
          <w:lang w:eastAsia="en-US"/>
        </w:rPr>
        <w:t>taken by the Ministry of Health.</w:t>
      </w:r>
    </w:p>
    <w:p w:rsidR="00127446" w:rsidRPr="00D11DCA" w:rsidRDefault="00127446" w:rsidP="00127446">
      <w:pPr>
        <w:spacing w:after="200" w:line="276" w:lineRule="auto"/>
        <w:rPr>
          <w:rFonts w:eastAsiaTheme="minorHAnsi" w:cstheme="minorBidi"/>
          <w:szCs w:val="22"/>
          <w:lang w:eastAsia="en-US"/>
        </w:rPr>
      </w:pPr>
      <w:r>
        <w:rPr>
          <w:rFonts w:eastAsiaTheme="minorHAnsi" w:cstheme="minorBidi"/>
          <w:szCs w:val="22"/>
          <w:lang w:eastAsia="en-US"/>
        </w:rPr>
        <w:t>An initial focus for the R</w:t>
      </w:r>
      <w:r w:rsidRPr="00D11DCA">
        <w:rPr>
          <w:rFonts w:eastAsiaTheme="minorHAnsi" w:cstheme="minorBidi"/>
          <w:szCs w:val="22"/>
          <w:lang w:eastAsia="en-US"/>
        </w:rPr>
        <w:t xml:space="preserve">eview will be to </w:t>
      </w:r>
      <w:r>
        <w:rPr>
          <w:rFonts w:eastAsiaTheme="minorHAnsi" w:cstheme="minorBidi"/>
          <w:szCs w:val="22"/>
          <w:lang w:eastAsia="en-US"/>
        </w:rPr>
        <w:t>assess current services</w:t>
      </w:r>
      <w:r w:rsidRPr="00D11DCA">
        <w:rPr>
          <w:rFonts w:eastAsiaTheme="minorHAnsi" w:cstheme="minorBidi"/>
          <w:szCs w:val="22"/>
          <w:lang w:eastAsia="en-US"/>
        </w:rPr>
        <w:t xml:space="preserve"> against the </w:t>
      </w:r>
      <w:r w:rsidRPr="0072219F">
        <w:rPr>
          <w:rFonts w:eastAsiaTheme="minorHAnsi" w:cstheme="minorBidi"/>
          <w:i/>
          <w:szCs w:val="22"/>
          <w:lang w:eastAsia="en-US"/>
        </w:rPr>
        <w:t>Resource and Capability Framework for Integrated Adult Palliative Care Services (2013)</w:t>
      </w:r>
      <w:r w:rsidRPr="00D11DCA">
        <w:rPr>
          <w:rFonts w:eastAsiaTheme="minorHAnsi" w:cstheme="minorBidi"/>
          <w:szCs w:val="22"/>
          <w:lang w:eastAsia="en-US"/>
        </w:rPr>
        <w:t xml:space="preserve"> through a process to be developed in consultation with district health boards.</w:t>
      </w:r>
    </w:p>
    <w:p w:rsidR="00127446" w:rsidRPr="00D11DCA" w:rsidRDefault="00127446" w:rsidP="00127446">
      <w:pPr>
        <w:spacing w:after="60" w:line="276" w:lineRule="auto"/>
        <w:rPr>
          <w:rFonts w:eastAsiaTheme="minorHAnsi" w:cstheme="minorBidi"/>
          <w:szCs w:val="22"/>
          <w:lang w:eastAsia="en-US"/>
        </w:rPr>
      </w:pPr>
      <w:r>
        <w:rPr>
          <w:rFonts w:eastAsiaTheme="minorHAnsi" w:cstheme="minorBidi"/>
          <w:szCs w:val="22"/>
          <w:lang w:eastAsia="en-US"/>
        </w:rPr>
        <w:t>The R</w:t>
      </w:r>
      <w:r w:rsidRPr="00D11DCA">
        <w:rPr>
          <w:rFonts w:eastAsiaTheme="minorHAnsi" w:cstheme="minorBidi"/>
          <w:szCs w:val="22"/>
          <w:lang w:eastAsia="en-US"/>
        </w:rPr>
        <w:t>eview will leverage existing information and/or reporting and accountability mechanisms and is likely to include:</w:t>
      </w:r>
    </w:p>
    <w:p w:rsidR="00127446" w:rsidRPr="00D11DCA" w:rsidRDefault="00127446" w:rsidP="00127446">
      <w:pPr>
        <w:numPr>
          <w:ilvl w:val="0"/>
          <w:numId w:val="4"/>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 xml:space="preserve">review of existing documentation </w:t>
      </w:r>
    </w:p>
    <w:p w:rsidR="00127446" w:rsidRPr="00D11DCA" w:rsidRDefault="00127446" w:rsidP="00127446">
      <w:pPr>
        <w:numPr>
          <w:ilvl w:val="0"/>
          <w:numId w:val="4"/>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literature review</w:t>
      </w:r>
    </w:p>
    <w:p w:rsidR="00127446" w:rsidRPr="00D11DCA" w:rsidRDefault="00127446" w:rsidP="00127446">
      <w:pPr>
        <w:numPr>
          <w:ilvl w:val="0"/>
          <w:numId w:val="4"/>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liaison with international agencies</w:t>
      </w:r>
    </w:p>
    <w:p w:rsidR="00127446" w:rsidRPr="00D11DCA" w:rsidRDefault="00127446" w:rsidP="00127446">
      <w:pPr>
        <w:numPr>
          <w:ilvl w:val="0"/>
          <w:numId w:val="4"/>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targeted interviews</w:t>
      </w:r>
    </w:p>
    <w:p w:rsidR="00127446" w:rsidRPr="00D11DCA" w:rsidRDefault="00127446" w:rsidP="00127446">
      <w:pPr>
        <w:numPr>
          <w:ilvl w:val="0"/>
          <w:numId w:val="4"/>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national, regional and local workshops</w:t>
      </w:r>
    </w:p>
    <w:p w:rsidR="00127446" w:rsidRPr="00D11DCA" w:rsidRDefault="00127446" w:rsidP="00127446">
      <w:pPr>
        <w:numPr>
          <w:ilvl w:val="0"/>
          <w:numId w:val="4"/>
        </w:numPr>
        <w:spacing w:after="60" w:line="276" w:lineRule="auto"/>
        <w:ind w:left="426" w:hanging="426"/>
        <w:rPr>
          <w:rFonts w:eastAsiaTheme="minorHAnsi" w:cstheme="minorBidi"/>
          <w:szCs w:val="22"/>
          <w:lang w:eastAsia="en-US"/>
        </w:rPr>
      </w:pPr>
      <w:r w:rsidRPr="00D11DCA">
        <w:rPr>
          <w:rFonts w:eastAsiaTheme="minorHAnsi" w:cstheme="minorBidi"/>
          <w:szCs w:val="22"/>
          <w:lang w:eastAsia="en-US"/>
        </w:rPr>
        <w:t>development of working and discussion papers</w:t>
      </w:r>
    </w:p>
    <w:p w:rsidR="00127446" w:rsidRPr="00D11DCA" w:rsidRDefault="00127446" w:rsidP="00127446">
      <w:pPr>
        <w:numPr>
          <w:ilvl w:val="0"/>
          <w:numId w:val="4"/>
        </w:numPr>
        <w:spacing w:after="240" w:line="276" w:lineRule="auto"/>
        <w:ind w:left="426" w:hanging="426"/>
        <w:rPr>
          <w:rFonts w:eastAsiaTheme="minorHAnsi" w:cstheme="minorBidi"/>
          <w:szCs w:val="22"/>
          <w:lang w:eastAsia="en-US"/>
        </w:rPr>
      </w:pPr>
      <w:proofErr w:type="gramStart"/>
      <w:r w:rsidRPr="00D11DCA">
        <w:rPr>
          <w:rFonts w:eastAsiaTheme="minorHAnsi" w:cstheme="minorBidi"/>
          <w:szCs w:val="22"/>
          <w:lang w:eastAsia="en-US"/>
        </w:rPr>
        <w:t>public</w:t>
      </w:r>
      <w:proofErr w:type="gramEnd"/>
      <w:r w:rsidRPr="00D11DCA">
        <w:rPr>
          <w:rFonts w:eastAsiaTheme="minorHAnsi" w:cstheme="minorBidi"/>
          <w:szCs w:val="22"/>
          <w:lang w:eastAsia="en-US"/>
        </w:rPr>
        <w:t xml:space="preserve"> engagement and consultation.</w:t>
      </w:r>
    </w:p>
    <w:p w:rsidR="00127446" w:rsidRPr="00D11DCA" w:rsidRDefault="00127446" w:rsidP="00127446">
      <w:pPr>
        <w:spacing w:after="200" w:line="276" w:lineRule="auto"/>
        <w:rPr>
          <w:rFonts w:eastAsiaTheme="minorHAnsi" w:cstheme="minorBidi"/>
          <w:szCs w:val="22"/>
          <w:lang w:eastAsia="en-US"/>
        </w:rPr>
      </w:pPr>
      <w:r w:rsidRPr="00D11DCA">
        <w:rPr>
          <w:rFonts w:eastAsiaTheme="minorHAnsi" w:cstheme="minorBidi"/>
          <w:szCs w:val="22"/>
          <w:lang w:eastAsia="en-US"/>
        </w:rPr>
        <w:t>A new advisory group to the Ministry on palliative care is being established to replace the Palliative Care Council. This advisory gr</w:t>
      </w:r>
      <w:r>
        <w:rPr>
          <w:rFonts w:eastAsiaTheme="minorHAnsi" w:cstheme="minorBidi"/>
          <w:szCs w:val="22"/>
          <w:lang w:eastAsia="en-US"/>
        </w:rPr>
        <w:t>oup will provide advice to the R</w:t>
      </w:r>
      <w:r w:rsidRPr="00D11DCA">
        <w:rPr>
          <w:rFonts w:eastAsiaTheme="minorHAnsi" w:cstheme="minorBidi"/>
          <w:szCs w:val="22"/>
          <w:lang w:eastAsia="en-US"/>
        </w:rPr>
        <w:t xml:space="preserve">eview. </w:t>
      </w:r>
    </w:p>
    <w:p w:rsidR="00127446" w:rsidRPr="00D11DCA" w:rsidRDefault="00127446" w:rsidP="00127446">
      <w:pPr>
        <w:spacing w:after="200" w:line="276" w:lineRule="auto"/>
        <w:rPr>
          <w:rFonts w:eastAsiaTheme="minorHAnsi" w:cstheme="minorBidi"/>
          <w:szCs w:val="22"/>
          <w:lang w:eastAsia="en-US"/>
        </w:rPr>
      </w:pPr>
      <w:r w:rsidRPr="00D11DCA">
        <w:rPr>
          <w:rFonts w:eastAsiaTheme="minorHAnsi" w:cstheme="minorBidi"/>
          <w:szCs w:val="22"/>
          <w:lang w:eastAsia="en-US"/>
        </w:rPr>
        <w:lastRenderedPageBreak/>
        <w:t xml:space="preserve">The Ministry will seek the views of </w:t>
      </w:r>
      <w:r>
        <w:rPr>
          <w:rFonts w:eastAsiaTheme="minorHAnsi" w:cstheme="minorBidi"/>
          <w:szCs w:val="22"/>
          <w:lang w:eastAsia="en-US"/>
        </w:rPr>
        <w:t>service users</w:t>
      </w:r>
      <w:r w:rsidRPr="00D11DCA">
        <w:rPr>
          <w:rFonts w:eastAsiaTheme="minorHAnsi" w:cstheme="minorBidi"/>
          <w:szCs w:val="22"/>
          <w:lang w:eastAsia="en-US"/>
        </w:rPr>
        <w:t>, and may form additional advisory groups in targeted areas, or to represent particular stakeholders, as required.</w:t>
      </w:r>
    </w:p>
    <w:p w:rsidR="00127446" w:rsidRDefault="00127446" w:rsidP="00127446">
      <w:pPr>
        <w:spacing w:after="60" w:line="276" w:lineRule="auto"/>
        <w:rPr>
          <w:rFonts w:eastAsiaTheme="minorHAnsi" w:cstheme="minorBidi"/>
          <w:szCs w:val="22"/>
          <w:lang w:eastAsia="en-US"/>
        </w:rPr>
      </w:pPr>
      <w:r w:rsidRPr="00D11DCA">
        <w:rPr>
          <w:rFonts w:eastAsiaTheme="minorHAnsi" w:cstheme="minorBidi"/>
          <w:szCs w:val="22"/>
          <w:lang w:eastAsia="en-US"/>
        </w:rPr>
        <w:t xml:space="preserve">The </w:t>
      </w:r>
      <w:r>
        <w:rPr>
          <w:rFonts w:eastAsiaTheme="minorHAnsi" w:cstheme="minorBidi"/>
          <w:szCs w:val="22"/>
          <w:lang w:eastAsia="en-US"/>
        </w:rPr>
        <w:t xml:space="preserve">health </w:t>
      </w:r>
      <w:r w:rsidRPr="00D11DCA">
        <w:rPr>
          <w:rFonts w:eastAsiaTheme="minorHAnsi" w:cstheme="minorBidi"/>
          <w:szCs w:val="22"/>
          <w:lang w:eastAsia="en-US"/>
        </w:rPr>
        <w:t xml:space="preserve">sector </w:t>
      </w:r>
      <w:r>
        <w:rPr>
          <w:rFonts w:eastAsiaTheme="minorHAnsi" w:cstheme="minorBidi"/>
          <w:szCs w:val="22"/>
          <w:lang w:eastAsia="en-US"/>
        </w:rPr>
        <w:t>will</w:t>
      </w:r>
      <w:r w:rsidRPr="00D11DCA">
        <w:rPr>
          <w:rFonts w:eastAsiaTheme="minorHAnsi" w:cstheme="minorBidi"/>
          <w:szCs w:val="22"/>
          <w:lang w:eastAsia="en-US"/>
        </w:rPr>
        <w:t xml:space="preserve"> expect a h</w:t>
      </w:r>
      <w:r>
        <w:rPr>
          <w:rFonts w:eastAsiaTheme="minorHAnsi" w:cstheme="minorBidi"/>
          <w:szCs w:val="22"/>
          <w:lang w:eastAsia="en-US"/>
        </w:rPr>
        <w:t>igh level of engagement in the R</w:t>
      </w:r>
      <w:r w:rsidRPr="00D11DCA">
        <w:rPr>
          <w:rFonts w:eastAsiaTheme="minorHAnsi" w:cstheme="minorBidi"/>
          <w:szCs w:val="22"/>
          <w:lang w:eastAsia="en-US"/>
        </w:rPr>
        <w:t xml:space="preserve">eview, and there is strong public interest in end-of-life care. As far as </w:t>
      </w:r>
      <w:r>
        <w:rPr>
          <w:rFonts w:eastAsiaTheme="minorHAnsi" w:cstheme="minorBidi"/>
          <w:szCs w:val="22"/>
          <w:lang w:eastAsia="en-US"/>
        </w:rPr>
        <w:t>is practicable,</w:t>
      </w:r>
      <w:r w:rsidRPr="00D11DCA">
        <w:rPr>
          <w:rFonts w:eastAsiaTheme="minorHAnsi" w:cstheme="minorBidi"/>
          <w:szCs w:val="22"/>
          <w:lang w:eastAsia="en-US"/>
        </w:rPr>
        <w:t xml:space="preserve"> and within the constraints of the Ministry’s a</w:t>
      </w:r>
      <w:r>
        <w:rPr>
          <w:rFonts w:eastAsiaTheme="minorHAnsi" w:cstheme="minorBidi"/>
          <w:szCs w:val="22"/>
          <w:lang w:eastAsia="en-US"/>
        </w:rPr>
        <w:t>dvisory role to Ministers, the R</w:t>
      </w:r>
      <w:r w:rsidRPr="00D11DCA">
        <w:rPr>
          <w:rFonts w:eastAsiaTheme="minorHAnsi" w:cstheme="minorBidi"/>
          <w:szCs w:val="22"/>
          <w:lang w:eastAsia="en-US"/>
        </w:rPr>
        <w:t>eview will:</w:t>
      </w:r>
    </w:p>
    <w:p w:rsidR="00127446" w:rsidRPr="00421C17" w:rsidRDefault="00127446" w:rsidP="00127446">
      <w:pPr>
        <w:pStyle w:val="ListParagraph"/>
        <w:numPr>
          <w:ilvl w:val="0"/>
          <w:numId w:val="8"/>
        </w:numPr>
        <w:spacing w:after="80" w:line="276" w:lineRule="auto"/>
        <w:ind w:left="426" w:hanging="426"/>
        <w:rPr>
          <w:rFonts w:eastAsiaTheme="minorHAnsi" w:cstheme="minorBidi"/>
          <w:szCs w:val="22"/>
          <w:lang w:eastAsia="en-US"/>
        </w:rPr>
      </w:pPr>
      <w:r w:rsidRPr="00421C17">
        <w:rPr>
          <w:rFonts w:eastAsiaTheme="minorHAnsi" w:cstheme="minorBidi"/>
          <w:szCs w:val="22"/>
          <w:lang w:eastAsia="en-US"/>
        </w:rPr>
        <w:t xml:space="preserve">work closely with district health boards as the Crown agencies </w:t>
      </w:r>
      <w:r>
        <w:rPr>
          <w:rFonts w:eastAsiaTheme="minorHAnsi" w:cstheme="minorBidi"/>
          <w:szCs w:val="22"/>
          <w:lang w:eastAsia="en-US"/>
        </w:rPr>
        <w:t>with statutory responsibility</w:t>
      </w:r>
      <w:r w:rsidRPr="00421C17">
        <w:rPr>
          <w:rFonts w:eastAsiaTheme="minorHAnsi" w:cstheme="minorBidi"/>
          <w:szCs w:val="22"/>
          <w:lang w:eastAsia="en-US"/>
        </w:rPr>
        <w:t xml:space="preserve"> for planning and purchasing h</w:t>
      </w:r>
      <w:r>
        <w:rPr>
          <w:rFonts w:eastAsiaTheme="minorHAnsi" w:cstheme="minorBidi"/>
          <w:szCs w:val="22"/>
          <w:lang w:eastAsia="en-US"/>
        </w:rPr>
        <w:t>ealth services for their region</w:t>
      </w:r>
    </w:p>
    <w:p w:rsidR="00127446" w:rsidRPr="00D11DCA" w:rsidRDefault="00127446" w:rsidP="00127446">
      <w:pPr>
        <w:numPr>
          <w:ilvl w:val="0"/>
          <w:numId w:val="7"/>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demonstrate and foster the</w:t>
      </w:r>
      <w:r>
        <w:rPr>
          <w:rFonts w:eastAsiaTheme="minorHAnsi" w:cstheme="minorBidi"/>
          <w:szCs w:val="22"/>
          <w:lang w:eastAsia="en-US"/>
        </w:rPr>
        <w:t xml:space="preserve"> open,</w:t>
      </w:r>
      <w:r w:rsidRPr="00D11DCA">
        <w:rPr>
          <w:rFonts w:eastAsiaTheme="minorHAnsi" w:cstheme="minorBidi"/>
          <w:szCs w:val="22"/>
          <w:lang w:eastAsia="en-US"/>
        </w:rPr>
        <w:t xml:space="preserve"> collaborative relationships that are necessary for successful integrated services between multiple and different organisations</w:t>
      </w:r>
    </w:p>
    <w:p w:rsidR="00127446" w:rsidRPr="00D11DCA" w:rsidRDefault="00127446" w:rsidP="00127446">
      <w:pPr>
        <w:numPr>
          <w:ilvl w:val="0"/>
          <w:numId w:val="7"/>
        </w:numPr>
        <w:spacing w:after="80" w:line="276" w:lineRule="auto"/>
        <w:ind w:left="426" w:hanging="426"/>
        <w:rPr>
          <w:rFonts w:eastAsiaTheme="minorHAnsi" w:cstheme="minorBidi"/>
          <w:szCs w:val="22"/>
          <w:lang w:eastAsia="en-US"/>
        </w:rPr>
      </w:pPr>
      <w:proofErr w:type="gramStart"/>
      <w:r w:rsidRPr="00D11DCA">
        <w:rPr>
          <w:rFonts w:eastAsiaTheme="minorHAnsi" w:cstheme="minorBidi"/>
          <w:szCs w:val="22"/>
          <w:lang w:eastAsia="en-US"/>
        </w:rPr>
        <w:t>provide</w:t>
      </w:r>
      <w:proofErr w:type="gramEnd"/>
      <w:r w:rsidRPr="00D11DCA">
        <w:rPr>
          <w:rFonts w:eastAsiaTheme="minorHAnsi" w:cstheme="minorBidi"/>
          <w:szCs w:val="22"/>
          <w:lang w:eastAsia="en-US"/>
        </w:rPr>
        <w:t xml:space="preserve"> open and r</w:t>
      </w:r>
      <w:r>
        <w:rPr>
          <w:rFonts w:eastAsiaTheme="minorHAnsi" w:cstheme="minorBidi"/>
          <w:szCs w:val="22"/>
          <w:lang w:eastAsia="en-US"/>
        </w:rPr>
        <w:t>egular communication about the R</w:t>
      </w:r>
      <w:r w:rsidRPr="00D11DCA">
        <w:rPr>
          <w:rFonts w:eastAsiaTheme="minorHAnsi" w:cstheme="minorBidi"/>
          <w:szCs w:val="22"/>
          <w:lang w:eastAsia="en-US"/>
        </w:rPr>
        <w:t xml:space="preserve">eview to the sector and public. </w:t>
      </w:r>
    </w:p>
    <w:p w:rsidR="00127446" w:rsidRPr="00D11DCA" w:rsidRDefault="00127446" w:rsidP="00127446">
      <w:pPr>
        <w:keepNext/>
        <w:spacing w:before="360" w:after="120"/>
        <w:outlineLvl w:val="2"/>
        <w:rPr>
          <w:rFonts w:ascii="Georgia" w:eastAsiaTheme="majorEastAsia" w:hAnsi="Georgia" w:cstheme="majorBidi"/>
          <w:b/>
          <w:bCs/>
        </w:rPr>
      </w:pPr>
      <w:r w:rsidRPr="00D11DCA">
        <w:rPr>
          <w:rFonts w:ascii="Georgia" w:eastAsiaTheme="majorEastAsia" w:hAnsi="Georgia" w:cstheme="majorBidi"/>
          <w:b/>
          <w:bCs/>
        </w:rPr>
        <w:t>Review deliverables</w:t>
      </w:r>
    </w:p>
    <w:p w:rsidR="00127446" w:rsidRPr="00D11DCA" w:rsidRDefault="00127446" w:rsidP="00127446">
      <w:pPr>
        <w:spacing w:after="200" w:line="276" w:lineRule="auto"/>
        <w:rPr>
          <w:rFonts w:eastAsiaTheme="minorHAnsi" w:cstheme="minorBidi"/>
          <w:szCs w:val="22"/>
          <w:lang w:eastAsia="en-US"/>
        </w:rPr>
      </w:pPr>
      <w:r w:rsidRPr="00D11DCA">
        <w:rPr>
          <w:rFonts w:eastAsiaTheme="minorHAnsi" w:cstheme="minorBidi"/>
          <w:szCs w:val="22"/>
          <w:lang w:eastAsia="en-US"/>
        </w:rPr>
        <w:t>The Minis</w:t>
      </w:r>
      <w:r>
        <w:rPr>
          <w:rFonts w:eastAsiaTheme="minorHAnsi" w:cstheme="minorBidi"/>
          <w:szCs w:val="22"/>
          <w:lang w:eastAsia="en-US"/>
        </w:rPr>
        <w:t>try will report to the Minister</w:t>
      </w:r>
      <w:r w:rsidRPr="00D11DCA">
        <w:rPr>
          <w:rFonts w:eastAsiaTheme="minorHAnsi" w:cstheme="minorBidi"/>
          <w:szCs w:val="22"/>
          <w:lang w:eastAsia="en-US"/>
        </w:rPr>
        <w:t xml:space="preserve"> of Health with the following deliverables:</w:t>
      </w:r>
    </w:p>
    <w:p w:rsidR="00127446" w:rsidRPr="00D11DCA" w:rsidRDefault="00127446" w:rsidP="00127446">
      <w:pPr>
        <w:numPr>
          <w:ilvl w:val="0"/>
          <w:numId w:val="5"/>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An i</w:t>
      </w:r>
      <w:r w:rsidR="003368B4">
        <w:rPr>
          <w:rFonts w:eastAsiaTheme="minorHAnsi" w:cstheme="minorBidi"/>
          <w:szCs w:val="22"/>
          <w:lang w:eastAsia="en-US"/>
        </w:rPr>
        <w:t>nterim report by 30 April 2016</w:t>
      </w:r>
    </w:p>
    <w:p w:rsidR="00127446" w:rsidRPr="00D11DCA" w:rsidRDefault="00127446" w:rsidP="00127446">
      <w:pPr>
        <w:numPr>
          <w:ilvl w:val="0"/>
          <w:numId w:val="5"/>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A fin</w:t>
      </w:r>
      <w:r w:rsidR="003368B4">
        <w:rPr>
          <w:rFonts w:eastAsiaTheme="minorHAnsi" w:cstheme="minorBidi"/>
          <w:szCs w:val="22"/>
          <w:lang w:eastAsia="en-US"/>
        </w:rPr>
        <w:t>al report by 30 September 2016.</w:t>
      </w:r>
    </w:p>
    <w:p w:rsidR="00127446" w:rsidRPr="00D11DCA" w:rsidRDefault="00127446" w:rsidP="00127446">
      <w:pPr>
        <w:keepNext/>
        <w:spacing w:before="360" w:after="120"/>
        <w:outlineLvl w:val="2"/>
        <w:rPr>
          <w:rFonts w:ascii="Georgia" w:eastAsiaTheme="majorEastAsia" w:hAnsi="Georgia" w:cstheme="majorBidi"/>
          <w:b/>
          <w:bCs/>
        </w:rPr>
      </w:pPr>
      <w:r w:rsidRPr="00D11DCA">
        <w:rPr>
          <w:rFonts w:ascii="Georgia" w:eastAsiaTheme="majorEastAsia" w:hAnsi="Georgia" w:cstheme="majorBidi"/>
          <w:b/>
          <w:bCs/>
        </w:rPr>
        <w:t>Related work</w:t>
      </w:r>
    </w:p>
    <w:p w:rsidR="00127446" w:rsidRPr="00D11DCA" w:rsidRDefault="00127446" w:rsidP="00127446">
      <w:pPr>
        <w:spacing w:after="80" w:line="276" w:lineRule="auto"/>
        <w:rPr>
          <w:rFonts w:eastAsiaTheme="minorHAnsi" w:cstheme="minorBidi"/>
          <w:szCs w:val="22"/>
          <w:lang w:eastAsia="en-US"/>
        </w:rPr>
      </w:pPr>
      <w:r w:rsidRPr="00D11DCA">
        <w:rPr>
          <w:rFonts w:eastAsiaTheme="minorHAnsi" w:cstheme="minorBidi"/>
          <w:szCs w:val="22"/>
          <w:lang w:eastAsia="en-US"/>
        </w:rPr>
        <w:t xml:space="preserve">Other work underway will be relevant to </w:t>
      </w:r>
      <w:r>
        <w:rPr>
          <w:rFonts w:eastAsiaTheme="minorHAnsi" w:cstheme="minorBidi"/>
          <w:szCs w:val="22"/>
          <w:lang w:eastAsia="en-US"/>
        </w:rPr>
        <w:t>the R</w:t>
      </w:r>
      <w:r w:rsidRPr="00D11DCA">
        <w:rPr>
          <w:rFonts w:eastAsiaTheme="minorHAnsi" w:cstheme="minorBidi"/>
          <w:szCs w:val="22"/>
          <w:lang w:eastAsia="en-US"/>
        </w:rPr>
        <w:t>eview, and may provide opportunities to leverage existing processes. This includes:</w:t>
      </w:r>
    </w:p>
    <w:p w:rsidR="00127446" w:rsidRPr="00D11DCA" w:rsidRDefault="00127446" w:rsidP="00127446">
      <w:pPr>
        <w:numPr>
          <w:ilvl w:val="0"/>
          <w:numId w:val="6"/>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work currently und</w:t>
      </w:r>
      <w:r>
        <w:rPr>
          <w:rFonts w:eastAsiaTheme="minorHAnsi" w:cstheme="minorBidi"/>
          <w:szCs w:val="22"/>
          <w:lang w:eastAsia="en-US"/>
        </w:rPr>
        <w:t>erway between the Ministry, district health boards</w:t>
      </w:r>
      <w:r w:rsidRPr="00D11DCA">
        <w:rPr>
          <w:rFonts w:eastAsiaTheme="minorHAnsi" w:cstheme="minorBidi"/>
          <w:szCs w:val="22"/>
          <w:lang w:eastAsia="en-US"/>
        </w:rPr>
        <w:t>, and Hospice New Zealand to roll out the new Budget 2015 funding</w:t>
      </w:r>
    </w:p>
    <w:p w:rsidR="00127446" w:rsidRPr="00D11DCA" w:rsidRDefault="00127446" w:rsidP="00127446">
      <w:pPr>
        <w:numPr>
          <w:ilvl w:val="0"/>
          <w:numId w:val="6"/>
        </w:numPr>
        <w:spacing w:after="80" w:line="276" w:lineRule="auto"/>
        <w:ind w:left="426" w:hanging="426"/>
        <w:rPr>
          <w:rFonts w:eastAsiaTheme="minorHAnsi" w:cstheme="minorBidi"/>
          <w:szCs w:val="22"/>
          <w:lang w:eastAsia="en-US"/>
        </w:rPr>
      </w:pPr>
      <w:r>
        <w:rPr>
          <w:rFonts w:eastAsiaTheme="minorHAnsi" w:cstheme="minorBidi"/>
          <w:szCs w:val="22"/>
          <w:lang w:eastAsia="en-US"/>
        </w:rPr>
        <w:t>finalising the</w:t>
      </w:r>
      <w:r w:rsidRPr="00D11DCA">
        <w:rPr>
          <w:rFonts w:eastAsiaTheme="minorHAnsi" w:cstheme="minorBidi"/>
          <w:szCs w:val="22"/>
          <w:lang w:eastAsia="en-US"/>
        </w:rPr>
        <w:t xml:space="preserve"> </w:t>
      </w:r>
      <w:r w:rsidRPr="006F1FD1">
        <w:rPr>
          <w:rFonts w:eastAsiaTheme="minorHAnsi" w:cstheme="minorBidi"/>
          <w:i/>
          <w:szCs w:val="22"/>
          <w:lang w:eastAsia="en-US"/>
        </w:rPr>
        <w:t>Palliative Care Needs Assessment</w:t>
      </w:r>
      <w:r w:rsidRPr="00D11DCA">
        <w:rPr>
          <w:rFonts w:eastAsiaTheme="minorHAnsi" w:cstheme="minorBidi"/>
          <w:szCs w:val="22"/>
          <w:lang w:eastAsia="en-US"/>
        </w:rPr>
        <w:t>, developed by the former New Zealand Palliative Care Council</w:t>
      </w:r>
    </w:p>
    <w:p w:rsidR="00127446" w:rsidRPr="00D11DCA" w:rsidRDefault="00127446" w:rsidP="00127446">
      <w:pPr>
        <w:numPr>
          <w:ilvl w:val="0"/>
          <w:numId w:val="6"/>
        </w:numPr>
        <w:spacing w:after="80" w:line="276" w:lineRule="auto"/>
        <w:ind w:left="426" w:hanging="426"/>
        <w:rPr>
          <w:rFonts w:eastAsiaTheme="minorHAnsi" w:cstheme="minorBidi"/>
          <w:szCs w:val="22"/>
          <w:lang w:eastAsia="en-US"/>
        </w:rPr>
      </w:pPr>
      <w:r>
        <w:rPr>
          <w:rFonts w:eastAsiaTheme="minorHAnsi" w:cstheme="minorBidi"/>
          <w:szCs w:val="22"/>
          <w:lang w:eastAsia="en-US"/>
        </w:rPr>
        <w:t>finalising</w:t>
      </w:r>
      <w:r w:rsidRPr="00D11DCA">
        <w:rPr>
          <w:rFonts w:eastAsiaTheme="minorHAnsi" w:cstheme="minorBidi"/>
          <w:szCs w:val="22"/>
          <w:lang w:eastAsia="en-US"/>
        </w:rPr>
        <w:t xml:space="preserve"> the </w:t>
      </w:r>
      <w:r w:rsidRPr="006F1FD1">
        <w:rPr>
          <w:rFonts w:eastAsiaTheme="minorHAnsi" w:cstheme="minorBidi"/>
          <w:i/>
          <w:szCs w:val="22"/>
          <w:lang w:eastAsia="en-US"/>
        </w:rPr>
        <w:t>Palliative Care Glossary</w:t>
      </w:r>
      <w:r w:rsidRPr="00D11DCA">
        <w:rPr>
          <w:rFonts w:eastAsiaTheme="minorHAnsi" w:cstheme="minorBidi"/>
          <w:szCs w:val="22"/>
          <w:lang w:eastAsia="en-US"/>
        </w:rPr>
        <w:t>, developed by the former New Zealand Palliative Care Council</w:t>
      </w:r>
    </w:p>
    <w:p w:rsidR="00127446" w:rsidRPr="00D11DCA" w:rsidRDefault="00127446" w:rsidP="00127446">
      <w:pPr>
        <w:numPr>
          <w:ilvl w:val="0"/>
          <w:numId w:val="6"/>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 xml:space="preserve">implementation of the </w:t>
      </w:r>
      <w:r w:rsidRPr="00D11DCA">
        <w:rPr>
          <w:rFonts w:eastAsiaTheme="minorHAnsi" w:cstheme="minorBidi"/>
          <w:i/>
          <w:szCs w:val="22"/>
          <w:lang w:eastAsia="en-US"/>
        </w:rPr>
        <w:t>Resource and Capability Framework for Integrated Adult Palliative Care Services</w:t>
      </w:r>
      <w:r w:rsidRPr="00D11DCA">
        <w:rPr>
          <w:rFonts w:eastAsiaTheme="minorHAnsi" w:cstheme="minorBidi"/>
          <w:szCs w:val="22"/>
          <w:lang w:eastAsia="en-US"/>
        </w:rPr>
        <w:t xml:space="preserve"> (2013)</w:t>
      </w:r>
    </w:p>
    <w:p w:rsidR="00127446" w:rsidRPr="00D11DCA" w:rsidRDefault="00127446" w:rsidP="00127446">
      <w:pPr>
        <w:numPr>
          <w:ilvl w:val="0"/>
          <w:numId w:val="6"/>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implementation of national guidance on end-of-life care, developed by the former New Zealand Palliative Care Council</w:t>
      </w:r>
    </w:p>
    <w:p w:rsidR="00127446" w:rsidRPr="00D11DCA" w:rsidRDefault="00127446" w:rsidP="00127446">
      <w:pPr>
        <w:numPr>
          <w:ilvl w:val="0"/>
          <w:numId w:val="6"/>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quality improvement projects led by Hospice New Zealand</w:t>
      </w:r>
    </w:p>
    <w:p w:rsidR="00127446" w:rsidRPr="00D11DCA" w:rsidRDefault="00127446" w:rsidP="00127446">
      <w:pPr>
        <w:numPr>
          <w:ilvl w:val="0"/>
          <w:numId w:val="6"/>
        </w:numPr>
        <w:spacing w:after="80" w:line="276" w:lineRule="auto"/>
        <w:ind w:left="426" w:hanging="426"/>
        <w:rPr>
          <w:rFonts w:eastAsiaTheme="minorHAnsi" w:cstheme="minorBidi"/>
          <w:szCs w:val="22"/>
          <w:lang w:eastAsia="en-US"/>
        </w:rPr>
      </w:pPr>
      <w:r w:rsidRPr="00D11DCA">
        <w:rPr>
          <w:rFonts w:eastAsiaTheme="minorHAnsi" w:cstheme="minorBidi"/>
          <w:szCs w:val="22"/>
          <w:lang w:eastAsia="en-US"/>
        </w:rPr>
        <w:t>a pilot of a managed clinical network for palliative care in the lower North Island, led by Health Workforce New Zealand</w:t>
      </w:r>
    </w:p>
    <w:p w:rsidR="00127446" w:rsidRPr="00D11DCA" w:rsidRDefault="00127446" w:rsidP="00127446">
      <w:pPr>
        <w:numPr>
          <w:ilvl w:val="0"/>
          <w:numId w:val="6"/>
        </w:numPr>
        <w:spacing w:after="200" w:line="276" w:lineRule="auto"/>
        <w:ind w:left="426" w:hanging="426"/>
        <w:rPr>
          <w:rFonts w:eastAsiaTheme="minorHAnsi" w:cstheme="minorBidi"/>
          <w:szCs w:val="22"/>
          <w:lang w:eastAsia="en-US"/>
        </w:rPr>
      </w:pPr>
      <w:proofErr w:type="gramStart"/>
      <w:r>
        <w:rPr>
          <w:rFonts w:eastAsiaTheme="minorHAnsi" w:cstheme="minorBidi"/>
          <w:szCs w:val="22"/>
          <w:lang w:eastAsia="en-US"/>
        </w:rPr>
        <w:t>the</w:t>
      </w:r>
      <w:proofErr w:type="gramEnd"/>
      <w:r>
        <w:rPr>
          <w:rFonts w:eastAsiaTheme="minorHAnsi" w:cstheme="minorBidi"/>
          <w:szCs w:val="22"/>
          <w:lang w:eastAsia="en-US"/>
        </w:rPr>
        <w:t xml:space="preserve"> </w:t>
      </w:r>
      <w:r w:rsidRPr="00D11DCA">
        <w:rPr>
          <w:rFonts w:eastAsiaTheme="minorHAnsi" w:cstheme="minorBidi"/>
          <w:szCs w:val="22"/>
          <w:lang w:eastAsia="en-US"/>
        </w:rPr>
        <w:t>refresh of the Health of Older People’s Strategy.</w:t>
      </w:r>
    </w:p>
    <w:p w:rsidR="00127446" w:rsidRPr="00D11DCA" w:rsidRDefault="00127446" w:rsidP="00127446">
      <w:pPr>
        <w:spacing w:after="200" w:line="276" w:lineRule="auto"/>
        <w:rPr>
          <w:rFonts w:eastAsiaTheme="minorHAnsi" w:cstheme="minorBidi"/>
          <w:szCs w:val="22"/>
          <w:lang w:eastAsia="en-US"/>
        </w:rPr>
      </w:pPr>
      <w:r w:rsidRPr="00D11DCA">
        <w:rPr>
          <w:rFonts w:eastAsiaTheme="minorHAnsi" w:cstheme="minorBidi"/>
          <w:szCs w:val="22"/>
          <w:lang w:eastAsia="en-US"/>
        </w:rPr>
        <w:t>The Ministry will liaise with the Treasury and</w:t>
      </w:r>
      <w:r>
        <w:rPr>
          <w:rFonts w:eastAsiaTheme="minorHAnsi" w:cstheme="minorBidi"/>
          <w:szCs w:val="22"/>
          <w:lang w:eastAsia="en-US"/>
        </w:rPr>
        <w:t xml:space="preserve"> the</w:t>
      </w:r>
      <w:r w:rsidRPr="00D11DCA">
        <w:rPr>
          <w:rFonts w:eastAsiaTheme="minorHAnsi" w:cstheme="minorBidi"/>
          <w:szCs w:val="22"/>
          <w:lang w:eastAsia="en-US"/>
        </w:rPr>
        <w:t xml:space="preserve"> Ministry of Social Dev</w:t>
      </w:r>
      <w:r>
        <w:rPr>
          <w:rFonts w:eastAsiaTheme="minorHAnsi" w:cstheme="minorBidi"/>
          <w:szCs w:val="22"/>
          <w:lang w:eastAsia="en-US"/>
        </w:rPr>
        <w:t>elopment on the content of the Review and ensure the R</w:t>
      </w:r>
      <w:r w:rsidRPr="00D11DCA">
        <w:rPr>
          <w:rFonts w:eastAsiaTheme="minorHAnsi" w:cstheme="minorBidi"/>
          <w:szCs w:val="22"/>
          <w:lang w:eastAsia="en-US"/>
        </w:rPr>
        <w:t xml:space="preserve">eview’s processes and findings </w:t>
      </w:r>
      <w:r>
        <w:rPr>
          <w:rFonts w:eastAsiaTheme="minorHAnsi" w:cstheme="minorBidi"/>
          <w:szCs w:val="22"/>
          <w:lang w:eastAsia="en-US"/>
        </w:rPr>
        <w:t>are well aligned across</w:t>
      </w:r>
      <w:r w:rsidRPr="00D11DCA">
        <w:rPr>
          <w:rFonts w:eastAsiaTheme="minorHAnsi" w:cstheme="minorBidi"/>
          <w:szCs w:val="22"/>
          <w:lang w:eastAsia="en-US"/>
        </w:rPr>
        <w:t xml:space="preserve"> Government.</w:t>
      </w:r>
    </w:p>
    <w:p w:rsidR="00127446" w:rsidRPr="00B50932" w:rsidRDefault="00127446" w:rsidP="00127446"/>
    <w:p w:rsidR="009866FE" w:rsidRDefault="009866FE"/>
    <w:sectPr w:rsidR="009866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F5" w:rsidRDefault="001B4FF5" w:rsidP="00127446">
      <w:r>
        <w:separator/>
      </w:r>
    </w:p>
  </w:endnote>
  <w:endnote w:type="continuationSeparator" w:id="0">
    <w:p w:rsidR="001B4FF5" w:rsidRDefault="001B4FF5" w:rsidP="0012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D6" w:rsidRDefault="00AF1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446053"/>
      <w:docPartObj>
        <w:docPartGallery w:val="Page Numbers (Bottom of Page)"/>
        <w:docPartUnique/>
      </w:docPartObj>
    </w:sdtPr>
    <w:sdtEndPr>
      <w:rPr>
        <w:noProof/>
      </w:rPr>
    </w:sdtEndPr>
    <w:sdtContent>
      <w:p w:rsidR="00127446" w:rsidRDefault="00127446">
        <w:pPr>
          <w:pStyle w:val="Footer"/>
          <w:jc w:val="right"/>
        </w:pPr>
        <w:r>
          <w:fldChar w:fldCharType="begin"/>
        </w:r>
        <w:r>
          <w:instrText xml:space="preserve"> PAGE   \* MERGEFORMAT </w:instrText>
        </w:r>
        <w:r>
          <w:fldChar w:fldCharType="separate"/>
        </w:r>
        <w:r w:rsidR="00F11D0F">
          <w:rPr>
            <w:noProof/>
          </w:rPr>
          <w:t>1</w:t>
        </w:r>
        <w:r>
          <w:rPr>
            <w:noProof/>
          </w:rPr>
          <w:fldChar w:fldCharType="end"/>
        </w:r>
      </w:p>
    </w:sdtContent>
  </w:sdt>
  <w:p w:rsidR="00A31B1A" w:rsidRPr="00A31B1A" w:rsidRDefault="00A31B1A">
    <w:pPr>
      <w:pStyle w:val="Footer"/>
      <w:rPr>
        <w:sz w:val="16"/>
        <w:szCs w:val="16"/>
      </w:rPr>
    </w:pPr>
    <w:r w:rsidRPr="00A31B1A">
      <w:rPr>
        <w:sz w:val="16"/>
        <w:szCs w:val="16"/>
      </w:rPr>
      <w:t>Final terms of reference</w:t>
    </w:r>
    <w:r w:rsidR="00AF19D6">
      <w:rPr>
        <w:sz w:val="16"/>
        <w:szCs w:val="16"/>
      </w:rPr>
      <w:t xml:space="preserve"> 20</w:t>
    </w:r>
    <w:r>
      <w:rPr>
        <w:sz w:val="16"/>
        <w:szCs w:val="16"/>
      </w:rPr>
      <w:t xml:space="preserve"> August 2015 (HR20151259)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D6" w:rsidRDefault="00AF1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F5" w:rsidRDefault="001B4FF5" w:rsidP="00127446">
      <w:r>
        <w:separator/>
      </w:r>
    </w:p>
  </w:footnote>
  <w:footnote w:type="continuationSeparator" w:id="0">
    <w:p w:rsidR="001B4FF5" w:rsidRDefault="001B4FF5" w:rsidP="00127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D6" w:rsidRDefault="00AF1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D6" w:rsidRDefault="00AF1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D6" w:rsidRDefault="00AF1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22C"/>
    <w:multiLevelType w:val="hybridMultilevel"/>
    <w:tmpl w:val="E4EE1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D1D5D7B"/>
    <w:multiLevelType w:val="hybridMultilevel"/>
    <w:tmpl w:val="19DC8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D6F3A56"/>
    <w:multiLevelType w:val="hybridMultilevel"/>
    <w:tmpl w:val="82DE1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6242655"/>
    <w:multiLevelType w:val="hybridMultilevel"/>
    <w:tmpl w:val="A5066C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80B6F22"/>
    <w:multiLevelType w:val="hybridMultilevel"/>
    <w:tmpl w:val="93C46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4C360DA"/>
    <w:multiLevelType w:val="hybridMultilevel"/>
    <w:tmpl w:val="93747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BD81435"/>
    <w:multiLevelType w:val="hybridMultilevel"/>
    <w:tmpl w:val="B73E7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BD0300D"/>
    <w:multiLevelType w:val="hybridMultilevel"/>
    <w:tmpl w:val="3E000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46"/>
    <w:rsid w:val="00127446"/>
    <w:rsid w:val="001A2BA8"/>
    <w:rsid w:val="001B4FF5"/>
    <w:rsid w:val="002E1CF3"/>
    <w:rsid w:val="002F4DAC"/>
    <w:rsid w:val="003368B4"/>
    <w:rsid w:val="004353BD"/>
    <w:rsid w:val="00460FDC"/>
    <w:rsid w:val="00467E1A"/>
    <w:rsid w:val="007E7084"/>
    <w:rsid w:val="00801CC0"/>
    <w:rsid w:val="008D2622"/>
    <w:rsid w:val="009138C8"/>
    <w:rsid w:val="00950139"/>
    <w:rsid w:val="009866FE"/>
    <w:rsid w:val="00A31B1A"/>
    <w:rsid w:val="00AA7E28"/>
    <w:rsid w:val="00AF19D6"/>
    <w:rsid w:val="00AF3065"/>
    <w:rsid w:val="00B02D09"/>
    <w:rsid w:val="00BB02A6"/>
    <w:rsid w:val="00C11163"/>
    <w:rsid w:val="00DC5714"/>
    <w:rsid w:val="00DD69A8"/>
    <w:rsid w:val="00F01834"/>
    <w:rsid w:val="00F11D0F"/>
    <w:rsid w:val="00F335EE"/>
    <w:rsid w:val="00F3694F"/>
    <w:rsid w:val="00F80682"/>
    <w:rsid w:val="00FB607E"/>
    <w:rsid w:val="00FD28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46"/>
    <w:pPr>
      <w:spacing w:after="0" w:line="240" w:lineRule="auto"/>
    </w:pPr>
    <w:rPr>
      <w:rFonts w:eastAsia="Times New Roman" w:cs="Times"/>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46"/>
    <w:rPr>
      <w:rFonts w:ascii="Tahoma" w:hAnsi="Tahoma" w:cs="Tahoma"/>
      <w:sz w:val="16"/>
      <w:szCs w:val="16"/>
    </w:rPr>
  </w:style>
  <w:style w:type="character" w:customStyle="1" w:styleId="BalloonTextChar">
    <w:name w:val="Balloon Text Char"/>
    <w:basedOn w:val="DefaultParagraphFont"/>
    <w:link w:val="BalloonText"/>
    <w:uiPriority w:val="99"/>
    <w:semiHidden/>
    <w:rsid w:val="00127446"/>
    <w:rPr>
      <w:rFonts w:ascii="Tahoma" w:hAnsi="Tahoma" w:cs="Tahoma"/>
      <w:sz w:val="16"/>
      <w:szCs w:val="16"/>
    </w:rPr>
  </w:style>
  <w:style w:type="paragraph" w:styleId="Header">
    <w:name w:val="header"/>
    <w:basedOn w:val="Normal"/>
    <w:link w:val="HeaderChar"/>
    <w:rsid w:val="00127446"/>
    <w:pPr>
      <w:tabs>
        <w:tab w:val="right" w:pos="9923"/>
      </w:tabs>
    </w:pPr>
  </w:style>
  <w:style w:type="character" w:customStyle="1" w:styleId="HeaderChar">
    <w:name w:val="Header Char"/>
    <w:basedOn w:val="DefaultParagraphFont"/>
    <w:link w:val="Header"/>
    <w:rsid w:val="00127446"/>
    <w:rPr>
      <w:rFonts w:eastAsia="Times New Roman" w:cs="Times"/>
      <w:sz w:val="22"/>
      <w:szCs w:val="24"/>
      <w:lang w:eastAsia="en-GB"/>
    </w:rPr>
  </w:style>
  <w:style w:type="paragraph" w:styleId="ListParagraph">
    <w:name w:val="List Paragraph"/>
    <w:basedOn w:val="Normal"/>
    <w:uiPriority w:val="34"/>
    <w:qFormat/>
    <w:rsid w:val="00127446"/>
    <w:pPr>
      <w:ind w:left="720"/>
      <w:contextualSpacing/>
    </w:pPr>
  </w:style>
  <w:style w:type="paragraph" w:styleId="Footer">
    <w:name w:val="footer"/>
    <w:basedOn w:val="Normal"/>
    <w:link w:val="FooterChar"/>
    <w:uiPriority w:val="99"/>
    <w:unhideWhenUsed/>
    <w:rsid w:val="00127446"/>
    <w:pPr>
      <w:tabs>
        <w:tab w:val="center" w:pos="4513"/>
        <w:tab w:val="right" w:pos="9026"/>
      </w:tabs>
    </w:pPr>
  </w:style>
  <w:style w:type="character" w:customStyle="1" w:styleId="FooterChar">
    <w:name w:val="Footer Char"/>
    <w:basedOn w:val="DefaultParagraphFont"/>
    <w:link w:val="Footer"/>
    <w:uiPriority w:val="99"/>
    <w:rsid w:val="00127446"/>
    <w:rPr>
      <w:rFonts w:eastAsia="Times New Roman" w:cs="Times"/>
      <w:sz w:val="2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46"/>
    <w:pPr>
      <w:spacing w:after="0" w:line="240" w:lineRule="auto"/>
    </w:pPr>
    <w:rPr>
      <w:rFonts w:eastAsia="Times New Roman" w:cs="Times"/>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446"/>
    <w:rPr>
      <w:rFonts w:ascii="Tahoma" w:hAnsi="Tahoma" w:cs="Tahoma"/>
      <w:sz w:val="16"/>
      <w:szCs w:val="16"/>
    </w:rPr>
  </w:style>
  <w:style w:type="character" w:customStyle="1" w:styleId="BalloonTextChar">
    <w:name w:val="Balloon Text Char"/>
    <w:basedOn w:val="DefaultParagraphFont"/>
    <w:link w:val="BalloonText"/>
    <w:uiPriority w:val="99"/>
    <w:semiHidden/>
    <w:rsid w:val="00127446"/>
    <w:rPr>
      <w:rFonts w:ascii="Tahoma" w:hAnsi="Tahoma" w:cs="Tahoma"/>
      <w:sz w:val="16"/>
      <w:szCs w:val="16"/>
    </w:rPr>
  </w:style>
  <w:style w:type="paragraph" w:styleId="Header">
    <w:name w:val="header"/>
    <w:basedOn w:val="Normal"/>
    <w:link w:val="HeaderChar"/>
    <w:rsid w:val="00127446"/>
    <w:pPr>
      <w:tabs>
        <w:tab w:val="right" w:pos="9923"/>
      </w:tabs>
    </w:pPr>
  </w:style>
  <w:style w:type="character" w:customStyle="1" w:styleId="HeaderChar">
    <w:name w:val="Header Char"/>
    <w:basedOn w:val="DefaultParagraphFont"/>
    <w:link w:val="Header"/>
    <w:rsid w:val="00127446"/>
    <w:rPr>
      <w:rFonts w:eastAsia="Times New Roman" w:cs="Times"/>
      <w:sz w:val="22"/>
      <w:szCs w:val="24"/>
      <w:lang w:eastAsia="en-GB"/>
    </w:rPr>
  </w:style>
  <w:style w:type="paragraph" w:styleId="ListParagraph">
    <w:name w:val="List Paragraph"/>
    <w:basedOn w:val="Normal"/>
    <w:uiPriority w:val="34"/>
    <w:qFormat/>
    <w:rsid w:val="00127446"/>
    <w:pPr>
      <w:ind w:left="720"/>
      <w:contextualSpacing/>
    </w:pPr>
  </w:style>
  <w:style w:type="paragraph" w:styleId="Footer">
    <w:name w:val="footer"/>
    <w:basedOn w:val="Normal"/>
    <w:link w:val="FooterChar"/>
    <w:uiPriority w:val="99"/>
    <w:unhideWhenUsed/>
    <w:rsid w:val="00127446"/>
    <w:pPr>
      <w:tabs>
        <w:tab w:val="center" w:pos="4513"/>
        <w:tab w:val="right" w:pos="9026"/>
      </w:tabs>
    </w:pPr>
  </w:style>
  <w:style w:type="character" w:customStyle="1" w:styleId="FooterChar">
    <w:name w:val="Footer Char"/>
    <w:basedOn w:val="DefaultParagraphFont"/>
    <w:link w:val="Footer"/>
    <w:uiPriority w:val="99"/>
    <w:rsid w:val="00127446"/>
    <w:rPr>
      <w:rFonts w:eastAsia="Times New Roman" w:cs="Times"/>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Review of Adult Palliative Care Services</dc:title>
  <dc:creator>Ministry of Health</dc:creator>
  <cp:lastModifiedBy>Ministry of Health</cp:lastModifiedBy>
  <cp:revision>3</cp:revision>
  <dcterms:created xsi:type="dcterms:W3CDTF">2015-08-20T03:55:00Z</dcterms:created>
  <dcterms:modified xsi:type="dcterms:W3CDTF">2015-08-20T03:56:00Z</dcterms:modified>
</cp:coreProperties>
</file>