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2776" w14:textId="68AC2EA6" w:rsidR="00CB2217" w:rsidRDefault="003109BA" w:rsidP="00F41839">
      <w:pPr>
        <w:pStyle w:val="Heading1"/>
      </w:pPr>
      <w:r>
        <w:t>Mpox (monkeypox)</w:t>
      </w:r>
      <w:r w:rsidR="00885AE1" w:rsidRPr="00CB2217">
        <w:t xml:space="preserve"> – clinical update</w:t>
      </w:r>
      <w:r w:rsidR="00CB2217" w:rsidRPr="00CB2217">
        <w:t xml:space="preserve"> </w:t>
      </w:r>
    </w:p>
    <w:p w14:paraId="395D0263" w14:textId="275D52DD" w:rsidR="00885AE1" w:rsidRPr="005B7993" w:rsidRDefault="003109BA" w:rsidP="00F41839">
      <w:pPr>
        <w:pStyle w:val="Heading3"/>
      </w:pPr>
      <w:r>
        <w:t>2</w:t>
      </w:r>
      <w:r w:rsidR="00585F00">
        <w:t>2</w:t>
      </w:r>
      <w:r w:rsidR="00885AE1" w:rsidRPr="005B7993">
        <w:t xml:space="preserve"> </w:t>
      </w:r>
      <w:r>
        <w:t>December</w:t>
      </w:r>
      <w:r w:rsidRPr="005B7993">
        <w:t xml:space="preserve"> </w:t>
      </w:r>
      <w:r w:rsidR="00885AE1" w:rsidRPr="005B7993">
        <w:t>2022</w:t>
      </w:r>
    </w:p>
    <w:p w14:paraId="4327D056" w14:textId="529D63FD" w:rsidR="00885AE1" w:rsidRPr="005B7993" w:rsidRDefault="00885AE1" w:rsidP="00F41839">
      <w:r w:rsidRPr="005B7993">
        <w:t>This update is based on current information and the situation may quickly change within New Zealand.</w:t>
      </w:r>
      <w:r w:rsidR="005B7993">
        <w:t xml:space="preserve"> </w:t>
      </w:r>
      <w:r w:rsidRPr="005B7993">
        <w:t>Further information and advice will be provided when known.</w:t>
      </w:r>
    </w:p>
    <w:p w14:paraId="6970413E" w14:textId="77777777" w:rsidR="00885AE1" w:rsidRPr="00E12CE0" w:rsidRDefault="00885AE1" w:rsidP="00F41839">
      <w:pPr>
        <w:pStyle w:val="Heading2"/>
      </w:pPr>
      <w:r w:rsidRPr="00E12CE0">
        <w:t>Current situation</w:t>
      </w:r>
    </w:p>
    <w:p w14:paraId="1283C4BD" w14:textId="4240B550" w:rsidR="00885AE1" w:rsidRPr="00E12CE0" w:rsidRDefault="003109BA" w:rsidP="00F41839">
      <w:pPr>
        <w:pStyle w:val="Heading3"/>
      </w:pPr>
      <w:proofErr w:type="spellStart"/>
      <w:r w:rsidRPr="00E12CE0">
        <w:t>M</w:t>
      </w:r>
      <w:r>
        <w:t>pox</w:t>
      </w:r>
      <w:proofErr w:type="spellEnd"/>
      <w:r w:rsidRPr="00E12CE0">
        <w:t xml:space="preserve"> </w:t>
      </w:r>
      <w:r w:rsidR="00885AE1" w:rsidRPr="00E12CE0">
        <w:t>in New Zealand</w:t>
      </w:r>
    </w:p>
    <w:p w14:paraId="71E1C38A" w14:textId="32D4602C" w:rsidR="00885AE1" w:rsidRPr="00C01FBE" w:rsidRDefault="003109BA" w:rsidP="00F41839">
      <w:pPr>
        <w:pStyle w:val="ListParagraph"/>
        <w:numPr>
          <w:ilvl w:val="0"/>
          <w:numId w:val="1"/>
        </w:numPr>
      </w:pPr>
      <w:r>
        <w:t>Mpox</w:t>
      </w:r>
      <w:r w:rsidR="00885AE1" w:rsidRPr="00C01FBE">
        <w:t xml:space="preserve"> is a zoonotic virus (transmission occurring animal-to-human) which is endemic in</w:t>
      </w:r>
      <w:r w:rsidR="00C01FBE" w:rsidRPr="00C01FBE">
        <w:t xml:space="preserve"> </w:t>
      </w:r>
      <w:r w:rsidR="00885AE1" w:rsidRPr="00C01FBE">
        <w:t>parts of Central and West Africa. Outbreaks outside the African continent occasionally occur but are</w:t>
      </w:r>
      <w:r w:rsidR="00C01FBE">
        <w:t xml:space="preserve"> </w:t>
      </w:r>
      <w:r w:rsidR="00885AE1" w:rsidRPr="00C01FBE">
        <w:t>often small due to the low transmissibility of the virus.</w:t>
      </w:r>
    </w:p>
    <w:p w14:paraId="4CAF0272" w14:textId="193D0250" w:rsidR="00885AE1" w:rsidRPr="00C01FBE" w:rsidRDefault="00885AE1" w:rsidP="00F41839">
      <w:pPr>
        <w:pStyle w:val="ListParagraph"/>
        <w:numPr>
          <w:ilvl w:val="0"/>
          <w:numId w:val="1"/>
        </w:numPr>
      </w:pPr>
      <w:r w:rsidRPr="00C01FBE">
        <w:t xml:space="preserve">On 7 May 2022 a confirmed case of </w:t>
      </w:r>
      <w:proofErr w:type="spellStart"/>
      <w:r w:rsidR="003109BA">
        <w:t>mpox</w:t>
      </w:r>
      <w:proofErr w:type="spellEnd"/>
      <w:r w:rsidRPr="00C01FBE">
        <w:t xml:space="preserve"> was notified by the United Kingdom. This is now a global</w:t>
      </w:r>
      <w:r w:rsidR="00C01FBE" w:rsidRPr="00C01FBE">
        <w:t xml:space="preserve"> </w:t>
      </w:r>
      <w:r w:rsidRPr="00C01FBE">
        <w:t xml:space="preserve">outbreak with </w:t>
      </w:r>
      <w:r w:rsidR="00DF3688">
        <w:t>more than 100</w:t>
      </w:r>
      <w:r w:rsidRPr="00C01FBE">
        <w:t xml:space="preserve">,000 cases confirmed or suspected in more than </w:t>
      </w:r>
      <w:r w:rsidR="00DF3688">
        <w:t>10</w:t>
      </w:r>
      <w:r w:rsidR="00DF3688" w:rsidRPr="00C01FBE">
        <w:t xml:space="preserve">0 </w:t>
      </w:r>
      <w:r w:rsidRPr="00C01FBE">
        <w:t>countries outside of</w:t>
      </w:r>
      <w:r w:rsidR="00C01FBE" w:rsidRPr="00C01FBE">
        <w:t xml:space="preserve"> </w:t>
      </w:r>
      <w:r w:rsidRPr="00C01FBE">
        <w:t xml:space="preserve">where </w:t>
      </w:r>
      <w:proofErr w:type="spellStart"/>
      <w:r w:rsidR="003109BA">
        <w:t>mpox</w:t>
      </w:r>
      <w:proofErr w:type="spellEnd"/>
      <w:r w:rsidRPr="00C01FBE">
        <w:t xml:space="preserve"> is usually endemic. Most infections are among men who have sex with men (MSM), and</w:t>
      </w:r>
      <w:r w:rsidR="00C01FBE">
        <w:t xml:space="preserve"> </w:t>
      </w:r>
      <w:r w:rsidRPr="00C01FBE">
        <w:t>most have had recent international travel but not to East or West Africa.</w:t>
      </w:r>
    </w:p>
    <w:p w14:paraId="70FDA6B4" w14:textId="11EAFC26" w:rsidR="00885AE1" w:rsidRPr="00C01FBE" w:rsidRDefault="00885AE1" w:rsidP="00F41839">
      <w:pPr>
        <w:pStyle w:val="ListParagraph"/>
        <w:numPr>
          <w:ilvl w:val="0"/>
          <w:numId w:val="1"/>
        </w:numPr>
      </w:pPr>
      <w:r w:rsidRPr="00C01FBE">
        <w:t xml:space="preserve">All sequenced PCR samples are identified with the less severe </w:t>
      </w:r>
      <w:r w:rsidR="00D91DB7">
        <w:t>Clade II of the virus.</w:t>
      </w:r>
    </w:p>
    <w:p w14:paraId="53CCAAFA" w14:textId="47788D69" w:rsidR="00885AE1" w:rsidRPr="00C01FBE" w:rsidRDefault="00885AE1" w:rsidP="00EF4E34">
      <w:pPr>
        <w:pStyle w:val="ListParagraph"/>
        <w:numPr>
          <w:ilvl w:val="0"/>
          <w:numId w:val="1"/>
        </w:numPr>
      </w:pPr>
      <w:r w:rsidRPr="00C01FBE">
        <w:t xml:space="preserve">The first confirmed case of </w:t>
      </w:r>
      <w:proofErr w:type="spellStart"/>
      <w:r w:rsidR="003109BA">
        <w:t>mpox</w:t>
      </w:r>
      <w:proofErr w:type="spellEnd"/>
      <w:r w:rsidRPr="00C01FBE">
        <w:t xml:space="preserve"> was reported in New Zealand on 9 July 2022. </w:t>
      </w:r>
      <w:r w:rsidR="00D91DB7">
        <w:t xml:space="preserve">As </w:t>
      </w:r>
      <w:r w:rsidR="00112F07">
        <w:t>of</w:t>
      </w:r>
      <w:r w:rsidR="00D91DB7">
        <w:t xml:space="preserve"> </w:t>
      </w:r>
      <w:r w:rsidR="00F44F49">
        <w:t>20 October 2022, there are 27 confirmed cases in total. Of these, 9 are acquired overseas and 18</w:t>
      </w:r>
      <w:r w:rsidR="00B63881">
        <w:t xml:space="preserve"> acquired locally through community transmission,</w:t>
      </w:r>
    </w:p>
    <w:p w14:paraId="2E167F5D" w14:textId="77777777" w:rsidR="00885AE1" w:rsidRPr="00C01FBE" w:rsidRDefault="00885AE1" w:rsidP="00F41839">
      <w:pPr>
        <w:pStyle w:val="Heading3"/>
      </w:pPr>
      <w:r w:rsidRPr="00C01FBE">
        <w:t>Risk assessment</w:t>
      </w:r>
    </w:p>
    <w:p w14:paraId="77652759" w14:textId="76D5DCB1" w:rsidR="00885AE1" w:rsidRPr="00C01FBE" w:rsidRDefault="00885AE1" w:rsidP="00F41839">
      <w:pPr>
        <w:pStyle w:val="ListParagraph"/>
        <w:numPr>
          <w:ilvl w:val="0"/>
          <w:numId w:val="1"/>
        </w:numPr>
      </w:pPr>
      <w:r w:rsidRPr="00C01FBE">
        <w:t xml:space="preserve">Overall, there is a low to moderate public health risk to New Zealand from </w:t>
      </w:r>
      <w:proofErr w:type="spellStart"/>
      <w:r w:rsidR="003109BA">
        <w:t>mpox</w:t>
      </w:r>
      <w:proofErr w:type="spellEnd"/>
      <w:r w:rsidRPr="00C01FBE">
        <w:t xml:space="preserve">. </w:t>
      </w:r>
    </w:p>
    <w:p w14:paraId="7EA3892C" w14:textId="0580738E" w:rsidR="00885AE1" w:rsidRPr="00C01FBE" w:rsidRDefault="00885AE1" w:rsidP="00F41839">
      <w:pPr>
        <w:pStyle w:val="ListParagraph"/>
        <w:numPr>
          <w:ilvl w:val="0"/>
          <w:numId w:val="1"/>
        </w:numPr>
      </w:pPr>
      <w:r w:rsidRPr="00C01FBE">
        <w:t xml:space="preserve">The likelihood of transmission of </w:t>
      </w:r>
      <w:proofErr w:type="spellStart"/>
      <w:r w:rsidR="003109BA">
        <w:t>mpox</w:t>
      </w:r>
      <w:proofErr w:type="spellEnd"/>
      <w:r w:rsidRPr="00C01FBE">
        <w:t xml:space="preserve"> in New Zealand is as follows:</w:t>
      </w:r>
    </w:p>
    <w:p w14:paraId="62D26953" w14:textId="61F62F0D" w:rsidR="00885AE1" w:rsidRPr="00C01FBE" w:rsidRDefault="00885AE1" w:rsidP="00F41839">
      <w:pPr>
        <w:pStyle w:val="ListParagraph"/>
        <w:numPr>
          <w:ilvl w:val="1"/>
          <w:numId w:val="1"/>
        </w:numPr>
      </w:pPr>
      <w:r>
        <w:t xml:space="preserve">the risk of transmission among </w:t>
      </w:r>
      <w:r w:rsidR="00AB5EA6">
        <w:t>m</w:t>
      </w:r>
      <w:r w:rsidR="00657C7A">
        <w:t>en who have sex with men (MSM), especially those</w:t>
      </w:r>
      <w:r>
        <w:t xml:space="preserve"> with multiple sexual partners is considered high</w:t>
      </w:r>
    </w:p>
    <w:p w14:paraId="3D1F773C" w14:textId="6F5E9D22" w:rsidR="00885AE1" w:rsidRPr="00C01FBE" w:rsidRDefault="00885AE1" w:rsidP="00F41839">
      <w:pPr>
        <w:pStyle w:val="ListParagraph"/>
        <w:numPr>
          <w:ilvl w:val="1"/>
          <w:numId w:val="1"/>
        </w:numPr>
      </w:pPr>
      <w:r w:rsidRPr="00C01FBE">
        <w:t>the likelihood of widespread community transmission is very low</w:t>
      </w:r>
    </w:p>
    <w:p w14:paraId="7B2E09B7" w14:textId="41F2EAF0" w:rsidR="00885AE1" w:rsidRPr="00C01FBE" w:rsidRDefault="00885AE1" w:rsidP="00F41839">
      <w:pPr>
        <w:pStyle w:val="ListParagraph"/>
        <w:numPr>
          <w:ilvl w:val="1"/>
          <w:numId w:val="1"/>
        </w:numPr>
      </w:pPr>
      <w:r w:rsidRPr="00C01FBE">
        <w:t>the risk of sustained transmission is low with adequate contract tracing measures in place.</w:t>
      </w:r>
    </w:p>
    <w:p w14:paraId="3037B847" w14:textId="5DA7F0B8" w:rsidR="00885AE1" w:rsidRPr="00C01FBE" w:rsidRDefault="00885AE1" w:rsidP="00F41839">
      <w:pPr>
        <w:pStyle w:val="ListParagraph"/>
        <w:numPr>
          <w:ilvl w:val="0"/>
          <w:numId w:val="1"/>
        </w:numPr>
      </w:pPr>
      <w:r w:rsidRPr="00C01FBE">
        <w:t>The level of risk is being reviewed regularly as new information emerges internationally.</w:t>
      </w:r>
    </w:p>
    <w:p w14:paraId="64A54CF0" w14:textId="2BDDCECD" w:rsidR="00885AE1" w:rsidRPr="00CB2217" w:rsidRDefault="00885AE1" w:rsidP="00F41839">
      <w:pPr>
        <w:pStyle w:val="Heading2"/>
      </w:pPr>
      <w:proofErr w:type="spellStart"/>
      <w:r w:rsidRPr="00CB2217">
        <w:t>M</w:t>
      </w:r>
      <w:r w:rsidR="003109BA">
        <w:t>pox</w:t>
      </w:r>
      <w:proofErr w:type="spellEnd"/>
      <w:r w:rsidRPr="00CB2217">
        <w:t xml:space="preserve"> transmission and symptoms</w:t>
      </w:r>
    </w:p>
    <w:p w14:paraId="0521CF29" w14:textId="53EA0CD9" w:rsidR="00885AE1" w:rsidRPr="00C01FBE" w:rsidRDefault="00885AE1" w:rsidP="00EF4E34">
      <w:pPr>
        <w:pStyle w:val="ListParagraph"/>
        <w:numPr>
          <w:ilvl w:val="0"/>
          <w:numId w:val="1"/>
        </w:numPr>
      </w:pPr>
      <w:r w:rsidRPr="00C01FBE">
        <w:t xml:space="preserve">Since 9 June 2022 </w:t>
      </w:r>
      <w:proofErr w:type="spellStart"/>
      <w:r w:rsidR="003109BA">
        <w:t>mpox</w:t>
      </w:r>
      <w:proofErr w:type="spellEnd"/>
      <w:r w:rsidRPr="00C01FBE">
        <w:t xml:space="preserve"> has been a notifiable disease in New Zealand on Schedule 1 of the Health Act</w:t>
      </w:r>
      <w:r w:rsidR="00C01FBE" w:rsidRPr="00C01FBE">
        <w:t xml:space="preserve"> </w:t>
      </w:r>
      <w:r w:rsidRPr="00C01FBE">
        <w:t xml:space="preserve">1956. This enables a prompt response to any </w:t>
      </w:r>
      <w:proofErr w:type="spellStart"/>
      <w:r w:rsidR="003109BA">
        <w:t>mpox</w:t>
      </w:r>
      <w:proofErr w:type="spellEnd"/>
      <w:r w:rsidRPr="00C01FBE">
        <w:t xml:space="preserve"> cases to minimise the risk of community</w:t>
      </w:r>
      <w:r w:rsidR="00C01FBE">
        <w:t xml:space="preserve"> </w:t>
      </w:r>
      <w:r w:rsidRPr="00C01FBE">
        <w:t xml:space="preserve">transmission. </w:t>
      </w:r>
      <w:r w:rsidR="00112F07">
        <w:t>H</w:t>
      </w:r>
      <w:r w:rsidRPr="00C01FBE">
        <w:t>ealth practitioners must notify their Medical</w:t>
      </w:r>
      <w:r w:rsidR="00C01FBE" w:rsidRPr="00C01FBE">
        <w:t xml:space="preserve"> </w:t>
      </w:r>
      <w:r w:rsidRPr="00C01FBE">
        <w:t>Officer of Health of suspected cases or confirmed cases.</w:t>
      </w:r>
    </w:p>
    <w:p w14:paraId="7D14F9D5" w14:textId="77777777" w:rsidR="00885AE1" w:rsidRPr="00CB2217" w:rsidRDefault="00885AE1" w:rsidP="00F41839">
      <w:pPr>
        <w:pStyle w:val="Heading3"/>
      </w:pPr>
      <w:r w:rsidRPr="00CB2217">
        <w:t>Transmission</w:t>
      </w:r>
    </w:p>
    <w:p w14:paraId="78B01425" w14:textId="54FBC875" w:rsidR="00A36328" w:rsidRDefault="00A36328" w:rsidP="005678CB">
      <w:pPr>
        <w:pStyle w:val="ListParagraph"/>
        <w:numPr>
          <w:ilvl w:val="0"/>
          <w:numId w:val="13"/>
        </w:numPr>
      </w:pPr>
      <w:proofErr w:type="spellStart"/>
      <w:r>
        <w:t>M</w:t>
      </w:r>
      <w:r w:rsidR="003109BA">
        <w:t>pox</w:t>
      </w:r>
      <w:proofErr w:type="spellEnd"/>
      <w:r>
        <w:t xml:space="preserve"> is generally transmitted through:</w:t>
      </w:r>
    </w:p>
    <w:p w14:paraId="1601BC3D" w14:textId="5A46125C" w:rsidR="00A36328" w:rsidRDefault="00A36328" w:rsidP="005678CB">
      <w:pPr>
        <w:pStyle w:val="ListParagraph"/>
        <w:numPr>
          <w:ilvl w:val="1"/>
          <w:numId w:val="1"/>
        </w:numPr>
      </w:pPr>
      <w:r>
        <w:t xml:space="preserve">close physical, intimate or sexual contact with someone who has </w:t>
      </w:r>
      <w:proofErr w:type="spellStart"/>
      <w:r w:rsidR="003109BA">
        <w:t>mpox</w:t>
      </w:r>
      <w:proofErr w:type="spellEnd"/>
      <w:r>
        <w:t>, via skin-to-skin contact</w:t>
      </w:r>
    </w:p>
    <w:p w14:paraId="5B9F401B" w14:textId="4D3B35CD" w:rsidR="00A36328" w:rsidRDefault="00A36328" w:rsidP="005678CB">
      <w:pPr>
        <w:pStyle w:val="ListParagraph"/>
        <w:numPr>
          <w:ilvl w:val="1"/>
          <w:numId w:val="1"/>
        </w:numPr>
      </w:pPr>
      <w:r>
        <w:t xml:space="preserve">direct contact with the skin rashes, lesions or scabs, or bodily fluids (eg, saliva) of someone with </w:t>
      </w:r>
      <w:proofErr w:type="spellStart"/>
      <w:r w:rsidR="003109BA">
        <w:t>mpox</w:t>
      </w:r>
      <w:proofErr w:type="spellEnd"/>
    </w:p>
    <w:p w14:paraId="076B44BF" w14:textId="77777777" w:rsidR="00A36328" w:rsidRDefault="00A36328" w:rsidP="005678CB">
      <w:pPr>
        <w:pStyle w:val="ListParagraph"/>
        <w:numPr>
          <w:ilvl w:val="1"/>
          <w:numId w:val="1"/>
        </w:numPr>
      </w:pPr>
      <w:r>
        <w:t>touching the clothing, bedding or towels used by someone with an MPX rash.</w:t>
      </w:r>
    </w:p>
    <w:p w14:paraId="70496EB6" w14:textId="590DB504" w:rsidR="00EF4E34" w:rsidRDefault="00A36328" w:rsidP="00F41839">
      <w:pPr>
        <w:pStyle w:val="ListParagraph"/>
        <w:numPr>
          <w:ilvl w:val="0"/>
          <w:numId w:val="1"/>
        </w:numPr>
      </w:pPr>
      <w:proofErr w:type="spellStart"/>
      <w:r>
        <w:t>M</w:t>
      </w:r>
      <w:r w:rsidR="003109BA">
        <w:t>pox</w:t>
      </w:r>
      <w:proofErr w:type="spellEnd"/>
      <w:r>
        <w:t xml:space="preserve"> can also be passed on through breathing in droplets that have been exhaled by someone who has the virus. As this requires prolonged contact and for people to be </w:t>
      </w:r>
      <w:r>
        <w:lastRenderedPageBreak/>
        <w:t xml:space="preserve">very close together, the risk of the virus spreading in this way is very low. It is uncertain whether </w:t>
      </w:r>
      <w:proofErr w:type="spellStart"/>
      <w:r w:rsidR="003109BA">
        <w:t>mpox</w:t>
      </w:r>
      <w:proofErr w:type="spellEnd"/>
      <w:r>
        <w:t xml:space="preserve"> is also spread through other bodily fluids (eg, semen).</w:t>
      </w:r>
    </w:p>
    <w:p w14:paraId="1FF9C6CF" w14:textId="7DE62D18" w:rsidR="005678CB" w:rsidRDefault="005678CB" w:rsidP="00F41839">
      <w:pPr>
        <w:pStyle w:val="ListParagraph"/>
        <w:numPr>
          <w:ilvl w:val="0"/>
          <w:numId w:val="1"/>
        </w:numPr>
      </w:pPr>
      <w:r w:rsidRPr="00EF4E34">
        <w:t xml:space="preserve">Typically, a person with </w:t>
      </w:r>
      <w:proofErr w:type="spellStart"/>
      <w:r w:rsidR="003109BA">
        <w:t>mpox</w:t>
      </w:r>
      <w:proofErr w:type="spellEnd"/>
      <w:r w:rsidRPr="00EF4E34">
        <w:t xml:space="preserve"> is infectious and can pass the virus on to others from when they first develop symptoms until their lesions or </w:t>
      </w:r>
      <w:proofErr w:type="gramStart"/>
      <w:r w:rsidRPr="00EF4E34">
        <w:t>scabs</w:t>
      </w:r>
      <w:proofErr w:type="gramEnd"/>
      <w:r w:rsidRPr="00EF4E34">
        <w:t xml:space="preserve"> crust, dry or fall off. The infectious period will normally last for around two to four weeks.</w:t>
      </w:r>
    </w:p>
    <w:p w14:paraId="38B0B8AA" w14:textId="2B92209C" w:rsidR="00885AE1" w:rsidRPr="00C01FBE" w:rsidRDefault="00885AE1" w:rsidP="00F41839">
      <w:pPr>
        <w:pStyle w:val="Heading3"/>
      </w:pPr>
      <w:r w:rsidRPr="00C01FBE">
        <w:t>Symptoms</w:t>
      </w:r>
    </w:p>
    <w:p w14:paraId="5BBFD052" w14:textId="025CFF56" w:rsidR="00447960" w:rsidRDefault="003109BA" w:rsidP="00657C7A">
      <w:pPr>
        <w:pStyle w:val="ListParagraph"/>
        <w:numPr>
          <w:ilvl w:val="0"/>
          <w:numId w:val="15"/>
        </w:numPr>
        <w:rPr>
          <w:rFonts w:cs="Segoe UI"/>
        </w:rPr>
      </w:pPr>
      <w:proofErr w:type="spellStart"/>
      <w:r>
        <w:rPr>
          <w:rFonts w:cs="Segoe UI"/>
        </w:rPr>
        <w:t>Mpox</w:t>
      </w:r>
      <w:proofErr w:type="spellEnd"/>
      <w:r w:rsidR="00447960" w:rsidRPr="00447960">
        <w:rPr>
          <w:rFonts w:cs="Segoe UI"/>
        </w:rPr>
        <w:t xml:space="preserve"> classically presents with a prodrome with fever, aches, and lymphadenopathy, followed by a characteristic centrifugal rash with the lesions first appearing on the face and moving to distal extremities. The rash also progresses through four stages simultaneously from macules to papules, vesicles then pustules, followed by scabbing. </w:t>
      </w:r>
    </w:p>
    <w:p w14:paraId="09978801" w14:textId="3E517609" w:rsidR="00447960" w:rsidRPr="00447960" w:rsidRDefault="00AD2D73" w:rsidP="00657C7A">
      <w:pPr>
        <w:pStyle w:val="ListParagraph"/>
        <w:numPr>
          <w:ilvl w:val="0"/>
          <w:numId w:val="15"/>
        </w:numPr>
        <w:rPr>
          <w:rFonts w:cs="Segoe UI"/>
        </w:rPr>
      </w:pPr>
      <w:r>
        <w:rPr>
          <w:rFonts w:cs="Segoe UI"/>
        </w:rPr>
        <w:t>However, i</w:t>
      </w:r>
      <w:r w:rsidR="00447960" w:rsidRPr="00447960">
        <w:rPr>
          <w:rFonts w:cs="Segoe UI"/>
        </w:rPr>
        <w:t xml:space="preserve">n the 2022 outbreak, presentations of monkeypox have been atypical: </w:t>
      </w:r>
    </w:p>
    <w:p w14:paraId="15494FDB" w14:textId="77777777" w:rsidR="00447960" w:rsidRPr="00447960" w:rsidRDefault="00447960" w:rsidP="00447960">
      <w:pPr>
        <w:pStyle w:val="ListParagraph"/>
        <w:widowControl w:val="0"/>
        <w:numPr>
          <w:ilvl w:val="1"/>
          <w:numId w:val="15"/>
        </w:numPr>
        <w:spacing w:before="0"/>
        <w:rPr>
          <w:rFonts w:cs="Segoe UI"/>
        </w:rPr>
      </w:pPr>
      <w:r w:rsidRPr="00447960">
        <w:rPr>
          <w:rFonts w:cs="Segoe UI"/>
        </w:rPr>
        <w:t xml:space="preserve">The rash/lesions may be localised to </w:t>
      </w:r>
      <w:proofErr w:type="spellStart"/>
      <w:r w:rsidRPr="00447960">
        <w:rPr>
          <w:rFonts w:cs="Segoe UI"/>
        </w:rPr>
        <w:t>ano</w:t>
      </w:r>
      <w:proofErr w:type="spellEnd"/>
      <w:r w:rsidRPr="00447960">
        <w:rPr>
          <w:rFonts w:cs="Segoe UI"/>
        </w:rPr>
        <w:t>-genital skin, or oropharynx or rectal mucosa (proctitis)</w:t>
      </w:r>
    </w:p>
    <w:p w14:paraId="38892E98" w14:textId="77777777" w:rsidR="00447960" w:rsidRPr="00447960" w:rsidRDefault="00447960" w:rsidP="00447960">
      <w:pPr>
        <w:pStyle w:val="ListParagraph"/>
        <w:widowControl w:val="0"/>
        <w:numPr>
          <w:ilvl w:val="1"/>
          <w:numId w:val="15"/>
        </w:numPr>
        <w:spacing w:before="0"/>
        <w:rPr>
          <w:rFonts w:cs="Segoe UI"/>
        </w:rPr>
      </w:pPr>
      <w:r w:rsidRPr="00447960">
        <w:rPr>
          <w:rFonts w:cs="Segoe UI"/>
        </w:rPr>
        <w:t>There may be a solitary lesion</w:t>
      </w:r>
    </w:p>
    <w:p w14:paraId="01CD533E" w14:textId="77777777" w:rsidR="00447960" w:rsidRPr="00447960" w:rsidRDefault="00447960" w:rsidP="00447960">
      <w:pPr>
        <w:pStyle w:val="ListParagraph"/>
        <w:widowControl w:val="0"/>
        <w:numPr>
          <w:ilvl w:val="1"/>
          <w:numId w:val="15"/>
        </w:numPr>
        <w:spacing w:before="0"/>
        <w:rPr>
          <w:rFonts w:cs="Segoe UI"/>
        </w:rPr>
      </w:pPr>
      <w:r w:rsidRPr="00447960">
        <w:rPr>
          <w:rFonts w:cs="Segoe UI"/>
        </w:rPr>
        <w:t>The rash/lesions may not necessarily progress through four stages as described above</w:t>
      </w:r>
    </w:p>
    <w:p w14:paraId="3CFF12B8" w14:textId="77777777" w:rsidR="00447960" w:rsidRPr="00447960" w:rsidRDefault="00447960" w:rsidP="00447960">
      <w:pPr>
        <w:pStyle w:val="ListParagraph"/>
        <w:widowControl w:val="0"/>
        <w:numPr>
          <w:ilvl w:val="1"/>
          <w:numId w:val="15"/>
        </w:numPr>
        <w:spacing w:before="0"/>
        <w:rPr>
          <w:rFonts w:cs="Segoe UI"/>
        </w:rPr>
      </w:pPr>
      <w:r w:rsidRPr="00447960">
        <w:rPr>
          <w:rFonts w:cs="Segoe UI"/>
        </w:rPr>
        <w:t xml:space="preserve">Systemic symptoms may be absent or have developed after the onset of rash. </w:t>
      </w:r>
    </w:p>
    <w:p w14:paraId="11A8CBAE" w14:textId="44BC4568" w:rsidR="00885AE1" w:rsidRPr="00CB2217" w:rsidRDefault="00885AE1" w:rsidP="00F41839">
      <w:pPr>
        <w:pStyle w:val="Heading2"/>
      </w:pPr>
      <w:proofErr w:type="spellStart"/>
      <w:r w:rsidRPr="00CB2217">
        <w:t>M</w:t>
      </w:r>
      <w:r w:rsidR="003109BA">
        <w:t>pox</w:t>
      </w:r>
      <w:proofErr w:type="spellEnd"/>
      <w:r w:rsidR="003109BA">
        <w:t xml:space="preserve"> </w:t>
      </w:r>
      <w:r w:rsidRPr="00CB2217">
        <w:t>case definition</w:t>
      </w:r>
    </w:p>
    <w:p w14:paraId="5734D23E" w14:textId="77777777" w:rsidR="00885AE1" w:rsidRPr="00CB2217" w:rsidRDefault="00885AE1" w:rsidP="00F41839">
      <w:pPr>
        <w:pStyle w:val="Heading3"/>
      </w:pPr>
      <w:r w:rsidRPr="00CB2217">
        <w:t>Clinical criteria</w:t>
      </w:r>
    </w:p>
    <w:p w14:paraId="6116526F" w14:textId="77777777" w:rsidR="00E852B0" w:rsidRPr="006D6B3B" w:rsidRDefault="00E852B0" w:rsidP="00E852B0">
      <w:pPr>
        <w:shd w:val="clear" w:color="auto" w:fill="FFFFFF" w:themeFill="background1"/>
        <w:spacing w:after="240"/>
        <w:rPr>
          <w:rFonts w:cs="Segoe UI"/>
          <w:color w:val="002639"/>
          <w:sz w:val="20"/>
          <w:lang w:eastAsia="en-NZ"/>
        </w:rPr>
      </w:pPr>
      <w:r w:rsidRPr="006D6B3B">
        <w:rPr>
          <w:rFonts w:cs="Segoe UI"/>
        </w:rPr>
        <w:t>A clinically compatible illness characterised by the presence of acute unexplained</w:t>
      </w:r>
      <w:r w:rsidRPr="006D6B3B">
        <w:rPr>
          <w:rFonts w:cs="Segoe UI"/>
          <w:vertAlign w:val="superscript"/>
        </w:rPr>
        <w:footnoteReference w:id="2"/>
      </w:r>
      <w:r w:rsidRPr="006D6B3B">
        <w:rPr>
          <w:rFonts w:cs="Segoe UI"/>
          <w:vertAlign w:val="superscript"/>
        </w:rPr>
        <w:t xml:space="preserve"> </w:t>
      </w:r>
      <w:r w:rsidRPr="006D6B3B">
        <w:rPr>
          <w:rFonts w:cs="Segoe UI"/>
        </w:rPr>
        <w:t>skin and/or mucosal lesions or proctitis (for example anorectal pain, bleeding)</w:t>
      </w:r>
      <w:r w:rsidRPr="006D6B3B">
        <w:rPr>
          <w:rFonts w:cs="Segoe UI"/>
          <w:color w:val="002639"/>
          <w:sz w:val="20"/>
          <w:lang w:eastAsia="en-NZ"/>
        </w:rPr>
        <w:t> </w:t>
      </w:r>
    </w:p>
    <w:p w14:paraId="577506B7" w14:textId="06F4AA5C" w:rsidR="00885AE1" w:rsidRPr="00CB2217" w:rsidRDefault="00885AE1" w:rsidP="00F41839">
      <w:r w:rsidRPr="00CB2217">
        <w:t>AND</w:t>
      </w:r>
    </w:p>
    <w:p w14:paraId="3F8F8361" w14:textId="77777777" w:rsidR="00885AE1" w:rsidRPr="00CB2217" w:rsidRDefault="00885AE1" w:rsidP="00F41839">
      <w:pPr>
        <w:pStyle w:val="Heading3"/>
      </w:pPr>
      <w:r w:rsidRPr="00CB2217">
        <w:t>Epidemiological criteria</w:t>
      </w:r>
    </w:p>
    <w:p w14:paraId="7FB00576" w14:textId="77777777" w:rsidR="00885AE1" w:rsidRPr="00CB2217" w:rsidRDefault="00885AE1" w:rsidP="00F41839">
      <w:r w:rsidRPr="00CB2217">
        <w:t>At least one of the following:</w:t>
      </w:r>
    </w:p>
    <w:p w14:paraId="7E94E384" w14:textId="77777777" w:rsidR="00792DDA" w:rsidRPr="00792DDA" w:rsidRDefault="00792DDA" w:rsidP="00792DDA">
      <w:pPr>
        <w:pStyle w:val="ListParagraph"/>
        <w:numPr>
          <w:ilvl w:val="0"/>
          <w:numId w:val="17"/>
        </w:numPr>
      </w:pPr>
      <w:r w:rsidRPr="00792DDA">
        <w:t>exposure</w:t>
      </w:r>
      <w:r w:rsidRPr="00792DDA">
        <w:rPr>
          <w:vertAlign w:val="superscript"/>
        </w:rPr>
        <w:footnoteReference w:id="3"/>
      </w:r>
      <w:r w:rsidRPr="00792DDA">
        <w:t xml:space="preserve"> to a confirmed or probable case in the 21 days before symptom onset</w:t>
      </w:r>
    </w:p>
    <w:p w14:paraId="5FDB4372" w14:textId="5F413F71" w:rsidR="00885AE1" w:rsidRPr="00CB2217" w:rsidRDefault="00792DDA" w:rsidP="00B46159">
      <w:pPr>
        <w:pStyle w:val="ListParagraph"/>
        <w:numPr>
          <w:ilvl w:val="0"/>
          <w:numId w:val="17"/>
        </w:numPr>
      </w:pPr>
      <w:r w:rsidRPr="00792DDA">
        <w:t>is a priority group for testing.</w:t>
      </w:r>
      <w:r w:rsidR="00B46159">
        <w:t xml:space="preserve"> </w:t>
      </w:r>
      <w:r w:rsidR="00885AE1" w:rsidRPr="00CB2217">
        <w:t>At this time priority groups for testing include the following:</w:t>
      </w:r>
    </w:p>
    <w:p w14:paraId="79B74E31" w14:textId="0C2A6C24" w:rsidR="00885AE1" w:rsidRPr="00CB7D46" w:rsidRDefault="00885AE1" w:rsidP="00F41839">
      <w:pPr>
        <w:pStyle w:val="ListParagraph"/>
        <w:numPr>
          <w:ilvl w:val="0"/>
          <w:numId w:val="5"/>
        </w:numPr>
      </w:pPr>
      <w:r w:rsidRPr="00CB7D46">
        <w:t xml:space="preserve">Persons who had </w:t>
      </w:r>
      <w:r w:rsidR="00175A42" w:rsidRPr="00BA7A2A">
        <w:rPr>
          <w:rFonts w:cs="Segoe UI"/>
        </w:rPr>
        <w:t>multiple</w:t>
      </w:r>
      <w:r w:rsidR="00175A42" w:rsidRPr="00BA7A2A">
        <w:rPr>
          <w:rStyle w:val="FootnoteReference"/>
          <w:rFonts w:cs="Segoe UI"/>
        </w:rPr>
        <w:footnoteReference w:id="4"/>
      </w:r>
      <w:r w:rsidR="00175A42" w:rsidRPr="00BA7A2A">
        <w:rPr>
          <w:rFonts w:cs="Segoe UI"/>
        </w:rPr>
        <w:t xml:space="preserve"> or </w:t>
      </w:r>
      <w:r w:rsidRPr="00CB7D46">
        <w:t>anonymous sexual partners in the 21 days before symptom onset</w:t>
      </w:r>
    </w:p>
    <w:p w14:paraId="585F34F9" w14:textId="68C078FE" w:rsidR="00657C7A" w:rsidRDefault="00885AE1" w:rsidP="00F41839">
      <w:pPr>
        <w:pStyle w:val="ListParagraph"/>
        <w:numPr>
          <w:ilvl w:val="0"/>
          <w:numId w:val="5"/>
        </w:numPr>
      </w:pPr>
      <w:r w:rsidRPr="00CB7D46">
        <w:t>Gay, bisexual or other men who have sex with men (MSM).</w:t>
      </w:r>
    </w:p>
    <w:p w14:paraId="6FDF9C2D" w14:textId="57E170CB" w:rsidR="00B46159" w:rsidRPr="00CB7D46" w:rsidRDefault="00B46159" w:rsidP="00B46159">
      <w:pPr>
        <w:pStyle w:val="ListParagraph"/>
        <w:numPr>
          <w:ilvl w:val="0"/>
          <w:numId w:val="17"/>
        </w:numPr>
      </w:pPr>
      <w:r w:rsidRPr="00B46159">
        <w:t xml:space="preserve">history of travel to </w:t>
      </w:r>
      <w:r>
        <w:t>a country</w:t>
      </w:r>
      <w:r w:rsidRPr="00B46159">
        <w:t xml:space="preserve"> where </w:t>
      </w:r>
      <w:proofErr w:type="spellStart"/>
      <w:r w:rsidR="003109BA">
        <w:t>mpox</w:t>
      </w:r>
      <w:proofErr w:type="spellEnd"/>
      <w:r w:rsidR="003109BA" w:rsidRPr="00B46159">
        <w:t xml:space="preserve"> </w:t>
      </w:r>
      <w:r w:rsidRPr="00B46159">
        <w:t>is endemic</w:t>
      </w:r>
      <w:r>
        <w:rPr>
          <w:rStyle w:val="FootnoteReference"/>
        </w:rPr>
        <w:footnoteReference w:id="5"/>
      </w:r>
      <w:r w:rsidRPr="00B46159">
        <w:t xml:space="preserve"> in the 21 days before symptom onset</w:t>
      </w:r>
    </w:p>
    <w:p w14:paraId="2393196E" w14:textId="77777777" w:rsidR="00FF1D56" w:rsidRDefault="00FF1D56" w:rsidP="00F41839">
      <w:pPr>
        <w:pStyle w:val="Heading3"/>
      </w:pPr>
    </w:p>
    <w:p w14:paraId="4EFC91D0" w14:textId="175B45D7" w:rsidR="00885AE1" w:rsidRPr="00CB2217" w:rsidRDefault="00885AE1" w:rsidP="00F41839">
      <w:pPr>
        <w:pStyle w:val="Heading3"/>
      </w:pPr>
      <w:r w:rsidRPr="00CB2217">
        <w:t>Laboratory test for diagnosis</w:t>
      </w:r>
    </w:p>
    <w:p w14:paraId="497C5C64" w14:textId="7EB10E15" w:rsidR="00C76EEE" w:rsidRPr="006D6B3B" w:rsidRDefault="00C76EEE" w:rsidP="00C76EEE">
      <w:pPr>
        <w:rPr>
          <w:rFonts w:cs="Segoe UI"/>
        </w:rPr>
      </w:pPr>
      <w:r w:rsidRPr="006D6B3B">
        <w:rPr>
          <w:rFonts w:cs="Segoe UI"/>
        </w:rPr>
        <w:lastRenderedPageBreak/>
        <w:t>Laboratory definitive evidence for a confirmed case requires </w:t>
      </w:r>
      <w:proofErr w:type="spellStart"/>
      <w:r w:rsidR="003109BA">
        <w:rPr>
          <w:rFonts w:cs="Segoe UI"/>
        </w:rPr>
        <w:t>mpox</w:t>
      </w:r>
      <w:proofErr w:type="spellEnd"/>
      <w:r w:rsidR="003109BA" w:rsidRPr="006D6B3B">
        <w:rPr>
          <w:rFonts w:cs="Segoe UI"/>
        </w:rPr>
        <w:t xml:space="preserve"> </w:t>
      </w:r>
      <w:r w:rsidRPr="006D6B3B">
        <w:rPr>
          <w:rFonts w:cs="Segoe UI"/>
        </w:rPr>
        <w:t>virus detection by NAAT.</w:t>
      </w:r>
    </w:p>
    <w:p w14:paraId="3C08A2DB" w14:textId="78F05FF7" w:rsidR="00C76EEE" w:rsidRPr="006D6B3B" w:rsidRDefault="00C76EEE" w:rsidP="00C76EEE">
      <w:pPr>
        <w:rPr>
          <w:rFonts w:cs="Segoe UI"/>
        </w:rPr>
      </w:pPr>
      <w:r w:rsidRPr="006D6B3B">
        <w:rPr>
          <w:rFonts w:cs="Segoe UI"/>
        </w:rPr>
        <w:t xml:space="preserve">Testing should be limited only to patients who meet the clinical and epidemiological criteria. Laboratory confirmation requires the detection of </w:t>
      </w:r>
      <w:proofErr w:type="spellStart"/>
      <w:r w:rsidR="003109BA">
        <w:rPr>
          <w:rFonts w:cs="Segoe UI"/>
        </w:rPr>
        <w:t>mpox</w:t>
      </w:r>
      <w:proofErr w:type="spellEnd"/>
      <w:r w:rsidR="003109BA" w:rsidRPr="006D6B3B">
        <w:rPr>
          <w:rFonts w:cs="Segoe UI"/>
        </w:rPr>
        <w:t xml:space="preserve"> </w:t>
      </w:r>
      <w:r w:rsidRPr="006D6B3B">
        <w:rPr>
          <w:rFonts w:cs="Segoe UI"/>
        </w:rPr>
        <w:t xml:space="preserve">virus nucleic acid by PCR from an appropriate clinical sample. Local laboratories are to test for Varicella (chickenpox, VZV), Herpes simplex (HSV), +/- syphilis if there is capability, prior to referral to a reference laboratory for </w:t>
      </w:r>
      <w:proofErr w:type="spellStart"/>
      <w:r w:rsidR="003109BA">
        <w:rPr>
          <w:rFonts w:cs="Segoe UI"/>
        </w:rPr>
        <w:t>mpox</w:t>
      </w:r>
      <w:proofErr w:type="spellEnd"/>
      <w:r w:rsidR="003109BA" w:rsidRPr="006D6B3B">
        <w:rPr>
          <w:rFonts w:cs="Segoe UI"/>
        </w:rPr>
        <w:t xml:space="preserve"> </w:t>
      </w:r>
      <w:r w:rsidRPr="006D6B3B">
        <w:rPr>
          <w:rFonts w:cs="Segoe UI"/>
        </w:rPr>
        <w:t>testing.</w:t>
      </w:r>
    </w:p>
    <w:p w14:paraId="3E5A8DD6" w14:textId="77777777" w:rsidR="00C76EEE" w:rsidRPr="006D6B3B" w:rsidRDefault="00C76EEE" w:rsidP="00C76EEE">
      <w:pPr>
        <w:rPr>
          <w:rFonts w:cs="Segoe UI"/>
        </w:rPr>
      </w:pPr>
      <w:r w:rsidRPr="006D6B3B">
        <w:rPr>
          <w:rFonts w:cs="Segoe UI"/>
        </w:rPr>
        <w:t xml:space="preserve">Potential cases are most likely to present to sexual health, primary care or emergency departments, where the treating physician will collect samples. Note that patients should not present to a community collection centre for sampling. Clinicians are advised to follow the most up to date testing advice which can be found on the </w:t>
      </w:r>
      <w:hyperlink r:id="rId11" w:history="1">
        <w:r w:rsidRPr="006D6B3B">
          <w:rPr>
            <w:rStyle w:val="Hyperlink"/>
            <w:rFonts w:cs="Segoe UI"/>
          </w:rPr>
          <w:t>New Zealand Microbiology Network website</w:t>
        </w:r>
      </w:hyperlink>
      <w:r w:rsidRPr="006D6B3B">
        <w:rPr>
          <w:rFonts w:cs="Segoe UI"/>
        </w:rPr>
        <w:t>.</w:t>
      </w:r>
    </w:p>
    <w:p w14:paraId="1617C6D6" w14:textId="77777777" w:rsidR="00885AE1" w:rsidRPr="00CB2217" w:rsidRDefault="00885AE1" w:rsidP="00F41839">
      <w:pPr>
        <w:pStyle w:val="Heading3"/>
      </w:pPr>
      <w:r w:rsidRPr="00CB2217">
        <w:t>Case classification</w:t>
      </w:r>
    </w:p>
    <w:p w14:paraId="40AE4EA9" w14:textId="2DF6CF93" w:rsidR="00885AE1" w:rsidRPr="00CB2217" w:rsidRDefault="00885AE1" w:rsidP="00F41839">
      <w:pPr>
        <w:pStyle w:val="ListParagraph"/>
        <w:numPr>
          <w:ilvl w:val="0"/>
          <w:numId w:val="7"/>
        </w:numPr>
      </w:pPr>
      <w:r w:rsidRPr="00C76EEE">
        <w:rPr>
          <w:b/>
          <w:bCs/>
        </w:rPr>
        <w:t>Under investigation:</w:t>
      </w:r>
      <w:r w:rsidRPr="00CB2217">
        <w:t xml:space="preserve"> A person that has been reported to a Medical Officer of Health but where</w:t>
      </w:r>
      <w:r w:rsidR="00F41839">
        <w:t xml:space="preserve"> </w:t>
      </w:r>
      <w:r w:rsidRPr="00CB2217">
        <w:t>information is not yet available to classify them as confirmed, probable or not a case.</w:t>
      </w:r>
    </w:p>
    <w:p w14:paraId="7A0C85B4" w14:textId="0ECCD146" w:rsidR="00885AE1" w:rsidRPr="00CB2217" w:rsidRDefault="00885AE1" w:rsidP="00F41839">
      <w:pPr>
        <w:pStyle w:val="ListParagraph"/>
        <w:numPr>
          <w:ilvl w:val="0"/>
          <w:numId w:val="7"/>
        </w:numPr>
      </w:pPr>
      <w:r w:rsidRPr="00C76EEE">
        <w:rPr>
          <w:b/>
          <w:bCs/>
        </w:rPr>
        <w:t>Confirmed:</w:t>
      </w:r>
      <w:r w:rsidRPr="00CB2217">
        <w:t xml:space="preserve"> A person with laboratory definitive evidence.</w:t>
      </w:r>
    </w:p>
    <w:p w14:paraId="33628973" w14:textId="3989D8DA" w:rsidR="00885AE1" w:rsidRPr="00CB2217" w:rsidRDefault="00885AE1" w:rsidP="00F41839">
      <w:pPr>
        <w:pStyle w:val="ListParagraph"/>
        <w:numPr>
          <w:ilvl w:val="0"/>
          <w:numId w:val="7"/>
        </w:numPr>
      </w:pPr>
      <w:r w:rsidRPr="00C76EEE">
        <w:rPr>
          <w:b/>
          <w:bCs/>
        </w:rPr>
        <w:t>Probable:</w:t>
      </w:r>
      <w:r w:rsidRPr="00CB2217">
        <w:t xml:space="preserve"> A person who meets the clinical and epidemiological criteria and laboratory confirmation is</w:t>
      </w:r>
      <w:r w:rsidR="00F41839">
        <w:t xml:space="preserve"> </w:t>
      </w:r>
      <w:r w:rsidRPr="00CB2217">
        <w:t>not possible</w:t>
      </w:r>
    </w:p>
    <w:p w14:paraId="3BDAC3C0" w14:textId="7D5EBA1D" w:rsidR="00885AE1" w:rsidRPr="00CB2217" w:rsidRDefault="00885AE1" w:rsidP="00F41839">
      <w:pPr>
        <w:pStyle w:val="ListParagraph"/>
        <w:numPr>
          <w:ilvl w:val="0"/>
          <w:numId w:val="7"/>
        </w:numPr>
      </w:pPr>
      <w:r w:rsidRPr="00C76EEE">
        <w:rPr>
          <w:b/>
          <w:bCs/>
        </w:rPr>
        <w:t>Not a case:</w:t>
      </w:r>
      <w:r w:rsidRPr="00CB2217">
        <w:t xml:space="preserve"> A person that has been investigated and subsequently found not to meet the case</w:t>
      </w:r>
      <w:r w:rsidR="00F41839">
        <w:t xml:space="preserve"> </w:t>
      </w:r>
      <w:r w:rsidRPr="00CB2217">
        <w:t>definition.</w:t>
      </w:r>
    </w:p>
    <w:p w14:paraId="529473AA" w14:textId="389E89B5" w:rsidR="00885AE1" w:rsidRPr="00CB2217" w:rsidRDefault="00885AE1" w:rsidP="00F41839">
      <w:pPr>
        <w:pStyle w:val="Heading1"/>
      </w:pPr>
      <w:r w:rsidRPr="00CB2217">
        <w:t xml:space="preserve">Managing </w:t>
      </w:r>
      <w:proofErr w:type="spellStart"/>
      <w:r w:rsidR="003109BA">
        <w:t>mpox</w:t>
      </w:r>
      <w:proofErr w:type="spellEnd"/>
    </w:p>
    <w:p w14:paraId="418E4CA4" w14:textId="3515ABB6" w:rsidR="00885AE1" w:rsidRPr="00CB2217" w:rsidRDefault="00885AE1" w:rsidP="00F41839">
      <w:r w:rsidRPr="008C47CE">
        <w:rPr>
          <w:b/>
          <w:bCs/>
        </w:rPr>
        <w:t>Prepare</w:t>
      </w:r>
      <w:r w:rsidRPr="00CB2217">
        <w:t xml:space="preserve"> by looking look out for signs and symptoms consistent with </w:t>
      </w:r>
      <w:proofErr w:type="spellStart"/>
      <w:r w:rsidR="003109BA">
        <w:t>mpox</w:t>
      </w:r>
      <w:proofErr w:type="spellEnd"/>
      <w:r w:rsidR="003109BA" w:rsidRPr="00CB2217">
        <w:t xml:space="preserve"> </w:t>
      </w:r>
      <w:r w:rsidRPr="00CB2217">
        <w:t xml:space="preserve">particularly in </w:t>
      </w:r>
      <w:r w:rsidR="00A24D67">
        <w:t>men who have sex with men and their sexual partners</w:t>
      </w:r>
      <w:r w:rsidRPr="00CB2217">
        <w:t>.</w:t>
      </w:r>
    </w:p>
    <w:p w14:paraId="41F27172" w14:textId="1B693F7C" w:rsidR="00885AE1" w:rsidRPr="00CB2217" w:rsidRDefault="00885AE1" w:rsidP="00F41839">
      <w:r w:rsidRPr="008C47CE">
        <w:rPr>
          <w:b/>
          <w:bCs/>
        </w:rPr>
        <w:t>Inform</w:t>
      </w:r>
      <w:r w:rsidRPr="00CB2217">
        <w:t xml:space="preserve"> your local Medical Officer of Healt</w:t>
      </w:r>
      <w:r w:rsidR="00A24D67">
        <w:t>h</w:t>
      </w:r>
      <w:r w:rsidR="00A24D67">
        <w:rPr>
          <w:rStyle w:val="FootnoteReference"/>
        </w:rPr>
        <w:footnoteReference w:id="6"/>
      </w:r>
      <w:r w:rsidRPr="00CB2217">
        <w:rPr>
          <w:sz w:val="14"/>
          <w:szCs w:val="14"/>
        </w:rPr>
        <w:t xml:space="preserve"> </w:t>
      </w:r>
      <w:r w:rsidR="001B6AAE">
        <w:t>and/or</w:t>
      </w:r>
      <w:r w:rsidRPr="00CB2217">
        <w:t xml:space="preserve"> clinical microbiologist </w:t>
      </w:r>
      <w:r w:rsidR="001B6AAE">
        <w:t xml:space="preserve">depending on your local </w:t>
      </w:r>
      <w:proofErr w:type="spellStart"/>
      <w:r w:rsidR="001B6AAE">
        <w:t>HealthPathway</w:t>
      </w:r>
      <w:proofErr w:type="spellEnd"/>
      <w:r w:rsidR="001B6AAE">
        <w:t xml:space="preserve"> on</w:t>
      </w:r>
      <w:r w:rsidR="00F41839">
        <w:t xml:space="preserve"> </w:t>
      </w:r>
      <w:r w:rsidRPr="00CB2217">
        <w:t xml:space="preserve">suspicion of a </w:t>
      </w:r>
      <w:proofErr w:type="spellStart"/>
      <w:r w:rsidR="003109BA">
        <w:t>mpox</w:t>
      </w:r>
      <w:proofErr w:type="spellEnd"/>
      <w:r w:rsidR="003109BA">
        <w:t xml:space="preserve"> </w:t>
      </w:r>
      <w:r w:rsidRPr="00CB2217">
        <w:t>case, prior to the collection of any samples.</w:t>
      </w:r>
    </w:p>
    <w:p w14:paraId="0CF706F9" w14:textId="77777777" w:rsidR="00885AE1" w:rsidRPr="00CB2217" w:rsidRDefault="00885AE1" w:rsidP="00F41839">
      <w:r w:rsidRPr="008C47CE">
        <w:rPr>
          <w:b/>
          <w:bCs/>
        </w:rPr>
        <w:t>Test</w:t>
      </w:r>
      <w:r w:rsidRPr="00CB2217">
        <w:t xml:space="preserve"> cases who meet the clinical AND epidemiological criteria.</w:t>
      </w:r>
    </w:p>
    <w:p w14:paraId="7BD328CA" w14:textId="77777777" w:rsidR="00885AE1" w:rsidRPr="00CB2217" w:rsidRDefault="00885AE1" w:rsidP="00F41839">
      <w:pPr>
        <w:pStyle w:val="Heading3"/>
      </w:pPr>
      <w:r w:rsidRPr="00CB2217">
        <w:t>Infection prevention and use of personal protective equipment</w:t>
      </w:r>
    </w:p>
    <w:p w14:paraId="4DDDF08E" w14:textId="23021C1F" w:rsidR="009B0054" w:rsidRPr="006D6B3B" w:rsidRDefault="00EC7763" w:rsidP="00EC7763">
      <w:pPr>
        <w:rPr>
          <w:rFonts w:cs="Segoe UI"/>
        </w:rPr>
      </w:pPr>
      <w:r w:rsidRPr="006D6B3B">
        <w:rPr>
          <w:rFonts w:cs="Segoe UI"/>
        </w:rPr>
        <w:t xml:space="preserve">In addition to Standard Precautions, Contact and </w:t>
      </w:r>
      <w:r w:rsidR="002B4081">
        <w:rPr>
          <w:rFonts w:cs="Segoe UI"/>
        </w:rPr>
        <w:t>Droplet</w:t>
      </w:r>
      <w:r w:rsidRPr="006D6B3B">
        <w:rPr>
          <w:rFonts w:cs="Segoe UI"/>
        </w:rPr>
        <w:t xml:space="preserve"> Precautions should be adhered to for </w:t>
      </w:r>
      <w:r>
        <w:rPr>
          <w:rFonts w:cs="Segoe UI"/>
        </w:rPr>
        <w:t xml:space="preserve">physical examination and </w:t>
      </w:r>
      <w:r w:rsidRPr="006D6B3B">
        <w:rPr>
          <w:rFonts w:cs="Segoe UI"/>
        </w:rPr>
        <w:t>collecting samples.</w:t>
      </w:r>
      <w:r>
        <w:rPr>
          <w:rFonts w:cs="Segoe UI"/>
        </w:rPr>
        <w:t xml:space="preserve"> </w:t>
      </w:r>
      <w:r w:rsidRPr="006D6B3B">
        <w:rPr>
          <w:rFonts w:cs="Segoe UI"/>
        </w:rPr>
        <w:t xml:space="preserve">This includes the use of eye protection, </w:t>
      </w:r>
      <w:r w:rsidR="00DE7F0A">
        <w:rPr>
          <w:rFonts w:cs="Segoe UI"/>
        </w:rPr>
        <w:t>fluid resistant level II R medical mask</w:t>
      </w:r>
      <w:r w:rsidRPr="006D6B3B">
        <w:rPr>
          <w:rFonts w:cs="Segoe UI"/>
        </w:rPr>
        <w:t>, fluid repellent gown and gloves.</w:t>
      </w:r>
      <w:r w:rsidR="00363617" w:rsidRPr="00363617">
        <w:rPr>
          <w:rFonts w:cs="Segoe UI"/>
        </w:rPr>
        <w:t xml:space="preserve"> </w:t>
      </w:r>
      <w:r w:rsidR="009B0054" w:rsidRPr="009B0054">
        <w:rPr>
          <w:rFonts w:cs="Segoe UI"/>
        </w:rPr>
        <w:t xml:space="preserve">Upgrade mask to an N2/P95 when undertaking procedures involving the oropharynx (oropharyngeal samples) or handling used contaminated linen, clothing, or towels. </w:t>
      </w:r>
      <w:r w:rsidR="009B0054">
        <w:rPr>
          <w:rFonts w:cs="Segoe UI"/>
        </w:rPr>
        <w:t>A face covering is sufficient for preliminary clinical assessment.</w:t>
      </w:r>
    </w:p>
    <w:p w14:paraId="09F39A41" w14:textId="2FB52DC6" w:rsidR="00885AE1" w:rsidRPr="00CB2217" w:rsidRDefault="00885AE1" w:rsidP="00F41839">
      <w:r w:rsidRPr="00EC7763">
        <w:rPr>
          <w:b/>
          <w:bCs/>
        </w:rPr>
        <w:t>Advise</w:t>
      </w:r>
      <w:r w:rsidRPr="00CB2217">
        <w:t xml:space="preserve"> probable cases to isolate and avoid close contact (including kissing or sexual contact) with others</w:t>
      </w:r>
      <w:r w:rsidR="000427C2">
        <w:t xml:space="preserve"> </w:t>
      </w:r>
      <w:r w:rsidRPr="00CB2217">
        <w:t>while waiting test results. It is important they are do not share bedding or clothing with others while</w:t>
      </w:r>
      <w:r w:rsidR="000427C2">
        <w:t xml:space="preserve"> </w:t>
      </w:r>
      <w:r w:rsidRPr="00CB2217">
        <w:t>symptomatic.</w:t>
      </w:r>
      <w:r w:rsidR="007C05F0">
        <w:t xml:space="preserve"> Anyone who has been tested for </w:t>
      </w:r>
      <w:proofErr w:type="spellStart"/>
      <w:r w:rsidR="003109BA">
        <w:t>mpox</w:t>
      </w:r>
      <w:proofErr w:type="spellEnd"/>
      <w:r w:rsidR="003109BA">
        <w:t xml:space="preserve"> </w:t>
      </w:r>
      <w:r w:rsidR="007C05F0">
        <w:t>must remain in isolation while awaiting their test result.</w:t>
      </w:r>
    </w:p>
    <w:p w14:paraId="5920B66D" w14:textId="4B0157A8" w:rsidR="00885AE1" w:rsidRPr="00CB2217" w:rsidRDefault="00885AE1" w:rsidP="00F41839">
      <w:r w:rsidRPr="00CA1EEB">
        <w:rPr>
          <w:b/>
          <w:bCs/>
        </w:rPr>
        <w:t>Manage</w:t>
      </w:r>
      <w:r w:rsidRPr="00CB2217">
        <w:t xml:space="preserve"> the case with </w:t>
      </w:r>
      <w:r w:rsidR="003430EC">
        <w:t>regular</w:t>
      </w:r>
      <w:r w:rsidRPr="00CB2217">
        <w:t xml:space="preserve"> check-ins to monitor symptoms. Probable and confirmed cases will need to</w:t>
      </w:r>
      <w:r w:rsidR="000427C2">
        <w:t xml:space="preserve"> </w:t>
      </w:r>
      <w:r w:rsidRPr="00CB2217">
        <w:t xml:space="preserve">be </w:t>
      </w:r>
      <w:r w:rsidR="00CA1EEB">
        <w:t>actively managed by the National Public Health Service until their lesions are fully healed, scabs have fallen off and a complete layer of skin has formed underneath.</w:t>
      </w:r>
    </w:p>
    <w:p w14:paraId="36F28AE7" w14:textId="49D9F0CB" w:rsidR="00885AE1" w:rsidRPr="00CB2217" w:rsidRDefault="00885AE1" w:rsidP="00F41839">
      <w:r w:rsidRPr="00CB2217">
        <w:lastRenderedPageBreak/>
        <w:t>Probable or confirmed cases should avoid close direct contact with animals, including domestic animals</w:t>
      </w:r>
      <w:r w:rsidR="000427C2">
        <w:t xml:space="preserve"> </w:t>
      </w:r>
      <w:r w:rsidRPr="00CB2217">
        <w:t>(such as cats and dogs), livestock, and other captive animals, as well as wildlife. People should be</w:t>
      </w:r>
      <w:r w:rsidR="000427C2">
        <w:t xml:space="preserve"> </w:t>
      </w:r>
      <w:r w:rsidRPr="00CB2217">
        <w:t>particularly vigilant around animals known to be susceptible, such as rodents and non-human primates.</w:t>
      </w:r>
    </w:p>
    <w:p w14:paraId="3DBDEC88" w14:textId="18CE796B" w:rsidR="00885AE1" w:rsidRPr="00CB2217" w:rsidRDefault="00885AE1" w:rsidP="00F41839">
      <w:r w:rsidRPr="00CB2217">
        <w:t>Ensure that all waste, including medical waste, is disposed of in a safe manner and that it is not</w:t>
      </w:r>
      <w:r w:rsidR="00926F57">
        <w:t xml:space="preserve"> </w:t>
      </w:r>
      <w:r w:rsidRPr="00CB2217">
        <w:t>accessible to rodents and other scavenger animals.</w:t>
      </w:r>
    </w:p>
    <w:p w14:paraId="7B769D1B" w14:textId="7307C323" w:rsidR="00885AE1" w:rsidRPr="00CB2217" w:rsidRDefault="00885AE1" w:rsidP="00F41839">
      <w:r w:rsidRPr="00CB2217">
        <w:t>Contact tracing of cases and close contacts will be undertaken by the local Medical Officer of</w:t>
      </w:r>
      <w:r w:rsidR="00926F57">
        <w:t xml:space="preserve"> </w:t>
      </w:r>
      <w:r w:rsidRPr="00CB2217">
        <w:t>Health</w:t>
      </w:r>
      <w:r w:rsidR="00FE0D8E">
        <w:t xml:space="preserve"> or their delegate</w:t>
      </w:r>
      <w:r w:rsidRPr="00CB2217">
        <w:t xml:space="preserve"> in consultation with the</w:t>
      </w:r>
      <w:r w:rsidR="00EF1614">
        <w:t xml:space="preserve"> case,</w:t>
      </w:r>
      <w:r w:rsidR="00B46012">
        <w:t xml:space="preserve"> and the</w:t>
      </w:r>
      <w:r w:rsidRPr="00CB2217">
        <w:t xml:space="preserve"> treating physician or sexual health clinic.</w:t>
      </w:r>
    </w:p>
    <w:p w14:paraId="14B70D46" w14:textId="54A9C179" w:rsidR="00FE0D8E" w:rsidRDefault="003109BA" w:rsidP="00FE0D8E">
      <w:pPr>
        <w:pStyle w:val="Heading2"/>
      </w:pPr>
      <w:proofErr w:type="spellStart"/>
      <w:r>
        <w:t>Mpox</w:t>
      </w:r>
      <w:proofErr w:type="spellEnd"/>
      <w:r>
        <w:t xml:space="preserve"> </w:t>
      </w:r>
      <w:r w:rsidR="00FE0D8E">
        <w:t>Contacts</w:t>
      </w:r>
    </w:p>
    <w:p w14:paraId="731B340A" w14:textId="0F700FCF" w:rsidR="002C4DCC" w:rsidRDefault="002C4DCC" w:rsidP="00E77800">
      <w:r>
        <w:t xml:space="preserve">No </w:t>
      </w:r>
      <w:proofErr w:type="spellStart"/>
      <w:r w:rsidR="003109BA">
        <w:t>mpox</w:t>
      </w:r>
      <w:proofErr w:type="spellEnd"/>
      <w:r w:rsidR="003109BA">
        <w:t xml:space="preserve"> </w:t>
      </w:r>
      <w:r>
        <w:t>contacts are required to quarantine. If symptoms develop, they must isolate.</w:t>
      </w:r>
    </w:p>
    <w:p w14:paraId="49249591" w14:textId="11025C4C" w:rsidR="007D315D" w:rsidRDefault="007D315D" w:rsidP="007D315D">
      <w:pPr>
        <w:pStyle w:val="Heading3"/>
      </w:pPr>
      <w:r>
        <w:t>Actively Monitored Close Contacts</w:t>
      </w:r>
    </w:p>
    <w:p w14:paraId="49AC6BEF" w14:textId="587535A1" w:rsidR="00885AE1" w:rsidRPr="00CB2217" w:rsidRDefault="00E77800" w:rsidP="00E77800">
      <w:r>
        <w:t xml:space="preserve">Actively monitored close contacts are those who have had one or more of the following exposures </w:t>
      </w:r>
      <w:r w:rsidR="00885AE1" w:rsidRPr="00CB2217">
        <w:t>during their infectious period:</w:t>
      </w:r>
    </w:p>
    <w:p w14:paraId="64BCB9D2" w14:textId="77777777" w:rsidR="00820E80" w:rsidRDefault="00820E80" w:rsidP="00820E80">
      <w:pPr>
        <w:pStyle w:val="ListParagraph"/>
        <w:numPr>
          <w:ilvl w:val="0"/>
          <w:numId w:val="18"/>
        </w:numPr>
        <w:adjustRightInd/>
        <w:rPr>
          <w:color w:val="auto"/>
        </w:rPr>
      </w:pPr>
      <w:bookmarkStart w:id="0" w:name="_Hlk122594709"/>
      <w:r>
        <w:rPr>
          <w:color w:val="auto"/>
        </w:rPr>
        <w:t>Direct physical contact with skin or mucous membranes of a case. (i.e., skin to skin, skin to mucous membranes, mucous membrane to mucous membrane).</w:t>
      </w:r>
    </w:p>
    <w:p w14:paraId="373195F7" w14:textId="77777777" w:rsidR="00820E80" w:rsidRDefault="00820E80" w:rsidP="00820E80">
      <w:pPr>
        <w:pStyle w:val="ListParagraph"/>
        <w:numPr>
          <w:ilvl w:val="0"/>
          <w:numId w:val="18"/>
        </w:numPr>
        <w:adjustRightInd/>
        <w:rPr>
          <w:color w:val="auto"/>
        </w:rPr>
      </w:pPr>
      <w:r>
        <w:rPr>
          <w:color w:val="auto"/>
        </w:rPr>
        <w:t>Direct contact with potentially contaminated materials and not wearing the appropriate PPE (bed linens healthcare equipment), crusts from lesions or with bodily fluids from a case</w:t>
      </w:r>
    </w:p>
    <w:p w14:paraId="0452F50F" w14:textId="77777777" w:rsidR="00820E80" w:rsidRDefault="00820E80" w:rsidP="00820E80">
      <w:pPr>
        <w:pStyle w:val="ListParagraph"/>
        <w:numPr>
          <w:ilvl w:val="0"/>
          <w:numId w:val="18"/>
        </w:numPr>
        <w:autoSpaceDE/>
        <w:adjustRightInd/>
        <w:spacing w:before="60" w:after="60"/>
        <w:rPr>
          <w:color w:val="auto"/>
        </w:rPr>
      </w:pPr>
      <w:r>
        <w:rPr>
          <w:color w:val="FF0000"/>
        </w:rPr>
        <w:t xml:space="preserve">If a P2/N95 particulate respirator/eye protection has not been </w:t>
      </w:r>
      <w:proofErr w:type="gramStart"/>
      <w:r>
        <w:rPr>
          <w:color w:val="FF0000"/>
        </w:rPr>
        <w:t>worn:</w:t>
      </w:r>
      <w:proofErr w:type="gramEnd"/>
      <w:r>
        <w:rPr>
          <w:color w:val="FF0000"/>
        </w:rPr>
        <w:t xml:space="preserve"> </w:t>
      </w:r>
      <w:r>
        <w:rPr>
          <w:color w:val="auto"/>
        </w:rPr>
        <w:t xml:space="preserve">Presence in an enclosed room within 1 m of a case during aerosol generating procedures </w:t>
      </w:r>
    </w:p>
    <w:p w14:paraId="7D8FE922" w14:textId="77777777" w:rsidR="00820E80" w:rsidRDefault="00820E80" w:rsidP="00820E80">
      <w:pPr>
        <w:pStyle w:val="ListParagraph"/>
        <w:numPr>
          <w:ilvl w:val="0"/>
          <w:numId w:val="18"/>
        </w:numPr>
        <w:autoSpaceDE/>
        <w:adjustRightInd/>
        <w:spacing w:before="60" w:after="60"/>
        <w:rPr>
          <w:color w:val="auto"/>
        </w:rPr>
      </w:pPr>
      <w:r>
        <w:rPr>
          <w:color w:val="auto"/>
        </w:rPr>
        <w:t>Sharps injuries (including to cleaning or laboratory staff)</w:t>
      </w:r>
    </w:p>
    <w:bookmarkEnd w:id="0"/>
    <w:p w14:paraId="109C438E" w14:textId="45731C05" w:rsidR="00885AE1" w:rsidRPr="00CB2217" w:rsidRDefault="00885AE1" w:rsidP="00F41839">
      <w:r w:rsidRPr="00CB2217">
        <w:t>A</w:t>
      </w:r>
      <w:r w:rsidR="00E4697B">
        <w:t>ctively monitored</w:t>
      </w:r>
      <w:r w:rsidRPr="00CB2217">
        <w:t xml:space="preserve"> close contact</w:t>
      </w:r>
      <w:r w:rsidR="00E4697B">
        <w:t>s</w:t>
      </w:r>
      <w:r w:rsidRPr="00CB2217">
        <w:t xml:space="preserve"> </w:t>
      </w:r>
      <w:r w:rsidR="00E4697B">
        <w:t>u</w:t>
      </w:r>
      <w:r w:rsidRPr="00CB2217">
        <w:t>ndergo symptom monitoring for 21 days since last contact with a confirmed or</w:t>
      </w:r>
      <w:r w:rsidR="00771F90">
        <w:t xml:space="preserve"> </w:t>
      </w:r>
      <w:r w:rsidRPr="00CB2217">
        <w:t xml:space="preserve">probable case. If </w:t>
      </w:r>
      <w:r w:rsidR="002C4DCC">
        <w:t>any</w:t>
      </w:r>
      <w:r w:rsidRPr="00CB2217">
        <w:t xml:space="preserve"> symptoms develop, they will need to isolate. </w:t>
      </w:r>
      <w:r w:rsidR="00424D52">
        <w:t>For 21 days following their last exposure to the case, contacts are directed to:</w:t>
      </w:r>
    </w:p>
    <w:p w14:paraId="6B5662E9" w14:textId="77777777" w:rsidR="007D315D" w:rsidRDefault="007D315D" w:rsidP="007D315D">
      <w:pPr>
        <w:pStyle w:val="ListParagraph"/>
        <w:numPr>
          <w:ilvl w:val="0"/>
          <w:numId w:val="20"/>
        </w:numPr>
      </w:pPr>
      <w:r>
        <w:t>Wear a mask when around others</w:t>
      </w:r>
    </w:p>
    <w:p w14:paraId="6C1D732A" w14:textId="77777777" w:rsidR="007D315D" w:rsidRDefault="007D315D" w:rsidP="007D315D">
      <w:pPr>
        <w:pStyle w:val="ListParagraph"/>
        <w:numPr>
          <w:ilvl w:val="0"/>
          <w:numId w:val="20"/>
        </w:numPr>
      </w:pPr>
      <w:r>
        <w:t>If travelling outside the region/country, to advise public health so their management can be transferred</w:t>
      </w:r>
    </w:p>
    <w:p w14:paraId="40D80007" w14:textId="77777777" w:rsidR="007D315D" w:rsidRDefault="007D315D" w:rsidP="007D315D">
      <w:pPr>
        <w:pStyle w:val="ListParagraph"/>
        <w:numPr>
          <w:ilvl w:val="0"/>
          <w:numId w:val="20"/>
        </w:numPr>
      </w:pPr>
      <w:r>
        <w:t>Advise public health if they work in healthcare</w:t>
      </w:r>
    </w:p>
    <w:p w14:paraId="3985EA6E" w14:textId="77777777" w:rsidR="007D315D" w:rsidRDefault="007D315D" w:rsidP="007D315D">
      <w:pPr>
        <w:pStyle w:val="ListParagraph"/>
        <w:numPr>
          <w:ilvl w:val="0"/>
          <w:numId w:val="20"/>
        </w:numPr>
      </w:pPr>
      <w:r>
        <w:t>Avoid high-risk activities including sexual activity, kissing, and other skin-to-skin contact with others</w:t>
      </w:r>
    </w:p>
    <w:p w14:paraId="468D0BCC" w14:textId="640D465E" w:rsidR="007D315D" w:rsidRDefault="007D315D" w:rsidP="007D315D">
      <w:pPr>
        <w:pStyle w:val="Heading3"/>
      </w:pPr>
      <w:r>
        <w:t>Self-monitoring Close Contacts</w:t>
      </w:r>
    </w:p>
    <w:p w14:paraId="0BBA201E" w14:textId="6CFCDA7D" w:rsidR="007D315D" w:rsidRDefault="007D315D" w:rsidP="007D315D">
      <w:r>
        <w:t xml:space="preserve">Self-monitoring close contacts are those who have had one or more of the following exposures </w:t>
      </w:r>
      <w:r w:rsidRPr="00CB2217">
        <w:t>during their infectious period:</w:t>
      </w:r>
    </w:p>
    <w:p w14:paraId="1B91093E" w14:textId="77777777" w:rsidR="00DA05D6" w:rsidRDefault="00DA05D6" w:rsidP="00DA05D6">
      <w:pPr>
        <w:pStyle w:val="ListParagraph"/>
        <w:numPr>
          <w:ilvl w:val="0"/>
          <w:numId w:val="20"/>
        </w:numPr>
      </w:pPr>
      <w:r>
        <w:t xml:space="preserve">Indirect contact in an enclosed poorly ventilated indoor space within 1 meter of a case for more than 3 hours  </w:t>
      </w:r>
    </w:p>
    <w:p w14:paraId="261C55BC" w14:textId="77777777" w:rsidR="00DA05D6" w:rsidRDefault="00DA05D6" w:rsidP="00DA05D6">
      <w:pPr>
        <w:pStyle w:val="ListParagraph"/>
        <w:numPr>
          <w:ilvl w:val="0"/>
          <w:numId w:val="20"/>
        </w:numPr>
      </w:pPr>
      <w:r>
        <w:t>People sitting either side of a case on an airplane</w:t>
      </w:r>
    </w:p>
    <w:p w14:paraId="2811C858" w14:textId="48AFDED9" w:rsidR="00DA05D6" w:rsidRDefault="00DA05D6" w:rsidP="00DA05D6">
      <w:pPr>
        <w:pStyle w:val="ListParagraph"/>
        <w:numPr>
          <w:ilvl w:val="0"/>
          <w:numId w:val="20"/>
        </w:numPr>
      </w:pPr>
      <w:r>
        <w:t>Household contacts who have not had any direct physical contact but have spent more than three hours with a case.</w:t>
      </w:r>
    </w:p>
    <w:p w14:paraId="109E9518" w14:textId="25580ACA" w:rsidR="007D315D" w:rsidRPr="007D315D" w:rsidRDefault="001542CC" w:rsidP="001542CC">
      <w:pPr>
        <w:pStyle w:val="ListParagraph"/>
        <w:numPr>
          <w:ilvl w:val="0"/>
          <w:numId w:val="20"/>
        </w:numPr>
      </w:pPr>
      <w:r w:rsidRPr="001542CC">
        <w:t xml:space="preserve">Spillage or leakage of laboratory specimen onto intact skin </w:t>
      </w:r>
    </w:p>
    <w:p w14:paraId="6D896209" w14:textId="113A644B" w:rsidR="00885AE1" w:rsidRPr="00CB2217" w:rsidRDefault="00885AE1" w:rsidP="00F41839">
      <w:r w:rsidRPr="00CB2217">
        <w:t xml:space="preserve">Options for post exposure vaccine prophylaxis for </w:t>
      </w:r>
      <w:r w:rsidR="001542CC">
        <w:t xml:space="preserve">both types of </w:t>
      </w:r>
      <w:r w:rsidRPr="00CB2217">
        <w:t>close contacts are being explored</w:t>
      </w:r>
      <w:r w:rsidR="001542CC">
        <w:t xml:space="preserve"> for when vaccine becomes available.</w:t>
      </w:r>
    </w:p>
    <w:p w14:paraId="14F03003" w14:textId="39C5D5EA" w:rsidR="00885AE1" w:rsidRPr="00CB2217" w:rsidRDefault="00885AE1" w:rsidP="00F41839">
      <w:r w:rsidRPr="00CB2217">
        <w:lastRenderedPageBreak/>
        <w:t>Treatment advice can be provided by your local Infectious Disease</w:t>
      </w:r>
      <w:r w:rsidR="001542CC">
        <w:t xml:space="preserve"> and/or Sexual Health</w:t>
      </w:r>
      <w:r w:rsidRPr="00CB2217">
        <w:t xml:space="preserve"> Physicians. The Ministry of Health</w:t>
      </w:r>
      <w:r w:rsidR="004A654C">
        <w:t xml:space="preserve"> </w:t>
      </w:r>
      <w:r w:rsidRPr="00CB2217">
        <w:t>Therapeutic Technical Advisory Group has developed advice around use of vaccines or antivirals for</w:t>
      </w:r>
      <w:r w:rsidR="004A654C">
        <w:t xml:space="preserve"> </w:t>
      </w:r>
      <w:r w:rsidRPr="00CB2217">
        <w:t>cases and close contacts.</w:t>
      </w:r>
    </w:p>
    <w:p w14:paraId="7CC71EC4" w14:textId="77777777" w:rsidR="00FF1D56" w:rsidRDefault="00FF1D56" w:rsidP="004A654C">
      <w:pPr>
        <w:pStyle w:val="Heading3"/>
      </w:pPr>
    </w:p>
    <w:p w14:paraId="69B0EC94" w14:textId="5D436002" w:rsidR="00885AE1" w:rsidRPr="00CB2217" w:rsidRDefault="00885AE1" w:rsidP="004A654C">
      <w:pPr>
        <w:pStyle w:val="Heading3"/>
      </w:pPr>
      <w:r w:rsidRPr="00CB2217">
        <w:t>More information</w:t>
      </w:r>
    </w:p>
    <w:p w14:paraId="4370DBBB" w14:textId="77777777" w:rsidR="00885AE1" w:rsidRPr="00CB2217" w:rsidRDefault="00885AE1" w:rsidP="00F41839">
      <w:r w:rsidRPr="00CB2217">
        <w:t>For more information, including updates on overseas case numbers and investigations, please refer to:</w:t>
      </w:r>
    </w:p>
    <w:p w14:paraId="5BAA7956" w14:textId="234A2E1C" w:rsidR="00885AE1" w:rsidRPr="00CB2217" w:rsidRDefault="00885AE1" w:rsidP="004A654C">
      <w:pPr>
        <w:pStyle w:val="ListParagraph"/>
        <w:numPr>
          <w:ilvl w:val="0"/>
          <w:numId w:val="11"/>
        </w:numPr>
      </w:pPr>
      <w:r w:rsidRPr="00CB2217">
        <w:t>Ministry of Health: https://www.health.govt.nz/our-work/diseases-and-conditions/monkeypox</w:t>
      </w:r>
    </w:p>
    <w:p w14:paraId="35FDC15E" w14:textId="23D20C52" w:rsidR="00885AE1" w:rsidRPr="00CB2217" w:rsidRDefault="003109BA" w:rsidP="004A654C">
      <w:pPr>
        <w:pStyle w:val="ListParagraph"/>
        <w:numPr>
          <w:ilvl w:val="0"/>
          <w:numId w:val="11"/>
        </w:numPr>
      </w:pPr>
      <w:proofErr w:type="spellStart"/>
      <w:r w:rsidRPr="00CB2217">
        <w:t>M</w:t>
      </w:r>
      <w:r>
        <w:t>pox</w:t>
      </w:r>
      <w:proofErr w:type="spellEnd"/>
      <w:r w:rsidRPr="00CB2217">
        <w:t xml:space="preserve"> </w:t>
      </w:r>
      <w:r w:rsidR="00885AE1" w:rsidRPr="00CB2217">
        <w:t>photos and dermatologist advice: https://dermnetnz.org/topics/monkeypox</w:t>
      </w:r>
    </w:p>
    <w:p w14:paraId="62F006EB" w14:textId="1AC55350" w:rsidR="00885AE1" w:rsidRPr="00CB2217" w:rsidRDefault="00885AE1" w:rsidP="004A654C">
      <w:pPr>
        <w:pStyle w:val="ListParagraph"/>
        <w:numPr>
          <w:ilvl w:val="0"/>
          <w:numId w:val="11"/>
        </w:numPr>
      </w:pPr>
      <w:r w:rsidRPr="00CB2217">
        <w:t>WHO: https://www.who.int/emergencies/emergency-events/item/2022-e000121</w:t>
      </w:r>
    </w:p>
    <w:p w14:paraId="2D46420F" w14:textId="7C584C04" w:rsidR="00885AE1" w:rsidRPr="00CB2217" w:rsidRDefault="00885AE1" w:rsidP="004A654C">
      <w:pPr>
        <w:pStyle w:val="ListParagraph"/>
        <w:numPr>
          <w:ilvl w:val="0"/>
          <w:numId w:val="11"/>
        </w:numPr>
      </w:pPr>
      <w:r w:rsidRPr="00CB2217">
        <w:t>UK: https://www.gov.uk/government/news/monkeypox-cases-confirmed-in-england-latestupdates</w:t>
      </w:r>
    </w:p>
    <w:p w14:paraId="7B61075F" w14:textId="2EF1245B" w:rsidR="00885AE1" w:rsidRPr="00CB2217" w:rsidRDefault="00885AE1" w:rsidP="004A654C">
      <w:pPr>
        <w:pStyle w:val="ListParagraph"/>
        <w:numPr>
          <w:ilvl w:val="0"/>
          <w:numId w:val="11"/>
        </w:numPr>
      </w:pPr>
      <w:r w:rsidRPr="00CB2217">
        <w:t>ECDC: https://www.ecdc.europa.eu/en/news-events</w:t>
      </w:r>
    </w:p>
    <w:p w14:paraId="5464C41E" w14:textId="4235F20D" w:rsidR="00885AE1" w:rsidRPr="00CB2217" w:rsidRDefault="00885AE1" w:rsidP="004A654C">
      <w:pPr>
        <w:pStyle w:val="ListParagraph"/>
        <w:numPr>
          <w:ilvl w:val="0"/>
          <w:numId w:val="11"/>
        </w:numPr>
      </w:pPr>
      <w:r w:rsidRPr="00CB2217">
        <w:t>CDC: https://www.cdc.gov/poxvirus/monkeypox/outbreak/us-outbreaks.html</w:t>
      </w:r>
    </w:p>
    <w:p w14:paraId="0CA686AE" w14:textId="599C686D" w:rsidR="00885AE1" w:rsidRPr="00CB2217" w:rsidRDefault="00885AE1" w:rsidP="004A654C">
      <w:pPr>
        <w:pStyle w:val="ListParagraph"/>
        <w:numPr>
          <w:ilvl w:val="0"/>
          <w:numId w:val="11"/>
        </w:numPr>
      </w:pPr>
      <w:r w:rsidRPr="00CB2217">
        <w:t>WOAH: https://www.woah.org/en/disease/monkeypox/</w:t>
      </w:r>
    </w:p>
    <w:sectPr w:rsidR="00885AE1" w:rsidRPr="00CB2217" w:rsidSect="00404A3C">
      <w:headerReference w:type="default" r:id="rId12"/>
      <w:footerReference w:type="default" r:id="rId13"/>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104E5" w14:textId="77777777" w:rsidR="00CD24A5" w:rsidRDefault="00CD24A5" w:rsidP="00F41839">
      <w:r>
        <w:separator/>
      </w:r>
    </w:p>
  </w:endnote>
  <w:endnote w:type="continuationSeparator" w:id="0">
    <w:p w14:paraId="3DF9EDCD" w14:textId="77777777" w:rsidR="00CD24A5" w:rsidRDefault="00CD24A5" w:rsidP="00F41839">
      <w:r>
        <w:continuationSeparator/>
      </w:r>
    </w:p>
  </w:endnote>
  <w:endnote w:type="continuationNotice" w:id="1">
    <w:p w14:paraId="73A178A7" w14:textId="77777777" w:rsidR="00CD24A5" w:rsidRDefault="00CD24A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D20E" w14:textId="455461D8" w:rsidR="00756F32" w:rsidRDefault="00404A3C" w:rsidP="00F41839">
    <w:pPr>
      <w:pStyle w:val="Footer"/>
    </w:pPr>
    <w:r>
      <w:fldChar w:fldCharType="begin"/>
    </w:r>
    <w:r>
      <w:instrText xml:space="preserve"> PAGE   \* MERGEFORMAT </w:instrText>
    </w:r>
    <w:r>
      <w:fldChar w:fldCharType="separate"/>
    </w:r>
    <w:r>
      <w:rPr>
        <w:noProof/>
      </w:rPr>
      <w:t>1</w:t>
    </w:r>
    <w:r>
      <w:rPr>
        <w:noProof/>
      </w:rPr>
      <w:fldChar w:fldCharType="end"/>
    </w:r>
    <w:r w:rsidR="00810150">
      <w:rPr>
        <w:noProof/>
        <w:lang w:eastAsia="en-NZ"/>
      </w:rPr>
      <w:drawing>
        <wp:anchor distT="0" distB="0" distL="0" distR="0" simplePos="0" relativeHeight="251658242" behindDoc="1" locked="0" layoutInCell="1" allowOverlap="1" wp14:anchorId="78F97961" wp14:editId="55EE9A6C">
          <wp:simplePos x="0" y="0"/>
          <wp:positionH relativeFrom="page">
            <wp:posOffset>-20689</wp:posOffset>
          </wp:positionH>
          <wp:positionV relativeFrom="page">
            <wp:posOffset>10368989</wp:posOffset>
          </wp:positionV>
          <wp:extent cx="7558247" cy="323850"/>
          <wp:effectExtent l="0" t="0" r="508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7558247" cy="32385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8D61" w14:textId="77777777" w:rsidR="00CD24A5" w:rsidRDefault="00CD24A5" w:rsidP="00F41839">
      <w:r>
        <w:separator/>
      </w:r>
    </w:p>
  </w:footnote>
  <w:footnote w:type="continuationSeparator" w:id="0">
    <w:p w14:paraId="70555FCC" w14:textId="77777777" w:rsidR="00CD24A5" w:rsidRDefault="00CD24A5" w:rsidP="00F41839">
      <w:r>
        <w:continuationSeparator/>
      </w:r>
    </w:p>
  </w:footnote>
  <w:footnote w:type="continuationNotice" w:id="1">
    <w:p w14:paraId="0A08EF2A" w14:textId="77777777" w:rsidR="00CD24A5" w:rsidRDefault="00CD24A5">
      <w:pPr>
        <w:spacing w:before="0"/>
      </w:pPr>
    </w:p>
  </w:footnote>
  <w:footnote w:id="2">
    <w:p w14:paraId="306547AA" w14:textId="77777777" w:rsidR="00E852B0" w:rsidRPr="008238E4" w:rsidRDefault="00E852B0" w:rsidP="00E852B0">
      <w:pPr>
        <w:pStyle w:val="FootnoteText"/>
      </w:pPr>
      <w:r>
        <w:rPr>
          <w:rStyle w:val="FootnoteReference"/>
        </w:rPr>
        <w:footnoteRef/>
      </w:r>
      <w:r>
        <w:t xml:space="preserve"> </w:t>
      </w:r>
      <w:r w:rsidRPr="008238E4">
        <w:t>More common causes of acute rashes with similar appearances should be considered and excluded</w:t>
      </w:r>
      <w:r>
        <w:t xml:space="preserve"> </w:t>
      </w:r>
      <w:r w:rsidRPr="008238E4">
        <w:t xml:space="preserve">where possible; varicella zoster, herpes simplex, syphilis, molluscum contagiosum. </w:t>
      </w:r>
    </w:p>
  </w:footnote>
  <w:footnote w:id="3">
    <w:p w14:paraId="73886153" w14:textId="77777777" w:rsidR="00792DDA" w:rsidRDefault="00792DDA" w:rsidP="00792DDA">
      <w:pPr>
        <w:pStyle w:val="FootnoteText"/>
      </w:pPr>
      <w:r>
        <w:rPr>
          <w:rStyle w:val="FootnoteReference"/>
        </w:rPr>
        <w:footnoteRef/>
      </w:r>
      <w:r>
        <w:t xml:space="preserve"> </w:t>
      </w:r>
      <w:r>
        <w:tab/>
      </w:r>
      <w:r w:rsidRPr="00956EF1">
        <w:t xml:space="preserve">Exposure: direct physical contact with skin or skin lesions, including sexual contact; or contact with contaminated materials such as clothing, bedding or utensils; or </w:t>
      </w:r>
      <w:r>
        <w:t xml:space="preserve">prolonged </w:t>
      </w:r>
      <w:r w:rsidRPr="00956EF1">
        <w:t>face-to-face</w:t>
      </w:r>
      <w:r>
        <w:t xml:space="preserve"> contact</w:t>
      </w:r>
      <w:r w:rsidRPr="00956EF1">
        <w:t>, including health care workers without appropriate PPE</w:t>
      </w:r>
      <w:r>
        <w:t>.</w:t>
      </w:r>
    </w:p>
  </w:footnote>
  <w:footnote w:id="4">
    <w:p w14:paraId="5283663C" w14:textId="77777777" w:rsidR="00175A42" w:rsidRPr="008238E4" w:rsidRDefault="00175A42" w:rsidP="00175A42">
      <w:pPr>
        <w:pStyle w:val="FootnoteText"/>
      </w:pPr>
      <w:r>
        <w:rPr>
          <w:rStyle w:val="FootnoteReference"/>
        </w:rPr>
        <w:footnoteRef/>
      </w:r>
      <w:r>
        <w:t xml:space="preserve"> </w:t>
      </w:r>
      <w:proofErr w:type="spellStart"/>
      <w:r>
        <w:rPr>
          <w:lang w:val="mi-NZ"/>
        </w:rPr>
        <w:t>Two</w:t>
      </w:r>
      <w:proofErr w:type="spellEnd"/>
      <w:r>
        <w:rPr>
          <w:lang w:val="mi-NZ"/>
        </w:rPr>
        <w:t xml:space="preserve"> or more</w:t>
      </w:r>
    </w:p>
  </w:footnote>
  <w:footnote w:id="5">
    <w:p w14:paraId="16516E0A" w14:textId="7A40DD64" w:rsidR="00B46159" w:rsidRPr="00B46159" w:rsidRDefault="00B46159">
      <w:pPr>
        <w:pStyle w:val="FootnoteText"/>
        <w:rPr>
          <w:lang w:val="mi-NZ"/>
        </w:rPr>
      </w:pPr>
      <w:r>
        <w:rPr>
          <w:rStyle w:val="FootnoteReference"/>
        </w:rPr>
        <w:footnoteRef/>
      </w:r>
      <w:r>
        <w:t xml:space="preserve"> </w:t>
      </w:r>
      <w:proofErr w:type="spellStart"/>
      <w:r>
        <w:rPr>
          <w:lang w:val="mi-NZ"/>
        </w:rPr>
        <w:t>Per</w:t>
      </w:r>
      <w:proofErr w:type="spellEnd"/>
      <w:r>
        <w:rPr>
          <w:lang w:val="mi-NZ"/>
        </w:rPr>
        <w:t xml:space="preserve"> WHO</w:t>
      </w:r>
    </w:p>
  </w:footnote>
  <w:footnote w:id="6">
    <w:p w14:paraId="4438B58E" w14:textId="5A14151A" w:rsidR="00A24D67" w:rsidRPr="00A11CF3" w:rsidRDefault="00A24D67" w:rsidP="00A11CF3">
      <w:pPr>
        <w:spacing w:before="0"/>
        <w:rPr>
          <w:rFonts w:ascii="CIDFont+F1" w:hAnsi="CIDFont+F1" w:cs="CIDFont+F1"/>
          <w:color w:val="auto"/>
          <w:sz w:val="17"/>
          <w:szCs w:val="17"/>
        </w:rPr>
      </w:pPr>
      <w:r>
        <w:rPr>
          <w:rStyle w:val="FootnoteReference"/>
        </w:rPr>
        <w:footnoteRef/>
      </w:r>
      <w:r>
        <w:t xml:space="preserve"> </w:t>
      </w:r>
      <w:hyperlink r:id="rId1" w:history="1">
        <w:r w:rsidR="00A11CF3" w:rsidRPr="00B55252">
          <w:rPr>
            <w:rStyle w:val="Hyperlink"/>
            <w:rFonts w:ascii="CIDFont+F1" w:hAnsi="CIDFont+F1" w:cs="CIDFont+F1"/>
            <w:sz w:val="17"/>
            <w:szCs w:val="17"/>
          </w:rPr>
          <w:t>https://www.health.govt.nz/new-zealand-health-system/key-health-sector-organisations-and-people/public-health-units/publichealth-unit-contacts</w:t>
        </w:r>
      </w:hyperlink>
      <w:r w:rsidR="00A11CF3">
        <w:rPr>
          <w:rFonts w:ascii="CIDFont+F1" w:hAnsi="CIDFont+F1" w:cs="CIDFont+F1"/>
          <w:color w:val="auto"/>
          <w:sz w:val="17"/>
          <w:szCs w:val="17"/>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ADA2" w14:textId="783FC6B5" w:rsidR="00756F32" w:rsidRDefault="00404A3C" w:rsidP="00F41839">
    <w:pPr>
      <w:pStyle w:val="Header"/>
    </w:pPr>
    <w:r w:rsidRPr="00404A3C">
      <w:rPr>
        <w:noProof/>
      </w:rPr>
      <w:drawing>
        <wp:anchor distT="0" distB="0" distL="114300" distR="114300" simplePos="0" relativeHeight="251658243" behindDoc="0" locked="0" layoutInCell="1" allowOverlap="1" wp14:anchorId="15A706AA" wp14:editId="69642CBA">
          <wp:simplePos x="0" y="0"/>
          <wp:positionH relativeFrom="column">
            <wp:posOffset>4188756</wp:posOffset>
          </wp:positionH>
          <wp:positionV relativeFrom="paragraph">
            <wp:posOffset>199183</wp:posOffset>
          </wp:positionV>
          <wp:extent cx="2147570" cy="2127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570" cy="212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251658241" behindDoc="1" locked="0" layoutInCell="1" allowOverlap="1" wp14:anchorId="0914F6B8" wp14:editId="5A25548F">
              <wp:simplePos x="0" y="0"/>
              <wp:positionH relativeFrom="page">
                <wp:posOffset>594892</wp:posOffset>
              </wp:positionH>
              <wp:positionV relativeFrom="page">
                <wp:posOffset>597328</wp:posOffset>
              </wp:positionV>
              <wp:extent cx="1762579" cy="376283"/>
              <wp:effectExtent l="0" t="0" r="6350" b="5080"/>
              <wp:wrapNone/>
              <wp:docPr id="5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579" cy="376283"/>
                      </a:xfrm>
                      <a:prstGeom prst="rect">
                        <a:avLst/>
                      </a:prstGeom>
                      <a:blipFill>
                        <a:blip r:embed="rId2"/>
                        <a:stretch>
                          <a:fillRect/>
                        </a:stretch>
                      </a:blipFill>
                      <a:ln>
                        <a:noFill/>
                      </a:ln>
                    </wps:spPr>
                    <wps:txbx>
                      <w:txbxContent>
                        <w:p w14:paraId="5D5A0ECE" w14:textId="77777777" w:rsidR="00FB52CB" w:rsidRDefault="00FB52CB" w:rsidP="00F418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4F6B8" id="_x0000_t202" coordsize="21600,21600" o:spt="202" path="m,l,21600r21600,l21600,xe">
              <v:stroke joinstyle="miter"/>
              <v:path gradientshapeok="t" o:connecttype="rect"/>
            </v:shapetype>
            <v:shape id="docshape12" o:spid="_x0000_s1026" type="#_x0000_t202" style="position:absolute;margin-left:46.85pt;margin-top:47.05pt;width:138.8pt;height:29.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" stroked="f">
              <v:fill r:id="rId3" o:title="" recolor="t" rotate="t" type="frame"/>
              <v:textbox inset="0,0,0,0">
                <w:txbxContent>
                  <w:p w14:paraId="5D5A0ECE" w14:textId="77777777" w:rsidR="00FB52CB" w:rsidRDefault="00FB52CB" w:rsidP="00F41839"/>
                </w:txbxContent>
              </v:textbox>
              <w10:wrap anchorx="page" anchory="page"/>
            </v:shape>
          </w:pict>
        </mc:Fallback>
      </mc:AlternateContent>
    </w:r>
    <w:r w:rsidR="00FC50F7">
      <w:rPr>
        <w:noProof/>
        <w:lang w:eastAsia="en-NZ"/>
      </w:rPr>
      <w:drawing>
        <wp:anchor distT="0" distB="0" distL="0" distR="0" simplePos="0" relativeHeight="251658240" behindDoc="1" locked="0" layoutInCell="1" allowOverlap="1" wp14:anchorId="61BF8C32" wp14:editId="19518C7F">
          <wp:simplePos x="0" y="0"/>
          <wp:positionH relativeFrom="page">
            <wp:posOffset>-20955</wp:posOffset>
          </wp:positionH>
          <wp:positionV relativeFrom="page">
            <wp:posOffset>12862</wp:posOffset>
          </wp:positionV>
          <wp:extent cx="7559675" cy="323850"/>
          <wp:effectExtent l="0" t="0" r="3175"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4"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97B"/>
    <w:multiLevelType w:val="hybridMultilevel"/>
    <w:tmpl w:val="C1346C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1A57B9"/>
    <w:multiLevelType w:val="hybridMultilevel"/>
    <w:tmpl w:val="474EE2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2D6B53"/>
    <w:multiLevelType w:val="hybridMultilevel"/>
    <w:tmpl w:val="44549F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5017A8"/>
    <w:multiLevelType w:val="hybridMultilevel"/>
    <w:tmpl w:val="D37240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A3020F"/>
    <w:multiLevelType w:val="hybridMultilevel"/>
    <w:tmpl w:val="7172B6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792C9B"/>
    <w:multiLevelType w:val="hybridMultilevel"/>
    <w:tmpl w:val="04B29F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E30481"/>
    <w:multiLevelType w:val="hybridMultilevel"/>
    <w:tmpl w:val="0FDA7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ACD3CCB"/>
    <w:multiLevelType w:val="hybridMultilevel"/>
    <w:tmpl w:val="E92A92A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AE42EF0"/>
    <w:multiLevelType w:val="multilevel"/>
    <w:tmpl w:val="B98E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5E4FFF"/>
    <w:multiLevelType w:val="hybridMultilevel"/>
    <w:tmpl w:val="64CE8F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CA71F78"/>
    <w:multiLevelType w:val="hybridMultilevel"/>
    <w:tmpl w:val="D2D85BEE"/>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46187DAC">
      <w:numFmt w:val="bullet"/>
      <w:lvlText w:val="•"/>
      <w:lvlJc w:val="left"/>
      <w:pPr>
        <w:ind w:left="854" w:hanging="570"/>
      </w:pPr>
      <w:rPr>
        <w:rFonts w:ascii="Segoe UI" w:eastAsia="Times New Roman" w:hAnsi="Segoe UI" w:cs="Segoe UI"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7B52D3"/>
    <w:multiLevelType w:val="hybridMultilevel"/>
    <w:tmpl w:val="A14670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6557CCE"/>
    <w:multiLevelType w:val="hybridMultilevel"/>
    <w:tmpl w:val="5B60F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916118B"/>
    <w:multiLevelType w:val="hybridMultilevel"/>
    <w:tmpl w:val="3D2E6AFA"/>
    <w:lvl w:ilvl="0" w:tplc="1AEE94F6">
      <w:numFmt w:val="bullet"/>
      <w:lvlText w:val=""/>
      <w:lvlJc w:val="left"/>
      <w:pPr>
        <w:ind w:left="720" w:hanging="360"/>
      </w:pPr>
      <w:rPr>
        <w:rFonts w:ascii="Arial" w:eastAsia="CIDFont+F4"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EAE3D3F"/>
    <w:multiLevelType w:val="hybridMultilevel"/>
    <w:tmpl w:val="54C2F454"/>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4FD02B9C"/>
    <w:multiLevelType w:val="hybridMultilevel"/>
    <w:tmpl w:val="87CE75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9B65F7E"/>
    <w:multiLevelType w:val="hybridMultilevel"/>
    <w:tmpl w:val="8E6C51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6B62ED3"/>
    <w:multiLevelType w:val="hybridMultilevel"/>
    <w:tmpl w:val="019E4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B804DE0"/>
    <w:multiLevelType w:val="hybridMultilevel"/>
    <w:tmpl w:val="C56087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ABD7DA3"/>
    <w:multiLevelType w:val="hybridMultilevel"/>
    <w:tmpl w:val="C5B8D7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EA8420F"/>
    <w:multiLevelType w:val="hybridMultilevel"/>
    <w:tmpl w:val="0C047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6"/>
  </w:num>
  <w:num w:numId="5">
    <w:abstractNumId w:val="14"/>
  </w:num>
  <w:num w:numId="6">
    <w:abstractNumId w:val="17"/>
  </w:num>
  <w:num w:numId="7">
    <w:abstractNumId w:val="0"/>
  </w:num>
  <w:num w:numId="8">
    <w:abstractNumId w:val="4"/>
  </w:num>
  <w:num w:numId="9">
    <w:abstractNumId w:val="1"/>
  </w:num>
  <w:num w:numId="10">
    <w:abstractNumId w:val="9"/>
  </w:num>
  <w:num w:numId="11">
    <w:abstractNumId w:val="5"/>
  </w:num>
  <w:num w:numId="12">
    <w:abstractNumId w:val="2"/>
  </w:num>
  <w:num w:numId="13">
    <w:abstractNumId w:val="15"/>
  </w:num>
  <w:num w:numId="14">
    <w:abstractNumId w:val="10"/>
  </w:num>
  <w:num w:numId="15">
    <w:abstractNumId w:val="19"/>
  </w:num>
  <w:num w:numId="16">
    <w:abstractNumId w:val="11"/>
  </w:num>
  <w:num w:numId="17">
    <w:abstractNumId w:val="16"/>
  </w:num>
  <w:num w:numId="18">
    <w:abstractNumId w:val="20"/>
  </w:num>
  <w:num w:numId="19">
    <w:abstractNumId w:val="18"/>
  </w:num>
  <w:num w:numId="20">
    <w:abstractNumId w:val="12"/>
  </w:num>
  <w:num w:numId="21">
    <w:abstractNumId w:val="8"/>
  </w:num>
  <w:num w:numId="22">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E1"/>
    <w:rsid w:val="000427C2"/>
    <w:rsid w:val="00055B4B"/>
    <w:rsid w:val="00064785"/>
    <w:rsid w:val="000832F8"/>
    <w:rsid w:val="000D6D5D"/>
    <w:rsid w:val="000E3AAF"/>
    <w:rsid w:val="00112F07"/>
    <w:rsid w:val="001419B5"/>
    <w:rsid w:val="001542CC"/>
    <w:rsid w:val="00175A42"/>
    <w:rsid w:val="001A45F2"/>
    <w:rsid w:val="001B3AF1"/>
    <w:rsid w:val="001B6AAE"/>
    <w:rsid w:val="001C6D48"/>
    <w:rsid w:val="0020381F"/>
    <w:rsid w:val="0020587F"/>
    <w:rsid w:val="00235DA5"/>
    <w:rsid w:val="00286082"/>
    <w:rsid w:val="002B4081"/>
    <w:rsid w:val="002C4DCC"/>
    <w:rsid w:val="002C653D"/>
    <w:rsid w:val="003109BA"/>
    <w:rsid w:val="003430EC"/>
    <w:rsid w:val="00363617"/>
    <w:rsid w:val="00385230"/>
    <w:rsid w:val="00387B59"/>
    <w:rsid w:val="003B5089"/>
    <w:rsid w:val="003C0A09"/>
    <w:rsid w:val="00404A3C"/>
    <w:rsid w:val="00424D52"/>
    <w:rsid w:val="00447960"/>
    <w:rsid w:val="004A654C"/>
    <w:rsid w:val="00504ADE"/>
    <w:rsid w:val="005555FD"/>
    <w:rsid w:val="005678CB"/>
    <w:rsid w:val="00581852"/>
    <w:rsid w:val="00585F00"/>
    <w:rsid w:val="005B7993"/>
    <w:rsid w:val="00615ED3"/>
    <w:rsid w:val="00655F01"/>
    <w:rsid w:val="00657C7A"/>
    <w:rsid w:val="006960AD"/>
    <w:rsid w:val="006F0265"/>
    <w:rsid w:val="00726E59"/>
    <w:rsid w:val="00752ED4"/>
    <w:rsid w:val="00754570"/>
    <w:rsid w:val="00756F32"/>
    <w:rsid w:val="00771F90"/>
    <w:rsid w:val="00792DDA"/>
    <w:rsid w:val="007A1EB4"/>
    <w:rsid w:val="007C05F0"/>
    <w:rsid w:val="007C3D95"/>
    <w:rsid w:val="007D1391"/>
    <w:rsid w:val="007D315D"/>
    <w:rsid w:val="007F5F23"/>
    <w:rsid w:val="00810150"/>
    <w:rsid w:val="00820E80"/>
    <w:rsid w:val="00825403"/>
    <w:rsid w:val="00865C28"/>
    <w:rsid w:val="00885AE1"/>
    <w:rsid w:val="0089333D"/>
    <w:rsid w:val="008C17CF"/>
    <w:rsid w:val="008C47CE"/>
    <w:rsid w:val="00926F57"/>
    <w:rsid w:val="00974669"/>
    <w:rsid w:val="009B0054"/>
    <w:rsid w:val="009E5A60"/>
    <w:rsid w:val="00A11CF3"/>
    <w:rsid w:val="00A235F6"/>
    <w:rsid w:val="00A24D67"/>
    <w:rsid w:val="00A36328"/>
    <w:rsid w:val="00A9650F"/>
    <w:rsid w:val="00AB5EA6"/>
    <w:rsid w:val="00AD2D73"/>
    <w:rsid w:val="00AD7D10"/>
    <w:rsid w:val="00B13171"/>
    <w:rsid w:val="00B46012"/>
    <w:rsid w:val="00B46159"/>
    <w:rsid w:val="00B55856"/>
    <w:rsid w:val="00B63881"/>
    <w:rsid w:val="00B9172B"/>
    <w:rsid w:val="00BA585F"/>
    <w:rsid w:val="00BF0B50"/>
    <w:rsid w:val="00BF0FB4"/>
    <w:rsid w:val="00C01FBE"/>
    <w:rsid w:val="00C305BA"/>
    <w:rsid w:val="00C76EEE"/>
    <w:rsid w:val="00C81A6F"/>
    <w:rsid w:val="00C90756"/>
    <w:rsid w:val="00CA1EEB"/>
    <w:rsid w:val="00CA3C79"/>
    <w:rsid w:val="00CB2217"/>
    <w:rsid w:val="00CB7D46"/>
    <w:rsid w:val="00CD24A5"/>
    <w:rsid w:val="00CE68D4"/>
    <w:rsid w:val="00D73293"/>
    <w:rsid w:val="00D91DB7"/>
    <w:rsid w:val="00DA05D6"/>
    <w:rsid w:val="00DB5660"/>
    <w:rsid w:val="00DE6B27"/>
    <w:rsid w:val="00DE7F0A"/>
    <w:rsid w:val="00DF3688"/>
    <w:rsid w:val="00E11D81"/>
    <w:rsid w:val="00E12CE0"/>
    <w:rsid w:val="00E4697B"/>
    <w:rsid w:val="00E77800"/>
    <w:rsid w:val="00E852B0"/>
    <w:rsid w:val="00E90A02"/>
    <w:rsid w:val="00EC7763"/>
    <w:rsid w:val="00ED7B94"/>
    <w:rsid w:val="00EF1614"/>
    <w:rsid w:val="00EF4E34"/>
    <w:rsid w:val="00F04BA8"/>
    <w:rsid w:val="00F41839"/>
    <w:rsid w:val="00F44F49"/>
    <w:rsid w:val="00F82AF4"/>
    <w:rsid w:val="00FB52CB"/>
    <w:rsid w:val="00FC1DAF"/>
    <w:rsid w:val="00FC50F7"/>
    <w:rsid w:val="00FE0D8E"/>
    <w:rsid w:val="00FF1D56"/>
    <w:rsid w:val="2456DE5A"/>
    <w:rsid w:val="2894E93F"/>
    <w:rsid w:val="490AE287"/>
    <w:rsid w:val="55FF8D1A"/>
    <w:rsid w:val="7597DAB0"/>
    <w:rsid w:val="7C526C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978EA"/>
  <w15:chartTrackingRefBased/>
  <w15:docId w15:val="{820253E8-AC8C-4125-8A80-0DF95A9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839"/>
    <w:pPr>
      <w:autoSpaceDE w:val="0"/>
      <w:autoSpaceDN w:val="0"/>
      <w:adjustRightInd w:val="0"/>
      <w:spacing w:before="120" w:after="0" w:line="240" w:lineRule="auto"/>
    </w:pPr>
    <w:rPr>
      <w:rFonts w:ascii="Arial" w:hAnsi="Arial" w:cs="Arial"/>
      <w:color w:val="000000"/>
    </w:rPr>
  </w:style>
  <w:style w:type="paragraph" w:styleId="Heading1">
    <w:name w:val="heading 1"/>
    <w:basedOn w:val="Normal"/>
    <w:next w:val="Normal"/>
    <w:link w:val="Heading1Char"/>
    <w:uiPriority w:val="9"/>
    <w:qFormat/>
    <w:rsid w:val="00E12CE0"/>
    <w:pPr>
      <w:spacing w:before="240"/>
      <w:outlineLvl w:val="0"/>
    </w:pPr>
    <w:rPr>
      <w:b/>
      <w:bCs/>
      <w:color w:val="00A2AC"/>
      <w:sz w:val="40"/>
      <w:szCs w:val="40"/>
    </w:rPr>
  </w:style>
  <w:style w:type="paragraph" w:styleId="Heading2">
    <w:name w:val="heading 2"/>
    <w:basedOn w:val="Heading1"/>
    <w:next w:val="Normal"/>
    <w:link w:val="Heading2Char"/>
    <w:uiPriority w:val="9"/>
    <w:unhideWhenUsed/>
    <w:qFormat/>
    <w:rsid w:val="00E12CE0"/>
    <w:pPr>
      <w:outlineLvl w:val="1"/>
    </w:pPr>
    <w:rPr>
      <w:sz w:val="32"/>
      <w:szCs w:val="32"/>
    </w:rPr>
  </w:style>
  <w:style w:type="paragraph" w:styleId="Heading3">
    <w:name w:val="heading 3"/>
    <w:basedOn w:val="Normal"/>
    <w:next w:val="Normal"/>
    <w:link w:val="Heading3Char"/>
    <w:uiPriority w:val="9"/>
    <w:unhideWhenUsed/>
    <w:qFormat/>
    <w:rsid w:val="00E12CE0"/>
    <w:pPr>
      <w:spacing w:before="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F32"/>
    <w:pPr>
      <w:tabs>
        <w:tab w:val="center" w:pos="4513"/>
        <w:tab w:val="right" w:pos="9026"/>
      </w:tabs>
    </w:pPr>
  </w:style>
  <w:style w:type="character" w:customStyle="1" w:styleId="HeaderChar">
    <w:name w:val="Header Char"/>
    <w:basedOn w:val="DefaultParagraphFont"/>
    <w:link w:val="Header"/>
    <w:uiPriority w:val="99"/>
    <w:rsid w:val="00756F32"/>
  </w:style>
  <w:style w:type="paragraph" w:styleId="Footer">
    <w:name w:val="footer"/>
    <w:basedOn w:val="Normal"/>
    <w:link w:val="FooterChar"/>
    <w:uiPriority w:val="99"/>
    <w:unhideWhenUsed/>
    <w:rsid w:val="00756F32"/>
    <w:pPr>
      <w:tabs>
        <w:tab w:val="center" w:pos="4513"/>
        <w:tab w:val="right" w:pos="9026"/>
      </w:tabs>
    </w:pPr>
  </w:style>
  <w:style w:type="character" w:customStyle="1" w:styleId="FooterChar">
    <w:name w:val="Footer Char"/>
    <w:basedOn w:val="DefaultParagraphFont"/>
    <w:link w:val="Footer"/>
    <w:uiPriority w:val="99"/>
    <w:rsid w:val="00756F32"/>
  </w:style>
  <w:style w:type="character" w:customStyle="1" w:styleId="Heading1Char">
    <w:name w:val="Heading 1 Char"/>
    <w:basedOn w:val="DefaultParagraphFont"/>
    <w:link w:val="Heading1"/>
    <w:uiPriority w:val="9"/>
    <w:rsid w:val="00E12CE0"/>
    <w:rPr>
      <w:rFonts w:ascii="Arial" w:hAnsi="Arial" w:cs="Arial"/>
      <w:b/>
      <w:bCs/>
      <w:color w:val="00A2AC"/>
      <w:sz w:val="40"/>
      <w:szCs w:val="40"/>
    </w:rPr>
  </w:style>
  <w:style w:type="character" w:customStyle="1" w:styleId="Heading2Char">
    <w:name w:val="Heading 2 Char"/>
    <w:basedOn w:val="DefaultParagraphFont"/>
    <w:link w:val="Heading2"/>
    <w:uiPriority w:val="9"/>
    <w:rsid w:val="00E12CE0"/>
    <w:rPr>
      <w:rFonts w:ascii="Arial" w:hAnsi="Arial" w:cs="Arial"/>
      <w:b/>
      <w:bCs/>
      <w:color w:val="00A2AC"/>
      <w:sz w:val="32"/>
      <w:szCs w:val="32"/>
    </w:rPr>
  </w:style>
  <w:style w:type="character" w:customStyle="1" w:styleId="Heading3Char">
    <w:name w:val="Heading 3 Char"/>
    <w:basedOn w:val="DefaultParagraphFont"/>
    <w:link w:val="Heading3"/>
    <w:uiPriority w:val="9"/>
    <w:rsid w:val="00E12CE0"/>
    <w:rPr>
      <w:rFonts w:ascii="Arial" w:hAnsi="Arial" w:cs="Arial"/>
      <w:b/>
      <w:bCs/>
      <w:color w:val="000000"/>
    </w:rPr>
  </w:style>
  <w:style w:type="paragraph" w:styleId="ListParagraph">
    <w:name w:val="List Paragraph"/>
    <w:aliases w:val="Bullet List Paragraph,Bullet point,Bullets,CV text,Dot pt,F5 List Paragraph,FooterText,L,List Paragraph1,List Paragraph11,List Paragraph111,List Paragraph2,Medium Grid 1 - Accent 21,NAST Quote,NFP GP Bulleted List,Numbered Paragraph,列,lp1"/>
    <w:basedOn w:val="Normal"/>
    <w:link w:val="ListParagraphChar"/>
    <w:uiPriority w:val="34"/>
    <w:qFormat/>
    <w:rsid w:val="00C01FBE"/>
    <w:pPr>
      <w:ind w:left="720"/>
      <w:contextualSpacing/>
    </w:pPr>
  </w:style>
  <w:style w:type="paragraph" w:customStyle="1" w:styleId="Dash">
    <w:name w:val="Dash"/>
    <w:basedOn w:val="Normal"/>
    <w:qFormat/>
    <w:rsid w:val="00447960"/>
    <w:pPr>
      <w:numPr>
        <w:numId w:val="14"/>
      </w:numPr>
      <w:autoSpaceDE/>
      <w:autoSpaceDN/>
      <w:adjustRightInd/>
      <w:spacing w:before="60"/>
    </w:pPr>
    <w:rPr>
      <w:rFonts w:ascii="Segoe UI" w:eastAsia="Times New Roman" w:hAnsi="Segoe UI" w:cs="Times New Roman"/>
      <w:color w:val="auto"/>
      <w:sz w:val="21"/>
      <w:szCs w:val="20"/>
      <w:lang w:eastAsia="en-GB"/>
    </w:rPr>
  </w:style>
  <w:style w:type="character" w:customStyle="1" w:styleId="ListParagraphChar">
    <w:name w:val="List Paragraph Char"/>
    <w:aliases w:val="Bullet List Paragraph Char,Bullet point Char,Bullets Char,CV text Char,Dot pt Char,F5 List Paragraph Char,FooterText Char,L Char,List Paragraph1 Char,List Paragraph11 Char,List Paragraph111 Char,List Paragraph2 Char,NAST Quote Char"/>
    <w:basedOn w:val="DefaultParagraphFont"/>
    <w:link w:val="ListParagraph"/>
    <w:uiPriority w:val="34"/>
    <w:qFormat/>
    <w:locked/>
    <w:rsid w:val="00447960"/>
    <w:rPr>
      <w:rFonts w:ascii="Arial" w:hAnsi="Arial" w:cs="Arial"/>
      <w:color w:val="000000"/>
    </w:rPr>
  </w:style>
  <w:style w:type="character" w:styleId="FootnoteReference">
    <w:name w:val="footnote reference"/>
    <w:uiPriority w:val="99"/>
    <w:rsid w:val="00E852B0"/>
    <w:rPr>
      <w:vertAlign w:val="superscript"/>
    </w:rPr>
  </w:style>
  <w:style w:type="paragraph" w:styleId="FootnoteText">
    <w:name w:val="footnote text"/>
    <w:basedOn w:val="Normal"/>
    <w:link w:val="FootnoteTextChar"/>
    <w:uiPriority w:val="99"/>
    <w:rsid w:val="00E852B0"/>
    <w:pPr>
      <w:autoSpaceDE/>
      <w:autoSpaceDN/>
      <w:adjustRightInd/>
      <w:spacing w:before="60"/>
      <w:ind w:left="284" w:hanging="284"/>
    </w:pPr>
    <w:rPr>
      <w:rFonts w:ascii="Segoe UI" w:eastAsia="Times New Roman" w:hAnsi="Segoe UI" w:cs="Times New Roman"/>
      <w:color w:val="auto"/>
      <w:sz w:val="17"/>
      <w:szCs w:val="20"/>
      <w:lang w:eastAsia="en-GB"/>
    </w:rPr>
  </w:style>
  <w:style w:type="character" w:customStyle="1" w:styleId="FootnoteTextChar">
    <w:name w:val="Footnote Text Char"/>
    <w:basedOn w:val="DefaultParagraphFont"/>
    <w:link w:val="FootnoteText"/>
    <w:uiPriority w:val="99"/>
    <w:rsid w:val="00E852B0"/>
    <w:rPr>
      <w:rFonts w:ascii="Segoe UI" w:eastAsia="Times New Roman" w:hAnsi="Segoe UI" w:cs="Times New Roman"/>
      <w:sz w:val="17"/>
      <w:szCs w:val="20"/>
      <w:lang w:eastAsia="en-GB"/>
    </w:rPr>
  </w:style>
  <w:style w:type="character" w:styleId="Hyperlink">
    <w:name w:val="Hyperlink"/>
    <w:uiPriority w:val="99"/>
    <w:rsid w:val="00C76EEE"/>
    <w:rPr>
      <w:b/>
      <w:color w:val="595959" w:themeColor="text1" w:themeTint="A6"/>
      <w:u w:val="none"/>
    </w:rPr>
  </w:style>
  <w:style w:type="character" w:styleId="CommentReference">
    <w:name w:val="annotation reference"/>
    <w:basedOn w:val="DefaultParagraphFont"/>
    <w:uiPriority w:val="99"/>
    <w:semiHidden/>
    <w:unhideWhenUsed/>
    <w:rsid w:val="00B13171"/>
    <w:rPr>
      <w:sz w:val="16"/>
      <w:szCs w:val="16"/>
    </w:rPr>
  </w:style>
  <w:style w:type="paragraph" w:styleId="CommentText">
    <w:name w:val="annotation text"/>
    <w:basedOn w:val="Normal"/>
    <w:link w:val="CommentTextChar"/>
    <w:uiPriority w:val="99"/>
    <w:semiHidden/>
    <w:unhideWhenUsed/>
    <w:rsid w:val="00B13171"/>
    <w:rPr>
      <w:sz w:val="20"/>
      <w:szCs w:val="20"/>
    </w:rPr>
  </w:style>
  <w:style w:type="character" w:customStyle="1" w:styleId="CommentTextChar">
    <w:name w:val="Comment Text Char"/>
    <w:basedOn w:val="DefaultParagraphFont"/>
    <w:link w:val="CommentText"/>
    <w:uiPriority w:val="99"/>
    <w:semiHidden/>
    <w:rsid w:val="00B13171"/>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13171"/>
    <w:rPr>
      <w:b/>
      <w:bCs/>
    </w:rPr>
  </w:style>
  <w:style w:type="character" w:customStyle="1" w:styleId="CommentSubjectChar">
    <w:name w:val="Comment Subject Char"/>
    <w:basedOn w:val="CommentTextChar"/>
    <w:link w:val="CommentSubject"/>
    <w:uiPriority w:val="99"/>
    <w:semiHidden/>
    <w:rsid w:val="00B13171"/>
    <w:rPr>
      <w:rFonts w:ascii="Arial" w:hAnsi="Arial" w:cs="Arial"/>
      <w:b/>
      <w:bCs/>
      <w:color w:val="000000"/>
      <w:sz w:val="20"/>
      <w:szCs w:val="20"/>
    </w:rPr>
  </w:style>
  <w:style w:type="character" w:styleId="UnresolvedMention">
    <w:name w:val="Unresolved Mention"/>
    <w:basedOn w:val="DefaultParagraphFont"/>
    <w:uiPriority w:val="99"/>
    <w:semiHidden/>
    <w:unhideWhenUsed/>
    <w:rsid w:val="00A11CF3"/>
    <w:rPr>
      <w:color w:val="605E5C"/>
      <w:shd w:val="clear" w:color="auto" w:fill="E1DFDD"/>
    </w:rPr>
  </w:style>
  <w:style w:type="paragraph" w:customStyle="1" w:styleId="listbullet2">
    <w:name w:val="listbullet2"/>
    <w:basedOn w:val="Normal"/>
    <w:rsid w:val="009B0054"/>
    <w:pPr>
      <w:autoSpaceDE/>
      <w:autoSpaceDN/>
      <w:adjustRightInd/>
      <w:spacing w:before="100" w:beforeAutospacing="1" w:after="100" w:afterAutospacing="1"/>
    </w:pPr>
    <w:rPr>
      <w:rFonts w:ascii="Times New Roman" w:eastAsia="Times New Roman" w:hAnsi="Times New Roman" w:cs="Times New Roman"/>
      <w:color w:val="auto"/>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01783">
      <w:bodyDiv w:val="1"/>
      <w:marLeft w:val="0"/>
      <w:marRight w:val="0"/>
      <w:marTop w:val="0"/>
      <w:marBottom w:val="0"/>
      <w:divBdr>
        <w:top w:val="none" w:sz="0" w:space="0" w:color="auto"/>
        <w:left w:val="none" w:sz="0" w:space="0" w:color="auto"/>
        <w:bottom w:val="none" w:sz="0" w:space="0" w:color="auto"/>
        <w:right w:val="none" w:sz="0" w:space="0" w:color="auto"/>
      </w:divBdr>
    </w:div>
    <w:div w:id="1296913112">
      <w:bodyDiv w:val="1"/>
      <w:marLeft w:val="0"/>
      <w:marRight w:val="0"/>
      <w:marTop w:val="0"/>
      <w:marBottom w:val="0"/>
      <w:divBdr>
        <w:top w:val="none" w:sz="0" w:space="0" w:color="auto"/>
        <w:left w:val="none" w:sz="0" w:space="0" w:color="auto"/>
        <w:bottom w:val="none" w:sz="0" w:space="0" w:color="auto"/>
        <w:right w:val="none" w:sz="0" w:space="0" w:color="auto"/>
      </w:divBdr>
    </w:div>
    <w:div w:id="208505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zmn.org.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health.govt.nz/new-zealand-health-system/key-health-sector-organisations-and-people/public-health-units/publichealth-unit-contac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8258CB01D5AD47A3CA063BCE56445F" ma:contentTypeVersion="23" ma:contentTypeDescription="Create a new document." ma:contentTypeScope="" ma:versionID="17e7644df5908931be569a3c6a51e881">
  <xsd:schema xmlns:xsd="http://www.w3.org/2001/XMLSchema" xmlns:xs="http://www.w3.org/2001/XMLSchema" xmlns:p="http://schemas.microsoft.com/office/2006/metadata/properties" xmlns:ns2="d4c6fe1a-0fe3-451d-b9ee-5a18cb762014" xmlns:ns3="2e4b61e4-3351-4a26-b2fa-3d5e54b20131" xmlns:ns4="00a4df5b-51f4-4e7a-b755-8a381a6dfbc5" targetNamespace="http://schemas.microsoft.com/office/2006/metadata/properties" ma:root="true" ma:fieldsID="9ea88fba1ddca4f475b4bfa90e624e82" ns2:_="" ns3:_="" ns4:_="">
    <xsd:import namespace="d4c6fe1a-0fe3-451d-b9ee-5a18cb762014"/>
    <xsd:import namespace="2e4b61e4-3351-4a26-b2fa-3d5e54b20131"/>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Archived"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4:TaxCatchAll" minOccurs="0"/>
                <xsd:element ref="ns2:_Flow_SignoffStatus" minOccurs="0"/>
                <xsd:element ref="ns2:Signed_x002d_offby" minOccurs="0"/>
                <xsd:element ref="ns2:Versionno_x002e_" minOccurs="0"/>
                <xsd:element ref="ns2:Sentto_x002f_distributionlist" minOccurs="0"/>
                <xsd:element ref="ns2:Effectivefrom" minOccurs="0"/>
                <xsd:element ref="ns2:Nextreviewdate" minOccurs="0"/>
                <xsd:element ref="ns2:ReviewedbyTSG_x002f_Equity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6fe1a-0fe3-451d-b9ee-5a18cb762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Archived" ma:index="14" nillable="true" ma:displayName="Date Archived" ma:format="DateTime" ma:internalName="DateArchived">
      <xsd:simpleType>
        <xsd:restriction base="dms:DateTim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format="Dropdown" ma:internalName="Sign_x002d_off_x0020_status">
      <xsd:simpleType>
        <xsd:restriction base="dms:Choice">
          <xsd:enumeration value="Draft"/>
          <xsd:enumeration value="Awaiting Sign-Off"/>
          <xsd:enumeration value="Signed off"/>
          <xsd:enumeration value="N/A"/>
        </xsd:restriction>
      </xsd:simpleType>
    </xsd:element>
    <xsd:element name="Signed_x002d_offby" ma:index="24" nillable="true" ma:displayName="Signed-off by" ma:description="Include:&#10;Peer reviewer&#10;Proof reader&#10;GM / Manager&#10;DDG PHP (if applicable)&#10;DCE COVID-19 (if applicable)" ma:format="Dropdown" ma:internalName="Signed_x002d_offby">
      <xsd:simpleType>
        <xsd:restriction base="dms:Note">
          <xsd:maxLength value="255"/>
        </xsd:restriction>
      </xsd:simpleType>
    </xsd:element>
    <xsd:element name="Versionno_x002e_" ma:index="25" nillable="true" ma:displayName="Version no." ma:format="Dropdown" ma:internalName="Versionno_x002e_">
      <xsd:simpleType>
        <xsd:restriction base="dms:Text">
          <xsd:maxLength value="255"/>
        </xsd:restriction>
      </xsd:simpleType>
    </xsd:element>
    <xsd:element name="Sentto_x002f_distributionlist" ma:index="26" nillable="true" ma:displayName="Sent to / distribution list" ma:description="List all individuals or groups or organisations shared with" ma:format="Dropdown" ma:internalName="Sentto_x002f_distributionlist">
      <xsd:simpleType>
        <xsd:restriction base="dms:Note">
          <xsd:maxLength value="255"/>
        </xsd:restriction>
      </xsd:simpleType>
    </xsd:element>
    <xsd:element name="Effectivefrom" ma:index="27" nillable="true" ma:displayName="Effective from" ma:format="DateOnly" ma:internalName="Effectivefrom">
      <xsd:simpleType>
        <xsd:restriction base="dms:DateTime"/>
      </xsd:simpleType>
    </xsd:element>
    <xsd:element name="Nextreviewdate" ma:index="28" nillable="true" ma:displayName="Next review date" ma:format="DateOnly" ma:internalName="Nextreviewdate">
      <xsd:simpleType>
        <xsd:restriction base="dms:DateTime"/>
      </xsd:simpleType>
    </xsd:element>
    <xsd:element name="ReviewedbyTSG_x002f_Equity_x003f_" ma:index="29" nillable="true" ma:displayName="Reviewed by TSG/Equity?" ma:default="Yes/No" ma:format="Dropdown" ma:internalName="ReviewedbyTSG_x002f_Equity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b61e4-3351-4a26-b2fa-3d5e54b201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3c2e9e6-f60d-40f4-aecf-4440fd64805a}" ma:internalName="TaxCatchAll" ma:showField="CatchAllData" ma:web="2e4b61e4-3351-4a26-b2fa-3d5e54b201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edbyTSG_x002f_Equity_x003f_ xmlns="d4c6fe1a-0fe3-451d-b9ee-5a18cb762014">Yes/No</ReviewedbyTSG_x002f_Equity_x003f_>
    <Versionno_x002e_ xmlns="d4c6fe1a-0fe3-451d-b9ee-5a18cb762014" xsi:nil="true"/>
    <_Flow_SignoffStatus xmlns="d4c6fe1a-0fe3-451d-b9ee-5a18cb762014" xsi:nil="true"/>
    <TaxCatchAll xmlns="00a4df5b-51f4-4e7a-b755-8a381a6dfbc5" xsi:nil="true"/>
    <Sentto_x002f_distributionlist xmlns="d4c6fe1a-0fe3-451d-b9ee-5a18cb762014" xsi:nil="true"/>
    <DateArchived xmlns="d4c6fe1a-0fe3-451d-b9ee-5a18cb762014" xsi:nil="true"/>
    <Signed_x002d_offby xmlns="d4c6fe1a-0fe3-451d-b9ee-5a18cb762014" xsi:nil="true"/>
    <Effectivefrom xmlns="d4c6fe1a-0fe3-451d-b9ee-5a18cb762014" xsi:nil="true"/>
    <Nextreviewdate xmlns="d4c6fe1a-0fe3-451d-b9ee-5a18cb762014" xsi:nil="true"/>
    <lcf76f155ced4ddcb4097134ff3c332f xmlns="d4c6fe1a-0fe3-451d-b9ee-5a18cb762014">
      <Terms xmlns="http://schemas.microsoft.com/office/infopath/2007/PartnerControls"/>
    </lcf76f155ced4ddcb4097134ff3c332f>
    <SharedWithUsers xmlns="2e4b61e4-3351-4a26-b2fa-3d5e54b20131">
      <UserInfo>
        <DisplayName>Sharon Sime</DisplayName>
        <AccountId>25</AccountId>
        <AccountType/>
      </UserInfo>
      <UserInfo>
        <DisplayName>Karyn Cardno</DisplayName>
        <AccountId>53</AccountId>
        <AccountType/>
      </UserInfo>
    </SharedWithUsers>
  </documentManagement>
</p:properties>
</file>

<file path=customXml/itemProps1.xml><?xml version="1.0" encoding="utf-8"?>
<ds:datastoreItem xmlns:ds="http://schemas.openxmlformats.org/officeDocument/2006/customXml" ds:itemID="{93A490C0-B9A9-409E-BFB1-00EBBAECF409}">
  <ds:schemaRefs>
    <ds:schemaRef ds:uri="http://schemas.openxmlformats.org/officeDocument/2006/bibliography"/>
  </ds:schemaRefs>
</ds:datastoreItem>
</file>

<file path=customXml/itemProps2.xml><?xml version="1.0" encoding="utf-8"?>
<ds:datastoreItem xmlns:ds="http://schemas.openxmlformats.org/officeDocument/2006/customXml" ds:itemID="{71CCD0B4-EF4D-48C6-89E4-45F561754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6fe1a-0fe3-451d-b9ee-5a18cb762014"/>
    <ds:schemaRef ds:uri="2e4b61e4-3351-4a26-b2fa-3d5e54b20131"/>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C8C42-F022-40AA-AF7D-F05B7E991F70}">
  <ds:schemaRefs>
    <ds:schemaRef ds:uri="http://schemas.microsoft.com/sharepoint/v3/contenttype/forms"/>
  </ds:schemaRefs>
</ds:datastoreItem>
</file>

<file path=customXml/itemProps4.xml><?xml version="1.0" encoding="utf-8"?>
<ds:datastoreItem xmlns:ds="http://schemas.openxmlformats.org/officeDocument/2006/customXml" ds:itemID="{C61C97C1-3E2A-4B63-97B7-FADECFA41D8E}">
  <ds:schemaRefs>
    <ds:schemaRef ds:uri="http://schemas.microsoft.com/office/2006/metadata/properties"/>
    <ds:schemaRef ds:uri="http://schemas.microsoft.com/office/infopath/2007/PartnerControls"/>
    <ds:schemaRef ds:uri="d4c6fe1a-0fe3-451d-b9ee-5a18cb762014"/>
    <ds:schemaRef ds:uri="00a4df5b-51f4-4e7a-b755-8a381a6dfbc5"/>
    <ds:schemaRef ds:uri="2e4b61e4-3351-4a26-b2fa-3d5e54b20131"/>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1612</Words>
  <Characters>9191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10782</CharactersWithSpaces>
  <SharedDoc>false</SharedDoc>
  <HLinks>
    <vt:vector size="12" baseType="variant">
      <vt:variant>
        <vt:i4>1376331</vt:i4>
      </vt:variant>
      <vt:variant>
        <vt:i4>0</vt:i4>
      </vt:variant>
      <vt:variant>
        <vt:i4>0</vt:i4>
      </vt:variant>
      <vt:variant>
        <vt:i4>5</vt:i4>
      </vt:variant>
      <vt:variant>
        <vt:lpwstr>https://www.nzmn.org.nz/</vt:lpwstr>
      </vt:variant>
      <vt:variant>
        <vt:lpwstr/>
      </vt:variant>
      <vt:variant>
        <vt:i4>6291560</vt:i4>
      </vt:variant>
      <vt:variant>
        <vt:i4>0</vt:i4>
      </vt:variant>
      <vt:variant>
        <vt:i4>0</vt:i4>
      </vt:variant>
      <vt:variant>
        <vt:i4>5</vt:i4>
      </vt:variant>
      <vt:variant>
        <vt:lpwstr>https://www.health.govt.nz/new-zealand-health-system/key-health-sector-organisations-and-people/public-health-units/publichealth-unit-contacts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Macintyre</dc:creator>
  <cp:keywords/>
  <dc:description/>
  <cp:lastModifiedBy>Anna Ramsey</cp:lastModifiedBy>
  <cp:revision>2</cp:revision>
  <dcterms:created xsi:type="dcterms:W3CDTF">2022-12-21T21:48:00Z</dcterms:created>
  <dcterms:modified xsi:type="dcterms:W3CDTF">2022-12-21T21:48:00Z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0x010100E38258CB01D5AD47A3CA063BCE56445F</vt:lpwstr>
  </property>
  <property fmtid="{D5CDD505-2E9C-101B-9397-08002B2CF9AE}" pid="3" name="MediaServiceImageTags">
    <vt:lpwstr/>
  </property>
</Properties>
</file>