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A4E" w:rsidRPr="009829A4" w:rsidRDefault="00FA04DE" w:rsidP="00FA04DE">
      <w:pPr>
        <w:pStyle w:val="Heading1"/>
        <w:rPr>
          <w:rFonts w:ascii="Arial" w:hAnsi="Arial" w:cs="Arial"/>
          <w:b/>
          <w:color w:val="auto"/>
          <w:sz w:val="36"/>
          <w:szCs w:val="36"/>
        </w:rPr>
      </w:pPr>
      <w:r w:rsidRPr="009829A4">
        <w:rPr>
          <w:rFonts w:ascii="Arial" w:hAnsi="Arial" w:cs="Arial"/>
          <w:b/>
          <w:color w:val="auto"/>
          <w:sz w:val="36"/>
          <w:szCs w:val="36"/>
        </w:rPr>
        <w:t>Ministry of Health Policy S</w:t>
      </w:r>
      <w:r w:rsidR="00381A4E" w:rsidRPr="009829A4">
        <w:rPr>
          <w:rFonts w:ascii="Arial" w:hAnsi="Arial" w:cs="Arial"/>
          <w:b/>
          <w:color w:val="auto"/>
          <w:sz w:val="36"/>
          <w:szCs w:val="36"/>
        </w:rPr>
        <w:t xml:space="preserve">tatement </w:t>
      </w:r>
      <w:r w:rsidRPr="009829A4">
        <w:rPr>
          <w:rFonts w:ascii="Arial" w:hAnsi="Arial" w:cs="Arial"/>
          <w:b/>
          <w:color w:val="auto"/>
          <w:sz w:val="36"/>
          <w:szCs w:val="36"/>
        </w:rPr>
        <w:t>–</w:t>
      </w:r>
      <w:r w:rsidR="00381A4E" w:rsidRPr="009829A4">
        <w:rPr>
          <w:rFonts w:ascii="Arial" w:hAnsi="Arial" w:cs="Arial"/>
          <w:b/>
          <w:color w:val="auto"/>
          <w:sz w:val="36"/>
          <w:szCs w:val="36"/>
        </w:rPr>
        <w:t xml:space="preserve"> </w:t>
      </w:r>
      <w:r w:rsidRPr="009829A4">
        <w:rPr>
          <w:rFonts w:ascii="Arial" w:hAnsi="Arial" w:cs="Arial"/>
          <w:b/>
          <w:color w:val="auto"/>
          <w:sz w:val="36"/>
          <w:szCs w:val="36"/>
        </w:rPr>
        <w:t>Annual Influenza</w:t>
      </w:r>
      <w:r w:rsidR="00381A4E" w:rsidRPr="009829A4">
        <w:rPr>
          <w:rFonts w:ascii="Arial" w:hAnsi="Arial" w:cs="Arial"/>
          <w:b/>
          <w:color w:val="auto"/>
          <w:sz w:val="36"/>
          <w:szCs w:val="36"/>
        </w:rPr>
        <w:t xml:space="preserve"> Immunisation Programme </w:t>
      </w:r>
      <w:r w:rsidRPr="009829A4">
        <w:rPr>
          <w:rFonts w:ascii="Arial" w:hAnsi="Arial" w:cs="Arial"/>
          <w:b/>
          <w:color w:val="auto"/>
          <w:sz w:val="36"/>
          <w:szCs w:val="36"/>
        </w:rPr>
        <w:t>Start Date</w:t>
      </w:r>
    </w:p>
    <w:p w:rsidR="00381A4E" w:rsidRPr="00696B24" w:rsidRDefault="00381A4E" w:rsidP="00381A4E">
      <w:pPr>
        <w:pStyle w:val="Subjectheading"/>
        <w:rPr>
          <w:color w:val="000000"/>
          <w:sz w:val="22"/>
        </w:rPr>
      </w:pPr>
      <w:r w:rsidRPr="00696B24">
        <w:rPr>
          <w:color w:val="000000"/>
          <w:sz w:val="22"/>
        </w:rPr>
        <w:t xml:space="preserve">From 2019 the </w:t>
      </w:r>
      <w:r w:rsidR="00FA04DE">
        <w:rPr>
          <w:color w:val="000000"/>
          <w:sz w:val="22"/>
        </w:rPr>
        <w:t xml:space="preserve">Annual Influenza Immunisation </w:t>
      </w:r>
      <w:r w:rsidRPr="00696B24">
        <w:rPr>
          <w:color w:val="000000"/>
          <w:sz w:val="22"/>
        </w:rPr>
        <w:t xml:space="preserve">Programme </w:t>
      </w:r>
      <w:r w:rsidR="00FA04DE">
        <w:rPr>
          <w:color w:val="000000"/>
          <w:sz w:val="22"/>
        </w:rPr>
        <w:t xml:space="preserve">(the Programme) </w:t>
      </w:r>
      <w:r w:rsidRPr="00696B24">
        <w:rPr>
          <w:color w:val="000000"/>
          <w:sz w:val="22"/>
        </w:rPr>
        <w:t>will start from 1 April each year</w:t>
      </w:r>
    </w:p>
    <w:p w:rsidR="00381A4E" w:rsidRPr="00696B24" w:rsidRDefault="00381A4E" w:rsidP="00381A4E">
      <w:pPr>
        <w:rPr>
          <w:color w:val="000000"/>
          <w:sz w:val="22"/>
        </w:rPr>
      </w:pPr>
      <w:r w:rsidRPr="00696B24">
        <w:rPr>
          <w:color w:val="000000"/>
          <w:sz w:val="22"/>
        </w:rPr>
        <w:t xml:space="preserve">This </w:t>
      </w:r>
      <w:r w:rsidR="00CB5255">
        <w:rPr>
          <w:color w:val="000000"/>
          <w:sz w:val="22"/>
        </w:rPr>
        <w:t>start date</w:t>
      </w:r>
      <w:r w:rsidRPr="00696B24">
        <w:rPr>
          <w:color w:val="000000"/>
          <w:sz w:val="22"/>
        </w:rPr>
        <w:t xml:space="preserve"> differs from previous years whe</w:t>
      </w:r>
      <w:r>
        <w:rPr>
          <w:color w:val="000000"/>
          <w:sz w:val="22"/>
        </w:rPr>
        <w:t>n</w:t>
      </w:r>
      <w:r w:rsidRPr="00696B24">
        <w:rPr>
          <w:color w:val="000000"/>
          <w:sz w:val="22"/>
        </w:rPr>
        <w:t xml:space="preserve"> the Programme</w:t>
      </w:r>
      <w:r>
        <w:rPr>
          <w:color w:val="000000"/>
          <w:sz w:val="22"/>
        </w:rPr>
        <w:t xml:space="preserve"> started</w:t>
      </w:r>
      <w:r w:rsidRPr="00696B24">
        <w:rPr>
          <w:color w:val="000000"/>
          <w:sz w:val="22"/>
        </w:rPr>
        <w:t xml:space="preserve"> </w:t>
      </w:r>
      <w:r>
        <w:rPr>
          <w:color w:val="000000"/>
          <w:sz w:val="22"/>
        </w:rPr>
        <w:t>as soon as</w:t>
      </w:r>
      <w:r w:rsidRPr="00696B24">
        <w:rPr>
          <w:color w:val="000000"/>
          <w:sz w:val="22"/>
        </w:rPr>
        <w:t xml:space="preserve"> </w:t>
      </w:r>
      <w:r>
        <w:rPr>
          <w:color w:val="000000"/>
          <w:sz w:val="22"/>
        </w:rPr>
        <w:t xml:space="preserve">the influenza </w:t>
      </w:r>
      <w:r w:rsidR="004247BB">
        <w:rPr>
          <w:color w:val="000000"/>
          <w:sz w:val="22"/>
        </w:rPr>
        <w:t xml:space="preserve">vaccine became available, generally </w:t>
      </w:r>
      <w:r>
        <w:rPr>
          <w:color w:val="000000"/>
          <w:sz w:val="22"/>
        </w:rPr>
        <w:t xml:space="preserve">by early </w:t>
      </w:r>
      <w:r w:rsidRPr="00696B24">
        <w:rPr>
          <w:color w:val="000000"/>
          <w:sz w:val="22"/>
        </w:rPr>
        <w:t xml:space="preserve">March. The Ministry has considered a range of factors in making this decision including: emerging evidence on the </w:t>
      </w:r>
      <w:r w:rsidR="004247BB">
        <w:rPr>
          <w:color w:val="000000"/>
          <w:sz w:val="22"/>
        </w:rPr>
        <w:t>effectiveness</w:t>
      </w:r>
      <w:r w:rsidRPr="00696B24">
        <w:rPr>
          <w:color w:val="000000"/>
          <w:sz w:val="22"/>
        </w:rPr>
        <w:t xml:space="preserve"> of influenza vaccines, influenza surveillance data, the impact of the start date on service delivery and feedback from the sector</w:t>
      </w:r>
      <w:r>
        <w:rPr>
          <w:color w:val="000000"/>
          <w:sz w:val="22"/>
        </w:rPr>
        <w:t>.</w:t>
      </w:r>
      <w:r w:rsidRPr="00696B24">
        <w:rPr>
          <w:color w:val="000000"/>
          <w:sz w:val="22"/>
        </w:rPr>
        <w:t xml:space="preserve"> </w:t>
      </w:r>
    </w:p>
    <w:p w:rsidR="00381A4E" w:rsidRPr="00696B24" w:rsidRDefault="00381A4E" w:rsidP="00381A4E">
      <w:pPr>
        <w:rPr>
          <w:color w:val="000000"/>
          <w:sz w:val="22"/>
        </w:rPr>
      </w:pPr>
      <w:r>
        <w:rPr>
          <w:color w:val="000000"/>
          <w:sz w:val="22"/>
        </w:rPr>
        <w:t>T</w:t>
      </w:r>
      <w:r w:rsidRPr="00696B24">
        <w:rPr>
          <w:color w:val="000000"/>
          <w:sz w:val="22"/>
        </w:rPr>
        <w:t xml:space="preserve">he start date </w:t>
      </w:r>
      <w:r w:rsidR="005517A1">
        <w:rPr>
          <w:color w:val="000000"/>
          <w:sz w:val="22"/>
        </w:rPr>
        <w:t>from</w:t>
      </w:r>
      <w:r w:rsidRPr="00696B24">
        <w:rPr>
          <w:color w:val="000000"/>
          <w:sz w:val="22"/>
        </w:rPr>
        <w:t xml:space="preserve"> 1 April will be subject to </w:t>
      </w:r>
      <w:r>
        <w:rPr>
          <w:color w:val="000000"/>
          <w:sz w:val="22"/>
        </w:rPr>
        <w:t xml:space="preserve">the </w:t>
      </w:r>
      <w:r w:rsidRPr="00696B24">
        <w:rPr>
          <w:color w:val="000000"/>
          <w:sz w:val="22"/>
        </w:rPr>
        <w:t>vaccine being available for distribution across New Zealand</w:t>
      </w:r>
      <w:r>
        <w:rPr>
          <w:color w:val="000000"/>
          <w:sz w:val="22"/>
        </w:rPr>
        <w:t xml:space="preserve"> by then</w:t>
      </w:r>
      <w:r w:rsidRPr="00696B24">
        <w:rPr>
          <w:color w:val="000000"/>
          <w:sz w:val="22"/>
        </w:rPr>
        <w:t>.</w:t>
      </w:r>
      <w:r>
        <w:rPr>
          <w:color w:val="000000"/>
          <w:sz w:val="22"/>
        </w:rPr>
        <w:t xml:space="preserve"> </w:t>
      </w:r>
      <w:r w:rsidR="005517A1">
        <w:rPr>
          <w:color w:val="000000"/>
          <w:sz w:val="22"/>
        </w:rPr>
        <w:t>Changes</w:t>
      </w:r>
      <w:r>
        <w:rPr>
          <w:color w:val="000000"/>
          <w:sz w:val="22"/>
        </w:rPr>
        <w:t xml:space="preserve"> to vaccine strains can result in longer manufacturing lead time and the arrival of vaccines in late rather than early March. </w:t>
      </w:r>
    </w:p>
    <w:p w:rsidR="00381A4E" w:rsidRPr="00696B24" w:rsidRDefault="00381A4E" w:rsidP="00381A4E">
      <w:pPr>
        <w:rPr>
          <w:b/>
          <w:color w:val="000000"/>
          <w:sz w:val="22"/>
        </w:rPr>
      </w:pPr>
      <w:r>
        <w:rPr>
          <w:b/>
          <w:color w:val="000000"/>
          <w:sz w:val="22"/>
        </w:rPr>
        <w:t xml:space="preserve">Duration of </w:t>
      </w:r>
      <w:r w:rsidRPr="00696B24">
        <w:rPr>
          <w:b/>
          <w:color w:val="000000"/>
          <w:sz w:val="22"/>
        </w:rPr>
        <w:t xml:space="preserve">influenza </w:t>
      </w:r>
      <w:r>
        <w:rPr>
          <w:b/>
          <w:color w:val="000000"/>
          <w:sz w:val="22"/>
        </w:rPr>
        <w:t>vaccine protection</w:t>
      </w:r>
    </w:p>
    <w:p w:rsidR="00381A4E" w:rsidRPr="00696B24" w:rsidRDefault="00381A4E" w:rsidP="00381A4E">
      <w:pPr>
        <w:rPr>
          <w:color w:val="000000"/>
          <w:sz w:val="22"/>
        </w:rPr>
      </w:pPr>
      <w:r w:rsidRPr="00696B24">
        <w:rPr>
          <w:color w:val="000000"/>
          <w:sz w:val="22"/>
        </w:rPr>
        <w:t xml:space="preserve">New evidence shows that vaccine effectiveness begins to decline after influenza vaccination. Maximum protection from </w:t>
      </w:r>
      <w:r>
        <w:rPr>
          <w:color w:val="000000"/>
          <w:sz w:val="22"/>
        </w:rPr>
        <w:t>influenza</w:t>
      </w:r>
      <w:r w:rsidR="005517A1">
        <w:rPr>
          <w:color w:val="000000"/>
          <w:sz w:val="22"/>
        </w:rPr>
        <w:t xml:space="preserve"> is observed around two</w:t>
      </w:r>
      <w:r w:rsidRPr="00696B24">
        <w:rPr>
          <w:color w:val="000000"/>
          <w:sz w:val="22"/>
        </w:rPr>
        <w:t xml:space="preserve"> weeks after vaccination and starts to decline by about 7</w:t>
      </w:r>
      <w:r>
        <w:rPr>
          <w:color w:val="000000"/>
          <w:sz w:val="22"/>
        </w:rPr>
        <w:t xml:space="preserve"> percent </w:t>
      </w:r>
      <w:r w:rsidRPr="00696B24">
        <w:rPr>
          <w:color w:val="000000"/>
          <w:sz w:val="22"/>
        </w:rPr>
        <w:t>every month. The decline in protection is more prominent and rapid in those aged 65 and older and the very young</w:t>
      </w:r>
      <w:r>
        <w:rPr>
          <w:color w:val="000000"/>
          <w:sz w:val="22"/>
        </w:rPr>
        <w:t xml:space="preserve">. For those aged 65 and older the vaccine is less effective in comparison to healthy adults aged 18 to 64. </w:t>
      </w:r>
    </w:p>
    <w:p w:rsidR="00381A4E" w:rsidRPr="00696B24" w:rsidRDefault="00381A4E" w:rsidP="00381A4E">
      <w:pPr>
        <w:spacing w:before="0"/>
        <w:rPr>
          <w:color w:val="000000"/>
          <w:sz w:val="22"/>
        </w:rPr>
      </w:pPr>
    </w:p>
    <w:p w:rsidR="00381A4E" w:rsidRPr="00696B24" w:rsidRDefault="00381A4E" w:rsidP="00381A4E">
      <w:pPr>
        <w:spacing w:before="0"/>
        <w:rPr>
          <w:b/>
          <w:color w:val="000000"/>
          <w:sz w:val="22"/>
        </w:rPr>
      </w:pPr>
      <w:r w:rsidRPr="00696B24">
        <w:rPr>
          <w:b/>
          <w:color w:val="000000"/>
          <w:sz w:val="22"/>
        </w:rPr>
        <w:t>Influenza surveillance data shows influenza activity later in the year</w:t>
      </w:r>
    </w:p>
    <w:p w:rsidR="00381A4E" w:rsidRPr="00696B24" w:rsidRDefault="00381A4E" w:rsidP="00381A4E">
      <w:pPr>
        <w:spacing w:before="0"/>
        <w:rPr>
          <w:b/>
          <w:color w:val="000000"/>
          <w:sz w:val="22"/>
        </w:rPr>
      </w:pPr>
    </w:p>
    <w:p w:rsidR="00381A4E" w:rsidRPr="00696B24" w:rsidRDefault="00381A4E" w:rsidP="00381A4E">
      <w:pPr>
        <w:spacing w:before="0"/>
        <w:rPr>
          <w:color w:val="000000"/>
          <w:sz w:val="22"/>
        </w:rPr>
      </w:pPr>
      <w:r>
        <w:rPr>
          <w:color w:val="000000"/>
          <w:sz w:val="22"/>
        </w:rPr>
        <w:t xml:space="preserve">Influenza activity may occur throughout the year with the peak incidence during the winter months. </w:t>
      </w:r>
      <w:r w:rsidRPr="00A13D7B">
        <w:rPr>
          <w:color w:val="000000"/>
          <w:sz w:val="22"/>
        </w:rPr>
        <w:t>New Zealand’s surveillance data shows that the peak has moved to August</w:t>
      </w:r>
      <w:r>
        <w:rPr>
          <w:color w:val="000000"/>
          <w:sz w:val="22"/>
        </w:rPr>
        <w:t xml:space="preserve"> in recent years</w:t>
      </w:r>
      <w:r w:rsidRPr="00A13D7B">
        <w:rPr>
          <w:color w:val="000000"/>
          <w:sz w:val="22"/>
        </w:rPr>
        <w:t>.</w:t>
      </w:r>
      <w:r>
        <w:rPr>
          <w:color w:val="000000"/>
          <w:sz w:val="22"/>
        </w:rPr>
        <w:t xml:space="preserve"> Influenza </w:t>
      </w:r>
      <w:r w:rsidRPr="00A13D7B">
        <w:rPr>
          <w:color w:val="000000"/>
          <w:sz w:val="22"/>
        </w:rPr>
        <w:t>surveillance data</w:t>
      </w:r>
      <w:r>
        <w:rPr>
          <w:color w:val="000000"/>
          <w:sz w:val="22"/>
        </w:rPr>
        <w:t xml:space="preserve"> and </w:t>
      </w:r>
      <w:r w:rsidRPr="00A13D7B">
        <w:rPr>
          <w:color w:val="000000"/>
          <w:sz w:val="22"/>
        </w:rPr>
        <w:t>the shift in peak influenza activity</w:t>
      </w:r>
      <w:r>
        <w:rPr>
          <w:color w:val="000000"/>
          <w:sz w:val="22"/>
        </w:rPr>
        <w:t xml:space="preserve">, in conjunction with </w:t>
      </w:r>
      <w:r w:rsidRPr="00A13D7B">
        <w:rPr>
          <w:color w:val="000000"/>
          <w:sz w:val="22"/>
        </w:rPr>
        <w:t>declin</w:t>
      </w:r>
      <w:r>
        <w:rPr>
          <w:color w:val="000000"/>
          <w:sz w:val="22"/>
        </w:rPr>
        <w:t xml:space="preserve">ing </w:t>
      </w:r>
      <w:r w:rsidRPr="00A13D7B">
        <w:rPr>
          <w:color w:val="000000"/>
          <w:sz w:val="22"/>
        </w:rPr>
        <w:t>vaccine effectiveness</w:t>
      </w:r>
      <w:r>
        <w:rPr>
          <w:color w:val="000000"/>
          <w:sz w:val="22"/>
        </w:rPr>
        <w:t xml:space="preserve"> </w:t>
      </w:r>
      <w:r w:rsidRPr="00A13D7B">
        <w:rPr>
          <w:color w:val="000000"/>
          <w:sz w:val="22"/>
        </w:rPr>
        <w:t>support</w:t>
      </w:r>
      <w:r>
        <w:rPr>
          <w:color w:val="000000"/>
          <w:sz w:val="22"/>
        </w:rPr>
        <w:t>s</w:t>
      </w:r>
      <w:r w:rsidRPr="00A13D7B">
        <w:rPr>
          <w:color w:val="000000"/>
          <w:sz w:val="22"/>
        </w:rPr>
        <w:t xml:space="preserve"> a change </w:t>
      </w:r>
      <w:r>
        <w:rPr>
          <w:color w:val="000000"/>
          <w:sz w:val="22"/>
        </w:rPr>
        <w:t xml:space="preserve">in the start date. The Programme </w:t>
      </w:r>
      <w:r w:rsidRPr="00696B24">
        <w:rPr>
          <w:color w:val="000000"/>
          <w:sz w:val="22"/>
        </w:rPr>
        <w:t xml:space="preserve">start date from 1 April </w:t>
      </w:r>
      <w:r>
        <w:rPr>
          <w:color w:val="000000"/>
          <w:sz w:val="22"/>
        </w:rPr>
        <w:t xml:space="preserve">ensures </w:t>
      </w:r>
      <w:r w:rsidRPr="00696B24">
        <w:rPr>
          <w:color w:val="000000"/>
          <w:sz w:val="22"/>
        </w:rPr>
        <w:t xml:space="preserve">better protection </w:t>
      </w:r>
      <w:r>
        <w:rPr>
          <w:color w:val="000000"/>
          <w:sz w:val="22"/>
        </w:rPr>
        <w:t xml:space="preserve">against influenza during the peak incidence </w:t>
      </w:r>
      <w:r w:rsidRPr="00696B24">
        <w:rPr>
          <w:color w:val="000000"/>
          <w:sz w:val="22"/>
        </w:rPr>
        <w:t>particularly for our most vulnerable populations.</w:t>
      </w:r>
    </w:p>
    <w:p w:rsidR="00381A4E" w:rsidRPr="00696B24" w:rsidRDefault="00381A4E" w:rsidP="00381A4E">
      <w:pPr>
        <w:spacing w:before="0"/>
        <w:rPr>
          <w:color w:val="000000"/>
          <w:sz w:val="22"/>
        </w:rPr>
      </w:pPr>
    </w:p>
    <w:p w:rsidR="00381A4E" w:rsidRPr="00696B24" w:rsidRDefault="00381A4E" w:rsidP="00381A4E">
      <w:pPr>
        <w:spacing w:before="0"/>
        <w:rPr>
          <w:b/>
          <w:color w:val="000000"/>
          <w:sz w:val="22"/>
        </w:rPr>
      </w:pPr>
      <w:r w:rsidRPr="00696B24">
        <w:rPr>
          <w:b/>
          <w:color w:val="000000"/>
          <w:sz w:val="22"/>
        </w:rPr>
        <w:t>Impact on service delivery</w:t>
      </w:r>
    </w:p>
    <w:p w:rsidR="00381A4E" w:rsidRPr="00696B24" w:rsidRDefault="00381A4E" w:rsidP="00381A4E">
      <w:pPr>
        <w:spacing w:before="0"/>
        <w:rPr>
          <w:color w:val="000000"/>
          <w:sz w:val="22"/>
        </w:rPr>
      </w:pPr>
    </w:p>
    <w:p w:rsidR="00381A4E" w:rsidRDefault="00381A4E" w:rsidP="00381A4E">
      <w:pPr>
        <w:spacing w:before="0"/>
        <w:rPr>
          <w:color w:val="000000"/>
          <w:sz w:val="22"/>
        </w:rPr>
      </w:pPr>
      <w:r w:rsidRPr="00696B24">
        <w:rPr>
          <w:color w:val="000000"/>
          <w:sz w:val="22"/>
        </w:rPr>
        <w:t xml:space="preserve">Consultation with the sector showed wide support for a start date from 1 April with many providers agreeing that not only is this the right clinical decision but </w:t>
      </w:r>
      <w:r w:rsidR="00CB5255">
        <w:rPr>
          <w:color w:val="000000"/>
          <w:sz w:val="22"/>
        </w:rPr>
        <w:t>a change in</w:t>
      </w:r>
      <w:r w:rsidRPr="00696B24">
        <w:rPr>
          <w:color w:val="000000"/>
          <w:sz w:val="22"/>
        </w:rPr>
        <w:t xml:space="preserve"> start date will also allow better planning and implementation of the Programme.</w:t>
      </w:r>
    </w:p>
    <w:p w:rsidR="002E2F87" w:rsidRPr="007F5C68" w:rsidRDefault="002E2F87" w:rsidP="002E2F87">
      <w:pPr>
        <w:spacing w:before="0"/>
        <w:rPr>
          <w:b/>
          <w:color w:val="000000"/>
          <w:sz w:val="22"/>
        </w:rPr>
      </w:pPr>
    </w:p>
    <w:p w:rsidR="002E2F87" w:rsidRDefault="002E2F87" w:rsidP="002E2F87">
      <w:pPr>
        <w:spacing w:before="0"/>
        <w:rPr>
          <w:color w:val="000000"/>
          <w:sz w:val="22"/>
        </w:rPr>
      </w:pPr>
      <w:r>
        <w:rPr>
          <w:color w:val="000000"/>
          <w:sz w:val="22"/>
        </w:rPr>
        <w:t>For the reasons outlined above, t</w:t>
      </w:r>
      <w:r w:rsidRPr="009623A6">
        <w:rPr>
          <w:color w:val="000000"/>
          <w:sz w:val="22"/>
        </w:rPr>
        <w:t xml:space="preserve">he Ministry’s expectation is that private </w:t>
      </w:r>
      <w:r>
        <w:rPr>
          <w:color w:val="000000"/>
          <w:sz w:val="22"/>
        </w:rPr>
        <w:t>influenza immunisation</w:t>
      </w:r>
      <w:r w:rsidRPr="009623A6">
        <w:rPr>
          <w:color w:val="000000"/>
          <w:sz w:val="22"/>
        </w:rPr>
        <w:t xml:space="preserve"> providers </w:t>
      </w:r>
      <w:r w:rsidR="000F7C3F">
        <w:rPr>
          <w:color w:val="000000"/>
          <w:sz w:val="22"/>
        </w:rPr>
        <w:t xml:space="preserve">also </w:t>
      </w:r>
      <w:r w:rsidRPr="009623A6">
        <w:rPr>
          <w:color w:val="000000"/>
          <w:sz w:val="22"/>
        </w:rPr>
        <w:t>consider starting service delivery</w:t>
      </w:r>
      <w:r w:rsidR="002E2272">
        <w:rPr>
          <w:color w:val="000000"/>
          <w:sz w:val="22"/>
        </w:rPr>
        <w:t xml:space="preserve"> from </w:t>
      </w:r>
      <w:r w:rsidRPr="009623A6">
        <w:rPr>
          <w:color w:val="000000"/>
          <w:sz w:val="22"/>
        </w:rPr>
        <w:t>1 April.</w:t>
      </w:r>
    </w:p>
    <w:p w:rsidR="002E2F87" w:rsidRDefault="002E2F87" w:rsidP="00381A4E">
      <w:pPr>
        <w:spacing w:before="0"/>
        <w:rPr>
          <w:color w:val="000000"/>
          <w:sz w:val="22"/>
        </w:rPr>
      </w:pPr>
    </w:p>
    <w:p w:rsidR="00381A4E" w:rsidRPr="00696B24" w:rsidRDefault="00381A4E" w:rsidP="00381A4E">
      <w:pPr>
        <w:spacing w:before="0"/>
        <w:rPr>
          <w:b/>
          <w:color w:val="000000"/>
          <w:sz w:val="22"/>
        </w:rPr>
      </w:pPr>
      <w:r w:rsidRPr="00696B24">
        <w:rPr>
          <w:b/>
          <w:color w:val="000000"/>
          <w:sz w:val="22"/>
        </w:rPr>
        <w:t>Monitoring the impact of this change</w:t>
      </w:r>
    </w:p>
    <w:p w:rsidR="00381A4E" w:rsidRPr="00696B24" w:rsidRDefault="00381A4E" w:rsidP="00381A4E">
      <w:pPr>
        <w:spacing w:before="0"/>
        <w:rPr>
          <w:b/>
          <w:color w:val="000000"/>
          <w:sz w:val="22"/>
        </w:rPr>
      </w:pPr>
    </w:p>
    <w:p w:rsidR="00B70CA0" w:rsidRDefault="00381A4E" w:rsidP="00381A4E">
      <w:pPr>
        <w:spacing w:before="0"/>
        <w:rPr>
          <w:color w:val="000000"/>
          <w:sz w:val="22"/>
        </w:rPr>
      </w:pPr>
      <w:r w:rsidRPr="00696B24">
        <w:rPr>
          <w:color w:val="000000"/>
          <w:sz w:val="22"/>
        </w:rPr>
        <w:t>The Ministry will</w:t>
      </w:r>
      <w:r w:rsidR="00CB5255">
        <w:rPr>
          <w:color w:val="000000"/>
          <w:sz w:val="22"/>
        </w:rPr>
        <w:t xml:space="preserve"> monitor this change to the </w:t>
      </w:r>
      <w:r w:rsidRPr="00696B24">
        <w:rPr>
          <w:color w:val="000000"/>
          <w:sz w:val="22"/>
        </w:rPr>
        <w:t xml:space="preserve">start date over the next few years and will review its impact on service delivery and influenza immunisation coverage as required. </w:t>
      </w:r>
    </w:p>
    <w:p w:rsidR="00B70CA0" w:rsidRDefault="00B70CA0" w:rsidP="00B70CA0">
      <w:r>
        <w:br w:type="page"/>
      </w:r>
    </w:p>
    <w:p w:rsidR="00B70CA0" w:rsidRPr="00B70CA0" w:rsidRDefault="00B70CA0" w:rsidP="00B70CA0">
      <w:pPr>
        <w:rPr>
          <w:rFonts w:cs="Arial"/>
          <w:b/>
          <w:color w:val="000000" w:themeColor="text1"/>
          <w:sz w:val="36"/>
          <w:szCs w:val="36"/>
        </w:rPr>
      </w:pPr>
      <w:r>
        <w:rPr>
          <w:rFonts w:cs="Arial"/>
          <w:b/>
          <w:color w:val="000000" w:themeColor="text1"/>
          <w:sz w:val="36"/>
          <w:szCs w:val="36"/>
        </w:rPr>
        <w:lastRenderedPageBreak/>
        <w:t>Appendix</w:t>
      </w:r>
      <w:r w:rsidRPr="00B70CA0">
        <w:rPr>
          <w:rFonts w:cs="Arial"/>
          <w:b/>
          <w:color w:val="000000" w:themeColor="text1"/>
          <w:sz w:val="36"/>
          <w:szCs w:val="36"/>
        </w:rPr>
        <w:t>- Summary of consultation feedback</w:t>
      </w:r>
    </w:p>
    <w:p w:rsidR="00B70CA0" w:rsidRPr="00B70CA0" w:rsidRDefault="00B70CA0" w:rsidP="00B70CA0">
      <w:pPr>
        <w:spacing w:after="240"/>
        <w:rPr>
          <w:rFonts w:cs="Arial"/>
          <w:color w:val="000000" w:themeColor="text1"/>
        </w:rPr>
      </w:pPr>
      <w:r w:rsidRPr="00B70CA0">
        <w:rPr>
          <w:rFonts w:cs="Arial"/>
          <w:color w:val="000000" w:themeColor="text1"/>
        </w:rPr>
        <w:t>The Ministry consulted with key</w:t>
      </w:r>
      <w:bookmarkStart w:id="0" w:name="_GoBack"/>
      <w:bookmarkEnd w:id="0"/>
      <w:r w:rsidRPr="00B70CA0">
        <w:rPr>
          <w:rFonts w:cs="Arial"/>
          <w:color w:val="000000" w:themeColor="text1"/>
        </w:rPr>
        <w:t xml:space="preserve"> immunisation stakeholders on the proposed change in start date. We appreciate the effort people took to respond to the consultation.  The table below summarises the main themes raised in feedback.  </w:t>
      </w:r>
    </w:p>
    <w:tbl>
      <w:tblPr>
        <w:tblStyle w:val="TableGrid"/>
        <w:tblW w:w="0" w:type="auto"/>
        <w:tblLook w:val="04A0" w:firstRow="1" w:lastRow="0" w:firstColumn="1" w:lastColumn="0" w:noHBand="0" w:noVBand="1"/>
      </w:tblPr>
      <w:tblGrid>
        <w:gridCol w:w="4779"/>
        <w:gridCol w:w="4566"/>
      </w:tblGrid>
      <w:tr w:rsidR="00B70CA0" w:rsidRPr="00B70CA0" w:rsidTr="00B70CA0">
        <w:tc>
          <w:tcPr>
            <w:tcW w:w="4779" w:type="dxa"/>
          </w:tcPr>
          <w:p w:rsidR="00B70CA0" w:rsidRPr="00B70CA0" w:rsidRDefault="00B70CA0" w:rsidP="006C2465">
            <w:pPr>
              <w:rPr>
                <w:rFonts w:cs="Arial"/>
                <w:b/>
                <w:color w:val="000000" w:themeColor="text1"/>
              </w:rPr>
            </w:pPr>
            <w:r w:rsidRPr="00B70CA0">
              <w:rPr>
                <w:rFonts w:cs="Arial"/>
                <w:b/>
                <w:color w:val="000000" w:themeColor="text1"/>
              </w:rPr>
              <w:t>Theme</w:t>
            </w:r>
          </w:p>
        </w:tc>
        <w:tc>
          <w:tcPr>
            <w:tcW w:w="4566" w:type="dxa"/>
          </w:tcPr>
          <w:p w:rsidR="00B70CA0" w:rsidRPr="00B70CA0" w:rsidRDefault="00B70CA0" w:rsidP="006C2465">
            <w:pPr>
              <w:rPr>
                <w:rFonts w:cs="Arial"/>
                <w:b/>
                <w:color w:val="000000" w:themeColor="text1"/>
              </w:rPr>
            </w:pPr>
            <w:r w:rsidRPr="00B70CA0">
              <w:rPr>
                <w:rFonts w:cs="Arial"/>
                <w:b/>
                <w:color w:val="000000" w:themeColor="text1"/>
              </w:rPr>
              <w:t>Ministry comment</w:t>
            </w:r>
          </w:p>
        </w:tc>
      </w:tr>
      <w:tr w:rsidR="00B70CA0" w:rsidRPr="00B70CA0" w:rsidTr="00B70CA0">
        <w:tc>
          <w:tcPr>
            <w:tcW w:w="4779" w:type="dxa"/>
          </w:tcPr>
          <w:p w:rsidR="00B70CA0" w:rsidRPr="00B70CA0" w:rsidRDefault="00B70CA0" w:rsidP="00B70CA0">
            <w:pPr>
              <w:spacing w:after="240"/>
              <w:rPr>
                <w:rFonts w:cs="Arial"/>
                <w:color w:val="000000" w:themeColor="text1"/>
                <w:sz w:val="22"/>
                <w:szCs w:val="22"/>
              </w:rPr>
            </w:pPr>
            <w:r w:rsidRPr="00B70CA0">
              <w:rPr>
                <w:rFonts w:cs="Arial"/>
                <w:color w:val="000000" w:themeColor="text1"/>
                <w:sz w:val="22"/>
                <w:szCs w:val="22"/>
              </w:rPr>
              <w:t xml:space="preserve">Most respondents were supportive of a change in start date to 1 April, as it would: </w:t>
            </w:r>
          </w:p>
          <w:p w:rsidR="00B70CA0" w:rsidRPr="00B70CA0" w:rsidRDefault="00B70CA0" w:rsidP="00B70CA0">
            <w:pPr>
              <w:pStyle w:val="ListParagraph"/>
              <w:numPr>
                <w:ilvl w:val="0"/>
                <w:numId w:val="7"/>
              </w:numPr>
              <w:spacing w:after="240"/>
              <w:rPr>
                <w:bCs/>
                <w:color w:val="000000" w:themeColor="text1"/>
                <w:sz w:val="22"/>
                <w:szCs w:val="22"/>
              </w:rPr>
            </w:pPr>
            <w:r w:rsidRPr="00B70CA0">
              <w:rPr>
                <w:bCs/>
                <w:color w:val="000000" w:themeColor="text1"/>
                <w:sz w:val="22"/>
                <w:szCs w:val="22"/>
              </w:rPr>
              <w:t>allow for better planning of resources, staff and influenza clinics to suit their population</w:t>
            </w:r>
          </w:p>
          <w:p w:rsidR="00B70CA0" w:rsidRPr="00B70CA0" w:rsidRDefault="00B70CA0" w:rsidP="00B70CA0">
            <w:pPr>
              <w:pStyle w:val="ListParagraph"/>
              <w:numPr>
                <w:ilvl w:val="0"/>
                <w:numId w:val="7"/>
              </w:numPr>
              <w:spacing w:after="240"/>
              <w:rPr>
                <w:bCs/>
                <w:color w:val="000000" w:themeColor="text1"/>
                <w:sz w:val="22"/>
                <w:szCs w:val="22"/>
              </w:rPr>
            </w:pPr>
            <w:r w:rsidRPr="00B70CA0">
              <w:rPr>
                <w:bCs/>
                <w:color w:val="000000" w:themeColor="text1"/>
                <w:sz w:val="22"/>
                <w:szCs w:val="22"/>
              </w:rPr>
              <w:t>provide certainty around a standardised start date for the Programme</w:t>
            </w:r>
          </w:p>
          <w:p w:rsidR="00B70CA0" w:rsidRPr="00B70CA0" w:rsidRDefault="00B70CA0" w:rsidP="00B70CA0">
            <w:pPr>
              <w:pStyle w:val="ListParagraph"/>
              <w:numPr>
                <w:ilvl w:val="0"/>
                <w:numId w:val="7"/>
              </w:numPr>
              <w:spacing w:after="240"/>
              <w:rPr>
                <w:bCs/>
                <w:color w:val="000000" w:themeColor="text1"/>
                <w:sz w:val="22"/>
                <w:szCs w:val="22"/>
              </w:rPr>
            </w:pPr>
            <w:proofErr w:type="gramStart"/>
            <w:r w:rsidRPr="00B70CA0">
              <w:rPr>
                <w:bCs/>
                <w:color w:val="000000" w:themeColor="text1"/>
                <w:sz w:val="22"/>
                <w:szCs w:val="22"/>
              </w:rPr>
              <w:t>provide</w:t>
            </w:r>
            <w:proofErr w:type="gramEnd"/>
            <w:r w:rsidRPr="00B70CA0">
              <w:rPr>
                <w:bCs/>
                <w:color w:val="000000" w:themeColor="text1"/>
                <w:sz w:val="22"/>
                <w:szCs w:val="22"/>
              </w:rPr>
              <w:t xml:space="preserve"> better protection of the whole population especially for vulnerable populations. </w:t>
            </w:r>
          </w:p>
        </w:tc>
        <w:tc>
          <w:tcPr>
            <w:tcW w:w="4566" w:type="dxa"/>
          </w:tcPr>
          <w:p w:rsidR="00B70CA0" w:rsidRPr="00B70CA0" w:rsidRDefault="00B70CA0" w:rsidP="00B70CA0">
            <w:pPr>
              <w:spacing w:after="240"/>
              <w:rPr>
                <w:rFonts w:cs="Arial"/>
                <w:color w:val="000000" w:themeColor="text1"/>
                <w:sz w:val="22"/>
                <w:szCs w:val="22"/>
              </w:rPr>
            </w:pPr>
            <w:r w:rsidRPr="00B70CA0">
              <w:rPr>
                <w:rFonts w:cs="Arial"/>
                <w:color w:val="000000" w:themeColor="text1"/>
                <w:sz w:val="22"/>
                <w:szCs w:val="22"/>
              </w:rPr>
              <w:t>Noted</w:t>
            </w:r>
          </w:p>
        </w:tc>
      </w:tr>
      <w:tr w:rsidR="00B70CA0" w:rsidRPr="00B70CA0" w:rsidTr="00B70CA0">
        <w:tc>
          <w:tcPr>
            <w:tcW w:w="4779" w:type="dxa"/>
          </w:tcPr>
          <w:p w:rsidR="00B70CA0" w:rsidRPr="00B70CA0" w:rsidRDefault="00B70CA0" w:rsidP="00B70CA0">
            <w:pPr>
              <w:spacing w:after="240"/>
              <w:rPr>
                <w:rFonts w:cs="Arial"/>
                <w:bCs/>
                <w:color w:val="000000" w:themeColor="text1"/>
                <w:sz w:val="22"/>
                <w:szCs w:val="22"/>
              </w:rPr>
            </w:pPr>
            <w:r w:rsidRPr="00B70CA0">
              <w:rPr>
                <w:rFonts w:cs="Arial"/>
                <w:bCs/>
                <w:color w:val="000000" w:themeColor="text1"/>
                <w:sz w:val="22"/>
                <w:szCs w:val="22"/>
              </w:rPr>
              <w:t>Some respondents were concerned that starting the Programme later would increase the strain on general practice to deliver vaccinations within a tighter timeframe before the peak of the season.</w:t>
            </w:r>
          </w:p>
        </w:tc>
        <w:tc>
          <w:tcPr>
            <w:tcW w:w="4566" w:type="dxa"/>
          </w:tcPr>
          <w:p w:rsidR="00B70CA0" w:rsidRPr="00B70CA0" w:rsidRDefault="00B70CA0" w:rsidP="00B70CA0">
            <w:pPr>
              <w:spacing w:after="240"/>
              <w:rPr>
                <w:rFonts w:cs="Arial"/>
                <w:color w:val="000000" w:themeColor="text1"/>
                <w:sz w:val="22"/>
                <w:szCs w:val="22"/>
              </w:rPr>
            </w:pPr>
            <w:r w:rsidRPr="00B70CA0">
              <w:rPr>
                <w:rFonts w:cs="Arial"/>
                <w:color w:val="000000" w:themeColor="text1"/>
                <w:sz w:val="22"/>
                <w:szCs w:val="22"/>
              </w:rPr>
              <w:t>In recent years the majority of influenza immunisation has taken place in the first eight weeks of the programme, regardless of the start date, well in advance of the beginning of the seasonal increase in influenza.</w:t>
            </w:r>
          </w:p>
        </w:tc>
      </w:tr>
      <w:tr w:rsidR="00B70CA0" w:rsidRPr="00B70CA0" w:rsidTr="00B70CA0">
        <w:tc>
          <w:tcPr>
            <w:tcW w:w="4779" w:type="dxa"/>
          </w:tcPr>
          <w:p w:rsidR="00B70CA0" w:rsidRPr="00B70CA0" w:rsidRDefault="00B70CA0" w:rsidP="00B70CA0">
            <w:pPr>
              <w:spacing w:after="240"/>
              <w:rPr>
                <w:rFonts w:cs="Arial"/>
                <w:color w:val="000000" w:themeColor="text1"/>
                <w:sz w:val="22"/>
                <w:szCs w:val="22"/>
              </w:rPr>
            </w:pPr>
            <w:r w:rsidRPr="00B70CA0">
              <w:rPr>
                <w:rFonts w:cs="Arial"/>
                <w:color w:val="000000" w:themeColor="text1"/>
                <w:sz w:val="22"/>
                <w:szCs w:val="22"/>
              </w:rPr>
              <w:t>Some respondents were concerned that influenza season could come early.</w:t>
            </w:r>
          </w:p>
        </w:tc>
        <w:tc>
          <w:tcPr>
            <w:tcW w:w="4566" w:type="dxa"/>
          </w:tcPr>
          <w:p w:rsidR="00B70CA0" w:rsidRPr="00B70CA0" w:rsidRDefault="00B70CA0" w:rsidP="00B70CA0">
            <w:pPr>
              <w:spacing w:after="240"/>
              <w:rPr>
                <w:rFonts w:cs="Arial"/>
                <w:color w:val="000000" w:themeColor="text1"/>
                <w:sz w:val="22"/>
                <w:szCs w:val="22"/>
              </w:rPr>
            </w:pPr>
            <w:r w:rsidRPr="00B70CA0">
              <w:rPr>
                <w:rFonts w:cs="Arial"/>
                <w:color w:val="000000" w:themeColor="text1"/>
                <w:sz w:val="22"/>
                <w:szCs w:val="22"/>
              </w:rPr>
              <w:t>This decision was made in consultation with influenza epidemiologists with reference to New Zealand data from multiple recent influenza seasons. Influenza levels are monitored throughout the year.</w:t>
            </w:r>
          </w:p>
        </w:tc>
      </w:tr>
      <w:tr w:rsidR="00B70CA0" w:rsidRPr="00B70CA0" w:rsidTr="00B70CA0">
        <w:tc>
          <w:tcPr>
            <w:tcW w:w="4779" w:type="dxa"/>
          </w:tcPr>
          <w:p w:rsidR="00B70CA0" w:rsidRPr="00B70CA0" w:rsidRDefault="00B70CA0" w:rsidP="00B70CA0">
            <w:pPr>
              <w:spacing w:after="240"/>
              <w:rPr>
                <w:rFonts w:cs="Arial"/>
                <w:color w:val="000000" w:themeColor="text1"/>
                <w:sz w:val="22"/>
                <w:szCs w:val="22"/>
              </w:rPr>
            </w:pPr>
            <w:r w:rsidRPr="00B70CA0">
              <w:rPr>
                <w:rFonts w:cs="Arial"/>
                <w:color w:val="000000" w:themeColor="text1"/>
                <w:sz w:val="22"/>
                <w:szCs w:val="22"/>
              </w:rPr>
              <w:t>Some respondents were concerned that a split delivery model between private market and funded influenza vaccine availability may create an equity issue and undermine the funded programme</w:t>
            </w:r>
          </w:p>
        </w:tc>
        <w:tc>
          <w:tcPr>
            <w:tcW w:w="4566" w:type="dxa"/>
          </w:tcPr>
          <w:p w:rsidR="00B70CA0" w:rsidRPr="00B70CA0" w:rsidRDefault="00B70CA0" w:rsidP="00B70CA0">
            <w:pPr>
              <w:spacing w:after="240"/>
              <w:rPr>
                <w:rFonts w:cs="Arial"/>
                <w:bCs/>
                <w:color w:val="000000" w:themeColor="text1"/>
                <w:sz w:val="22"/>
                <w:szCs w:val="22"/>
              </w:rPr>
            </w:pPr>
            <w:r w:rsidRPr="00B70CA0">
              <w:rPr>
                <w:rFonts w:cs="Arial"/>
                <w:bCs/>
                <w:color w:val="000000" w:themeColor="text1"/>
                <w:sz w:val="22"/>
                <w:szCs w:val="22"/>
              </w:rPr>
              <w:t xml:space="preserve">The Ministry will discuss further with vaccine suppliers and private providers about the impact of a change in start date to the Programme. The Ministry’s expectation is that private immunisation providers consider starting service delivery from 1 April. </w:t>
            </w:r>
          </w:p>
        </w:tc>
      </w:tr>
      <w:tr w:rsidR="00B70CA0" w:rsidRPr="00B70CA0" w:rsidTr="00B70CA0">
        <w:tc>
          <w:tcPr>
            <w:tcW w:w="4779" w:type="dxa"/>
          </w:tcPr>
          <w:p w:rsidR="00B70CA0" w:rsidRPr="00B70CA0" w:rsidRDefault="00B70CA0" w:rsidP="00B70CA0">
            <w:pPr>
              <w:spacing w:after="240"/>
              <w:rPr>
                <w:rFonts w:cs="Arial"/>
                <w:color w:val="000000" w:themeColor="text1"/>
                <w:sz w:val="22"/>
                <w:szCs w:val="22"/>
              </w:rPr>
            </w:pPr>
            <w:r w:rsidRPr="00B70CA0">
              <w:rPr>
                <w:rFonts w:cs="Arial"/>
                <w:color w:val="000000" w:themeColor="text1"/>
                <w:sz w:val="22"/>
                <w:szCs w:val="22"/>
              </w:rPr>
              <w:t>Respondents also provided comments on implementation considerations, including providing the sector with reassurance that the vaccine would be available for delivery by 1 April, as delays impact on their planning, resourcing and their coverage.</w:t>
            </w:r>
          </w:p>
        </w:tc>
        <w:tc>
          <w:tcPr>
            <w:tcW w:w="4566" w:type="dxa"/>
          </w:tcPr>
          <w:p w:rsidR="00B70CA0" w:rsidRPr="00B70CA0" w:rsidRDefault="00B70CA0" w:rsidP="00B70CA0">
            <w:pPr>
              <w:spacing w:after="240"/>
              <w:rPr>
                <w:rFonts w:cs="Arial"/>
                <w:color w:val="000000" w:themeColor="text1"/>
                <w:sz w:val="22"/>
                <w:szCs w:val="22"/>
              </w:rPr>
            </w:pPr>
            <w:r w:rsidRPr="00B70CA0">
              <w:rPr>
                <w:rFonts w:cs="Arial"/>
                <w:color w:val="000000" w:themeColor="text1"/>
                <w:sz w:val="22"/>
                <w:szCs w:val="22"/>
              </w:rPr>
              <w:t xml:space="preserve">Since 2005, the influenza vaccine has only been delayed until later in April twice. Each year there is a risk influenza vaccine availability is delayed. Vaccine availability is dependent on the time it takes to manufacture the vaccine, especially with the addition of new influenza vaccine strains for that particular year. This issue affects all </w:t>
            </w:r>
            <w:r w:rsidRPr="00B70CA0">
              <w:rPr>
                <w:rFonts w:cs="Arial"/>
                <w:color w:val="000000" w:themeColor="text1"/>
                <w:sz w:val="22"/>
                <w:szCs w:val="22"/>
              </w:rPr>
              <w:lastRenderedPageBreak/>
              <w:t xml:space="preserve">influenza vaccines types, not just the funded vaccine. The role of PHARMAC and the Ministry is to ensure the sector is well informed about the vaccine availability and contingencies are put in place to minimise the impact on providers. The Ministry and PHARMAC will communicate to the sector about delays in vaccine availability and a revised start date as soon as they are made aware. </w:t>
            </w:r>
          </w:p>
        </w:tc>
      </w:tr>
    </w:tbl>
    <w:p w:rsidR="00B70CA0" w:rsidRPr="00B70CA0" w:rsidRDefault="00B70CA0" w:rsidP="00B70CA0">
      <w:pPr>
        <w:rPr>
          <w:rFonts w:cs="Arial"/>
          <w:color w:val="000000" w:themeColor="text1"/>
        </w:rPr>
      </w:pPr>
    </w:p>
    <w:p w:rsidR="00381A4E" w:rsidRPr="00B70CA0" w:rsidRDefault="00381A4E" w:rsidP="00381A4E">
      <w:pPr>
        <w:spacing w:before="0"/>
        <w:rPr>
          <w:b/>
          <w:color w:val="000000" w:themeColor="text1"/>
          <w:sz w:val="22"/>
        </w:rPr>
      </w:pPr>
    </w:p>
    <w:p w:rsidR="00381A4E" w:rsidRPr="00B70CA0" w:rsidRDefault="00381A4E" w:rsidP="00381A4E">
      <w:pPr>
        <w:spacing w:before="0"/>
        <w:rPr>
          <w:b/>
          <w:color w:val="000000" w:themeColor="text1"/>
          <w:sz w:val="22"/>
        </w:rPr>
      </w:pPr>
    </w:p>
    <w:p w:rsidR="001210AF" w:rsidRPr="00381A4E" w:rsidRDefault="001210AF" w:rsidP="00381A4E"/>
    <w:sectPr w:rsidR="001210AF" w:rsidRPr="00381A4E" w:rsidSect="009E113D">
      <w:footerReference w:type="default" r:id="rId8"/>
      <w:headerReference w:type="first" r:id="rId9"/>
      <w:pgSz w:w="11907" w:h="16840" w:code="9"/>
      <w:pgMar w:top="1418" w:right="1134" w:bottom="1418" w:left="1418" w:header="567" w:footer="567"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E4E" w:rsidRDefault="00F81E4E">
      <w:r>
        <w:separator/>
      </w:r>
    </w:p>
  </w:endnote>
  <w:endnote w:type="continuationSeparator" w:id="0">
    <w:p w:rsidR="00F81E4E" w:rsidRDefault="00F8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4F" w:rsidRDefault="00F7634F" w:rsidP="00351003">
    <w:pPr>
      <w:pStyle w:val="Footer"/>
    </w:pPr>
    <w:r>
      <w:t xml:space="preserve">Page </w:t>
    </w:r>
    <w:r>
      <w:fldChar w:fldCharType="begin"/>
    </w:r>
    <w:r>
      <w:instrText xml:space="preserve"> PAGE </w:instrText>
    </w:r>
    <w:r>
      <w:fldChar w:fldCharType="separate"/>
    </w:r>
    <w:r w:rsidR="00B70CA0">
      <w:rPr>
        <w:noProof/>
      </w:rPr>
      <w:t>3</w:t>
    </w:r>
    <w:r>
      <w:fldChar w:fldCharType="end"/>
    </w:r>
    <w:r>
      <w:t xml:space="preserve"> of </w:t>
    </w:r>
    <w:r>
      <w:rPr>
        <w:noProof/>
      </w:rPr>
      <w:fldChar w:fldCharType="begin"/>
    </w:r>
    <w:r>
      <w:rPr>
        <w:noProof/>
      </w:rPr>
      <w:instrText xml:space="preserve"> NUMPAGES </w:instrText>
    </w:r>
    <w:r>
      <w:rPr>
        <w:noProof/>
      </w:rPr>
      <w:fldChar w:fldCharType="separate"/>
    </w:r>
    <w:r w:rsidR="00B70CA0">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E4E" w:rsidRDefault="00F81E4E">
      <w:r>
        <w:separator/>
      </w:r>
    </w:p>
  </w:footnote>
  <w:footnote w:type="continuationSeparator" w:id="0">
    <w:p w:rsidR="00F81E4E" w:rsidRDefault="00F81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4F" w:rsidRPr="00090A0E" w:rsidRDefault="00F7634F" w:rsidP="00090A0E">
    <w:pPr>
      <w:pStyle w:val="Header"/>
    </w:pPr>
    <w:r>
      <w:rPr>
        <w:noProof/>
        <w:lang w:eastAsia="en-NZ"/>
      </w:rPr>
      <w:drawing>
        <wp:inline distT="0" distB="0" distL="0" distR="0" wp14:anchorId="68D77798" wp14:editId="2D13F9BB">
          <wp:extent cx="6242685" cy="4070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542"/>
    <w:multiLevelType w:val="hybridMultilevel"/>
    <w:tmpl w:val="8EA4A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E407EA3"/>
    <w:multiLevelType w:val="hybridMultilevel"/>
    <w:tmpl w:val="74684B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DB22CD6"/>
    <w:multiLevelType w:val="hybridMultilevel"/>
    <w:tmpl w:val="C61A4F98"/>
    <w:lvl w:ilvl="0" w:tplc="D9900212">
      <w:start w:val="1"/>
      <w:numFmt w:val="decimal"/>
      <w:lvlText w:val="%1."/>
      <w:lvlJc w:val="left"/>
      <w:pPr>
        <w:ind w:left="720" w:hanging="360"/>
      </w:pPr>
      <w:rPr>
        <w:rFonts w:ascii="Arial" w:eastAsia="Times New Roman" w:hAnsi="Arial" w:cs="Times"/>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NZ"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15"/>
    <w:rsid w:val="00002049"/>
    <w:rsid w:val="00006D5D"/>
    <w:rsid w:val="0001369A"/>
    <w:rsid w:val="0003710F"/>
    <w:rsid w:val="00043324"/>
    <w:rsid w:val="000675CB"/>
    <w:rsid w:val="0007201D"/>
    <w:rsid w:val="00074D9A"/>
    <w:rsid w:val="00076EAC"/>
    <w:rsid w:val="00084C18"/>
    <w:rsid w:val="00086B54"/>
    <w:rsid w:val="00090A0E"/>
    <w:rsid w:val="0009709A"/>
    <w:rsid w:val="000A009F"/>
    <w:rsid w:val="000A2F23"/>
    <w:rsid w:val="000C37B8"/>
    <w:rsid w:val="000F5040"/>
    <w:rsid w:val="000F76E7"/>
    <w:rsid w:val="000F77AF"/>
    <w:rsid w:val="000F7C3F"/>
    <w:rsid w:val="0010498A"/>
    <w:rsid w:val="001210AF"/>
    <w:rsid w:val="0012724C"/>
    <w:rsid w:val="00134BBB"/>
    <w:rsid w:val="001374D4"/>
    <w:rsid w:val="001527F3"/>
    <w:rsid w:val="00156293"/>
    <w:rsid w:val="00170111"/>
    <w:rsid w:val="00175201"/>
    <w:rsid w:val="00181ABF"/>
    <w:rsid w:val="001828E9"/>
    <w:rsid w:val="001834D3"/>
    <w:rsid w:val="00190D84"/>
    <w:rsid w:val="00194D60"/>
    <w:rsid w:val="00195643"/>
    <w:rsid w:val="001C27C0"/>
    <w:rsid w:val="001D52A9"/>
    <w:rsid w:val="001D6742"/>
    <w:rsid w:val="001E2DCC"/>
    <w:rsid w:val="001F13ED"/>
    <w:rsid w:val="001F29FE"/>
    <w:rsid w:val="00214ABA"/>
    <w:rsid w:val="002202D6"/>
    <w:rsid w:val="002265E5"/>
    <w:rsid w:val="002279DA"/>
    <w:rsid w:val="00231C91"/>
    <w:rsid w:val="002345F1"/>
    <w:rsid w:val="00243C6E"/>
    <w:rsid w:val="00245E7A"/>
    <w:rsid w:val="00246A53"/>
    <w:rsid w:val="002607A6"/>
    <w:rsid w:val="00262DD1"/>
    <w:rsid w:val="002676D6"/>
    <w:rsid w:val="0027447E"/>
    <w:rsid w:val="00280A23"/>
    <w:rsid w:val="00282E2E"/>
    <w:rsid w:val="00283DA9"/>
    <w:rsid w:val="0029295D"/>
    <w:rsid w:val="002A1D05"/>
    <w:rsid w:val="002B3226"/>
    <w:rsid w:val="002B49E8"/>
    <w:rsid w:val="002C2E04"/>
    <w:rsid w:val="002C7CF5"/>
    <w:rsid w:val="002E2272"/>
    <w:rsid w:val="002E2F87"/>
    <w:rsid w:val="00304CDA"/>
    <w:rsid w:val="0030516B"/>
    <w:rsid w:val="003103A6"/>
    <w:rsid w:val="00325F29"/>
    <w:rsid w:val="00326F50"/>
    <w:rsid w:val="00330059"/>
    <w:rsid w:val="0034743A"/>
    <w:rsid w:val="00351003"/>
    <w:rsid w:val="003523E2"/>
    <w:rsid w:val="003814B1"/>
    <w:rsid w:val="00381A4E"/>
    <w:rsid w:val="0039006F"/>
    <w:rsid w:val="00392D1D"/>
    <w:rsid w:val="003A169D"/>
    <w:rsid w:val="003A2A92"/>
    <w:rsid w:val="003B78F4"/>
    <w:rsid w:val="003C0969"/>
    <w:rsid w:val="003C1E37"/>
    <w:rsid w:val="003C531B"/>
    <w:rsid w:val="003D11AC"/>
    <w:rsid w:val="003D4ADE"/>
    <w:rsid w:val="003D76C1"/>
    <w:rsid w:val="003E0E31"/>
    <w:rsid w:val="003E1D0C"/>
    <w:rsid w:val="003E206A"/>
    <w:rsid w:val="003E2A56"/>
    <w:rsid w:val="003E3955"/>
    <w:rsid w:val="003F0AD4"/>
    <w:rsid w:val="003F585B"/>
    <w:rsid w:val="0041163D"/>
    <w:rsid w:val="0041254F"/>
    <w:rsid w:val="00416C24"/>
    <w:rsid w:val="00421973"/>
    <w:rsid w:val="004247BB"/>
    <w:rsid w:val="0043156E"/>
    <w:rsid w:val="00433AD2"/>
    <w:rsid w:val="00436844"/>
    <w:rsid w:val="00436A4D"/>
    <w:rsid w:val="00441FBC"/>
    <w:rsid w:val="00466ACA"/>
    <w:rsid w:val="00471F6E"/>
    <w:rsid w:val="004744A3"/>
    <w:rsid w:val="004764D1"/>
    <w:rsid w:val="004769A4"/>
    <w:rsid w:val="00480C49"/>
    <w:rsid w:val="00482FA0"/>
    <w:rsid w:val="004A21C2"/>
    <w:rsid w:val="004A29D5"/>
    <w:rsid w:val="004B6BD4"/>
    <w:rsid w:val="004C53DB"/>
    <w:rsid w:val="004C56C6"/>
    <w:rsid w:val="004D05F3"/>
    <w:rsid w:val="004D5848"/>
    <w:rsid w:val="004E46A2"/>
    <w:rsid w:val="004F4883"/>
    <w:rsid w:val="004F5F3A"/>
    <w:rsid w:val="0050093C"/>
    <w:rsid w:val="00510544"/>
    <w:rsid w:val="005123D0"/>
    <w:rsid w:val="005136D4"/>
    <w:rsid w:val="00531D7F"/>
    <w:rsid w:val="005337E7"/>
    <w:rsid w:val="00533C44"/>
    <w:rsid w:val="005373EC"/>
    <w:rsid w:val="005517A1"/>
    <w:rsid w:val="00554245"/>
    <w:rsid w:val="00561A5B"/>
    <w:rsid w:val="005633F3"/>
    <w:rsid w:val="0056515C"/>
    <w:rsid w:val="00567E7B"/>
    <w:rsid w:val="0057482E"/>
    <w:rsid w:val="00575136"/>
    <w:rsid w:val="00577B82"/>
    <w:rsid w:val="00581AB1"/>
    <w:rsid w:val="00581B6F"/>
    <w:rsid w:val="0058687A"/>
    <w:rsid w:val="005A022B"/>
    <w:rsid w:val="005A176E"/>
    <w:rsid w:val="005A44BA"/>
    <w:rsid w:val="005A544F"/>
    <w:rsid w:val="005B4AB1"/>
    <w:rsid w:val="005C2CF3"/>
    <w:rsid w:val="005C6C00"/>
    <w:rsid w:val="005D32F4"/>
    <w:rsid w:val="005D4953"/>
    <w:rsid w:val="005E4C89"/>
    <w:rsid w:val="005E5964"/>
    <w:rsid w:val="005F1099"/>
    <w:rsid w:val="00601D9C"/>
    <w:rsid w:val="0061210F"/>
    <w:rsid w:val="006226B0"/>
    <w:rsid w:val="00625A66"/>
    <w:rsid w:val="00627CDC"/>
    <w:rsid w:val="006343A9"/>
    <w:rsid w:val="006442A5"/>
    <w:rsid w:val="00645201"/>
    <w:rsid w:val="006510C5"/>
    <w:rsid w:val="006514B1"/>
    <w:rsid w:val="00653FA6"/>
    <w:rsid w:val="00666014"/>
    <w:rsid w:val="006730B5"/>
    <w:rsid w:val="00681615"/>
    <w:rsid w:val="0068302E"/>
    <w:rsid w:val="00683340"/>
    <w:rsid w:val="00691636"/>
    <w:rsid w:val="00696B24"/>
    <w:rsid w:val="006A694A"/>
    <w:rsid w:val="006C1566"/>
    <w:rsid w:val="006C3AB4"/>
    <w:rsid w:val="006C5BCD"/>
    <w:rsid w:val="006D1070"/>
    <w:rsid w:val="006D4A8C"/>
    <w:rsid w:val="006E0737"/>
    <w:rsid w:val="006E372E"/>
    <w:rsid w:val="006F68D0"/>
    <w:rsid w:val="0072546C"/>
    <w:rsid w:val="007428A8"/>
    <w:rsid w:val="00747BC2"/>
    <w:rsid w:val="00752EBC"/>
    <w:rsid w:val="0075466E"/>
    <w:rsid w:val="00772254"/>
    <w:rsid w:val="007749A4"/>
    <w:rsid w:val="00783EF3"/>
    <w:rsid w:val="0079107C"/>
    <w:rsid w:val="00794FF7"/>
    <w:rsid w:val="007A0120"/>
    <w:rsid w:val="007A7FA2"/>
    <w:rsid w:val="007B2BFD"/>
    <w:rsid w:val="007B414E"/>
    <w:rsid w:val="007B79CE"/>
    <w:rsid w:val="007C08D8"/>
    <w:rsid w:val="00802389"/>
    <w:rsid w:val="0080314D"/>
    <w:rsid w:val="00812043"/>
    <w:rsid w:val="00824003"/>
    <w:rsid w:val="008247BA"/>
    <w:rsid w:val="008329AF"/>
    <w:rsid w:val="008367FE"/>
    <w:rsid w:val="00861BA6"/>
    <w:rsid w:val="00863FE4"/>
    <w:rsid w:val="00865DF0"/>
    <w:rsid w:val="00870E6F"/>
    <w:rsid w:val="00871FA5"/>
    <w:rsid w:val="00873D65"/>
    <w:rsid w:val="008757C9"/>
    <w:rsid w:val="008847A2"/>
    <w:rsid w:val="00884B15"/>
    <w:rsid w:val="00890D5A"/>
    <w:rsid w:val="008A0619"/>
    <w:rsid w:val="008A3320"/>
    <w:rsid w:val="008A6066"/>
    <w:rsid w:val="008B449D"/>
    <w:rsid w:val="008C3902"/>
    <w:rsid w:val="008D12F9"/>
    <w:rsid w:val="008D5737"/>
    <w:rsid w:val="008E00EB"/>
    <w:rsid w:val="008E43A2"/>
    <w:rsid w:val="008F0EBF"/>
    <w:rsid w:val="008F1BBC"/>
    <w:rsid w:val="008F5297"/>
    <w:rsid w:val="008F58CD"/>
    <w:rsid w:val="0090647B"/>
    <w:rsid w:val="009068E2"/>
    <w:rsid w:val="00916A47"/>
    <w:rsid w:val="00916D08"/>
    <w:rsid w:val="0092561B"/>
    <w:rsid w:val="00931A22"/>
    <w:rsid w:val="00932FE0"/>
    <w:rsid w:val="00941AB1"/>
    <w:rsid w:val="00951CF9"/>
    <w:rsid w:val="00952192"/>
    <w:rsid w:val="009645B6"/>
    <w:rsid w:val="00967B4E"/>
    <w:rsid w:val="0097142E"/>
    <w:rsid w:val="0097163F"/>
    <w:rsid w:val="00980683"/>
    <w:rsid w:val="009829A4"/>
    <w:rsid w:val="009842FE"/>
    <w:rsid w:val="00993201"/>
    <w:rsid w:val="009A38BD"/>
    <w:rsid w:val="009B3A23"/>
    <w:rsid w:val="009B4781"/>
    <w:rsid w:val="009C794B"/>
    <w:rsid w:val="009E0AF4"/>
    <w:rsid w:val="009E113D"/>
    <w:rsid w:val="009F2E59"/>
    <w:rsid w:val="009F606A"/>
    <w:rsid w:val="00A02A0B"/>
    <w:rsid w:val="00A02DF8"/>
    <w:rsid w:val="00A13D7B"/>
    <w:rsid w:val="00A15BDB"/>
    <w:rsid w:val="00A34CFF"/>
    <w:rsid w:val="00A36FFB"/>
    <w:rsid w:val="00A40182"/>
    <w:rsid w:val="00A40A8B"/>
    <w:rsid w:val="00A41109"/>
    <w:rsid w:val="00A42800"/>
    <w:rsid w:val="00A47BF8"/>
    <w:rsid w:val="00A54328"/>
    <w:rsid w:val="00A543FD"/>
    <w:rsid w:val="00A54D8A"/>
    <w:rsid w:val="00A553D1"/>
    <w:rsid w:val="00A555BA"/>
    <w:rsid w:val="00A57AFA"/>
    <w:rsid w:val="00A621E1"/>
    <w:rsid w:val="00A62712"/>
    <w:rsid w:val="00A63E3A"/>
    <w:rsid w:val="00A64804"/>
    <w:rsid w:val="00A6734A"/>
    <w:rsid w:val="00A6770C"/>
    <w:rsid w:val="00A8192B"/>
    <w:rsid w:val="00A9045F"/>
    <w:rsid w:val="00A9339E"/>
    <w:rsid w:val="00AA0A39"/>
    <w:rsid w:val="00AA14D3"/>
    <w:rsid w:val="00AA1B7D"/>
    <w:rsid w:val="00AC2FC2"/>
    <w:rsid w:val="00AD59BA"/>
    <w:rsid w:val="00AE47D8"/>
    <w:rsid w:val="00AE5270"/>
    <w:rsid w:val="00AF0FAB"/>
    <w:rsid w:val="00AF256F"/>
    <w:rsid w:val="00AF30A0"/>
    <w:rsid w:val="00AF6857"/>
    <w:rsid w:val="00AF7A3A"/>
    <w:rsid w:val="00B14C13"/>
    <w:rsid w:val="00B318E6"/>
    <w:rsid w:val="00B433E3"/>
    <w:rsid w:val="00B5413F"/>
    <w:rsid w:val="00B70CA0"/>
    <w:rsid w:val="00B735BB"/>
    <w:rsid w:val="00B75982"/>
    <w:rsid w:val="00B768CC"/>
    <w:rsid w:val="00B85735"/>
    <w:rsid w:val="00B92FDD"/>
    <w:rsid w:val="00B940A8"/>
    <w:rsid w:val="00BA28A7"/>
    <w:rsid w:val="00BA51D5"/>
    <w:rsid w:val="00BA6B98"/>
    <w:rsid w:val="00BB0404"/>
    <w:rsid w:val="00BC36EC"/>
    <w:rsid w:val="00BD3D84"/>
    <w:rsid w:val="00BF01EB"/>
    <w:rsid w:val="00BF4AF3"/>
    <w:rsid w:val="00C1487C"/>
    <w:rsid w:val="00C17199"/>
    <w:rsid w:val="00C440CD"/>
    <w:rsid w:val="00C54E5A"/>
    <w:rsid w:val="00C755A4"/>
    <w:rsid w:val="00C75BEF"/>
    <w:rsid w:val="00C8137F"/>
    <w:rsid w:val="00C86776"/>
    <w:rsid w:val="00C9518B"/>
    <w:rsid w:val="00CA4F30"/>
    <w:rsid w:val="00CA5F5D"/>
    <w:rsid w:val="00CB2656"/>
    <w:rsid w:val="00CB5255"/>
    <w:rsid w:val="00CB7BAD"/>
    <w:rsid w:val="00CC7779"/>
    <w:rsid w:val="00CD227E"/>
    <w:rsid w:val="00CD5019"/>
    <w:rsid w:val="00CE1ED2"/>
    <w:rsid w:val="00CE716A"/>
    <w:rsid w:val="00CF090A"/>
    <w:rsid w:val="00D101C6"/>
    <w:rsid w:val="00D1109F"/>
    <w:rsid w:val="00D13B77"/>
    <w:rsid w:val="00D15710"/>
    <w:rsid w:val="00D16DCE"/>
    <w:rsid w:val="00D2225E"/>
    <w:rsid w:val="00D2492C"/>
    <w:rsid w:val="00D3231B"/>
    <w:rsid w:val="00D36767"/>
    <w:rsid w:val="00D37E8B"/>
    <w:rsid w:val="00D4139C"/>
    <w:rsid w:val="00D54A27"/>
    <w:rsid w:val="00D5598B"/>
    <w:rsid w:val="00D63AB1"/>
    <w:rsid w:val="00D66607"/>
    <w:rsid w:val="00D92447"/>
    <w:rsid w:val="00D93C06"/>
    <w:rsid w:val="00D94C9D"/>
    <w:rsid w:val="00DA17A5"/>
    <w:rsid w:val="00DB02DB"/>
    <w:rsid w:val="00DB795F"/>
    <w:rsid w:val="00DC3CD1"/>
    <w:rsid w:val="00DC45FE"/>
    <w:rsid w:val="00DE4FB0"/>
    <w:rsid w:val="00E12AF6"/>
    <w:rsid w:val="00E1361F"/>
    <w:rsid w:val="00E140F9"/>
    <w:rsid w:val="00E142D7"/>
    <w:rsid w:val="00E14955"/>
    <w:rsid w:val="00E23FD7"/>
    <w:rsid w:val="00E25514"/>
    <w:rsid w:val="00E26FD7"/>
    <w:rsid w:val="00E33ACC"/>
    <w:rsid w:val="00E34420"/>
    <w:rsid w:val="00E3605E"/>
    <w:rsid w:val="00E426F6"/>
    <w:rsid w:val="00E44267"/>
    <w:rsid w:val="00E526B1"/>
    <w:rsid w:val="00E72109"/>
    <w:rsid w:val="00E80A14"/>
    <w:rsid w:val="00E84419"/>
    <w:rsid w:val="00E87725"/>
    <w:rsid w:val="00E94374"/>
    <w:rsid w:val="00EA69C2"/>
    <w:rsid w:val="00EB0B44"/>
    <w:rsid w:val="00EC0A56"/>
    <w:rsid w:val="00EC5359"/>
    <w:rsid w:val="00EC7E9A"/>
    <w:rsid w:val="00ED693D"/>
    <w:rsid w:val="00EE2ECB"/>
    <w:rsid w:val="00EF7471"/>
    <w:rsid w:val="00F03EF9"/>
    <w:rsid w:val="00F05BB3"/>
    <w:rsid w:val="00F33421"/>
    <w:rsid w:val="00F41229"/>
    <w:rsid w:val="00F430C6"/>
    <w:rsid w:val="00F51D8A"/>
    <w:rsid w:val="00F54869"/>
    <w:rsid w:val="00F64B1D"/>
    <w:rsid w:val="00F67AFA"/>
    <w:rsid w:val="00F74469"/>
    <w:rsid w:val="00F7634F"/>
    <w:rsid w:val="00F80B03"/>
    <w:rsid w:val="00F81E4E"/>
    <w:rsid w:val="00F81EC7"/>
    <w:rsid w:val="00F8537A"/>
    <w:rsid w:val="00F91541"/>
    <w:rsid w:val="00FA04DE"/>
    <w:rsid w:val="00FA514B"/>
    <w:rsid w:val="00FC49D1"/>
    <w:rsid w:val="00FC6B7B"/>
    <w:rsid w:val="00FC7263"/>
    <w:rsid w:val="00FD081E"/>
    <w:rsid w:val="00FD3320"/>
    <w:rsid w:val="00FD6ABC"/>
    <w:rsid w:val="00FD6C66"/>
    <w:rsid w:val="00FE110D"/>
    <w:rsid w:val="00FE70C1"/>
    <w:rsid w:val="00FE78AC"/>
    <w:rsid w:val="00FF630F"/>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1DB8775E-5F6C-427C-AAC0-2066D5ED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CD"/>
    <w:pPr>
      <w:spacing w:before="240"/>
    </w:pPr>
    <w:rPr>
      <w:rFonts w:ascii="Arial" w:hAnsi="Arial" w:cs="Times"/>
      <w:color w:val="002E6E"/>
      <w:sz w:val="24"/>
      <w:szCs w:val="24"/>
      <w:lang w:eastAsia="en-GB"/>
    </w:rPr>
  </w:style>
  <w:style w:type="paragraph" w:styleId="Heading1">
    <w:name w:val="heading 1"/>
    <w:basedOn w:val="Normal"/>
    <w:next w:val="Normal"/>
    <w:link w:val="Heading1Char"/>
    <w:qFormat/>
    <w:rsid w:val="00FA04DE"/>
    <w:pPr>
      <w:keepNext/>
      <w:keepLines/>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1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D93C06"/>
    <w:pPr>
      <w:numPr>
        <w:numId w:val="1"/>
      </w:numPr>
      <w:spacing w:before="120"/>
    </w:pPr>
  </w:style>
  <w:style w:type="paragraph" w:styleId="Date">
    <w:name w:val="Date"/>
    <w:basedOn w:val="Normal"/>
    <w:next w:val="Normal"/>
    <w:rsid w:val="00AF256F"/>
    <w:pPr>
      <w:spacing w:before="120"/>
    </w:pPr>
  </w:style>
  <w:style w:type="paragraph" w:styleId="Header">
    <w:name w:val="header"/>
    <w:basedOn w:val="Normal"/>
    <w:rsid w:val="00090A0E"/>
    <w:pPr>
      <w:spacing w:before="0"/>
      <w:ind w:right="-567"/>
    </w:pPr>
    <w:rPr>
      <w:sz w:val="20"/>
    </w:rPr>
  </w:style>
  <w:style w:type="paragraph" w:customStyle="1" w:styleId="TableText">
    <w:name w:val="TableText"/>
    <w:basedOn w:val="Normal"/>
    <w:rsid w:val="009E113D"/>
    <w:pPr>
      <w:spacing w:before="120" w:after="120"/>
    </w:pPr>
  </w:style>
  <w:style w:type="paragraph" w:styleId="Footer">
    <w:name w:val="footer"/>
    <w:basedOn w:val="Normal"/>
    <w:rsid w:val="00AF256F"/>
    <w:pPr>
      <w:pBdr>
        <w:top w:val="single" w:sz="4" w:space="4" w:color="auto"/>
      </w:pBdr>
      <w:spacing w:before="0"/>
    </w:pPr>
    <w:rPr>
      <w:rFonts w:ascii="Georgia" w:hAnsi="Georgia"/>
      <w:b/>
      <w:sz w:val="20"/>
    </w:rPr>
  </w:style>
  <w:style w:type="paragraph" w:customStyle="1" w:styleId="Subjectheading">
    <w:name w:val="Subject heading"/>
    <w:basedOn w:val="Normal"/>
    <w:rsid w:val="00D93C06"/>
    <w:rPr>
      <w:b/>
    </w:rPr>
  </w:style>
  <w:style w:type="paragraph" w:customStyle="1" w:styleId="Author">
    <w:name w:val="Author"/>
    <w:basedOn w:val="Normal"/>
    <w:rsid w:val="00D93C06"/>
    <w:pPr>
      <w:spacing w:before="1200"/>
    </w:pPr>
  </w:style>
  <w:style w:type="paragraph" w:customStyle="1" w:styleId="Yourssincerelyetc">
    <w:name w:val="Yours sincerely etc"/>
    <w:basedOn w:val="Normal"/>
    <w:rsid w:val="00D93C06"/>
    <w:pPr>
      <w:spacing w:before="480"/>
    </w:pPr>
  </w:style>
  <w:style w:type="paragraph" w:styleId="FootnoteText">
    <w:name w:val="footnote text"/>
    <w:basedOn w:val="Normal"/>
    <w:link w:val="FootnoteTextChar"/>
    <w:unhideWhenUsed/>
    <w:rsid w:val="008247BA"/>
    <w:pPr>
      <w:spacing w:before="0"/>
    </w:pPr>
    <w:rPr>
      <w:sz w:val="20"/>
      <w:szCs w:val="20"/>
    </w:rPr>
  </w:style>
  <w:style w:type="character" w:customStyle="1" w:styleId="FootnoteTextChar">
    <w:name w:val="Footnote Text Char"/>
    <w:basedOn w:val="DefaultParagraphFont"/>
    <w:link w:val="FootnoteText"/>
    <w:rsid w:val="008247BA"/>
    <w:rPr>
      <w:rFonts w:ascii="Arial" w:hAnsi="Arial" w:cs="Times"/>
      <w:color w:val="002E6E"/>
      <w:lang w:eastAsia="en-GB"/>
    </w:rPr>
  </w:style>
  <w:style w:type="character" w:styleId="Hyperlink">
    <w:name w:val="Hyperlink"/>
    <w:basedOn w:val="DefaultParagraphFont"/>
    <w:uiPriority w:val="99"/>
    <w:unhideWhenUsed/>
    <w:rsid w:val="008247BA"/>
    <w:rPr>
      <w:color w:val="0000FF" w:themeColor="hyperlink"/>
      <w:u w:val="single"/>
    </w:rPr>
  </w:style>
  <w:style w:type="character" w:styleId="CommentReference">
    <w:name w:val="annotation reference"/>
    <w:basedOn w:val="DefaultParagraphFont"/>
    <w:semiHidden/>
    <w:unhideWhenUsed/>
    <w:rsid w:val="007428A8"/>
    <w:rPr>
      <w:sz w:val="16"/>
      <w:szCs w:val="16"/>
    </w:rPr>
  </w:style>
  <w:style w:type="paragraph" w:styleId="CommentText">
    <w:name w:val="annotation text"/>
    <w:basedOn w:val="Normal"/>
    <w:link w:val="CommentTextChar"/>
    <w:semiHidden/>
    <w:unhideWhenUsed/>
    <w:rsid w:val="007428A8"/>
    <w:rPr>
      <w:sz w:val="20"/>
      <w:szCs w:val="20"/>
    </w:rPr>
  </w:style>
  <w:style w:type="character" w:customStyle="1" w:styleId="CommentTextChar">
    <w:name w:val="Comment Text Char"/>
    <w:basedOn w:val="DefaultParagraphFont"/>
    <w:link w:val="CommentText"/>
    <w:semiHidden/>
    <w:rsid w:val="007428A8"/>
    <w:rPr>
      <w:rFonts w:ascii="Arial" w:hAnsi="Arial" w:cs="Times"/>
      <w:color w:val="002E6E"/>
      <w:lang w:eastAsia="en-GB"/>
    </w:rPr>
  </w:style>
  <w:style w:type="paragraph" w:styleId="CommentSubject">
    <w:name w:val="annotation subject"/>
    <w:basedOn w:val="CommentText"/>
    <w:next w:val="CommentText"/>
    <w:link w:val="CommentSubjectChar"/>
    <w:semiHidden/>
    <w:unhideWhenUsed/>
    <w:rsid w:val="007428A8"/>
    <w:rPr>
      <w:b/>
      <w:bCs/>
    </w:rPr>
  </w:style>
  <w:style w:type="character" w:customStyle="1" w:styleId="CommentSubjectChar">
    <w:name w:val="Comment Subject Char"/>
    <w:basedOn w:val="CommentTextChar"/>
    <w:link w:val="CommentSubject"/>
    <w:semiHidden/>
    <w:rsid w:val="007428A8"/>
    <w:rPr>
      <w:rFonts w:ascii="Arial" w:hAnsi="Arial" w:cs="Times"/>
      <w:b/>
      <w:bCs/>
      <w:color w:val="002E6E"/>
      <w:lang w:eastAsia="en-GB"/>
    </w:rPr>
  </w:style>
  <w:style w:type="paragraph" w:styleId="BalloonText">
    <w:name w:val="Balloon Text"/>
    <w:basedOn w:val="Normal"/>
    <w:link w:val="BalloonTextChar"/>
    <w:semiHidden/>
    <w:unhideWhenUsed/>
    <w:rsid w:val="007428A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428A8"/>
    <w:rPr>
      <w:rFonts w:ascii="Segoe UI" w:hAnsi="Segoe UI" w:cs="Segoe UI"/>
      <w:color w:val="002E6E"/>
      <w:sz w:val="18"/>
      <w:szCs w:val="18"/>
      <w:lang w:eastAsia="en-GB"/>
    </w:rPr>
  </w:style>
  <w:style w:type="paragraph" w:styleId="ListParagraph">
    <w:name w:val="List Paragraph"/>
    <w:basedOn w:val="Normal"/>
    <w:uiPriority w:val="34"/>
    <w:qFormat/>
    <w:rsid w:val="001210AF"/>
    <w:pPr>
      <w:ind w:left="720"/>
      <w:contextualSpacing/>
    </w:pPr>
  </w:style>
  <w:style w:type="character" w:customStyle="1" w:styleId="Heading1Char">
    <w:name w:val="Heading 1 Char"/>
    <w:basedOn w:val="DefaultParagraphFont"/>
    <w:link w:val="Heading1"/>
    <w:rsid w:val="00FA04DE"/>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368F2-F7FC-46DB-A740-6F4E0074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2F5C9F7A</Template>
  <TotalTime>3</TotalTime>
  <Pages>3</Pages>
  <Words>813</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Grain</dc:creator>
  <cp:keywords/>
  <dc:description/>
  <cp:lastModifiedBy>Bonnie Jones</cp:lastModifiedBy>
  <cp:revision>2</cp:revision>
  <cp:lastPrinted>2018-10-09T01:40:00Z</cp:lastPrinted>
  <dcterms:created xsi:type="dcterms:W3CDTF">2018-11-06T01:12:00Z</dcterms:created>
  <dcterms:modified xsi:type="dcterms:W3CDTF">2018-11-08T22:13:00Z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1283835104</vt:i4>
  </property>
  <property fmtid="{D5CDD505-2E9C-101B-9397-08002B2CF9AE}" pid="3" name="_EmailSubject">
    <vt:lpwstr>Ministry letterhead</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PreviousAdHocReviewCycleID">
    <vt:i4>-1503454225</vt:i4>
  </property>
  <property fmtid="{D5CDD505-2E9C-101B-9397-08002B2CF9AE}" pid="7" name="_ReviewingToolsShownOnce">
    <vt:lpwstr/>
  </property>
</Properties>
</file>