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57" w:rsidRPr="00FA7D57" w:rsidRDefault="00FA7D57" w:rsidP="00FA7D57">
      <w:pPr>
        <w:pStyle w:val="Heading1"/>
        <w:rPr>
          <w:rFonts w:ascii="Arial" w:hAnsi="Arial" w:cs="Arial"/>
          <w:b/>
          <w:color w:val="auto"/>
          <w:sz w:val="36"/>
          <w:szCs w:val="36"/>
          <w:lang w:val="en-US" w:eastAsia="en-NZ"/>
        </w:rPr>
      </w:pPr>
      <w:r w:rsidRPr="00FA7D57">
        <w:rPr>
          <w:rFonts w:ascii="Arial" w:hAnsi="Arial" w:cs="Arial"/>
          <w:b/>
          <w:color w:val="auto"/>
          <w:sz w:val="36"/>
          <w:szCs w:val="36"/>
          <w:lang w:val="en-US" w:eastAsia="en-NZ"/>
        </w:rPr>
        <w:t>Ministry of Health position statement - addressing influenza immunisation of healthcare workers – March 2018</w:t>
      </w:r>
    </w:p>
    <w:p w:rsidR="001E74BA" w:rsidRDefault="001E74BA" w:rsidP="00FA7D57">
      <w:pPr>
        <w:pStyle w:val="Heading2"/>
        <w:rPr>
          <w:rFonts w:ascii="Arial" w:hAnsi="Arial" w:cs="Arial"/>
          <w:b/>
          <w:color w:val="auto"/>
          <w:sz w:val="24"/>
          <w:szCs w:val="24"/>
          <w:lang w:val="en-US" w:eastAsia="en-NZ"/>
        </w:rPr>
      </w:pPr>
    </w:p>
    <w:p w:rsidR="00FA7D57" w:rsidRPr="001E74BA" w:rsidRDefault="00FA7D57" w:rsidP="00FA7D57">
      <w:pPr>
        <w:pStyle w:val="Heading2"/>
        <w:rPr>
          <w:rFonts w:ascii="Arial" w:hAnsi="Arial" w:cs="Arial"/>
          <w:b/>
          <w:color w:val="auto"/>
          <w:sz w:val="22"/>
          <w:szCs w:val="22"/>
          <w:lang w:val="en-US" w:eastAsia="en-NZ"/>
        </w:rPr>
      </w:pPr>
      <w:r w:rsidRPr="001E74BA">
        <w:rPr>
          <w:rFonts w:ascii="Arial" w:hAnsi="Arial" w:cs="Arial"/>
          <w:b/>
          <w:color w:val="auto"/>
          <w:sz w:val="22"/>
          <w:szCs w:val="22"/>
          <w:lang w:val="en-US" w:eastAsia="en-NZ"/>
        </w:rPr>
        <w:t>Position</w:t>
      </w:r>
    </w:p>
    <w:p w:rsidR="00FA7D57" w:rsidRPr="00FA7D57" w:rsidRDefault="008649AD" w:rsidP="00FA7D57">
      <w:pPr>
        <w:rPr>
          <w:rFonts w:cs="Arial"/>
          <w:color w:val="auto"/>
          <w:sz w:val="22"/>
          <w:szCs w:val="22"/>
          <w:lang w:val="en-US" w:eastAsia="en-NZ"/>
        </w:rPr>
      </w:pPr>
      <w:r w:rsidRPr="00FA7D57">
        <w:rPr>
          <w:rFonts w:cs="Arial"/>
          <w:color w:val="auto"/>
          <w:sz w:val="22"/>
          <w:szCs w:val="22"/>
          <w:lang w:val="en-US" w:eastAsia="en-NZ"/>
        </w:rPr>
        <w:t>The Ministry recommends annual influenza immunisation of healthcare workers</w:t>
      </w:r>
      <w:r>
        <w:rPr>
          <w:rFonts w:cs="Arial"/>
          <w:color w:val="auto"/>
          <w:sz w:val="22"/>
          <w:szCs w:val="22"/>
          <w:lang w:val="en-US" w:eastAsia="en-NZ"/>
        </w:rPr>
        <w:t xml:space="preserve"> and </w:t>
      </w:r>
      <w:r w:rsidR="00FA7D57" w:rsidRPr="00FA7D57">
        <w:rPr>
          <w:rFonts w:cs="Arial"/>
          <w:color w:val="auto"/>
          <w:sz w:val="22"/>
          <w:szCs w:val="22"/>
          <w:lang w:val="en-US" w:eastAsia="en-NZ"/>
        </w:rPr>
        <w:t xml:space="preserve">calls for all healthcare workers, allied health and other health sector workers, and their employers </w:t>
      </w:r>
      <w:r>
        <w:rPr>
          <w:rFonts w:cs="Arial"/>
          <w:color w:val="auto"/>
          <w:sz w:val="22"/>
          <w:szCs w:val="22"/>
          <w:lang w:val="en-US" w:eastAsia="en-NZ"/>
        </w:rPr>
        <w:t xml:space="preserve">to </w:t>
      </w:r>
      <w:r w:rsidR="00FA7D57" w:rsidRPr="00FA7D57">
        <w:rPr>
          <w:rFonts w:cs="Arial"/>
          <w:color w:val="auto"/>
          <w:sz w:val="22"/>
          <w:szCs w:val="22"/>
          <w:lang w:val="en-US" w:eastAsia="en-NZ"/>
        </w:rPr>
        <w:t>protect themselves, their colleagues, their patients and the community from influenza</w:t>
      </w:r>
      <w:r>
        <w:rPr>
          <w:rFonts w:cs="Arial"/>
          <w:color w:val="auto"/>
          <w:sz w:val="22"/>
          <w:szCs w:val="22"/>
          <w:lang w:val="en-US" w:eastAsia="en-NZ"/>
        </w:rPr>
        <w:t xml:space="preserve"> </w:t>
      </w:r>
      <w:r w:rsidR="00371BCE">
        <w:rPr>
          <w:rFonts w:cs="Arial"/>
          <w:color w:val="auto"/>
          <w:sz w:val="22"/>
          <w:szCs w:val="22"/>
          <w:lang w:val="en-US" w:eastAsia="en-NZ"/>
        </w:rPr>
        <w:t xml:space="preserve">by </w:t>
      </w:r>
      <w:r>
        <w:rPr>
          <w:rFonts w:cs="Arial"/>
          <w:color w:val="auto"/>
          <w:sz w:val="22"/>
          <w:szCs w:val="22"/>
          <w:lang w:val="en-US" w:eastAsia="en-NZ"/>
        </w:rPr>
        <w:t>being vaccinated.</w:t>
      </w:r>
    </w:p>
    <w:p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From 2018, the Ministry has introduced a goal of 80 percent of all healthcare workers to be immunised annually against influenza.</w:t>
      </w:r>
      <w:r w:rsidRPr="00FA7D57">
        <w:rPr>
          <w:rFonts w:cs="Arial"/>
          <w:color w:val="auto"/>
          <w:sz w:val="22"/>
          <w:szCs w:val="22"/>
          <w:lang w:eastAsia="en-NZ"/>
        </w:rPr>
        <w:t xml:space="preserve">  </w:t>
      </w:r>
      <w:r w:rsidRPr="00FA7D57">
        <w:rPr>
          <w:rFonts w:cs="Arial"/>
          <w:color w:val="auto"/>
          <w:sz w:val="22"/>
          <w:szCs w:val="22"/>
          <w:lang w:val="en-GB" w:eastAsia="en-NZ"/>
        </w:rPr>
        <w:t>Achieving influenza immunisation coverage of 80 percent is sufficient to establish herd immunity against most influenza viruses</w:t>
      </w:r>
      <w:r w:rsidRPr="00FA7D57">
        <w:rPr>
          <w:rFonts w:cs="Arial"/>
          <w:color w:val="auto"/>
          <w:sz w:val="22"/>
          <w:szCs w:val="22"/>
          <w:vertAlign w:val="superscript"/>
          <w:lang w:val="en-GB" w:eastAsia="en-NZ"/>
        </w:rPr>
        <w:t>1</w:t>
      </w:r>
      <w:r w:rsidRPr="00FA7D57">
        <w:rPr>
          <w:rFonts w:cs="Arial"/>
          <w:color w:val="auto"/>
          <w:sz w:val="22"/>
          <w:szCs w:val="22"/>
          <w:lang w:val="en-GB" w:eastAsia="en-NZ"/>
        </w:rPr>
        <w:t>.</w:t>
      </w:r>
    </w:p>
    <w:p w:rsidR="00FA7D57" w:rsidRPr="00FA7D57" w:rsidRDefault="00FA7D57" w:rsidP="00FA7D57">
      <w:pPr>
        <w:rPr>
          <w:rFonts w:cs="Arial"/>
          <w:color w:val="auto"/>
          <w:sz w:val="22"/>
          <w:szCs w:val="22"/>
          <w:lang w:val="en-US" w:eastAsia="en-NZ"/>
        </w:rPr>
      </w:pPr>
      <w:r w:rsidRPr="00FA7D57">
        <w:rPr>
          <w:rFonts w:cs="Arial"/>
          <w:color w:val="auto"/>
          <w:sz w:val="22"/>
          <w:szCs w:val="22"/>
          <w:lang w:val="en-US" w:eastAsia="en-NZ"/>
        </w:rPr>
        <w:t xml:space="preserve">Good infection control practices, including hand hygiene and respiratory/cough etiquette must be adopted by all staff.  The influenza vaccine will not provide protection until at least two weeks after vaccination.  During the influenza season, to protect patients most at risk (e.g. the very young, the elderly and those who are immune compromised) from the complications of influenza all staff should consider wearing a mask appropriate to the task i.e. a surgical or N95/P2 mask, when dealing with these individuals. </w:t>
      </w:r>
    </w:p>
    <w:p w:rsidR="00FA7D57" w:rsidRDefault="00FA7D57" w:rsidP="00FA7D57">
      <w:pPr>
        <w:pStyle w:val="Heading2"/>
        <w:spacing w:before="0" w:line="240" w:lineRule="auto"/>
        <w:rPr>
          <w:rFonts w:ascii="Arial" w:hAnsi="Arial" w:cs="Arial"/>
          <w:color w:val="auto"/>
          <w:sz w:val="22"/>
          <w:szCs w:val="22"/>
          <w:lang w:val="en-US" w:eastAsia="en-NZ"/>
        </w:rPr>
      </w:pPr>
    </w:p>
    <w:p w:rsidR="00FA7D57" w:rsidRPr="001E74BA" w:rsidRDefault="00FA7D57" w:rsidP="00FA7D57">
      <w:pPr>
        <w:pStyle w:val="Heading2"/>
        <w:rPr>
          <w:rFonts w:ascii="Arial" w:hAnsi="Arial" w:cs="Arial"/>
          <w:b/>
          <w:color w:val="auto"/>
          <w:sz w:val="22"/>
          <w:szCs w:val="22"/>
          <w:lang w:val="en-US" w:eastAsia="en-NZ"/>
        </w:rPr>
      </w:pPr>
      <w:r w:rsidRPr="001E74BA">
        <w:rPr>
          <w:rFonts w:ascii="Arial" w:hAnsi="Arial" w:cs="Arial"/>
          <w:b/>
          <w:color w:val="auto"/>
          <w:sz w:val="22"/>
          <w:szCs w:val="22"/>
          <w:lang w:val="en-US" w:eastAsia="en-NZ"/>
        </w:rPr>
        <w:t>Background</w:t>
      </w:r>
    </w:p>
    <w:p w:rsidR="00FA7D57" w:rsidRPr="00FA7D57" w:rsidRDefault="00FA7D57" w:rsidP="00FA7D57">
      <w:pPr>
        <w:rPr>
          <w:rFonts w:cs="Arial"/>
          <w:color w:val="auto"/>
          <w:sz w:val="22"/>
          <w:szCs w:val="22"/>
          <w:lang w:val="en-US" w:eastAsia="en-NZ"/>
        </w:rPr>
      </w:pPr>
      <w:r w:rsidRPr="00FA7D57">
        <w:rPr>
          <w:rFonts w:cs="Arial"/>
          <w:color w:val="auto"/>
          <w:sz w:val="22"/>
          <w:szCs w:val="22"/>
          <w:lang w:val="en-US" w:eastAsia="en-NZ"/>
        </w:rPr>
        <w:t>Influenza is a significant public health issue in New Zealand. Each year, this serious disease has a significant impact on our communities. Influenza also has a financial impact, particularly in workplaces, and can potentially overwhelm both primary care and hospital services during winter epidemics.</w:t>
      </w:r>
    </w:p>
    <w:p w:rsidR="00FA7D57" w:rsidRPr="00FA7D57" w:rsidRDefault="00FA7D57" w:rsidP="00FA7D57">
      <w:pPr>
        <w:rPr>
          <w:rFonts w:cs="Arial"/>
          <w:color w:val="auto"/>
          <w:sz w:val="22"/>
          <w:szCs w:val="22"/>
        </w:rPr>
      </w:pPr>
      <w:r w:rsidRPr="00FA7D57">
        <w:rPr>
          <w:rFonts w:cs="Arial"/>
          <w:color w:val="auto"/>
          <w:sz w:val="22"/>
          <w:szCs w:val="22"/>
          <w:lang w:val="en-US" w:eastAsia="en-NZ"/>
        </w:rPr>
        <w:t>Healthcare workers can transmit influenza without knowing they are infected. The Southern Hemisphere Influenza Vaccine Effectiveness, Research and Surveillance Study (SHIVERS) 2015 serosurvey showed that 1 out of 4 New Zealanders are infected with influenza each year, and that around 80 percent of those infected are asymptomatic</w:t>
      </w:r>
      <w:r w:rsidRPr="00FA7D57">
        <w:rPr>
          <w:rFonts w:cs="Arial"/>
          <w:color w:val="auto"/>
          <w:sz w:val="22"/>
          <w:szCs w:val="22"/>
          <w:vertAlign w:val="superscript"/>
          <w:lang w:val="en-US" w:eastAsia="en-NZ"/>
        </w:rPr>
        <w:t>2</w:t>
      </w:r>
      <w:r w:rsidRPr="00FA7D57">
        <w:rPr>
          <w:rFonts w:cs="Arial"/>
          <w:color w:val="auto"/>
          <w:sz w:val="22"/>
          <w:szCs w:val="22"/>
          <w:lang w:val="en-US" w:eastAsia="en-NZ"/>
        </w:rPr>
        <w:t xml:space="preserve">.  An asymptomatic carrier can unknowingly expose their family, co-workers and patients to the influenza virus without </w:t>
      </w:r>
      <w:proofErr w:type="spellStart"/>
      <w:r w:rsidRPr="00FA7D57">
        <w:rPr>
          <w:rFonts w:cs="Arial"/>
          <w:color w:val="auto"/>
          <w:sz w:val="22"/>
          <w:szCs w:val="22"/>
          <w:lang w:val="en-US" w:eastAsia="en-NZ"/>
        </w:rPr>
        <w:t>realising</w:t>
      </w:r>
      <w:proofErr w:type="spellEnd"/>
      <w:r w:rsidRPr="00FA7D57">
        <w:rPr>
          <w:rFonts w:cs="Arial"/>
          <w:color w:val="auto"/>
          <w:sz w:val="22"/>
          <w:szCs w:val="22"/>
          <w:lang w:val="en-US" w:eastAsia="en-NZ"/>
        </w:rPr>
        <w:t xml:space="preserve">. </w:t>
      </w:r>
      <w:r w:rsidRPr="00FA7D57">
        <w:rPr>
          <w:rFonts w:cs="Arial"/>
          <w:color w:val="auto"/>
          <w:sz w:val="22"/>
          <w:szCs w:val="22"/>
        </w:rPr>
        <w:t xml:space="preserve">  </w:t>
      </w:r>
    </w:p>
    <w:p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Healthcare workers because of the nature of their work are at high risk from influenza and twice as likely to acquire influenza compared t</w:t>
      </w:r>
      <w:bookmarkStart w:id="0" w:name="_GoBack"/>
      <w:bookmarkEnd w:id="0"/>
      <w:r w:rsidRPr="00FA7D57">
        <w:rPr>
          <w:rFonts w:cs="Arial"/>
          <w:color w:val="auto"/>
          <w:sz w:val="22"/>
          <w:szCs w:val="22"/>
          <w:lang w:val="en-GB" w:eastAsia="en-NZ"/>
        </w:rPr>
        <w:t>o non-healthcare workers</w:t>
      </w:r>
      <w:r w:rsidR="001E74BA" w:rsidRPr="001E74BA">
        <w:rPr>
          <w:rFonts w:cs="Arial"/>
          <w:color w:val="auto"/>
          <w:sz w:val="22"/>
          <w:szCs w:val="22"/>
          <w:vertAlign w:val="superscript"/>
          <w:lang w:val="en-GB" w:eastAsia="en-NZ"/>
        </w:rPr>
        <w:t>3</w:t>
      </w:r>
      <w:r w:rsidRPr="00FA7D57">
        <w:rPr>
          <w:rFonts w:cs="Arial"/>
          <w:color w:val="auto"/>
          <w:sz w:val="22"/>
          <w:szCs w:val="22"/>
          <w:lang w:val="en-GB" w:eastAsia="en-NZ"/>
        </w:rPr>
        <w:t>.  Healthcare workers have a professional responsibility to protect their vulnerable patients from influenza.  Annual influenza vaccination of healthcare workers is likely to reduce illness among the patients they care for</w:t>
      </w:r>
      <w:r w:rsidRPr="00FA7D57">
        <w:rPr>
          <w:rFonts w:cs="Arial"/>
          <w:color w:val="auto"/>
          <w:sz w:val="22"/>
          <w:szCs w:val="22"/>
          <w:vertAlign w:val="superscript"/>
          <w:lang w:val="en-GB" w:eastAsia="en-NZ"/>
        </w:rPr>
        <w:t xml:space="preserve"> </w:t>
      </w:r>
      <w:r w:rsidR="001E74BA">
        <w:rPr>
          <w:rFonts w:cs="Arial"/>
          <w:color w:val="auto"/>
          <w:sz w:val="22"/>
          <w:szCs w:val="22"/>
          <w:vertAlign w:val="superscript"/>
          <w:lang w:val="en-GB" w:eastAsia="en-NZ"/>
        </w:rPr>
        <w:t>4</w:t>
      </w:r>
      <w:proofErr w:type="gramStart"/>
      <w:r w:rsidRPr="00FA7D57">
        <w:rPr>
          <w:rFonts w:cs="Arial"/>
          <w:color w:val="auto"/>
          <w:sz w:val="22"/>
          <w:szCs w:val="22"/>
          <w:vertAlign w:val="superscript"/>
          <w:lang w:val="en-GB" w:eastAsia="en-NZ"/>
        </w:rPr>
        <w:t>,</w:t>
      </w:r>
      <w:r w:rsidR="001E74BA">
        <w:rPr>
          <w:rFonts w:cs="Arial"/>
          <w:color w:val="auto"/>
          <w:sz w:val="22"/>
          <w:szCs w:val="22"/>
          <w:vertAlign w:val="superscript"/>
          <w:lang w:val="en-GB" w:eastAsia="en-NZ"/>
        </w:rPr>
        <w:t>5</w:t>
      </w:r>
      <w:r w:rsidRPr="00FA7D57">
        <w:rPr>
          <w:rFonts w:cs="Arial"/>
          <w:color w:val="auto"/>
          <w:sz w:val="22"/>
          <w:szCs w:val="22"/>
          <w:vertAlign w:val="superscript"/>
          <w:lang w:val="en-GB" w:eastAsia="en-NZ"/>
        </w:rPr>
        <w:t>,</w:t>
      </w:r>
      <w:r w:rsidR="001E74BA">
        <w:rPr>
          <w:rFonts w:cs="Arial"/>
          <w:color w:val="auto"/>
          <w:sz w:val="22"/>
          <w:szCs w:val="22"/>
          <w:vertAlign w:val="superscript"/>
          <w:lang w:val="en-GB" w:eastAsia="en-NZ"/>
        </w:rPr>
        <w:t>6</w:t>
      </w:r>
      <w:proofErr w:type="gramEnd"/>
      <w:r w:rsidRPr="00FA7D57">
        <w:rPr>
          <w:rFonts w:cs="Arial"/>
          <w:color w:val="auto"/>
          <w:sz w:val="22"/>
          <w:szCs w:val="22"/>
          <w:lang w:val="en-GB" w:eastAsia="en-NZ"/>
        </w:rPr>
        <w:t>.</w:t>
      </w:r>
    </w:p>
    <w:p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 xml:space="preserve">The World Health Organization, the US Centers for Disease Control and Prevention, US Advisory Committee on Immunization Practices, and the New Zealand Immunisation Handbook strongly recommend annual influenza immunisation for Healthcare Workers. </w:t>
      </w:r>
    </w:p>
    <w:p w:rsidR="00FA7D57" w:rsidRPr="00FA7D57" w:rsidRDefault="00FA7D57" w:rsidP="00FA7D57">
      <w:pPr>
        <w:shd w:val="clear" w:color="auto" w:fill="FFFFFF"/>
        <w:rPr>
          <w:rFonts w:cs="Arial"/>
          <w:color w:val="auto"/>
          <w:sz w:val="22"/>
          <w:szCs w:val="22"/>
          <w:lang w:val="en-GB" w:eastAsia="en-NZ"/>
        </w:rPr>
      </w:pPr>
      <w:r w:rsidRPr="00FA7D57">
        <w:rPr>
          <w:rFonts w:cs="Arial"/>
          <w:color w:val="auto"/>
          <w:sz w:val="22"/>
          <w:szCs w:val="22"/>
          <w:lang w:val="en-GB" w:eastAsia="en-NZ"/>
        </w:rPr>
        <w:t xml:space="preserve">DHBs should make every effort to increase their healthcare worker influenza immunisation coverage rates as many remain suboptimal.  In 2017, </w:t>
      </w:r>
      <w:r w:rsidR="004543C3">
        <w:rPr>
          <w:rFonts w:cs="Arial"/>
          <w:color w:val="auto"/>
          <w:sz w:val="22"/>
          <w:szCs w:val="22"/>
          <w:lang w:val="en-GB" w:eastAsia="en-NZ"/>
        </w:rPr>
        <w:t xml:space="preserve">National </w:t>
      </w:r>
      <w:r w:rsidRPr="00FA7D57">
        <w:rPr>
          <w:rFonts w:cs="Arial"/>
          <w:color w:val="auto"/>
          <w:sz w:val="22"/>
          <w:szCs w:val="22"/>
          <w:lang w:val="en-GB" w:eastAsia="en-NZ"/>
        </w:rPr>
        <w:t>DHB Healthcare Worker Influenza Coverage was 6</w:t>
      </w:r>
      <w:r w:rsidR="008649AD">
        <w:rPr>
          <w:rFonts w:cs="Arial"/>
          <w:color w:val="auto"/>
          <w:sz w:val="22"/>
          <w:szCs w:val="22"/>
          <w:lang w:val="en-GB" w:eastAsia="en-NZ"/>
        </w:rPr>
        <w:t>6</w:t>
      </w:r>
      <w:r w:rsidRPr="00FA7D57">
        <w:rPr>
          <w:rFonts w:cs="Arial"/>
          <w:color w:val="auto"/>
          <w:sz w:val="22"/>
          <w:szCs w:val="22"/>
          <w:lang w:val="en-GB" w:eastAsia="en-NZ"/>
        </w:rPr>
        <w:t xml:space="preserve"> percent, with individual DHBs ranging from 51 percent to 84 percent</w:t>
      </w:r>
      <w:r w:rsidR="001E74BA" w:rsidRPr="001E74BA">
        <w:rPr>
          <w:rFonts w:cs="Arial"/>
          <w:color w:val="auto"/>
          <w:sz w:val="22"/>
          <w:szCs w:val="22"/>
          <w:vertAlign w:val="superscript"/>
          <w:lang w:val="en-GB" w:eastAsia="en-NZ"/>
        </w:rPr>
        <w:t>7</w:t>
      </w:r>
      <w:r w:rsidRPr="00FA7D57">
        <w:rPr>
          <w:rFonts w:cs="Arial"/>
          <w:color w:val="auto"/>
          <w:sz w:val="22"/>
          <w:szCs w:val="22"/>
          <w:lang w:val="en-GB" w:eastAsia="en-NZ"/>
        </w:rPr>
        <w:t xml:space="preserve">.     </w:t>
      </w:r>
    </w:p>
    <w:p w:rsidR="00FA7D57" w:rsidRPr="00FA7D57" w:rsidRDefault="00FA7D57" w:rsidP="00FA7D57">
      <w:pPr>
        <w:rPr>
          <w:rFonts w:cs="Arial"/>
          <w:color w:val="auto"/>
          <w:sz w:val="22"/>
          <w:szCs w:val="22"/>
          <w:lang w:val="en-US" w:eastAsia="en-NZ"/>
        </w:rPr>
      </w:pPr>
    </w:p>
    <w:p w:rsidR="00FA7D57" w:rsidRPr="00FA7D57" w:rsidRDefault="00FA7D57" w:rsidP="00FA7D57">
      <w:pPr>
        <w:rPr>
          <w:rFonts w:cs="Arial"/>
          <w:color w:val="auto"/>
          <w:sz w:val="22"/>
          <w:szCs w:val="22"/>
          <w:lang w:val="en-US" w:eastAsia="en-NZ"/>
        </w:rPr>
      </w:pPr>
    </w:p>
    <w:p w:rsidR="00FA7D57" w:rsidRPr="00FA7D57" w:rsidRDefault="00FA7D57" w:rsidP="00FA7D57">
      <w:pPr>
        <w:pStyle w:val="Heading2"/>
        <w:rPr>
          <w:rFonts w:ascii="Arial" w:hAnsi="Arial" w:cs="Arial"/>
          <w:b/>
          <w:color w:val="auto"/>
          <w:sz w:val="24"/>
          <w:szCs w:val="24"/>
          <w:lang w:val="en-US" w:eastAsia="en-NZ"/>
        </w:rPr>
      </w:pPr>
      <w:r w:rsidRPr="00FA7D57">
        <w:rPr>
          <w:rFonts w:ascii="Arial" w:hAnsi="Arial" w:cs="Arial"/>
          <w:b/>
          <w:color w:val="auto"/>
          <w:sz w:val="24"/>
          <w:szCs w:val="24"/>
          <w:lang w:val="en-US" w:eastAsia="en-NZ"/>
        </w:rPr>
        <w:lastRenderedPageBreak/>
        <w:t>References</w:t>
      </w:r>
    </w:p>
    <w:p w:rsidR="00FA7D57" w:rsidRPr="00FA7D57" w:rsidRDefault="00FA7D57" w:rsidP="00FA7D57">
      <w:pPr>
        <w:rPr>
          <w:rFonts w:cs="Arial"/>
          <w:color w:val="auto"/>
          <w:sz w:val="22"/>
          <w:szCs w:val="22"/>
          <w:lang w:val="en-US" w:eastAsia="en-NZ"/>
        </w:rPr>
      </w:pPr>
    </w:p>
    <w:p w:rsidR="00FA7D57" w:rsidRPr="00FA7D57" w:rsidRDefault="00FA7D57" w:rsidP="00FA7D57">
      <w:pPr>
        <w:pStyle w:val="FootnoteText"/>
        <w:numPr>
          <w:ilvl w:val="0"/>
          <w:numId w:val="8"/>
        </w:numPr>
        <w:spacing w:before="0" w:line="240" w:lineRule="auto"/>
        <w:ind w:left="360"/>
        <w:rPr>
          <w:rFonts w:ascii="Arial" w:hAnsi="Arial" w:cs="Arial"/>
          <w:sz w:val="22"/>
          <w:szCs w:val="22"/>
        </w:rPr>
      </w:pPr>
      <w:r w:rsidRPr="00FA7D57">
        <w:rPr>
          <w:rFonts w:ascii="Arial" w:hAnsi="Arial" w:cs="Arial"/>
          <w:sz w:val="22"/>
          <w:szCs w:val="22"/>
        </w:rPr>
        <w:t xml:space="preserve">Plans-Rubio P. 2012. The vaccination coverage required to establish herd immunity against influenza viruses. </w:t>
      </w:r>
      <w:r w:rsidRPr="00FA7D57">
        <w:rPr>
          <w:rFonts w:ascii="Arial" w:hAnsi="Arial" w:cs="Arial"/>
          <w:i/>
          <w:sz w:val="22"/>
          <w:szCs w:val="22"/>
        </w:rPr>
        <w:t>Preventive Medicine</w:t>
      </w:r>
      <w:r w:rsidRPr="00FA7D57">
        <w:rPr>
          <w:rFonts w:ascii="Arial" w:hAnsi="Arial" w:cs="Arial"/>
          <w:sz w:val="22"/>
          <w:szCs w:val="22"/>
        </w:rPr>
        <w:t xml:space="preserve"> 55(1): 72-77.</w:t>
      </w:r>
    </w:p>
    <w:p w:rsidR="00FA7D57" w:rsidRPr="00FA7D57" w:rsidRDefault="00FA7D57" w:rsidP="00FA7D57">
      <w:pPr>
        <w:pStyle w:val="FootnoteText"/>
        <w:numPr>
          <w:ilvl w:val="0"/>
          <w:numId w:val="8"/>
        </w:numPr>
        <w:spacing w:before="0" w:line="240" w:lineRule="auto"/>
        <w:ind w:left="360"/>
        <w:rPr>
          <w:rFonts w:ascii="Arial" w:hAnsi="Arial" w:cs="Arial"/>
          <w:sz w:val="22"/>
          <w:szCs w:val="22"/>
        </w:rPr>
      </w:pPr>
      <w:r w:rsidRPr="00FA7D57">
        <w:rPr>
          <w:rFonts w:ascii="Arial" w:hAnsi="Arial" w:cs="Arial"/>
          <w:sz w:val="22"/>
          <w:szCs w:val="22"/>
        </w:rPr>
        <w:t xml:space="preserve">Huang S (on behalf of SHIVERS Investigation team). 2016. Key findings – SHIVERS. Presented at the 2016 New Zealand Influenza Symposium. Available from </w:t>
      </w:r>
      <w:hyperlink r:id="rId7" w:history="1">
        <w:r w:rsidRPr="00FA7D57">
          <w:rPr>
            <w:rStyle w:val="Hyperlink"/>
            <w:rFonts w:ascii="Arial" w:hAnsi="Arial" w:cs="Arial"/>
            <w:color w:val="auto"/>
            <w:sz w:val="22"/>
            <w:szCs w:val="22"/>
          </w:rPr>
          <w:t>www.immune.org.nz/sites/default/files/Conferences/2016/NZiS2016/8%201310%2020161102%20NZiS%20SHIVERSRevisedJan2017.pdf</w:t>
        </w:r>
      </w:hyperlink>
      <w:r w:rsidRPr="00FA7D57">
        <w:rPr>
          <w:rFonts w:ascii="Arial" w:hAnsi="Arial" w:cs="Arial"/>
          <w:sz w:val="22"/>
          <w:szCs w:val="22"/>
        </w:rPr>
        <w:t xml:space="preserve"> </w:t>
      </w:r>
    </w:p>
    <w:p w:rsidR="00FA7D57" w:rsidRPr="00FA7D57" w:rsidRDefault="00FA7D57" w:rsidP="00FA7D57">
      <w:pPr>
        <w:pStyle w:val="FootnoteText"/>
        <w:numPr>
          <w:ilvl w:val="0"/>
          <w:numId w:val="8"/>
        </w:numPr>
        <w:spacing w:before="0" w:line="240" w:lineRule="auto"/>
        <w:ind w:left="360"/>
        <w:rPr>
          <w:rFonts w:ascii="Arial" w:hAnsi="Arial" w:cs="Arial"/>
          <w:sz w:val="22"/>
          <w:szCs w:val="22"/>
        </w:rPr>
      </w:pPr>
      <w:r w:rsidRPr="00FA7D57">
        <w:rPr>
          <w:rFonts w:ascii="Arial" w:hAnsi="Arial" w:cs="Arial"/>
          <w:sz w:val="22"/>
          <w:szCs w:val="22"/>
        </w:rPr>
        <w:t xml:space="preserve">McIntyre, R. 2018. Protecting vulnerable populations in healthcare settings.  Presented at the 2018 New Zealand Influenza Symposium.  Available from www.immune.org.nz/sites/default/files/Conferences/2.%20PPE%20and%20Vaccines%20NZ.pdf http://www.immune.org.nz/2018-influenza-symposium </w:t>
      </w:r>
    </w:p>
    <w:p w:rsidR="00FA7D57" w:rsidRPr="001E74BA" w:rsidRDefault="00FA7D57" w:rsidP="00FA7D57">
      <w:pPr>
        <w:pStyle w:val="ListParagraph"/>
        <w:numPr>
          <w:ilvl w:val="0"/>
          <w:numId w:val="8"/>
        </w:numPr>
        <w:autoSpaceDE w:val="0"/>
        <w:autoSpaceDN w:val="0"/>
        <w:adjustRightInd w:val="0"/>
        <w:spacing w:line="240" w:lineRule="auto"/>
        <w:ind w:left="360"/>
        <w:rPr>
          <w:rFonts w:ascii="Arial" w:hAnsi="Arial" w:cs="Arial"/>
        </w:rPr>
      </w:pPr>
      <w:r w:rsidRPr="001E74BA">
        <w:rPr>
          <w:rFonts w:ascii="Arial" w:hAnsi="Arial" w:cs="Arial"/>
        </w:rPr>
        <w:t>Ahmed F, Lindley MC, Allred N</w:t>
      </w:r>
      <w:r w:rsidR="00F636A6">
        <w:rPr>
          <w:rFonts w:ascii="Arial" w:hAnsi="Arial" w:cs="Arial"/>
        </w:rPr>
        <w:t xml:space="preserve"> et al</w:t>
      </w:r>
      <w:r w:rsidRPr="001E74BA">
        <w:rPr>
          <w:rFonts w:ascii="Arial" w:hAnsi="Arial" w:cs="Arial"/>
        </w:rPr>
        <w:t>.</w:t>
      </w:r>
      <w:r w:rsidR="00F636A6">
        <w:rPr>
          <w:rFonts w:ascii="Arial" w:hAnsi="Arial" w:cs="Arial"/>
        </w:rPr>
        <w:t xml:space="preserve"> 2014.</w:t>
      </w:r>
      <w:r w:rsidRPr="001E74BA">
        <w:rPr>
          <w:rFonts w:ascii="Arial" w:hAnsi="Arial" w:cs="Arial"/>
        </w:rPr>
        <w:t xml:space="preserve"> Effect of influenza vaccination of healthcare personnel on morbidity and mortality among patients: Systematic review and grading of evidence. </w:t>
      </w:r>
      <w:r w:rsidRPr="00F636A6">
        <w:rPr>
          <w:rFonts w:ascii="Arial" w:hAnsi="Arial" w:cs="Arial"/>
          <w:i/>
        </w:rPr>
        <w:t>Clin</w:t>
      </w:r>
      <w:r w:rsidR="00F636A6">
        <w:rPr>
          <w:rFonts w:ascii="Arial" w:hAnsi="Arial" w:cs="Arial"/>
          <w:i/>
        </w:rPr>
        <w:t>ical</w:t>
      </w:r>
      <w:r w:rsidRPr="00F636A6">
        <w:rPr>
          <w:rFonts w:ascii="Arial" w:hAnsi="Arial" w:cs="Arial"/>
          <w:i/>
        </w:rPr>
        <w:t xml:space="preserve"> Infect</w:t>
      </w:r>
      <w:r w:rsidR="00F636A6">
        <w:rPr>
          <w:rFonts w:ascii="Arial" w:hAnsi="Arial" w:cs="Arial"/>
          <w:i/>
        </w:rPr>
        <w:t>ious</w:t>
      </w:r>
      <w:r w:rsidRPr="00F636A6">
        <w:rPr>
          <w:rFonts w:ascii="Arial" w:hAnsi="Arial" w:cs="Arial"/>
          <w:i/>
        </w:rPr>
        <w:t xml:space="preserve"> Dis</w:t>
      </w:r>
      <w:r w:rsidR="00F636A6">
        <w:rPr>
          <w:rFonts w:ascii="Arial" w:hAnsi="Arial" w:cs="Arial"/>
          <w:i/>
        </w:rPr>
        <w:t>eases</w:t>
      </w:r>
      <w:r w:rsidRPr="001E74BA">
        <w:rPr>
          <w:rFonts w:ascii="Arial" w:hAnsi="Arial" w:cs="Arial"/>
        </w:rPr>
        <w:t>. 58(1):50-7.</w:t>
      </w:r>
    </w:p>
    <w:p w:rsidR="00FA7D57" w:rsidRPr="001E74BA" w:rsidRDefault="00FA7D57" w:rsidP="00FA7D57">
      <w:pPr>
        <w:pStyle w:val="ListParagraph"/>
        <w:numPr>
          <w:ilvl w:val="0"/>
          <w:numId w:val="8"/>
        </w:numPr>
        <w:autoSpaceDE w:val="0"/>
        <w:autoSpaceDN w:val="0"/>
        <w:adjustRightInd w:val="0"/>
        <w:spacing w:line="240" w:lineRule="auto"/>
        <w:ind w:left="360"/>
        <w:rPr>
          <w:rFonts w:ascii="Arial" w:hAnsi="Arial" w:cs="Arial"/>
        </w:rPr>
      </w:pPr>
      <w:r w:rsidRPr="001E74BA">
        <w:rPr>
          <w:rFonts w:ascii="Arial" w:hAnsi="Arial" w:cs="Arial"/>
        </w:rPr>
        <w:t xml:space="preserve">Dolan GP, Harris RC, Clarkson M, </w:t>
      </w:r>
      <w:r w:rsidR="00F636A6">
        <w:rPr>
          <w:rFonts w:ascii="Arial" w:hAnsi="Arial" w:cs="Arial"/>
        </w:rPr>
        <w:t>et al</w:t>
      </w:r>
      <w:r w:rsidRPr="001E74BA">
        <w:rPr>
          <w:rFonts w:ascii="Arial" w:hAnsi="Arial" w:cs="Arial"/>
        </w:rPr>
        <w:t xml:space="preserve">. </w:t>
      </w:r>
      <w:r w:rsidR="00F636A6">
        <w:rPr>
          <w:rFonts w:ascii="Arial" w:hAnsi="Arial" w:cs="Arial"/>
        </w:rPr>
        <w:t xml:space="preserve">2013. </w:t>
      </w:r>
      <w:r w:rsidRPr="001E74BA">
        <w:rPr>
          <w:rFonts w:ascii="Arial" w:hAnsi="Arial" w:cs="Arial"/>
        </w:rPr>
        <w:t xml:space="preserve">Vaccination of healthcare workers to protect patients at increased risk of acute respiratory disease: summary of a systematic review. </w:t>
      </w:r>
      <w:r w:rsidRPr="00F636A6">
        <w:rPr>
          <w:rFonts w:ascii="Arial" w:hAnsi="Arial" w:cs="Arial"/>
          <w:i/>
        </w:rPr>
        <w:t xml:space="preserve">Influenza </w:t>
      </w:r>
      <w:r w:rsidR="000B4449">
        <w:rPr>
          <w:rFonts w:ascii="Arial" w:hAnsi="Arial" w:cs="Arial"/>
          <w:i/>
        </w:rPr>
        <w:t xml:space="preserve">and </w:t>
      </w:r>
      <w:r w:rsidRPr="00F636A6">
        <w:rPr>
          <w:rFonts w:ascii="Arial" w:hAnsi="Arial" w:cs="Arial"/>
          <w:i/>
        </w:rPr>
        <w:t>Other Respir</w:t>
      </w:r>
      <w:r w:rsidR="00F636A6" w:rsidRPr="00F636A6">
        <w:rPr>
          <w:rFonts w:ascii="Arial" w:hAnsi="Arial" w:cs="Arial"/>
          <w:i/>
        </w:rPr>
        <w:t>atory</w:t>
      </w:r>
      <w:r w:rsidRPr="00F636A6">
        <w:rPr>
          <w:rFonts w:ascii="Arial" w:hAnsi="Arial" w:cs="Arial"/>
          <w:i/>
        </w:rPr>
        <w:t xml:space="preserve"> Viruses</w:t>
      </w:r>
      <w:r w:rsidRPr="001E74BA">
        <w:rPr>
          <w:rFonts w:ascii="Arial" w:hAnsi="Arial" w:cs="Arial"/>
        </w:rPr>
        <w:t>.</w:t>
      </w:r>
      <w:r w:rsidR="00F636A6">
        <w:rPr>
          <w:rFonts w:ascii="Arial" w:hAnsi="Arial" w:cs="Arial"/>
        </w:rPr>
        <w:t xml:space="preserve"> </w:t>
      </w:r>
      <w:r w:rsidRPr="001E74BA">
        <w:rPr>
          <w:rFonts w:ascii="Arial" w:hAnsi="Arial" w:cs="Arial"/>
        </w:rPr>
        <w:t>7(S2):93-6.</w:t>
      </w:r>
    </w:p>
    <w:p w:rsidR="00FA7D57" w:rsidRPr="001E74BA" w:rsidRDefault="00FA7D57" w:rsidP="00FA7D57">
      <w:pPr>
        <w:pStyle w:val="ListParagraph"/>
        <w:numPr>
          <w:ilvl w:val="0"/>
          <w:numId w:val="8"/>
        </w:numPr>
        <w:autoSpaceDE w:val="0"/>
        <w:autoSpaceDN w:val="0"/>
        <w:adjustRightInd w:val="0"/>
        <w:spacing w:after="0" w:line="240" w:lineRule="auto"/>
        <w:ind w:left="360"/>
        <w:rPr>
          <w:rFonts w:ascii="Arial" w:hAnsi="Arial" w:cs="Arial"/>
        </w:rPr>
      </w:pPr>
      <w:proofErr w:type="spellStart"/>
      <w:r w:rsidRPr="001E74BA">
        <w:rPr>
          <w:rFonts w:ascii="Arial" w:hAnsi="Arial" w:cs="Arial"/>
        </w:rPr>
        <w:t>Riphagen-Dalhuisen</w:t>
      </w:r>
      <w:proofErr w:type="spellEnd"/>
      <w:r w:rsidRPr="001E74BA">
        <w:rPr>
          <w:rFonts w:ascii="Arial" w:hAnsi="Arial" w:cs="Arial"/>
        </w:rPr>
        <w:t xml:space="preserve"> J, </w:t>
      </w:r>
      <w:proofErr w:type="spellStart"/>
      <w:r w:rsidRPr="001E74BA">
        <w:rPr>
          <w:rFonts w:ascii="Arial" w:hAnsi="Arial" w:cs="Arial"/>
        </w:rPr>
        <w:t>Burgerhof</w:t>
      </w:r>
      <w:proofErr w:type="spellEnd"/>
      <w:r w:rsidRPr="001E74BA">
        <w:rPr>
          <w:rFonts w:ascii="Arial" w:hAnsi="Arial" w:cs="Arial"/>
        </w:rPr>
        <w:t xml:space="preserve"> J, </w:t>
      </w:r>
      <w:proofErr w:type="spellStart"/>
      <w:r w:rsidRPr="001E74BA">
        <w:rPr>
          <w:rFonts w:ascii="Arial" w:hAnsi="Arial" w:cs="Arial"/>
        </w:rPr>
        <w:t>Frijstein</w:t>
      </w:r>
      <w:proofErr w:type="spellEnd"/>
      <w:r w:rsidRPr="001E74BA">
        <w:rPr>
          <w:rFonts w:ascii="Arial" w:hAnsi="Arial" w:cs="Arial"/>
        </w:rPr>
        <w:t xml:space="preserve"> G, </w:t>
      </w:r>
      <w:r w:rsidR="00F636A6">
        <w:rPr>
          <w:rFonts w:ascii="Arial" w:hAnsi="Arial" w:cs="Arial"/>
        </w:rPr>
        <w:t>et al</w:t>
      </w:r>
      <w:r w:rsidRPr="001E74BA">
        <w:rPr>
          <w:rFonts w:ascii="Arial" w:hAnsi="Arial" w:cs="Arial"/>
        </w:rPr>
        <w:t xml:space="preserve">. </w:t>
      </w:r>
      <w:r w:rsidR="00F636A6">
        <w:rPr>
          <w:rFonts w:ascii="Arial" w:hAnsi="Arial" w:cs="Arial"/>
        </w:rPr>
        <w:t xml:space="preserve">2013. </w:t>
      </w:r>
      <w:r w:rsidRPr="001E74BA">
        <w:rPr>
          <w:rFonts w:ascii="Arial" w:hAnsi="Arial" w:cs="Arial"/>
        </w:rPr>
        <w:t xml:space="preserve">Hospital-based cluster randomised controlled trial to assess effects of a multi-faceted programme on influenza vaccine coverage among hospital healthcare workers and nosocomial influenza in the Netherlands, 2009 to 2011. </w:t>
      </w:r>
      <w:r w:rsidRPr="00F636A6">
        <w:rPr>
          <w:rFonts w:ascii="Arial" w:hAnsi="Arial" w:cs="Arial"/>
          <w:i/>
        </w:rPr>
        <w:t>Euro Surveill</w:t>
      </w:r>
      <w:r w:rsidR="000B4449">
        <w:rPr>
          <w:rFonts w:ascii="Arial" w:hAnsi="Arial" w:cs="Arial"/>
          <w:i/>
        </w:rPr>
        <w:t>ance</w:t>
      </w:r>
      <w:r w:rsidRPr="001E74BA">
        <w:rPr>
          <w:rFonts w:ascii="Arial" w:hAnsi="Arial" w:cs="Arial"/>
        </w:rPr>
        <w:t>.</w:t>
      </w:r>
      <w:r w:rsidR="00F636A6">
        <w:rPr>
          <w:rFonts w:ascii="Arial" w:hAnsi="Arial" w:cs="Arial"/>
        </w:rPr>
        <w:t xml:space="preserve"> </w:t>
      </w:r>
      <w:r w:rsidRPr="001E74BA">
        <w:rPr>
          <w:rFonts w:ascii="Arial" w:hAnsi="Arial" w:cs="Arial"/>
        </w:rPr>
        <w:t>18(26)</w:t>
      </w:r>
      <w:proofErr w:type="gramStart"/>
      <w:r w:rsidRPr="001E74BA">
        <w:rPr>
          <w:rFonts w:ascii="Arial" w:hAnsi="Arial" w:cs="Arial"/>
        </w:rPr>
        <w:t>:</w:t>
      </w:r>
      <w:proofErr w:type="spellStart"/>
      <w:r w:rsidRPr="001E74BA">
        <w:rPr>
          <w:rFonts w:ascii="Arial" w:hAnsi="Arial" w:cs="Arial"/>
        </w:rPr>
        <w:t>pii</w:t>
      </w:r>
      <w:proofErr w:type="spellEnd"/>
      <w:proofErr w:type="gramEnd"/>
      <w:r w:rsidRPr="001E74BA">
        <w:rPr>
          <w:rFonts w:ascii="Arial" w:hAnsi="Arial" w:cs="Arial"/>
        </w:rPr>
        <w:t>=20512.</w:t>
      </w:r>
    </w:p>
    <w:p w:rsidR="00A4346B" w:rsidRPr="001E74BA" w:rsidRDefault="00FA7D57" w:rsidP="00FA7D57">
      <w:pPr>
        <w:pStyle w:val="ListParagraph"/>
        <w:numPr>
          <w:ilvl w:val="0"/>
          <w:numId w:val="8"/>
        </w:numPr>
        <w:autoSpaceDE w:val="0"/>
        <w:autoSpaceDN w:val="0"/>
        <w:adjustRightInd w:val="0"/>
        <w:spacing w:after="0" w:line="240" w:lineRule="auto"/>
        <w:ind w:left="360"/>
      </w:pPr>
      <w:r w:rsidRPr="001E74BA">
        <w:rPr>
          <w:rFonts w:ascii="Arial" w:hAnsi="Arial" w:cs="Arial"/>
        </w:rPr>
        <w:t>Ministry of Health. 2017.  Workforce Influenza Immunisation Coverage Rates by District Health Boards.  Available from www.health.govt.nz/our-work/preventative-health-wellness/immunisation/influenza</w:t>
      </w:r>
    </w:p>
    <w:sectPr w:rsidR="00A4346B" w:rsidRPr="001E74BA" w:rsidSect="009E113D">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20" w:rsidRDefault="00207F20">
      <w:r>
        <w:separator/>
      </w:r>
    </w:p>
  </w:endnote>
  <w:endnote w:type="continuationSeparator" w:id="0">
    <w:p w:rsidR="00207F20" w:rsidRDefault="0020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D7" w:rsidRDefault="000E3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AD" w:rsidRDefault="008649AD" w:rsidP="00351003">
    <w:pPr>
      <w:pStyle w:val="Footer"/>
    </w:pPr>
    <w:r>
      <w:t xml:space="preserve">Page </w:t>
    </w:r>
    <w:r>
      <w:fldChar w:fldCharType="begin"/>
    </w:r>
    <w:r>
      <w:instrText xml:space="preserve"> PAGE </w:instrText>
    </w:r>
    <w:r>
      <w:fldChar w:fldCharType="separate"/>
    </w:r>
    <w:r w:rsidR="007A0572">
      <w:rPr>
        <w:noProof/>
      </w:rPr>
      <w:t>2</w:t>
    </w:r>
    <w:r>
      <w:fldChar w:fldCharType="end"/>
    </w:r>
    <w:r>
      <w:t xml:space="preserve"> of </w:t>
    </w:r>
    <w:fldSimple w:instr=" NUMPAGES ">
      <w:r w:rsidR="007A0572">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D7" w:rsidRDefault="000E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20" w:rsidRDefault="00207F20">
      <w:r>
        <w:separator/>
      </w:r>
    </w:p>
  </w:footnote>
  <w:footnote w:type="continuationSeparator" w:id="0">
    <w:p w:rsidR="00207F20" w:rsidRDefault="00207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D7" w:rsidRDefault="000E3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D7" w:rsidRDefault="000E3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AD" w:rsidRPr="00090A0E" w:rsidRDefault="008649AD" w:rsidP="00090A0E">
    <w:pPr>
      <w:pStyle w:val="Header"/>
    </w:pPr>
    <w:r>
      <w:rPr>
        <w:noProof/>
        <w:lang w:eastAsia="en-NZ"/>
      </w:rPr>
      <w:drawing>
        <wp:inline distT="0" distB="0" distL="0" distR="0">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E561D2"/>
    <w:multiLevelType w:val="hybridMultilevel"/>
    <w:tmpl w:val="5190848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nsid w:val="58CD0AFE"/>
    <w:multiLevelType w:val="hybridMultilevel"/>
    <w:tmpl w:val="D21288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6F63D12"/>
    <w:multiLevelType w:val="hybridMultilevel"/>
    <w:tmpl w:val="0D9ECCB4"/>
    <w:lvl w:ilvl="0" w:tplc="4A04CAF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7">
    <w:nsid w:val="73FC6C50"/>
    <w:multiLevelType w:val="hybridMultilevel"/>
    <w:tmpl w:val="F43EB16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1369A"/>
    <w:rsid w:val="0003710F"/>
    <w:rsid w:val="00043324"/>
    <w:rsid w:val="000675CB"/>
    <w:rsid w:val="00074D9A"/>
    <w:rsid w:val="00076EAC"/>
    <w:rsid w:val="00084C18"/>
    <w:rsid w:val="00090A0E"/>
    <w:rsid w:val="0009709A"/>
    <w:rsid w:val="000A009F"/>
    <w:rsid w:val="000A2F23"/>
    <w:rsid w:val="000B4449"/>
    <w:rsid w:val="000C37B8"/>
    <w:rsid w:val="000E37D7"/>
    <w:rsid w:val="000F5040"/>
    <w:rsid w:val="000F76E7"/>
    <w:rsid w:val="000F77AF"/>
    <w:rsid w:val="0010498A"/>
    <w:rsid w:val="0012724C"/>
    <w:rsid w:val="00134BBB"/>
    <w:rsid w:val="001374D4"/>
    <w:rsid w:val="00156293"/>
    <w:rsid w:val="00162588"/>
    <w:rsid w:val="00170111"/>
    <w:rsid w:val="00175201"/>
    <w:rsid w:val="00180F2E"/>
    <w:rsid w:val="00181ABF"/>
    <w:rsid w:val="001828E9"/>
    <w:rsid w:val="001834D3"/>
    <w:rsid w:val="00190D84"/>
    <w:rsid w:val="00194D60"/>
    <w:rsid w:val="00195643"/>
    <w:rsid w:val="001C27C0"/>
    <w:rsid w:val="001D52A9"/>
    <w:rsid w:val="001D6742"/>
    <w:rsid w:val="001E2DCC"/>
    <w:rsid w:val="001E74BA"/>
    <w:rsid w:val="001F13ED"/>
    <w:rsid w:val="00207F20"/>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CF5"/>
    <w:rsid w:val="00304CDA"/>
    <w:rsid w:val="0030516B"/>
    <w:rsid w:val="003103A6"/>
    <w:rsid w:val="00325F29"/>
    <w:rsid w:val="00326F50"/>
    <w:rsid w:val="0034743A"/>
    <w:rsid w:val="00351003"/>
    <w:rsid w:val="003523E2"/>
    <w:rsid w:val="00371BCE"/>
    <w:rsid w:val="003814B1"/>
    <w:rsid w:val="00392D1D"/>
    <w:rsid w:val="003A169D"/>
    <w:rsid w:val="003A2A92"/>
    <w:rsid w:val="003C0969"/>
    <w:rsid w:val="003C1E37"/>
    <w:rsid w:val="003C531B"/>
    <w:rsid w:val="003D11AC"/>
    <w:rsid w:val="003E0E31"/>
    <w:rsid w:val="003E1D0C"/>
    <w:rsid w:val="003E206A"/>
    <w:rsid w:val="003E2A56"/>
    <w:rsid w:val="003E3955"/>
    <w:rsid w:val="003F0AD4"/>
    <w:rsid w:val="003F5442"/>
    <w:rsid w:val="003F585B"/>
    <w:rsid w:val="0041163D"/>
    <w:rsid w:val="0041254F"/>
    <w:rsid w:val="00416C24"/>
    <w:rsid w:val="00421973"/>
    <w:rsid w:val="0043156E"/>
    <w:rsid w:val="00433AD2"/>
    <w:rsid w:val="00436844"/>
    <w:rsid w:val="00436A4D"/>
    <w:rsid w:val="00441FBC"/>
    <w:rsid w:val="004543C3"/>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0572"/>
    <w:rsid w:val="007A7FA2"/>
    <w:rsid w:val="007B2BFD"/>
    <w:rsid w:val="007B414E"/>
    <w:rsid w:val="007B79CE"/>
    <w:rsid w:val="007C08D8"/>
    <w:rsid w:val="007C1246"/>
    <w:rsid w:val="00802389"/>
    <w:rsid w:val="0080314D"/>
    <w:rsid w:val="00812043"/>
    <w:rsid w:val="00824003"/>
    <w:rsid w:val="008329AF"/>
    <w:rsid w:val="008367FE"/>
    <w:rsid w:val="00863FE4"/>
    <w:rsid w:val="008649AD"/>
    <w:rsid w:val="00870E6F"/>
    <w:rsid w:val="00871FA5"/>
    <w:rsid w:val="00873D65"/>
    <w:rsid w:val="008757C9"/>
    <w:rsid w:val="008847A2"/>
    <w:rsid w:val="00884B15"/>
    <w:rsid w:val="00890D5A"/>
    <w:rsid w:val="008A0619"/>
    <w:rsid w:val="008A3320"/>
    <w:rsid w:val="008A6066"/>
    <w:rsid w:val="008B449D"/>
    <w:rsid w:val="008C13E9"/>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B3A23"/>
    <w:rsid w:val="009B4781"/>
    <w:rsid w:val="009C794B"/>
    <w:rsid w:val="009E113D"/>
    <w:rsid w:val="009F2E59"/>
    <w:rsid w:val="009F606A"/>
    <w:rsid w:val="00A02A0B"/>
    <w:rsid w:val="00A02DF8"/>
    <w:rsid w:val="00A34CFF"/>
    <w:rsid w:val="00A35C09"/>
    <w:rsid w:val="00A40182"/>
    <w:rsid w:val="00A40A8B"/>
    <w:rsid w:val="00A41109"/>
    <w:rsid w:val="00A42800"/>
    <w:rsid w:val="00A4346B"/>
    <w:rsid w:val="00A47BF8"/>
    <w:rsid w:val="00A54328"/>
    <w:rsid w:val="00A543FD"/>
    <w:rsid w:val="00A54D8A"/>
    <w:rsid w:val="00A553D1"/>
    <w:rsid w:val="00A555BA"/>
    <w:rsid w:val="00A57AFA"/>
    <w:rsid w:val="00A63E3A"/>
    <w:rsid w:val="00A64804"/>
    <w:rsid w:val="00A6734A"/>
    <w:rsid w:val="00A6770C"/>
    <w:rsid w:val="00A8192B"/>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75982"/>
    <w:rsid w:val="00B768CC"/>
    <w:rsid w:val="00B85735"/>
    <w:rsid w:val="00B940A8"/>
    <w:rsid w:val="00BA28A7"/>
    <w:rsid w:val="00BA6B98"/>
    <w:rsid w:val="00BB0404"/>
    <w:rsid w:val="00BC36EC"/>
    <w:rsid w:val="00BF01EB"/>
    <w:rsid w:val="00BF4AF3"/>
    <w:rsid w:val="00C1487C"/>
    <w:rsid w:val="00C17199"/>
    <w:rsid w:val="00C440CD"/>
    <w:rsid w:val="00C755A4"/>
    <w:rsid w:val="00C75BEF"/>
    <w:rsid w:val="00C8137F"/>
    <w:rsid w:val="00C86776"/>
    <w:rsid w:val="00C9518B"/>
    <w:rsid w:val="00CA5F5D"/>
    <w:rsid w:val="00CB2656"/>
    <w:rsid w:val="00CC7779"/>
    <w:rsid w:val="00CD227E"/>
    <w:rsid w:val="00CD5019"/>
    <w:rsid w:val="00CE1ED2"/>
    <w:rsid w:val="00CE716A"/>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3ACC"/>
    <w:rsid w:val="00E34420"/>
    <w:rsid w:val="00E426F6"/>
    <w:rsid w:val="00E44267"/>
    <w:rsid w:val="00E72109"/>
    <w:rsid w:val="00E80A14"/>
    <w:rsid w:val="00E87725"/>
    <w:rsid w:val="00E94374"/>
    <w:rsid w:val="00EA69C2"/>
    <w:rsid w:val="00EB0B44"/>
    <w:rsid w:val="00EC0A56"/>
    <w:rsid w:val="00EC5359"/>
    <w:rsid w:val="00EC7E9A"/>
    <w:rsid w:val="00ED693D"/>
    <w:rsid w:val="00EE2ECB"/>
    <w:rsid w:val="00EF7471"/>
    <w:rsid w:val="00F03EF9"/>
    <w:rsid w:val="00F05BB3"/>
    <w:rsid w:val="00F33421"/>
    <w:rsid w:val="00F41229"/>
    <w:rsid w:val="00F430C6"/>
    <w:rsid w:val="00F51D8A"/>
    <w:rsid w:val="00F636A6"/>
    <w:rsid w:val="00F64B1D"/>
    <w:rsid w:val="00F67AFA"/>
    <w:rsid w:val="00F8537A"/>
    <w:rsid w:val="00F91541"/>
    <w:rsid w:val="00FA514B"/>
    <w:rsid w:val="00FA7D57"/>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CD"/>
    <w:pPr>
      <w:spacing w:before="240"/>
    </w:pPr>
    <w:rPr>
      <w:rFonts w:ascii="Arial" w:hAnsi="Arial" w:cs="Times"/>
      <w:color w:val="002E6E"/>
      <w:sz w:val="24"/>
      <w:szCs w:val="24"/>
      <w:lang w:eastAsia="en-GB"/>
    </w:rPr>
  </w:style>
  <w:style w:type="paragraph" w:styleId="Heading1">
    <w:name w:val="heading 1"/>
    <w:basedOn w:val="Normal"/>
    <w:next w:val="Normal"/>
    <w:link w:val="Heading1Char"/>
    <w:qFormat/>
    <w:rsid w:val="00FA7D57"/>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346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CommentText">
    <w:name w:val="annotation text"/>
    <w:basedOn w:val="Normal"/>
    <w:link w:val="CommentTextChar"/>
    <w:uiPriority w:val="99"/>
    <w:semiHidden/>
    <w:unhideWhenUsed/>
    <w:rsid w:val="00A4346B"/>
    <w:pPr>
      <w:spacing w:before="0" w:after="16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A4346B"/>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A4346B"/>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A4346B"/>
    <w:rPr>
      <w:color w:val="0000FF" w:themeColor="hyperlink"/>
      <w:u w:val="single"/>
    </w:rPr>
  </w:style>
  <w:style w:type="paragraph" w:styleId="ListParagraph">
    <w:name w:val="List Paragraph"/>
    <w:basedOn w:val="Normal"/>
    <w:uiPriority w:val="34"/>
    <w:qFormat/>
    <w:rsid w:val="00A4346B"/>
    <w:pPr>
      <w:spacing w:before="0" w:after="160" w:line="259"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A4346B"/>
    <w:rPr>
      <w:sz w:val="16"/>
      <w:szCs w:val="16"/>
    </w:rPr>
  </w:style>
  <w:style w:type="paragraph" w:styleId="BalloonText">
    <w:name w:val="Balloon Text"/>
    <w:basedOn w:val="Normal"/>
    <w:link w:val="BalloonTextChar"/>
    <w:semiHidden/>
    <w:unhideWhenUsed/>
    <w:rsid w:val="00A4346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4346B"/>
    <w:rPr>
      <w:rFonts w:ascii="Segoe UI" w:hAnsi="Segoe UI" w:cs="Segoe UI"/>
      <w:color w:val="002E6E"/>
      <w:sz w:val="18"/>
      <w:szCs w:val="18"/>
      <w:lang w:eastAsia="en-GB"/>
    </w:rPr>
  </w:style>
  <w:style w:type="character" w:customStyle="1" w:styleId="Heading1Char">
    <w:name w:val="Heading 1 Char"/>
    <w:basedOn w:val="DefaultParagraphFont"/>
    <w:link w:val="Heading1"/>
    <w:rsid w:val="00FA7D57"/>
    <w:rPr>
      <w:rFonts w:asciiTheme="majorHAnsi" w:eastAsiaTheme="majorEastAsia" w:hAnsiTheme="majorHAnsi" w:cstheme="majorBidi"/>
      <w:color w:val="365F91" w:themeColor="accent1" w:themeShade="BF"/>
      <w:sz w:val="32"/>
      <w:szCs w:val="32"/>
      <w:lang w:eastAsia="en-GB"/>
    </w:rPr>
  </w:style>
  <w:style w:type="paragraph" w:styleId="FootnoteText">
    <w:name w:val="footnote text"/>
    <w:basedOn w:val="Normal"/>
    <w:link w:val="FootnoteTextChar"/>
    <w:uiPriority w:val="99"/>
    <w:rsid w:val="00FA7D57"/>
    <w:pPr>
      <w:spacing w:before="60" w:line="264" w:lineRule="auto"/>
      <w:ind w:left="284" w:hanging="284"/>
    </w:pPr>
    <w:rPr>
      <w:rFonts w:ascii="Georgia" w:hAnsi="Georgia" w:cs="Times New Roman"/>
      <w:color w:val="auto"/>
      <w:sz w:val="18"/>
      <w:szCs w:val="20"/>
    </w:rPr>
  </w:style>
  <w:style w:type="character" w:customStyle="1" w:styleId="FootnoteTextChar">
    <w:name w:val="Footnote Text Char"/>
    <w:basedOn w:val="DefaultParagraphFont"/>
    <w:link w:val="FootnoteText"/>
    <w:uiPriority w:val="99"/>
    <w:rsid w:val="00FA7D57"/>
    <w:rPr>
      <w:rFonts w:ascii="Georgia" w:hAnsi="Georgi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mmune.org.nz/sites/default/files/Conferences/2016/NZiS2016/8%201310%2020161102%20NZiS%20SHIVERSRevisedJan201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A1C1A324</Template>
  <TotalTime>0</TotalTime>
  <Pages>2</Pages>
  <Words>602</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Bonnie Jones</cp:lastModifiedBy>
  <cp:revision>2</cp:revision>
  <cp:lastPrinted>2018-03-22T20:32:00Z</cp:lastPrinted>
  <dcterms:created xsi:type="dcterms:W3CDTF">2018-04-06T02:28:00Z</dcterms:created>
  <dcterms:modified xsi:type="dcterms:W3CDTF">2018-04-06T02:28:00Z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