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0363" w14:textId="7152E07B" w:rsidR="00A979E0" w:rsidRDefault="00D02B1D" w:rsidP="00683DE3">
      <w:pPr>
        <w:pStyle w:val="Title"/>
        <w:rPr>
          <w:b w:val="0"/>
        </w:rPr>
      </w:pPr>
      <w:r>
        <w:t xml:space="preserve">A summary of progress on the </w:t>
      </w:r>
      <w:proofErr w:type="spellStart"/>
      <w:r>
        <w:t>Fetal</w:t>
      </w:r>
      <w:proofErr w:type="spellEnd"/>
      <w:r>
        <w:t xml:space="preserve"> Alcohol Spectrum Disorder </w:t>
      </w:r>
      <w:r w:rsidR="003A3C44">
        <w:t>(FASD) Action Plan</w:t>
      </w:r>
      <w:r w:rsidR="003A3C44" w:rsidRPr="00683DE3">
        <w:rPr>
          <w:rStyle w:val="FootnoteReference"/>
        </w:rPr>
        <w:footnoteReference w:id="1"/>
      </w:r>
    </w:p>
    <w:p w14:paraId="56A794B2" w14:textId="3670A511" w:rsidR="00DC6AAB" w:rsidRPr="007B6B63" w:rsidRDefault="00FA76D5" w:rsidP="003C1CA4">
      <w:pPr>
        <w:spacing w:after="240"/>
      </w:pPr>
      <w:r>
        <w:t>Last updated</w:t>
      </w:r>
      <w:r w:rsidR="00BC7E7E" w:rsidRPr="00683DE3">
        <w:rPr>
          <w:rStyle w:val="FootnoteReference"/>
        </w:rPr>
        <w:footnoteReference w:id="2"/>
      </w:r>
      <w:r>
        <w:t xml:space="preserve">on </w:t>
      </w:r>
      <w:r w:rsidR="00862690">
        <w:t>14 February 2022</w:t>
      </w:r>
    </w:p>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1907"/>
        <w:gridCol w:w="1560"/>
      </w:tblGrid>
      <w:tr w:rsidR="00D75715" w14:paraId="1CF6706C" w14:textId="77777777" w:rsidTr="003C1CA4">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0FF9FF" w14:textId="65018653" w:rsidR="00A64A0C" w:rsidRPr="00233F4D" w:rsidRDefault="00D75715" w:rsidP="00683DE3">
            <w:pPr>
              <w:pStyle w:val="Heading1"/>
              <w:outlineLvl w:val="0"/>
            </w:pPr>
            <w:r w:rsidRPr="00233F4D">
              <w:t>Prevention</w:t>
            </w:r>
          </w:p>
        </w:tc>
      </w:tr>
      <w:tr w:rsidR="001A3E11" w14:paraId="475ED67D" w14:textId="77777777" w:rsidTr="003C1CA4">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BBD6E" w14:textId="4CC84276" w:rsidR="001A3E11" w:rsidRPr="00233F4D" w:rsidRDefault="001A3E11" w:rsidP="00683DE3">
            <w:pPr>
              <w:pStyle w:val="Heading2"/>
              <w:outlineLvl w:val="1"/>
            </w:pPr>
            <w:r w:rsidRPr="00CA336C">
              <w:t>Specific action 1: Increase collaboration and coordination to better support activities aimed at shifting New Zealand’s drinking culture and targeting harmful alcohol consumption</w:t>
            </w:r>
          </w:p>
        </w:tc>
      </w:tr>
      <w:tr w:rsidR="00A64A0C" w14:paraId="50CBD025" w14:textId="77777777" w:rsidTr="00E63DB7">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21A9982" w14:textId="217D21B7" w:rsidR="00A64A0C" w:rsidRPr="00AF621A" w:rsidRDefault="00A64A0C" w:rsidP="00683DE3">
            <w:pPr>
              <w:pStyle w:val="Heading3"/>
              <w:outlineLvl w:val="2"/>
            </w:pPr>
            <w:r>
              <w:t>Activity</w:t>
            </w:r>
            <w:r w:rsidR="00361A21">
              <w:t xml:space="preserve"> </w:t>
            </w:r>
            <w:r>
              <w:t>#</w:t>
            </w:r>
          </w:p>
        </w:tc>
        <w:tc>
          <w:tcPr>
            <w:tcW w:w="11907" w:type="dxa"/>
            <w:tcBorders>
              <w:top w:val="single" w:sz="4" w:space="0" w:color="auto"/>
              <w:left w:val="single" w:sz="4" w:space="0" w:color="auto"/>
              <w:bottom w:val="single" w:sz="4" w:space="0" w:color="auto"/>
              <w:right w:val="single" w:sz="4" w:space="0" w:color="auto"/>
            </w:tcBorders>
            <w:shd w:val="clear" w:color="auto" w:fill="E7E6E6" w:themeFill="background2"/>
          </w:tcPr>
          <w:p w14:paraId="64125689" w14:textId="6BE1FB8E" w:rsidR="00A64A0C" w:rsidRPr="00AF621A" w:rsidRDefault="001221CC" w:rsidP="00683DE3">
            <w:pPr>
              <w:pStyle w:val="Heading3"/>
              <w:outlineLvl w:val="2"/>
            </w:pPr>
            <w:r>
              <w:t>Activities and progress</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203A488" w14:textId="2E369CF9" w:rsidR="00A64A0C" w:rsidRPr="00AF621A" w:rsidRDefault="001221CC" w:rsidP="00683DE3">
            <w:pPr>
              <w:pStyle w:val="Heading3"/>
              <w:outlineLvl w:val="2"/>
            </w:pPr>
            <w:r>
              <w:t>Status</w:t>
            </w:r>
          </w:p>
        </w:tc>
      </w:tr>
      <w:tr w:rsidR="00683DE3" w14:paraId="49494754"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F64825" w14:textId="0FC714C4" w:rsidR="00683DE3" w:rsidRDefault="00A06A80" w:rsidP="00A06A80">
            <w:pPr>
              <w:pStyle w:val="TableText"/>
            </w:pPr>
            <w:r>
              <w:t>1.</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5C3C70F2" w14:textId="77777777" w:rsidR="00683DE3" w:rsidRDefault="00A06A80" w:rsidP="00A06A80">
            <w:pPr>
              <w:pStyle w:val="Heading4"/>
              <w:outlineLvl w:val="3"/>
            </w:pPr>
            <w:r w:rsidRPr="00561052">
              <w:t>Establish an interagency group to develop, implement and monitor a</w:t>
            </w:r>
            <w:r w:rsidRPr="006B58A9">
              <w:t xml:space="preserve"> </w:t>
            </w:r>
            <w:r w:rsidRPr="00561052">
              <w:t>collaborative approach aimed at shift</w:t>
            </w:r>
            <w:r>
              <w:t>ing</w:t>
            </w:r>
            <w:r w:rsidRPr="00561052">
              <w:t xml:space="preserve"> N</w:t>
            </w:r>
            <w:r>
              <w:t>ew Zealand</w:t>
            </w:r>
            <w:r w:rsidRPr="00561052">
              <w:t>’s drinking cultur</w:t>
            </w:r>
            <w:r>
              <w:t>e</w:t>
            </w:r>
          </w:p>
          <w:p w14:paraId="39BDFD38" w14:textId="77777777" w:rsidR="00A06A80" w:rsidRDefault="00A06A80" w:rsidP="00A06A80">
            <w:pPr>
              <w:pStyle w:val="TableBullet"/>
            </w:pPr>
            <w:r w:rsidRPr="00F2624F">
              <w:t xml:space="preserve">A cross-agency </w:t>
            </w:r>
            <w:r w:rsidRPr="00A06A80">
              <w:t>coordination</w:t>
            </w:r>
            <w:r w:rsidRPr="00F2624F">
              <w:t xml:space="preserve"> group has been meeting regularly to collaborate and coordinate cross-agency activities in the FASD</w:t>
            </w:r>
            <w:r>
              <w:t xml:space="preserve"> Action</w:t>
            </w:r>
            <w:r w:rsidRPr="00F2624F">
              <w:t xml:space="preserve"> Plan to shift New Zealand’s drinking culture and reduce harmful alcohol consumption.</w:t>
            </w:r>
          </w:p>
          <w:p w14:paraId="623A9E4A" w14:textId="00A62907" w:rsidR="00A06A80" w:rsidRPr="00A06A80" w:rsidRDefault="00A06A80" w:rsidP="00A06A80">
            <w:pPr>
              <w:pStyle w:val="TableBullet"/>
            </w:pPr>
            <w:r w:rsidRPr="00A64A0C">
              <w:t xml:space="preserve">Next steps: The cross-agency coordination group will continue to coordinate cross-agency activities in the FASD </w:t>
            </w:r>
            <w:r>
              <w:t xml:space="preserve">Action </w:t>
            </w:r>
            <w:r w:rsidRPr="00A64A0C">
              <w:t xml:space="preserve">Plan. </w:t>
            </w:r>
            <w:proofErr w:type="spellStart"/>
            <w:r w:rsidRPr="00A64A0C">
              <w:t>Te</w:t>
            </w:r>
            <w:proofErr w:type="spellEnd"/>
            <w:r>
              <w:t> </w:t>
            </w:r>
            <w:proofErr w:type="spellStart"/>
            <w:r w:rsidRPr="00A64A0C">
              <w:t>Hiringa</w:t>
            </w:r>
            <w:proofErr w:type="spellEnd"/>
            <w:r w:rsidRPr="00A64A0C">
              <w:t xml:space="preserve"> Hauora</w:t>
            </w:r>
            <w:r>
              <w:t xml:space="preserve"> (NB previously called the Health Promotion Agency)</w:t>
            </w:r>
            <w:r w:rsidRPr="00A64A0C">
              <w:t xml:space="preserve"> </w:t>
            </w:r>
            <w:r>
              <w:t>is developing its</w:t>
            </w:r>
            <w:r w:rsidRPr="00A64A0C">
              <w:t xml:space="preserve"> alcohol harm reduction strategy (see activity 2 below).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D7579E" w14:textId="24A179CF" w:rsidR="00683DE3" w:rsidRDefault="00A06A80" w:rsidP="00A06A80">
            <w:pPr>
              <w:pStyle w:val="TableText"/>
            </w:pPr>
            <w:r w:rsidRPr="0032370C">
              <w:t>Complete and ongoing</w:t>
            </w:r>
          </w:p>
        </w:tc>
      </w:tr>
      <w:tr w:rsidR="00A06A80" w14:paraId="341D00A6"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EE33A49" w14:textId="57AEB173" w:rsidR="00A06A80" w:rsidRDefault="00A06A80" w:rsidP="00A06A80">
            <w:pPr>
              <w:pStyle w:val="TableText"/>
            </w:pPr>
            <w:r>
              <w:t>2.</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37EE6ECD" w14:textId="77777777" w:rsidR="00A06A80" w:rsidRDefault="00A06A80" w:rsidP="00A06A80">
            <w:pPr>
              <w:pStyle w:val="Heading4"/>
              <w:outlineLvl w:val="3"/>
            </w:pPr>
            <w:r w:rsidRPr="005302FE">
              <w:t xml:space="preserve">Extend </w:t>
            </w:r>
            <w:r>
              <w:t>existing culture change campaign (</w:t>
            </w:r>
            <w:proofErr w:type="spellStart"/>
            <w:r>
              <w:t>eg</w:t>
            </w:r>
            <w:proofErr w:type="spellEnd"/>
            <w:r>
              <w:t>, ‘Say Yeah, Nah’)</w:t>
            </w:r>
          </w:p>
          <w:p w14:paraId="3E3FCD99" w14:textId="731C826F" w:rsidR="00A06A80" w:rsidRPr="00561052" w:rsidRDefault="00A06A80" w:rsidP="00A06A80">
            <w:pPr>
              <w:pStyle w:val="TableBullet"/>
            </w:pPr>
            <w:r w:rsidRPr="009365F3">
              <w:t xml:space="preserve">The Say Yeah, </w:t>
            </w:r>
            <w:proofErr w:type="gramStart"/>
            <w:r w:rsidRPr="009365F3">
              <w:t>Nah</w:t>
            </w:r>
            <w:proofErr w:type="gramEnd"/>
            <w:r w:rsidRPr="009365F3">
              <w:t xml:space="preserve"> advertising (Dept of Lost Nights) is now out of market. The approach to </w:t>
            </w:r>
            <w:proofErr w:type="spellStart"/>
            <w:r w:rsidRPr="009365F3">
              <w:t>denormalis</w:t>
            </w:r>
            <w:r>
              <w:t>e</w:t>
            </w:r>
            <w:proofErr w:type="spellEnd"/>
            <w:r w:rsidRPr="009365F3">
              <w:t xml:space="preserve"> alcohol is moving from traditional advertising towards an influencing strategy. This involves taking a systems-level view, </w:t>
            </w:r>
            <w:proofErr w:type="gramStart"/>
            <w:r w:rsidRPr="009365F3">
              <w:t>creating</w:t>
            </w:r>
            <w:proofErr w:type="gramEnd"/>
            <w:r w:rsidRPr="009365F3">
              <w:t xml:space="preserve"> and providing evidence-based messaging to limit the impact of harmful messages and practices, amplifying community voices, and strengthening community influenc</w:t>
            </w:r>
            <w:r>
              <w:t xml:space="preserve">e </w:t>
            </w:r>
            <w:r w:rsidRPr="009365F3">
              <w:t>and leadership skills via partnerships. This strategy is currently in development.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BF4092" w14:textId="55DF2843" w:rsidR="00A06A80" w:rsidRPr="0032370C" w:rsidRDefault="00A06A80" w:rsidP="00A06A80">
            <w:pPr>
              <w:pStyle w:val="TableText"/>
            </w:pPr>
            <w:r w:rsidRPr="0032370C">
              <w:t>Complete and ongoing</w:t>
            </w:r>
          </w:p>
        </w:tc>
      </w:tr>
      <w:tr w:rsidR="0021123D" w14:paraId="1F736891"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A082B2" w14:textId="297F43DD" w:rsidR="0021123D" w:rsidRDefault="0021123D" w:rsidP="00A06A80">
            <w:pPr>
              <w:pStyle w:val="TableText"/>
            </w:pPr>
            <w:r>
              <w:lastRenderedPageBreak/>
              <w:t>3.</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59AA1778" w14:textId="2A818EFE" w:rsidR="0021123D" w:rsidRDefault="0021123D" w:rsidP="0021123D">
            <w:pPr>
              <w:pStyle w:val="Heading4"/>
              <w:outlineLvl w:val="3"/>
            </w:pPr>
            <w:r w:rsidRPr="00DE045F">
              <w:t xml:space="preserve">Support the Healthy Families communities to </w:t>
            </w:r>
            <w:r>
              <w:t>focus on alcohol harm reduction</w:t>
            </w:r>
          </w:p>
          <w:p w14:paraId="7D3982C1" w14:textId="77777777" w:rsidR="0021123D" w:rsidRDefault="0021123D" w:rsidP="0021123D">
            <w:pPr>
              <w:pStyle w:val="TableBullet"/>
            </w:pPr>
            <w:r w:rsidRPr="00F52683">
              <w:t>The Healthy Families programme is funded by the Ministry of Health (</w:t>
            </w:r>
            <w:proofErr w:type="spellStart"/>
            <w:r w:rsidRPr="00F52683">
              <w:t>M</w:t>
            </w:r>
            <w:r>
              <w:t>o</w:t>
            </w:r>
            <w:r w:rsidRPr="00F52683">
              <w:t>H</w:t>
            </w:r>
            <w:proofErr w:type="spellEnd"/>
            <w:r w:rsidRPr="00F52683">
              <w:t>) and</w:t>
            </w:r>
            <w:r>
              <w:t xml:space="preserve"> is</w:t>
            </w:r>
            <w:r w:rsidRPr="00F52683">
              <w:t xml:space="preserve"> currently being implemented in approx. nine communities in New Zealand. See </w:t>
            </w:r>
            <w:hyperlink r:id="rId11" w:history="1">
              <w:r w:rsidRPr="0021123D">
                <w:rPr>
                  <w:rStyle w:val="Hyperlink"/>
                </w:rPr>
                <w:t>https://www.health.govt.nz/our-work/preventative-health-wellness/healthy-families-nz</w:t>
              </w:r>
            </w:hyperlink>
            <w:r>
              <w:t>.</w:t>
            </w:r>
          </w:p>
          <w:p w14:paraId="6EC2EB5C" w14:textId="2F3AF780" w:rsidR="0021123D" w:rsidRPr="005302FE" w:rsidRDefault="0021123D" w:rsidP="0021123D">
            <w:pPr>
              <w:pStyle w:val="TableBullet"/>
            </w:pPr>
            <w:proofErr w:type="spellStart"/>
            <w:r>
              <w:t>MoH</w:t>
            </w:r>
            <w:proofErr w:type="spellEnd"/>
            <w:r>
              <w:t xml:space="preserve"> </w:t>
            </w:r>
            <w:r w:rsidRPr="00D926F7">
              <w:t>promotes the</w:t>
            </w:r>
            <w:r>
              <w:t xml:space="preserve"> key m</w:t>
            </w:r>
            <w:r w:rsidRPr="00D926F7">
              <w:t>essages on alcohol and pregnancy with</w:t>
            </w:r>
            <w:r>
              <w:t>in</w:t>
            </w:r>
            <w:r w:rsidRPr="00D926F7">
              <w:t xml:space="preserve"> alcohol and drug prevention activity contracts</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CC1CA3" w14:textId="41FA69D8" w:rsidR="0021123D" w:rsidRPr="0032370C" w:rsidRDefault="0021123D" w:rsidP="00A06A80">
            <w:pPr>
              <w:pStyle w:val="TableText"/>
            </w:pPr>
            <w:r>
              <w:t>Complete</w:t>
            </w:r>
          </w:p>
        </w:tc>
      </w:tr>
      <w:tr w:rsidR="0021123D" w14:paraId="40791262"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E5C7D06" w14:textId="7FC3183C" w:rsidR="0021123D" w:rsidRDefault="0021123D" w:rsidP="00A06A80">
            <w:pPr>
              <w:pStyle w:val="TableText"/>
            </w:pPr>
            <w:r>
              <w:t>4.</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2D0175A9" w14:textId="77777777" w:rsidR="0021123D" w:rsidRDefault="0021123D" w:rsidP="0021123D">
            <w:pPr>
              <w:pStyle w:val="Heading4"/>
              <w:outlineLvl w:val="3"/>
            </w:pPr>
            <w:r w:rsidRPr="00E33AD6">
              <w:t>Investigate options for increasing alcohol and drug</w:t>
            </w:r>
            <w:r>
              <w:t xml:space="preserve"> prevention activity in schools</w:t>
            </w:r>
          </w:p>
          <w:p w14:paraId="1A30C19B" w14:textId="77777777" w:rsidR="0021123D" w:rsidRPr="005C62B6" w:rsidRDefault="0021123D" w:rsidP="0021123D">
            <w:pPr>
              <w:pStyle w:val="TableBullet"/>
            </w:pPr>
            <w:r w:rsidRPr="005C62B6">
              <w:t>Play our best card resource has been distributed to every school (</w:t>
            </w:r>
            <w:r>
              <w:t xml:space="preserve">an </w:t>
            </w:r>
            <w:r w:rsidRPr="005C62B6">
              <w:t>interactive, hands on teaching resource).</w:t>
            </w:r>
          </w:p>
          <w:p w14:paraId="260E4180" w14:textId="77777777" w:rsidR="0021123D" w:rsidRDefault="0021123D" w:rsidP="0021123D">
            <w:pPr>
              <w:pStyle w:val="TableBullet"/>
            </w:pPr>
            <w:proofErr w:type="spellStart"/>
            <w:r w:rsidRPr="001221CC">
              <w:t>Tūturu</w:t>
            </w:r>
            <w:proofErr w:type="spellEnd"/>
            <w:r w:rsidRPr="001221CC">
              <w:t xml:space="preserve"> (</w:t>
            </w:r>
            <w:hyperlink r:id="rId12" w:history="1">
              <w:r w:rsidRPr="0021123D">
                <w:rPr>
                  <w:rStyle w:val="Hyperlink"/>
                </w:rPr>
                <w:t>www.tuturu.org.nz</w:t>
              </w:r>
            </w:hyperlink>
            <w:r>
              <w:t xml:space="preserve"> </w:t>
            </w:r>
            <w:r w:rsidRPr="001221CC">
              <w:t xml:space="preserve">) is a programme which supports student wellbeing and prepares students for a world where alcohol and other drugs exist. A three-year pilot has been led by NZ Drug Foundation and supported by a cross-sector governance group (including </w:t>
            </w:r>
            <w:proofErr w:type="spellStart"/>
            <w:r w:rsidRPr="001221CC">
              <w:t>Te</w:t>
            </w:r>
            <w:proofErr w:type="spellEnd"/>
            <w:r w:rsidRPr="001221CC">
              <w:t xml:space="preserve"> </w:t>
            </w:r>
            <w:proofErr w:type="spellStart"/>
            <w:r w:rsidRPr="001221CC">
              <w:t>Hiringa</w:t>
            </w:r>
            <w:proofErr w:type="spellEnd"/>
            <w:r w:rsidRPr="001221CC">
              <w:t xml:space="preserve"> Hauora, </w:t>
            </w:r>
            <w:proofErr w:type="spellStart"/>
            <w:r w:rsidRPr="001221CC">
              <w:t>MoH</w:t>
            </w:r>
            <w:proofErr w:type="spellEnd"/>
            <w:r w:rsidRPr="001221CC">
              <w:t xml:space="preserve">, </w:t>
            </w:r>
            <w:proofErr w:type="spellStart"/>
            <w:r w:rsidRPr="001221CC">
              <w:t>MoE</w:t>
            </w:r>
            <w:proofErr w:type="spellEnd"/>
            <w:r w:rsidRPr="001221CC">
              <w:t xml:space="preserve"> and NZ Police). The </w:t>
            </w:r>
            <w:proofErr w:type="spellStart"/>
            <w:r w:rsidRPr="001221CC">
              <w:t>Tūturu</w:t>
            </w:r>
            <w:proofErr w:type="spellEnd"/>
            <w:r w:rsidRPr="001221CC">
              <w:t xml:space="preserve"> framework includes:</w:t>
            </w:r>
          </w:p>
          <w:p w14:paraId="556E910A" w14:textId="77777777" w:rsidR="0021123D" w:rsidRDefault="0021123D" w:rsidP="0021123D">
            <w:pPr>
              <w:pStyle w:val="TableNumber"/>
            </w:pPr>
            <w:r w:rsidRPr="001221CC">
              <w:t xml:space="preserve">tools to support schools to adjust their school-wide approaches to wellbeing, </w:t>
            </w:r>
            <w:proofErr w:type="gramStart"/>
            <w:r w:rsidRPr="001221CC">
              <w:t>alcohol</w:t>
            </w:r>
            <w:proofErr w:type="gramEnd"/>
            <w:r w:rsidRPr="001221CC">
              <w:t xml:space="preserve"> and drugs</w:t>
            </w:r>
          </w:p>
          <w:p w14:paraId="04AF7924" w14:textId="77777777" w:rsidR="0021123D" w:rsidRDefault="0021123D" w:rsidP="0021123D">
            <w:pPr>
              <w:pStyle w:val="TableNumber"/>
            </w:pPr>
            <w:r w:rsidRPr="001221CC">
              <w:t>teaching and learning resources that use alcohol and drugs as a context for learning (i.e., including learning about alcohol and drugs in classes beyond a Health class, for example students can study alcohol outlet density in their Geography classes, or alcohol advertising in their English classes)</w:t>
            </w:r>
          </w:p>
          <w:p w14:paraId="5B800D8E" w14:textId="4AF27447" w:rsidR="0021123D" w:rsidRPr="001221CC" w:rsidRDefault="0021123D" w:rsidP="0021123D">
            <w:pPr>
              <w:pStyle w:val="TableNumber"/>
            </w:pPr>
            <w:r w:rsidRPr="001221CC">
              <w:t>connections to local Alcohol and other Drugs (</w:t>
            </w:r>
            <w:proofErr w:type="spellStart"/>
            <w:r w:rsidRPr="001221CC">
              <w:t>AoD</w:t>
            </w:r>
            <w:proofErr w:type="spellEnd"/>
            <w:r w:rsidRPr="001221CC">
              <w:t>) treatment providers</w:t>
            </w:r>
            <w:r>
              <w:t>.</w:t>
            </w:r>
          </w:p>
          <w:p w14:paraId="5A94EDE8" w14:textId="77777777" w:rsidR="0021123D" w:rsidRPr="007E6860" w:rsidRDefault="0021123D" w:rsidP="0021123D">
            <w:pPr>
              <w:pStyle w:val="TableBullet"/>
            </w:pPr>
            <w:proofErr w:type="spellStart"/>
            <w:r w:rsidRPr="007E6860">
              <w:t>Tūturu</w:t>
            </w:r>
            <w:proofErr w:type="spellEnd"/>
            <w:r w:rsidRPr="007E6860">
              <w:t xml:space="preserve"> is endorsed by the NZ Health Education Association and more than 100+ educators and academics attended a </w:t>
            </w:r>
            <w:proofErr w:type="spellStart"/>
            <w:r w:rsidRPr="007E6860">
              <w:t>Tūturu</w:t>
            </w:r>
            <w:proofErr w:type="spellEnd"/>
            <w:r w:rsidRPr="007E6860">
              <w:t xml:space="preserve"> Summit at Parliament just prior to </w:t>
            </w:r>
            <w:proofErr w:type="spellStart"/>
            <w:r w:rsidRPr="007E6860">
              <w:t>rāhui</w:t>
            </w:r>
            <w:proofErr w:type="spellEnd"/>
            <w:r w:rsidRPr="007E6860">
              <w:t xml:space="preserve">/lockdown. More than 3,000 people visited the </w:t>
            </w:r>
            <w:proofErr w:type="spellStart"/>
            <w:r w:rsidRPr="007E6860">
              <w:t>Tūturu</w:t>
            </w:r>
            <w:proofErr w:type="spellEnd"/>
            <w:r w:rsidRPr="007E6860">
              <w:t xml:space="preserve"> website in the past three months, ending June 2020. The </w:t>
            </w:r>
            <w:proofErr w:type="spellStart"/>
            <w:r w:rsidRPr="007E6860">
              <w:t>Tūturu</w:t>
            </w:r>
            <w:proofErr w:type="spellEnd"/>
            <w:r w:rsidRPr="007E6860">
              <w:t xml:space="preserve"> pilot was evaluated by NZCER.</w:t>
            </w:r>
          </w:p>
          <w:p w14:paraId="0D34F698" w14:textId="1E77B7A6" w:rsidR="0021123D" w:rsidRPr="0021123D" w:rsidRDefault="0021123D" w:rsidP="0021123D">
            <w:pPr>
              <w:pStyle w:val="TableBullet"/>
            </w:pPr>
            <w:r w:rsidRPr="007E6860">
              <w:t>Development options for the programme are currently being explored. This is likely to include the development of a toolkit to build on the existing workshop guide (for students to create a wellbeing framework for their school). This will support students to implement student-led action to improve student wellbeing.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E4ED86" w14:textId="0F653100" w:rsidR="0021123D" w:rsidRDefault="0021123D" w:rsidP="00A06A80">
            <w:pPr>
              <w:pStyle w:val="TableText"/>
            </w:pPr>
            <w:r>
              <w:t>Complete and ongoing</w:t>
            </w:r>
          </w:p>
        </w:tc>
      </w:tr>
    </w:tbl>
    <w:p w14:paraId="4AC9C065" w14:textId="77777777" w:rsidR="00AB4AED" w:rsidRDefault="00AB4AED" w:rsidP="0021123D"/>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1907"/>
        <w:gridCol w:w="1560"/>
      </w:tblGrid>
      <w:tr w:rsidR="00753819" w14:paraId="515C4C5B" w14:textId="77777777" w:rsidTr="00C365F2">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DCA96B" w14:textId="77777777" w:rsidR="00753819" w:rsidRPr="00233F4D" w:rsidRDefault="00753819" w:rsidP="007300CC">
            <w:pPr>
              <w:pStyle w:val="Heading1"/>
              <w:outlineLvl w:val="0"/>
            </w:pPr>
            <w:r w:rsidRPr="00233F4D">
              <w:lastRenderedPageBreak/>
              <w:t>Prevention</w:t>
            </w:r>
          </w:p>
        </w:tc>
      </w:tr>
      <w:tr w:rsidR="00C00781" w14:paraId="636E1D5B" w14:textId="77777777" w:rsidTr="00C365F2">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34675C" w14:textId="01F20235" w:rsidR="00C00781" w:rsidRPr="00AD4E22" w:rsidRDefault="00C00781" w:rsidP="00753819">
            <w:pPr>
              <w:pStyle w:val="Heading2"/>
              <w:outlineLvl w:val="1"/>
            </w:pPr>
            <w:r w:rsidRPr="00414F22">
              <w:t>Specific action 2</w:t>
            </w:r>
            <w:r>
              <w:t xml:space="preserve">: </w:t>
            </w:r>
            <w:r w:rsidRPr="00414F22">
              <w:rPr>
                <w:color w:val="000000"/>
              </w:rPr>
              <w:t>Develop</w:t>
            </w:r>
            <w:r w:rsidRPr="00414F22">
              <w:t xml:space="preserve"> and disseminate clear, </w:t>
            </w:r>
            <w:proofErr w:type="gramStart"/>
            <w:r w:rsidRPr="00414F22">
              <w:t>unambiguous</w:t>
            </w:r>
            <w:proofErr w:type="gramEnd"/>
            <w:r w:rsidRPr="00414F22">
              <w:t xml:space="preserve"> and consistent messages to increase the whole community’s awareness of the risks of drinking during pregnancy, including FASD</w:t>
            </w:r>
          </w:p>
        </w:tc>
      </w:tr>
      <w:tr w:rsidR="00D02B4D" w14:paraId="400A955A" w14:textId="77777777" w:rsidTr="00E63DB7">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26927FE" w14:textId="4347A77A" w:rsidR="00477157" w:rsidRPr="00AF621A" w:rsidRDefault="0030546F" w:rsidP="00753819">
            <w:pPr>
              <w:pStyle w:val="Heading3"/>
              <w:outlineLvl w:val="2"/>
            </w:pPr>
            <w:r>
              <w:t>Activity</w:t>
            </w:r>
            <w:r w:rsidR="00361A21">
              <w:t xml:space="preserve"> </w:t>
            </w:r>
            <w:r>
              <w:t>#</w:t>
            </w:r>
          </w:p>
        </w:tc>
        <w:tc>
          <w:tcPr>
            <w:tcW w:w="11907" w:type="dxa"/>
            <w:tcBorders>
              <w:top w:val="single" w:sz="4" w:space="0" w:color="auto"/>
              <w:left w:val="single" w:sz="4" w:space="0" w:color="auto"/>
              <w:bottom w:val="single" w:sz="4" w:space="0" w:color="auto"/>
              <w:right w:val="single" w:sz="4" w:space="0" w:color="auto"/>
            </w:tcBorders>
            <w:shd w:val="clear" w:color="auto" w:fill="E7E6E6" w:themeFill="background2"/>
          </w:tcPr>
          <w:p w14:paraId="672FFF62" w14:textId="2FF2AEE3" w:rsidR="00C878DF" w:rsidRPr="00AF621A" w:rsidRDefault="00753819" w:rsidP="00753819">
            <w:pPr>
              <w:pStyle w:val="Heading3"/>
              <w:outlineLvl w:val="2"/>
            </w:pPr>
            <w:r>
              <w:t>Activities and progress</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6530B6" w14:textId="4E667E74" w:rsidR="00DC6AAB" w:rsidRPr="00AF621A" w:rsidRDefault="00753819" w:rsidP="00753819">
            <w:pPr>
              <w:pStyle w:val="Heading3"/>
              <w:outlineLvl w:val="2"/>
            </w:pPr>
            <w:r>
              <w:t>Status</w:t>
            </w:r>
          </w:p>
        </w:tc>
      </w:tr>
      <w:tr w:rsidR="00753819" w14:paraId="77C069E2"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7447C6" w14:textId="662DCF54" w:rsidR="00753819" w:rsidRDefault="00753819" w:rsidP="007300CC">
            <w:pPr>
              <w:pStyle w:val="TableText"/>
            </w:pPr>
            <w:r>
              <w:t>5.</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013210B5" w14:textId="36A4EFA0" w:rsidR="00753819" w:rsidRPr="00C775CF" w:rsidRDefault="00753819" w:rsidP="00753819">
            <w:pPr>
              <w:pStyle w:val="Heading4"/>
              <w:outlineLvl w:val="3"/>
            </w:pPr>
            <w:r w:rsidRPr="00D6607C">
              <w:t>Produce two key resources on alcohol and pregnancy – one for consumers and one for professionals – and use them to update existing government resources and make it easy for others to build similar me</w:t>
            </w:r>
            <w:r>
              <w:t>ssages into their own resources</w:t>
            </w:r>
          </w:p>
          <w:p w14:paraId="5F48D342" w14:textId="4B3E12D5" w:rsidR="00753819" w:rsidRDefault="00753819" w:rsidP="00753819">
            <w:pPr>
              <w:pStyle w:val="TableBullet"/>
            </w:pPr>
            <w:r>
              <w:t>A n</w:t>
            </w:r>
            <w:r w:rsidRPr="00500AAA">
              <w:t xml:space="preserve">ew alcohol and pregnancy pamphlet </w:t>
            </w:r>
            <w:r>
              <w:t xml:space="preserve">has been </w:t>
            </w:r>
            <w:r w:rsidRPr="00500AAA">
              <w:t xml:space="preserve">produced and </w:t>
            </w:r>
            <w:r>
              <w:t xml:space="preserve">is </w:t>
            </w:r>
            <w:r w:rsidRPr="00500AAA">
              <w:t>available to order from</w:t>
            </w:r>
            <w:r>
              <w:t xml:space="preserve"> the</w:t>
            </w:r>
            <w:r w:rsidRPr="00500AAA">
              <w:t xml:space="preserve"> </w:t>
            </w:r>
            <w:proofErr w:type="spellStart"/>
            <w:r w:rsidRPr="00500AAA">
              <w:t>HealthEd</w:t>
            </w:r>
            <w:proofErr w:type="spellEnd"/>
            <w:r w:rsidRPr="00500AAA">
              <w:t xml:space="preserve"> and </w:t>
            </w:r>
            <w:hyperlink r:id="rId13" w:history="1">
              <w:r w:rsidRPr="00753819">
                <w:rPr>
                  <w:rStyle w:val="Hyperlink"/>
                </w:rPr>
                <w:t>alcohol.org.nz</w:t>
              </w:r>
            </w:hyperlink>
            <w:r w:rsidRPr="00500AAA">
              <w:t xml:space="preserve"> websites.</w:t>
            </w:r>
          </w:p>
          <w:p w14:paraId="54E726C9" w14:textId="17F1124D" w:rsidR="00753819" w:rsidRDefault="00125913" w:rsidP="00753819">
            <w:pPr>
              <w:pStyle w:val="TableBullet"/>
            </w:pPr>
            <w:hyperlink r:id="rId14" w:history="1">
              <w:r w:rsidR="00753819" w:rsidRPr="00427E81">
                <w:rPr>
                  <w:rStyle w:val="Hyperlink"/>
                </w:rPr>
                <w:t>Alcohol and pregnancy key messages resource</w:t>
              </w:r>
            </w:hyperlink>
            <w:r w:rsidR="00753819" w:rsidRPr="00952A0A">
              <w:t xml:space="preserve"> </w:t>
            </w:r>
            <w:r w:rsidR="00753819" w:rsidRPr="00952125">
              <w:t>has been completed.</w:t>
            </w:r>
          </w:p>
          <w:p w14:paraId="5796927B" w14:textId="1657C055" w:rsidR="00753819" w:rsidRPr="005302FE" w:rsidRDefault="00125913" w:rsidP="00753819">
            <w:pPr>
              <w:pStyle w:val="TableBullet"/>
            </w:pPr>
            <w:hyperlink r:id="rId15" w:history="1">
              <w:r w:rsidR="00753819" w:rsidRPr="00390756">
                <w:rPr>
                  <w:rStyle w:val="Hyperlink"/>
                  <w:rFonts w:cstheme="minorHAnsi"/>
                </w:rPr>
                <w:t>Alcohol and pregnancy evidence summary</w:t>
              </w:r>
            </w:hyperlink>
            <w:r w:rsidR="00753819" w:rsidRPr="00500AAA">
              <w:t xml:space="preserve"> </w:t>
            </w:r>
            <w:r w:rsidR="00753819" w:rsidRPr="00134E6E">
              <w:t>ha</w:t>
            </w:r>
            <w:r w:rsidR="00753819">
              <w:t>s</w:t>
            </w:r>
            <w:r w:rsidR="00753819" w:rsidRPr="00500AAA">
              <w:t xml:space="preserve"> been completed</w:t>
            </w:r>
            <w:r w:rsidR="00753819" w:rsidRPr="00134E6E">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7E5645" w14:textId="77777777" w:rsidR="00753819" w:rsidRPr="0032370C" w:rsidRDefault="00753819" w:rsidP="007300CC">
            <w:pPr>
              <w:pStyle w:val="TableText"/>
            </w:pPr>
            <w:r>
              <w:t>Complete</w:t>
            </w:r>
          </w:p>
        </w:tc>
      </w:tr>
      <w:tr w:rsidR="00753819" w14:paraId="0917FB73"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103C65" w14:textId="375299E8" w:rsidR="00753819" w:rsidRDefault="00753819" w:rsidP="007300CC">
            <w:pPr>
              <w:pStyle w:val="TableText"/>
            </w:pPr>
            <w:r>
              <w:t>6.</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08AC5D64" w14:textId="77777777" w:rsidR="00753819" w:rsidRDefault="00753819" w:rsidP="00753819">
            <w:pPr>
              <w:pStyle w:val="Heading4"/>
              <w:outlineLvl w:val="3"/>
            </w:pPr>
            <w:r w:rsidRPr="00794B0D">
              <w:t>Extend the public education ca</w:t>
            </w:r>
            <w:r>
              <w:t>mpaign on alcohol and pregnancy</w:t>
            </w:r>
          </w:p>
          <w:p w14:paraId="10F62EB5" w14:textId="345DC63C" w:rsidR="00753819" w:rsidRDefault="00753819" w:rsidP="00753819">
            <w:pPr>
              <w:pStyle w:val="TableBullet"/>
            </w:pPr>
            <w:r>
              <w:t>An alcohol-free pregnancy campaign was in the market over 2018/2019. The campaign, Pre-</w:t>
            </w:r>
            <w:proofErr w:type="spellStart"/>
            <w:r>
              <w:t>Testie</w:t>
            </w:r>
            <w:proofErr w:type="spellEnd"/>
            <w:r>
              <w:t xml:space="preserve"> Bestie, aimed to reduce alcohol consumption during early pregnancy by encouraging women to stop drinking if there is any chance that they could be pregnant. This approach aimed messaging at the supporters of young women who may be pregnant. The attention grabbing and humorous tone of the campaign challenged women to be a ‘Pre-</w:t>
            </w:r>
            <w:proofErr w:type="spellStart"/>
            <w:r>
              <w:t>Testie</w:t>
            </w:r>
            <w:proofErr w:type="spellEnd"/>
            <w:r>
              <w:t xml:space="preserve"> Bestie’ and support their friend to be alcohol free if they think they might be pregnant.</w:t>
            </w:r>
          </w:p>
          <w:p w14:paraId="73E9DD48" w14:textId="4F6A8F60" w:rsidR="00753819" w:rsidRPr="005302FE" w:rsidRDefault="00753819" w:rsidP="00753819">
            <w:pPr>
              <w:pStyle w:val="TableBullet"/>
            </w:pPr>
            <w:proofErr w:type="spellStart"/>
            <w:r w:rsidRPr="00313D12">
              <w:t>Te</w:t>
            </w:r>
            <w:proofErr w:type="spellEnd"/>
            <w:r w:rsidRPr="00313D12">
              <w:t xml:space="preserve"> </w:t>
            </w:r>
            <w:proofErr w:type="spellStart"/>
            <w:r w:rsidRPr="00313D12">
              <w:t>Hiringa</w:t>
            </w:r>
            <w:proofErr w:type="spellEnd"/>
            <w:r w:rsidRPr="00313D12">
              <w:t xml:space="preserve"> Hauora</w:t>
            </w:r>
            <w:r>
              <w:t xml:space="preserve"> worked with health promoters in some regions to develop regionalised implementations of the campaign. Next steps: A new approach to promoting alcohol free pregnancies is currently in development.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DB1741" w14:textId="26EA9F1A" w:rsidR="00753819" w:rsidRDefault="00753819" w:rsidP="007300CC">
            <w:pPr>
              <w:pStyle w:val="TableText"/>
            </w:pPr>
            <w:r>
              <w:t>Complete and ongoing</w:t>
            </w:r>
          </w:p>
        </w:tc>
      </w:tr>
      <w:tr w:rsidR="00753819" w14:paraId="028805C9"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FCD3E5" w14:textId="2E0E39ED" w:rsidR="00753819" w:rsidRDefault="00C365F2" w:rsidP="007300CC">
            <w:pPr>
              <w:pStyle w:val="TableText"/>
            </w:pPr>
            <w:r>
              <w:t>7.</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33D67CFA" w14:textId="77777777" w:rsidR="00753819" w:rsidRDefault="00C365F2" w:rsidP="00C365F2">
            <w:pPr>
              <w:pStyle w:val="Heading4"/>
              <w:outlineLvl w:val="3"/>
            </w:pPr>
            <w:r w:rsidRPr="000149DB">
              <w:t>Provide guidance on alcohol and pregnancy for schools as they develop and</w:t>
            </w:r>
            <w:r>
              <w:t xml:space="preserve"> implement their own curriculum</w:t>
            </w:r>
          </w:p>
          <w:p w14:paraId="4A5A35BA" w14:textId="0E57DF52" w:rsidR="00C365F2" w:rsidRPr="00193941" w:rsidRDefault="00C365F2" w:rsidP="00C365F2">
            <w:pPr>
              <w:pStyle w:val="TableBullet"/>
            </w:pPr>
            <w:proofErr w:type="spellStart"/>
            <w:r w:rsidRPr="00313D12">
              <w:t>Te</w:t>
            </w:r>
            <w:proofErr w:type="spellEnd"/>
            <w:r w:rsidRPr="00313D12">
              <w:t xml:space="preserve"> </w:t>
            </w:r>
            <w:proofErr w:type="spellStart"/>
            <w:r w:rsidRPr="00313D12">
              <w:t>Hiringa</w:t>
            </w:r>
            <w:proofErr w:type="spellEnd"/>
            <w:r w:rsidRPr="00313D12">
              <w:t xml:space="preserve"> Hauora</w:t>
            </w:r>
            <w:r w:rsidRPr="00193941">
              <w:t xml:space="preserve"> and </w:t>
            </w:r>
            <w:proofErr w:type="spellStart"/>
            <w:r>
              <w:t>MoH</w:t>
            </w:r>
            <w:proofErr w:type="spellEnd"/>
            <w:r w:rsidRPr="00193941">
              <w:t xml:space="preserve"> continue to promote key messages on alcohol and pregnancy for school curriculum. See the key messages in the new brochure (</w:t>
            </w:r>
            <w:hyperlink r:id="rId16" w:history="1">
              <w:r w:rsidRPr="00533637">
                <w:rPr>
                  <w:rStyle w:val="Hyperlink"/>
                  <w:rFonts w:cstheme="minorHAnsi"/>
                </w:rPr>
                <w:t>https://www.healthed.govt.nz/resource/alcohol-and-pregnancy-what-you-might-not-know</w:t>
              </w:r>
            </w:hyperlink>
            <w:r w:rsidRPr="00193941">
              <w:t>)</w:t>
            </w:r>
            <w:r w:rsidR="000D2FE7">
              <w:t>.</w:t>
            </w:r>
          </w:p>
          <w:p w14:paraId="01CBED9A" w14:textId="5C1F0A27" w:rsidR="00C365F2" w:rsidRPr="000D2FE7" w:rsidRDefault="00C365F2" w:rsidP="00C365F2">
            <w:pPr>
              <w:pStyle w:val="TableBullet"/>
            </w:pPr>
            <w:r>
              <w:t xml:space="preserve">Within the FASD online guide for teachers, there is a section titled “Teach students about alcohol harm during pregnancy”. This section of the resource can support schools in their curriculum development and implementation. This section of the guide is available at: </w:t>
            </w:r>
            <w:hyperlink r:id="rId17" w:history="1">
              <w:r>
                <w:rPr>
                  <w:rStyle w:val="Hyperlink"/>
                </w:rPr>
                <w:t>https://www.inclusive.tki.org.nz/guides/fetal-alcohol-spectrum-disorder-and-learning/teach-students-about-fasd-cause-and-effects</w:t>
              </w:r>
            </w:hyperlink>
            <w:r w:rsidR="000D2FE7" w:rsidRPr="000D2FE7">
              <w:t>.</w:t>
            </w:r>
          </w:p>
          <w:p w14:paraId="4659F120" w14:textId="0766D5EF" w:rsidR="00C365F2" w:rsidRPr="005302FE" w:rsidRDefault="00C365F2" w:rsidP="00C365F2">
            <w:pPr>
              <w:pStyle w:val="TableBullet"/>
            </w:pPr>
            <w:r w:rsidRPr="00B03C88">
              <w:t xml:space="preserve">See activity </w:t>
            </w:r>
            <w:r>
              <w:t>4</w:t>
            </w:r>
            <w:r w:rsidRPr="00B03C88">
              <w:t xml:space="preserve"> above</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8438E9" w14:textId="7F4E1D9B" w:rsidR="00753819" w:rsidRDefault="00C365F2" w:rsidP="007300CC">
            <w:pPr>
              <w:pStyle w:val="TableText"/>
            </w:pPr>
            <w:r>
              <w:t>Complete and ongoing</w:t>
            </w:r>
          </w:p>
        </w:tc>
      </w:tr>
      <w:tr w:rsidR="00C365F2" w14:paraId="1D0398EB"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C9AFB6" w14:textId="2DD5714E" w:rsidR="00C365F2" w:rsidRDefault="000D2FE7" w:rsidP="007300CC">
            <w:pPr>
              <w:pStyle w:val="TableText"/>
            </w:pPr>
            <w:r>
              <w:lastRenderedPageBreak/>
              <w:t>8.</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6C9A1CB4" w14:textId="77777777" w:rsidR="00C365F2" w:rsidRDefault="000D2FE7" w:rsidP="000D2FE7">
            <w:pPr>
              <w:pStyle w:val="Heading4"/>
              <w:outlineLvl w:val="3"/>
            </w:pPr>
            <w:r w:rsidRPr="008C3A1F">
              <w:t xml:space="preserve">Formally review the success of the coverage, </w:t>
            </w:r>
            <w:proofErr w:type="gramStart"/>
            <w:r w:rsidRPr="008C3A1F">
              <w:t>consistency</w:t>
            </w:r>
            <w:proofErr w:type="gramEnd"/>
            <w:r w:rsidRPr="008C3A1F">
              <w:t xml:space="preserve"> and effectiveness of the voluntary alcohol warning label initiative in</w:t>
            </w:r>
            <w:r>
              <w:t xml:space="preserve"> both Australia and New Zealand</w:t>
            </w:r>
          </w:p>
          <w:p w14:paraId="556D3A98" w14:textId="77777777" w:rsidR="000D2FE7" w:rsidRDefault="000D2FE7" w:rsidP="000D2FE7">
            <w:pPr>
              <w:pStyle w:val="TableBullet"/>
            </w:pPr>
            <w:r>
              <w:t>In July 2020, the mandatory pregnancy warning label on alcohol beverages was agreed by Australia and New Zealand Ministerial Forum on Food Regulation. New Zealand will be moving to mandatory pregnancy warning labels on alcohol products.</w:t>
            </w:r>
          </w:p>
          <w:p w14:paraId="5A6DC33E" w14:textId="77777777" w:rsidR="000D2FE7" w:rsidRPr="00A16D40" w:rsidRDefault="000D2FE7" w:rsidP="000D2FE7">
            <w:pPr>
              <w:pStyle w:val="TableBullet"/>
            </w:pPr>
            <w:r w:rsidRPr="00A16D40">
              <w:t>The Ministry f</w:t>
            </w:r>
            <w:r>
              <w:t>or</w:t>
            </w:r>
            <w:r w:rsidRPr="00A16D40">
              <w:t xml:space="preserve"> Primary Industries</w:t>
            </w:r>
            <w:r>
              <w:t xml:space="preserve"> (MPI)</w:t>
            </w:r>
            <w:r w:rsidRPr="00A16D40">
              <w:t xml:space="preserve"> reviewed the success, coverage, </w:t>
            </w:r>
            <w:proofErr w:type="gramStart"/>
            <w:r w:rsidRPr="00A16D40">
              <w:t>consistency</w:t>
            </w:r>
            <w:proofErr w:type="gramEnd"/>
            <w:r w:rsidRPr="00A16D40">
              <w:t xml:space="preserve"> and effectiveness of the voluntary alcohol warning label initiative in N</w:t>
            </w:r>
            <w:r>
              <w:t xml:space="preserve">ew </w:t>
            </w:r>
            <w:r w:rsidRPr="00A16D40">
              <w:t>Z</w:t>
            </w:r>
            <w:r>
              <w:t>ealand</w:t>
            </w:r>
            <w:r w:rsidRPr="00A16D40">
              <w:t>.</w:t>
            </w:r>
          </w:p>
          <w:p w14:paraId="3FE7FC30" w14:textId="62EB73E3" w:rsidR="000D2FE7" w:rsidRDefault="000D2FE7" w:rsidP="000D2FE7">
            <w:pPr>
              <w:pStyle w:val="TableBullet"/>
            </w:pPr>
            <w:r w:rsidRPr="00F52683">
              <w:t>Overview report: voluntary pregnancy warning labelling on alcohol products in New Zealand</w:t>
            </w:r>
            <w:r>
              <w:t xml:space="preserve"> (</w:t>
            </w:r>
            <w:hyperlink r:id="rId18" w:history="1">
              <w:r w:rsidRPr="004A12B0">
                <w:rPr>
                  <w:rStyle w:val="Hyperlink"/>
                  <w:rFonts w:cstheme="minorHAnsi"/>
                </w:rPr>
                <w:t>https://foodregulation.gov.au/internet/fr/publishing.nsf/Content/Pregnancy-Warnings-on-Alcohol-Labels</w:t>
              </w:r>
            </w:hyperlink>
            <w:r>
              <w:t>).</w:t>
            </w:r>
          </w:p>
          <w:p w14:paraId="1F66C192" w14:textId="7DC9B556" w:rsidR="000D2FE7" w:rsidRPr="005302FE" w:rsidRDefault="000D2FE7" w:rsidP="000D2FE7">
            <w:pPr>
              <w:pStyle w:val="TableBullet"/>
            </w:pPr>
            <w:proofErr w:type="spellStart"/>
            <w:r w:rsidRPr="001221CC">
              <w:t>Te</w:t>
            </w:r>
            <w:proofErr w:type="spellEnd"/>
            <w:r w:rsidRPr="001221CC">
              <w:t xml:space="preserve"> </w:t>
            </w:r>
            <w:proofErr w:type="spellStart"/>
            <w:r w:rsidRPr="001221CC">
              <w:t>Hiringa</w:t>
            </w:r>
            <w:proofErr w:type="spellEnd"/>
            <w:r w:rsidRPr="001221CC">
              <w:t xml:space="preserve"> Hauora commissioned research on consumer awareness and understanding of alcohol and pregnancy warning that provided contributory information for the review (</w:t>
            </w:r>
            <w:hyperlink r:id="rId19" w:history="1">
              <w:r w:rsidRPr="00956920">
                <w:rPr>
                  <w:rStyle w:val="Hyperlink"/>
                </w:rPr>
                <w:t>https://www.hpa.org.nz/research-library/research-publications/consumer-awareness-and-understanding-of-alcohol-pregnancy-warning-labels</w:t>
              </w:r>
            </w:hyperlink>
            <w:r w:rsidRPr="001221CC">
              <w:t>)</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1CB975" w14:textId="7652D612" w:rsidR="00C365F2" w:rsidRDefault="000D2FE7" w:rsidP="007300CC">
            <w:pPr>
              <w:pStyle w:val="TableText"/>
            </w:pPr>
            <w:r>
              <w:t>Complete</w:t>
            </w:r>
          </w:p>
        </w:tc>
      </w:tr>
    </w:tbl>
    <w:p w14:paraId="57A7658D" w14:textId="77777777" w:rsidR="00753819" w:rsidRDefault="00753819" w:rsidP="000D2FE7"/>
    <w:tbl>
      <w:tblPr>
        <w:tblStyle w:val="TableGrid"/>
        <w:tblW w:w="0" w:type="auto"/>
        <w:tblInd w:w="85" w:type="dxa"/>
        <w:tblLayout w:type="fixed"/>
        <w:tblCellMar>
          <w:left w:w="85" w:type="dxa"/>
          <w:right w:w="85" w:type="dxa"/>
        </w:tblCellMar>
        <w:tblLook w:val="04A0" w:firstRow="1" w:lastRow="0" w:firstColumn="1" w:lastColumn="0" w:noHBand="0" w:noVBand="1"/>
      </w:tblPr>
      <w:tblGrid>
        <w:gridCol w:w="1134"/>
        <w:gridCol w:w="11907"/>
        <w:gridCol w:w="1560"/>
      </w:tblGrid>
      <w:tr w:rsidR="002A1B13" w14:paraId="07D34D8E" w14:textId="77777777" w:rsidTr="000A39F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5FF8AA" w14:textId="5553984D" w:rsidR="00C8480E" w:rsidRPr="0096193A" w:rsidRDefault="002A1B13" w:rsidP="000D2FE7">
            <w:pPr>
              <w:pStyle w:val="Heading1"/>
              <w:outlineLvl w:val="0"/>
            </w:pPr>
            <w:r w:rsidRPr="0096193A">
              <w:lastRenderedPageBreak/>
              <w:t xml:space="preserve">Early </w:t>
            </w:r>
            <w:r w:rsidR="0096193A" w:rsidRPr="0096193A">
              <w:t>identification</w:t>
            </w:r>
          </w:p>
        </w:tc>
      </w:tr>
      <w:tr w:rsidR="00C00781" w14:paraId="49E85AA4" w14:textId="77777777" w:rsidTr="000A39F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EF3C47" w14:textId="0306B0F2" w:rsidR="00C00781" w:rsidRDefault="00C00781" w:rsidP="000D2FE7">
            <w:pPr>
              <w:pStyle w:val="Heading2"/>
              <w:outlineLvl w:val="1"/>
            </w:pPr>
            <w:r w:rsidRPr="00ED0898">
              <w:t xml:space="preserve">Specific action 3: Support primary care to provide high-quality, </w:t>
            </w:r>
            <w:proofErr w:type="gramStart"/>
            <w:r w:rsidRPr="00ED0898">
              <w:t>responsive</w:t>
            </w:r>
            <w:proofErr w:type="gramEnd"/>
            <w:r w:rsidRPr="00ED0898">
              <w:t xml:space="preserve"> and equitable maternity care, including screening and brief intervention for alcohol</w:t>
            </w:r>
          </w:p>
        </w:tc>
      </w:tr>
      <w:tr w:rsidR="00AE3413" w14:paraId="027792B9" w14:textId="77777777" w:rsidTr="00E63DB7">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1EA202A" w14:textId="02044B4D" w:rsidR="0075593B" w:rsidRPr="00412D56" w:rsidRDefault="00E24576" w:rsidP="000D2FE7">
            <w:pPr>
              <w:pStyle w:val="Heading3"/>
              <w:outlineLvl w:val="2"/>
            </w:pPr>
            <w:r>
              <w:t>Activity</w:t>
            </w:r>
            <w:r w:rsidR="00A64A0C">
              <w:t xml:space="preserve"> </w:t>
            </w:r>
            <w:r>
              <w:t>#</w:t>
            </w:r>
          </w:p>
        </w:tc>
        <w:tc>
          <w:tcPr>
            <w:tcW w:w="11907" w:type="dxa"/>
            <w:tcBorders>
              <w:top w:val="single" w:sz="4" w:space="0" w:color="auto"/>
              <w:left w:val="single" w:sz="4" w:space="0" w:color="auto"/>
              <w:bottom w:val="single" w:sz="4" w:space="0" w:color="auto"/>
              <w:right w:val="single" w:sz="4" w:space="0" w:color="auto"/>
            </w:tcBorders>
            <w:shd w:val="clear" w:color="auto" w:fill="E7E6E6" w:themeFill="background2"/>
          </w:tcPr>
          <w:p w14:paraId="3DE0DC40" w14:textId="5CD31050" w:rsidR="0049367E" w:rsidRPr="00412D56" w:rsidRDefault="00464709" w:rsidP="000D2FE7">
            <w:pPr>
              <w:pStyle w:val="Heading3"/>
              <w:outlineLvl w:val="2"/>
            </w:pPr>
            <w:r w:rsidRPr="00412D56">
              <w:t>Activities and progress</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6E59CA" w14:textId="024071B9" w:rsidR="0075593B" w:rsidRPr="00412D56" w:rsidRDefault="0075593B" w:rsidP="000D2FE7">
            <w:pPr>
              <w:pStyle w:val="Heading3"/>
              <w:outlineLvl w:val="2"/>
            </w:pPr>
            <w:r w:rsidRPr="00412D56">
              <w:t>Stat</w:t>
            </w:r>
            <w:r w:rsidR="000D2FE7">
              <w:t>us</w:t>
            </w:r>
          </w:p>
        </w:tc>
      </w:tr>
      <w:tr w:rsidR="000A39F7" w14:paraId="484FB159"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CA8B52" w14:textId="57E478B5" w:rsidR="000A39F7" w:rsidRDefault="000A39F7" w:rsidP="007300CC">
            <w:pPr>
              <w:pStyle w:val="TableText"/>
            </w:pPr>
            <w:r>
              <w:t>9.</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42FDB458" w14:textId="77777777" w:rsidR="000A39F7" w:rsidRDefault="000A39F7" w:rsidP="000A39F7">
            <w:pPr>
              <w:pStyle w:val="Heading4"/>
              <w:outlineLvl w:val="3"/>
            </w:pPr>
            <w:r w:rsidRPr="00CB107B">
              <w:t>Work with professional colleges to update clinical guidelines on alcohol</w:t>
            </w:r>
            <w:r w:rsidRPr="00F81B61">
              <w:t xml:space="preserve"> </w:t>
            </w:r>
            <w:r w:rsidRPr="00CB107B">
              <w:t>and pregnancy and embed evidence-based interventions and messages</w:t>
            </w:r>
            <w:r w:rsidRPr="00F81B61">
              <w:t xml:space="preserve"> </w:t>
            </w:r>
            <w:r w:rsidRPr="00CB107B">
              <w:t>into core workforce competencies</w:t>
            </w:r>
          </w:p>
          <w:p w14:paraId="1106C0CC" w14:textId="77777777" w:rsidR="000A39F7" w:rsidRDefault="000A39F7" w:rsidP="000A39F7">
            <w:pPr>
              <w:pStyle w:val="TableBullet"/>
            </w:pPr>
            <w:r w:rsidRPr="00F81B61">
              <w:t xml:space="preserve">The colleges of </w:t>
            </w:r>
            <w:r>
              <w:t>general practitioners (</w:t>
            </w:r>
            <w:r w:rsidRPr="00F81B61">
              <w:t>GPs</w:t>
            </w:r>
            <w:r>
              <w:t>)</w:t>
            </w:r>
            <w:r w:rsidRPr="00F81B61">
              <w:t xml:space="preserve"> and midwives were</w:t>
            </w:r>
            <w:r>
              <w:t xml:space="preserve"> consulted </w:t>
            </w:r>
            <w:r w:rsidRPr="00F81B61">
              <w:t xml:space="preserve">in updating </w:t>
            </w:r>
            <w:proofErr w:type="spellStart"/>
            <w:r>
              <w:t>MoH’s</w:t>
            </w:r>
            <w:proofErr w:type="spellEnd"/>
            <w:r w:rsidRPr="00F81B61">
              <w:t xml:space="preserve"> guideline</w:t>
            </w:r>
            <w:r>
              <w:t>s</w:t>
            </w:r>
            <w:r w:rsidRPr="00F81B61">
              <w:t xml:space="preserve"> on alcohol and pregnancy. The draft of the updated guidelines was not published but has been used as a knowledge base internal document to inf</w:t>
            </w:r>
            <w:r>
              <w:t>orm online tools and resources.</w:t>
            </w:r>
          </w:p>
          <w:p w14:paraId="4B1F1EE9" w14:textId="77777777" w:rsidR="000A39F7" w:rsidRPr="000A39F7" w:rsidRDefault="000A39F7" w:rsidP="000A39F7">
            <w:pPr>
              <w:pStyle w:val="TableBullet"/>
            </w:pPr>
            <w:proofErr w:type="spellStart"/>
            <w:r w:rsidRPr="00313D12">
              <w:rPr>
                <w:color w:val="000000"/>
              </w:rPr>
              <w:t>Te</w:t>
            </w:r>
            <w:proofErr w:type="spellEnd"/>
            <w:r w:rsidRPr="00313D12">
              <w:rPr>
                <w:color w:val="000000"/>
              </w:rPr>
              <w:t xml:space="preserve"> </w:t>
            </w:r>
            <w:proofErr w:type="spellStart"/>
            <w:r w:rsidRPr="00313D12">
              <w:rPr>
                <w:color w:val="000000"/>
              </w:rPr>
              <w:t>Hiringa</w:t>
            </w:r>
            <w:proofErr w:type="spellEnd"/>
            <w:r w:rsidRPr="00313D12">
              <w:rPr>
                <w:color w:val="000000"/>
              </w:rPr>
              <w:t xml:space="preserve"> Hauora</w:t>
            </w:r>
            <w:r>
              <w:rPr>
                <w:color w:val="000000"/>
              </w:rPr>
              <w:t xml:space="preserve"> is working on an ABC alcohol module with improved pregnancy related content for GPs.</w:t>
            </w:r>
          </w:p>
          <w:p w14:paraId="03F1B175" w14:textId="77777777" w:rsidR="000A39F7" w:rsidRDefault="000A39F7" w:rsidP="000A39F7">
            <w:pPr>
              <w:pStyle w:val="TableBullet"/>
              <w:rPr>
                <w:color w:val="000000"/>
              </w:rPr>
            </w:pPr>
            <w:proofErr w:type="spellStart"/>
            <w:r w:rsidRPr="00BC7828">
              <w:rPr>
                <w:color w:val="000000"/>
              </w:rPr>
              <w:t>Te</w:t>
            </w:r>
            <w:proofErr w:type="spellEnd"/>
            <w:r w:rsidRPr="00BC7828">
              <w:rPr>
                <w:color w:val="000000"/>
              </w:rPr>
              <w:t xml:space="preserve"> </w:t>
            </w:r>
            <w:proofErr w:type="spellStart"/>
            <w:r w:rsidRPr="00BC7828">
              <w:rPr>
                <w:color w:val="000000"/>
              </w:rPr>
              <w:t>Hiringa</w:t>
            </w:r>
            <w:proofErr w:type="spellEnd"/>
            <w:r w:rsidRPr="00BC7828">
              <w:rPr>
                <w:color w:val="000000"/>
              </w:rPr>
              <w:t xml:space="preserve"> Hauora has partnered with New Zealand College of Midwives (NZCOM) to develop an online learnin</w:t>
            </w:r>
            <w:r>
              <w:rPr>
                <w:color w:val="000000"/>
              </w:rPr>
              <w:t>g module specific for midwives.</w:t>
            </w:r>
          </w:p>
          <w:p w14:paraId="6A317CB0" w14:textId="00E75A94" w:rsidR="000A39F7" w:rsidRPr="000A39F7" w:rsidRDefault="000A39F7" w:rsidP="000A39F7">
            <w:pPr>
              <w:pStyle w:val="TableBullet"/>
            </w:pPr>
            <w:proofErr w:type="spellStart"/>
            <w:r w:rsidRPr="00012C50">
              <w:rPr>
                <w:color w:val="000000"/>
              </w:rPr>
              <w:t>Te</w:t>
            </w:r>
            <w:proofErr w:type="spellEnd"/>
            <w:r w:rsidRPr="00012C50">
              <w:rPr>
                <w:color w:val="000000"/>
              </w:rPr>
              <w:t xml:space="preserve"> </w:t>
            </w:r>
            <w:proofErr w:type="spellStart"/>
            <w:r w:rsidRPr="00012C50">
              <w:rPr>
                <w:color w:val="000000"/>
              </w:rPr>
              <w:t>Hiringa</w:t>
            </w:r>
            <w:proofErr w:type="spellEnd"/>
            <w:r w:rsidRPr="00012C50">
              <w:rPr>
                <w:color w:val="000000"/>
              </w:rPr>
              <w:t xml:space="preserve"> Hauora partnered with the University of Auckland's Healthy Start Workforce Team, to create a new e-training on alcohol and tobacco exposure during early </w:t>
            </w:r>
            <w:proofErr w:type="gramStart"/>
            <w:r w:rsidRPr="00012C50">
              <w:rPr>
                <w:color w:val="000000"/>
              </w:rPr>
              <w:t>life:</w:t>
            </w:r>
            <w:proofErr w:type="gramEnd"/>
            <w:r w:rsidRPr="00012C50">
              <w:rPr>
                <w:color w:val="000000"/>
              </w:rPr>
              <w:t xml:space="preserve"> impacts on </w:t>
            </w:r>
            <w:proofErr w:type="spellStart"/>
            <w:r w:rsidRPr="00012C50">
              <w:rPr>
                <w:color w:val="000000"/>
              </w:rPr>
              <w:t>fetus</w:t>
            </w:r>
            <w:proofErr w:type="spellEnd"/>
            <w:r w:rsidRPr="00012C50">
              <w:rPr>
                <w:color w:val="000000"/>
              </w:rPr>
              <w:t xml:space="preserve"> and child.</w:t>
            </w:r>
            <w:r>
              <w:rPr>
                <w:color w:val="000000"/>
              </w:rPr>
              <w:t xml:space="preserve"> </w:t>
            </w:r>
            <w:r w:rsidRPr="00012C50">
              <w:rPr>
                <w:color w:val="000000"/>
              </w:rPr>
              <w:t>This course is free to New Zealand health practitioners</w:t>
            </w:r>
            <w:r>
              <w:rPr>
                <w:color w:val="000000"/>
              </w:rPr>
              <w:t xml:space="preserve"> </w:t>
            </w:r>
            <w:r w:rsidRPr="00012C50">
              <w:rPr>
                <w:color w:val="000000"/>
              </w:rPr>
              <w:t>and takes around 30 minutes to complete.</w:t>
            </w:r>
            <w:r>
              <w:rPr>
                <w:color w:val="000000"/>
              </w:rPr>
              <w:t xml:space="preserve"> </w:t>
            </w:r>
            <w:r w:rsidRPr="00012C50">
              <w:rPr>
                <w:color w:val="000000"/>
              </w:rPr>
              <w:t>The module explores why and how exposure to alcohol and/or tobacco during pregnancy and early childhood (first 1000 days), affects immediate and lifelong health outcomes for the child (</w:t>
            </w:r>
            <w:hyperlink r:id="rId20" w:history="1">
              <w:r w:rsidRPr="00012C50">
                <w:rPr>
                  <w:rStyle w:val="Hyperlink"/>
                  <w:rFonts w:cstheme="minorHAnsi"/>
                </w:rPr>
                <w:t>https://www.healthystartprofessional.org.nz/en/our-education-programmes/healthystarteducation1.html</w:t>
              </w:r>
            </w:hyperlink>
            <w:r w:rsidRPr="00012C50">
              <w:rPr>
                <w:rStyle w:val="Hyperlink"/>
                <w:rFonts w:cstheme="minorHAnsi"/>
              </w:rPr>
              <w:t>)</w:t>
            </w:r>
            <w:r w:rsidRPr="000A39F7">
              <w:t>.</w:t>
            </w:r>
          </w:p>
          <w:p w14:paraId="11AB4D1E" w14:textId="62EE931A" w:rsidR="000A39F7" w:rsidRPr="000A39F7" w:rsidRDefault="000A39F7" w:rsidP="000A39F7">
            <w:pPr>
              <w:pStyle w:val="TableBullet"/>
            </w:pPr>
            <w:r w:rsidRPr="00123F6B">
              <w:rPr>
                <w:color w:val="000000"/>
              </w:rPr>
              <w:t>Work</w:t>
            </w:r>
            <w:r>
              <w:rPr>
                <w:color w:val="000000"/>
              </w:rPr>
              <w:t xml:space="preserve"> has also been done to increase the uptake into practice of tools that embed alcohol screening early in all pregnancies. </w:t>
            </w:r>
            <w:r w:rsidRPr="00225AE0">
              <w:rPr>
                <w:color w:val="000000"/>
              </w:rPr>
              <w:t xml:space="preserve">Increasing and improving alcohol screening and support for pregnant women in primary care is a key priority in reducing FASD. The National Hauora Coalition launched the Best Start </w:t>
            </w:r>
            <w:proofErr w:type="spellStart"/>
            <w:r w:rsidRPr="00225AE0">
              <w:rPr>
                <w:color w:val="000000"/>
              </w:rPr>
              <w:t>Kōwae</w:t>
            </w:r>
            <w:proofErr w:type="spellEnd"/>
            <w:r w:rsidRPr="00225AE0">
              <w:rPr>
                <w:color w:val="000000"/>
              </w:rPr>
              <w:t xml:space="preserve"> suite of innovative assessment tools for use by Primary and Maternity Care Providers, designed to improve quality care throughout the pregnancy journey. Gen2040</w:t>
            </w:r>
            <w:r>
              <w:rPr>
                <w:color w:val="000000"/>
              </w:rPr>
              <w:t xml:space="preserve"> </w:t>
            </w:r>
            <w:r w:rsidRPr="00225AE0">
              <w:rPr>
                <w:color w:val="000000"/>
              </w:rPr>
              <w:t xml:space="preserve">is leading the national rollout of the tools that will see significant improvements across health services, ensuring all </w:t>
            </w:r>
            <w:proofErr w:type="spellStart"/>
            <w:r w:rsidRPr="00225AE0">
              <w:rPr>
                <w:color w:val="000000"/>
              </w:rPr>
              <w:t>pēpī</w:t>
            </w:r>
            <w:proofErr w:type="spellEnd"/>
            <w:r w:rsidRPr="00225AE0">
              <w:rPr>
                <w:color w:val="000000"/>
              </w:rPr>
              <w:t xml:space="preserve">, especially </w:t>
            </w:r>
            <w:proofErr w:type="spellStart"/>
            <w:r w:rsidRPr="00225AE0">
              <w:rPr>
                <w:color w:val="000000"/>
              </w:rPr>
              <w:t>pēpī</w:t>
            </w:r>
            <w:proofErr w:type="spellEnd"/>
            <w:r w:rsidRPr="00225AE0">
              <w:rPr>
                <w:color w:val="000000"/>
              </w:rPr>
              <w:t xml:space="preserve"> Māori, are given the best start in life.</w:t>
            </w:r>
            <w:r>
              <w:rPr>
                <w:color w:val="000000"/>
              </w:rPr>
              <w:t xml:space="preserve"> </w:t>
            </w:r>
            <w:r w:rsidRPr="00225AE0">
              <w:rPr>
                <w:color w:val="000000"/>
              </w:rPr>
              <w:t xml:space="preserve">Best Start </w:t>
            </w:r>
            <w:proofErr w:type="spellStart"/>
            <w:r w:rsidRPr="00225AE0">
              <w:rPr>
                <w:color w:val="000000"/>
              </w:rPr>
              <w:t>Kōwae</w:t>
            </w:r>
            <w:proofErr w:type="spellEnd"/>
            <w:r>
              <w:rPr>
                <w:color w:val="000000"/>
              </w:rPr>
              <w:t xml:space="preserve"> </w:t>
            </w:r>
            <w:r w:rsidRPr="00225AE0">
              <w:rPr>
                <w:color w:val="000000"/>
              </w:rPr>
              <w:t>will be freely available for use by primary care providers and lead maternity carers across Aotearoa.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BA2CA5" w14:textId="499E0A82" w:rsidR="000A39F7" w:rsidRPr="0032370C" w:rsidRDefault="000A39F7" w:rsidP="007300CC">
            <w:pPr>
              <w:pStyle w:val="TableText"/>
            </w:pPr>
            <w:r>
              <w:t>Complete and ongoing</w:t>
            </w:r>
          </w:p>
        </w:tc>
      </w:tr>
      <w:tr w:rsidR="000A39F7" w14:paraId="40D8CAAF"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1074FE" w14:textId="379C680E" w:rsidR="000A39F7" w:rsidRDefault="000A39F7" w:rsidP="007300CC">
            <w:pPr>
              <w:pStyle w:val="TableText"/>
            </w:pPr>
            <w:r>
              <w:lastRenderedPageBreak/>
              <w:t>10.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3A10867E" w14:textId="77777777" w:rsidR="000A39F7" w:rsidRDefault="000A39F7" w:rsidP="000A39F7">
            <w:pPr>
              <w:pStyle w:val="Heading4"/>
              <w:outlineLvl w:val="3"/>
            </w:pPr>
            <w:r w:rsidRPr="0071391B">
              <w:t>Develop and promote an e-learning module that covers alcohol and pregnancy risks and the basics of FASD, which can be tailored for different professions and attract professional development credits</w:t>
            </w:r>
          </w:p>
          <w:p w14:paraId="36F5D1EA" w14:textId="77777777" w:rsidR="000A39F7" w:rsidRPr="0071391B" w:rsidRDefault="000A39F7" w:rsidP="000A39F7">
            <w:pPr>
              <w:pStyle w:val="TableBullet"/>
            </w:pPr>
            <w:r w:rsidRPr="0071391B">
              <w:t>See activity 9 above.</w:t>
            </w:r>
          </w:p>
          <w:p w14:paraId="0F82C20C" w14:textId="77777777" w:rsidR="000A39F7" w:rsidRPr="0071391B" w:rsidRDefault="000A39F7" w:rsidP="000A39F7">
            <w:pPr>
              <w:pStyle w:val="TableBullet"/>
              <w:rPr>
                <w:rFonts w:cstheme="minorHAnsi"/>
              </w:rPr>
            </w:pPr>
            <w:r w:rsidRPr="0071391B">
              <w:rPr>
                <w:rFonts w:cstheme="minorHAnsi"/>
              </w:rPr>
              <w:t xml:space="preserve">Training and guidance resources have been developed to enable a range of professionals, such as teachers, social </w:t>
            </w:r>
            <w:proofErr w:type="gramStart"/>
            <w:r w:rsidRPr="0071391B">
              <w:rPr>
                <w:rFonts w:cstheme="minorHAnsi"/>
              </w:rPr>
              <w:t>workers</w:t>
            </w:r>
            <w:proofErr w:type="gramEnd"/>
            <w:r w:rsidRPr="0071391B">
              <w:rPr>
                <w:rFonts w:cstheme="minorHAnsi"/>
              </w:rPr>
              <w:t xml:space="preserve"> and health professionals, to better support those with FASD and their families and caregivers. These resources and online training are available through the Ministry of Education’s (</w:t>
            </w:r>
            <w:proofErr w:type="spellStart"/>
            <w:r w:rsidRPr="0071391B">
              <w:rPr>
                <w:rFonts w:cstheme="minorHAnsi"/>
              </w:rPr>
              <w:t>MoE</w:t>
            </w:r>
            <w:proofErr w:type="spellEnd"/>
            <w:r w:rsidRPr="0071391B">
              <w:rPr>
                <w:rFonts w:cstheme="minorHAnsi"/>
              </w:rPr>
              <w:t xml:space="preserve">) </w:t>
            </w:r>
            <w:hyperlink r:id="rId21" w:history="1">
              <w:r w:rsidRPr="0071391B">
                <w:rPr>
                  <w:rStyle w:val="Hyperlink"/>
                  <w:rFonts w:cstheme="minorHAnsi"/>
                  <w:color w:val="auto"/>
                </w:rPr>
                <w:t>TKI website</w:t>
              </w:r>
            </w:hyperlink>
            <w:r w:rsidRPr="0071391B">
              <w:rPr>
                <w:rFonts w:cstheme="minorHAnsi"/>
              </w:rPr>
              <w:t xml:space="preserve">, </w:t>
            </w:r>
            <w:proofErr w:type="spellStart"/>
            <w:r w:rsidRPr="0071391B">
              <w:rPr>
                <w:rFonts w:cstheme="minorHAnsi"/>
              </w:rPr>
              <w:t>Oranga</w:t>
            </w:r>
            <w:proofErr w:type="spellEnd"/>
            <w:r w:rsidRPr="0071391B">
              <w:rPr>
                <w:rFonts w:cstheme="minorHAnsi"/>
              </w:rPr>
              <w:t xml:space="preserve"> Tamariki </w:t>
            </w:r>
            <w:hyperlink r:id="rId22" w:history="1">
              <w:r w:rsidRPr="0071391B">
                <w:rPr>
                  <w:rStyle w:val="Hyperlink"/>
                  <w:rFonts w:cstheme="minorHAnsi"/>
                  <w:color w:val="auto"/>
                </w:rPr>
                <w:t>Practice Centre website</w:t>
              </w:r>
            </w:hyperlink>
            <w:r w:rsidRPr="0071391B">
              <w:rPr>
                <w:rFonts w:cstheme="minorHAnsi"/>
              </w:rPr>
              <w:t xml:space="preserve"> and </w:t>
            </w:r>
            <w:proofErr w:type="spellStart"/>
            <w:r w:rsidRPr="0071391B">
              <w:rPr>
                <w:rFonts w:cstheme="minorHAnsi"/>
              </w:rPr>
              <w:t>Te</w:t>
            </w:r>
            <w:proofErr w:type="spellEnd"/>
            <w:r w:rsidRPr="0071391B">
              <w:rPr>
                <w:rFonts w:cstheme="minorHAnsi"/>
              </w:rPr>
              <w:t xml:space="preserve"> </w:t>
            </w:r>
            <w:proofErr w:type="spellStart"/>
            <w:r w:rsidRPr="0071391B">
              <w:rPr>
                <w:rFonts w:cstheme="minorHAnsi"/>
              </w:rPr>
              <w:t>Pou’s</w:t>
            </w:r>
            <w:proofErr w:type="spellEnd"/>
            <w:r w:rsidRPr="0071391B">
              <w:rPr>
                <w:rFonts w:cstheme="minorHAnsi"/>
              </w:rPr>
              <w:t xml:space="preserve"> </w:t>
            </w:r>
            <w:hyperlink r:id="rId23" w:history="1">
              <w:r w:rsidRPr="0071391B">
                <w:rPr>
                  <w:rStyle w:val="Hyperlink"/>
                  <w:rFonts w:cstheme="minorHAnsi"/>
                  <w:color w:val="auto"/>
                </w:rPr>
                <w:t>website</w:t>
              </w:r>
            </w:hyperlink>
            <w:r w:rsidRPr="0071391B">
              <w:rPr>
                <w:rStyle w:val="Hyperlink"/>
                <w:rFonts w:cstheme="minorHAnsi"/>
                <w:color w:val="auto"/>
              </w:rPr>
              <w:t xml:space="preserve"> </w:t>
            </w:r>
            <w:r w:rsidRPr="0071391B">
              <w:rPr>
                <w:rFonts w:cstheme="minorHAnsi"/>
              </w:rPr>
              <w:t xml:space="preserve">(a </w:t>
            </w:r>
            <w:proofErr w:type="spellStart"/>
            <w:r w:rsidRPr="0071391B">
              <w:rPr>
                <w:rFonts w:cstheme="minorHAnsi"/>
              </w:rPr>
              <w:t>MoH</w:t>
            </w:r>
            <w:proofErr w:type="spellEnd"/>
            <w:r w:rsidRPr="0071391B">
              <w:rPr>
                <w:rFonts w:cstheme="minorHAnsi"/>
              </w:rPr>
              <w:t xml:space="preserve">-funded workforce </w:t>
            </w:r>
            <w:r>
              <w:rPr>
                <w:rFonts w:cstheme="minorHAnsi"/>
              </w:rPr>
              <w:t>development provider).</w:t>
            </w:r>
          </w:p>
          <w:p w14:paraId="265AF724" w14:textId="77777777" w:rsidR="000A39F7" w:rsidRPr="0071391B" w:rsidRDefault="000A39F7" w:rsidP="000A39F7">
            <w:pPr>
              <w:pStyle w:val="TableText"/>
              <w:ind w:left="284"/>
              <w:rPr>
                <w:rFonts w:cstheme="minorHAnsi"/>
              </w:rPr>
            </w:pPr>
            <w:r w:rsidRPr="0071391B">
              <w:t>Next steps: Ongoing promotion of the training and guidance resources, including incorporation in professional training curriculums and mandatory professional development and</w:t>
            </w:r>
            <w:r>
              <w:t xml:space="preserve"> performance review frameworks.</w:t>
            </w:r>
          </w:p>
          <w:p w14:paraId="236501C0" w14:textId="6ABEE86C" w:rsidR="000A39F7" w:rsidRPr="000A39F7" w:rsidRDefault="000A39F7" w:rsidP="000A39F7">
            <w:pPr>
              <w:pStyle w:val="TableBullet"/>
            </w:pPr>
            <w:proofErr w:type="spellStart"/>
            <w:r w:rsidRPr="0071391B">
              <w:t>MoH</w:t>
            </w:r>
            <w:proofErr w:type="spellEnd"/>
            <w:r w:rsidRPr="0071391B">
              <w:t xml:space="preserve"> has extended support to </w:t>
            </w:r>
            <w:proofErr w:type="spellStart"/>
            <w:r w:rsidRPr="0071391B">
              <w:t>Te</w:t>
            </w:r>
            <w:proofErr w:type="spellEnd"/>
            <w:r w:rsidRPr="0071391B">
              <w:t xml:space="preserve"> </w:t>
            </w:r>
            <w:proofErr w:type="spellStart"/>
            <w:r w:rsidRPr="0071391B">
              <w:t>Pou</w:t>
            </w:r>
            <w:proofErr w:type="spellEnd"/>
            <w:r w:rsidRPr="0071391B">
              <w:t xml:space="preserve"> to deliver its introductory FASD e-learning course for frontline professionals. The course</w:t>
            </w:r>
            <w:r>
              <w:t xml:space="preserve"> </w:t>
            </w:r>
            <w:r w:rsidRPr="0071391B">
              <w:t>aims to upskill people to better recognise and respond compassionately to people with FASD. Activities in this area will also include updating the introductory course</w:t>
            </w:r>
            <w:r>
              <w:t xml:space="preserve"> </w:t>
            </w:r>
            <w:r w:rsidRPr="0071391B">
              <w:t xml:space="preserve">based on evaluation feedback and </w:t>
            </w:r>
            <w:proofErr w:type="gramStart"/>
            <w:r w:rsidRPr="0071391B">
              <w:t>consultation, and</w:t>
            </w:r>
            <w:proofErr w:type="gramEnd"/>
            <w:r w:rsidRPr="0071391B">
              <w:t xml:space="preserve"> exploring the use of a ‘train the trainer’ model for</w:t>
            </w:r>
            <w:r>
              <w:t xml:space="preserve"> </w:t>
            </w:r>
            <w:r w:rsidRPr="0071391B">
              <w:t>its workshops and developing and delivering a ‘train the trainer’ model, if feasible.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00F58B" w14:textId="417F99D7" w:rsidR="000A39F7" w:rsidRPr="0032370C" w:rsidRDefault="000A39F7" w:rsidP="007300CC">
            <w:pPr>
              <w:pStyle w:val="TableText"/>
            </w:pPr>
            <w:r>
              <w:t>Complete and ongoing</w:t>
            </w:r>
          </w:p>
        </w:tc>
      </w:tr>
      <w:tr w:rsidR="000A39F7" w14:paraId="397AD078"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1E6D2FD" w14:textId="708B65C4" w:rsidR="000A39F7" w:rsidRDefault="000A39F7" w:rsidP="000A39F7">
            <w:pPr>
              <w:pStyle w:val="TableText"/>
            </w:pPr>
            <w:r>
              <w:lastRenderedPageBreak/>
              <w:t>10. (</w:t>
            </w:r>
            <w:proofErr w:type="spellStart"/>
            <w:r>
              <w:t>cont</w:t>
            </w:r>
            <w:proofErr w:type="spellEnd"/>
            <w:r>
              <w:t>)</w:t>
            </w:r>
          </w:p>
        </w:tc>
        <w:tc>
          <w:tcPr>
            <w:tcW w:w="11907" w:type="dxa"/>
            <w:tcBorders>
              <w:top w:val="single" w:sz="4" w:space="0" w:color="auto"/>
              <w:left w:val="single" w:sz="4" w:space="0" w:color="auto"/>
              <w:bottom w:val="single" w:sz="4" w:space="0" w:color="auto"/>
              <w:right w:val="single" w:sz="4" w:space="0" w:color="auto"/>
            </w:tcBorders>
            <w:shd w:val="clear" w:color="auto" w:fill="auto"/>
          </w:tcPr>
          <w:p w14:paraId="40F16164" w14:textId="38E773C4" w:rsidR="000A39F7" w:rsidRPr="0071391B" w:rsidRDefault="000A39F7" w:rsidP="000A39F7">
            <w:pPr>
              <w:pStyle w:val="TableText"/>
              <w:rPr>
                <w:b/>
                <w:bCs/>
              </w:rPr>
            </w:pPr>
            <w:r w:rsidRPr="0071391B">
              <w:rPr>
                <w:b/>
                <w:bCs/>
              </w:rPr>
              <w:t>Flexible Supports for Neurodiversity</w:t>
            </w:r>
          </w:p>
          <w:p w14:paraId="073201DD" w14:textId="44C39D60" w:rsidR="000A39F7" w:rsidRPr="0071391B" w:rsidRDefault="000A39F7" w:rsidP="000A39F7">
            <w:pPr>
              <w:pStyle w:val="TableText"/>
              <w:rPr>
                <w:rFonts w:cstheme="minorHAnsi"/>
              </w:rPr>
            </w:pPr>
            <w:proofErr w:type="spellStart"/>
            <w:r w:rsidRPr="0071391B">
              <w:rPr>
                <w:rFonts w:ascii="Calibri" w:hAnsi="Calibri" w:cs="Calibri"/>
                <w:lang w:val="en-US"/>
              </w:rPr>
              <w:t>MoE</w:t>
            </w:r>
            <w:proofErr w:type="spellEnd"/>
            <w:r w:rsidRPr="0071391B">
              <w:rPr>
                <w:rFonts w:ascii="Calibri" w:hAnsi="Calibri" w:cs="Calibri"/>
                <w:lang w:val="en-US"/>
              </w:rPr>
              <w:t xml:space="preserve"> has resources available to schools that support teachers to plan for neurodiversity in learning. Many of these are accessed through </w:t>
            </w:r>
            <w:proofErr w:type="spellStart"/>
            <w:r w:rsidRPr="0071391B">
              <w:rPr>
                <w:rFonts w:ascii="Calibri" w:hAnsi="Calibri" w:cs="Calibri"/>
                <w:lang w:val="en-US"/>
              </w:rPr>
              <w:t>MoE’s</w:t>
            </w:r>
            <w:proofErr w:type="spellEnd"/>
            <w:r w:rsidRPr="0071391B">
              <w:rPr>
                <w:rFonts w:ascii="Calibri" w:hAnsi="Calibri" w:cs="Calibri"/>
                <w:lang w:val="en-US"/>
              </w:rPr>
              <w:t xml:space="preserve"> </w:t>
            </w:r>
            <w:hyperlink r:id="rId24" w:tgtFrame="_blank" w:history="1">
              <w:r w:rsidRPr="0071391B">
                <w:rPr>
                  <w:rFonts w:ascii="Calibri" w:hAnsi="Calibri" w:cs="Calibri"/>
                  <w:u w:val="single"/>
                  <w:lang w:val="en-US"/>
                </w:rPr>
                <w:t>Inclusive Education website</w:t>
              </w:r>
            </w:hyperlink>
            <w:r w:rsidRPr="0071391B">
              <w:rPr>
                <w:rFonts w:ascii="Calibri" w:hAnsi="Calibri" w:cs="Calibri"/>
                <w:lang w:val="en-US"/>
              </w:rPr>
              <w:t>.</w:t>
            </w:r>
            <w:r>
              <w:rPr>
                <w:rFonts w:ascii="Calibri" w:hAnsi="Calibri" w:cs="Calibri"/>
                <w:lang w:val="en-US"/>
              </w:rPr>
              <w:t xml:space="preserve"> </w:t>
            </w:r>
            <w:r w:rsidRPr="0071391B">
              <w:rPr>
                <w:rFonts w:ascii="Calibri" w:hAnsi="Calibri" w:cs="Calibri"/>
                <w:lang w:val="en-US"/>
              </w:rPr>
              <w:t xml:space="preserve">In particular </w:t>
            </w:r>
            <w:proofErr w:type="spellStart"/>
            <w:r w:rsidRPr="0071391B">
              <w:rPr>
                <w:rFonts w:ascii="Calibri" w:hAnsi="Calibri" w:cs="Calibri"/>
                <w:lang w:val="en-US"/>
              </w:rPr>
              <w:t>MoE</w:t>
            </w:r>
            <w:proofErr w:type="spellEnd"/>
            <w:r w:rsidRPr="0071391B">
              <w:rPr>
                <w:rFonts w:ascii="Calibri" w:hAnsi="Calibri" w:cs="Calibri"/>
                <w:lang w:val="en-US"/>
              </w:rPr>
              <w:t xml:space="preserve"> has an</w:t>
            </w:r>
            <w:r>
              <w:rPr>
                <w:rFonts w:ascii="Calibri" w:hAnsi="Calibri" w:cs="Calibri"/>
                <w:lang w:val="en-US"/>
              </w:rPr>
              <w:t xml:space="preserve"> </w:t>
            </w:r>
            <w:hyperlink r:id="rId25" w:tgtFrame="_blank" w:history="1">
              <w:r w:rsidRPr="0071391B">
                <w:rPr>
                  <w:rFonts w:ascii="Calibri" w:hAnsi="Calibri" w:cs="Calibri"/>
                  <w:u w:val="single"/>
                  <w:lang w:val="en-US"/>
                </w:rPr>
                <w:t>FASD learning</w:t>
              </w:r>
            </w:hyperlink>
            <w:r>
              <w:rPr>
                <w:rFonts w:ascii="Calibri" w:hAnsi="Calibri" w:cs="Calibri"/>
                <w:lang w:val="en-US"/>
              </w:rPr>
              <w:t xml:space="preserve"> g</w:t>
            </w:r>
            <w:r w:rsidRPr="0071391B">
              <w:rPr>
                <w:rFonts w:ascii="Calibri" w:hAnsi="Calibri" w:cs="Calibri"/>
                <w:lang w:val="en-US"/>
              </w:rPr>
              <w:t xml:space="preserve">uide for teachers to design support for the learning and wellbeing of students with FASD. In addition, </w:t>
            </w:r>
            <w:proofErr w:type="spellStart"/>
            <w:r w:rsidRPr="0071391B">
              <w:rPr>
                <w:rFonts w:ascii="Calibri" w:hAnsi="Calibri" w:cs="Calibri"/>
                <w:lang w:val="en-US"/>
              </w:rPr>
              <w:t>MoE</w:t>
            </w:r>
            <w:proofErr w:type="spellEnd"/>
            <w:r w:rsidRPr="0071391B">
              <w:rPr>
                <w:rFonts w:ascii="Calibri" w:hAnsi="Calibri" w:cs="Calibri"/>
                <w:lang w:val="en-US"/>
              </w:rPr>
              <w:t xml:space="preserve"> is currently developing further resources for teachers and</w:t>
            </w:r>
            <w:r>
              <w:rPr>
                <w:rFonts w:ascii="Calibri" w:hAnsi="Calibri" w:cs="Calibri"/>
                <w:lang w:val="en-US"/>
              </w:rPr>
              <w:t xml:space="preserve"> </w:t>
            </w:r>
            <w:proofErr w:type="spellStart"/>
            <w:r w:rsidRPr="0071391B">
              <w:rPr>
                <w:rFonts w:ascii="Calibri" w:hAnsi="Calibri" w:cs="Calibri"/>
                <w:lang w:val="en-US"/>
              </w:rPr>
              <w:t>whānau</w:t>
            </w:r>
            <w:proofErr w:type="spellEnd"/>
            <w:r>
              <w:rPr>
                <w:rFonts w:ascii="Calibri" w:hAnsi="Calibri" w:cs="Calibri"/>
                <w:lang w:val="en-US"/>
              </w:rPr>
              <w:t xml:space="preserve"> </w:t>
            </w:r>
            <w:r w:rsidRPr="0071391B">
              <w:rPr>
                <w:rFonts w:ascii="Calibri" w:hAnsi="Calibri" w:cs="Calibri"/>
                <w:lang w:val="en-US"/>
              </w:rPr>
              <w:t>including modules on designing for learner variability and creating inclusive learning environments.</w:t>
            </w:r>
            <w:r>
              <w:rPr>
                <w:rFonts w:cstheme="minorHAnsi"/>
              </w:rPr>
              <w:t xml:space="preserve"> </w:t>
            </w:r>
            <w:proofErr w:type="spellStart"/>
            <w:r>
              <w:rPr>
                <w:rFonts w:cstheme="minorHAnsi"/>
              </w:rPr>
              <w:t>M</w:t>
            </w:r>
            <w:r w:rsidRPr="0071391B">
              <w:rPr>
                <w:rFonts w:cstheme="minorHAnsi"/>
              </w:rPr>
              <w:t>oE</w:t>
            </w:r>
            <w:proofErr w:type="spellEnd"/>
            <w:r w:rsidRPr="0071391B">
              <w:rPr>
                <w:rFonts w:cstheme="minorHAnsi"/>
              </w:rPr>
              <w:t xml:space="preserve"> is developing a series of professional learning and development modules for </w:t>
            </w:r>
            <w:proofErr w:type="spellStart"/>
            <w:r w:rsidRPr="0071391B">
              <w:rPr>
                <w:rFonts w:cstheme="minorHAnsi"/>
              </w:rPr>
              <w:t>kaiako</w:t>
            </w:r>
            <w:proofErr w:type="spellEnd"/>
            <w:r w:rsidRPr="0071391B">
              <w:rPr>
                <w:rFonts w:cstheme="minorHAnsi"/>
              </w:rPr>
              <w:t xml:space="preserve">, </w:t>
            </w:r>
            <w:proofErr w:type="spellStart"/>
            <w:r w:rsidRPr="0071391B">
              <w:rPr>
                <w:rFonts w:cstheme="minorHAnsi"/>
              </w:rPr>
              <w:t>whānau</w:t>
            </w:r>
            <w:proofErr w:type="spellEnd"/>
            <w:r w:rsidRPr="0071391B">
              <w:rPr>
                <w:rFonts w:cstheme="minorHAnsi"/>
              </w:rPr>
              <w:t>, resource teachers and Ministry specialists. The focus of the modules is to grow understanding of neurodiversity and to provide guidance on designing inclusive learning environments. The intention is for modules to be used as professional learning and development sessions facilitated by the existing workforce, such as LSCs and RTLBs.</w:t>
            </w:r>
          </w:p>
          <w:p w14:paraId="6FB5D499" w14:textId="77777777" w:rsidR="000A39F7" w:rsidRPr="00E63DB7" w:rsidRDefault="000A39F7" w:rsidP="000A39F7">
            <w:pPr>
              <w:pStyle w:val="TableText"/>
              <w:rPr>
                <w:rFonts w:ascii="Calibri" w:hAnsi="Calibri" w:cs="Calibri"/>
                <w:spacing w:val="-2"/>
              </w:rPr>
            </w:pPr>
            <w:r w:rsidRPr="00E63DB7">
              <w:rPr>
                <w:rFonts w:ascii="Calibri" w:hAnsi="Calibri" w:cs="Calibri"/>
                <w:spacing w:val="-2"/>
              </w:rPr>
              <w:t xml:space="preserve">In New Zealand, learning supports provided by </w:t>
            </w:r>
            <w:proofErr w:type="spellStart"/>
            <w:r w:rsidRPr="00E63DB7">
              <w:rPr>
                <w:rFonts w:ascii="Calibri" w:hAnsi="Calibri" w:cs="Calibri"/>
                <w:spacing w:val="-2"/>
              </w:rPr>
              <w:t>MoE</w:t>
            </w:r>
            <w:proofErr w:type="spellEnd"/>
            <w:r w:rsidRPr="00E63DB7">
              <w:rPr>
                <w:rFonts w:ascii="Calibri" w:hAnsi="Calibri" w:cs="Calibri"/>
                <w:spacing w:val="-2"/>
              </w:rPr>
              <w:t xml:space="preserve"> specialists and specialist resource teachers are designed to respond to a range of needs. Learning supports can include responding to physical, behavioural, communication, learning and/or wellbeing needs. </w:t>
            </w:r>
            <w:proofErr w:type="spellStart"/>
            <w:r w:rsidRPr="00E63DB7">
              <w:rPr>
                <w:rFonts w:ascii="Calibri" w:hAnsi="Calibri" w:cs="Calibri"/>
                <w:spacing w:val="-2"/>
              </w:rPr>
              <w:t>MoE</w:t>
            </w:r>
            <w:proofErr w:type="spellEnd"/>
            <w:r w:rsidRPr="00E63DB7">
              <w:rPr>
                <w:rFonts w:ascii="Calibri" w:hAnsi="Calibri" w:cs="Calibri"/>
                <w:spacing w:val="-2"/>
              </w:rPr>
              <w:t xml:space="preserve"> services can be offered to children and young people with learning support needs, including needs associated with FASD. Provision for learning support needs is not based on diagnosis but on individual needs, due to the need for flexible, tailored supports.</w:t>
            </w:r>
          </w:p>
          <w:p w14:paraId="3CD9B874" w14:textId="77777777" w:rsidR="000A39F7" w:rsidRPr="00E63DB7" w:rsidRDefault="000A39F7" w:rsidP="000A39F7">
            <w:pPr>
              <w:pStyle w:val="TableText"/>
              <w:rPr>
                <w:rFonts w:ascii="Calibri" w:hAnsi="Calibri" w:cs="Calibri"/>
                <w:spacing w:val="-4"/>
              </w:rPr>
            </w:pPr>
            <w:r w:rsidRPr="00E63DB7">
              <w:rPr>
                <w:rFonts w:ascii="Calibri" w:hAnsi="Calibri" w:cs="Calibri"/>
                <w:spacing w:val="-4"/>
              </w:rPr>
              <w:t xml:space="preserve">Flexible supports include tools and resources that can be easily adapted for the diverse needs of </w:t>
            </w:r>
            <w:proofErr w:type="spellStart"/>
            <w:r w:rsidRPr="00E63DB7">
              <w:rPr>
                <w:rFonts w:ascii="Calibri" w:hAnsi="Calibri" w:cs="Calibri"/>
                <w:spacing w:val="-4"/>
              </w:rPr>
              <w:t>ākonga</w:t>
            </w:r>
            <w:proofErr w:type="spellEnd"/>
            <w:r w:rsidRPr="00E63DB7">
              <w:rPr>
                <w:rFonts w:ascii="Calibri" w:hAnsi="Calibri" w:cs="Calibri"/>
                <w:spacing w:val="-4"/>
              </w:rPr>
              <w:t xml:space="preserve">. Examples include supporting </w:t>
            </w:r>
            <w:proofErr w:type="spellStart"/>
            <w:r w:rsidRPr="00E63DB7">
              <w:rPr>
                <w:rFonts w:ascii="Calibri" w:hAnsi="Calibri" w:cs="Calibri"/>
                <w:spacing w:val="-4"/>
              </w:rPr>
              <w:t>kaiako</w:t>
            </w:r>
            <w:proofErr w:type="spellEnd"/>
            <w:r w:rsidRPr="00E63DB7">
              <w:rPr>
                <w:rFonts w:ascii="Calibri" w:hAnsi="Calibri" w:cs="Calibri"/>
                <w:spacing w:val="-4"/>
              </w:rPr>
              <w:t xml:space="preserve"> to implement inclusive design practices in services and schools, using assistive technologies and classroom design modifications.</w:t>
            </w:r>
          </w:p>
          <w:p w14:paraId="0786030D" w14:textId="77777777" w:rsidR="000A39F7" w:rsidRPr="00E63DB7" w:rsidRDefault="000A39F7" w:rsidP="000A39F7">
            <w:pPr>
              <w:pStyle w:val="TableText"/>
              <w:rPr>
                <w:rFonts w:ascii="Calibri" w:hAnsi="Calibri" w:cs="Calibri"/>
                <w:spacing w:val="-2"/>
              </w:rPr>
            </w:pPr>
            <w:r w:rsidRPr="00E63DB7">
              <w:rPr>
                <w:rFonts w:ascii="Calibri" w:hAnsi="Calibri" w:cs="Calibri"/>
                <w:spacing w:val="-2"/>
              </w:rPr>
              <w:t xml:space="preserve">Other examples of flexible supports and programmes are teaching and practising social and emotional skills, using visual supports in the classroom, and delivering evidence-based parenting programmes. Building the skills of adults around neurodiverse </w:t>
            </w:r>
            <w:proofErr w:type="spellStart"/>
            <w:r w:rsidRPr="00E63DB7">
              <w:rPr>
                <w:rFonts w:ascii="Calibri" w:hAnsi="Calibri" w:cs="Calibri"/>
                <w:spacing w:val="-2"/>
              </w:rPr>
              <w:t>ākonga</w:t>
            </w:r>
            <w:proofErr w:type="spellEnd"/>
            <w:r w:rsidRPr="00E63DB7">
              <w:rPr>
                <w:rFonts w:ascii="Calibri" w:hAnsi="Calibri" w:cs="Calibri"/>
                <w:spacing w:val="-2"/>
              </w:rPr>
              <w:t xml:space="preserve"> through professional development for teacher aides, education support workers and </w:t>
            </w:r>
            <w:proofErr w:type="spellStart"/>
            <w:r w:rsidRPr="00E63DB7">
              <w:rPr>
                <w:rFonts w:ascii="Calibri" w:hAnsi="Calibri" w:cs="Calibri"/>
                <w:spacing w:val="-2"/>
              </w:rPr>
              <w:t>kaiako</w:t>
            </w:r>
            <w:proofErr w:type="spellEnd"/>
            <w:r w:rsidRPr="00E63DB7">
              <w:rPr>
                <w:rFonts w:ascii="Calibri" w:hAnsi="Calibri" w:cs="Calibri"/>
                <w:spacing w:val="-2"/>
              </w:rPr>
              <w:t xml:space="preserve"> enables them to support </w:t>
            </w:r>
            <w:proofErr w:type="spellStart"/>
            <w:r w:rsidRPr="00E63DB7">
              <w:rPr>
                <w:rFonts w:ascii="Calibri" w:hAnsi="Calibri" w:cs="Calibri"/>
                <w:spacing w:val="-2"/>
              </w:rPr>
              <w:t>ākonga</w:t>
            </w:r>
            <w:proofErr w:type="spellEnd"/>
            <w:r w:rsidRPr="00E63DB7">
              <w:rPr>
                <w:rFonts w:ascii="Calibri" w:hAnsi="Calibri" w:cs="Calibri"/>
                <w:spacing w:val="-2"/>
              </w:rPr>
              <w:t xml:space="preserve"> flexibly.</w:t>
            </w:r>
          </w:p>
          <w:p w14:paraId="3B2FB315" w14:textId="77777777" w:rsidR="000A39F7" w:rsidRPr="0071391B" w:rsidRDefault="000A39F7" w:rsidP="000A39F7">
            <w:pPr>
              <w:pStyle w:val="TableText"/>
            </w:pPr>
            <w:r w:rsidRPr="0071391B">
              <w:t>TKI website:</w:t>
            </w:r>
            <w:r>
              <w:t xml:space="preserve"> </w:t>
            </w:r>
            <w:hyperlink r:id="rId26" w:history="1">
              <w:proofErr w:type="spellStart"/>
              <w:r w:rsidRPr="000A39F7">
                <w:rPr>
                  <w:rStyle w:val="Hyperlink"/>
                </w:rPr>
                <w:t>Fetal</w:t>
              </w:r>
              <w:proofErr w:type="spellEnd"/>
              <w:r w:rsidRPr="000A39F7">
                <w:rPr>
                  <w:rStyle w:val="Hyperlink"/>
                </w:rPr>
                <w:t xml:space="preserve"> alcohol spectrum disorder and learning | Inclusive Education (tki.org.nz)</w:t>
              </w:r>
            </w:hyperlink>
          </w:p>
          <w:p w14:paraId="2FF610A9" w14:textId="77777777" w:rsidR="000A39F7" w:rsidRPr="0071391B" w:rsidRDefault="000A39F7" w:rsidP="000A39F7">
            <w:pPr>
              <w:pStyle w:val="TableText"/>
            </w:pPr>
            <w:r w:rsidRPr="0071391B">
              <w:t xml:space="preserve">This was promoted in September 2021 on the </w:t>
            </w:r>
            <w:proofErr w:type="spellStart"/>
            <w:r w:rsidRPr="0071391B">
              <w:t>MoE</w:t>
            </w:r>
            <w:proofErr w:type="spellEnd"/>
            <w:r w:rsidRPr="0071391B">
              <w:t xml:space="preserve"> social media pages.</w:t>
            </w:r>
          </w:p>
          <w:p w14:paraId="7F391098" w14:textId="0DE9E9AE" w:rsidR="000A39F7" w:rsidRPr="005302FE" w:rsidRDefault="000A39F7" w:rsidP="000A39F7">
            <w:pPr>
              <w:pStyle w:val="TableText"/>
            </w:pPr>
            <w:r w:rsidRPr="0071391B">
              <w:t>Al</w:t>
            </w:r>
            <w:r>
              <w:t xml:space="preserve">ong </w:t>
            </w:r>
            <w:r w:rsidRPr="0071391B">
              <w:t>with the refresh of the NZ Curriculum a consistent content structure and progression model will make it easier for teachers to use. It will be available digitally through the new Online Curriculum Hub with direct links to supporting resources including the FASD resources and the flexible supports for neurodiverse learners.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3E8B82" w14:textId="573DB0E9" w:rsidR="000A39F7" w:rsidRPr="0032370C" w:rsidRDefault="000A39F7" w:rsidP="007300CC">
            <w:pPr>
              <w:pStyle w:val="TableText"/>
            </w:pPr>
          </w:p>
        </w:tc>
      </w:tr>
    </w:tbl>
    <w:p w14:paraId="0AABA995" w14:textId="77777777" w:rsidR="000A39F7" w:rsidRDefault="000A39F7" w:rsidP="000A39F7"/>
    <w:tbl>
      <w:tblPr>
        <w:tblStyle w:val="TableGrid"/>
        <w:tblW w:w="0" w:type="auto"/>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E63DB7" w14:paraId="56306B31" w14:textId="77777777" w:rsidTr="00E63DB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046F58" w14:textId="77777777" w:rsidR="00E63DB7" w:rsidRPr="0096193A" w:rsidRDefault="00E63DB7" w:rsidP="007300CC">
            <w:pPr>
              <w:pStyle w:val="Heading1"/>
              <w:outlineLvl w:val="0"/>
            </w:pPr>
            <w:r w:rsidRPr="0096193A">
              <w:lastRenderedPageBreak/>
              <w:t>Early identification</w:t>
            </w:r>
          </w:p>
        </w:tc>
      </w:tr>
      <w:tr w:rsidR="00C00781" w14:paraId="1A695FC8" w14:textId="77777777" w:rsidTr="00E63DB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CD98BC" w14:textId="5F37FD7B" w:rsidR="00C00781" w:rsidRPr="005620B4" w:rsidRDefault="00C00781" w:rsidP="00E63DB7">
            <w:pPr>
              <w:pStyle w:val="Heading2"/>
              <w:outlineLvl w:val="1"/>
            </w:pPr>
            <w:r w:rsidRPr="005620B4">
              <w:t>Specific action 4: Increase access to equitable and culturally competent sexual and reproductive health care</w:t>
            </w:r>
          </w:p>
        </w:tc>
      </w:tr>
      <w:tr w:rsidR="00AE3413" w14:paraId="721D9A5D" w14:textId="77777777" w:rsidTr="00E63DB7">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736CBCA" w14:textId="6D1524F7" w:rsidR="001C73FA" w:rsidRDefault="001C73FA" w:rsidP="00E63DB7">
            <w:pPr>
              <w:pStyle w:val="Heading3"/>
              <w:outlineLvl w:val="2"/>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4C34C9D7" w14:textId="34F31ABB" w:rsidR="00E16085" w:rsidRPr="00555F6C" w:rsidRDefault="00E16085" w:rsidP="00E63DB7">
            <w:pPr>
              <w:pStyle w:val="Heading3"/>
              <w:outlineLvl w:val="2"/>
              <w:rPr>
                <w:rFonts w:ascii="Arial" w:hAnsi="Arial" w:cs="Arial"/>
                <w:sz w:val="24"/>
                <w:szCs w:val="24"/>
              </w:rPr>
            </w:pPr>
            <w:r w:rsidRPr="00412D56">
              <w:t>Activities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2030258F" w14:textId="13AF8612" w:rsidR="00E16085" w:rsidRDefault="00E16085" w:rsidP="00E63DB7">
            <w:pPr>
              <w:pStyle w:val="Heading3"/>
              <w:outlineLvl w:val="2"/>
            </w:pPr>
            <w:r w:rsidRPr="00412D56">
              <w:t>Status</w:t>
            </w:r>
          </w:p>
        </w:tc>
      </w:tr>
      <w:tr w:rsidR="00E63DB7" w14:paraId="5EA8B736"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4F5501" w14:textId="1A8D2A0B" w:rsidR="00E63DB7" w:rsidRDefault="00E63DB7" w:rsidP="007300CC">
            <w:pPr>
              <w:pStyle w:val="TableText"/>
            </w:pPr>
            <w:r>
              <w:t>11.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3ABAA541" w14:textId="77777777" w:rsidR="00E63DB7" w:rsidRDefault="00E63DB7" w:rsidP="00E63DB7">
            <w:pPr>
              <w:pStyle w:val="Heading4"/>
              <w:outlineLvl w:val="3"/>
            </w:pPr>
            <w:r w:rsidRPr="00555F6C">
              <w:t>Implement the Sexual and Reproductive Health Action Plan for 2016–2026</w:t>
            </w:r>
          </w:p>
          <w:p w14:paraId="097CB500" w14:textId="5114F406" w:rsidR="00E63DB7" w:rsidRPr="00E63DB7" w:rsidRDefault="00E63DB7" w:rsidP="00E63DB7">
            <w:pPr>
              <w:pStyle w:val="TableBullet"/>
            </w:pPr>
            <w:r w:rsidRPr="00543649">
              <w:t xml:space="preserve">In 2016, </w:t>
            </w:r>
            <w:proofErr w:type="spellStart"/>
            <w:r w:rsidRPr="00543649">
              <w:t>MoH</w:t>
            </w:r>
            <w:proofErr w:type="spellEnd"/>
            <w:r w:rsidRPr="00543649">
              <w:t xml:space="preserve"> commenced planning to develop a </w:t>
            </w:r>
            <w:r w:rsidRPr="00543649">
              <w:rPr>
                <w:color w:val="000000"/>
              </w:rPr>
              <w:t>Sexual and Reproductive Health</w:t>
            </w:r>
            <w:r>
              <w:rPr>
                <w:color w:val="000000"/>
              </w:rPr>
              <w:t xml:space="preserve"> Action Plan</w:t>
            </w:r>
            <w:r w:rsidRPr="00543649">
              <w:rPr>
                <w:color w:val="000000"/>
              </w:rPr>
              <w:t xml:space="preserve">. </w:t>
            </w:r>
            <w:r w:rsidRPr="00543649">
              <w:t>By the end of 2018</w:t>
            </w:r>
            <w:r>
              <w:t xml:space="preserve">, the </w:t>
            </w:r>
            <w:r w:rsidRPr="00543649">
              <w:t>decision was made not to progress and instead to continue with the Sexual and Reproductive Work Plan that the Ministry was working 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3865DE" w14:textId="799E15A5" w:rsidR="00E63DB7" w:rsidRPr="00E63DB7" w:rsidRDefault="00E63DB7" w:rsidP="00E63DB7">
            <w:pPr>
              <w:pStyle w:val="TableText"/>
              <w:rPr>
                <w:spacing w:val="-4"/>
              </w:rPr>
            </w:pPr>
            <w:r w:rsidRPr="00E63DB7">
              <w:rPr>
                <w:spacing w:val="-4"/>
              </w:rPr>
              <w:t>Discontinued</w:t>
            </w:r>
          </w:p>
        </w:tc>
      </w:tr>
      <w:tr w:rsidR="00E63DB7" w14:paraId="0EB373FF" w14:textId="77777777" w:rsidTr="00E63DB7">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CAE12C1" w14:textId="723D7418" w:rsidR="00E63DB7" w:rsidRDefault="00E63DB7" w:rsidP="007300CC">
            <w:pPr>
              <w:pStyle w:val="TableText"/>
            </w:pPr>
            <w:r>
              <w:t>12.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3BDB9B0" w14:textId="77777777" w:rsidR="00E63DB7" w:rsidRPr="00C46058" w:rsidRDefault="00E63DB7" w:rsidP="00E63DB7">
            <w:pPr>
              <w:pStyle w:val="Heading4"/>
              <w:outlineLvl w:val="3"/>
            </w:pPr>
            <w:r>
              <w:t>Access to contraception</w:t>
            </w:r>
          </w:p>
          <w:p w14:paraId="5D1245FC" w14:textId="3089772B" w:rsidR="00E63DB7" w:rsidRPr="005302FE" w:rsidRDefault="00E63DB7" w:rsidP="00E63DB7">
            <w:pPr>
              <w:pStyle w:val="TableBullet"/>
            </w:pPr>
            <w:r w:rsidRPr="00C46058">
              <w:t>The</w:t>
            </w:r>
            <w:r>
              <w:t xml:space="preserve"> cross-agency </w:t>
            </w:r>
            <w:r w:rsidRPr="00C46058">
              <w:t xml:space="preserve">FASD </w:t>
            </w:r>
            <w:r>
              <w:t xml:space="preserve">co-ordination </w:t>
            </w:r>
            <w:r w:rsidRPr="00C46058">
              <w:t xml:space="preserve">group worked with the Ministry’s sexual and reproductive health programme to prevent FASD by supporting better access to contraception for women at highest risk of having babies with FASD. The Ministry’s subsequent contraceptive equity initiative provided DHBs with funding for low cost (maximum $5) contraceptive consultations and if they choose – free </w:t>
            </w:r>
            <w:proofErr w:type="gramStart"/>
            <w:r w:rsidRPr="00C46058">
              <w:t>long acting</w:t>
            </w:r>
            <w:proofErr w:type="gramEnd"/>
            <w:r w:rsidRPr="00C46058">
              <w:t xml:space="preserve"> reversible contraception. The Ministry strongly encouraged DHBs to provide access to this programme for women using</w:t>
            </w:r>
            <w:r>
              <w:t xml:space="preserve"> Community Alcohol and Drug Services (</w:t>
            </w:r>
            <w:r w:rsidRPr="00C46058">
              <w:t>CADS</w:t>
            </w:r>
            <w:r>
              <w:t>)</w:t>
            </w:r>
            <w:r w:rsidRPr="00C46058">
              <w:t>, and many DHBs have done this</w:t>
            </w: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13C684" w14:textId="56D8097D" w:rsidR="00E63DB7" w:rsidRPr="0032370C" w:rsidRDefault="00E63DB7" w:rsidP="007300CC">
            <w:pPr>
              <w:pStyle w:val="TableText"/>
            </w:pPr>
            <w:r>
              <w:t>Complete</w:t>
            </w:r>
          </w:p>
        </w:tc>
      </w:tr>
    </w:tbl>
    <w:p w14:paraId="3A9BBE6C" w14:textId="77777777" w:rsidR="00E63DB7" w:rsidRDefault="00E63DB7"/>
    <w:tbl>
      <w:tblPr>
        <w:tblStyle w:val="TableGrid"/>
        <w:tblW w:w="0" w:type="auto"/>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E63DB7" w14:paraId="10F1BEA6" w14:textId="77777777" w:rsidTr="00E63DB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79025" w14:textId="77777777" w:rsidR="00E63DB7" w:rsidRPr="0096193A" w:rsidRDefault="00E63DB7" w:rsidP="007300CC">
            <w:pPr>
              <w:pStyle w:val="Heading1"/>
              <w:outlineLvl w:val="0"/>
            </w:pPr>
            <w:r w:rsidRPr="0096193A">
              <w:lastRenderedPageBreak/>
              <w:t>Early identification</w:t>
            </w:r>
          </w:p>
        </w:tc>
      </w:tr>
      <w:tr w:rsidR="00C00781" w14:paraId="7542F11A" w14:textId="77777777" w:rsidTr="00E63DB7">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D16DE" w14:textId="0D25987D" w:rsidR="00C00781" w:rsidRDefault="00C00781" w:rsidP="00E63DB7">
            <w:pPr>
              <w:pStyle w:val="Heading2"/>
              <w:outlineLvl w:val="1"/>
            </w:pPr>
            <w:r w:rsidRPr="009C2F99">
              <w:t>Specific action 5: Increase access to support and specialist services for women with alcohol and drug issues</w:t>
            </w:r>
            <w:r w:rsidR="001221CC">
              <w:t xml:space="preserve"> (AOD)</w:t>
            </w:r>
          </w:p>
        </w:tc>
      </w:tr>
      <w:tr w:rsidR="00AE3413" w14:paraId="53342AFD" w14:textId="77777777" w:rsidTr="00E63DB7">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2863F7" w14:textId="0900D87E" w:rsidR="00A11EFC" w:rsidRPr="00A11EFC" w:rsidRDefault="009F7812" w:rsidP="00E63DB7">
            <w:pPr>
              <w:pStyle w:val="Heading3"/>
              <w:outlineLvl w:val="2"/>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3C8FB566" w14:textId="0EDFA942" w:rsidR="009C2F99" w:rsidRDefault="00A11EFC" w:rsidP="00E63DB7">
            <w:pPr>
              <w:pStyle w:val="Heading3"/>
              <w:outlineLvl w:val="2"/>
            </w:pPr>
            <w:r w:rsidRPr="00412D56">
              <w:t>Activities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702EEC82" w14:textId="6266E11F" w:rsidR="00A11EFC" w:rsidRDefault="00A11EFC" w:rsidP="00E63DB7">
            <w:pPr>
              <w:pStyle w:val="Heading3"/>
              <w:outlineLvl w:val="2"/>
            </w:pPr>
            <w:r w:rsidRPr="00412D56">
              <w:t>Status</w:t>
            </w:r>
          </w:p>
        </w:tc>
      </w:tr>
      <w:tr w:rsidR="00E63DB7" w14:paraId="6E6D35A0" w14:textId="77777777" w:rsidTr="007300CC">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D39401" w14:textId="6EAF3568" w:rsidR="00E63DB7" w:rsidRDefault="00E63DB7" w:rsidP="00E63DB7">
            <w:pPr>
              <w:pStyle w:val="TableText"/>
              <w:keepNext/>
            </w:pPr>
            <w:r>
              <w:t>13.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5208301" w14:textId="77777777" w:rsidR="00E63DB7" w:rsidRDefault="00E63DB7" w:rsidP="00E63DB7">
            <w:pPr>
              <w:pStyle w:val="Heading4"/>
              <w:outlineLvl w:val="3"/>
            </w:pPr>
            <w:r w:rsidRPr="00802278">
              <w:t>Increase support for pregnant and postpartum women experiencing AOD</w:t>
            </w:r>
            <w:r w:rsidRPr="0036199D">
              <w:t xml:space="preserve"> </w:t>
            </w:r>
            <w:r w:rsidRPr="00802278">
              <w:t>issues</w:t>
            </w:r>
          </w:p>
          <w:p w14:paraId="4279DF97" w14:textId="77777777" w:rsidR="00E63DB7" w:rsidRPr="00C50F30" w:rsidRDefault="00E63DB7" w:rsidP="00E63DB7">
            <w:pPr>
              <w:pStyle w:val="TableBullet"/>
              <w:keepNext/>
            </w:pPr>
            <w:r w:rsidRPr="00C50F30">
              <w:t xml:space="preserve">Pregnancy and Parenting Support Services (PPS) have been set up in three pilot locations to support women with children who have AOD, complex needs. This is based on the </w:t>
            </w:r>
            <w:proofErr w:type="spellStart"/>
            <w:r w:rsidRPr="00C50F30">
              <w:t>Waitematā</w:t>
            </w:r>
            <w:proofErr w:type="spellEnd"/>
            <w:r w:rsidRPr="00C50F30">
              <w:t xml:space="preserve"> intensive wraparound service.</w:t>
            </w:r>
          </w:p>
          <w:p w14:paraId="43E1AE53" w14:textId="588383EA" w:rsidR="00E63DB7" w:rsidRPr="005302FE" w:rsidRDefault="00E63DB7" w:rsidP="00E63DB7">
            <w:pPr>
              <w:pStyle w:val="TableBullet"/>
              <w:keepNext/>
            </w:pPr>
            <w:r w:rsidRPr="00FE694C">
              <w:t xml:space="preserve">The aim of the PPS is to reduce harm and improve the wellbeing of children by addressing the needs of parents and working to strengthen the family environment. The pilot sites are: He </w:t>
            </w:r>
            <w:proofErr w:type="spellStart"/>
            <w:r w:rsidRPr="00FE694C">
              <w:t>Tupua</w:t>
            </w:r>
            <w:proofErr w:type="spellEnd"/>
            <w:r w:rsidRPr="00FE694C">
              <w:t xml:space="preserve"> </w:t>
            </w:r>
            <w:proofErr w:type="spellStart"/>
            <w:r w:rsidRPr="00FE694C">
              <w:t>Waiora</w:t>
            </w:r>
            <w:proofErr w:type="spellEnd"/>
            <w:r w:rsidRPr="00FE694C">
              <w:t xml:space="preserve">, Northland; </w:t>
            </w:r>
            <w:proofErr w:type="spellStart"/>
            <w:r w:rsidRPr="00FE694C">
              <w:t>Te</w:t>
            </w:r>
            <w:proofErr w:type="spellEnd"/>
            <w:r w:rsidRPr="00FE694C">
              <w:t xml:space="preserve"> </w:t>
            </w:r>
            <w:proofErr w:type="spellStart"/>
            <w:r w:rsidRPr="00FE694C">
              <w:t>Hiringa</w:t>
            </w:r>
            <w:proofErr w:type="spellEnd"/>
            <w:r w:rsidRPr="00FE694C">
              <w:t xml:space="preserve"> Matua, Tairawhiti and </w:t>
            </w:r>
            <w:proofErr w:type="spellStart"/>
            <w:r w:rsidRPr="00FE694C">
              <w:t>Te</w:t>
            </w:r>
            <w:proofErr w:type="spellEnd"/>
            <w:r w:rsidRPr="00FE694C">
              <w:t xml:space="preserve"> Ara </w:t>
            </w:r>
            <w:proofErr w:type="spellStart"/>
            <w:r w:rsidRPr="00FE694C">
              <w:t>Manapou</w:t>
            </w:r>
            <w:proofErr w:type="spellEnd"/>
            <w:r w:rsidRPr="00FE694C">
              <w:t>, Hawkes Bay.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E97653" w14:textId="2245A557" w:rsidR="00E63DB7" w:rsidRPr="0032370C" w:rsidRDefault="00E63DB7" w:rsidP="00E63DB7">
            <w:pPr>
              <w:pStyle w:val="TableText"/>
              <w:keepNext/>
            </w:pPr>
            <w:r>
              <w:t>Complete and ongoing</w:t>
            </w:r>
          </w:p>
        </w:tc>
      </w:tr>
      <w:tr w:rsidR="00E63DB7" w14:paraId="44C77DAF" w14:textId="77777777" w:rsidTr="007300CC">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667E2A" w14:textId="342D791E" w:rsidR="00E63DB7" w:rsidRDefault="00E63DB7" w:rsidP="007300CC">
            <w:pPr>
              <w:pStyle w:val="TableText"/>
            </w:pPr>
            <w:r>
              <w:t>14.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E0A5CD9" w14:textId="77777777" w:rsidR="00E63DB7" w:rsidRPr="007B752A" w:rsidRDefault="00E63DB7" w:rsidP="00E63DB7">
            <w:pPr>
              <w:pStyle w:val="Heading4"/>
              <w:outlineLvl w:val="3"/>
            </w:pPr>
            <w:r w:rsidRPr="00F564E0">
              <w:t>Implement and evaluate intensive wraparound services for pregnant women in three DHB areas</w:t>
            </w:r>
          </w:p>
          <w:p w14:paraId="603DE6A1" w14:textId="77777777" w:rsidR="00E63DB7" w:rsidRPr="00F24A3C" w:rsidRDefault="00E63DB7" w:rsidP="00E63DB7">
            <w:pPr>
              <w:pStyle w:val="TableBullet"/>
            </w:pPr>
            <w:r w:rsidRPr="00F24A3C">
              <w:t xml:space="preserve">Three </w:t>
            </w:r>
            <w:r>
              <w:t>PPS</w:t>
            </w:r>
            <w:r w:rsidRPr="00F24A3C">
              <w:t xml:space="preserve"> </w:t>
            </w:r>
            <w:r>
              <w:t xml:space="preserve">services are </w:t>
            </w:r>
            <w:r w:rsidRPr="00F24A3C">
              <w:t>currently being piloted in Northland, Hawkes Bay and Gisborne to support women with AOD issues and complex needs.</w:t>
            </w:r>
          </w:p>
          <w:p w14:paraId="41C5924B" w14:textId="77777777" w:rsidR="00E63DB7" w:rsidRPr="00F24A3C" w:rsidRDefault="00E63DB7" w:rsidP="00E63DB7">
            <w:pPr>
              <w:pStyle w:val="TableBullet"/>
            </w:pPr>
            <w:r w:rsidRPr="00F24A3C">
              <w:t>The first evaluation of the pilot has been conducted and</w:t>
            </w:r>
            <w:r>
              <w:t xml:space="preserve"> the</w:t>
            </w:r>
            <w:r w:rsidRPr="00F24A3C">
              <w:t xml:space="preserve"> report shows it is working well towards the intended outcomes.</w:t>
            </w:r>
          </w:p>
          <w:p w14:paraId="5802FC1B" w14:textId="6B947D45" w:rsidR="00E63DB7" w:rsidRPr="005302FE" w:rsidRDefault="00E63DB7" w:rsidP="00E63DB7">
            <w:pPr>
              <w:pStyle w:val="TableBullet"/>
            </w:pPr>
            <w:r w:rsidRPr="00F24A3C">
              <w:t xml:space="preserve">The pilot sites, He </w:t>
            </w:r>
            <w:proofErr w:type="spellStart"/>
            <w:r w:rsidRPr="00F24A3C">
              <w:t>Tupua</w:t>
            </w:r>
            <w:proofErr w:type="spellEnd"/>
            <w:r w:rsidRPr="00F24A3C">
              <w:t xml:space="preserve"> </w:t>
            </w:r>
            <w:proofErr w:type="spellStart"/>
            <w:r w:rsidRPr="00F24A3C">
              <w:t>Waiora</w:t>
            </w:r>
            <w:proofErr w:type="spellEnd"/>
            <w:r w:rsidRPr="00F24A3C">
              <w:t xml:space="preserve">, </w:t>
            </w:r>
            <w:proofErr w:type="spellStart"/>
            <w:r w:rsidRPr="00F24A3C">
              <w:t>Te</w:t>
            </w:r>
            <w:proofErr w:type="spellEnd"/>
            <w:r w:rsidRPr="00F24A3C">
              <w:t xml:space="preserve"> </w:t>
            </w:r>
            <w:proofErr w:type="spellStart"/>
            <w:r w:rsidRPr="00F24A3C">
              <w:t>Hiringa</w:t>
            </w:r>
            <w:proofErr w:type="spellEnd"/>
            <w:r w:rsidRPr="00F24A3C">
              <w:t xml:space="preserve"> Matua</w:t>
            </w:r>
            <w:r>
              <w:t xml:space="preserve">, </w:t>
            </w:r>
            <w:proofErr w:type="spellStart"/>
            <w:r w:rsidRPr="00F24A3C">
              <w:t>Te</w:t>
            </w:r>
            <w:proofErr w:type="spellEnd"/>
            <w:r w:rsidRPr="00F24A3C">
              <w:t xml:space="preserve"> Ara </w:t>
            </w:r>
            <w:proofErr w:type="spellStart"/>
            <w:r w:rsidRPr="00F24A3C">
              <w:t>Manapou</w:t>
            </w:r>
            <w:proofErr w:type="spellEnd"/>
            <w:r>
              <w:t xml:space="preserve"> and</w:t>
            </w:r>
            <w:r w:rsidRPr="00F24A3C">
              <w:t xml:space="preserve"> Hawkes Bay are being evaluated. Early findings support the progres</w:t>
            </w:r>
            <w:r>
              <w:t>s of the PPS towards the aims.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E7267" w14:textId="457B1B0A" w:rsidR="00E63DB7" w:rsidRPr="0032370C" w:rsidRDefault="00E63DB7" w:rsidP="007300CC">
            <w:pPr>
              <w:pStyle w:val="TableText"/>
            </w:pPr>
            <w:r>
              <w:t>In progress</w:t>
            </w:r>
          </w:p>
        </w:tc>
      </w:tr>
    </w:tbl>
    <w:p w14:paraId="24301653" w14:textId="77777777" w:rsidR="00E63DB7" w:rsidRDefault="00E63DB7" w:rsidP="000278AD"/>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7C0F6A" w14:paraId="3AF695F0" w14:textId="77777777" w:rsidTr="000278A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3D125F" w14:textId="5E1E3C75" w:rsidR="009F7812" w:rsidRPr="00FD689A" w:rsidRDefault="007C0F6A" w:rsidP="000278AD">
            <w:pPr>
              <w:pStyle w:val="Heading1"/>
              <w:outlineLvl w:val="0"/>
            </w:pPr>
            <w:r w:rsidRPr="00FD689A">
              <w:lastRenderedPageBreak/>
              <w:t>Support</w:t>
            </w:r>
          </w:p>
        </w:tc>
      </w:tr>
      <w:tr w:rsidR="00C00781" w14:paraId="0D1C7DE3" w14:textId="77777777" w:rsidTr="000278A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03212C" w14:textId="131B3114" w:rsidR="00C00781" w:rsidRPr="009B1A52" w:rsidRDefault="00C00781" w:rsidP="000278AD">
            <w:pPr>
              <w:pStyle w:val="Heading2"/>
              <w:outlineLvl w:val="1"/>
            </w:pPr>
            <w:r w:rsidRPr="002E141A">
              <w:t xml:space="preserve">Specific action </w:t>
            </w:r>
            <w:r>
              <w:t>6</w:t>
            </w:r>
            <w:r w:rsidRPr="002E141A">
              <w:t>: Enhance the ability of frontline professionals to recognise and respond effectively and compassionately to people with FASD and other neurodevelopmental impairments</w:t>
            </w:r>
          </w:p>
        </w:tc>
      </w:tr>
      <w:tr w:rsidR="000A0DFC" w14:paraId="0092AEF8" w14:textId="77777777" w:rsidTr="000278AD">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D140217" w14:textId="2C168DBD" w:rsidR="00A812ED" w:rsidRPr="008C7A68" w:rsidRDefault="00A812ED" w:rsidP="000278AD">
            <w:pPr>
              <w:pStyle w:val="Heading3"/>
              <w:outlineLvl w:val="2"/>
              <w:rPr>
                <w:rFonts w:cstheme="minorHAnsi"/>
              </w:rPr>
            </w:pPr>
            <w:r w:rsidRPr="008C7A68">
              <w:t>Activity</w:t>
            </w:r>
            <w:r w:rsidR="00361A21" w:rsidRPr="008C7A68">
              <w:t xml:space="preserve"> </w:t>
            </w:r>
            <w:r w:rsidRPr="008C7A68">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53A0F110" w14:textId="2172546A" w:rsidR="0051286C" w:rsidRPr="00D6276D" w:rsidRDefault="000278AD" w:rsidP="000278AD">
            <w:pPr>
              <w:pStyle w:val="Heading3"/>
              <w:outlineLvl w:val="2"/>
            </w:pPr>
            <w:r>
              <w:t>Activities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604CE24E" w14:textId="6598FBA9" w:rsidR="0051286C" w:rsidRPr="00D6276D" w:rsidRDefault="000278AD" w:rsidP="000278AD">
            <w:pPr>
              <w:pStyle w:val="Heading3"/>
              <w:outlineLvl w:val="2"/>
            </w:pPr>
            <w:r>
              <w:t>Status</w:t>
            </w:r>
          </w:p>
        </w:tc>
      </w:tr>
      <w:tr w:rsidR="000278AD" w14:paraId="44FD49D6"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C657D1A" w14:textId="440680EA" w:rsidR="000278AD" w:rsidRDefault="000278AD" w:rsidP="007300CC">
            <w:pPr>
              <w:pStyle w:val="TableText"/>
            </w:pPr>
            <w:r>
              <w:t>15.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AF6DC41" w14:textId="77777777" w:rsidR="000278AD" w:rsidRPr="00C00B9F" w:rsidRDefault="000278AD" w:rsidP="000278AD">
            <w:pPr>
              <w:pStyle w:val="Heading4"/>
              <w:outlineLvl w:val="3"/>
            </w:pPr>
            <w:r w:rsidRPr="009B2E52">
              <w:t>Conduct a stocktake and gap analysis of current frontline and allied</w:t>
            </w:r>
            <w:r w:rsidRPr="00C00B9F">
              <w:t xml:space="preserve"> </w:t>
            </w:r>
            <w:r w:rsidRPr="009B2E52">
              <w:t xml:space="preserve">health workforce competencies for preventing, </w:t>
            </w:r>
            <w:proofErr w:type="gramStart"/>
            <w:r w:rsidRPr="009B2E52">
              <w:t>identifying</w:t>
            </w:r>
            <w:proofErr w:type="gramEnd"/>
            <w:r w:rsidRPr="009B2E52">
              <w:t xml:space="preserve"> and</w:t>
            </w:r>
            <w:r w:rsidRPr="00C00B9F">
              <w:t xml:space="preserve"> </w:t>
            </w:r>
            <w:r w:rsidRPr="009B2E52">
              <w:t>responding to FASD</w:t>
            </w:r>
          </w:p>
          <w:p w14:paraId="1A641E2D" w14:textId="77777777" w:rsidR="000278AD" w:rsidRPr="008623BE" w:rsidRDefault="000278AD" w:rsidP="000278AD">
            <w:pPr>
              <w:pStyle w:val="TableBullet"/>
            </w:pPr>
            <w:r w:rsidRPr="008623BE">
              <w:t xml:space="preserve">In March 2017, </w:t>
            </w:r>
            <w:proofErr w:type="spellStart"/>
            <w:r w:rsidRPr="008623BE">
              <w:t>MoH</w:t>
            </w:r>
            <w:proofErr w:type="spellEnd"/>
            <w:r w:rsidRPr="008623BE">
              <w:t xml:space="preserve"> conducted a stocktake and gap analysis of specialist health workforce competencies for assessment and intervention </w:t>
            </w:r>
            <w:r w:rsidRPr="006E453B">
              <w:t>for FASD</w:t>
            </w:r>
            <w:r>
              <w:t>.</w:t>
            </w:r>
          </w:p>
          <w:p w14:paraId="0C7D358D" w14:textId="0DE66B15" w:rsidR="000278AD" w:rsidRPr="005302FE" w:rsidRDefault="000278AD" w:rsidP="000278AD">
            <w:pPr>
              <w:pStyle w:val="TableBullet"/>
            </w:pPr>
            <w:proofErr w:type="spellStart"/>
            <w:r>
              <w:t>MoH</w:t>
            </w:r>
            <w:proofErr w:type="spellEnd"/>
            <w:r w:rsidRPr="002E141A">
              <w:t xml:space="preserve"> contracted Matua Raki, the national centre for addiction workforce development, to co-design training and resources for frontline professionals to identify people with FASD and respond appropriately. The stocktake of current frontline workforce capabilities was completed as part of the co-design project</w:t>
            </w: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7C134D" w14:textId="0320F3A0" w:rsidR="000278AD" w:rsidRPr="0032370C" w:rsidRDefault="000278AD" w:rsidP="007300CC">
            <w:pPr>
              <w:pStyle w:val="TableText"/>
            </w:pPr>
            <w:r>
              <w:t>Complete</w:t>
            </w:r>
          </w:p>
        </w:tc>
      </w:tr>
      <w:tr w:rsidR="000278AD" w14:paraId="7E0EA5DD"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991C9" w14:textId="12FDFA10" w:rsidR="000278AD" w:rsidRDefault="000278AD" w:rsidP="007300CC">
            <w:pPr>
              <w:pStyle w:val="TableText"/>
            </w:pPr>
            <w:r>
              <w:t>16.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1952DAE" w14:textId="77777777" w:rsidR="000278AD" w:rsidRDefault="000278AD" w:rsidP="000278AD">
            <w:pPr>
              <w:pStyle w:val="Heading4"/>
              <w:outlineLvl w:val="3"/>
            </w:pPr>
            <w:r w:rsidRPr="00ED1BB6">
              <w:t>Test the ability of the B4 School Check/</w:t>
            </w:r>
            <w:r>
              <w:t>Well Child Tamariki Ora (</w:t>
            </w:r>
            <w:r w:rsidRPr="00ED1BB6">
              <w:t>WCTO</w:t>
            </w:r>
            <w:r>
              <w:t>)</w:t>
            </w:r>
            <w:r w:rsidRPr="00ED1BB6">
              <w:t xml:space="preserve"> screens to identify children with FASD and other neurodevelopmental impairments</w:t>
            </w:r>
          </w:p>
          <w:p w14:paraId="135A948E" w14:textId="5E07A02C" w:rsidR="000278AD" w:rsidRPr="005302FE" w:rsidRDefault="000278AD" w:rsidP="000278AD">
            <w:pPr>
              <w:pStyle w:val="TableBullet"/>
            </w:pPr>
            <w:r>
              <w:t>A research report was</w:t>
            </w:r>
            <w:r w:rsidRPr="00DE7B95">
              <w:t xml:space="preserve"> completed on the adequacy of the Strength and Difficulties Questionnaire (SDQ) for neurodevelopmental delay screening</w:t>
            </w:r>
            <w:r w:rsidRPr="00BA7302">
              <w:rPr>
                <w:b/>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01B879" w14:textId="146243B4" w:rsidR="000278AD" w:rsidRPr="0032370C" w:rsidRDefault="000278AD" w:rsidP="007300CC">
            <w:pPr>
              <w:pStyle w:val="TableText"/>
            </w:pPr>
            <w:r>
              <w:t>Complete</w:t>
            </w:r>
          </w:p>
        </w:tc>
      </w:tr>
      <w:tr w:rsidR="000278AD" w14:paraId="32A095CF"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B5F36B" w14:textId="559FECC8" w:rsidR="000278AD" w:rsidRDefault="000278AD" w:rsidP="007300CC">
            <w:pPr>
              <w:pStyle w:val="TableText"/>
            </w:pPr>
            <w:r>
              <w:t>17.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44BFD0D" w14:textId="77777777" w:rsidR="000278AD" w:rsidRDefault="000278AD" w:rsidP="000278AD">
            <w:pPr>
              <w:pStyle w:val="Heading4"/>
              <w:outlineLvl w:val="3"/>
            </w:pPr>
            <w:r w:rsidRPr="00CD7B13">
              <w:t>Develop a resource for teachers, to improve their knowle</w:t>
            </w:r>
            <w:r>
              <w:t>dge and practice regarding FASD</w:t>
            </w:r>
          </w:p>
          <w:p w14:paraId="6E482FDA" w14:textId="6B80A9B8" w:rsidR="000278AD" w:rsidRPr="005302FE" w:rsidRDefault="000278AD" w:rsidP="000278AD">
            <w:pPr>
              <w:pStyle w:val="TableBullet"/>
            </w:pPr>
            <w:proofErr w:type="spellStart"/>
            <w:r>
              <w:t>MoE</w:t>
            </w:r>
            <w:proofErr w:type="spellEnd"/>
            <w:r>
              <w:t xml:space="preserve"> has developed a guide for teachers to improve knowledge and awareness of FASD and its effect on learning. This guide includes a range of resources that teachers can use to support students with FASD. It is available at: </w:t>
            </w:r>
            <w:hyperlink r:id="rId27" w:history="1">
              <w:r>
                <w:rPr>
                  <w:rStyle w:val="Hyperlink"/>
                </w:rPr>
                <w:t>https://www.inclusive.tki.org.nz/guides/fetal-alcohol-spectrum-disorder-and-learning/</w:t>
              </w:r>
            </w:hyperlink>
            <w:r w:rsidRPr="000278AD">
              <w:t>.</w:t>
            </w:r>
            <w:r>
              <w:t xml:space="preserve"> This guide will continue to be updated as new resources become available.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60B22F" w14:textId="18CBFF99" w:rsidR="000278AD" w:rsidRPr="0032370C" w:rsidRDefault="000278AD" w:rsidP="007300CC">
            <w:pPr>
              <w:pStyle w:val="TableText"/>
            </w:pPr>
            <w:r>
              <w:t>Complete</w:t>
            </w:r>
          </w:p>
        </w:tc>
      </w:tr>
      <w:tr w:rsidR="000278AD" w14:paraId="0456AAFE"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6C02708" w14:textId="0BEA88C0" w:rsidR="000278AD" w:rsidRDefault="000278AD" w:rsidP="007300CC">
            <w:pPr>
              <w:pStyle w:val="TableText"/>
            </w:pPr>
            <w:r>
              <w:lastRenderedPageBreak/>
              <w:t>18.</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EE41D66" w14:textId="77777777" w:rsidR="000278AD" w:rsidRDefault="000278AD" w:rsidP="000278AD">
            <w:pPr>
              <w:pStyle w:val="Heading4"/>
              <w:outlineLvl w:val="3"/>
            </w:pPr>
            <w:r w:rsidRPr="00612CB6">
              <w:t>Develop guidance for people working in the youth justice system, to increase their awareness of and ability to respond effectively to people with FASD and other</w:t>
            </w:r>
            <w:r>
              <w:t xml:space="preserve"> neurodevelopmental impairments</w:t>
            </w:r>
          </w:p>
          <w:p w14:paraId="3A752522" w14:textId="72B06D64" w:rsidR="000278AD" w:rsidRPr="009F0F22" w:rsidRDefault="000278AD" w:rsidP="000278AD">
            <w:pPr>
              <w:pStyle w:val="TableBullet"/>
            </w:pPr>
            <w:r w:rsidRPr="009F0F22">
              <w:t>Guidance for people working in the youth justice system to increase their awareness and ability to respond effectively to people with FASD and other neurodevelopmental impairments was developed as part of the Matua Raki co-design project.</w:t>
            </w:r>
          </w:p>
          <w:p w14:paraId="3B1E4FA3" w14:textId="6BD8AEA2" w:rsidR="000278AD" w:rsidRPr="0071391B" w:rsidRDefault="000278AD" w:rsidP="000278AD">
            <w:pPr>
              <w:pStyle w:val="TableBullet"/>
            </w:pPr>
            <w:proofErr w:type="spellStart"/>
            <w:r w:rsidRPr="0071391B">
              <w:t>Oranga</w:t>
            </w:r>
            <w:proofErr w:type="spellEnd"/>
            <w:r w:rsidRPr="0071391B">
              <w:t xml:space="preserve"> Tamariki has recently announced an organisational reset aimed at its commitment to ensuring that New Zealand is the best place in the world to be a child, and its commitment to partnering with iwi, </w:t>
            </w:r>
            <w:proofErr w:type="spellStart"/>
            <w:r w:rsidRPr="0071391B">
              <w:t>hapū</w:t>
            </w:r>
            <w:proofErr w:type="spellEnd"/>
            <w:r w:rsidRPr="0071391B">
              <w:t xml:space="preserve">, and Māori organisations to find appropriate </w:t>
            </w:r>
            <w:r>
              <w:t xml:space="preserve">solutions for </w:t>
            </w:r>
            <w:proofErr w:type="spellStart"/>
            <w:r>
              <w:t>tamariki</w:t>
            </w:r>
            <w:proofErr w:type="spellEnd"/>
            <w:r>
              <w:t xml:space="preserve"> in need.</w:t>
            </w:r>
          </w:p>
          <w:p w14:paraId="14E1E23B" w14:textId="3AB55F89" w:rsidR="000278AD" w:rsidRPr="0071391B" w:rsidRDefault="000278AD" w:rsidP="000278AD">
            <w:pPr>
              <w:pStyle w:val="TableBullet"/>
            </w:pPr>
            <w:r w:rsidRPr="0071391B">
              <w:t xml:space="preserve">Among many actions in the </w:t>
            </w:r>
            <w:proofErr w:type="spellStart"/>
            <w:r w:rsidRPr="0071391B">
              <w:t>Oranga</w:t>
            </w:r>
            <w:proofErr w:type="spellEnd"/>
            <w:r w:rsidRPr="0071391B">
              <w:t xml:space="preserve"> Tamariki Action Plan, there are specific actions around development and implementation of operating procedures and practice that span the entire depth and breadth of </w:t>
            </w:r>
            <w:proofErr w:type="spellStart"/>
            <w:r w:rsidRPr="0071391B">
              <w:t>Oranga</w:t>
            </w:r>
            <w:proofErr w:type="spellEnd"/>
            <w:r w:rsidRPr="0071391B">
              <w:t xml:space="preserve"> Tamariki. This includes a fundamental shift in how staff work with </w:t>
            </w:r>
            <w:proofErr w:type="spellStart"/>
            <w:r w:rsidRPr="0071391B">
              <w:t>tamariki</w:t>
            </w:r>
            <w:proofErr w:type="spellEnd"/>
            <w:r w:rsidRPr="0071391B">
              <w:t xml:space="preserve"> and </w:t>
            </w:r>
            <w:proofErr w:type="spellStart"/>
            <w:r w:rsidRPr="0071391B">
              <w:t>rangatahi</w:t>
            </w:r>
            <w:proofErr w:type="spellEnd"/>
            <w:r w:rsidRPr="0071391B">
              <w:t xml:space="preserve"> as a whole, and specifically those with </w:t>
            </w:r>
            <w:proofErr w:type="spellStart"/>
            <w:r w:rsidRPr="0071391B">
              <w:t>n</w:t>
            </w:r>
            <w:r>
              <w:t>eurodiversities</w:t>
            </w:r>
            <w:proofErr w:type="spellEnd"/>
            <w:r>
              <w:t>.</w:t>
            </w:r>
          </w:p>
          <w:p w14:paraId="4278A548" w14:textId="23EFA57B" w:rsidR="000278AD" w:rsidRPr="0071391B" w:rsidRDefault="000278AD" w:rsidP="000278AD">
            <w:pPr>
              <w:pStyle w:val="TableBullet"/>
            </w:pPr>
            <w:proofErr w:type="spellStart"/>
            <w:r w:rsidRPr="0071391B">
              <w:t>Oranga</w:t>
            </w:r>
            <w:proofErr w:type="spellEnd"/>
            <w:r w:rsidRPr="0071391B">
              <w:t xml:space="preserve"> Tamariki has also progressed other more l</w:t>
            </w:r>
            <w:r>
              <w:t>ocalised solutions for example:</w:t>
            </w:r>
          </w:p>
          <w:p w14:paraId="296999B8" w14:textId="3C9D6642" w:rsidR="000278AD" w:rsidRPr="0071391B" w:rsidRDefault="000278AD" w:rsidP="000278AD">
            <w:pPr>
              <w:pStyle w:val="TableDash"/>
            </w:pPr>
            <w:r w:rsidRPr="0071391B">
              <w:t>progression of practice standards that address neurodiversity</w:t>
            </w:r>
          </w:p>
          <w:p w14:paraId="533AE429" w14:textId="4050413C" w:rsidR="000278AD" w:rsidRPr="0071391B" w:rsidRDefault="000278AD" w:rsidP="000278AD">
            <w:pPr>
              <w:pStyle w:val="TableDash"/>
            </w:pPr>
            <w:r w:rsidRPr="0071391B">
              <w:t>neurodiversity and FASD specific training for youth justice sites</w:t>
            </w:r>
          </w:p>
          <w:p w14:paraId="154FDB34" w14:textId="29651C56" w:rsidR="000278AD" w:rsidRPr="0071391B" w:rsidRDefault="000278AD" w:rsidP="000278AD">
            <w:pPr>
              <w:pStyle w:val="TableDash"/>
            </w:pPr>
            <w:r>
              <w:t>i</w:t>
            </w:r>
            <w:r w:rsidRPr="0071391B">
              <w:t xml:space="preserve">ncrease of </w:t>
            </w:r>
            <w:proofErr w:type="spellStart"/>
            <w:r w:rsidRPr="0071391B">
              <w:t>Oranga</w:t>
            </w:r>
            <w:proofErr w:type="spellEnd"/>
            <w:r w:rsidRPr="0071391B">
              <w:t xml:space="preserve"> Tamariki Regional Disability Advisors</w:t>
            </w:r>
          </w:p>
          <w:p w14:paraId="3399195B" w14:textId="1267ED60" w:rsidR="000278AD" w:rsidRPr="0071391B" w:rsidRDefault="000278AD" w:rsidP="000278AD">
            <w:pPr>
              <w:pStyle w:val="TableDash"/>
            </w:pPr>
            <w:r>
              <w:t>i</w:t>
            </w:r>
            <w:r w:rsidRPr="0071391B">
              <w:t>nitiation of a neurodiversity work programme directed at youth justice pathways and programmes</w:t>
            </w:r>
          </w:p>
          <w:p w14:paraId="136E8C22" w14:textId="671E7D64" w:rsidR="000278AD" w:rsidRPr="0071391B" w:rsidRDefault="000278AD" w:rsidP="000278AD">
            <w:pPr>
              <w:pStyle w:val="TableDash"/>
            </w:pPr>
            <w:proofErr w:type="spellStart"/>
            <w:r w:rsidRPr="0071391B">
              <w:t>Oranga</w:t>
            </w:r>
            <w:proofErr w:type="spellEnd"/>
            <w:r w:rsidRPr="0071391B">
              <w:t xml:space="preserve"> Tamariki continues to work closely with FASD-</w:t>
            </w:r>
            <w:proofErr w:type="gramStart"/>
            <w:r w:rsidRPr="0071391B">
              <w:t>CAN to</w:t>
            </w:r>
            <w:proofErr w:type="gramEnd"/>
            <w:r w:rsidRPr="0071391B">
              <w:t xml:space="preserve"> inform approach.</w:t>
            </w:r>
          </w:p>
          <w:p w14:paraId="04A62B50" w14:textId="7ABBD910" w:rsidR="000278AD" w:rsidRPr="005302FE" w:rsidRDefault="000278AD" w:rsidP="000278AD">
            <w:pPr>
              <w:pStyle w:val="TableText"/>
            </w:pPr>
            <w:r w:rsidRPr="00283894">
              <w:rPr>
                <w:color w:val="000000"/>
              </w:rPr>
              <w:t xml:space="preserve">See the </w:t>
            </w:r>
            <w:proofErr w:type="spellStart"/>
            <w:r w:rsidRPr="00283894">
              <w:rPr>
                <w:color w:val="000000"/>
              </w:rPr>
              <w:t>Oranga</w:t>
            </w:r>
            <w:proofErr w:type="spellEnd"/>
            <w:r w:rsidRPr="00283894">
              <w:rPr>
                <w:color w:val="000000"/>
              </w:rPr>
              <w:t xml:space="preserve"> Tamariki Practice Centre website</w:t>
            </w:r>
            <w:r>
              <w:rPr>
                <w:color w:val="000000"/>
              </w:rPr>
              <w:t>:</w:t>
            </w:r>
            <w:r w:rsidRPr="00283894">
              <w:rPr>
                <w:color w:val="000000"/>
              </w:rPr>
              <w:t xml:space="preserve"> </w:t>
            </w:r>
            <w:hyperlink r:id="rId28" w:history="1">
              <w:r w:rsidRPr="004519B9">
                <w:rPr>
                  <w:rStyle w:val="Hyperlink"/>
                  <w:rFonts w:cstheme="minorHAnsi"/>
                </w:rPr>
                <w:t>https://practice.orangatamariki.govt.nz/previous-practice-centre/knowledge-base-practice-frameworks/fetal-alcohol-spectrum-disorder/</w:t>
              </w:r>
            </w:hyperlink>
            <w:r w:rsidRPr="000278AD">
              <w:rPr>
                <w:rStyle w:val="Hyperlink"/>
                <w:rFonts w:cstheme="minorHAnsi"/>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D84186" w14:textId="735DC99D" w:rsidR="000278AD" w:rsidRPr="0032370C" w:rsidRDefault="000278AD" w:rsidP="007300CC">
            <w:pPr>
              <w:pStyle w:val="TableText"/>
            </w:pPr>
            <w:r>
              <w:t>In progress</w:t>
            </w:r>
          </w:p>
        </w:tc>
      </w:tr>
      <w:tr w:rsidR="000278AD" w14:paraId="2DB74FC8"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CD6E32" w14:textId="6C7C6845" w:rsidR="000278AD" w:rsidRDefault="000278AD" w:rsidP="007300CC">
            <w:pPr>
              <w:pStyle w:val="TableText"/>
            </w:pPr>
            <w:r>
              <w:lastRenderedPageBreak/>
              <w:t>19.</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7098B92E" w14:textId="77777777" w:rsidR="000278AD" w:rsidRDefault="000278AD" w:rsidP="000278AD">
            <w:pPr>
              <w:pStyle w:val="Heading4"/>
              <w:outlineLvl w:val="3"/>
            </w:pPr>
            <w:r>
              <w:t>Early support in schools</w:t>
            </w:r>
          </w:p>
          <w:p w14:paraId="38FE7408" w14:textId="77777777" w:rsidR="000278AD" w:rsidRPr="0071391B" w:rsidRDefault="000278AD" w:rsidP="000278AD">
            <w:pPr>
              <w:pStyle w:val="TableBullet"/>
            </w:pPr>
            <w:r w:rsidRPr="00031FF5">
              <w:rPr>
                <w:rFonts w:cstheme="minorHAnsi"/>
                <w:b/>
                <w:bCs/>
                <w:highlight w:val="yellow"/>
              </w:rPr>
              <w:t>*Proceeds of Crime-funded initiative</w:t>
            </w:r>
            <w:r w:rsidRPr="00031FF5">
              <w:rPr>
                <w:rFonts w:cstheme="minorHAnsi"/>
              </w:rPr>
              <w:t xml:space="preserve"> </w:t>
            </w:r>
            <w:proofErr w:type="spellStart"/>
            <w:r w:rsidRPr="0071391B">
              <w:t>MoE</w:t>
            </w:r>
            <w:proofErr w:type="spellEnd"/>
            <w:r w:rsidRPr="0071391B">
              <w:t xml:space="preserve"> and </w:t>
            </w:r>
            <w:proofErr w:type="spellStart"/>
            <w:r w:rsidRPr="0071391B">
              <w:t>MoH</w:t>
            </w:r>
            <w:proofErr w:type="spellEnd"/>
            <w:r w:rsidRPr="0071391B">
              <w:t xml:space="preserve"> have been working together with two primary schools to pilot an adaption of the Alert Program® (ALERT) using a tiered approach. The pilot seeks to test a model for integrating social-emotional learning into the curriculum, initially tailored at a primary school level.</w:t>
            </w:r>
          </w:p>
          <w:p w14:paraId="14B6194C" w14:textId="77929DD2" w:rsidR="000278AD" w:rsidRDefault="000278AD" w:rsidP="000278AD">
            <w:pPr>
              <w:pStyle w:val="TableBullet"/>
            </w:pPr>
            <w:r w:rsidRPr="0071391B">
              <w:t>Phase 1 was completed in late 2019 where ALERT was adapted as a school-wide approach (tier one). Universal training and support were provided to staff in the two schools. As staff learn and embed ALERT language and strategies, it is expected that all learners will improve their ability to self-regulate and both teachers and learners will i</w:t>
            </w:r>
            <w:r>
              <w:t>mprove their overall wellbeing.</w:t>
            </w:r>
          </w:p>
          <w:p w14:paraId="5609241E" w14:textId="58488312" w:rsidR="000278AD" w:rsidRPr="000278AD" w:rsidRDefault="000278AD" w:rsidP="000278AD">
            <w:pPr>
              <w:pStyle w:val="TableBullet"/>
            </w:pPr>
            <w:r w:rsidRPr="0071391B">
              <w:t>Phase 2, including</w:t>
            </w:r>
            <w:r w:rsidRPr="00ED48EB">
              <w:rPr>
                <w:b/>
                <w:bCs/>
              </w:rPr>
              <w:t xml:space="preserve"> </w:t>
            </w:r>
            <w:r w:rsidRPr="0071391B">
              <w:t xml:space="preserve">tier two and three, focused on ensuring both school and home environments of learners with additional needs are supportive of their sensory needs. Learners were identified by their teacher as having participation or learning difficulties or compromised wellbeing. The wellbeing of all </w:t>
            </w:r>
            <w:proofErr w:type="spellStart"/>
            <w:r w:rsidRPr="0071391B">
              <w:t>ākonga</w:t>
            </w:r>
            <w:proofErr w:type="spellEnd"/>
            <w:r w:rsidRPr="0071391B">
              <w:t xml:space="preserve"> was supported by the continuation of the ALERT school-wide approach during phase 2. ALERT phase two evaluation</w:t>
            </w:r>
            <w:r w:rsidRPr="00ED48EB">
              <w:rPr>
                <w:b/>
                <w:bCs/>
              </w:rPr>
              <w:t xml:space="preserve"> </w:t>
            </w:r>
            <w:r w:rsidRPr="0071391B">
              <w:t xml:space="preserve">is </w:t>
            </w:r>
            <w:r>
              <w:t>in progress.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B7654" w14:textId="44150A8E" w:rsidR="000278AD" w:rsidRDefault="000278AD" w:rsidP="000278AD">
            <w:pPr>
              <w:pStyle w:val="TableText"/>
            </w:pPr>
            <w:r>
              <w:t>Complete and ongoing</w:t>
            </w:r>
          </w:p>
        </w:tc>
      </w:tr>
    </w:tbl>
    <w:p w14:paraId="5E83411A" w14:textId="77777777" w:rsidR="000278AD" w:rsidRDefault="000278AD" w:rsidP="000278AD"/>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0278AD" w14:paraId="0198D453" w14:textId="77777777" w:rsidTr="000278A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F47E2A" w14:textId="77777777" w:rsidR="000278AD" w:rsidRPr="00FD689A" w:rsidRDefault="000278AD" w:rsidP="007300CC">
            <w:pPr>
              <w:pStyle w:val="Heading1"/>
              <w:outlineLvl w:val="0"/>
            </w:pPr>
            <w:r w:rsidRPr="00FD689A">
              <w:t>Support</w:t>
            </w:r>
          </w:p>
        </w:tc>
      </w:tr>
      <w:tr w:rsidR="00C00781" w14:paraId="14706B04" w14:textId="77777777" w:rsidTr="000278A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01ADAD" w14:textId="5FB84429" w:rsidR="00C00781" w:rsidRPr="009F416E" w:rsidRDefault="00C00781" w:rsidP="000278AD">
            <w:pPr>
              <w:pStyle w:val="Heading2"/>
              <w:outlineLvl w:val="1"/>
            </w:pPr>
            <w:r w:rsidRPr="009F416E">
              <w:t xml:space="preserve">Specific action 7: Improve the capability </w:t>
            </w:r>
            <w:r w:rsidR="000278AD">
              <w:t>of clinicians to diagnose FASD</w:t>
            </w:r>
          </w:p>
        </w:tc>
      </w:tr>
      <w:tr w:rsidR="007742F2" w14:paraId="1682AA45" w14:textId="77777777" w:rsidTr="000278AD">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A256F4" w14:textId="48DC001E" w:rsidR="007742F2" w:rsidRPr="00D6276D" w:rsidRDefault="00EF4161" w:rsidP="000278AD">
            <w:pPr>
              <w:pStyle w:val="Heading3"/>
              <w:outlineLvl w:val="2"/>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7DEEBE94" w14:textId="72AEE25C" w:rsidR="007742F2" w:rsidRPr="00D6276D" w:rsidRDefault="0078376C" w:rsidP="000278AD">
            <w:pPr>
              <w:pStyle w:val="Heading3"/>
              <w:outlineLvl w:val="2"/>
              <w:rPr>
                <w:rFonts w:ascii="Arial" w:hAnsi="Arial" w:cs="Arial"/>
                <w:sz w:val="24"/>
                <w:szCs w:val="24"/>
              </w:rPr>
            </w:pPr>
            <w:r w:rsidRPr="00D6276D">
              <w:t>Activities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4B124234" w14:textId="3430FF1A" w:rsidR="0078376C" w:rsidRPr="00D6276D" w:rsidRDefault="000278AD" w:rsidP="000278AD">
            <w:pPr>
              <w:pStyle w:val="Heading3"/>
              <w:outlineLvl w:val="2"/>
            </w:pPr>
            <w:r>
              <w:t>Status</w:t>
            </w:r>
          </w:p>
        </w:tc>
      </w:tr>
      <w:tr w:rsidR="000278AD" w14:paraId="288E592B"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4C8BC3" w14:textId="5F161711" w:rsidR="000278AD" w:rsidRDefault="000278AD" w:rsidP="007300CC">
            <w:pPr>
              <w:pStyle w:val="TableText"/>
            </w:pPr>
            <w:r>
              <w:t>20.</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57D5BA2" w14:textId="77777777" w:rsidR="000278AD" w:rsidRDefault="000278AD" w:rsidP="000278AD">
            <w:pPr>
              <w:pStyle w:val="Heading4"/>
              <w:outlineLvl w:val="3"/>
            </w:pPr>
            <w:r w:rsidRPr="00C63C81">
              <w:t>Develop and test a minim</w:t>
            </w:r>
            <w:r>
              <w:t>um assessment protocol for FASD</w:t>
            </w:r>
          </w:p>
          <w:p w14:paraId="5A9ABCFC" w14:textId="2E09D729" w:rsidR="000278AD" w:rsidRPr="005302FE" w:rsidRDefault="000278AD" w:rsidP="000278AD">
            <w:pPr>
              <w:pStyle w:val="TableBullet"/>
            </w:pPr>
            <w:proofErr w:type="spellStart"/>
            <w:r w:rsidRPr="00E5646C">
              <w:t>M</w:t>
            </w:r>
            <w:r>
              <w:t>o</w:t>
            </w:r>
            <w:r w:rsidRPr="00E5646C">
              <w:t>H</w:t>
            </w:r>
            <w:proofErr w:type="spellEnd"/>
            <w:r w:rsidRPr="00E5646C">
              <w:t xml:space="preserve"> tested a minimum assessment protocol for FASD with the Leading Lights</w:t>
            </w:r>
            <w:r>
              <w:t xml:space="preserve"> (LL)</w:t>
            </w:r>
            <w:r w:rsidRPr="00E5646C">
              <w:t xml:space="preserve"> pilot group of the Growing Up in NZ (</w:t>
            </w:r>
            <w:proofErr w:type="spellStart"/>
            <w:r w:rsidRPr="00E5646C">
              <w:t>GUiNZ</w:t>
            </w:r>
            <w:proofErr w:type="spellEnd"/>
            <w:r w:rsidRPr="00E5646C">
              <w:t>) cohort</w:t>
            </w: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510734" w14:textId="0607BE4E" w:rsidR="000278AD" w:rsidRPr="0032370C" w:rsidRDefault="000278AD" w:rsidP="007300CC">
            <w:pPr>
              <w:pStyle w:val="TableText"/>
            </w:pPr>
            <w:r>
              <w:t>Complete</w:t>
            </w:r>
          </w:p>
        </w:tc>
      </w:tr>
      <w:tr w:rsidR="000278AD" w14:paraId="15B2A8AA"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3AACBC" w14:textId="01FD41E7" w:rsidR="000278AD" w:rsidRDefault="000278AD" w:rsidP="007300CC">
            <w:pPr>
              <w:pStyle w:val="TableText"/>
            </w:pPr>
            <w:r>
              <w:t>21.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2D6A114" w14:textId="7137F60D" w:rsidR="000278AD" w:rsidRDefault="000278AD" w:rsidP="000278AD">
            <w:pPr>
              <w:pStyle w:val="Heading4"/>
              <w:outlineLvl w:val="3"/>
            </w:pPr>
            <w:r w:rsidRPr="00E5646C">
              <w:t>Test the accuracy and usability of facial screening software for FASD in a New Zealand cohort</w:t>
            </w:r>
          </w:p>
          <w:p w14:paraId="610177A5" w14:textId="0AE74C5C" w:rsidR="000278AD" w:rsidRPr="005302FE" w:rsidRDefault="000278AD" w:rsidP="000278AD">
            <w:pPr>
              <w:pStyle w:val="TableBullet"/>
            </w:pPr>
            <w:proofErr w:type="spellStart"/>
            <w:r w:rsidRPr="008765BE">
              <w:t>M</w:t>
            </w:r>
            <w:r>
              <w:t>o</w:t>
            </w:r>
            <w:r w:rsidRPr="008765BE">
              <w:t>H</w:t>
            </w:r>
            <w:proofErr w:type="spellEnd"/>
            <w:r w:rsidRPr="008765BE">
              <w:t xml:space="preserve"> tested the accuracy and usability of software which used clinical photography to assist a clinician to identify facial characteristics linked to </w:t>
            </w:r>
            <w:proofErr w:type="spellStart"/>
            <w:r w:rsidRPr="008765BE">
              <w:t>fetal</w:t>
            </w:r>
            <w:proofErr w:type="spellEnd"/>
            <w:r w:rsidRPr="008765BE">
              <w:t xml:space="preserve"> alcohol syndrome.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57DC7F" w14:textId="269FAFA5" w:rsidR="000278AD" w:rsidRPr="0032370C" w:rsidRDefault="000278AD" w:rsidP="007300CC">
            <w:pPr>
              <w:pStyle w:val="TableText"/>
            </w:pPr>
            <w:r>
              <w:t>Complete</w:t>
            </w:r>
          </w:p>
        </w:tc>
      </w:tr>
      <w:tr w:rsidR="000278AD" w14:paraId="67FF54FB"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99B6E35" w14:textId="496C122D" w:rsidR="000278AD" w:rsidRDefault="000278AD" w:rsidP="007300CC">
            <w:pPr>
              <w:pStyle w:val="TableText"/>
            </w:pPr>
            <w:r>
              <w:lastRenderedPageBreak/>
              <w:t>22.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37AF206" w14:textId="77777777" w:rsidR="000278AD" w:rsidRDefault="000278AD" w:rsidP="000278AD">
            <w:pPr>
              <w:pStyle w:val="Heading4"/>
              <w:outlineLvl w:val="3"/>
            </w:pPr>
            <w:r>
              <w:t>FASD assessment and diagnostic training</w:t>
            </w:r>
          </w:p>
          <w:p w14:paraId="5EA3A585" w14:textId="5BAEA99D" w:rsidR="000278AD" w:rsidRPr="00FF38AD" w:rsidRDefault="000278AD" w:rsidP="000278AD">
            <w:pPr>
              <w:pStyle w:val="TableBullet"/>
            </w:pPr>
            <w:proofErr w:type="spellStart"/>
            <w:r w:rsidRPr="00FF38AD">
              <w:t>M</w:t>
            </w:r>
            <w:r>
              <w:t>o</w:t>
            </w:r>
            <w:r w:rsidRPr="00FF38AD">
              <w:t>H</w:t>
            </w:r>
            <w:proofErr w:type="spellEnd"/>
            <w:r w:rsidRPr="00FF38AD">
              <w:t xml:space="preserve"> funded Alcohol Health Watch</w:t>
            </w:r>
            <w:r>
              <w:t xml:space="preserve"> (AHW)</w:t>
            </w:r>
            <w:r w:rsidRPr="00FF38AD">
              <w:t xml:space="preserve"> to conduct two clinical education days</w:t>
            </w:r>
            <w:r>
              <w:t>.</w:t>
            </w:r>
          </w:p>
          <w:p w14:paraId="4711DB3F" w14:textId="77777777" w:rsidR="000278AD" w:rsidRDefault="000278AD" w:rsidP="00B77E73">
            <w:pPr>
              <w:pStyle w:val="TableNumber"/>
              <w:numPr>
                <w:ilvl w:val="0"/>
                <w:numId w:val="31"/>
              </w:numPr>
              <w:ind w:left="568" w:hanging="284"/>
            </w:pPr>
            <w:r w:rsidRPr="004B046F">
              <w:t xml:space="preserve">The first </w:t>
            </w:r>
            <w:r w:rsidRPr="00B77E73">
              <w:t>coordinated</w:t>
            </w:r>
            <w:r w:rsidRPr="004B046F">
              <w:t xml:space="preserve"> for Auckland in May 2019, was a multi-disciplinary workshop on diagnostic protocols, comparing and contrasting the similarities and difference</w:t>
            </w:r>
            <w:r>
              <w:t>s</w:t>
            </w:r>
            <w:r w:rsidRPr="004B046F">
              <w:t xml:space="preserve"> of the Australian and Canadian models and their implication in practice. This was attended by 35 individual clinicians.</w:t>
            </w:r>
          </w:p>
          <w:p w14:paraId="1314EA5D" w14:textId="77777777" w:rsidR="000278AD" w:rsidRDefault="000278AD" w:rsidP="00B77E73">
            <w:pPr>
              <w:pStyle w:val="TableNumber"/>
            </w:pPr>
            <w:r w:rsidRPr="004B046F">
              <w:t>The second clinical workshop coordinated was held in February 2020 specifically for invited New Zealand psychologists.</w:t>
            </w:r>
          </w:p>
          <w:p w14:paraId="246FA989" w14:textId="77777777" w:rsidR="000278AD" w:rsidRPr="002C1747" w:rsidRDefault="000278AD" w:rsidP="000278AD">
            <w:pPr>
              <w:pStyle w:val="TableBullet"/>
              <w:rPr>
                <w:rFonts w:cstheme="minorHAnsi"/>
                <w:color w:val="000000"/>
              </w:rPr>
            </w:pPr>
            <w:r w:rsidRPr="002C1747">
              <w:rPr>
                <w:rFonts w:cstheme="minorHAnsi"/>
              </w:rPr>
              <w:t xml:space="preserve">Three one-hour webinars were arranged and delivered to </w:t>
            </w:r>
            <w:r>
              <w:rPr>
                <w:rFonts w:cstheme="minorHAnsi"/>
              </w:rPr>
              <w:t xml:space="preserve">the </w:t>
            </w:r>
            <w:r w:rsidRPr="002C1747">
              <w:rPr>
                <w:rFonts w:cstheme="minorHAnsi"/>
                <w:color w:val="000000"/>
              </w:rPr>
              <w:t>Australian New Zealand FASD Clinical Network (</w:t>
            </w:r>
            <w:r w:rsidRPr="002C1747">
              <w:rPr>
                <w:rFonts w:cstheme="minorHAnsi"/>
              </w:rPr>
              <w:t>ANZFASDCN) membership, each bringing a different perspective to understanding FASD.</w:t>
            </w:r>
          </w:p>
          <w:p w14:paraId="6AC7A5A3" w14:textId="77777777" w:rsidR="000278AD" w:rsidRPr="00010F35" w:rsidRDefault="000278AD" w:rsidP="000278AD">
            <w:pPr>
              <w:pStyle w:val="TableBullet"/>
              <w:rPr>
                <w:b/>
                <w:bCs/>
              </w:rPr>
            </w:pPr>
            <w:r>
              <w:t>A fourth webinar opportunity arose with FASD specialists in Canada who invited ANZFASDCN members to join a webinar discussing virtual team FASD diagnostic via telehealth. This was jointly funded with Canada and enabled 50 New Zealand clinicians, including paediatricians, to participate.</w:t>
            </w:r>
          </w:p>
          <w:p w14:paraId="0ADFDF11" w14:textId="4614DAEC" w:rsidR="000278AD" w:rsidRPr="000278AD" w:rsidRDefault="000278AD" w:rsidP="00B77E73">
            <w:pPr>
              <w:pStyle w:val="TableBullet"/>
            </w:pPr>
            <w:r w:rsidRPr="00F47679">
              <w:t>During 2021</w:t>
            </w:r>
            <w:r w:rsidR="00B77E73">
              <w:t>–</w:t>
            </w:r>
            <w:r w:rsidRPr="00F47679">
              <w:t>2022,</w:t>
            </w:r>
            <w:r w:rsidRPr="00F47679">
              <w:rPr>
                <w:b/>
                <w:bCs/>
              </w:rPr>
              <w:t xml:space="preserve"> </w:t>
            </w:r>
            <w:proofErr w:type="spellStart"/>
            <w:r w:rsidRPr="006601FA">
              <w:t>MoH</w:t>
            </w:r>
            <w:proofErr w:type="spellEnd"/>
            <w:r w:rsidRPr="006601FA">
              <w:t xml:space="preserve"> </w:t>
            </w:r>
            <w:r>
              <w:t xml:space="preserve">is </w:t>
            </w:r>
            <w:r w:rsidRPr="006601FA">
              <w:t>support</w:t>
            </w:r>
            <w:r>
              <w:t>ing</w:t>
            </w:r>
            <w:r w:rsidRPr="006601FA">
              <w:t xml:space="preserve"> AHW</w:t>
            </w:r>
            <w:r w:rsidRPr="00F47679">
              <w:rPr>
                <w:b/>
                <w:bCs/>
              </w:rPr>
              <w:t xml:space="preserve"> </w:t>
            </w:r>
            <w:r w:rsidRPr="00F47679">
              <w:t xml:space="preserve">to provide mentoring to trainees as they proceed to their first FASD diagnosis and to support </w:t>
            </w:r>
            <w:proofErr w:type="spellStart"/>
            <w:r w:rsidRPr="00F47679">
              <w:t>kaupapa</w:t>
            </w:r>
            <w:proofErr w:type="spellEnd"/>
            <w:r w:rsidRPr="00F47679">
              <w:t xml:space="preserve"> Māori approaches</w:t>
            </w:r>
            <w:r>
              <w:t xml:space="preserve"> in</w:t>
            </w:r>
            <w:r w:rsidRPr="00F47679">
              <w:t xml:space="preserve"> FASD clinical (and wider) network</w:t>
            </w:r>
            <w:r>
              <w:t>s</w:t>
            </w:r>
            <w:r w:rsidRPr="00F47679">
              <w:t>. This includes the development of a webinar for the cli</w:t>
            </w:r>
            <w:r>
              <w:t>nical network in November 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D53A9" w14:textId="7AB69B36" w:rsidR="000278AD" w:rsidRPr="0032370C" w:rsidRDefault="000278AD" w:rsidP="007300CC">
            <w:pPr>
              <w:pStyle w:val="TableText"/>
            </w:pPr>
            <w:r>
              <w:t>Complete</w:t>
            </w:r>
          </w:p>
        </w:tc>
      </w:tr>
      <w:tr w:rsidR="000278AD" w14:paraId="4F87D69E"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FD03FD9" w14:textId="7D8B0F94" w:rsidR="000278AD" w:rsidRDefault="000278AD" w:rsidP="007300CC">
            <w:pPr>
              <w:pStyle w:val="TableText"/>
            </w:pPr>
            <w:r>
              <w:t>23.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9EE19FD" w14:textId="77777777" w:rsidR="000278AD" w:rsidRDefault="00B77E73" w:rsidP="00B77E73">
            <w:pPr>
              <w:pStyle w:val="Heading4"/>
              <w:outlineLvl w:val="3"/>
            </w:pPr>
            <w:r w:rsidRPr="00C77C10">
              <w:t xml:space="preserve">Work with professional </w:t>
            </w:r>
            <w:r>
              <w:t xml:space="preserve">networks </w:t>
            </w:r>
            <w:r w:rsidRPr="00C77C10">
              <w:t xml:space="preserve">to support the implementation of consistent diagnostic guidelines for FASD in New Zealand, and embed them into core </w:t>
            </w:r>
            <w:r>
              <w:t>training</w:t>
            </w:r>
          </w:p>
          <w:p w14:paraId="328EC57F" w14:textId="77777777" w:rsidR="00B77E73" w:rsidRDefault="00B77E73" w:rsidP="00B77E73">
            <w:pPr>
              <w:pStyle w:val="TableBullet"/>
            </w:pPr>
            <w:proofErr w:type="spellStart"/>
            <w:r>
              <w:t>MoH</w:t>
            </w:r>
            <w:proofErr w:type="spellEnd"/>
            <w:r>
              <w:t xml:space="preserve"> </w:t>
            </w:r>
            <w:r w:rsidRPr="00496988">
              <w:t>has supported the development of an Australia-New Zealand network of clinicians working with people with FASD</w:t>
            </w:r>
            <w:r>
              <w:t>.</w:t>
            </w:r>
          </w:p>
          <w:p w14:paraId="132E39A8" w14:textId="2A3B5B26" w:rsidR="00B77E73" w:rsidRPr="005302FE" w:rsidRDefault="00B77E73" w:rsidP="00B77E73">
            <w:pPr>
              <w:pStyle w:val="TableBullet"/>
            </w:pPr>
            <w:proofErr w:type="spellStart"/>
            <w:r w:rsidRPr="00802627">
              <w:t>M</w:t>
            </w:r>
            <w:r>
              <w:t>o</w:t>
            </w:r>
            <w:r w:rsidRPr="00802627">
              <w:t>H</w:t>
            </w:r>
            <w:proofErr w:type="spellEnd"/>
            <w:r w:rsidRPr="00802627">
              <w:t xml:space="preserve"> supports the child development professional clinical network of The Paediatric Society of New Zealand. The network is open to a wider group of health professionals, inc</w:t>
            </w:r>
            <w:r>
              <w:t>luding those working with FASD.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66A2FE" w14:textId="4052E009" w:rsidR="000278AD" w:rsidRPr="0032370C" w:rsidRDefault="000278AD" w:rsidP="007300CC">
            <w:pPr>
              <w:pStyle w:val="TableText"/>
            </w:pPr>
            <w:r>
              <w:t>Complete and ongoing</w:t>
            </w:r>
          </w:p>
        </w:tc>
      </w:tr>
      <w:tr w:rsidR="000278AD" w14:paraId="5D897645" w14:textId="77777777" w:rsidTr="000278A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3FB81EB" w14:textId="5AE18ACA" w:rsidR="000278AD" w:rsidRDefault="000278AD" w:rsidP="007300CC">
            <w:pPr>
              <w:pStyle w:val="TableText"/>
            </w:pPr>
            <w:r>
              <w:t>24.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6B40C0EF" w14:textId="77777777" w:rsidR="000278AD" w:rsidRDefault="00B77E73" w:rsidP="00B77E73">
            <w:pPr>
              <w:pStyle w:val="Heading4"/>
              <w:outlineLvl w:val="3"/>
            </w:pPr>
            <w:r w:rsidRPr="005172AB">
              <w:rPr>
                <w:rFonts w:eastAsia="Times New Roman"/>
              </w:rPr>
              <w:t xml:space="preserve">Developing FASD clinical diagnostic guidelines and training </w:t>
            </w:r>
            <w:r w:rsidRPr="009C64BD">
              <w:rPr>
                <w:rFonts w:eastAsia="Times New Roman"/>
                <w:highlight w:val="yellow"/>
              </w:rPr>
              <w:t>(*</w:t>
            </w:r>
            <w:r w:rsidRPr="009C64BD">
              <w:rPr>
                <w:highlight w:val="yellow"/>
              </w:rPr>
              <w:t>Proceeds of Crime-funded initiative)</w:t>
            </w:r>
          </w:p>
          <w:p w14:paraId="42B40C7C" w14:textId="4C248B3A" w:rsidR="00B77E73" w:rsidRPr="005302FE" w:rsidRDefault="00B77E73" w:rsidP="00B77E73">
            <w:pPr>
              <w:pStyle w:val="TableBullet"/>
            </w:pPr>
            <w:r>
              <w:t xml:space="preserve">The project has been commissioned by </w:t>
            </w:r>
            <w:proofErr w:type="spellStart"/>
            <w:r>
              <w:t>MoH</w:t>
            </w:r>
            <w:proofErr w:type="spellEnd"/>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4FB96E" w14:textId="16943B76" w:rsidR="000278AD" w:rsidRPr="0032370C" w:rsidRDefault="00B77E73" w:rsidP="007300CC">
            <w:pPr>
              <w:pStyle w:val="TableText"/>
            </w:pPr>
            <w:r>
              <w:t>In progress</w:t>
            </w:r>
          </w:p>
        </w:tc>
      </w:tr>
    </w:tbl>
    <w:p w14:paraId="56B763EF" w14:textId="77777777" w:rsidR="000278AD" w:rsidRDefault="000278AD"/>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B77E73" w14:paraId="04BEE353" w14:textId="77777777" w:rsidTr="00B77E73">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99B12" w14:textId="77777777" w:rsidR="00B77E73" w:rsidRPr="00FD689A" w:rsidRDefault="00B77E73" w:rsidP="007300CC">
            <w:pPr>
              <w:pStyle w:val="Heading1"/>
              <w:outlineLvl w:val="0"/>
            </w:pPr>
            <w:r w:rsidRPr="00FD689A">
              <w:lastRenderedPageBreak/>
              <w:t>Support</w:t>
            </w:r>
          </w:p>
        </w:tc>
      </w:tr>
      <w:tr w:rsidR="00C00781" w14:paraId="708F2C3B" w14:textId="77777777" w:rsidTr="00B77E73">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71EC9E" w14:textId="661BFA19" w:rsidR="00C00781" w:rsidRPr="009B5FE8" w:rsidRDefault="00C00781" w:rsidP="00B77E73">
            <w:pPr>
              <w:pStyle w:val="Heading2"/>
              <w:outlineLvl w:val="1"/>
              <w:rPr>
                <w:color w:val="000000"/>
              </w:rPr>
            </w:pPr>
            <w:r w:rsidRPr="009B5FE8">
              <w:t>Specific action 8: Improve cross-sector collaboration and capacity to provide effective assessments for people</w:t>
            </w:r>
            <w:r>
              <w:t xml:space="preserve"> </w:t>
            </w:r>
            <w:r w:rsidRPr="009B5FE8">
              <w:t>showing signs of significant neurodevelopmental impairment</w:t>
            </w:r>
          </w:p>
        </w:tc>
      </w:tr>
      <w:tr w:rsidR="003963CC" w14:paraId="567A2E9C" w14:textId="77777777" w:rsidTr="00B77E73">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408F475" w14:textId="143E2FB8" w:rsidR="00EB1C56" w:rsidRPr="00475770" w:rsidRDefault="00A642D9" w:rsidP="00B77E73">
            <w:pPr>
              <w:pStyle w:val="Heading3"/>
              <w:outlineLvl w:val="2"/>
              <w:rPr>
                <w:rFonts w:cstheme="minorHAnsi"/>
              </w:rPr>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6696E91E" w14:textId="26D8C7D7" w:rsidR="00EB1C56" w:rsidRPr="00475770" w:rsidRDefault="00EB1C56" w:rsidP="00B77E73">
            <w:pPr>
              <w:pStyle w:val="Heading3"/>
              <w:outlineLvl w:val="2"/>
            </w:pPr>
            <w:r w:rsidRPr="00475770">
              <w:t xml:space="preserve">Activities and progress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467A2214" w14:textId="129303CB" w:rsidR="00EB1C56" w:rsidRPr="00475770" w:rsidRDefault="00475770" w:rsidP="00B77E73">
            <w:pPr>
              <w:pStyle w:val="Heading3"/>
              <w:outlineLvl w:val="2"/>
            </w:pPr>
            <w:r w:rsidRPr="00475770">
              <w:t>St</w:t>
            </w:r>
            <w:r w:rsidRPr="00B77E73">
              <w:rPr>
                <w:rStyle w:val="Heading3Char"/>
              </w:rPr>
              <w:t>a</w:t>
            </w:r>
            <w:r w:rsidR="00B77E73">
              <w:t>tus</w:t>
            </w:r>
          </w:p>
        </w:tc>
      </w:tr>
      <w:tr w:rsidR="00B77E73" w14:paraId="51DB9B61"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1817FF" w14:textId="2D052D15" w:rsidR="00B77E73" w:rsidRDefault="00B77E73" w:rsidP="007300CC">
            <w:pPr>
              <w:pStyle w:val="TableText"/>
            </w:pPr>
            <w:r>
              <w:t>25.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BECBDF8" w14:textId="77777777" w:rsidR="00B77E73" w:rsidRDefault="00B77E73" w:rsidP="00B77E73">
            <w:pPr>
              <w:pStyle w:val="Heading4"/>
              <w:outlineLvl w:val="3"/>
            </w:pPr>
            <w:r w:rsidRPr="00B65840">
              <w:t xml:space="preserve">Work with clinical reference group to develop research, </w:t>
            </w:r>
            <w:proofErr w:type="gramStart"/>
            <w:r w:rsidRPr="00B65840">
              <w:t>screening</w:t>
            </w:r>
            <w:proofErr w:type="gramEnd"/>
            <w:r w:rsidRPr="00B65840">
              <w:t xml:space="preserve"> and assessment protocols</w:t>
            </w:r>
          </w:p>
          <w:p w14:paraId="587A1F4F" w14:textId="7CB4D1BB" w:rsidR="00B77E73" w:rsidRDefault="00B77E73" w:rsidP="00B77E73">
            <w:pPr>
              <w:pStyle w:val="TableBullet"/>
            </w:pPr>
            <w:proofErr w:type="spellStart"/>
            <w:r w:rsidRPr="00CC4B59">
              <w:t>M</w:t>
            </w:r>
            <w:r>
              <w:t>o</w:t>
            </w:r>
            <w:r w:rsidRPr="00CC4B59">
              <w:t>H</w:t>
            </w:r>
            <w:proofErr w:type="spellEnd"/>
            <w:r w:rsidRPr="00CC4B59">
              <w:t>, DHB clinicians an</w:t>
            </w:r>
            <w:r>
              <w:t xml:space="preserve">d the </w:t>
            </w:r>
            <w:proofErr w:type="spellStart"/>
            <w:r w:rsidRPr="00CC4B59">
              <w:t>GuiNZ</w:t>
            </w:r>
            <w:proofErr w:type="spellEnd"/>
            <w:r w:rsidRPr="00CC4B59">
              <w:t xml:space="preserve"> team developed research, screening and assessment protocols that were tested with the </w:t>
            </w:r>
            <w:r>
              <w:t>LL </w:t>
            </w:r>
            <w:r w:rsidRPr="00CC4B59">
              <w:t xml:space="preserve">group of the </w:t>
            </w:r>
            <w:proofErr w:type="spellStart"/>
            <w:r w:rsidRPr="00CC4B59">
              <w:t>GUiNZ</w:t>
            </w:r>
            <w:proofErr w:type="spellEnd"/>
            <w:r w:rsidRPr="00CC4B59">
              <w:t xml:space="preserve"> study.</w:t>
            </w:r>
          </w:p>
          <w:p w14:paraId="6C5D755D" w14:textId="3FDEE62C" w:rsidR="00B77E73" w:rsidRPr="005302FE" w:rsidRDefault="00B77E73" w:rsidP="00B77E73">
            <w:pPr>
              <w:pStyle w:val="TableBullet"/>
            </w:pPr>
            <w:r w:rsidRPr="00A64A0C">
              <w:t>See activity 20 above</w:t>
            </w: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6C67EC" w14:textId="54686B9A" w:rsidR="00B77E73" w:rsidRPr="0032370C" w:rsidRDefault="00B77E73" w:rsidP="007300CC">
            <w:pPr>
              <w:pStyle w:val="TableText"/>
            </w:pPr>
            <w:r>
              <w:t>Complete</w:t>
            </w:r>
          </w:p>
        </w:tc>
      </w:tr>
      <w:tr w:rsidR="00B77E73" w14:paraId="5B4F3482"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D1D10F8" w14:textId="65310DE8" w:rsidR="00B77E73" w:rsidRDefault="00B77E73" w:rsidP="007300CC">
            <w:pPr>
              <w:pStyle w:val="TableText"/>
            </w:pPr>
            <w:r>
              <w:t>26.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D53910A" w14:textId="27D645E6" w:rsidR="00B77E73" w:rsidRPr="003578DE" w:rsidRDefault="00B77E73" w:rsidP="00B77E73">
            <w:pPr>
              <w:pStyle w:val="Heading4"/>
              <w:outlineLvl w:val="3"/>
            </w:pPr>
            <w:r w:rsidRPr="003578DE">
              <w:t>Pilots in three Pregnancy and Parenting Support Services</w:t>
            </w:r>
            <w:r>
              <w:t xml:space="preserve"> (PPS) </w:t>
            </w:r>
            <w:r w:rsidRPr="003578DE">
              <w:t xml:space="preserve">and Child Development Services </w:t>
            </w:r>
            <w:r>
              <w:t>(</w:t>
            </w:r>
            <w:proofErr w:type="spellStart"/>
            <w:r>
              <w:t>PoC</w:t>
            </w:r>
            <w:proofErr w:type="spellEnd"/>
            <w:r>
              <w:t xml:space="preserve"> 2019 funded)</w:t>
            </w:r>
          </w:p>
          <w:p w14:paraId="1F20CE77" w14:textId="68C8834E" w:rsidR="00B77E73" w:rsidRPr="00B65840" w:rsidRDefault="00B77E73" w:rsidP="00B77E73">
            <w:pPr>
              <w:pStyle w:val="TableBullet"/>
            </w:pPr>
            <w:r w:rsidRPr="008F6833">
              <w:t xml:space="preserve">See activity </w:t>
            </w:r>
            <w:r>
              <w:t>30 below.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D72F0" w14:textId="42F2F8D7" w:rsidR="00B77E73" w:rsidRPr="0032370C" w:rsidRDefault="00B77E73" w:rsidP="007300CC">
            <w:pPr>
              <w:pStyle w:val="TableText"/>
            </w:pPr>
            <w:r>
              <w:t>In progress</w:t>
            </w:r>
          </w:p>
        </w:tc>
      </w:tr>
    </w:tbl>
    <w:p w14:paraId="2A239C47" w14:textId="77777777" w:rsidR="00B77E73" w:rsidRDefault="00B77E73"/>
    <w:tbl>
      <w:tblPr>
        <w:tblStyle w:val="TableGrid"/>
        <w:tblW w:w="14601" w:type="dxa"/>
        <w:tblInd w:w="85" w:type="dxa"/>
        <w:tblLayout w:type="fixed"/>
        <w:tblCellMar>
          <w:left w:w="85" w:type="dxa"/>
          <w:right w:w="85" w:type="dxa"/>
        </w:tblCellMar>
        <w:tblLook w:val="04A0" w:firstRow="1" w:lastRow="0" w:firstColumn="1" w:lastColumn="0" w:noHBand="0" w:noVBand="1"/>
      </w:tblPr>
      <w:tblGrid>
        <w:gridCol w:w="1134"/>
        <w:gridCol w:w="12049"/>
        <w:gridCol w:w="1418"/>
      </w:tblGrid>
      <w:tr w:rsidR="00B77E73" w14:paraId="7469F26C" w14:textId="77777777" w:rsidTr="00B77E73">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DBAC33" w14:textId="77777777" w:rsidR="00B77E73" w:rsidRPr="00FD689A" w:rsidRDefault="00B77E73" w:rsidP="007300CC">
            <w:pPr>
              <w:pStyle w:val="Heading1"/>
              <w:outlineLvl w:val="0"/>
            </w:pPr>
            <w:r w:rsidRPr="00FD689A">
              <w:t>Support</w:t>
            </w:r>
          </w:p>
        </w:tc>
      </w:tr>
      <w:tr w:rsidR="00C00781" w14:paraId="097F039B" w14:textId="77777777" w:rsidTr="00B77E73">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C3B837" w14:textId="577F6917" w:rsidR="00C00781" w:rsidRPr="00364BF0" w:rsidRDefault="00C00781" w:rsidP="00B77E73">
            <w:pPr>
              <w:pStyle w:val="Heading3"/>
              <w:outlineLvl w:val="2"/>
            </w:pPr>
            <w:r w:rsidRPr="002158BB">
              <w:rPr>
                <w:rFonts w:cstheme="minorHAnsi"/>
              </w:rPr>
              <w:t xml:space="preserve">Specific action </w:t>
            </w:r>
            <w:r>
              <w:rPr>
                <w:rFonts w:cstheme="minorHAnsi"/>
              </w:rPr>
              <w:t>9</w:t>
            </w:r>
            <w:r w:rsidRPr="002158BB">
              <w:rPr>
                <w:rFonts w:cstheme="minorHAnsi"/>
              </w:rPr>
              <w:t xml:space="preserve">: </w:t>
            </w:r>
            <w:r w:rsidRPr="002158BB">
              <w:t xml:space="preserve">Develop a coordinated, consistent, </w:t>
            </w:r>
            <w:proofErr w:type="gramStart"/>
            <w:r w:rsidRPr="002158BB">
              <w:t>accessible</w:t>
            </w:r>
            <w:proofErr w:type="gramEnd"/>
            <w:r w:rsidRPr="002158BB">
              <w:t xml:space="preserve"> and appropriately resourced pathway for supporting affected people and their families, </w:t>
            </w:r>
            <w:proofErr w:type="spellStart"/>
            <w:r w:rsidRPr="002158BB">
              <w:t>whānau</w:t>
            </w:r>
            <w:proofErr w:type="spellEnd"/>
            <w:r w:rsidRPr="002158BB">
              <w:t xml:space="preserve"> and caregivers</w:t>
            </w:r>
          </w:p>
        </w:tc>
      </w:tr>
      <w:tr w:rsidR="001D65C6" w14:paraId="450D7B9E" w14:textId="77777777" w:rsidTr="00B77E73">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FA4F806" w14:textId="523709DD" w:rsidR="001D65C6" w:rsidRPr="00701F71" w:rsidRDefault="00364BF0" w:rsidP="00B77E73">
            <w:pPr>
              <w:pStyle w:val="Heading4"/>
              <w:outlineLvl w:val="3"/>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7E6E6" w:themeFill="background2"/>
          </w:tcPr>
          <w:p w14:paraId="36CBC237" w14:textId="2A6A735D" w:rsidR="001D65C6" w:rsidRPr="00701F71" w:rsidRDefault="00B77E73" w:rsidP="00B77E73">
            <w:pPr>
              <w:pStyle w:val="Heading4"/>
              <w:outlineLvl w:val="3"/>
            </w:pPr>
            <w:r>
              <w:t>Activities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41E68F1F" w14:textId="00245864" w:rsidR="001D65C6" w:rsidRPr="00701F71" w:rsidRDefault="00B77E73" w:rsidP="00B77E73">
            <w:pPr>
              <w:pStyle w:val="Heading4"/>
              <w:outlineLvl w:val="3"/>
            </w:pPr>
            <w:r>
              <w:t>Status</w:t>
            </w:r>
          </w:p>
        </w:tc>
      </w:tr>
      <w:tr w:rsidR="00B77E73" w14:paraId="388D215E"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B4FC5E" w14:textId="6300D0AB" w:rsidR="00B77E73" w:rsidRDefault="00B77E73" w:rsidP="007300CC">
            <w:pPr>
              <w:pStyle w:val="TableText"/>
            </w:pPr>
            <w:r>
              <w:t>27.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84E7EB2" w14:textId="77777777" w:rsidR="00B77E73" w:rsidRDefault="00B77E73" w:rsidP="00B77E73">
            <w:pPr>
              <w:pStyle w:val="Heading4"/>
              <w:outlineLvl w:val="3"/>
            </w:pPr>
            <w:r w:rsidRPr="005E69A3">
              <w:t>Undertake a stocktake and gap analysis of FASD interventions, services and supports</w:t>
            </w:r>
          </w:p>
          <w:p w14:paraId="1FA6A039" w14:textId="77777777" w:rsidR="00B77E73" w:rsidRDefault="00B77E73" w:rsidP="00B77E73">
            <w:pPr>
              <w:pStyle w:val="TableBullet"/>
            </w:pPr>
            <w:r w:rsidRPr="00502F84">
              <w:t>An overview of services available for people with FASD and their families was completed by Litmus in March 2017. The report provides a high-level summary stocktake and gap analysis of services for children and young people with neurodevelopmental delays</w:t>
            </w:r>
            <w:r>
              <w:t>.</w:t>
            </w:r>
          </w:p>
          <w:p w14:paraId="2EB5496B" w14:textId="565D80E0" w:rsidR="00B77E73" w:rsidRPr="00B65840" w:rsidRDefault="00B77E73" w:rsidP="00B77E73">
            <w:pPr>
              <w:pStyle w:val="TableBullet"/>
            </w:pPr>
            <w:r w:rsidRPr="00502F84">
              <w:t>See activity 1</w:t>
            </w:r>
            <w:r>
              <w:t>5</w:t>
            </w:r>
            <w:r w:rsidRPr="00502F84">
              <w:t xml:space="preserve"> above</w:t>
            </w:r>
            <w:r>
              <w:rPr>
                <w:rFonts w:ascii="Arial" w:hAnsi="Arial" w:cs="Arial"/>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CE6888" w14:textId="3FA072E0" w:rsidR="00B77E73" w:rsidRPr="0032370C" w:rsidRDefault="00B77E73" w:rsidP="007300CC">
            <w:pPr>
              <w:pStyle w:val="TableText"/>
            </w:pPr>
            <w:r>
              <w:t>Complete</w:t>
            </w:r>
          </w:p>
        </w:tc>
      </w:tr>
      <w:tr w:rsidR="00B77E73" w14:paraId="49FFBFAC"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BC5A7A" w14:textId="736911B5" w:rsidR="00B77E73" w:rsidRDefault="00B77E73" w:rsidP="007300CC">
            <w:pPr>
              <w:pStyle w:val="TableText"/>
            </w:pPr>
            <w:r>
              <w:lastRenderedPageBreak/>
              <w:t>28.</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52B75DD8" w14:textId="77777777" w:rsidR="00B77E73" w:rsidRDefault="00B77E73" w:rsidP="00B77E73">
            <w:pPr>
              <w:pStyle w:val="Heading4"/>
              <w:outlineLvl w:val="3"/>
            </w:pPr>
            <w:r w:rsidRPr="00F04517">
              <w:t>Focus on neurodevelopmental need within the Special Education Update</w:t>
            </w:r>
          </w:p>
          <w:p w14:paraId="06E7D1B1" w14:textId="3D7C28B7" w:rsidR="00B77E73" w:rsidRPr="00B77E73" w:rsidRDefault="00B77E73" w:rsidP="00B77E73">
            <w:r>
              <w:t xml:space="preserve">A priority area in </w:t>
            </w:r>
            <w:proofErr w:type="spellStart"/>
            <w:r>
              <w:t>MoE’s</w:t>
            </w:r>
            <w:proofErr w:type="spellEnd"/>
            <w:r>
              <w:t xml:space="preserve"> </w:t>
            </w:r>
            <w:r w:rsidRPr="00F6401E">
              <w:rPr>
                <w:i/>
                <w:iCs/>
              </w:rPr>
              <w:t>Le</w:t>
            </w:r>
            <w:r>
              <w:rPr>
                <w:i/>
                <w:iCs/>
              </w:rPr>
              <w:t>arning Support Action Plan 2019–</w:t>
            </w:r>
            <w:r w:rsidRPr="00F6401E">
              <w:rPr>
                <w:i/>
                <w:iCs/>
              </w:rPr>
              <w:t>2025</w:t>
            </w:r>
            <w:r>
              <w:t xml:space="preserve"> is ‘Flexible supports for neurodiverse learners’. </w:t>
            </w:r>
            <w:r w:rsidRPr="00F6401E">
              <w:t>Implementation work is under</w:t>
            </w:r>
            <w:r>
              <w:t xml:space="preserve"> </w:t>
            </w:r>
            <w:r w:rsidRPr="00F6401E">
              <w:t xml:space="preserve">way to help build the understanding and confidence of early learning services, me </w:t>
            </w:r>
            <w:proofErr w:type="spellStart"/>
            <w:r w:rsidRPr="00F6401E">
              <w:t>ngā</w:t>
            </w:r>
            <w:proofErr w:type="spellEnd"/>
            <w:r w:rsidRPr="00F6401E">
              <w:t xml:space="preserve"> </w:t>
            </w:r>
            <w:proofErr w:type="spellStart"/>
            <w:r w:rsidRPr="00F6401E">
              <w:t>kohanga</w:t>
            </w:r>
            <w:proofErr w:type="spellEnd"/>
            <w:r w:rsidRPr="00F6401E">
              <w:t xml:space="preserve"> </w:t>
            </w:r>
            <w:proofErr w:type="spellStart"/>
            <w:r w:rsidRPr="00F6401E">
              <w:t>reo</w:t>
            </w:r>
            <w:proofErr w:type="spellEnd"/>
            <w:r w:rsidRPr="00F6401E">
              <w:t xml:space="preserve"> (early learning services), schools and </w:t>
            </w:r>
            <w:proofErr w:type="spellStart"/>
            <w:r w:rsidRPr="00F6401E">
              <w:t>kura</w:t>
            </w:r>
            <w:proofErr w:type="spellEnd"/>
            <w:r w:rsidRPr="00F6401E">
              <w:t xml:space="preserve"> to respond to neurodiverse children and young people. </w:t>
            </w:r>
            <w:proofErr w:type="spellStart"/>
            <w:r>
              <w:t>MoE</w:t>
            </w:r>
            <w:proofErr w:type="spellEnd"/>
            <w:r>
              <w:t xml:space="preserve"> </w:t>
            </w:r>
            <w:r w:rsidRPr="00F6401E">
              <w:t>provide</w:t>
            </w:r>
            <w:r>
              <w:t>s</w:t>
            </w:r>
            <w:r w:rsidRPr="00F6401E">
              <w:t xml:space="preserve"> around 350 study awards annually for early learning and </w:t>
            </w:r>
            <w:proofErr w:type="gramStart"/>
            <w:r w:rsidRPr="00F6401E">
              <w:t>school teachers</w:t>
            </w:r>
            <w:proofErr w:type="gramEnd"/>
            <w:r w:rsidRPr="00F6401E">
              <w:t xml:space="preserve"> to ensure the availability of a specialist teacher workforce.</w:t>
            </w:r>
            <w:r>
              <w:t xml:space="preserve"> </w:t>
            </w:r>
            <w:proofErr w:type="spellStart"/>
            <w:r>
              <w:t>MoE</w:t>
            </w:r>
            <w:proofErr w:type="spellEnd"/>
            <w:r>
              <w:t xml:space="preserve"> </w:t>
            </w:r>
            <w:r w:rsidRPr="00F6401E">
              <w:t>has</w:t>
            </w:r>
            <w:r>
              <w:t xml:space="preserve"> </w:t>
            </w:r>
            <w:r w:rsidRPr="00F6401E">
              <w:t xml:space="preserve">contracted Massey University to provide a new post-graduate qualification from 2021 with strengthened core content on neurodiversity across all endorsements and a study pathway for </w:t>
            </w:r>
            <w:proofErr w:type="spellStart"/>
            <w:r w:rsidRPr="00F6401E">
              <w:t>kaiako</w:t>
            </w:r>
            <w:proofErr w:type="spellEnd"/>
            <w:r w:rsidRPr="00F6401E">
              <w:t xml:space="preserve"> working in </w:t>
            </w:r>
            <w:proofErr w:type="spellStart"/>
            <w:r w:rsidRPr="00F6401E">
              <w:t>te</w:t>
            </w:r>
            <w:proofErr w:type="spellEnd"/>
            <w:r w:rsidRPr="00F6401E">
              <w:t xml:space="preserve"> </w:t>
            </w:r>
            <w:proofErr w:type="spellStart"/>
            <w:r w:rsidRPr="00F6401E">
              <w:t>kōhanga</w:t>
            </w:r>
            <w:proofErr w:type="spellEnd"/>
            <w:r w:rsidRPr="00F6401E">
              <w:t xml:space="preserve"> </w:t>
            </w:r>
            <w:proofErr w:type="spellStart"/>
            <w:r w:rsidRPr="00F6401E">
              <w:t>reo</w:t>
            </w:r>
            <w:proofErr w:type="spellEnd"/>
            <w:r w:rsidRPr="00F6401E">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41ED7" w14:textId="297CB2C3" w:rsidR="00B77E73" w:rsidRDefault="00B77E73" w:rsidP="007300CC">
            <w:pPr>
              <w:pStyle w:val="TableText"/>
            </w:pPr>
            <w:r>
              <w:t>Complete</w:t>
            </w:r>
          </w:p>
        </w:tc>
      </w:tr>
      <w:tr w:rsidR="00B77E73" w14:paraId="0AA24757"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74C516" w14:textId="5001F499" w:rsidR="00B77E73" w:rsidRDefault="00B77E73" w:rsidP="007300CC">
            <w:pPr>
              <w:pStyle w:val="TableText"/>
            </w:pPr>
            <w:r>
              <w:t>29.</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B0BE369" w14:textId="77777777" w:rsidR="00B77E73" w:rsidRDefault="00B77E73" w:rsidP="00B77E73">
            <w:pPr>
              <w:pStyle w:val="Heading4"/>
              <w:outlineLvl w:val="3"/>
            </w:pPr>
            <w:r w:rsidRPr="0071391B">
              <w:t xml:space="preserve">Gateway </w:t>
            </w:r>
            <w:r>
              <w:t>Assessments and FASD</w:t>
            </w:r>
          </w:p>
          <w:p w14:paraId="0CBF219C" w14:textId="77777777" w:rsidR="00B77E73" w:rsidRDefault="00B77E73" w:rsidP="00B77E73">
            <w:pPr>
              <w:pStyle w:val="TableBullet"/>
            </w:pPr>
            <w:r>
              <w:t xml:space="preserve">Gateway Assessments are provided for children and young people involved with the statutory care system and are a critical avenue for identifying children with FASD among a high-risk population. </w:t>
            </w:r>
            <w:proofErr w:type="spellStart"/>
            <w:r>
              <w:t>Oranga</w:t>
            </w:r>
            <w:proofErr w:type="spellEnd"/>
            <w:r>
              <w:t xml:space="preserve"> Tamariki contracts with all DHBs to assess the health needs of children in, entering, or at risk of entering care.</w:t>
            </w:r>
          </w:p>
          <w:p w14:paraId="7CB9CB49" w14:textId="1B790F21" w:rsidR="00B77E73" w:rsidRPr="00B77E73" w:rsidRDefault="00B77E73" w:rsidP="00B77E73">
            <w:pPr>
              <w:pStyle w:val="TableBullet"/>
            </w:pPr>
            <w:proofErr w:type="spellStart"/>
            <w:r>
              <w:t>Oranga</w:t>
            </w:r>
            <w:proofErr w:type="spellEnd"/>
            <w:r>
              <w:t xml:space="preserve"> Tamariki is currently looking to identify gaps and strengthen these pathways.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B897BE" w14:textId="218ACF0C" w:rsidR="00B77E73" w:rsidRDefault="00B77E73" w:rsidP="007300CC">
            <w:pPr>
              <w:pStyle w:val="TableText"/>
            </w:pPr>
            <w:r>
              <w:t>In progress</w:t>
            </w:r>
          </w:p>
        </w:tc>
      </w:tr>
      <w:tr w:rsidR="00B77E73" w14:paraId="44CB8D8B"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23A04C9" w14:textId="76116905" w:rsidR="00B77E73" w:rsidRDefault="00B77E73" w:rsidP="007300CC">
            <w:pPr>
              <w:pStyle w:val="TableText"/>
            </w:pPr>
            <w:r>
              <w:t>30.</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41609344" w14:textId="77777777" w:rsidR="00B77E73" w:rsidRDefault="00B77E73" w:rsidP="00B77E73">
            <w:pPr>
              <w:pStyle w:val="Heading4"/>
              <w:outlineLvl w:val="3"/>
            </w:pPr>
            <w:r w:rsidRPr="0071391B">
              <w:t xml:space="preserve">Child Development Services improvement </w:t>
            </w:r>
            <w:r>
              <w:t>programme</w:t>
            </w:r>
          </w:p>
          <w:p w14:paraId="4FF0C058" w14:textId="5AD9128B" w:rsidR="00B77E73" w:rsidRPr="0071391B" w:rsidRDefault="00B77E73" w:rsidP="00B77E73">
            <w:pPr>
              <w:pStyle w:val="TableBullet"/>
            </w:pPr>
            <w:r w:rsidRPr="0071391B">
              <w:t>In 2019, Child Development Services (CDS) received an additional $35m of funding over four years</w:t>
            </w:r>
            <w:r>
              <w:t xml:space="preserve"> for an improvement programme. </w:t>
            </w:r>
            <w:r w:rsidRPr="0071391B">
              <w:t>The additional funding for the CDS Improvement Programme have achieved the following outcomes:</w:t>
            </w:r>
          </w:p>
          <w:p w14:paraId="620FD366" w14:textId="77777777" w:rsidR="00B77E73" w:rsidRPr="0071391B" w:rsidRDefault="00B77E73" w:rsidP="00B77E73">
            <w:pPr>
              <w:pStyle w:val="TableDash"/>
            </w:pPr>
            <w:r w:rsidRPr="0071391B">
              <w:t>over 70 additional allied health workers recruited</w:t>
            </w:r>
          </w:p>
          <w:p w14:paraId="142DCB52" w14:textId="77777777" w:rsidR="00B77E73" w:rsidRPr="0071391B" w:rsidRDefault="00B77E73" w:rsidP="00B77E73">
            <w:pPr>
              <w:pStyle w:val="TableDash"/>
            </w:pPr>
            <w:r w:rsidRPr="0071391B">
              <w:t>an additional 1000 children have been seen by the service each year.</w:t>
            </w:r>
          </w:p>
          <w:p w14:paraId="3BDDC568" w14:textId="77777777" w:rsidR="00B77E73" w:rsidRPr="0071391B" w:rsidRDefault="00B77E73" w:rsidP="00B77E73">
            <w:pPr>
              <w:pStyle w:val="TableText"/>
              <w:ind w:left="284"/>
              <w:rPr>
                <w:rFonts w:ascii="Calibri" w:hAnsi="Calibri" w:cs="Calibri"/>
              </w:rPr>
            </w:pPr>
            <w:r w:rsidRPr="0071391B">
              <w:t>These gains have been achieved across the service. The goal is to increase access for all children including children with FASD.</w:t>
            </w:r>
          </w:p>
          <w:p w14:paraId="46D66A29" w14:textId="45EAFE99" w:rsidR="00B77E73" w:rsidRPr="00B77E73" w:rsidRDefault="00B77E73" w:rsidP="00B77E73">
            <w:pPr>
              <w:pStyle w:val="TableBullet"/>
            </w:pPr>
            <w:r w:rsidRPr="0071391B">
              <w:t>There is no specific information available about access for children with FASD, but part of the improvement programme is to improve and standardise data collection nationally and this will include better visibility of individual diagnosis.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B38A40" w14:textId="58DAE1C2" w:rsidR="00B77E73" w:rsidRDefault="00B77E73" w:rsidP="007300CC">
            <w:pPr>
              <w:pStyle w:val="TableText"/>
            </w:pPr>
            <w:r>
              <w:t>In progress</w:t>
            </w:r>
          </w:p>
        </w:tc>
      </w:tr>
      <w:tr w:rsidR="00B77E73" w14:paraId="4A362DDC"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5D713F5" w14:textId="2B0AFA7F" w:rsidR="00B77E73" w:rsidRDefault="00B77E73" w:rsidP="007300CC">
            <w:pPr>
              <w:pStyle w:val="TableText"/>
            </w:pPr>
            <w:r>
              <w:lastRenderedPageBreak/>
              <w:t>31.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F0EA5BF" w14:textId="77777777" w:rsidR="00B77E73" w:rsidRDefault="00B77E73" w:rsidP="007B089D">
            <w:pPr>
              <w:pStyle w:val="Heading4"/>
              <w:outlineLvl w:val="3"/>
            </w:pPr>
            <w:r w:rsidRPr="00527F6B">
              <w:t xml:space="preserve">Pilots in three Pregnancy and Parenting Support Services (PPS) and Child Development Services </w:t>
            </w:r>
            <w:r w:rsidRPr="000E5045">
              <w:rPr>
                <w:highlight w:val="yellow"/>
              </w:rPr>
              <w:t>(*Proceeds of Crime-funded initiative)</w:t>
            </w:r>
          </w:p>
          <w:p w14:paraId="551E2C74" w14:textId="77777777" w:rsidR="007B089D" w:rsidRPr="00984518" w:rsidRDefault="007B089D" w:rsidP="007B089D">
            <w:pPr>
              <w:pStyle w:val="TableBullet"/>
              <w:rPr>
                <w:b/>
                <w:color w:val="000000" w:themeColor="text1"/>
              </w:rPr>
            </w:pPr>
            <w:r w:rsidRPr="003578DE">
              <w:t xml:space="preserve">PPS and </w:t>
            </w:r>
            <w:r w:rsidRPr="003578DE">
              <w:rPr>
                <w:lang w:val="en-GB"/>
              </w:rPr>
              <w:t>CDS</w:t>
            </w:r>
            <w:r>
              <w:rPr>
                <w:lang w:val="en-GB"/>
              </w:rPr>
              <w:t xml:space="preserve"> </w:t>
            </w:r>
            <w:r w:rsidRPr="003578DE">
              <w:t xml:space="preserve">initiatives will be integrated, will complement each other, and is jointly called </w:t>
            </w:r>
            <w:r w:rsidRPr="003578DE">
              <w:rPr>
                <w:lang w:val="en-GB"/>
              </w:rPr>
              <w:t>Neurodevelopmental Assessment and Support Pilot (</w:t>
            </w:r>
            <w:r w:rsidRPr="003578DE">
              <w:t xml:space="preserve">NASP). </w:t>
            </w:r>
            <w:r w:rsidRPr="003578DE">
              <w:rPr>
                <w:lang w:val="en-GB"/>
              </w:rPr>
              <w:t xml:space="preserve">The aim of </w:t>
            </w:r>
            <w:r w:rsidRPr="007647DB">
              <w:rPr>
                <w:lang w:val="en-GB"/>
              </w:rPr>
              <w:t xml:space="preserve">NASP is to provide early identification and intervention support for children with </w:t>
            </w:r>
            <w:r w:rsidRPr="007647DB">
              <w:t xml:space="preserve">FASD and/or other neurodevelopmental needs, and their </w:t>
            </w:r>
            <w:proofErr w:type="spellStart"/>
            <w:r w:rsidRPr="004E1F28">
              <w:t>whānau</w:t>
            </w:r>
            <w:proofErr w:type="spellEnd"/>
            <w:r>
              <w:t>.</w:t>
            </w:r>
          </w:p>
          <w:p w14:paraId="7725596B" w14:textId="019C39A2" w:rsidR="007B089D" w:rsidRPr="007B089D" w:rsidRDefault="007B089D" w:rsidP="007B089D">
            <w:pPr>
              <w:pStyle w:val="TableBullet"/>
            </w:pPr>
            <w:r w:rsidRPr="003578DE">
              <w:rPr>
                <w:lang w:val="en-GB"/>
              </w:rPr>
              <w:t xml:space="preserve">These services will be delivered as pilots over </w:t>
            </w:r>
            <w:r>
              <w:t>three</w:t>
            </w:r>
            <w:r w:rsidRPr="003578DE">
              <w:t xml:space="preserve"> years, including six months for recruitment and co-design. </w:t>
            </w:r>
            <w:r w:rsidRPr="00AD41EC">
              <w:t>Co-design agreements have been signed with three District Health Boards.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45FA5" w14:textId="63CE4DF2" w:rsidR="00B77E73" w:rsidRDefault="007B089D" w:rsidP="007300CC">
            <w:pPr>
              <w:pStyle w:val="TableText"/>
            </w:pPr>
            <w:r>
              <w:t>In progress</w:t>
            </w:r>
          </w:p>
        </w:tc>
      </w:tr>
      <w:tr w:rsidR="00B77E73" w14:paraId="575B7027"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76CDD4" w14:textId="5F38AD15" w:rsidR="00B77E73" w:rsidRDefault="00B77E73" w:rsidP="007300CC">
            <w:pPr>
              <w:pStyle w:val="TableText"/>
            </w:pPr>
            <w:r>
              <w:t>32.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A6F8FB6" w14:textId="77777777" w:rsidR="00B77E73" w:rsidRDefault="007B089D" w:rsidP="007B089D">
            <w:pPr>
              <w:pStyle w:val="Heading4"/>
              <w:outlineLvl w:val="3"/>
            </w:pPr>
            <w:r w:rsidRPr="002B3835">
              <w:t xml:space="preserve">Commissioning research to identify what an effective system-wide approach to responding to FASD and neurodevelopmental disorders would look like </w:t>
            </w:r>
            <w:r w:rsidRPr="000E5045">
              <w:rPr>
                <w:highlight w:val="yellow"/>
              </w:rPr>
              <w:t>(*Proceeds of Crime-funded initiative)</w:t>
            </w:r>
          </w:p>
          <w:p w14:paraId="2FC342B7" w14:textId="1BCA00A8" w:rsidR="007B089D" w:rsidRPr="007B089D" w:rsidRDefault="007B089D" w:rsidP="007B089D">
            <w:r>
              <w:t xml:space="preserve">The research has been commissioned by </w:t>
            </w:r>
            <w:proofErr w:type="spellStart"/>
            <w:r>
              <w:t>MoH</w:t>
            </w:r>
            <w:proofErr w:type="spellEnd"/>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E33454" w14:textId="611D3FC8" w:rsidR="00B77E73" w:rsidRDefault="007B089D" w:rsidP="007300CC">
            <w:pPr>
              <w:pStyle w:val="TableText"/>
            </w:pPr>
            <w:r>
              <w:t>In progress</w:t>
            </w:r>
          </w:p>
        </w:tc>
      </w:tr>
      <w:tr w:rsidR="00B77E73" w14:paraId="31D748A7"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65884C" w14:textId="1C54DB65" w:rsidR="00B77E73" w:rsidRDefault="00B77E73" w:rsidP="007300CC">
            <w:pPr>
              <w:pStyle w:val="TableText"/>
            </w:pPr>
            <w:r>
              <w:t>33.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1B34C2BB" w14:textId="77777777" w:rsidR="00B77E73" w:rsidRDefault="007B089D" w:rsidP="007B089D">
            <w:pPr>
              <w:pStyle w:val="Heading4"/>
              <w:outlineLvl w:val="3"/>
            </w:pPr>
            <w:r w:rsidRPr="002B3835">
              <w:t xml:space="preserve">Providing mentoring and support for families </w:t>
            </w:r>
            <w:r w:rsidRPr="000E5045">
              <w:rPr>
                <w:highlight w:val="yellow"/>
              </w:rPr>
              <w:t>(*Proceeds of Crime-funded initiative)</w:t>
            </w:r>
          </w:p>
          <w:p w14:paraId="392A8647" w14:textId="0330FA2F" w:rsidR="007B089D" w:rsidRPr="007B089D" w:rsidRDefault="007B089D" w:rsidP="007B089D">
            <w:pPr>
              <w:pStyle w:val="TableBullet"/>
            </w:pPr>
            <w:r w:rsidRPr="000211FE">
              <w:t>The funding has been u</w:t>
            </w:r>
            <w:r>
              <w:t xml:space="preserve">sed </w:t>
            </w:r>
            <w:r w:rsidRPr="000211FE">
              <w:t xml:space="preserve">to empower the parent/caregiver-led FASD-CAN network to work towards establishing a regional navigator role, training professionals and caregivers via webinars, increasing the network’s reach through improvements in IT infrastructure, and establishing grants for families and </w:t>
            </w:r>
            <w:proofErr w:type="spellStart"/>
            <w:r w:rsidRPr="000211FE">
              <w:t>whānau</w:t>
            </w:r>
            <w:proofErr w:type="spellEnd"/>
            <w:r w:rsidRPr="000211FE">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6E3440" w14:textId="28793C0B" w:rsidR="00B77E73" w:rsidRDefault="007B089D" w:rsidP="007300CC">
            <w:pPr>
              <w:pStyle w:val="TableText"/>
            </w:pPr>
            <w:r>
              <w:t>In progress</w:t>
            </w:r>
          </w:p>
        </w:tc>
      </w:tr>
      <w:tr w:rsidR="007B089D" w14:paraId="08CF8F8D"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8E27D84" w14:textId="1DC2C2E8" w:rsidR="007B089D" w:rsidRDefault="007B089D" w:rsidP="007300CC">
            <w:pPr>
              <w:pStyle w:val="TableText"/>
            </w:pPr>
            <w:r>
              <w:t>34.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6573109" w14:textId="77777777" w:rsidR="007B089D" w:rsidRDefault="007B089D" w:rsidP="007B089D">
            <w:pPr>
              <w:pStyle w:val="Heading4"/>
              <w:outlineLvl w:val="3"/>
            </w:pPr>
            <w:r w:rsidRPr="002B3835">
              <w:t xml:space="preserve">Sensory based self-regulation Alert Program ® pilot in one youth justice residence </w:t>
            </w:r>
            <w:r w:rsidRPr="000E5045">
              <w:rPr>
                <w:highlight w:val="yellow"/>
              </w:rPr>
              <w:t>(*Proceeds of Crime-funded initiative)</w:t>
            </w:r>
          </w:p>
          <w:p w14:paraId="23F61C54" w14:textId="4CE73136" w:rsidR="007B089D" w:rsidRPr="007B089D" w:rsidRDefault="007B089D" w:rsidP="007B089D">
            <w:pPr>
              <w:pStyle w:val="TableBullet"/>
            </w:pPr>
            <w:proofErr w:type="spellStart"/>
            <w:r w:rsidRPr="0047799E">
              <w:t>M</w:t>
            </w:r>
            <w:r>
              <w:t>oH</w:t>
            </w:r>
            <w:proofErr w:type="spellEnd"/>
            <w:r w:rsidRPr="0047799E">
              <w:t xml:space="preserve"> has signed a Memorandum of Understanding </w:t>
            </w:r>
            <w:r>
              <w:t xml:space="preserve">(MoU) </w:t>
            </w:r>
            <w:r w:rsidRPr="0047799E">
              <w:t xml:space="preserve">with </w:t>
            </w:r>
            <w:proofErr w:type="spellStart"/>
            <w:r w:rsidRPr="0047799E">
              <w:t>Oranga</w:t>
            </w:r>
            <w:proofErr w:type="spellEnd"/>
            <w:r w:rsidRPr="0047799E">
              <w:t xml:space="preserve"> Tamariki to implement Alert Program®, a sensory based self-regulation programme. The programme will be rolled out in </w:t>
            </w:r>
            <w:r>
              <w:t xml:space="preserve">one </w:t>
            </w:r>
            <w:r w:rsidRPr="0047799E">
              <w:t>youth justice residence, including to children and young people affected by FASD and o</w:t>
            </w:r>
            <w:r>
              <w:t>ther neurodevelopmental issues.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A9813B" w14:textId="3940DCEC" w:rsidR="007B089D" w:rsidRDefault="007B089D" w:rsidP="007300CC">
            <w:pPr>
              <w:pStyle w:val="TableText"/>
            </w:pPr>
            <w:r>
              <w:t>In progress</w:t>
            </w:r>
          </w:p>
        </w:tc>
      </w:tr>
      <w:tr w:rsidR="007B089D" w14:paraId="0E74E5AC" w14:textId="77777777" w:rsidTr="00B77E7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DDABF04" w14:textId="4109521F" w:rsidR="007B089D" w:rsidRDefault="007B089D" w:rsidP="007300CC">
            <w:pPr>
              <w:pStyle w:val="TableText"/>
            </w:pPr>
            <w:r>
              <w:t>35.</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53D0840" w14:textId="77777777" w:rsidR="007B089D" w:rsidRDefault="007B089D" w:rsidP="007B089D">
            <w:pPr>
              <w:pStyle w:val="Heading4"/>
              <w:outlineLvl w:val="3"/>
            </w:pPr>
            <w:r w:rsidRPr="002B3835">
              <w:t xml:space="preserve">Sensory based self-regulation Alert Program ® pilot in one prison </w:t>
            </w:r>
            <w:r w:rsidRPr="000E5045">
              <w:rPr>
                <w:highlight w:val="yellow"/>
              </w:rPr>
              <w:t>(*Proceeds of Crime-funded initiative)</w:t>
            </w:r>
          </w:p>
          <w:p w14:paraId="2BDEF7F0" w14:textId="6E7D7EBE" w:rsidR="007B089D" w:rsidRPr="007B089D" w:rsidRDefault="007B089D" w:rsidP="007B089D">
            <w:pPr>
              <w:pStyle w:val="TableBullet"/>
            </w:pPr>
            <w:r>
              <w:t>Work is</w:t>
            </w:r>
            <w:r w:rsidRPr="00BB1B69">
              <w:t xml:space="preserve"> in progress towards getting a </w:t>
            </w:r>
            <w:r>
              <w:t xml:space="preserve">MoU </w:t>
            </w:r>
            <w:r w:rsidRPr="00BB1B69">
              <w:t xml:space="preserve">between </w:t>
            </w:r>
            <w:r>
              <w:t xml:space="preserve">the Department of </w:t>
            </w:r>
            <w:r w:rsidRPr="00BB1B69">
              <w:t xml:space="preserve">Corrections and </w:t>
            </w:r>
            <w:proofErr w:type="spellStart"/>
            <w:r w:rsidRPr="00BB1B69">
              <w:t>M</w:t>
            </w:r>
            <w:r>
              <w:t>o</w:t>
            </w:r>
            <w:r w:rsidRPr="00BB1B69">
              <w:t>H</w:t>
            </w:r>
            <w:proofErr w:type="spellEnd"/>
            <w:r w:rsidRPr="00BB1B69">
              <w:t xml:space="preserve"> signed.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DA72DA" w14:textId="59AC4614" w:rsidR="007B089D" w:rsidRDefault="007B089D" w:rsidP="007300CC">
            <w:pPr>
              <w:pStyle w:val="TableText"/>
            </w:pPr>
            <w:r>
              <w:t>In progress</w:t>
            </w:r>
          </w:p>
        </w:tc>
      </w:tr>
    </w:tbl>
    <w:p w14:paraId="497BA36A" w14:textId="77777777" w:rsidR="00AB4AED" w:rsidRDefault="00AB4AED" w:rsidP="007B089D"/>
    <w:tbl>
      <w:tblPr>
        <w:tblStyle w:val="TableGrid"/>
        <w:tblW w:w="0" w:type="auto"/>
        <w:tblInd w:w="85" w:type="dxa"/>
        <w:tblLayout w:type="fixed"/>
        <w:tblCellMar>
          <w:left w:w="85" w:type="dxa"/>
          <w:right w:w="85" w:type="dxa"/>
        </w:tblCellMar>
        <w:tblLook w:val="04A0" w:firstRow="1" w:lastRow="0" w:firstColumn="1" w:lastColumn="0" w:noHBand="0" w:noVBand="1"/>
      </w:tblPr>
      <w:tblGrid>
        <w:gridCol w:w="1134"/>
        <w:gridCol w:w="12049"/>
        <w:gridCol w:w="1423"/>
      </w:tblGrid>
      <w:tr w:rsidR="00513B8D" w14:paraId="77AFAA96" w14:textId="77777777" w:rsidTr="007B089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5E0D8" w14:textId="3C403151" w:rsidR="00FA756E" w:rsidRPr="00513B8D" w:rsidRDefault="00513B8D" w:rsidP="007B089D">
            <w:pPr>
              <w:pStyle w:val="Heading1"/>
              <w:outlineLvl w:val="0"/>
            </w:pPr>
            <w:r w:rsidRPr="00513B8D">
              <w:lastRenderedPageBreak/>
              <w:t>Evidence</w:t>
            </w:r>
          </w:p>
        </w:tc>
      </w:tr>
      <w:tr w:rsidR="00C00781" w14:paraId="59377052" w14:textId="77777777" w:rsidTr="007B089D">
        <w:trPr>
          <w:cantSplit/>
          <w:tblHeader/>
        </w:trPr>
        <w:tc>
          <w:tcPr>
            <w:tcW w:w="1460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BBA862" w14:textId="5F7431D0" w:rsidR="00C00781" w:rsidRDefault="00C00781" w:rsidP="007B089D">
            <w:pPr>
              <w:pStyle w:val="Heading2"/>
              <w:outlineLvl w:val="1"/>
            </w:pPr>
            <w:r w:rsidRPr="006C2FC9">
              <w:t xml:space="preserve">Specific action </w:t>
            </w:r>
            <w:r>
              <w:t>10</w:t>
            </w:r>
            <w:r w:rsidRPr="006C2FC9">
              <w:t>: Conduct research into the incidence of FASD and other neurodevelopmental impairments in a New Zealand cohort</w:t>
            </w:r>
          </w:p>
        </w:tc>
      </w:tr>
      <w:tr w:rsidR="00E72E61" w14:paraId="5F22A9DB" w14:textId="77777777" w:rsidTr="007B089D">
        <w:trPr>
          <w:cantSplit/>
          <w:tblHeader/>
        </w:trPr>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DCE6E3" w14:textId="365E048B" w:rsidR="00E72E61" w:rsidRPr="00C8736F" w:rsidRDefault="00FA756E" w:rsidP="007B089D">
            <w:pPr>
              <w:pStyle w:val="Heading3"/>
              <w:outlineLvl w:val="2"/>
            </w:pPr>
            <w:r>
              <w:t>Activity</w:t>
            </w:r>
            <w:r w:rsidR="00361A21">
              <w:t xml:space="preserve"> </w:t>
            </w:r>
            <w:r>
              <w:t>#</w:t>
            </w:r>
          </w:p>
        </w:tc>
        <w:tc>
          <w:tcPr>
            <w:tcW w:w="1204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9257ED" w14:textId="4DD1F8FC" w:rsidR="00513B8D" w:rsidRPr="00C8736F" w:rsidRDefault="00513B8D" w:rsidP="007B089D">
            <w:pPr>
              <w:pStyle w:val="Heading3"/>
              <w:outlineLvl w:val="2"/>
            </w:pPr>
            <w:r w:rsidRPr="00C8736F">
              <w:t>Activi</w:t>
            </w:r>
            <w:r w:rsidR="007B089D">
              <w:t>ties and progress</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843E12E" w14:textId="7F51AB3A" w:rsidR="00B321AA" w:rsidRPr="00C8736F" w:rsidRDefault="00F36B42" w:rsidP="007B089D">
            <w:pPr>
              <w:pStyle w:val="Heading3"/>
              <w:outlineLvl w:val="2"/>
            </w:pPr>
            <w:r>
              <w:t>Status</w:t>
            </w:r>
          </w:p>
        </w:tc>
      </w:tr>
      <w:tr w:rsidR="007B089D" w14:paraId="3AEA113A" w14:textId="77777777" w:rsidTr="007B089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9BC8AD8" w14:textId="65F806D3" w:rsidR="007B089D" w:rsidRDefault="007B089D" w:rsidP="007300CC">
            <w:pPr>
              <w:pStyle w:val="TableText"/>
            </w:pPr>
            <w:r>
              <w:t>36.</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29FF3855" w14:textId="77777777" w:rsidR="007B089D" w:rsidRDefault="007B089D" w:rsidP="007B089D">
            <w:pPr>
              <w:pStyle w:val="Heading4"/>
              <w:outlineLvl w:val="3"/>
            </w:pPr>
            <w:r w:rsidRPr="000700B2">
              <w:t>Leading Lights p</w:t>
            </w:r>
            <w:r>
              <w:t>ilot study</w:t>
            </w:r>
          </w:p>
          <w:p w14:paraId="48CBF463" w14:textId="77777777" w:rsidR="007B089D" w:rsidRPr="00802627" w:rsidRDefault="007B089D" w:rsidP="007B089D">
            <w:pPr>
              <w:pStyle w:val="TableBullet"/>
            </w:pPr>
            <w:proofErr w:type="spellStart"/>
            <w:r w:rsidRPr="000700B2">
              <w:t>M</w:t>
            </w:r>
            <w:r>
              <w:t>o</w:t>
            </w:r>
            <w:r w:rsidRPr="000700B2">
              <w:t>H</w:t>
            </w:r>
            <w:proofErr w:type="spellEnd"/>
            <w:r w:rsidRPr="000700B2">
              <w:t xml:space="preserve"> conducted a pilot study in 2018 into the feasibility of a case ascertainment study within the </w:t>
            </w:r>
            <w:proofErr w:type="spellStart"/>
            <w:r w:rsidRPr="000700B2">
              <w:t>GU</w:t>
            </w:r>
            <w:r>
              <w:t>i</w:t>
            </w:r>
            <w:r w:rsidRPr="000700B2">
              <w:t>NZ</w:t>
            </w:r>
            <w:proofErr w:type="spellEnd"/>
            <w:r w:rsidRPr="000700B2">
              <w:t xml:space="preserve"> cohort. The pilot study showed that it was possible to screen for FASD within the cohort, but that true case ascertainment would be difficult to carry out. </w:t>
            </w:r>
            <w:r>
              <w:t>However, it is</w:t>
            </w:r>
            <w:r w:rsidRPr="000700B2">
              <w:t xml:space="preserve"> likely that the </w:t>
            </w:r>
            <w:proofErr w:type="spellStart"/>
            <w:r w:rsidRPr="000700B2">
              <w:t>GU</w:t>
            </w:r>
            <w:r>
              <w:t>i</w:t>
            </w:r>
            <w:r w:rsidRPr="000700B2">
              <w:t>NZ</w:t>
            </w:r>
            <w:proofErr w:type="spellEnd"/>
            <w:r w:rsidRPr="000700B2">
              <w:t xml:space="preserve"> dataset can provide answers to key questions relating to FASD in New Zealand.</w:t>
            </w:r>
          </w:p>
          <w:p w14:paraId="61275549" w14:textId="08A69CF4" w:rsidR="007B089D" w:rsidRPr="007B089D" w:rsidRDefault="007B089D" w:rsidP="007B089D">
            <w:pPr>
              <w:pStyle w:val="TableBullet"/>
            </w:pPr>
            <w:r>
              <w:t>See activities 20 and 21 above.</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CFFC309" w14:textId="15BD74A2" w:rsidR="007B089D" w:rsidRPr="0032370C" w:rsidRDefault="007B089D" w:rsidP="007300CC">
            <w:pPr>
              <w:pStyle w:val="TableText"/>
            </w:pPr>
            <w:r>
              <w:t>Complete</w:t>
            </w:r>
          </w:p>
        </w:tc>
      </w:tr>
      <w:tr w:rsidR="007B089D" w14:paraId="4D12D166" w14:textId="77777777" w:rsidTr="007B089D">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A7BF9D" w14:textId="772AC582" w:rsidR="007B089D" w:rsidRDefault="007B089D" w:rsidP="007300CC">
            <w:pPr>
              <w:pStyle w:val="TableText"/>
            </w:pPr>
            <w:r>
              <w:t>37.</w:t>
            </w:r>
          </w:p>
        </w:tc>
        <w:tc>
          <w:tcPr>
            <w:tcW w:w="12049" w:type="dxa"/>
            <w:tcBorders>
              <w:top w:val="single" w:sz="4" w:space="0" w:color="auto"/>
              <w:left w:val="single" w:sz="4" w:space="0" w:color="auto"/>
              <w:bottom w:val="single" w:sz="4" w:space="0" w:color="auto"/>
              <w:right w:val="single" w:sz="4" w:space="0" w:color="auto"/>
            </w:tcBorders>
            <w:shd w:val="clear" w:color="auto" w:fill="auto"/>
          </w:tcPr>
          <w:p w14:paraId="012FE613" w14:textId="77777777" w:rsidR="007B089D" w:rsidRDefault="007B089D" w:rsidP="007B089D">
            <w:pPr>
              <w:pStyle w:val="Heading4"/>
              <w:outlineLvl w:val="3"/>
            </w:pPr>
            <w:r>
              <w:t xml:space="preserve">Study to estimate prevalence </w:t>
            </w:r>
            <w:r w:rsidRPr="006B6C76">
              <w:t>(</w:t>
            </w:r>
            <w:r w:rsidRPr="000E5045">
              <w:rPr>
                <w:highlight w:val="yellow"/>
              </w:rPr>
              <w:t>*Proceeds of Crime-funded initiative)</w:t>
            </w:r>
          </w:p>
          <w:p w14:paraId="206EB50A" w14:textId="1EDB5486" w:rsidR="007B089D" w:rsidRPr="007B089D" w:rsidRDefault="007B089D" w:rsidP="007B089D">
            <w:pPr>
              <w:pStyle w:val="TableBullet"/>
            </w:pPr>
            <w:proofErr w:type="spellStart"/>
            <w:r w:rsidRPr="004715C6">
              <w:t>MoH</w:t>
            </w:r>
            <w:proofErr w:type="spellEnd"/>
            <w:r w:rsidRPr="004715C6">
              <w:t xml:space="preserve"> has commissioned a study which will estimate prevalence of children in the </w:t>
            </w:r>
            <w:proofErr w:type="spellStart"/>
            <w:r w:rsidRPr="004715C6">
              <w:t>GUiNZ</w:t>
            </w:r>
            <w:proofErr w:type="spellEnd"/>
            <w:r w:rsidRPr="004715C6">
              <w:t xml:space="preserve"> cohort that present with neurocognitive difficulties that may be related to FASD and would benefit from further assessment.</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22413A7" w14:textId="678AA671" w:rsidR="007B089D" w:rsidRPr="0032370C" w:rsidRDefault="007B089D" w:rsidP="007300CC">
            <w:pPr>
              <w:pStyle w:val="TableText"/>
            </w:pPr>
            <w:r>
              <w:t>In progress</w:t>
            </w:r>
          </w:p>
        </w:tc>
      </w:tr>
    </w:tbl>
    <w:p w14:paraId="0B49B371" w14:textId="77777777" w:rsidR="007B089D" w:rsidRDefault="007B089D" w:rsidP="007B089D"/>
    <w:sectPr w:rsidR="007B089D" w:rsidSect="001221CC">
      <w:footerReference w:type="default" r:id="rId29"/>
      <w:pgSz w:w="16838" w:h="11906" w:orient="landscape" w:code="9"/>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64B3" w14:textId="77777777" w:rsidR="00125913" w:rsidRDefault="00125913" w:rsidP="00904AB8">
      <w:pPr>
        <w:spacing w:line="240" w:lineRule="auto"/>
      </w:pPr>
      <w:r>
        <w:separator/>
      </w:r>
    </w:p>
  </w:endnote>
  <w:endnote w:type="continuationSeparator" w:id="0">
    <w:p w14:paraId="5379AA9B" w14:textId="77777777" w:rsidR="00125913" w:rsidRDefault="00125913" w:rsidP="0090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240712"/>
      <w:docPartObj>
        <w:docPartGallery w:val="Page Numbers (Bottom of Page)"/>
        <w:docPartUnique/>
      </w:docPartObj>
    </w:sdtPr>
    <w:sdtEndPr>
      <w:rPr>
        <w:noProof/>
      </w:rPr>
    </w:sdtEndPr>
    <w:sdtContent>
      <w:p w14:paraId="7E8D2869" w14:textId="62D3A43A" w:rsidR="00C25C53" w:rsidRDefault="00C25C53" w:rsidP="001221CC">
        <w:pPr>
          <w:pStyle w:val="Footer"/>
          <w:jc w:val="right"/>
        </w:pPr>
        <w:r>
          <w:fldChar w:fldCharType="begin"/>
        </w:r>
        <w:r>
          <w:instrText xml:space="preserve"> PAGE   \* MERGEFORMAT </w:instrText>
        </w:r>
        <w:r>
          <w:fldChar w:fldCharType="separate"/>
        </w:r>
        <w:r w:rsidR="00A429E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97C6" w14:textId="77777777" w:rsidR="00125913" w:rsidRDefault="00125913" w:rsidP="00904AB8">
      <w:pPr>
        <w:spacing w:line="240" w:lineRule="auto"/>
      </w:pPr>
      <w:r>
        <w:separator/>
      </w:r>
    </w:p>
  </w:footnote>
  <w:footnote w:type="continuationSeparator" w:id="0">
    <w:p w14:paraId="671D65F7" w14:textId="77777777" w:rsidR="00125913" w:rsidRDefault="00125913" w:rsidP="00904AB8">
      <w:pPr>
        <w:spacing w:line="240" w:lineRule="auto"/>
      </w:pPr>
      <w:r>
        <w:continuationSeparator/>
      </w:r>
    </w:p>
  </w:footnote>
  <w:footnote w:id="1">
    <w:p w14:paraId="5FAB9A08" w14:textId="0413C8E0" w:rsidR="00C25C53" w:rsidRPr="00683DE3" w:rsidRDefault="00C25C53" w:rsidP="00683DE3">
      <w:pPr>
        <w:pStyle w:val="FootnoteText"/>
      </w:pPr>
      <w:r w:rsidRPr="00683DE3">
        <w:rPr>
          <w:rStyle w:val="FootnoteReference"/>
        </w:rPr>
        <w:footnoteRef/>
      </w:r>
      <w:r w:rsidR="00683DE3">
        <w:tab/>
      </w:r>
      <w:hyperlink r:id="rId1" w:history="1">
        <w:r w:rsidRPr="004A12B0">
          <w:rPr>
            <w:rStyle w:val="Hyperlink"/>
          </w:rPr>
          <w:t>https://www.health.govt.nz/publication/taking-action-fetal-alcohol-spectrum-disorder-2016-2019-action-plan</w:t>
        </w:r>
      </w:hyperlink>
    </w:p>
  </w:footnote>
  <w:footnote w:id="2">
    <w:p w14:paraId="5052FBF7" w14:textId="5F113A83" w:rsidR="00BC7E7E" w:rsidRDefault="00BC7E7E" w:rsidP="00683DE3">
      <w:pPr>
        <w:pStyle w:val="FootnoteText"/>
      </w:pPr>
      <w:r w:rsidRPr="00683DE3">
        <w:rPr>
          <w:rStyle w:val="FootnoteReference"/>
        </w:rPr>
        <w:footnoteRef/>
      </w:r>
      <w:r w:rsidR="00683DE3">
        <w:tab/>
      </w:r>
      <w:r w:rsidR="000438C6">
        <w:t xml:space="preserve">This table was first published </w:t>
      </w:r>
      <w:r w:rsidR="00F92A58">
        <w:t xml:space="preserve">in April 2021. </w:t>
      </w:r>
      <w:r w:rsidR="002B040E">
        <w:t xml:space="preserve">The scope of February 2022 update is mainly </w:t>
      </w:r>
      <w:r w:rsidR="0004512D">
        <w:t>limited to</w:t>
      </w:r>
      <w:r w:rsidR="00426747">
        <w:t xml:space="preserve"> Activity </w:t>
      </w:r>
      <w:r w:rsidR="00EA3B4A">
        <w:t xml:space="preserve"># 4, 10, 17, 18, 19, 22, 24, </w:t>
      </w:r>
      <w:r w:rsidR="007B4F2D">
        <w:t xml:space="preserve">29, 30, 31, 32, 34, 35, and 37. </w:t>
      </w:r>
      <w:r w:rsidR="001E13C4">
        <w:t>The table will be f</w:t>
      </w:r>
      <w:r w:rsidR="001221CC">
        <w:t>urther updated at a later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91F"/>
    <w:multiLevelType w:val="hybridMultilevel"/>
    <w:tmpl w:val="D800F938"/>
    <w:lvl w:ilvl="0" w:tplc="A156FC4E">
      <w:start w:val="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62752E"/>
    <w:multiLevelType w:val="hybridMultilevel"/>
    <w:tmpl w:val="871837CA"/>
    <w:lvl w:ilvl="0" w:tplc="A156FC4E">
      <w:start w:val="1"/>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B433EBB"/>
    <w:multiLevelType w:val="hybridMultilevel"/>
    <w:tmpl w:val="8DFA2242"/>
    <w:lvl w:ilvl="0" w:tplc="C0588A8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9A0D75"/>
    <w:multiLevelType w:val="hybridMultilevel"/>
    <w:tmpl w:val="5B1A6D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1B1C42"/>
    <w:multiLevelType w:val="hybridMultilevel"/>
    <w:tmpl w:val="0CA0B3E6"/>
    <w:lvl w:ilvl="0" w:tplc="69F672CA">
      <w:start w:val="1"/>
      <w:numFmt w:val="decimal"/>
      <w:pStyle w:val="Table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32421E"/>
    <w:multiLevelType w:val="hybridMultilevel"/>
    <w:tmpl w:val="573AA724"/>
    <w:lvl w:ilvl="0" w:tplc="A156FC4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567B93"/>
    <w:multiLevelType w:val="hybridMultilevel"/>
    <w:tmpl w:val="1CFE9E40"/>
    <w:lvl w:ilvl="0" w:tplc="D0BC75D2">
      <w:start w:val="1"/>
      <w:numFmt w:val="bullet"/>
      <w:pStyle w:val="TableDash"/>
      <w:lvlText w:val="–"/>
      <w:lvlJc w:val="left"/>
      <w:pPr>
        <w:ind w:left="720" w:hanging="360"/>
      </w:pPr>
      <w:rPr>
        <w:rFonts w:ascii="Arial" w:hAnsi="Arial" w:hint="default"/>
        <w:u w:color="8C96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69207F"/>
    <w:multiLevelType w:val="hybridMultilevel"/>
    <w:tmpl w:val="DC86B38A"/>
    <w:lvl w:ilvl="0" w:tplc="C0588A86">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03478DC"/>
    <w:multiLevelType w:val="hybridMultilevel"/>
    <w:tmpl w:val="BD04E1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174597C"/>
    <w:multiLevelType w:val="multilevel"/>
    <w:tmpl w:val="CC66E496"/>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EBB4AE4"/>
    <w:multiLevelType w:val="hybridMultilevel"/>
    <w:tmpl w:val="8728974A"/>
    <w:lvl w:ilvl="0" w:tplc="1409000F">
      <w:start w:val="1"/>
      <w:numFmt w:val="decimal"/>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 w15:restartNumberingAfterBreak="0">
    <w:nsid w:val="414C4EF4"/>
    <w:multiLevelType w:val="hybridMultilevel"/>
    <w:tmpl w:val="571C2E38"/>
    <w:lvl w:ilvl="0" w:tplc="E236D38E">
      <w:start w:val="1"/>
      <w:numFmt w:val="bullet"/>
      <w:pStyle w:val="Table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6210F2"/>
    <w:multiLevelType w:val="hybridMultilevel"/>
    <w:tmpl w:val="914C81B0"/>
    <w:lvl w:ilvl="0" w:tplc="A156FC4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8D5A86"/>
    <w:multiLevelType w:val="hybridMultilevel"/>
    <w:tmpl w:val="55B69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9D1919"/>
    <w:multiLevelType w:val="hybridMultilevel"/>
    <w:tmpl w:val="1D06B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0C1C8C"/>
    <w:multiLevelType w:val="hybridMultilevel"/>
    <w:tmpl w:val="B1F21D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EEA3DCD"/>
    <w:multiLevelType w:val="hybridMultilevel"/>
    <w:tmpl w:val="BEDC868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533021BF"/>
    <w:multiLevelType w:val="hybridMultilevel"/>
    <w:tmpl w:val="C0367AC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53BE6551"/>
    <w:multiLevelType w:val="hybridMultilevel"/>
    <w:tmpl w:val="3FF4C7D8"/>
    <w:lvl w:ilvl="0" w:tplc="C0588A86">
      <w:start w:val="1"/>
      <w:numFmt w:val="decimal"/>
      <w:lvlText w:val="%1."/>
      <w:lvlJc w:val="left"/>
      <w:pPr>
        <w:ind w:left="216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60B1A89"/>
    <w:multiLevelType w:val="hybridMultilevel"/>
    <w:tmpl w:val="4B742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B14133"/>
    <w:multiLevelType w:val="hybridMultilevel"/>
    <w:tmpl w:val="6F2C633A"/>
    <w:lvl w:ilvl="0" w:tplc="14090001">
      <w:start w:val="1"/>
      <w:numFmt w:val="bullet"/>
      <w:lvlText w:val=""/>
      <w:lvlJc w:val="left"/>
      <w:pPr>
        <w:ind w:left="720" w:hanging="360"/>
      </w:pPr>
      <w:rPr>
        <w:rFonts w:ascii="Symbol" w:hAnsi="Symbol" w:hint="default"/>
      </w:rPr>
    </w:lvl>
    <w:lvl w:ilvl="1" w:tplc="209ED1F8">
      <w:numFmt w:val="bullet"/>
      <w:lvlText w:val="-"/>
      <w:lvlJc w:val="left"/>
      <w:pPr>
        <w:ind w:left="1800" w:hanging="720"/>
      </w:pPr>
      <w:rPr>
        <w:rFonts w:ascii="Calibri" w:eastAsia="Calibri" w:hAnsi="Calibri" w:cs="Calibri"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59C64741"/>
    <w:multiLevelType w:val="hybridMultilevel"/>
    <w:tmpl w:val="8736A37C"/>
    <w:lvl w:ilvl="0" w:tplc="A156FC4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46202"/>
    <w:multiLevelType w:val="hybridMultilevel"/>
    <w:tmpl w:val="49D27718"/>
    <w:lvl w:ilvl="0" w:tplc="A156FC4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EC26B3"/>
    <w:multiLevelType w:val="hybridMultilevel"/>
    <w:tmpl w:val="D234B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D302C7"/>
    <w:multiLevelType w:val="hybridMultilevel"/>
    <w:tmpl w:val="C610DDB6"/>
    <w:lvl w:ilvl="0" w:tplc="23D619B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D8C750F"/>
    <w:multiLevelType w:val="hybridMultilevel"/>
    <w:tmpl w:val="26AABB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D8F5B3B"/>
    <w:multiLevelType w:val="multilevel"/>
    <w:tmpl w:val="742E77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14F23D4"/>
    <w:multiLevelType w:val="hybridMultilevel"/>
    <w:tmpl w:val="8728B3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73735FFA"/>
    <w:multiLevelType w:val="hybridMultilevel"/>
    <w:tmpl w:val="9D707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8B5165"/>
    <w:multiLevelType w:val="hybridMultilevel"/>
    <w:tmpl w:val="0E9E1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5"/>
  </w:num>
  <w:num w:numId="5">
    <w:abstractNumId w:val="10"/>
  </w:num>
  <w:num w:numId="6">
    <w:abstractNumId w:val="16"/>
  </w:num>
  <w:num w:numId="7">
    <w:abstractNumId w:val="13"/>
  </w:num>
  <w:num w:numId="8">
    <w:abstractNumId w:val="9"/>
    <w:lvlOverride w:ilvl="0">
      <w:startOverride w:val="1"/>
      <w:lvl w:ilvl="0">
        <w:start w:val="1"/>
        <w:numFmt w:val="decimal"/>
        <w:lvlText w:val="%1."/>
        <w:lvlJc w:val="left"/>
        <w:pPr>
          <w:ind w:left="851" w:hanging="851"/>
        </w:pPr>
        <w:rPr>
          <w:rFonts w:hint="default"/>
          <w:i w:val="0"/>
          <w:color w:val="auto"/>
        </w:rPr>
      </w:lvl>
    </w:lvlOverride>
    <w:lvlOverride w:ilvl="1">
      <w:startOverride w:val="1"/>
      <w:lvl w:ilvl="1">
        <w:start w:val="1"/>
        <w:numFmt w:val="lowerLetter"/>
        <w:lvlText w:val="%2."/>
        <w:lvlJc w:val="left"/>
        <w:pPr>
          <w:ind w:left="1276" w:hanging="425"/>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9">
    <w:abstractNumId w:val="8"/>
  </w:num>
  <w:num w:numId="10">
    <w:abstractNumId w:val="29"/>
  </w:num>
  <w:num w:numId="11">
    <w:abstractNumId w:val="7"/>
  </w:num>
  <w:num w:numId="12">
    <w:abstractNumId w:val="5"/>
  </w:num>
  <w:num w:numId="13">
    <w:abstractNumId w:val="22"/>
  </w:num>
  <w:num w:numId="14">
    <w:abstractNumId w:val="18"/>
  </w:num>
  <w:num w:numId="15">
    <w:abstractNumId w:val="2"/>
  </w:num>
  <w:num w:numId="16">
    <w:abstractNumId w:val="26"/>
  </w:num>
  <w:num w:numId="17">
    <w:abstractNumId w:val="12"/>
  </w:num>
  <w:num w:numId="18">
    <w:abstractNumId w:val="19"/>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28"/>
  </w:num>
  <w:num w:numId="24">
    <w:abstractNumId w:val="24"/>
  </w:num>
  <w:num w:numId="25">
    <w:abstractNumId w:val="3"/>
  </w:num>
  <w:num w:numId="26">
    <w:abstractNumId w:val="21"/>
  </w:num>
  <w:num w:numId="27">
    <w:abstractNumId w:val="20"/>
  </w:num>
  <w:num w:numId="28">
    <w:abstractNumId w:val="11"/>
  </w:num>
  <w:num w:numId="29">
    <w:abstractNumId w:val="6"/>
  </w:num>
  <w:num w:numId="30">
    <w:abstractNumId w:val="4"/>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E3"/>
    <w:rsid w:val="000007F7"/>
    <w:rsid w:val="000009E2"/>
    <w:rsid w:val="00000C82"/>
    <w:rsid w:val="00001ECD"/>
    <w:rsid w:val="00002595"/>
    <w:rsid w:val="00005369"/>
    <w:rsid w:val="000074C7"/>
    <w:rsid w:val="00007D6C"/>
    <w:rsid w:val="00010F35"/>
    <w:rsid w:val="00012C50"/>
    <w:rsid w:val="00013D26"/>
    <w:rsid w:val="00013E81"/>
    <w:rsid w:val="000149DB"/>
    <w:rsid w:val="00014E86"/>
    <w:rsid w:val="0001598B"/>
    <w:rsid w:val="00016929"/>
    <w:rsid w:val="000211FE"/>
    <w:rsid w:val="00023EB3"/>
    <w:rsid w:val="00025051"/>
    <w:rsid w:val="000278AD"/>
    <w:rsid w:val="00031DB6"/>
    <w:rsid w:val="00031FF5"/>
    <w:rsid w:val="000327F1"/>
    <w:rsid w:val="00032A52"/>
    <w:rsid w:val="00032C6D"/>
    <w:rsid w:val="00033FD4"/>
    <w:rsid w:val="00043398"/>
    <w:rsid w:val="0004354F"/>
    <w:rsid w:val="000438C6"/>
    <w:rsid w:val="000438FD"/>
    <w:rsid w:val="0004402E"/>
    <w:rsid w:val="00044CF1"/>
    <w:rsid w:val="0004512D"/>
    <w:rsid w:val="00045490"/>
    <w:rsid w:val="00045B49"/>
    <w:rsid w:val="000521F1"/>
    <w:rsid w:val="000545DF"/>
    <w:rsid w:val="00057875"/>
    <w:rsid w:val="000606B3"/>
    <w:rsid w:val="00063235"/>
    <w:rsid w:val="00064468"/>
    <w:rsid w:val="000644CE"/>
    <w:rsid w:val="000676E3"/>
    <w:rsid w:val="000700B2"/>
    <w:rsid w:val="0007142E"/>
    <w:rsid w:val="00073AF6"/>
    <w:rsid w:val="000748B0"/>
    <w:rsid w:val="00081972"/>
    <w:rsid w:val="00082678"/>
    <w:rsid w:val="00084820"/>
    <w:rsid w:val="00090786"/>
    <w:rsid w:val="00094376"/>
    <w:rsid w:val="00094AFD"/>
    <w:rsid w:val="0009712A"/>
    <w:rsid w:val="00097C1D"/>
    <w:rsid w:val="000A04C1"/>
    <w:rsid w:val="000A0DFC"/>
    <w:rsid w:val="000A17C1"/>
    <w:rsid w:val="000A39F7"/>
    <w:rsid w:val="000A4CF9"/>
    <w:rsid w:val="000B28BC"/>
    <w:rsid w:val="000B5BA2"/>
    <w:rsid w:val="000B71BD"/>
    <w:rsid w:val="000C588D"/>
    <w:rsid w:val="000D0758"/>
    <w:rsid w:val="000D2B08"/>
    <w:rsid w:val="000D2FE7"/>
    <w:rsid w:val="000D32E8"/>
    <w:rsid w:val="000D506E"/>
    <w:rsid w:val="000D64BF"/>
    <w:rsid w:val="000D66A5"/>
    <w:rsid w:val="000E296B"/>
    <w:rsid w:val="000E5045"/>
    <w:rsid w:val="000F1F87"/>
    <w:rsid w:val="000F35E3"/>
    <w:rsid w:val="000F46A1"/>
    <w:rsid w:val="000F6D29"/>
    <w:rsid w:val="00100B06"/>
    <w:rsid w:val="00101003"/>
    <w:rsid w:val="00101FFE"/>
    <w:rsid w:val="00106CFA"/>
    <w:rsid w:val="00106E9A"/>
    <w:rsid w:val="00107768"/>
    <w:rsid w:val="00111298"/>
    <w:rsid w:val="001113C9"/>
    <w:rsid w:val="001137CC"/>
    <w:rsid w:val="00114E83"/>
    <w:rsid w:val="00116FC3"/>
    <w:rsid w:val="00117ECD"/>
    <w:rsid w:val="00121139"/>
    <w:rsid w:val="00122065"/>
    <w:rsid w:val="001221CC"/>
    <w:rsid w:val="00123B1D"/>
    <w:rsid w:val="00123F6B"/>
    <w:rsid w:val="001254BF"/>
    <w:rsid w:val="00125913"/>
    <w:rsid w:val="00130885"/>
    <w:rsid w:val="00131CD9"/>
    <w:rsid w:val="00133516"/>
    <w:rsid w:val="001341A4"/>
    <w:rsid w:val="00134E6E"/>
    <w:rsid w:val="00136725"/>
    <w:rsid w:val="00136C0D"/>
    <w:rsid w:val="001375E2"/>
    <w:rsid w:val="00141F9F"/>
    <w:rsid w:val="00142ADB"/>
    <w:rsid w:val="001458A1"/>
    <w:rsid w:val="00145FAF"/>
    <w:rsid w:val="00146AC2"/>
    <w:rsid w:val="00146FEF"/>
    <w:rsid w:val="0015048D"/>
    <w:rsid w:val="00152E91"/>
    <w:rsid w:val="0015310E"/>
    <w:rsid w:val="00153E9E"/>
    <w:rsid w:val="00156DD5"/>
    <w:rsid w:val="001579A3"/>
    <w:rsid w:val="001627A9"/>
    <w:rsid w:val="00165C6E"/>
    <w:rsid w:val="00176ABC"/>
    <w:rsid w:val="00180C47"/>
    <w:rsid w:val="001819B1"/>
    <w:rsid w:val="001819F1"/>
    <w:rsid w:val="00181BC4"/>
    <w:rsid w:val="00181C41"/>
    <w:rsid w:val="001843DA"/>
    <w:rsid w:val="00184DCC"/>
    <w:rsid w:val="001926E0"/>
    <w:rsid w:val="00193735"/>
    <w:rsid w:val="00193941"/>
    <w:rsid w:val="001951FF"/>
    <w:rsid w:val="001958C9"/>
    <w:rsid w:val="001960C9"/>
    <w:rsid w:val="0019651B"/>
    <w:rsid w:val="001A0503"/>
    <w:rsid w:val="001A3E11"/>
    <w:rsid w:val="001A5139"/>
    <w:rsid w:val="001B1863"/>
    <w:rsid w:val="001B1915"/>
    <w:rsid w:val="001B249B"/>
    <w:rsid w:val="001B428B"/>
    <w:rsid w:val="001B659E"/>
    <w:rsid w:val="001B68E3"/>
    <w:rsid w:val="001C04E5"/>
    <w:rsid w:val="001C05F1"/>
    <w:rsid w:val="001C1357"/>
    <w:rsid w:val="001C2BEF"/>
    <w:rsid w:val="001C319A"/>
    <w:rsid w:val="001C67B5"/>
    <w:rsid w:val="001C6842"/>
    <w:rsid w:val="001C73FA"/>
    <w:rsid w:val="001C7456"/>
    <w:rsid w:val="001C7FD5"/>
    <w:rsid w:val="001D1AA7"/>
    <w:rsid w:val="001D217D"/>
    <w:rsid w:val="001D4722"/>
    <w:rsid w:val="001D65C6"/>
    <w:rsid w:val="001D707C"/>
    <w:rsid w:val="001E0236"/>
    <w:rsid w:val="001E13C4"/>
    <w:rsid w:val="001E25DC"/>
    <w:rsid w:val="001E48CE"/>
    <w:rsid w:val="001E5A2A"/>
    <w:rsid w:val="001F2383"/>
    <w:rsid w:val="001F5721"/>
    <w:rsid w:val="00201DF0"/>
    <w:rsid w:val="0020749D"/>
    <w:rsid w:val="0020766F"/>
    <w:rsid w:val="0021123D"/>
    <w:rsid w:val="00211E85"/>
    <w:rsid w:val="00212A82"/>
    <w:rsid w:val="002158BB"/>
    <w:rsid w:val="00222FA7"/>
    <w:rsid w:val="00225AE0"/>
    <w:rsid w:val="00226496"/>
    <w:rsid w:val="00233F4D"/>
    <w:rsid w:val="00234186"/>
    <w:rsid w:val="00241217"/>
    <w:rsid w:val="002428BF"/>
    <w:rsid w:val="0024303D"/>
    <w:rsid w:val="00246B27"/>
    <w:rsid w:val="002526E7"/>
    <w:rsid w:val="00253240"/>
    <w:rsid w:val="00253BE1"/>
    <w:rsid w:val="00255A76"/>
    <w:rsid w:val="00256E6B"/>
    <w:rsid w:val="002602F1"/>
    <w:rsid w:val="0026415E"/>
    <w:rsid w:val="00267BA7"/>
    <w:rsid w:val="00271554"/>
    <w:rsid w:val="002738B1"/>
    <w:rsid w:val="002743AB"/>
    <w:rsid w:val="00280523"/>
    <w:rsid w:val="002807AF"/>
    <w:rsid w:val="00281DB2"/>
    <w:rsid w:val="00282E71"/>
    <w:rsid w:val="00283894"/>
    <w:rsid w:val="00293CC7"/>
    <w:rsid w:val="00294E2F"/>
    <w:rsid w:val="002951FF"/>
    <w:rsid w:val="002A1880"/>
    <w:rsid w:val="002A1B13"/>
    <w:rsid w:val="002A1E3D"/>
    <w:rsid w:val="002A49F7"/>
    <w:rsid w:val="002A6181"/>
    <w:rsid w:val="002B010D"/>
    <w:rsid w:val="002B040E"/>
    <w:rsid w:val="002B1D0B"/>
    <w:rsid w:val="002B3157"/>
    <w:rsid w:val="002B3835"/>
    <w:rsid w:val="002B58C5"/>
    <w:rsid w:val="002B5B67"/>
    <w:rsid w:val="002C0EAF"/>
    <w:rsid w:val="002C1747"/>
    <w:rsid w:val="002C1F74"/>
    <w:rsid w:val="002C351C"/>
    <w:rsid w:val="002C3A81"/>
    <w:rsid w:val="002C47A2"/>
    <w:rsid w:val="002C67E6"/>
    <w:rsid w:val="002D2B22"/>
    <w:rsid w:val="002E01FE"/>
    <w:rsid w:val="002E02BA"/>
    <w:rsid w:val="002E141A"/>
    <w:rsid w:val="002E4F1C"/>
    <w:rsid w:val="002E5151"/>
    <w:rsid w:val="002E583F"/>
    <w:rsid w:val="002E6633"/>
    <w:rsid w:val="0030546F"/>
    <w:rsid w:val="0030614A"/>
    <w:rsid w:val="00311BD1"/>
    <w:rsid w:val="00313D12"/>
    <w:rsid w:val="00316904"/>
    <w:rsid w:val="0032370C"/>
    <w:rsid w:val="00323C92"/>
    <w:rsid w:val="00327088"/>
    <w:rsid w:val="00327A63"/>
    <w:rsid w:val="00330A1F"/>
    <w:rsid w:val="003345FB"/>
    <w:rsid w:val="003361A6"/>
    <w:rsid w:val="003424BF"/>
    <w:rsid w:val="00344153"/>
    <w:rsid w:val="0035002B"/>
    <w:rsid w:val="003543EC"/>
    <w:rsid w:val="00356022"/>
    <w:rsid w:val="00356BA9"/>
    <w:rsid w:val="003578DE"/>
    <w:rsid w:val="003608B5"/>
    <w:rsid w:val="003617C3"/>
    <w:rsid w:val="0036199D"/>
    <w:rsid w:val="00361A21"/>
    <w:rsid w:val="00364BF0"/>
    <w:rsid w:val="003708C3"/>
    <w:rsid w:val="00371A9F"/>
    <w:rsid w:val="0037761B"/>
    <w:rsid w:val="00380C3B"/>
    <w:rsid w:val="00383CB4"/>
    <w:rsid w:val="00384FD8"/>
    <w:rsid w:val="00386A77"/>
    <w:rsid w:val="00390756"/>
    <w:rsid w:val="003963CC"/>
    <w:rsid w:val="003A019A"/>
    <w:rsid w:val="003A0D56"/>
    <w:rsid w:val="003A33F7"/>
    <w:rsid w:val="003A3571"/>
    <w:rsid w:val="003A3C44"/>
    <w:rsid w:val="003A5E61"/>
    <w:rsid w:val="003A679C"/>
    <w:rsid w:val="003A682D"/>
    <w:rsid w:val="003C1A77"/>
    <w:rsid w:val="003C1CA4"/>
    <w:rsid w:val="003C49E9"/>
    <w:rsid w:val="003C7467"/>
    <w:rsid w:val="003C76C6"/>
    <w:rsid w:val="003D6741"/>
    <w:rsid w:val="003D7A28"/>
    <w:rsid w:val="003E4500"/>
    <w:rsid w:val="003E522B"/>
    <w:rsid w:val="003E769E"/>
    <w:rsid w:val="003E7A1A"/>
    <w:rsid w:val="003F0A6B"/>
    <w:rsid w:val="003F3102"/>
    <w:rsid w:val="003F518D"/>
    <w:rsid w:val="003F7E2A"/>
    <w:rsid w:val="00401F00"/>
    <w:rsid w:val="0040573C"/>
    <w:rsid w:val="004064DC"/>
    <w:rsid w:val="004110B7"/>
    <w:rsid w:val="00412C69"/>
    <w:rsid w:val="00412D56"/>
    <w:rsid w:val="00414323"/>
    <w:rsid w:val="004148DD"/>
    <w:rsid w:val="00414F22"/>
    <w:rsid w:val="00415108"/>
    <w:rsid w:val="00417032"/>
    <w:rsid w:val="0042587C"/>
    <w:rsid w:val="00426747"/>
    <w:rsid w:val="00426849"/>
    <w:rsid w:val="00427E81"/>
    <w:rsid w:val="0043410F"/>
    <w:rsid w:val="00434175"/>
    <w:rsid w:val="00436FA1"/>
    <w:rsid w:val="00437168"/>
    <w:rsid w:val="00437390"/>
    <w:rsid w:val="004401FA"/>
    <w:rsid w:val="00440C2D"/>
    <w:rsid w:val="004440B3"/>
    <w:rsid w:val="00444CF1"/>
    <w:rsid w:val="00447E00"/>
    <w:rsid w:val="004537C1"/>
    <w:rsid w:val="0046184E"/>
    <w:rsid w:val="00462E57"/>
    <w:rsid w:val="004638D3"/>
    <w:rsid w:val="00464709"/>
    <w:rsid w:val="004662DB"/>
    <w:rsid w:val="004705A1"/>
    <w:rsid w:val="004715C6"/>
    <w:rsid w:val="004727DD"/>
    <w:rsid w:val="00475770"/>
    <w:rsid w:val="00477157"/>
    <w:rsid w:val="0047799E"/>
    <w:rsid w:val="0048412A"/>
    <w:rsid w:val="00485071"/>
    <w:rsid w:val="004907C8"/>
    <w:rsid w:val="0049367E"/>
    <w:rsid w:val="004942B2"/>
    <w:rsid w:val="00496988"/>
    <w:rsid w:val="00497E07"/>
    <w:rsid w:val="004A049A"/>
    <w:rsid w:val="004A4160"/>
    <w:rsid w:val="004A7123"/>
    <w:rsid w:val="004B046F"/>
    <w:rsid w:val="004B7AC5"/>
    <w:rsid w:val="004C01DE"/>
    <w:rsid w:val="004C241D"/>
    <w:rsid w:val="004C4468"/>
    <w:rsid w:val="004C62F0"/>
    <w:rsid w:val="004C6FB0"/>
    <w:rsid w:val="004D2774"/>
    <w:rsid w:val="004D56D4"/>
    <w:rsid w:val="004D579C"/>
    <w:rsid w:val="004D67C5"/>
    <w:rsid w:val="004D6A42"/>
    <w:rsid w:val="004D776A"/>
    <w:rsid w:val="004E1F28"/>
    <w:rsid w:val="004E6B62"/>
    <w:rsid w:val="004F16E4"/>
    <w:rsid w:val="004F6408"/>
    <w:rsid w:val="004F6AAD"/>
    <w:rsid w:val="004F6CD2"/>
    <w:rsid w:val="00500A5C"/>
    <w:rsid w:val="00500AAA"/>
    <w:rsid w:val="00501DD7"/>
    <w:rsid w:val="00502F84"/>
    <w:rsid w:val="0050567E"/>
    <w:rsid w:val="00506E5D"/>
    <w:rsid w:val="005074B8"/>
    <w:rsid w:val="00507E99"/>
    <w:rsid w:val="00507EFA"/>
    <w:rsid w:val="0051223D"/>
    <w:rsid w:val="0051286C"/>
    <w:rsid w:val="00513B8D"/>
    <w:rsid w:val="00513D66"/>
    <w:rsid w:val="005159E1"/>
    <w:rsid w:val="005172AB"/>
    <w:rsid w:val="00520AE7"/>
    <w:rsid w:val="00520E71"/>
    <w:rsid w:val="00522851"/>
    <w:rsid w:val="00527DFF"/>
    <w:rsid w:val="00527F6B"/>
    <w:rsid w:val="005302FE"/>
    <w:rsid w:val="00531264"/>
    <w:rsid w:val="00533613"/>
    <w:rsid w:val="00533637"/>
    <w:rsid w:val="00533E2B"/>
    <w:rsid w:val="00534B2B"/>
    <w:rsid w:val="0054025A"/>
    <w:rsid w:val="0054288E"/>
    <w:rsid w:val="00542A43"/>
    <w:rsid w:val="00543341"/>
    <w:rsid w:val="00543649"/>
    <w:rsid w:val="0054461C"/>
    <w:rsid w:val="00550477"/>
    <w:rsid w:val="00551F51"/>
    <w:rsid w:val="00554881"/>
    <w:rsid w:val="00555F6C"/>
    <w:rsid w:val="0055788F"/>
    <w:rsid w:val="00560CF4"/>
    <w:rsid w:val="00561052"/>
    <w:rsid w:val="005620B4"/>
    <w:rsid w:val="00563BA8"/>
    <w:rsid w:val="00563F3A"/>
    <w:rsid w:val="00567753"/>
    <w:rsid w:val="00570343"/>
    <w:rsid w:val="00571CBA"/>
    <w:rsid w:val="00571E4B"/>
    <w:rsid w:val="005734F4"/>
    <w:rsid w:val="00573A07"/>
    <w:rsid w:val="00577C7D"/>
    <w:rsid w:val="00585ADB"/>
    <w:rsid w:val="005938C2"/>
    <w:rsid w:val="00597D74"/>
    <w:rsid w:val="005A3DD9"/>
    <w:rsid w:val="005A4EF1"/>
    <w:rsid w:val="005A7901"/>
    <w:rsid w:val="005B129D"/>
    <w:rsid w:val="005B3679"/>
    <w:rsid w:val="005C1470"/>
    <w:rsid w:val="005C1DE9"/>
    <w:rsid w:val="005C340D"/>
    <w:rsid w:val="005C490F"/>
    <w:rsid w:val="005C62B6"/>
    <w:rsid w:val="005C66ED"/>
    <w:rsid w:val="005C7C73"/>
    <w:rsid w:val="005D61FB"/>
    <w:rsid w:val="005E232E"/>
    <w:rsid w:val="005E3541"/>
    <w:rsid w:val="005E5EF4"/>
    <w:rsid w:val="005E63B1"/>
    <w:rsid w:val="005E69A3"/>
    <w:rsid w:val="005E7C69"/>
    <w:rsid w:val="005F2F1C"/>
    <w:rsid w:val="005F512C"/>
    <w:rsid w:val="005F71E3"/>
    <w:rsid w:val="00600F71"/>
    <w:rsid w:val="0060156E"/>
    <w:rsid w:val="0060212F"/>
    <w:rsid w:val="00604E18"/>
    <w:rsid w:val="006058DB"/>
    <w:rsid w:val="00607F65"/>
    <w:rsid w:val="0061131D"/>
    <w:rsid w:val="00612CB6"/>
    <w:rsid w:val="0061472F"/>
    <w:rsid w:val="006156BC"/>
    <w:rsid w:val="0061631E"/>
    <w:rsid w:val="0062399C"/>
    <w:rsid w:val="00632661"/>
    <w:rsid w:val="00632EF0"/>
    <w:rsid w:val="006351EC"/>
    <w:rsid w:val="006363F8"/>
    <w:rsid w:val="006403C9"/>
    <w:rsid w:val="00640BDF"/>
    <w:rsid w:val="00641C95"/>
    <w:rsid w:val="006430E3"/>
    <w:rsid w:val="00647286"/>
    <w:rsid w:val="006501F2"/>
    <w:rsid w:val="00651924"/>
    <w:rsid w:val="006525F1"/>
    <w:rsid w:val="00654397"/>
    <w:rsid w:val="00654804"/>
    <w:rsid w:val="006601FA"/>
    <w:rsid w:val="00660632"/>
    <w:rsid w:val="00660F26"/>
    <w:rsid w:val="00662D5E"/>
    <w:rsid w:val="00663D97"/>
    <w:rsid w:val="006640BC"/>
    <w:rsid w:val="00672646"/>
    <w:rsid w:val="006727F4"/>
    <w:rsid w:val="00673E96"/>
    <w:rsid w:val="00675325"/>
    <w:rsid w:val="00675690"/>
    <w:rsid w:val="00676A0C"/>
    <w:rsid w:val="0068175D"/>
    <w:rsid w:val="00683DE3"/>
    <w:rsid w:val="00684260"/>
    <w:rsid w:val="006842FD"/>
    <w:rsid w:val="006872DC"/>
    <w:rsid w:val="006878ED"/>
    <w:rsid w:val="00694C92"/>
    <w:rsid w:val="006958E4"/>
    <w:rsid w:val="0069615C"/>
    <w:rsid w:val="006A14AC"/>
    <w:rsid w:val="006A3B7D"/>
    <w:rsid w:val="006A7C3C"/>
    <w:rsid w:val="006B17AA"/>
    <w:rsid w:val="006B27A7"/>
    <w:rsid w:val="006B3129"/>
    <w:rsid w:val="006B58A9"/>
    <w:rsid w:val="006B6C76"/>
    <w:rsid w:val="006B7055"/>
    <w:rsid w:val="006C2FC9"/>
    <w:rsid w:val="006C51BA"/>
    <w:rsid w:val="006C675C"/>
    <w:rsid w:val="006C6C10"/>
    <w:rsid w:val="006D2FA4"/>
    <w:rsid w:val="006D46DE"/>
    <w:rsid w:val="006E1D69"/>
    <w:rsid w:val="006E37A8"/>
    <w:rsid w:val="006E453B"/>
    <w:rsid w:val="006E4833"/>
    <w:rsid w:val="006F14D6"/>
    <w:rsid w:val="006F1712"/>
    <w:rsid w:val="006F1D08"/>
    <w:rsid w:val="006F2061"/>
    <w:rsid w:val="006F212D"/>
    <w:rsid w:val="006F25B6"/>
    <w:rsid w:val="006F3F4A"/>
    <w:rsid w:val="006F5780"/>
    <w:rsid w:val="006F6E9A"/>
    <w:rsid w:val="006F7801"/>
    <w:rsid w:val="006F783B"/>
    <w:rsid w:val="00701F71"/>
    <w:rsid w:val="0070449C"/>
    <w:rsid w:val="00704DD9"/>
    <w:rsid w:val="00706E95"/>
    <w:rsid w:val="0071391B"/>
    <w:rsid w:val="0071401C"/>
    <w:rsid w:val="00716B75"/>
    <w:rsid w:val="007170DF"/>
    <w:rsid w:val="007174E5"/>
    <w:rsid w:val="007212E9"/>
    <w:rsid w:val="0073016C"/>
    <w:rsid w:val="00735ACB"/>
    <w:rsid w:val="00736D4D"/>
    <w:rsid w:val="007412C8"/>
    <w:rsid w:val="00743ACE"/>
    <w:rsid w:val="0074452D"/>
    <w:rsid w:val="00746B68"/>
    <w:rsid w:val="007470C1"/>
    <w:rsid w:val="00753819"/>
    <w:rsid w:val="0075593B"/>
    <w:rsid w:val="007564C3"/>
    <w:rsid w:val="007573B4"/>
    <w:rsid w:val="007647DB"/>
    <w:rsid w:val="007661D2"/>
    <w:rsid w:val="00767190"/>
    <w:rsid w:val="007742F2"/>
    <w:rsid w:val="00775974"/>
    <w:rsid w:val="00776870"/>
    <w:rsid w:val="0078376C"/>
    <w:rsid w:val="0078597D"/>
    <w:rsid w:val="00787106"/>
    <w:rsid w:val="00787BCD"/>
    <w:rsid w:val="00794B0D"/>
    <w:rsid w:val="007A02D2"/>
    <w:rsid w:val="007A1D47"/>
    <w:rsid w:val="007A42B0"/>
    <w:rsid w:val="007A431E"/>
    <w:rsid w:val="007A520A"/>
    <w:rsid w:val="007A6C70"/>
    <w:rsid w:val="007A7CC6"/>
    <w:rsid w:val="007B089D"/>
    <w:rsid w:val="007B0FD1"/>
    <w:rsid w:val="007B4F2D"/>
    <w:rsid w:val="007B612B"/>
    <w:rsid w:val="007B6B63"/>
    <w:rsid w:val="007B6B8E"/>
    <w:rsid w:val="007B752A"/>
    <w:rsid w:val="007B79F7"/>
    <w:rsid w:val="007C0F6A"/>
    <w:rsid w:val="007C2BDF"/>
    <w:rsid w:val="007D0855"/>
    <w:rsid w:val="007D0C12"/>
    <w:rsid w:val="007D1363"/>
    <w:rsid w:val="007D661B"/>
    <w:rsid w:val="007E0480"/>
    <w:rsid w:val="007E080D"/>
    <w:rsid w:val="007E1903"/>
    <w:rsid w:val="007E242C"/>
    <w:rsid w:val="007E4C23"/>
    <w:rsid w:val="007E6087"/>
    <w:rsid w:val="007E6860"/>
    <w:rsid w:val="007E75E7"/>
    <w:rsid w:val="007F36AA"/>
    <w:rsid w:val="007F4B9D"/>
    <w:rsid w:val="007F540C"/>
    <w:rsid w:val="007F5896"/>
    <w:rsid w:val="007F7262"/>
    <w:rsid w:val="007F76FE"/>
    <w:rsid w:val="00802278"/>
    <w:rsid w:val="00802627"/>
    <w:rsid w:val="008075C0"/>
    <w:rsid w:val="0080773C"/>
    <w:rsid w:val="00810D7F"/>
    <w:rsid w:val="0081311B"/>
    <w:rsid w:val="00815104"/>
    <w:rsid w:val="00820A32"/>
    <w:rsid w:val="00820D5B"/>
    <w:rsid w:val="008247B6"/>
    <w:rsid w:val="00824D8B"/>
    <w:rsid w:val="00827FFC"/>
    <w:rsid w:val="00830A21"/>
    <w:rsid w:val="008321C1"/>
    <w:rsid w:val="00832CBF"/>
    <w:rsid w:val="008339AA"/>
    <w:rsid w:val="00834CDE"/>
    <w:rsid w:val="00836E43"/>
    <w:rsid w:val="00837A15"/>
    <w:rsid w:val="00841280"/>
    <w:rsid w:val="00841A1C"/>
    <w:rsid w:val="00842B57"/>
    <w:rsid w:val="008446AD"/>
    <w:rsid w:val="008502C0"/>
    <w:rsid w:val="00853C7D"/>
    <w:rsid w:val="00861E4B"/>
    <w:rsid w:val="008623BE"/>
    <w:rsid w:val="00862690"/>
    <w:rsid w:val="00865B76"/>
    <w:rsid w:val="008662E9"/>
    <w:rsid w:val="0086653E"/>
    <w:rsid w:val="00872BDF"/>
    <w:rsid w:val="0087346E"/>
    <w:rsid w:val="008740A6"/>
    <w:rsid w:val="008748DE"/>
    <w:rsid w:val="008765BE"/>
    <w:rsid w:val="008767E5"/>
    <w:rsid w:val="00876A20"/>
    <w:rsid w:val="00881B1B"/>
    <w:rsid w:val="00883D4A"/>
    <w:rsid w:val="008847FC"/>
    <w:rsid w:val="0089169A"/>
    <w:rsid w:val="0089214D"/>
    <w:rsid w:val="00892D83"/>
    <w:rsid w:val="00895B63"/>
    <w:rsid w:val="00897389"/>
    <w:rsid w:val="008A1AA0"/>
    <w:rsid w:val="008A3718"/>
    <w:rsid w:val="008A50B2"/>
    <w:rsid w:val="008A6178"/>
    <w:rsid w:val="008B3552"/>
    <w:rsid w:val="008B3973"/>
    <w:rsid w:val="008B430E"/>
    <w:rsid w:val="008B7206"/>
    <w:rsid w:val="008C3A1F"/>
    <w:rsid w:val="008C4AE4"/>
    <w:rsid w:val="008C6095"/>
    <w:rsid w:val="008C7A68"/>
    <w:rsid w:val="008D1B23"/>
    <w:rsid w:val="008D3642"/>
    <w:rsid w:val="008D4FBC"/>
    <w:rsid w:val="008D65C2"/>
    <w:rsid w:val="008D765D"/>
    <w:rsid w:val="008D7EFE"/>
    <w:rsid w:val="008E0376"/>
    <w:rsid w:val="008E0E16"/>
    <w:rsid w:val="008E1ACB"/>
    <w:rsid w:val="008E5F4B"/>
    <w:rsid w:val="008F446F"/>
    <w:rsid w:val="008F4A5B"/>
    <w:rsid w:val="008F4A8E"/>
    <w:rsid w:val="008F6833"/>
    <w:rsid w:val="008F6FD7"/>
    <w:rsid w:val="009010E9"/>
    <w:rsid w:val="00901162"/>
    <w:rsid w:val="0090144C"/>
    <w:rsid w:val="00901523"/>
    <w:rsid w:val="00904AB8"/>
    <w:rsid w:val="00904C91"/>
    <w:rsid w:val="0090557F"/>
    <w:rsid w:val="00905767"/>
    <w:rsid w:val="00910962"/>
    <w:rsid w:val="00912F1F"/>
    <w:rsid w:val="0091629C"/>
    <w:rsid w:val="0091661C"/>
    <w:rsid w:val="0092656E"/>
    <w:rsid w:val="00930363"/>
    <w:rsid w:val="00932D9D"/>
    <w:rsid w:val="00932DF8"/>
    <w:rsid w:val="0093405D"/>
    <w:rsid w:val="009365F3"/>
    <w:rsid w:val="00943D21"/>
    <w:rsid w:val="00943EBF"/>
    <w:rsid w:val="00945896"/>
    <w:rsid w:val="00947D90"/>
    <w:rsid w:val="00950572"/>
    <w:rsid w:val="009518B6"/>
    <w:rsid w:val="00952125"/>
    <w:rsid w:val="00952219"/>
    <w:rsid w:val="00952A0A"/>
    <w:rsid w:val="00952C87"/>
    <w:rsid w:val="00954729"/>
    <w:rsid w:val="0096193A"/>
    <w:rsid w:val="00963D8F"/>
    <w:rsid w:val="0096470A"/>
    <w:rsid w:val="009756B8"/>
    <w:rsid w:val="00975B76"/>
    <w:rsid w:val="009760EF"/>
    <w:rsid w:val="0097624C"/>
    <w:rsid w:val="0098271C"/>
    <w:rsid w:val="00983CC9"/>
    <w:rsid w:val="00984518"/>
    <w:rsid w:val="00985038"/>
    <w:rsid w:val="009867B3"/>
    <w:rsid w:val="00986EF4"/>
    <w:rsid w:val="00987243"/>
    <w:rsid w:val="009A0315"/>
    <w:rsid w:val="009A1B38"/>
    <w:rsid w:val="009A2650"/>
    <w:rsid w:val="009B1A52"/>
    <w:rsid w:val="009B2E52"/>
    <w:rsid w:val="009B5FE8"/>
    <w:rsid w:val="009B6C66"/>
    <w:rsid w:val="009C01C5"/>
    <w:rsid w:val="009C213B"/>
    <w:rsid w:val="009C2F99"/>
    <w:rsid w:val="009C53B2"/>
    <w:rsid w:val="009C64BD"/>
    <w:rsid w:val="009C6613"/>
    <w:rsid w:val="009C69CB"/>
    <w:rsid w:val="009D2933"/>
    <w:rsid w:val="009E0B6F"/>
    <w:rsid w:val="009E1256"/>
    <w:rsid w:val="009E3062"/>
    <w:rsid w:val="009E526E"/>
    <w:rsid w:val="009E5559"/>
    <w:rsid w:val="009E5ED6"/>
    <w:rsid w:val="009E67D6"/>
    <w:rsid w:val="009E7725"/>
    <w:rsid w:val="009E7955"/>
    <w:rsid w:val="009F0F22"/>
    <w:rsid w:val="009F104E"/>
    <w:rsid w:val="009F27DC"/>
    <w:rsid w:val="009F2BC5"/>
    <w:rsid w:val="009F416E"/>
    <w:rsid w:val="009F4380"/>
    <w:rsid w:val="009F4867"/>
    <w:rsid w:val="009F4C4E"/>
    <w:rsid w:val="009F75B5"/>
    <w:rsid w:val="009F7812"/>
    <w:rsid w:val="009F7FF5"/>
    <w:rsid w:val="00A000FF"/>
    <w:rsid w:val="00A025BD"/>
    <w:rsid w:val="00A051CE"/>
    <w:rsid w:val="00A06464"/>
    <w:rsid w:val="00A06A80"/>
    <w:rsid w:val="00A11EFC"/>
    <w:rsid w:val="00A13359"/>
    <w:rsid w:val="00A14833"/>
    <w:rsid w:val="00A14B9C"/>
    <w:rsid w:val="00A16D40"/>
    <w:rsid w:val="00A20853"/>
    <w:rsid w:val="00A268E3"/>
    <w:rsid w:val="00A30C88"/>
    <w:rsid w:val="00A32421"/>
    <w:rsid w:val="00A41FCA"/>
    <w:rsid w:val="00A429EE"/>
    <w:rsid w:val="00A44733"/>
    <w:rsid w:val="00A52A47"/>
    <w:rsid w:val="00A56C80"/>
    <w:rsid w:val="00A56E27"/>
    <w:rsid w:val="00A5787A"/>
    <w:rsid w:val="00A57F03"/>
    <w:rsid w:val="00A642D9"/>
    <w:rsid w:val="00A64A0C"/>
    <w:rsid w:val="00A64DFE"/>
    <w:rsid w:val="00A654D6"/>
    <w:rsid w:val="00A71237"/>
    <w:rsid w:val="00A739A8"/>
    <w:rsid w:val="00A7675A"/>
    <w:rsid w:val="00A76EC2"/>
    <w:rsid w:val="00A77284"/>
    <w:rsid w:val="00A77C3C"/>
    <w:rsid w:val="00A812ED"/>
    <w:rsid w:val="00A82D48"/>
    <w:rsid w:val="00A8311D"/>
    <w:rsid w:val="00A8324D"/>
    <w:rsid w:val="00A84038"/>
    <w:rsid w:val="00A85905"/>
    <w:rsid w:val="00A87C34"/>
    <w:rsid w:val="00A915F7"/>
    <w:rsid w:val="00A93DC7"/>
    <w:rsid w:val="00A94C4A"/>
    <w:rsid w:val="00A95B26"/>
    <w:rsid w:val="00A9723B"/>
    <w:rsid w:val="00A979E0"/>
    <w:rsid w:val="00AA24ED"/>
    <w:rsid w:val="00AA5475"/>
    <w:rsid w:val="00AA5F7D"/>
    <w:rsid w:val="00AB0530"/>
    <w:rsid w:val="00AB2E36"/>
    <w:rsid w:val="00AB346F"/>
    <w:rsid w:val="00AB4AED"/>
    <w:rsid w:val="00AB5115"/>
    <w:rsid w:val="00AB7127"/>
    <w:rsid w:val="00AB715E"/>
    <w:rsid w:val="00AC1FC2"/>
    <w:rsid w:val="00AC5928"/>
    <w:rsid w:val="00AC5C4B"/>
    <w:rsid w:val="00AC648E"/>
    <w:rsid w:val="00AD09B5"/>
    <w:rsid w:val="00AD41EC"/>
    <w:rsid w:val="00AD4E22"/>
    <w:rsid w:val="00AE1433"/>
    <w:rsid w:val="00AE3413"/>
    <w:rsid w:val="00AE4251"/>
    <w:rsid w:val="00AE5687"/>
    <w:rsid w:val="00AE7400"/>
    <w:rsid w:val="00AF41EC"/>
    <w:rsid w:val="00AF57D5"/>
    <w:rsid w:val="00AF621A"/>
    <w:rsid w:val="00AF6989"/>
    <w:rsid w:val="00B03C88"/>
    <w:rsid w:val="00B054E3"/>
    <w:rsid w:val="00B06137"/>
    <w:rsid w:val="00B07236"/>
    <w:rsid w:val="00B11AEA"/>
    <w:rsid w:val="00B16285"/>
    <w:rsid w:val="00B17465"/>
    <w:rsid w:val="00B22396"/>
    <w:rsid w:val="00B22FE1"/>
    <w:rsid w:val="00B238E4"/>
    <w:rsid w:val="00B240F2"/>
    <w:rsid w:val="00B2445D"/>
    <w:rsid w:val="00B247CA"/>
    <w:rsid w:val="00B25E2C"/>
    <w:rsid w:val="00B26A21"/>
    <w:rsid w:val="00B301DD"/>
    <w:rsid w:val="00B3112E"/>
    <w:rsid w:val="00B321AA"/>
    <w:rsid w:val="00B338FC"/>
    <w:rsid w:val="00B3506B"/>
    <w:rsid w:val="00B3757F"/>
    <w:rsid w:val="00B37F8A"/>
    <w:rsid w:val="00B41FF7"/>
    <w:rsid w:val="00B44628"/>
    <w:rsid w:val="00B450D0"/>
    <w:rsid w:val="00B462E0"/>
    <w:rsid w:val="00B5159D"/>
    <w:rsid w:val="00B52F6B"/>
    <w:rsid w:val="00B536D5"/>
    <w:rsid w:val="00B54515"/>
    <w:rsid w:val="00B618FB"/>
    <w:rsid w:val="00B65840"/>
    <w:rsid w:val="00B73AD2"/>
    <w:rsid w:val="00B77E73"/>
    <w:rsid w:val="00B80C3F"/>
    <w:rsid w:val="00B82A12"/>
    <w:rsid w:val="00B82B67"/>
    <w:rsid w:val="00B86799"/>
    <w:rsid w:val="00B87390"/>
    <w:rsid w:val="00B87989"/>
    <w:rsid w:val="00B87B68"/>
    <w:rsid w:val="00B92D26"/>
    <w:rsid w:val="00B93CEE"/>
    <w:rsid w:val="00B94501"/>
    <w:rsid w:val="00B961AD"/>
    <w:rsid w:val="00B97EA9"/>
    <w:rsid w:val="00BA1798"/>
    <w:rsid w:val="00BA621B"/>
    <w:rsid w:val="00BA7302"/>
    <w:rsid w:val="00BB1B69"/>
    <w:rsid w:val="00BB5AA9"/>
    <w:rsid w:val="00BC11E1"/>
    <w:rsid w:val="00BC2548"/>
    <w:rsid w:val="00BC39C2"/>
    <w:rsid w:val="00BC4598"/>
    <w:rsid w:val="00BC5D6C"/>
    <w:rsid w:val="00BC7828"/>
    <w:rsid w:val="00BC7E63"/>
    <w:rsid w:val="00BC7E7E"/>
    <w:rsid w:val="00BD08C3"/>
    <w:rsid w:val="00BD0B58"/>
    <w:rsid w:val="00BD5F4C"/>
    <w:rsid w:val="00BD7299"/>
    <w:rsid w:val="00BE0E80"/>
    <w:rsid w:val="00BE4470"/>
    <w:rsid w:val="00BE465F"/>
    <w:rsid w:val="00BE5AA3"/>
    <w:rsid w:val="00BF1F36"/>
    <w:rsid w:val="00BF53E5"/>
    <w:rsid w:val="00C00781"/>
    <w:rsid w:val="00C0089A"/>
    <w:rsid w:val="00C00B9F"/>
    <w:rsid w:val="00C04201"/>
    <w:rsid w:val="00C05B9F"/>
    <w:rsid w:val="00C06A71"/>
    <w:rsid w:val="00C07D7C"/>
    <w:rsid w:val="00C10126"/>
    <w:rsid w:val="00C13867"/>
    <w:rsid w:val="00C150F8"/>
    <w:rsid w:val="00C16B08"/>
    <w:rsid w:val="00C17ACC"/>
    <w:rsid w:val="00C201EB"/>
    <w:rsid w:val="00C21606"/>
    <w:rsid w:val="00C23118"/>
    <w:rsid w:val="00C2325E"/>
    <w:rsid w:val="00C2484A"/>
    <w:rsid w:val="00C25C53"/>
    <w:rsid w:val="00C268D1"/>
    <w:rsid w:val="00C26958"/>
    <w:rsid w:val="00C278DC"/>
    <w:rsid w:val="00C363DB"/>
    <w:rsid w:val="00C365F2"/>
    <w:rsid w:val="00C37ED4"/>
    <w:rsid w:val="00C41C42"/>
    <w:rsid w:val="00C44DBB"/>
    <w:rsid w:val="00C46058"/>
    <w:rsid w:val="00C50F30"/>
    <w:rsid w:val="00C514F0"/>
    <w:rsid w:val="00C5198B"/>
    <w:rsid w:val="00C56AD5"/>
    <w:rsid w:val="00C62AC4"/>
    <w:rsid w:val="00C637E8"/>
    <w:rsid w:val="00C63A10"/>
    <w:rsid w:val="00C63C81"/>
    <w:rsid w:val="00C701C8"/>
    <w:rsid w:val="00C724C0"/>
    <w:rsid w:val="00C72D41"/>
    <w:rsid w:val="00C76909"/>
    <w:rsid w:val="00C7702B"/>
    <w:rsid w:val="00C775CF"/>
    <w:rsid w:val="00C77C10"/>
    <w:rsid w:val="00C81414"/>
    <w:rsid w:val="00C81D93"/>
    <w:rsid w:val="00C8480E"/>
    <w:rsid w:val="00C8736F"/>
    <w:rsid w:val="00C873F8"/>
    <w:rsid w:val="00C878DF"/>
    <w:rsid w:val="00C9104A"/>
    <w:rsid w:val="00C91270"/>
    <w:rsid w:val="00C920E3"/>
    <w:rsid w:val="00C924A8"/>
    <w:rsid w:val="00C95A90"/>
    <w:rsid w:val="00C97BAE"/>
    <w:rsid w:val="00CA00A9"/>
    <w:rsid w:val="00CA22DF"/>
    <w:rsid w:val="00CA336C"/>
    <w:rsid w:val="00CA4003"/>
    <w:rsid w:val="00CA5E63"/>
    <w:rsid w:val="00CA664B"/>
    <w:rsid w:val="00CA68C2"/>
    <w:rsid w:val="00CA698E"/>
    <w:rsid w:val="00CB107B"/>
    <w:rsid w:val="00CB19A0"/>
    <w:rsid w:val="00CB31E0"/>
    <w:rsid w:val="00CB3413"/>
    <w:rsid w:val="00CC17F7"/>
    <w:rsid w:val="00CC3F30"/>
    <w:rsid w:val="00CC4189"/>
    <w:rsid w:val="00CC4B59"/>
    <w:rsid w:val="00CC5C90"/>
    <w:rsid w:val="00CD0135"/>
    <w:rsid w:val="00CD1E92"/>
    <w:rsid w:val="00CD2146"/>
    <w:rsid w:val="00CD23B1"/>
    <w:rsid w:val="00CD254C"/>
    <w:rsid w:val="00CD2A84"/>
    <w:rsid w:val="00CD3DA9"/>
    <w:rsid w:val="00CD4BBB"/>
    <w:rsid w:val="00CD7B13"/>
    <w:rsid w:val="00CD7D91"/>
    <w:rsid w:val="00CE220B"/>
    <w:rsid w:val="00CE3175"/>
    <w:rsid w:val="00CE55D2"/>
    <w:rsid w:val="00CF2EF3"/>
    <w:rsid w:val="00CF7205"/>
    <w:rsid w:val="00CF7A03"/>
    <w:rsid w:val="00D02B1D"/>
    <w:rsid w:val="00D02B4D"/>
    <w:rsid w:val="00D02EF4"/>
    <w:rsid w:val="00D05859"/>
    <w:rsid w:val="00D06E28"/>
    <w:rsid w:val="00D0703A"/>
    <w:rsid w:val="00D10FEB"/>
    <w:rsid w:val="00D1605D"/>
    <w:rsid w:val="00D203F9"/>
    <w:rsid w:val="00D20431"/>
    <w:rsid w:val="00D231CD"/>
    <w:rsid w:val="00D23FA9"/>
    <w:rsid w:val="00D244C6"/>
    <w:rsid w:val="00D25073"/>
    <w:rsid w:val="00D26749"/>
    <w:rsid w:val="00D270D7"/>
    <w:rsid w:val="00D33870"/>
    <w:rsid w:val="00D33F2F"/>
    <w:rsid w:val="00D34672"/>
    <w:rsid w:val="00D37740"/>
    <w:rsid w:val="00D440D5"/>
    <w:rsid w:val="00D533A9"/>
    <w:rsid w:val="00D53505"/>
    <w:rsid w:val="00D53728"/>
    <w:rsid w:val="00D552AA"/>
    <w:rsid w:val="00D558F4"/>
    <w:rsid w:val="00D56D3B"/>
    <w:rsid w:val="00D56EEF"/>
    <w:rsid w:val="00D6276D"/>
    <w:rsid w:val="00D64346"/>
    <w:rsid w:val="00D65306"/>
    <w:rsid w:val="00D65B26"/>
    <w:rsid w:val="00D6607C"/>
    <w:rsid w:val="00D73F23"/>
    <w:rsid w:val="00D75715"/>
    <w:rsid w:val="00D775E1"/>
    <w:rsid w:val="00D80C92"/>
    <w:rsid w:val="00D87CA5"/>
    <w:rsid w:val="00D9058B"/>
    <w:rsid w:val="00D91216"/>
    <w:rsid w:val="00D926F7"/>
    <w:rsid w:val="00D9378B"/>
    <w:rsid w:val="00D94DB2"/>
    <w:rsid w:val="00D964B2"/>
    <w:rsid w:val="00DA13D0"/>
    <w:rsid w:val="00DA5BE7"/>
    <w:rsid w:val="00DB0CA0"/>
    <w:rsid w:val="00DB107C"/>
    <w:rsid w:val="00DB1B64"/>
    <w:rsid w:val="00DB3ECA"/>
    <w:rsid w:val="00DB45D9"/>
    <w:rsid w:val="00DB4DAA"/>
    <w:rsid w:val="00DC6AAB"/>
    <w:rsid w:val="00DD1922"/>
    <w:rsid w:val="00DD2BFB"/>
    <w:rsid w:val="00DD38B0"/>
    <w:rsid w:val="00DD4725"/>
    <w:rsid w:val="00DE045F"/>
    <w:rsid w:val="00DE1FAB"/>
    <w:rsid w:val="00DE39BE"/>
    <w:rsid w:val="00DE4E70"/>
    <w:rsid w:val="00DE7B95"/>
    <w:rsid w:val="00DF05CC"/>
    <w:rsid w:val="00DF0D66"/>
    <w:rsid w:val="00E02813"/>
    <w:rsid w:val="00E02938"/>
    <w:rsid w:val="00E03486"/>
    <w:rsid w:val="00E04F31"/>
    <w:rsid w:val="00E065C4"/>
    <w:rsid w:val="00E14ED6"/>
    <w:rsid w:val="00E157F6"/>
    <w:rsid w:val="00E159E4"/>
    <w:rsid w:val="00E16085"/>
    <w:rsid w:val="00E1714F"/>
    <w:rsid w:val="00E20214"/>
    <w:rsid w:val="00E2119F"/>
    <w:rsid w:val="00E2252C"/>
    <w:rsid w:val="00E23CA8"/>
    <w:rsid w:val="00E24576"/>
    <w:rsid w:val="00E2521A"/>
    <w:rsid w:val="00E264DF"/>
    <w:rsid w:val="00E265CB"/>
    <w:rsid w:val="00E30DA6"/>
    <w:rsid w:val="00E3251C"/>
    <w:rsid w:val="00E33AD6"/>
    <w:rsid w:val="00E37513"/>
    <w:rsid w:val="00E44B3A"/>
    <w:rsid w:val="00E47291"/>
    <w:rsid w:val="00E5001D"/>
    <w:rsid w:val="00E50A1A"/>
    <w:rsid w:val="00E52B3D"/>
    <w:rsid w:val="00E5646C"/>
    <w:rsid w:val="00E615A6"/>
    <w:rsid w:val="00E63DB7"/>
    <w:rsid w:val="00E65D49"/>
    <w:rsid w:val="00E66F6F"/>
    <w:rsid w:val="00E67309"/>
    <w:rsid w:val="00E7173C"/>
    <w:rsid w:val="00E72E61"/>
    <w:rsid w:val="00E76E16"/>
    <w:rsid w:val="00E804FF"/>
    <w:rsid w:val="00E813E7"/>
    <w:rsid w:val="00E81891"/>
    <w:rsid w:val="00E8353D"/>
    <w:rsid w:val="00E91758"/>
    <w:rsid w:val="00E93D7B"/>
    <w:rsid w:val="00E94812"/>
    <w:rsid w:val="00E962A5"/>
    <w:rsid w:val="00E96930"/>
    <w:rsid w:val="00EA2CCF"/>
    <w:rsid w:val="00EA3B4A"/>
    <w:rsid w:val="00EB0227"/>
    <w:rsid w:val="00EB0D4F"/>
    <w:rsid w:val="00EB1C56"/>
    <w:rsid w:val="00EB21BF"/>
    <w:rsid w:val="00EB2D75"/>
    <w:rsid w:val="00EB3E0B"/>
    <w:rsid w:val="00EB6CD2"/>
    <w:rsid w:val="00EB7032"/>
    <w:rsid w:val="00EC2534"/>
    <w:rsid w:val="00EC2F91"/>
    <w:rsid w:val="00EC7880"/>
    <w:rsid w:val="00ED0898"/>
    <w:rsid w:val="00ED12D0"/>
    <w:rsid w:val="00ED1BB6"/>
    <w:rsid w:val="00ED48EB"/>
    <w:rsid w:val="00ED556C"/>
    <w:rsid w:val="00ED6661"/>
    <w:rsid w:val="00EE2166"/>
    <w:rsid w:val="00EE3720"/>
    <w:rsid w:val="00EE405E"/>
    <w:rsid w:val="00EF0F87"/>
    <w:rsid w:val="00EF202E"/>
    <w:rsid w:val="00EF4161"/>
    <w:rsid w:val="00F005C0"/>
    <w:rsid w:val="00F00F3D"/>
    <w:rsid w:val="00F01989"/>
    <w:rsid w:val="00F035EF"/>
    <w:rsid w:val="00F03959"/>
    <w:rsid w:val="00F04517"/>
    <w:rsid w:val="00F140D5"/>
    <w:rsid w:val="00F15596"/>
    <w:rsid w:val="00F24A3C"/>
    <w:rsid w:val="00F2624F"/>
    <w:rsid w:val="00F279B2"/>
    <w:rsid w:val="00F3091C"/>
    <w:rsid w:val="00F31B77"/>
    <w:rsid w:val="00F32C1C"/>
    <w:rsid w:val="00F33AD4"/>
    <w:rsid w:val="00F34394"/>
    <w:rsid w:val="00F36B42"/>
    <w:rsid w:val="00F37DBF"/>
    <w:rsid w:val="00F417B9"/>
    <w:rsid w:val="00F43B6B"/>
    <w:rsid w:val="00F43ED9"/>
    <w:rsid w:val="00F44234"/>
    <w:rsid w:val="00F4434E"/>
    <w:rsid w:val="00F4598E"/>
    <w:rsid w:val="00F47679"/>
    <w:rsid w:val="00F5040F"/>
    <w:rsid w:val="00F521F5"/>
    <w:rsid w:val="00F52683"/>
    <w:rsid w:val="00F53480"/>
    <w:rsid w:val="00F53683"/>
    <w:rsid w:val="00F54FC6"/>
    <w:rsid w:val="00F564E0"/>
    <w:rsid w:val="00F6066C"/>
    <w:rsid w:val="00F62B94"/>
    <w:rsid w:val="00F6345D"/>
    <w:rsid w:val="00F6401E"/>
    <w:rsid w:val="00F65E7E"/>
    <w:rsid w:val="00F65E8F"/>
    <w:rsid w:val="00F70A80"/>
    <w:rsid w:val="00F7205A"/>
    <w:rsid w:val="00F75E8B"/>
    <w:rsid w:val="00F7631F"/>
    <w:rsid w:val="00F81B61"/>
    <w:rsid w:val="00F823E0"/>
    <w:rsid w:val="00F82892"/>
    <w:rsid w:val="00F91177"/>
    <w:rsid w:val="00F92A58"/>
    <w:rsid w:val="00F933D2"/>
    <w:rsid w:val="00FA2997"/>
    <w:rsid w:val="00FA2E45"/>
    <w:rsid w:val="00FA756E"/>
    <w:rsid w:val="00FA76D5"/>
    <w:rsid w:val="00FB1203"/>
    <w:rsid w:val="00FB1BB8"/>
    <w:rsid w:val="00FB30BD"/>
    <w:rsid w:val="00FB65EC"/>
    <w:rsid w:val="00FC0110"/>
    <w:rsid w:val="00FC213B"/>
    <w:rsid w:val="00FC5E21"/>
    <w:rsid w:val="00FD689A"/>
    <w:rsid w:val="00FE0791"/>
    <w:rsid w:val="00FE10BE"/>
    <w:rsid w:val="00FE265C"/>
    <w:rsid w:val="00FE667C"/>
    <w:rsid w:val="00FE694C"/>
    <w:rsid w:val="00FF3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D137"/>
  <w15:docId w15:val="{6E00C6DC-37F3-4BFE-9041-6A95B390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E3"/>
    <w:pPr>
      <w:spacing w:after="0" w:line="264" w:lineRule="auto"/>
    </w:pPr>
  </w:style>
  <w:style w:type="paragraph" w:styleId="Heading1">
    <w:name w:val="heading 1"/>
    <w:basedOn w:val="Normal"/>
    <w:next w:val="Normal"/>
    <w:link w:val="Heading1Char"/>
    <w:uiPriority w:val="9"/>
    <w:qFormat/>
    <w:rsid w:val="00683DE3"/>
    <w:pPr>
      <w:keepNext/>
      <w:spacing w:before="12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3DE3"/>
    <w:pPr>
      <w:keepNext/>
      <w:spacing w:before="60" w:after="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83DE3"/>
    <w:pPr>
      <w:keepNext/>
      <w:spacing w:before="6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A06A80"/>
    <w:pPr>
      <w:keepNext/>
      <w:spacing w:before="60" w:after="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77E73"/>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683DE3"/>
    <w:pPr>
      <w:spacing w:before="60" w:after="60"/>
    </w:pPr>
  </w:style>
  <w:style w:type="character" w:styleId="Hyperlink">
    <w:name w:val="Hyperlink"/>
    <w:basedOn w:val="DefaultParagraphFont"/>
    <w:uiPriority w:val="99"/>
    <w:unhideWhenUsed/>
    <w:rsid w:val="00D926F7"/>
    <w:rPr>
      <w:color w:val="0563C1" w:themeColor="hyperlink"/>
      <w:u w:val="single"/>
    </w:rPr>
  </w:style>
  <w:style w:type="character" w:customStyle="1" w:styleId="UnresolvedMention1">
    <w:name w:val="Unresolved Mention1"/>
    <w:basedOn w:val="DefaultParagraphFont"/>
    <w:uiPriority w:val="99"/>
    <w:semiHidden/>
    <w:unhideWhenUsed/>
    <w:rsid w:val="00D926F7"/>
    <w:rPr>
      <w:color w:val="605E5C"/>
      <w:shd w:val="clear" w:color="auto" w:fill="E1DFDD"/>
    </w:rPr>
  </w:style>
  <w:style w:type="character" w:styleId="FollowedHyperlink">
    <w:name w:val="FollowedHyperlink"/>
    <w:basedOn w:val="DefaultParagraphFont"/>
    <w:uiPriority w:val="99"/>
    <w:semiHidden/>
    <w:unhideWhenUsed/>
    <w:rsid w:val="00607F65"/>
    <w:rPr>
      <w:color w:val="954F72" w:themeColor="followedHyperlink"/>
      <w:u w:val="single"/>
    </w:rPr>
  </w:style>
  <w:style w:type="paragraph" w:customStyle="1" w:styleId="Default">
    <w:name w:val="Default"/>
    <w:rsid w:val="00146A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62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1A"/>
    <w:rPr>
      <w:rFonts w:ascii="Segoe UI" w:hAnsi="Segoe UI" w:cs="Segoe UI"/>
      <w:sz w:val="18"/>
      <w:szCs w:val="18"/>
    </w:rPr>
  </w:style>
  <w:style w:type="paragraph" w:styleId="NormalWeb">
    <w:name w:val="Normal (Web)"/>
    <w:basedOn w:val="Normal"/>
    <w:uiPriority w:val="99"/>
    <w:semiHidden/>
    <w:unhideWhenUsed/>
    <w:rsid w:val="00156DD5"/>
    <w:rPr>
      <w:rFonts w:ascii="Times New Roman" w:hAnsi="Times New Roman" w:cs="Times New Roman"/>
      <w:sz w:val="24"/>
      <w:szCs w:val="24"/>
    </w:rPr>
  </w:style>
  <w:style w:type="paragraph" w:customStyle="1" w:styleId="TableBullet">
    <w:name w:val="TableBullet"/>
    <w:basedOn w:val="TableText"/>
    <w:qFormat/>
    <w:rsid w:val="00A06A80"/>
    <w:pPr>
      <w:numPr>
        <w:numId w:val="28"/>
      </w:numPr>
      <w:ind w:left="284" w:hanging="284"/>
    </w:pPr>
  </w:style>
  <w:style w:type="paragraph" w:customStyle="1" w:styleId="TableDash">
    <w:name w:val="TableDash"/>
    <w:basedOn w:val="Normal"/>
    <w:qFormat/>
    <w:rsid w:val="000278AD"/>
    <w:pPr>
      <w:numPr>
        <w:numId w:val="29"/>
      </w:numPr>
      <w:spacing w:before="60" w:after="60"/>
      <w:ind w:left="568" w:hanging="284"/>
    </w:pPr>
  </w:style>
  <w:style w:type="paragraph" w:customStyle="1" w:styleId="TableNumber">
    <w:name w:val="TableNumber"/>
    <w:basedOn w:val="Normal"/>
    <w:qFormat/>
    <w:rsid w:val="00B77E73"/>
    <w:pPr>
      <w:numPr>
        <w:numId w:val="30"/>
      </w:numPr>
      <w:spacing w:before="60" w:after="60"/>
      <w:ind w:left="568" w:hanging="284"/>
    </w:pPr>
  </w:style>
  <w:style w:type="character" w:customStyle="1" w:styleId="Heading1Char">
    <w:name w:val="Heading 1 Char"/>
    <w:basedOn w:val="DefaultParagraphFont"/>
    <w:link w:val="Heading1"/>
    <w:uiPriority w:val="9"/>
    <w:rsid w:val="00683DE3"/>
    <w:rPr>
      <w:rFonts w:eastAsiaTheme="majorEastAsia" w:cstheme="majorBidi"/>
      <w:b/>
      <w:bCs/>
      <w:sz w:val="28"/>
      <w:szCs w:val="28"/>
    </w:rPr>
  </w:style>
  <w:style w:type="paragraph" w:styleId="Title">
    <w:name w:val="Title"/>
    <w:basedOn w:val="Normal"/>
    <w:next w:val="Normal"/>
    <w:link w:val="TitleChar"/>
    <w:uiPriority w:val="10"/>
    <w:qFormat/>
    <w:rsid w:val="00683DE3"/>
    <w:pPr>
      <w:spacing w:after="300" w:line="240" w:lineRule="auto"/>
    </w:pPr>
    <w:rPr>
      <w:rFonts w:eastAsiaTheme="majorEastAsia" w:cstheme="majorBidi"/>
      <w:b/>
      <w:sz w:val="36"/>
      <w:szCs w:val="52"/>
    </w:rPr>
  </w:style>
  <w:style w:type="character" w:customStyle="1" w:styleId="TitleChar">
    <w:name w:val="Title Char"/>
    <w:basedOn w:val="DefaultParagraphFont"/>
    <w:link w:val="Title"/>
    <w:uiPriority w:val="10"/>
    <w:rsid w:val="00683DE3"/>
    <w:rPr>
      <w:rFonts w:eastAsiaTheme="majorEastAsia" w:cstheme="majorBidi"/>
      <w:b/>
      <w:sz w:val="36"/>
      <w:szCs w:val="52"/>
    </w:rPr>
  </w:style>
  <w:style w:type="character" w:styleId="CommentReference">
    <w:name w:val="annotation reference"/>
    <w:basedOn w:val="DefaultParagraphFont"/>
    <w:uiPriority w:val="99"/>
    <w:semiHidden/>
    <w:unhideWhenUsed/>
    <w:rsid w:val="00EB7032"/>
    <w:rPr>
      <w:sz w:val="16"/>
      <w:szCs w:val="16"/>
    </w:rPr>
  </w:style>
  <w:style w:type="paragraph" w:styleId="CommentText">
    <w:name w:val="annotation text"/>
    <w:basedOn w:val="Normal"/>
    <w:link w:val="CommentTextChar"/>
    <w:uiPriority w:val="99"/>
    <w:semiHidden/>
    <w:unhideWhenUsed/>
    <w:rsid w:val="00EB7032"/>
    <w:pPr>
      <w:spacing w:line="240" w:lineRule="auto"/>
    </w:pPr>
    <w:rPr>
      <w:sz w:val="20"/>
      <w:szCs w:val="20"/>
    </w:rPr>
  </w:style>
  <w:style w:type="character" w:customStyle="1" w:styleId="CommentTextChar">
    <w:name w:val="Comment Text Char"/>
    <w:basedOn w:val="DefaultParagraphFont"/>
    <w:link w:val="CommentText"/>
    <w:uiPriority w:val="99"/>
    <w:semiHidden/>
    <w:rsid w:val="00EB7032"/>
    <w:rPr>
      <w:sz w:val="20"/>
      <w:szCs w:val="20"/>
    </w:rPr>
  </w:style>
  <w:style w:type="paragraph" w:styleId="CommentSubject">
    <w:name w:val="annotation subject"/>
    <w:basedOn w:val="CommentText"/>
    <w:next w:val="CommentText"/>
    <w:link w:val="CommentSubjectChar"/>
    <w:uiPriority w:val="99"/>
    <w:semiHidden/>
    <w:unhideWhenUsed/>
    <w:rsid w:val="00EB7032"/>
    <w:rPr>
      <w:b/>
      <w:bCs/>
    </w:rPr>
  </w:style>
  <w:style w:type="character" w:customStyle="1" w:styleId="CommentSubjectChar">
    <w:name w:val="Comment Subject Char"/>
    <w:basedOn w:val="CommentTextChar"/>
    <w:link w:val="CommentSubject"/>
    <w:uiPriority w:val="99"/>
    <w:semiHidden/>
    <w:rsid w:val="00EB7032"/>
    <w:rPr>
      <w:b/>
      <w:bCs/>
      <w:sz w:val="20"/>
      <w:szCs w:val="20"/>
    </w:rPr>
  </w:style>
  <w:style w:type="paragraph" w:styleId="Header">
    <w:name w:val="header"/>
    <w:basedOn w:val="Normal"/>
    <w:link w:val="HeaderChar"/>
    <w:uiPriority w:val="99"/>
    <w:unhideWhenUsed/>
    <w:rsid w:val="00904AB8"/>
    <w:pPr>
      <w:tabs>
        <w:tab w:val="center" w:pos="4513"/>
        <w:tab w:val="right" w:pos="9026"/>
      </w:tabs>
      <w:spacing w:line="240" w:lineRule="auto"/>
    </w:pPr>
  </w:style>
  <w:style w:type="character" w:customStyle="1" w:styleId="HeaderChar">
    <w:name w:val="Header Char"/>
    <w:basedOn w:val="DefaultParagraphFont"/>
    <w:link w:val="Header"/>
    <w:uiPriority w:val="99"/>
    <w:rsid w:val="00904AB8"/>
  </w:style>
  <w:style w:type="paragraph" w:styleId="Footer">
    <w:name w:val="footer"/>
    <w:basedOn w:val="Normal"/>
    <w:link w:val="FooterChar"/>
    <w:uiPriority w:val="99"/>
    <w:unhideWhenUsed/>
    <w:rsid w:val="00904AB8"/>
    <w:pPr>
      <w:tabs>
        <w:tab w:val="center" w:pos="4513"/>
        <w:tab w:val="right" w:pos="9026"/>
      </w:tabs>
      <w:spacing w:line="240" w:lineRule="auto"/>
    </w:pPr>
  </w:style>
  <w:style w:type="character" w:customStyle="1" w:styleId="FooterChar">
    <w:name w:val="Footer Char"/>
    <w:basedOn w:val="DefaultParagraphFont"/>
    <w:link w:val="Footer"/>
    <w:uiPriority w:val="99"/>
    <w:rsid w:val="00904AB8"/>
  </w:style>
  <w:style w:type="paragraph" w:styleId="Revision">
    <w:name w:val="Revision"/>
    <w:hidden/>
    <w:uiPriority w:val="99"/>
    <w:semiHidden/>
    <w:rsid w:val="00193941"/>
    <w:pPr>
      <w:spacing w:after="0" w:line="240" w:lineRule="auto"/>
    </w:pPr>
  </w:style>
  <w:style w:type="paragraph" w:styleId="FootnoteText">
    <w:name w:val="footnote text"/>
    <w:basedOn w:val="Normal"/>
    <w:link w:val="FootnoteTextChar"/>
    <w:uiPriority w:val="99"/>
    <w:unhideWhenUsed/>
    <w:rsid w:val="00683DE3"/>
    <w:pPr>
      <w:spacing w:before="60"/>
      <w:ind w:left="284" w:hanging="284"/>
    </w:pPr>
    <w:rPr>
      <w:sz w:val="20"/>
      <w:szCs w:val="20"/>
    </w:rPr>
  </w:style>
  <w:style w:type="character" w:customStyle="1" w:styleId="FootnoteTextChar">
    <w:name w:val="Footnote Text Char"/>
    <w:basedOn w:val="DefaultParagraphFont"/>
    <w:link w:val="FootnoteText"/>
    <w:uiPriority w:val="99"/>
    <w:rsid w:val="00683DE3"/>
    <w:rPr>
      <w:sz w:val="20"/>
      <w:szCs w:val="20"/>
    </w:rPr>
  </w:style>
  <w:style w:type="character" w:styleId="FootnoteReference">
    <w:name w:val="footnote reference"/>
    <w:basedOn w:val="DefaultParagraphFont"/>
    <w:uiPriority w:val="99"/>
    <w:unhideWhenUsed/>
    <w:rsid w:val="003A3C44"/>
    <w:rPr>
      <w:vertAlign w:val="superscript"/>
    </w:rPr>
  </w:style>
  <w:style w:type="character" w:customStyle="1" w:styleId="Heading2Char">
    <w:name w:val="Heading 2 Char"/>
    <w:basedOn w:val="DefaultParagraphFont"/>
    <w:link w:val="Heading2"/>
    <w:uiPriority w:val="9"/>
    <w:rsid w:val="00683DE3"/>
    <w:rPr>
      <w:rFonts w:eastAsiaTheme="majorEastAsia" w:cstheme="majorBidi"/>
      <w:b/>
      <w:bCs/>
      <w:sz w:val="24"/>
      <w:szCs w:val="26"/>
    </w:rPr>
  </w:style>
  <w:style w:type="character" w:customStyle="1" w:styleId="Heading3Char">
    <w:name w:val="Heading 3 Char"/>
    <w:basedOn w:val="DefaultParagraphFont"/>
    <w:link w:val="Heading3"/>
    <w:uiPriority w:val="9"/>
    <w:rsid w:val="00683DE3"/>
    <w:rPr>
      <w:rFonts w:eastAsiaTheme="majorEastAsia" w:cstheme="majorBidi"/>
      <w:b/>
      <w:bCs/>
    </w:rPr>
  </w:style>
  <w:style w:type="character" w:customStyle="1" w:styleId="Heading4Char">
    <w:name w:val="Heading 4 Char"/>
    <w:basedOn w:val="DefaultParagraphFont"/>
    <w:link w:val="Heading4"/>
    <w:uiPriority w:val="9"/>
    <w:rsid w:val="00A06A80"/>
    <w:rPr>
      <w:rFonts w:eastAsiaTheme="majorEastAsia" w:cstheme="majorBidi"/>
      <w:b/>
      <w:bCs/>
      <w:iCs/>
    </w:rPr>
  </w:style>
  <w:style w:type="character" w:customStyle="1" w:styleId="Heading5Char">
    <w:name w:val="Heading 5 Char"/>
    <w:basedOn w:val="DefaultParagraphFont"/>
    <w:link w:val="Heading5"/>
    <w:uiPriority w:val="9"/>
    <w:rsid w:val="00B77E7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679">
      <w:bodyDiv w:val="1"/>
      <w:marLeft w:val="0"/>
      <w:marRight w:val="0"/>
      <w:marTop w:val="0"/>
      <w:marBottom w:val="0"/>
      <w:divBdr>
        <w:top w:val="none" w:sz="0" w:space="0" w:color="auto"/>
        <w:left w:val="none" w:sz="0" w:space="0" w:color="auto"/>
        <w:bottom w:val="none" w:sz="0" w:space="0" w:color="auto"/>
        <w:right w:val="none" w:sz="0" w:space="0" w:color="auto"/>
      </w:divBdr>
    </w:div>
    <w:div w:id="202444593">
      <w:bodyDiv w:val="1"/>
      <w:marLeft w:val="0"/>
      <w:marRight w:val="0"/>
      <w:marTop w:val="0"/>
      <w:marBottom w:val="0"/>
      <w:divBdr>
        <w:top w:val="none" w:sz="0" w:space="0" w:color="auto"/>
        <w:left w:val="none" w:sz="0" w:space="0" w:color="auto"/>
        <w:bottom w:val="none" w:sz="0" w:space="0" w:color="auto"/>
        <w:right w:val="none" w:sz="0" w:space="0" w:color="auto"/>
      </w:divBdr>
    </w:div>
    <w:div w:id="305014643">
      <w:bodyDiv w:val="1"/>
      <w:marLeft w:val="0"/>
      <w:marRight w:val="0"/>
      <w:marTop w:val="0"/>
      <w:marBottom w:val="0"/>
      <w:divBdr>
        <w:top w:val="none" w:sz="0" w:space="0" w:color="auto"/>
        <w:left w:val="none" w:sz="0" w:space="0" w:color="auto"/>
        <w:bottom w:val="none" w:sz="0" w:space="0" w:color="auto"/>
        <w:right w:val="none" w:sz="0" w:space="0" w:color="auto"/>
      </w:divBdr>
    </w:div>
    <w:div w:id="309987296">
      <w:bodyDiv w:val="1"/>
      <w:marLeft w:val="0"/>
      <w:marRight w:val="0"/>
      <w:marTop w:val="0"/>
      <w:marBottom w:val="0"/>
      <w:divBdr>
        <w:top w:val="none" w:sz="0" w:space="0" w:color="auto"/>
        <w:left w:val="none" w:sz="0" w:space="0" w:color="auto"/>
        <w:bottom w:val="none" w:sz="0" w:space="0" w:color="auto"/>
        <w:right w:val="none" w:sz="0" w:space="0" w:color="auto"/>
      </w:divBdr>
    </w:div>
    <w:div w:id="939483876">
      <w:bodyDiv w:val="1"/>
      <w:marLeft w:val="0"/>
      <w:marRight w:val="0"/>
      <w:marTop w:val="0"/>
      <w:marBottom w:val="0"/>
      <w:divBdr>
        <w:top w:val="none" w:sz="0" w:space="0" w:color="auto"/>
        <w:left w:val="none" w:sz="0" w:space="0" w:color="auto"/>
        <w:bottom w:val="none" w:sz="0" w:space="0" w:color="auto"/>
        <w:right w:val="none" w:sz="0" w:space="0" w:color="auto"/>
      </w:divBdr>
    </w:div>
    <w:div w:id="1076584731">
      <w:bodyDiv w:val="1"/>
      <w:marLeft w:val="0"/>
      <w:marRight w:val="0"/>
      <w:marTop w:val="0"/>
      <w:marBottom w:val="0"/>
      <w:divBdr>
        <w:top w:val="none" w:sz="0" w:space="0" w:color="auto"/>
        <w:left w:val="none" w:sz="0" w:space="0" w:color="auto"/>
        <w:bottom w:val="none" w:sz="0" w:space="0" w:color="auto"/>
        <w:right w:val="none" w:sz="0" w:space="0" w:color="auto"/>
      </w:divBdr>
    </w:div>
    <w:div w:id="1116830419">
      <w:bodyDiv w:val="1"/>
      <w:marLeft w:val="0"/>
      <w:marRight w:val="0"/>
      <w:marTop w:val="0"/>
      <w:marBottom w:val="0"/>
      <w:divBdr>
        <w:top w:val="none" w:sz="0" w:space="0" w:color="auto"/>
        <w:left w:val="none" w:sz="0" w:space="0" w:color="auto"/>
        <w:bottom w:val="none" w:sz="0" w:space="0" w:color="auto"/>
        <w:right w:val="none" w:sz="0" w:space="0" w:color="auto"/>
      </w:divBdr>
    </w:div>
    <w:div w:id="1215191592">
      <w:bodyDiv w:val="1"/>
      <w:marLeft w:val="0"/>
      <w:marRight w:val="0"/>
      <w:marTop w:val="0"/>
      <w:marBottom w:val="0"/>
      <w:divBdr>
        <w:top w:val="none" w:sz="0" w:space="0" w:color="auto"/>
        <w:left w:val="none" w:sz="0" w:space="0" w:color="auto"/>
        <w:bottom w:val="none" w:sz="0" w:space="0" w:color="auto"/>
        <w:right w:val="none" w:sz="0" w:space="0" w:color="auto"/>
      </w:divBdr>
    </w:div>
    <w:div w:id="1358434884">
      <w:bodyDiv w:val="1"/>
      <w:marLeft w:val="0"/>
      <w:marRight w:val="0"/>
      <w:marTop w:val="0"/>
      <w:marBottom w:val="0"/>
      <w:divBdr>
        <w:top w:val="none" w:sz="0" w:space="0" w:color="auto"/>
        <w:left w:val="none" w:sz="0" w:space="0" w:color="auto"/>
        <w:bottom w:val="none" w:sz="0" w:space="0" w:color="auto"/>
        <w:right w:val="none" w:sz="0" w:space="0" w:color="auto"/>
      </w:divBdr>
    </w:div>
    <w:div w:id="1434861294">
      <w:bodyDiv w:val="1"/>
      <w:marLeft w:val="0"/>
      <w:marRight w:val="0"/>
      <w:marTop w:val="0"/>
      <w:marBottom w:val="0"/>
      <w:divBdr>
        <w:top w:val="none" w:sz="0" w:space="0" w:color="auto"/>
        <w:left w:val="none" w:sz="0" w:space="0" w:color="auto"/>
        <w:bottom w:val="none" w:sz="0" w:space="0" w:color="auto"/>
        <w:right w:val="none" w:sz="0" w:space="0" w:color="auto"/>
      </w:divBdr>
    </w:div>
    <w:div w:id="17594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cohol.org.nz" TargetMode="External"/><Relationship Id="rId18" Type="http://schemas.openxmlformats.org/officeDocument/2006/relationships/hyperlink" Target="https://foodregulation.gov.au/internet/fr/publishing.nsf/Content/Pregnancy-Warnings-on-Alcohol-Labels" TargetMode="External"/><Relationship Id="rId26" Type="http://schemas.openxmlformats.org/officeDocument/2006/relationships/hyperlink" Target="https://inclusive.tki.org.nz/guides/fetal-alcohol-spectrum-disorder-and-learning/" TargetMode="External"/><Relationship Id="rId3" Type="http://schemas.openxmlformats.org/officeDocument/2006/relationships/customXml" Target="../customXml/item3.xml"/><Relationship Id="rId21" Type="http://schemas.openxmlformats.org/officeDocument/2006/relationships/hyperlink" Target="https://www.inclusive.tki.org.nz/guides/fetal-alcohol-spectrum-disorder-and-learning?stage=Live" TargetMode="External"/><Relationship Id="rId7" Type="http://schemas.openxmlformats.org/officeDocument/2006/relationships/settings" Target="settings.xml"/><Relationship Id="rId12" Type="http://schemas.openxmlformats.org/officeDocument/2006/relationships/hyperlink" Target="http://www.tuturu.org.nz" TargetMode="External"/><Relationship Id="rId17" Type="http://schemas.openxmlformats.org/officeDocument/2006/relationships/hyperlink" Target="https://scanmail.trustwave.com/?c=15517&amp;d=_KK44IhSWdYBDGpvnPODfN5tWZwx6x4ihrZkEEKWtg&amp;u=https%3a%2f%2fwww%2einclusive%2etki%2eorg%2enz%2fguides%2ffetal-alcohol-spectrum-disorder-and-learning%2fteach-students-about-fasd-cause-and-effects" TargetMode="External"/><Relationship Id="rId25" Type="http://schemas.openxmlformats.org/officeDocument/2006/relationships/hyperlink" Target="https://www.inclusive.tki.org.nz/guides/fetal-alcohol-spectrum-disorder-and-learning/" TargetMode="External"/><Relationship Id="rId2" Type="http://schemas.openxmlformats.org/officeDocument/2006/relationships/customXml" Target="../customXml/item2.xml"/><Relationship Id="rId16" Type="http://schemas.openxmlformats.org/officeDocument/2006/relationships/hyperlink" Target="https://www.healthed.govt.nz/resource/alcohol-and-pregnancy-what-you-might-not-know" TargetMode="External"/><Relationship Id="rId20" Type="http://schemas.openxmlformats.org/officeDocument/2006/relationships/hyperlink" Target="https://www.healthystartprofessional.org.nz/en/our-education-programmes/healthystarteducation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healthy-families-nz" TargetMode="External"/><Relationship Id="rId24" Type="http://schemas.openxmlformats.org/officeDocument/2006/relationships/hyperlink" Target="https://www.inclusive.tki.org.nz/" TargetMode="External"/><Relationship Id="rId5" Type="http://schemas.openxmlformats.org/officeDocument/2006/relationships/numbering" Target="numbering.xml"/><Relationship Id="rId15" Type="http://schemas.openxmlformats.org/officeDocument/2006/relationships/hyperlink" Target="https://www.alcohol.org.nz/sites/default/files/images/Evidence%20summary%20-%20alcohol%20and%20pregnancy.pdf" TargetMode="External"/><Relationship Id="rId23" Type="http://schemas.openxmlformats.org/officeDocument/2006/relationships/hyperlink" Target="https://www.tepou.co.nz/disability-workforce/fetal-alcohol-spectrum-disorder-fasd/239" TargetMode="External"/><Relationship Id="rId28" Type="http://schemas.openxmlformats.org/officeDocument/2006/relationships/hyperlink" Target="https://practice.orangatamariki.govt.nz/previous-practice-centre/knowledge-base-practice-frameworks/fetal-alcohol-spectrum-disorder/" TargetMode="External"/><Relationship Id="rId10" Type="http://schemas.openxmlformats.org/officeDocument/2006/relationships/endnotes" Target="endnotes.xml"/><Relationship Id="rId19" Type="http://schemas.openxmlformats.org/officeDocument/2006/relationships/hyperlink" Target="https://www.hpa.org.nz/research-library/research-publications/consumer-awareness-and-understanding-of-alcohol-pregnancy-warning-labe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cohol.org.nz/resources-research/alcohol-resources/resource-publications?field_audience=All&amp;search_api_views_fulltext=Alcohol-free%20pregnancy%20key%20messages%20infosheet" TargetMode="External"/><Relationship Id="rId22" Type="http://schemas.openxmlformats.org/officeDocument/2006/relationships/hyperlink" Target="https://practice.orangatamariki.govt.nz/previous-practice-centre/knowledge-base-practice-frameworks/fetal-alcohol-spectrum-disorder/" TargetMode="External"/><Relationship Id="rId27" Type="http://schemas.openxmlformats.org/officeDocument/2006/relationships/hyperlink" Target="https://scanmail.trustwave.com/?c=15517&amp;d=_KK44IhSWdYBDGpvnPODfN5tWZwx6x4ihrI_RBHA5g&amp;u=https%3a%2f%2fwww%2einclusive%2etki%2eorg%2enz%2fguides%2ffetal-alcohol-spectrum-disorder-and-learning%2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publication/taking-action-fetal-alcohol-spectrum-disorder-2016-2019-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0563-EA36-4182-B11F-4D74A25F7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0D4F1-11B8-473E-A682-2257F5C76044}">
  <ds:schemaRefs>
    <ds:schemaRef ds:uri="http://schemas.microsoft.com/sharepoint/v3/contenttype/forms"/>
  </ds:schemaRefs>
</ds:datastoreItem>
</file>

<file path=customXml/itemProps3.xml><?xml version="1.0" encoding="utf-8"?>
<ds:datastoreItem xmlns:ds="http://schemas.openxmlformats.org/officeDocument/2006/customXml" ds:itemID="{E191657D-261E-4CAD-BB67-E467035C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7E7BF-7C30-4CB0-BDD6-8364925A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Progress on the FASD Action Plan</dc:title>
  <dc:creator>Ministry of Health</dc:creator>
  <cp:lastModifiedBy>Ministry of Health</cp:lastModifiedBy>
  <cp:revision>5</cp:revision>
  <cp:lastPrinted>2022-03-25T03:09:00Z</cp:lastPrinted>
  <dcterms:created xsi:type="dcterms:W3CDTF">2022-03-25T03:06:00Z</dcterms:created>
  <dcterms:modified xsi:type="dcterms:W3CDTF">2022-03-25T03:09:00Z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