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bottom w:val="single" w:sz="12" w:space="0" w:color="auto"/>
        </w:tblBorders>
        <w:tblLayout w:type="fixed"/>
        <w:tblCellMar>
          <w:left w:w="0" w:type="dxa"/>
          <w:right w:w="0" w:type="dxa"/>
        </w:tblCellMar>
        <w:tblLook w:val="01E0" w:firstRow="1" w:lastRow="1" w:firstColumn="1" w:lastColumn="1" w:noHBand="0" w:noVBand="0"/>
      </w:tblPr>
      <w:tblGrid>
        <w:gridCol w:w="7938"/>
        <w:gridCol w:w="1560"/>
      </w:tblGrid>
      <w:tr w:rsidR="00D56D8D" w:rsidRPr="00DD748F" w:rsidTr="005317F8">
        <w:trPr>
          <w:cantSplit/>
        </w:trPr>
        <w:tc>
          <w:tcPr>
            <w:tcW w:w="7938" w:type="dxa"/>
            <w:shd w:val="clear" w:color="auto" w:fill="auto"/>
            <w:vAlign w:val="bottom"/>
          </w:tcPr>
          <w:p w:rsidR="008348B7" w:rsidRPr="00DD748F" w:rsidRDefault="005317F8" w:rsidP="005317F8">
            <w:pPr>
              <w:pStyle w:val="Title"/>
            </w:pPr>
            <w:r w:rsidRPr="005317F8">
              <w:rPr>
                <w:sz w:val="40"/>
                <w:szCs w:val="40"/>
              </w:rPr>
              <w:t>Response to Suspected Ebola Virus Disease Cases in New Zealand</w:t>
            </w:r>
            <w:proofErr w:type="gramStart"/>
            <w:r w:rsidRPr="005317F8">
              <w:rPr>
                <w:sz w:val="40"/>
                <w:szCs w:val="40"/>
              </w:rPr>
              <w:t>:</w:t>
            </w:r>
            <w:proofErr w:type="gramEnd"/>
            <w:r w:rsidRPr="005317F8">
              <w:rPr>
                <w:sz w:val="40"/>
                <w:szCs w:val="40"/>
              </w:rPr>
              <w:br/>
            </w:r>
            <w:r w:rsidRPr="005317F8">
              <w:rPr>
                <w:b w:val="0"/>
                <w:sz w:val="32"/>
                <w:szCs w:val="32"/>
              </w:rPr>
              <w:t>Key themes from sector and Ministry debriefs</w:t>
            </w:r>
          </w:p>
        </w:tc>
        <w:tc>
          <w:tcPr>
            <w:tcW w:w="1560" w:type="dxa"/>
            <w:shd w:val="clear" w:color="auto" w:fill="auto"/>
          </w:tcPr>
          <w:p w:rsidR="00CD373C" w:rsidRPr="00DD748F" w:rsidRDefault="00CD373C" w:rsidP="005317F8">
            <w:pPr>
              <w:spacing w:before="480"/>
              <w:jc w:val="right"/>
            </w:pPr>
          </w:p>
          <w:p w:rsidR="00423830" w:rsidRPr="00DD748F" w:rsidRDefault="005317F8" w:rsidP="005317F8">
            <w:pPr>
              <w:spacing w:before="480"/>
              <w:jc w:val="right"/>
              <w:rPr>
                <w:color w:val="002B7F"/>
                <w:sz w:val="28"/>
                <w:szCs w:val="28"/>
              </w:rPr>
            </w:pPr>
            <w:r>
              <w:rPr>
                <w:sz w:val="28"/>
                <w:szCs w:val="28"/>
              </w:rPr>
              <w:t>July 2015</w:t>
            </w:r>
          </w:p>
        </w:tc>
      </w:tr>
    </w:tbl>
    <w:p w:rsidR="008348B7" w:rsidRDefault="008348B7" w:rsidP="008348B7"/>
    <w:p w:rsidR="00A54896" w:rsidRPr="00A54896" w:rsidRDefault="005317F8" w:rsidP="00A54896">
      <w:pPr>
        <w:pStyle w:val="Heading2"/>
      </w:pPr>
      <w:r>
        <w:t>Backg</w:t>
      </w:r>
      <w:bookmarkStart w:id="0" w:name="_GoBack"/>
      <w:bookmarkEnd w:id="0"/>
      <w:r>
        <w:t>round</w:t>
      </w:r>
    </w:p>
    <w:p w:rsidR="005317F8" w:rsidRDefault="005317F8" w:rsidP="005317F8">
      <w:r>
        <w:t>In 2014</w:t>
      </w:r>
      <w:r w:rsidRPr="00E94136">
        <w:t xml:space="preserve"> a significant outbreak of Ebola Virus Disease (EVD) </w:t>
      </w:r>
      <w:r>
        <w:t xml:space="preserve">in West Africa emerged. The scale and complexity of the outbreak resulted in </w:t>
      </w:r>
      <w:r w:rsidRPr="00E94136">
        <w:t>the World Health Organi</w:t>
      </w:r>
      <w:r w:rsidR="00AF6C58">
        <w:t>z</w:t>
      </w:r>
      <w:r w:rsidRPr="00E94136">
        <w:t xml:space="preserve">ation declaring </w:t>
      </w:r>
      <w:r>
        <w:t xml:space="preserve">it </w:t>
      </w:r>
      <w:r w:rsidRPr="00E94136">
        <w:t>to be a Public Health Emergency of International Concern (PHEIC), under the International Health Regulations 2005.</w:t>
      </w:r>
    </w:p>
    <w:p w:rsidR="005317F8" w:rsidRDefault="005317F8" w:rsidP="005317F8"/>
    <w:p w:rsidR="005317F8" w:rsidRDefault="005317F8" w:rsidP="005317F8">
      <w:r>
        <w:t>While the risk of Ebola was very low, the New Zealand health sector and other government agencies enhanced their readiness for a potential Ebola case.</w:t>
      </w:r>
    </w:p>
    <w:p w:rsidR="005317F8" w:rsidRDefault="005317F8" w:rsidP="005317F8"/>
    <w:p w:rsidR="005317F8" w:rsidRDefault="00AF6C58" w:rsidP="005317F8">
      <w:r>
        <w:t xml:space="preserve">While </w:t>
      </w:r>
      <w:r w:rsidR="005317F8">
        <w:t>some activity has been EVD</w:t>
      </w:r>
      <w:r>
        <w:t>-</w:t>
      </w:r>
      <w:r w:rsidR="005317F8">
        <w:t>specific, such as the capacity and capability of the referral hospitals, much of the other activity has enhanced readiness for a wide range of events.</w:t>
      </w:r>
    </w:p>
    <w:p w:rsidR="005317F8" w:rsidRDefault="005317F8" w:rsidP="005317F8"/>
    <w:p w:rsidR="005317F8" w:rsidRDefault="005317F8" w:rsidP="005317F8">
      <w:r>
        <w:t>Activity over the last 12 months has included:</w:t>
      </w:r>
    </w:p>
    <w:p w:rsidR="005317F8" w:rsidRPr="00E352F5" w:rsidRDefault="005317F8" w:rsidP="005317F8">
      <w:pPr>
        <w:pStyle w:val="Bullet"/>
      </w:pPr>
      <w:r>
        <w:t>establishment of a</w:t>
      </w:r>
      <w:r w:rsidRPr="00E94136">
        <w:t xml:space="preserve">n </w:t>
      </w:r>
      <w:r>
        <w:t>Ebola Technical A</w:t>
      </w:r>
      <w:r w:rsidRPr="00E94136">
        <w:t xml:space="preserve">dvisory </w:t>
      </w:r>
      <w:r>
        <w:t>G</w:t>
      </w:r>
      <w:r w:rsidRPr="00E94136">
        <w:t>roup</w:t>
      </w:r>
      <w:r>
        <w:t xml:space="preserve"> (ETAG)</w:t>
      </w:r>
      <w:r w:rsidRPr="00E94136">
        <w:t xml:space="preserve"> </w:t>
      </w:r>
      <w:r>
        <w:t xml:space="preserve">to </w:t>
      </w:r>
      <w:r w:rsidRPr="00E94136">
        <w:t xml:space="preserve">advise on </w:t>
      </w:r>
      <w:r>
        <w:t>sector capacity and capability</w:t>
      </w:r>
      <w:r w:rsidRPr="00E94136">
        <w:t xml:space="preserve">, </w:t>
      </w:r>
      <w:r>
        <w:t xml:space="preserve">clinical </w:t>
      </w:r>
      <w:r w:rsidRPr="00E94136">
        <w:t xml:space="preserve">management </w:t>
      </w:r>
      <w:r>
        <w:t>and public health</w:t>
      </w:r>
      <w:r w:rsidRPr="00E94136">
        <w:t xml:space="preserve"> </w:t>
      </w:r>
      <w:r>
        <w:t>issues for EVD</w:t>
      </w:r>
      <w:r w:rsidRPr="00E94136">
        <w:t xml:space="preserve"> </w:t>
      </w:r>
      <w:r>
        <w:t>in New Zealand</w:t>
      </w:r>
    </w:p>
    <w:p w:rsidR="005317F8" w:rsidRPr="00E352F5" w:rsidRDefault="005317F8" w:rsidP="005317F8">
      <w:pPr>
        <w:pStyle w:val="Bullet"/>
      </w:pPr>
      <w:r>
        <w:t xml:space="preserve">implementation of </w:t>
      </w:r>
      <w:r w:rsidR="00AF6C58">
        <w:t>b</w:t>
      </w:r>
      <w:r>
        <w:t>order protocols for travellers from EVD</w:t>
      </w:r>
      <w:r w:rsidR="00AF6C58">
        <w:t>-</w:t>
      </w:r>
      <w:r>
        <w:t>affected countries including pre-arrival and arrival screening</w:t>
      </w:r>
      <w:r w:rsidRPr="005317F8">
        <w:rPr>
          <w:rStyle w:val="FootnoteReference"/>
        </w:rPr>
        <w:footnoteReference w:id="1"/>
      </w:r>
    </w:p>
    <w:p w:rsidR="005317F8" w:rsidRPr="00E352F5" w:rsidRDefault="005317F8" w:rsidP="005317F8">
      <w:pPr>
        <w:pStyle w:val="Bullet"/>
      </w:pPr>
      <w:r w:rsidRPr="00E94136">
        <w:t xml:space="preserve">development of a protocol for managing the return to New Zealand of </w:t>
      </w:r>
      <w:r>
        <w:t>humanitarian and health care</w:t>
      </w:r>
      <w:r w:rsidRPr="00E94136">
        <w:t xml:space="preserve"> workers assisting in the international Ebola response. This included a 21</w:t>
      </w:r>
      <w:r w:rsidR="00AF6C58">
        <w:t>-</w:t>
      </w:r>
      <w:r w:rsidRPr="00E94136">
        <w:t>day self-monitoring period starting from the date of departure from the Ebola-affected country, and daily contact from a public health unit</w:t>
      </w:r>
    </w:p>
    <w:p w:rsidR="005317F8" w:rsidRDefault="005317F8" w:rsidP="005317F8">
      <w:pPr>
        <w:pStyle w:val="Bullet"/>
      </w:pPr>
      <w:r>
        <w:t>training, exercising and enhancement, of f</w:t>
      </w:r>
      <w:r w:rsidRPr="00E94136">
        <w:t xml:space="preserve">our </w:t>
      </w:r>
      <w:r>
        <w:t>referral</w:t>
      </w:r>
      <w:r w:rsidRPr="00E94136">
        <w:t xml:space="preserve"> hospitals (Auckland, </w:t>
      </w:r>
      <w:proofErr w:type="spellStart"/>
      <w:r w:rsidRPr="00E94136">
        <w:t>Middlemore</w:t>
      </w:r>
      <w:proofErr w:type="spellEnd"/>
      <w:r w:rsidRPr="00E94136">
        <w:t xml:space="preserve">, Wellington and Christchurch) which were </w:t>
      </w:r>
      <w:r>
        <w:t xml:space="preserve">preferred hospitals for definitive care of a confirmed </w:t>
      </w:r>
      <w:r w:rsidRPr="00E94136">
        <w:t xml:space="preserve">EVD </w:t>
      </w:r>
      <w:r>
        <w:t>patient</w:t>
      </w:r>
    </w:p>
    <w:p w:rsidR="005317F8" w:rsidRPr="00E352F5" w:rsidRDefault="00AF6C58" w:rsidP="005317F8">
      <w:pPr>
        <w:pStyle w:val="Bullet"/>
      </w:pPr>
      <w:r>
        <w:t>s</w:t>
      </w:r>
      <w:r w:rsidR="005317F8">
        <w:t>upporting the development of SOPs and training for clinical staff from receiving hospitals</w:t>
      </w:r>
      <w:r w:rsidR="005317F8" w:rsidRPr="00E94136">
        <w:t>, St</w:t>
      </w:r>
      <w:r>
        <w:t> </w:t>
      </w:r>
      <w:r w:rsidR="005317F8" w:rsidRPr="00E94136">
        <w:t>John and Wellington Free Ambulance staff on the correct use of pers</w:t>
      </w:r>
      <w:r w:rsidR="005317F8">
        <w:t>onal protective equipment (PPE), medical waste disposal and specialised equipment</w:t>
      </w:r>
    </w:p>
    <w:p w:rsidR="005317F8" w:rsidRPr="00E352F5" w:rsidRDefault="005317F8" w:rsidP="005317F8">
      <w:pPr>
        <w:pStyle w:val="Bullet"/>
      </w:pPr>
      <w:r w:rsidRPr="00E94136">
        <w:t xml:space="preserve">purchase of </w:t>
      </w:r>
      <w:r>
        <w:t xml:space="preserve">specialised </w:t>
      </w:r>
      <w:r w:rsidRPr="00E94136">
        <w:t>equipment</w:t>
      </w:r>
      <w:r>
        <w:t>;</w:t>
      </w:r>
      <w:r w:rsidRPr="00E94136">
        <w:t xml:space="preserve"> to transport </w:t>
      </w:r>
      <w:r>
        <w:t xml:space="preserve">suspect or confirmed EVD </w:t>
      </w:r>
      <w:r w:rsidRPr="00E94136">
        <w:t xml:space="preserve">patients who </w:t>
      </w:r>
      <w:r>
        <w:t>may pose an infection risk</w:t>
      </w:r>
      <w:r w:rsidRPr="00E94136">
        <w:t xml:space="preserve"> </w:t>
      </w:r>
      <w:r>
        <w:t>(</w:t>
      </w:r>
      <w:r w:rsidR="00297779">
        <w:t>Isopod</w:t>
      </w:r>
      <w:r>
        <w:t xml:space="preserve">s) and </w:t>
      </w:r>
      <w:proofErr w:type="spellStart"/>
      <w:r>
        <w:t>iS</w:t>
      </w:r>
      <w:r w:rsidRPr="00E94136">
        <w:t>tat</w:t>
      </w:r>
      <w:proofErr w:type="spellEnd"/>
      <w:r w:rsidRPr="00E94136">
        <w:t xml:space="preserve"> </w:t>
      </w:r>
      <w:r>
        <w:t xml:space="preserve">point of care </w:t>
      </w:r>
      <w:r w:rsidRPr="00E94136">
        <w:t xml:space="preserve">testing machines for each </w:t>
      </w:r>
      <w:r>
        <w:t>of the four referral hospitals</w:t>
      </w:r>
    </w:p>
    <w:p w:rsidR="005317F8" w:rsidRPr="00E352F5" w:rsidRDefault="005317F8" w:rsidP="00F84928">
      <w:pPr>
        <w:pStyle w:val="Bullet"/>
        <w:keepNext/>
      </w:pPr>
      <w:r>
        <w:lastRenderedPageBreak/>
        <w:t>development and maintenance of SOPs and clinical guidance for the sector including primary care</w:t>
      </w:r>
    </w:p>
    <w:p w:rsidR="005317F8" w:rsidRPr="00E352F5" w:rsidRDefault="005317F8" w:rsidP="005317F8">
      <w:pPr>
        <w:pStyle w:val="Bullet"/>
      </w:pPr>
      <w:r>
        <w:t>provision of public information and information for health professionals through a variety of media</w:t>
      </w:r>
    </w:p>
    <w:p w:rsidR="005317F8" w:rsidRPr="00DF628F" w:rsidRDefault="005317F8" w:rsidP="005317F8">
      <w:pPr>
        <w:pStyle w:val="Bullet"/>
      </w:pPr>
      <w:proofErr w:type="gramStart"/>
      <w:r>
        <w:t>managing</w:t>
      </w:r>
      <w:proofErr w:type="gramEnd"/>
      <w:r>
        <w:t xml:space="preserve"> elements of the deployment and return and self-monitoring for New Zealand resident health</w:t>
      </w:r>
      <w:r w:rsidR="00276744">
        <w:t xml:space="preserve"> </w:t>
      </w:r>
      <w:r>
        <w:t>care workers and humanitarians working within the response.</w:t>
      </w:r>
    </w:p>
    <w:p w:rsidR="005317F8" w:rsidRDefault="005317F8" w:rsidP="005317F8"/>
    <w:p w:rsidR="005317F8" w:rsidRDefault="005317F8" w:rsidP="005317F8">
      <w:r w:rsidRPr="00DF628F">
        <w:t xml:space="preserve">The intent of this report is to highlight </w:t>
      </w:r>
      <w:r>
        <w:t xml:space="preserve">key </w:t>
      </w:r>
      <w:r w:rsidRPr="00DF628F">
        <w:t xml:space="preserve">thematic issues that have emerged </w:t>
      </w:r>
      <w:r>
        <w:t xml:space="preserve">from recent operational debriefs and planning activity </w:t>
      </w:r>
      <w:r w:rsidRPr="00DF628F">
        <w:t>and share these with the sector to inform current work</w:t>
      </w:r>
      <w:r>
        <w:t xml:space="preserve">. These issues will also be addressed within the current work to revise and update </w:t>
      </w:r>
      <w:r w:rsidR="00276744">
        <w:t xml:space="preserve">the </w:t>
      </w:r>
      <w:r>
        <w:t>2004</w:t>
      </w:r>
      <w:r w:rsidRPr="00DF628F">
        <w:t xml:space="preserve"> </w:t>
      </w:r>
      <w:r w:rsidRPr="007220BE">
        <w:rPr>
          <w:i/>
        </w:rPr>
        <w:t>National Health Emergency Plan for Infectious Diseases</w:t>
      </w:r>
      <w:r w:rsidR="000F22E3">
        <w:rPr>
          <w:i/>
        </w:rPr>
        <w:t xml:space="preserve"> (NHEP – Infectious Disease Plan)</w:t>
      </w:r>
      <w:r>
        <w:t>.</w:t>
      </w:r>
    </w:p>
    <w:p w:rsidR="005317F8" w:rsidRDefault="005317F8" w:rsidP="005317F8"/>
    <w:p w:rsidR="005317F8" w:rsidRPr="007608E0" w:rsidRDefault="005317F8" w:rsidP="005317F8">
      <w:pPr>
        <w:pStyle w:val="Heading2"/>
      </w:pPr>
      <w:r w:rsidRPr="007608E0">
        <w:t xml:space="preserve">Key </w:t>
      </w:r>
      <w:r>
        <w:t>t</w:t>
      </w:r>
      <w:r w:rsidRPr="007608E0">
        <w:t>hemes</w:t>
      </w:r>
    </w:p>
    <w:p w:rsidR="005317F8" w:rsidRPr="007608E0" w:rsidRDefault="005317F8" w:rsidP="005317F8">
      <w:pPr>
        <w:pStyle w:val="Heading3"/>
      </w:pPr>
      <w:r w:rsidRPr="007608E0">
        <w:t>Coordination of readiness activity</w:t>
      </w:r>
    </w:p>
    <w:p w:rsidR="005317F8" w:rsidRDefault="005317F8" w:rsidP="005317F8">
      <w:r w:rsidRPr="007608E0">
        <w:t xml:space="preserve">The Ministry </w:t>
      </w:r>
      <w:r>
        <w:t>of Health and health s</w:t>
      </w:r>
      <w:r w:rsidRPr="007608E0">
        <w:t xml:space="preserve">ector responded </w:t>
      </w:r>
      <w:r>
        <w:t xml:space="preserve">effectively, off the back of 10 years of pandemic influenza readiness work which has embedded emergency management principles across the health sector. These principles have been well tested and refined over recent years with a range of national, regional and local responses including the 2009 H1N1 pandemic, 2009 and 2010 Canterbury </w:t>
      </w:r>
      <w:r w:rsidR="00276744">
        <w:t>e</w:t>
      </w:r>
      <w:r>
        <w:t>arthquakes, RENA ship grounding in 2011, RWC 2011 and numerous local events. Key principles such as the Coordinated Incident Management System (CIMS) are well understood and in most areas there are effective local planning groups that bring together clinical and non-clinical areas to address emerging issues.</w:t>
      </w:r>
    </w:p>
    <w:p w:rsidR="005317F8" w:rsidRDefault="005317F8" w:rsidP="000F22E3">
      <w:pPr>
        <w:jc w:val="right"/>
      </w:pPr>
    </w:p>
    <w:p w:rsidR="005317F8" w:rsidRDefault="005317F8" w:rsidP="005317F8">
      <w:r>
        <w:t xml:space="preserve">The </w:t>
      </w:r>
      <w:r w:rsidRPr="00C6744C">
        <w:t>Ministry of Health</w:t>
      </w:r>
      <w:r>
        <w:t xml:space="preserve"> is currently reviewing the NHEP Infectious Disease </w:t>
      </w:r>
      <w:r w:rsidR="00276744">
        <w:t>P</w:t>
      </w:r>
      <w:r>
        <w:t xml:space="preserve">lan which will update these arrangements for an emerging infectious disease. It is recognised that the current NHEP Infectious Disease </w:t>
      </w:r>
      <w:r w:rsidR="00276744">
        <w:t>P</w:t>
      </w:r>
      <w:r>
        <w:t xml:space="preserve">lan was developed in 2004 post-SARS and was effectively superseded by the </w:t>
      </w:r>
      <w:r w:rsidR="00276744">
        <w:t>A</w:t>
      </w:r>
      <w:r>
        <w:t xml:space="preserve">ll </w:t>
      </w:r>
      <w:r w:rsidR="00276744">
        <w:t>H</w:t>
      </w:r>
      <w:r>
        <w:t xml:space="preserve">azards National Health Emergency </w:t>
      </w:r>
      <w:r w:rsidR="00276744">
        <w:t>P</w:t>
      </w:r>
      <w:r>
        <w:t>lan and the New Zealand Influenza Pandemic Action Plan. The current plan is light on infectious disease management and focuses on overall coordination.</w:t>
      </w:r>
    </w:p>
    <w:p w:rsidR="005317F8" w:rsidRDefault="005317F8" w:rsidP="005317F8"/>
    <w:p w:rsidR="005317F8" w:rsidRDefault="005317F8" w:rsidP="005317F8">
      <w:r>
        <w:t xml:space="preserve">The revised NHEP Infectious Disease </w:t>
      </w:r>
      <w:r w:rsidR="00276744">
        <w:t>P</w:t>
      </w:r>
      <w:r>
        <w:t>lan needs to articulate elements of the technical response, within an overarching framework provided by the NHEP. Specific elements need to include:</w:t>
      </w:r>
    </w:p>
    <w:p w:rsidR="005317F8" w:rsidRDefault="005317F8" w:rsidP="005317F8">
      <w:pPr>
        <w:pStyle w:val="Bullet"/>
      </w:pPr>
      <w:r>
        <w:t>description of scalable infectious disease management capability in public health, primary care, ambulance, tertiary hospitals and the Ministry of Health</w:t>
      </w:r>
    </w:p>
    <w:p w:rsidR="005317F8" w:rsidRDefault="005317F8" w:rsidP="005317F8">
      <w:pPr>
        <w:pStyle w:val="Bullet"/>
      </w:pPr>
      <w:proofErr w:type="gramStart"/>
      <w:r>
        <w:t>establishment</w:t>
      </w:r>
      <w:proofErr w:type="gramEnd"/>
      <w:r>
        <w:t xml:space="preserve"> of an Infectious Disease Technical Advisory Group with core membership able to provide broad and specific advice on emerging disease threats in the same manner as the Ebola Technical Advisory Group. Membership may be altered to incorporate specific clinical expertise in a particular disease threat</w:t>
      </w:r>
      <w:r w:rsidR="00276744">
        <w:t>;</w:t>
      </w:r>
      <w:r>
        <w:t xml:space="preserve"> however the core areas of IPC, </w:t>
      </w:r>
      <w:r w:rsidR="00276744">
        <w:t>i</w:t>
      </w:r>
      <w:r>
        <w:t xml:space="preserve">ntensive </w:t>
      </w:r>
      <w:r w:rsidR="00276744">
        <w:t>c</w:t>
      </w:r>
      <w:r>
        <w:t xml:space="preserve">are, </w:t>
      </w:r>
      <w:r w:rsidR="00276744">
        <w:t>i</w:t>
      </w:r>
      <w:r>
        <w:t xml:space="preserve">nfectious </w:t>
      </w:r>
      <w:r w:rsidR="00276744">
        <w:t>d</w:t>
      </w:r>
      <w:r>
        <w:t xml:space="preserve">isease, </w:t>
      </w:r>
      <w:r w:rsidR="00276744">
        <w:t>l</w:t>
      </w:r>
      <w:r>
        <w:t xml:space="preserve">aboratory / clinical microbiology, </w:t>
      </w:r>
      <w:r w:rsidR="00276744">
        <w:t>and p</w:t>
      </w:r>
      <w:r>
        <w:t xml:space="preserve">rimary </w:t>
      </w:r>
      <w:r w:rsidR="00276744">
        <w:t>c</w:t>
      </w:r>
      <w:r>
        <w:t xml:space="preserve">are served EVD readiness well. It may be necessary to consider some other areas such as </w:t>
      </w:r>
      <w:r w:rsidR="000F22E3">
        <w:t>Chief Operating Officers</w:t>
      </w:r>
      <w:r>
        <w:t xml:space="preserve">, </w:t>
      </w:r>
      <w:r w:rsidR="00276744">
        <w:t>p</w:t>
      </w:r>
      <w:r>
        <w:t xml:space="preserve">ublic </w:t>
      </w:r>
      <w:r w:rsidR="00276744">
        <w:t>i</w:t>
      </w:r>
      <w:r>
        <w:t xml:space="preserve">nformation </w:t>
      </w:r>
      <w:r w:rsidR="00276744">
        <w:t>m</w:t>
      </w:r>
      <w:r>
        <w:t xml:space="preserve">anagement and </w:t>
      </w:r>
      <w:r w:rsidR="00276744">
        <w:t>a</w:t>
      </w:r>
      <w:r>
        <w:t>mbulance sectors</w:t>
      </w:r>
    </w:p>
    <w:p w:rsidR="005317F8" w:rsidRDefault="005317F8" w:rsidP="00F84928">
      <w:pPr>
        <w:pStyle w:val="Bullet"/>
      </w:pPr>
      <w:r>
        <w:t xml:space="preserve">a framework that provides for infectious disease management across a range of disease types and transmission methods from </w:t>
      </w:r>
      <w:r w:rsidR="00276744">
        <w:t xml:space="preserve">a </w:t>
      </w:r>
      <w:r>
        <w:t>single imported case to respiratory disease with pandemic potential</w:t>
      </w:r>
    </w:p>
    <w:p w:rsidR="005317F8" w:rsidRDefault="005317F8" w:rsidP="00F84928">
      <w:pPr>
        <w:pStyle w:val="Bullet"/>
        <w:keepLines/>
      </w:pPr>
      <w:proofErr w:type="gramStart"/>
      <w:r>
        <w:lastRenderedPageBreak/>
        <w:t>further</w:t>
      </w:r>
      <w:proofErr w:type="gramEnd"/>
      <w:r>
        <w:t xml:space="preserve"> development of intelligence, communication and decision support tools. Information dissemination worked effectively</w:t>
      </w:r>
      <w:r w:rsidRPr="00125133">
        <w:t xml:space="preserve"> by email to </w:t>
      </w:r>
      <w:r w:rsidR="00276744">
        <w:t>s</w:t>
      </w:r>
      <w:r w:rsidRPr="00125133">
        <w:t xml:space="preserve">ingle </w:t>
      </w:r>
      <w:r w:rsidR="00276744">
        <w:t>p</w:t>
      </w:r>
      <w:r w:rsidRPr="00125133">
        <w:t xml:space="preserve">oints of </w:t>
      </w:r>
      <w:r w:rsidR="00276744">
        <w:t>c</w:t>
      </w:r>
      <w:r w:rsidRPr="00125133">
        <w:t xml:space="preserve">ontact, </w:t>
      </w:r>
      <w:r w:rsidR="00276744">
        <w:t>h</w:t>
      </w:r>
      <w:r w:rsidRPr="00125133">
        <w:t>ea</w:t>
      </w:r>
      <w:r>
        <w:t xml:space="preserve">lth </w:t>
      </w:r>
      <w:r w:rsidR="00276744">
        <w:t>s</w:t>
      </w:r>
      <w:r>
        <w:t xml:space="preserve">ector </w:t>
      </w:r>
      <w:r w:rsidR="00276744">
        <w:t>e</w:t>
      </w:r>
      <w:r>
        <w:t xml:space="preserve">mergency </w:t>
      </w:r>
      <w:r w:rsidR="00276744">
        <w:t>m</w:t>
      </w:r>
      <w:r>
        <w:t xml:space="preserve">anagers, </w:t>
      </w:r>
      <w:r w:rsidR="00276744">
        <w:t>m</w:t>
      </w:r>
      <w:r w:rsidRPr="00125133">
        <w:t xml:space="preserve">edical </w:t>
      </w:r>
      <w:r w:rsidR="00276744">
        <w:t>o</w:t>
      </w:r>
      <w:r w:rsidRPr="00125133">
        <w:t xml:space="preserve">fficers of </w:t>
      </w:r>
      <w:r w:rsidR="00276744">
        <w:t>h</w:t>
      </w:r>
      <w:r w:rsidRPr="00125133">
        <w:t xml:space="preserve">ealth and </w:t>
      </w:r>
      <w:r w:rsidR="00276744">
        <w:t>p</w:t>
      </w:r>
      <w:r w:rsidRPr="00125133">
        <w:t xml:space="preserve">ublic health </w:t>
      </w:r>
      <w:r w:rsidR="00276744">
        <w:t>u</w:t>
      </w:r>
      <w:r w:rsidRPr="00125133">
        <w:t xml:space="preserve">nit managers. Strategic communication was undertaken with joint letters from the </w:t>
      </w:r>
      <w:r w:rsidR="000F22E3">
        <w:t>Chief Medical Officer</w:t>
      </w:r>
      <w:r w:rsidRPr="00125133">
        <w:t xml:space="preserve"> and </w:t>
      </w:r>
      <w:r w:rsidR="000F22E3">
        <w:t>Chief Nurse</w:t>
      </w:r>
      <w:r w:rsidRPr="00125133">
        <w:t xml:space="preserve"> to the sector. Most information was also posted to the Ministry of Health website, and the primary care sector </w:t>
      </w:r>
      <w:r w:rsidRPr="007220BE">
        <w:t>also</w:t>
      </w:r>
      <w:r w:rsidRPr="00125133">
        <w:t xml:space="preserve"> utilised information flow via the </w:t>
      </w:r>
      <w:r w:rsidR="000F22E3">
        <w:t xml:space="preserve">Royal New Zealand </w:t>
      </w:r>
      <w:r w:rsidRPr="00125133">
        <w:t xml:space="preserve">College </w:t>
      </w:r>
      <w:r w:rsidR="000F22E3">
        <w:t xml:space="preserve">of General </w:t>
      </w:r>
      <w:proofErr w:type="spellStart"/>
      <w:r w:rsidR="000F22E3">
        <w:t>Practioners</w:t>
      </w:r>
      <w:proofErr w:type="spellEnd"/>
      <w:r w:rsidR="000F22E3">
        <w:t xml:space="preserve"> </w:t>
      </w:r>
      <w:r w:rsidRPr="00125133">
        <w:t xml:space="preserve">and their </w:t>
      </w:r>
      <w:r>
        <w:t xml:space="preserve">electronic newsletter (e-pulse). Health EMIS was </w:t>
      </w:r>
      <w:r w:rsidRPr="007220BE">
        <w:t>also</w:t>
      </w:r>
      <w:r>
        <w:t xml:space="preserve"> effective for sharing protected information within a secure cloud.</w:t>
      </w:r>
    </w:p>
    <w:p w:rsidR="00F84928" w:rsidRDefault="00F84928" w:rsidP="00F84928"/>
    <w:p w:rsidR="005317F8" w:rsidRPr="00276744" w:rsidRDefault="005317F8" w:rsidP="00F84928">
      <w:pPr>
        <w:pStyle w:val="Heading3"/>
      </w:pPr>
      <w:r w:rsidRPr="00E94136">
        <w:t xml:space="preserve">Infection </w:t>
      </w:r>
      <w:r>
        <w:t>p</w:t>
      </w:r>
      <w:r w:rsidRPr="00E94136">
        <w:t xml:space="preserve">revention </w:t>
      </w:r>
      <w:r>
        <w:t>c</w:t>
      </w:r>
      <w:r w:rsidRPr="00E94136">
        <w:t>ontrol</w:t>
      </w:r>
    </w:p>
    <w:p w:rsidR="005317F8" w:rsidRDefault="005317F8" w:rsidP="005317F8">
      <w:r>
        <w:t xml:space="preserve">Appropriate </w:t>
      </w:r>
      <w:r w:rsidR="00276744">
        <w:t>i</w:t>
      </w:r>
      <w:r>
        <w:t xml:space="preserve">nfection </w:t>
      </w:r>
      <w:r w:rsidR="00276744">
        <w:t>p</w:t>
      </w:r>
      <w:r>
        <w:t xml:space="preserve">revention and </w:t>
      </w:r>
      <w:r w:rsidR="00276744">
        <w:t>c</w:t>
      </w:r>
      <w:r>
        <w:t xml:space="preserve">ontrol (IPC) is a critical aspect to management of a highly infectious patient. Good IPC protects staff and patients, and the revision of the </w:t>
      </w:r>
      <w:r w:rsidR="000F22E3">
        <w:t>NHEP I</w:t>
      </w:r>
      <w:r>
        <w:t xml:space="preserve">nfectious </w:t>
      </w:r>
      <w:r w:rsidR="000F22E3">
        <w:t>D</w:t>
      </w:r>
      <w:r>
        <w:t>iseases will provide clear guidance on what capacity and capability should be maintained. There is a need to ensure a common understanding of baseline capacity in terms of PPE, equipment, training and business as usual across primary care, ambulance and hospitals as well as an escalation plan or trigger point for undertaking additional training or exercising in response to a specific disease threat.</w:t>
      </w:r>
    </w:p>
    <w:p w:rsidR="005317F8" w:rsidRDefault="005317F8" w:rsidP="005317F8"/>
    <w:p w:rsidR="005317F8" w:rsidRDefault="005317F8" w:rsidP="005317F8">
      <w:r>
        <w:t>Additional IPC issues emerged and were managed in areas as diverse as waste management, primary care, private homes where a patient may first become ill, aircraft disinfection and general communication with members of the public.</w:t>
      </w:r>
    </w:p>
    <w:p w:rsidR="005317F8" w:rsidRDefault="005317F8" w:rsidP="005317F8"/>
    <w:p w:rsidR="005317F8" w:rsidRDefault="005317F8" w:rsidP="005317F8">
      <w:r>
        <w:t>Key principles to be incorporated into response planning include:</w:t>
      </w:r>
    </w:p>
    <w:p w:rsidR="005317F8" w:rsidRDefault="005317F8" w:rsidP="005317F8">
      <w:pPr>
        <w:pStyle w:val="Bullet"/>
      </w:pPr>
      <w:r>
        <w:t>IPC needs to remain a sub</w:t>
      </w:r>
      <w:r w:rsidR="007220BE">
        <w:t>-</w:t>
      </w:r>
      <w:r>
        <w:t xml:space="preserve">speciality on the proposed national </w:t>
      </w:r>
      <w:r w:rsidR="00276744">
        <w:t>I</w:t>
      </w:r>
      <w:r>
        <w:t xml:space="preserve">nfectious </w:t>
      </w:r>
      <w:r w:rsidR="00276744">
        <w:t>D</w:t>
      </w:r>
      <w:r>
        <w:t xml:space="preserve">isease </w:t>
      </w:r>
      <w:r w:rsidR="00276744">
        <w:t>T</w:t>
      </w:r>
      <w:r>
        <w:t xml:space="preserve">echnical </w:t>
      </w:r>
      <w:r w:rsidR="00276744">
        <w:t>A</w:t>
      </w:r>
      <w:r>
        <w:t xml:space="preserve">dvisory </w:t>
      </w:r>
      <w:r w:rsidR="00276744">
        <w:t>G</w:t>
      </w:r>
      <w:r>
        <w:t>roup</w:t>
      </w:r>
    </w:p>
    <w:p w:rsidR="005317F8" w:rsidRDefault="005317F8" w:rsidP="005317F8">
      <w:pPr>
        <w:pStyle w:val="Bullet"/>
      </w:pPr>
      <w:r>
        <w:t>IPC needs to be integrated into DHB response plans for emerging infectious diseases as well as being scalable for potential pandemic response</w:t>
      </w:r>
    </w:p>
    <w:p w:rsidR="005317F8" w:rsidRDefault="005317F8" w:rsidP="005317F8">
      <w:pPr>
        <w:pStyle w:val="Bullet"/>
      </w:pPr>
      <w:r>
        <w:t>national and local IPC leads need to have the capacity to engage and support readiness activity in other sectors or areas outside a traditional hospital setting</w:t>
      </w:r>
    </w:p>
    <w:p w:rsidR="005317F8" w:rsidRDefault="005317F8" w:rsidP="005317F8">
      <w:pPr>
        <w:pStyle w:val="Bullet"/>
      </w:pPr>
      <w:r>
        <w:t>IPC and associated PPE and training frameworks need to be considered in different settings such as primary care and tertiary.</w:t>
      </w:r>
    </w:p>
    <w:p w:rsidR="005317F8" w:rsidRDefault="005317F8" w:rsidP="005317F8"/>
    <w:p w:rsidR="005317F8" w:rsidRDefault="005317F8" w:rsidP="005317F8">
      <w:pPr>
        <w:pStyle w:val="Heading4"/>
      </w:pPr>
      <w:r w:rsidRPr="00E94136">
        <w:t>People</w:t>
      </w:r>
      <w:r>
        <w:t xml:space="preserve"> capability</w:t>
      </w:r>
    </w:p>
    <w:p w:rsidR="005317F8" w:rsidRDefault="005317F8" w:rsidP="00AF6C58">
      <w:pPr>
        <w:pStyle w:val="Bullet"/>
      </w:pPr>
      <w:r>
        <w:t>EVD required a subset of clinical staff in referral hospitals and ambulance to become competent in a much higher level of PPE than they would normally operate in. High nursing ratios, and heightened public awareness, especially following the Texas cases</w:t>
      </w:r>
      <w:r w:rsidR="00276744">
        <w:t>,</w:t>
      </w:r>
      <w:r>
        <w:t xml:space="preserve"> exacerbated staffing issues.</w:t>
      </w:r>
    </w:p>
    <w:p w:rsidR="005317F8" w:rsidRDefault="005317F8" w:rsidP="00AF6C58">
      <w:pPr>
        <w:pStyle w:val="Bullet"/>
      </w:pPr>
      <w:r>
        <w:t>Practical staffing plans need to be developed by all tertiary and likely referral hospitals that provide for the maintenance of high level skills and knowledge in a small cohort of staff, with surge plans to deliver rapid training and exercising in the event of an emergent threat.</w:t>
      </w:r>
    </w:p>
    <w:p w:rsidR="005317F8" w:rsidRDefault="005317F8" w:rsidP="00AF6C58">
      <w:pPr>
        <w:pStyle w:val="Bullet"/>
      </w:pPr>
      <w:r>
        <w:t>Training and exercising needs to be graduated and comprehensive. Practical skills and procedures should be practi</w:t>
      </w:r>
      <w:r w:rsidR="00276744">
        <w:t>s</w:t>
      </w:r>
      <w:r>
        <w:t xml:space="preserve">ed once </w:t>
      </w:r>
      <w:r w:rsidR="00297779">
        <w:t xml:space="preserve">training in </w:t>
      </w:r>
      <w:r w:rsidRPr="00C77E7B">
        <w:t xml:space="preserve">donning and doffing is </w:t>
      </w:r>
      <w:r w:rsidR="00297779">
        <w:t>completed</w:t>
      </w:r>
      <w:r>
        <w:t>.</w:t>
      </w:r>
    </w:p>
    <w:p w:rsidR="005317F8" w:rsidRDefault="005317F8" w:rsidP="00F84928">
      <w:pPr>
        <w:pStyle w:val="Bullet"/>
      </w:pPr>
      <w:r>
        <w:t>Surge plans should also include refresher trainings and briefings for staff immediately before the arrival of a suspect patient. It is quite possible there may be a couple of hours</w:t>
      </w:r>
      <w:r w:rsidR="00276744">
        <w:t>’</w:t>
      </w:r>
      <w:r>
        <w:t xml:space="preserve"> notice and this should be used for ‘final rehearsals’. This must also be balanced with the need to safely manage a no notice presentation direct to a facility. It will be challenging to maintain competency and skills for high level PPE use with few</w:t>
      </w:r>
      <w:r w:rsidR="00276744">
        <w:t>,</w:t>
      </w:r>
      <w:r>
        <w:t xml:space="preserve"> if any</w:t>
      </w:r>
      <w:r w:rsidR="00276744">
        <w:t>,</w:t>
      </w:r>
      <w:r>
        <w:t xml:space="preserve"> actual presentations.</w:t>
      </w:r>
    </w:p>
    <w:p w:rsidR="005317F8" w:rsidRDefault="005317F8" w:rsidP="00AF6C58">
      <w:pPr>
        <w:pStyle w:val="Bullet"/>
      </w:pPr>
      <w:r>
        <w:lastRenderedPageBreak/>
        <w:t>Clinical staff with practical experience in the 2014/15 Ebola outbreak or other disease events should be identified locally and a plan developed to engage them for input or mentoring</w:t>
      </w:r>
      <w:r w:rsidR="00276744">
        <w:t>.</w:t>
      </w:r>
    </w:p>
    <w:p w:rsidR="005317F8" w:rsidRDefault="005317F8" w:rsidP="00AF6C58">
      <w:pPr>
        <w:pStyle w:val="Bullet"/>
      </w:pPr>
      <w:r>
        <w:t xml:space="preserve">Pandemic HR </w:t>
      </w:r>
      <w:r w:rsidR="00276744">
        <w:t>g</w:t>
      </w:r>
      <w:r>
        <w:t>uidance should be updated to address emerging infectious diseases</w:t>
      </w:r>
      <w:r w:rsidR="00276744">
        <w:t>.</w:t>
      </w:r>
    </w:p>
    <w:p w:rsidR="005317F8" w:rsidRDefault="005317F8" w:rsidP="00AF6C58">
      <w:pPr>
        <w:pStyle w:val="Bullet"/>
      </w:pPr>
      <w:r>
        <w:t xml:space="preserve">Medical Council and NZNO Pandemic and Disaster Guidelines should be incorporated into the revised NHEP Infectious Disease </w:t>
      </w:r>
      <w:r w:rsidR="00276744">
        <w:t>P</w:t>
      </w:r>
      <w:r>
        <w:t>lan.</w:t>
      </w:r>
    </w:p>
    <w:p w:rsidR="005317F8" w:rsidRDefault="005317F8" w:rsidP="00AF6C58">
      <w:pPr>
        <w:pStyle w:val="Bullet"/>
      </w:pPr>
      <w:r>
        <w:t>DHBs need to plan for inter-DHB surge support, including scenarios where a patient cannot be moved to a preferred referral hospital. Impact of PPE and high care ratios may mean that even large hospitals may quickly exhaust their local resource. DHBs identified different approaches to managing and developing this resource.</w:t>
      </w:r>
    </w:p>
    <w:p w:rsidR="005317F8" w:rsidRDefault="005317F8" w:rsidP="00AF6C58">
      <w:pPr>
        <w:pStyle w:val="Bullet"/>
      </w:pPr>
      <w:r>
        <w:t>Standardisation of high level PPE and associated IPC practices would better enable inter-DHB support.</w:t>
      </w:r>
    </w:p>
    <w:p w:rsidR="005317F8" w:rsidRDefault="005317F8" w:rsidP="00AF6C58">
      <w:pPr>
        <w:pStyle w:val="Bullet"/>
      </w:pPr>
      <w:r>
        <w:t>National and local planning groups need to continue to work together to review good practice. PPE and IPC evolved globally throughout the 2014/15 EVD response.</w:t>
      </w:r>
    </w:p>
    <w:p w:rsidR="00AF6C58" w:rsidRDefault="00AF6C58" w:rsidP="00AF6C58"/>
    <w:p w:rsidR="005317F8" w:rsidRPr="00E94136" w:rsidRDefault="005317F8" w:rsidP="00AF6C58">
      <w:pPr>
        <w:pStyle w:val="Heading4"/>
      </w:pPr>
      <w:r w:rsidRPr="00E94136">
        <w:t xml:space="preserve">Personal </w:t>
      </w:r>
      <w:r w:rsidR="00AF6C58">
        <w:t>p</w:t>
      </w:r>
      <w:r w:rsidRPr="00E94136">
        <w:t xml:space="preserve">rotective </w:t>
      </w:r>
      <w:r w:rsidR="00AF6C58">
        <w:t>e</w:t>
      </w:r>
      <w:r w:rsidRPr="00E94136">
        <w:t>quipment (PPE)</w:t>
      </w:r>
    </w:p>
    <w:p w:rsidR="005317F8" w:rsidRDefault="005317F8" w:rsidP="00AF6C58">
      <w:pPr>
        <w:pStyle w:val="Bullet"/>
      </w:pPr>
      <w:r w:rsidRPr="00FA3321">
        <w:t xml:space="preserve">The </w:t>
      </w:r>
      <w:r>
        <w:t xml:space="preserve">receiving </w:t>
      </w:r>
      <w:r w:rsidRPr="00FA3321">
        <w:t xml:space="preserve">hospitals hold relatively low </w:t>
      </w:r>
      <w:r>
        <w:t>volumes</w:t>
      </w:r>
      <w:r w:rsidRPr="00FA3321">
        <w:t xml:space="preserve"> of</w:t>
      </w:r>
      <w:r>
        <w:t xml:space="preserve"> the higher level</w:t>
      </w:r>
      <w:r w:rsidRPr="00FA3321">
        <w:t xml:space="preserve"> PPE stock</w:t>
      </w:r>
      <w:r>
        <w:t>;</w:t>
      </w:r>
      <w:r w:rsidRPr="00FA3321">
        <w:t xml:space="preserve"> if they </w:t>
      </w:r>
      <w:r w:rsidRPr="00297779">
        <w:t>had</w:t>
      </w:r>
      <w:r w:rsidRPr="00FA3321">
        <w:t xml:space="preserve"> to manage a confirmed EVD case much larger quantities would have be</w:t>
      </w:r>
      <w:r>
        <w:t>en needed.</w:t>
      </w:r>
    </w:p>
    <w:p w:rsidR="005317F8" w:rsidRDefault="005317F8" w:rsidP="00AF6C58">
      <w:pPr>
        <w:pStyle w:val="Bullet"/>
      </w:pPr>
      <w:r>
        <w:t>At the height of EVD readiness, there were global shortages of some types of PPE, so much so that this impacted on the logistic supply chain for West Africa where it was actually required.</w:t>
      </w:r>
    </w:p>
    <w:p w:rsidR="005317F8" w:rsidRPr="00FA3321" w:rsidRDefault="005317F8" w:rsidP="00AF6C58">
      <w:pPr>
        <w:pStyle w:val="Bullet"/>
      </w:pPr>
      <w:r>
        <w:t>A nationally coordinated high level PPE ensemble and stock holdings sufficient to treat a small number of imported and secondary cases should be developed.</w:t>
      </w:r>
    </w:p>
    <w:p w:rsidR="005317F8" w:rsidRPr="00FA3321" w:rsidRDefault="005317F8" w:rsidP="00AF6C58">
      <w:pPr>
        <w:pStyle w:val="Bullet"/>
      </w:pPr>
      <w:r w:rsidRPr="00FA3321">
        <w:t xml:space="preserve">Staff at the </w:t>
      </w:r>
      <w:r>
        <w:t xml:space="preserve">receiving </w:t>
      </w:r>
      <w:r w:rsidRPr="00FA3321">
        <w:t xml:space="preserve">hospitals found </w:t>
      </w:r>
      <w:r>
        <w:t>some of the</w:t>
      </w:r>
      <w:r w:rsidRPr="00FA3321">
        <w:t xml:space="preserve"> </w:t>
      </w:r>
      <w:r>
        <w:t xml:space="preserve">high level </w:t>
      </w:r>
      <w:r w:rsidRPr="00FA3321">
        <w:t>PPE difficult to use</w:t>
      </w:r>
      <w:r>
        <w:t>. Innovations in PPE should be periodically reviewed, noting that PPE ensemble and donning and doffing procedures evolved throughout the response in West Africa, but that not all may be transferrable to a high income tertiary setting.</w:t>
      </w:r>
    </w:p>
    <w:p w:rsidR="005317F8" w:rsidRDefault="005317F8" w:rsidP="00AF6C58">
      <w:pPr>
        <w:pStyle w:val="Bullet"/>
      </w:pPr>
      <w:r w:rsidRPr="008023FB">
        <w:t xml:space="preserve">PPE and IPC provision and confidence in its use </w:t>
      </w:r>
      <w:r w:rsidRPr="005E3668">
        <w:t xml:space="preserve">across </w:t>
      </w:r>
      <w:r w:rsidR="00C77E7B">
        <w:t>p</w:t>
      </w:r>
      <w:r w:rsidRPr="005E3668">
        <w:t xml:space="preserve">rimary </w:t>
      </w:r>
      <w:r w:rsidR="00C77E7B">
        <w:t>c</w:t>
      </w:r>
      <w:r w:rsidRPr="005E3668">
        <w:t xml:space="preserve">are was highly variable. Revisions to the NHEP </w:t>
      </w:r>
      <w:r w:rsidR="00C77E7B">
        <w:t>I</w:t>
      </w:r>
      <w:r w:rsidRPr="005E3668">
        <w:t xml:space="preserve">nfectious </w:t>
      </w:r>
      <w:r w:rsidR="00C77E7B">
        <w:t>D</w:t>
      </w:r>
      <w:r w:rsidRPr="005E3668">
        <w:t xml:space="preserve">isease </w:t>
      </w:r>
      <w:r w:rsidR="00C77E7B">
        <w:t>P</w:t>
      </w:r>
      <w:r w:rsidRPr="005E3668">
        <w:t>lan should clearly describe these requirements and link to</w:t>
      </w:r>
      <w:r>
        <w:t xml:space="preserve"> </w:t>
      </w:r>
      <w:r w:rsidR="00297779">
        <w:t xml:space="preserve">the Royal New Zealand College of General </w:t>
      </w:r>
      <w:proofErr w:type="spellStart"/>
      <w:r w:rsidR="00297779" w:rsidRPr="00297779">
        <w:t>Practioners</w:t>
      </w:r>
      <w:proofErr w:type="spellEnd"/>
      <w:r w:rsidR="00297779" w:rsidRPr="00297779">
        <w:t xml:space="preserve"> </w:t>
      </w:r>
      <w:r w:rsidRPr="00297779">
        <w:t>Cornerstone Accreditation</w:t>
      </w:r>
      <w:r w:rsidRPr="005E3668">
        <w:t xml:space="preserve"> and other standards</w:t>
      </w:r>
      <w:r>
        <w:t>.</w:t>
      </w:r>
    </w:p>
    <w:p w:rsidR="005317F8" w:rsidRDefault="005317F8" w:rsidP="00AF6C58">
      <w:pPr>
        <w:pStyle w:val="Bullet"/>
      </w:pPr>
      <w:r w:rsidRPr="00EF63A8">
        <w:t>Referral hospitals developed their training scenarios from simple PPE donning and doffing to practi</w:t>
      </w:r>
      <w:r w:rsidR="00C77E7B">
        <w:t>s</w:t>
      </w:r>
      <w:r w:rsidRPr="00EF63A8">
        <w:t>ing patient transfer, treatment, waste management and emergency procedures in PPE</w:t>
      </w:r>
      <w:r>
        <w:t>.</w:t>
      </w:r>
    </w:p>
    <w:p w:rsidR="00AF6C58" w:rsidRDefault="00AF6C58" w:rsidP="00AF6C58"/>
    <w:p w:rsidR="005317F8" w:rsidRPr="00EF63A8" w:rsidRDefault="005317F8" w:rsidP="00AF6C58">
      <w:pPr>
        <w:pStyle w:val="Heading4"/>
      </w:pPr>
      <w:r w:rsidRPr="00EF63A8">
        <w:t>Waste management</w:t>
      </w:r>
    </w:p>
    <w:p w:rsidR="005317F8" w:rsidRDefault="005317F8" w:rsidP="00AF6C58">
      <w:pPr>
        <w:pStyle w:val="Bullet"/>
      </w:pPr>
      <w:r>
        <w:t>The events highlighted that existing waste storage and management protocols at the hospital may have struggled to cope with the volume of waste created by a confirmed EVD case.</w:t>
      </w:r>
    </w:p>
    <w:p w:rsidR="005317F8" w:rsidRDefault="00983AA2" w:rsidP="00AF6C58">
      <w:pPr>
        <w:pStyle w:val="Bullet"/>
      </w:pPr>
      <w:r>
        <w:t>As the majority of hospital waste is category B</w:t>
      </w:r>
      <w:r>
        <w:rPr>
          <w:rStyle w:val="FootnoteReference"/>
        </w:rPr>
        <w:footnoteReference w:id="2"/>
      </w:r>
      <w:r>
        <w:t>or less, h</w:t>
      </w:r>
      <w:r w:rsidR="005317F8">
        <w:t>ospital planning groups need to ensure they have contracts established with medical waste companies in order to provide</w:t>
      </w:r>
      <w:r>
        <w:t xml:space="preserve"> and </w:t>
      </w:r>
      <w:proofErr w:type="gramStart"/>
      <w:r>
        <w:t xml:space="preserve">manage </w:t>
      </w:r>
      <w:r w:rsidR="005317F8">
        <w:t xml:space="preserve"> suitable</w:t>
      </w:r>
      <w:proofErr w:type="gramEnd"/>
      <w:r w:rsidR="005317F8">
        <w:t xml:space="preserve"> category A waste containers in sufficient volume at the time of a suspect case</w:t>
      </w:r>
      <w:r>
        <w:t xml:space="preserve"> or other event generating category A</w:t>
      </w:r>
      <w:r>
        <w:rPr>
          <w:rStyle w:val="FootnoteReference"/>
        </w:rPr>
        <w:t>2</w:t>
      </w:r>
      <w:r>
        <w:t xml:space="preserve"> waste</w:t>
      </w:r>
      <w:r w:rsidR="005317F8">
        <w:t>.</w:t>
      </w:r>
    </w:p>
    <w:p w:rsidR="005317F8" w:rsidRPr="00D27675" w:rsidRDefault="005317F8" w:rsidP="00AF6C58">
      <w:pPr>
        <w:pStyle w:val="Bullet"/>
      </w:pPr>
      <w:r>
        <w:t xml:space="preserve">Primary sector should ensure that their IPC guidelines for medical waste management for routine presentations are known and understood and that these reflect the escalation via </w:t>
      </w:r>
      <w:r w:rsidR="00C77E7B">
        <w:t>p</w:t>
      </w:r>
      <w:r>
        <w:t xml:space="preserve">ublic </w:t>
      </w:r>
      <w:r w:rsidR="00C77E7B">
        <w:t>h</w:t>
      </w:r>
      <w:r>
        <w:t xml:space="preserve">ealth </w:t>
      </w:r>
      <w:r w:rsidR="00C77E7B">
        <w:t>u</w:t>
      </w:r>
      <w:r>
        <w:t>nits in the event of assessing a confirmed EVD case.</w:t>
      </w:r>
    </w:p>
    <w:p w:rsidR="005317F8" w:rsidRDefault="005317F8" w:rsidP="00AF6C58">
      <w:pPr>
        <w:pStyle w:val="Bullet"/>
      </w:pPr>
      <w:r>
        <w:lastRenderedPageBreak/>
        <w:t>Management of medical waste during patient transfer needs to be planned for.</w:t>
      </w:r>
    </w:p>
    <w:p w:rsidR="00AF6C58" w:rsidRDefault="00AF6C58" w:rsidP="00AF6C58"/>
    <w:p w:rsidR="005317F8" w:rsidRDefault="005317F8" w:rsidP="00AF6C58">
      <w:pPr>
        <w:pStyle w:val="Heading3"/>
      </w:pPr>
      <w:r>
        <w:t xml:space="preserve">Case </w:t>
      </w:r>
      <w:r w:rsidR="00AF6C58">
        <w:t>m</w:t>
      </w:r>
      <w:r>
        <w:t>anagement</w:t>
      </w:r>
    </w:p>
    <w:p w:rsidR="005317F8" w:rsidRDefault="005317F8" w:rsidP="00AF6C58">
      <w:r>
        <w:t>Health agencies worked effectively with border management agencies at national and local level and Customs provided effective pre-screening and initial border screening for travels from the affected countries.</w:t>
      </w:r>
    </w:p>
    <w:p w:rsidR="005317F8" w:rsidRDefault="00AF6C58" w:rsidP="00AF6C58">
      <w:pPr>
        <w:pStyle w:val="Bullet"/>
      </w:pPr>
      <w:r>
        <w:t>F</w:t>
      </w:r>
      <w:r w:rsidR="005317F8">
        <w:t>ollowing the Gore and Nelson suspect EVD cases</w:t>
      </w:r>
      <w:r w:rsidR="00C77E7B">
        <w:t>,</w:t>
      </w:r>
      <w:r w:rsidR="005317F8">
        <w:t xml:space="preserve"> the Border Risk Assessment and Guidelines for Health Care Professionals have been rewritten to strengthen the requirement for a suspect case to be assessed by an infectious disease specialist or clinical microbiologist</w:t>
      </w:r>
      <w:r>
        <w:t>.</w:t>
      </w:r>
    </w:p>
    <w:p w:rsidR="005317F8" w:rsidRDefault="00AF6C58" w:rsidP="00AF6C58">
      <w:pPr>
        <w:pStyle w:val="Bullet"/>
      </w:pPr>
      <w:r>
        <w:t>T</w:t>
      </w:r>
      <w:r w:rsidR="000F22E3">
        <w:t>he i</w:t>
      </w:r>
      <w:r w:rsidR="005317F8">
        <w:t xml:space="preserve">nfectious </w:t>
      </w:r>
      <w:r w:rsidR="000F22E3">
        <w:t>d</w:t>
      </w:r>
      <w:r w:rsidR="005317F8">
        <w:t xml:space="preserve">isease </w:t>
      </w:r>
      <w:r w:rsidR="000F22E3">
        <w:t>c</w:t>
      </w:r>
      <w:r w:rsidR="005317F8">
        <w:t xml:space="preserve">linical </w:t>
      </w:r>
      <w:r w:rsidR="000F22E3">
        <w:t>n</w:t>
      </w:r>
      <w:r w:rsidR="005317F8">
        <w:t>etwork should ensure that they are confident tha</w:t>
      </w:r>
      <w:r w:rsidR="000F22E3">
        <w:t xml:space="preserve">t either a local infectious disease clinician or a clinical microbiologist is able to be deployed from a tertiary </w:t>
      </w:r>
      <w:r w:rsidR="005317F8">
        <w:t xml:space="preserve">hospital to assess a suspect case in either a hospital without that </w:t>
      </w:r>
      <w:r w:rsidR="000F22E3">
        <w:t>speciality</w:t>
      </w:r>
      <w:r w:rsidR="005317F8">
        <w:t xml:space="preserve"> or in a private residence</w:t>
      </w:r>
      <w:r w:rsidR="00C64A3B">
        <w:t xml:space="preserve"> if a local infectious disease clinician is not available</w:t>
      </w:r>
      <w:r>
        <w:t>.</w:t>
      </w:r>
    </w:p>
    <w:p w:rsidR="005317F8" w:rsidRDefault="00AF6C58" w:rsidP="00C77E7B">
      <w:pPr>
        <w:pStyle w:val="Bullet"/>
        <w:keepNext/>
      </w:pPr>
      <w:r>
        <w:t>E</w:t>
      </w:r>
      <w:r w:rsidR="005317F8">
        <w:t>arly clinical assessment will inform the most efficient and safest transfer option for the patient, clinical staff and the public, as well as the most appropriate health care facility</w:t>
      </w:r>
      <w:r>
        <w:t>.</w:t>
      </w:r>
      <w:r w:rsidR="00132993">
        <w:t xml:space="preserve"> </w:t>
      </w:r>
    </w:p>
    <w:p w:rsidR="005317F8" w:rsidRDefault="00AF6C58" w:rsidP="00AF6C58">
      <w:pPr>
        <w:pStyle w:val="Bullet"/>
      </w:pPr>
      <w:r>
        <w:t>T</w:t>
      </w:r>
      <w:r w:rsidR="005317F8">
        <w:t>here was a high degree of self-monitoring compliance by returned health care workers, meaning that this assessment can be done at a very early stage of the disease progression</w:t>
      </w:r>
      <w:r>
        <w:t>.</w:t>
      </w:r>
    </w:p>
    <w:p w:rsidR="005317F8" w:rsidRDefault="00AF6C58" w:rsidP="00AF6C58">
      <w:pPr>
        <w:pStyle w:val="Bullet"/>
      </w:pPr>
      <w:r>
        <w:t>E</w:t>
      </w:r>
      <w:r w:rsidR="005317F8">
        <w:t xml:space="preserve">arly clinical assessment will also allow treatment </w:t>
      </w:r>
      <w:r w:rsidR="00C77E7B">
        <w:t xml:space="preserve">– </w:t>
      </w:r>
      <w:r w:rsidR="005317F8">
        <w:t>such as fluid management – to start early, optimising patient outcome</w:t>
      </w:r>
      <w:r>
        <w:t>.</w:t>
      </w:r>
    </w:p>
    <w:p w:rsidR="005317F8" w:rsidRDefault="005317F8" w:rsidP="00AF6C58">
      <w:pPr>
        <w:pStyle w:val="Bullet"/>
      </w:pPr>
      <w:r>
        <w:t xml:space="preserve">DHBs need to plan for effective incident management between their </w:t>
      </w:r>
      <w:r w:rsidR="00C77E7B">
        <w:t>p</w:t>
      </w:r>
      <w:r>
        <w:t xml:space="preserve">ublic </w:t>
      </w:r>
      <w:r w:rsidR="00C77E7B">
        <w:t>h</w:t>
      </w:r>
      <w:r>
        <w:t xml:space="preserve">ealth </w:t>
      </w:r>
      <w:r w:rsidR="00C77E7B">
        <w:t>u</w:t>
      </w:r>
      <w:r>
        <w:t>nit and clinicians managing a suspected case. This may include liaison across several PHU areas and a referral hospital outside the area the patient was identified in</w:t>
      </w:r>
      <w:r w:rsidR="00AF6C58">
        <w:t>.</w:t>
      </w:r>
      <w:r w:rsidR="00132993">
        <w:t xml:space="preserve"> The Ministry will continue to support this local coordination including identification or coordination of specialist resources </w:t>
      </w:r>
      <w:proofErr w:type="spellStart"/>
      <w:r w:rsidR="00132993">
        <w:t>where</w:t>
      </w:r>
      <w:proofErr w:type="spellEnd"/>
      <w:r w:rsidR="00132993">
        <w:t xml:space="preserve"> not available at the local level.</w:t>
      </w:r>
    </w:p>
    <w:p w:rsidR="005317F8" w:rsidRDefault="00AF6C58" w:rsidP="00AF6C58">
      <w:pPr>
        <w:pStyle w:val="Bullet"/>
      </w:pPr>
      <w:r>
        <w:t>T</w:t>
      </w:r>
      <w:r w:rsidR="005317F8">
        <w:t>he four referral hospitals undertook considerable work to enhance their capability to manage a suspect case, including modification and fit</w:t>
      </w:r>
      <w:r w:rsidR="00132993">
        <w:t>-</w:t>
      </w:r>
      <w:r w:rsidR="005317F8">
        <w:t>out of ward areas. This work was commensurate with the risk and was timely and appropriate. The work and effort of staff involved was critical to domestic readiness</w:t>
      </w:r>
      <w:r>
        <w:t>.</w:t>
      </w:r>
    </w:p>
    <w:p w:rsidR="005317F8" w:rsidRDefault="00AF6C58" w:rsidP="00AF6C58">
      <w:pPr>
        <w:pStyle w:val="Bullet"/>
      </w:pPr>
      <w:r>
        <w:t>G</w:t>
      </w:r>
      <w:r w:rsidR="005317F8">
        <w:t xml:space="preserve">iven the low likelihood of highly pathogenic emerging infectious disease in New Zealand, it is not feasible for many facilities to provide totally separate isolation of these treatment areas. Planning for an EVD case in some areas therefore disproportionately impacted the operation of the hospital including closure of ward areas in order to ensure effective isolation. </w:t>
      </w:r>
      <w:proofErr w:type="spellStart"/>
      <w:r w:rsidR="005317F8">
        <w:t>Middlemore</w:t>
      </w:r>
      <w:proofErr w:type="spellEnd"/>
      <w:r w:rsidR="005317F8">
        <w:t xml:space="preserve"> Hospital was fortunate that they were able to dedicate and develop a wing as a dedicated ‘bio-containment’ unit</w:t>
      </w:r>
      <w:r>
        <w:t>.</w:t>
      </w:r>
    </w:p>
    <w:p w:rsidR="005317F8" w:rsidRDefault="00AF6C58" w:rsidP="00AF6C58">
      <w:pPr>
        <w:pStyle w:val="Bullet"/>
      </w:pPr>
      <w:r>
        <w:t>C</w:t>
      </w:r>
      <w:r w:rsidR="005317F8">
        <w:t xml:space="preserve">onversely the geographic population distribution in New Zealand and patient transfer challenges necessitated multiple centres for EVD. Restrictions on self-monitoring location, </w:t>
      </w:r>
      <w:r w:rsidR="00297779">
        <w:t>i.e.</w:t>
      </w:r>
      <w:r>
        <w:t xml:space="preserve"> </w:t>
      </w:r>
      <w:r w:rsidR="005317F8">
        <w:t>a requirement to stay in Auckland, were not appropriate for a variety of reasons and New Zealand was recognised for its proportional and appropriate response under the I</w:t>
      </w:r>
      <w:r w:rsidR="000F22E3">
        <w:t>nternational Health Regulations.</w:t>
      </w:r>
    </w:p>
    <w:p w:rsidR="005317F8" w:rsidRPr="00242C07" w:rsidRDefault="00AF6C58" w:rsidP="00AF6C58">
      <w:pPr>
        <w:pStyle w:val="Bullet"/>
      </w:pPr>
      <w:r>
        <w:t>T</w:t>
      </w:r>
      <w:r w:rsidR="005317F8">
        <w:t>he four referral centres should</w:t>
      </w:r>
      <w:r w:rsidR="00C77E7B">
        <w:t>,</w:t>
      </w:r>
      <w:r w:rsidR="005317F8">
        <w:t xml:space="preserve"> in the short term</w:t>
      </w:r>
      <w:r w:rsidR="00C77E7B">
        <w:t>,</w:t>
      </w:r>
      <w:r w:rsidR="005317F8">
        <w:t xml:space="preserve"> retain their planning and operating procedures to utilise their pre-identified EVD isolation areas in the event of an emerging infectious disease</w:t>
      </w:r>
      <w:r>
        <w:t>.</w:t>
      </w:r>
    </w:p>
    <w:p w:rsidR="005317F8" w:rsidRDefault="00AF6C58" w:rsidP="00F84928">
      <w:pPr>
        <w:pStyle w:val="Bullet"/>
      </w:pPr>
      <w:r>
        <w:t>T</w:t>
      </w:r>
      <w:r w:rsidR="005317F8">
        <w:t xml:space="preserve">he NHEP Infectious Disease </w:t>
      </w:r>
      <w:r w:rsidR="00C77E7B">
        <w:t>P</w:t>
      </w:r>
      <w:r w:rsidR="005317F8">
        <w:t xml:space="preserve">lan needs to articulate the expected level of capability for emerging infectious disease in </w:t>
      </w:r>
      <w:r w:rsidR="00C77E7B">
        <w:t>p</w:t>
      </w:r>
      <w:r w:rsidR="005317F8">
        <w:t xml:space="preserve">rimary </w:t>
      </w:r>
      <w:r w:rsidR="00C77E7B">
        <w:t>c</w:t>
      </w:r>
      <w:r w:rsidR="005317F8">
        <w:t xml:space="preserve">are, </w:t>
      </w:r>
      <w:r w:rsidR="00C77E7B">
        <w:t>a</w:t>
      </w:r>
      <w:r w:rsidR="005317F8">
        <w:t xml:space="preserve">mbulance, </w:t>
      </w:r>
      <w:r w:rsidR="00C77E7B">
        <w:t xml:space="preserve">and </w:t>
      </w:r>
      <w:r w:rsidR="005317F8">
        <w:t xml:space="preserve">receiving and referral hospitals, </w:t>
      </w:r>
      <w:r w:rsidR="005317F8" w:rsidRPr="008023FB">
        <w:t>noting</w:t>
      </w:r>
      <w:r w:rsidR="005317F8">
        <w:t xml:space="preserve"> that referral hospital(s) for a specific emerging infectious disease may best be determined </w:t>
      </w:r>
      <w:r w:rsidR="005317F8">
        <w:lastRenderedPageBreak/>
        <w:t xml:space="preserve">by the proposed </w:t>
      </w:r>
      <w:r w:rsidR="00C77E7B">
        <w:t>I</w:t>
      </w:r>
      <w:r w:rsidR="005317F8">
        <w:t xml:space="preserve">nfectious </w:t>
      </w:r>
      <w:r w:rsidR="00C77E7B">
        <w:t>D</w:t>
      </w:r>
      <w:r w:rsidR="005317F8">
        <w:t>isease Technical Advisory Group at the time. Planning needs to recognise that emerging infectious diseases will likely require a disease</w:t>
      </w:r>
      <w:r w:rsidR="00C77E7B">
        <w:t>-</w:t>
      </w:r>
      <w:r w:rsidR="005317F8">
        <w:t>specific response against a baseline capacity</w:t>
      </w:r>
      <w:r>
        <w:t>.</w:t>
      </w:r>
    </w:p>
    <w:p w:rsidR="005317F8" w:rsidRDefault="00AF6C58" w:rsidP="00F84928">
      <w:pPr>
        <w:pStyle w:val="Bullet"/>
        <w:keepLines/>
      </w:pPr>
      <w:r>
        <w:t>S</w:t>
      </w:r>
      <w:r w:rsidR="005317F8">
        <w:t xml:space="preserve">everal other high income jurisdictions modified their triage and assessment process in the latter stages of domestic readiness so that suspect EVD patients presented at the nearest medical facility where </w:t>
      </w:r>
      <w:r w:rsidR="005317F8" w:rsidRPr="007B5BA5">
        <w:t xml:space="preserve">their medical condition </w:t>
      </w:r>
      <w:r w:rsidR="005317F8">
        <w:t xml:space="preserve">was then </w:t>
      </w:r>
      <w:r w:rsidR="005317F8" w:rsidRPr="007B5BA5">
        <w:t>reviewed by a clinician and an I</w:t>
      </w:r>
      <w:r w:rsidR="005317F8">
        <w:t>nfectious Diseases Technical Advisory Group</w:t>
      </w:r>
      <w:r w:rsidR="005317F8" w:rsidRPr="007B5BA5">
        <w:t xml:space="preserve"> expert to determine transfer to a referral centre or not. This approach is essentially consistent with our existing plan, which includes the possibility that a patient may first present at primary or secondary care. The advantage of this approach is that the </w:t>
      </w:r>
      <w:r w:rsidR="005317F8">
        <w:t>‘</w:t>
      </w:r>
      <w:r w:rsidR="005317F8" w:rsidRPr="007B5BA5">
        <w:t>at</w:t>
      </w:r>
      <w:r w:rsidR="00C77E7B">
        <w:t>-</w:t>
      </w:r>
      <w:r w:rsidR="005317F8" w:rsidRPr="007B5BA5">
        <w:t>risk</w:t>
      </w:r>
      <w:r w:rsidR="005317F8">
        <w:t>’</w:t>
      </w:r>
      <w:r w:rsidR="005317F8" w:rsidRPr="007B5BA5">
        <w:t xml:space="preserve"> patient has early access to medical care irrespective of where they are located in the country. The disadvantage is that delays in diagnosis may mean that the patient cannot be on</w:t>
      </w:r>
      <w:r w:rsidR="00C77E7B">
        <w:t>-</w:t>
      </w:r>
      <w:r w:rsidR="005317F8" w:rsidRPr="007B5BA5">
        <w:t>transferred to one of the four specified treatment centres. The main objective of triage via a health</w:t>
      </w:r>
      <w:r w:rsidR="00C77E7B">
        <w:t xml:space="preserve"> </w:t>
      </w:r>
      <w:r w:rsidR="005317F8" w:rsidRPr="007B5BA5">
        <w:t>care system is that patients can be clinically assessed and transferred as early as possible with some treatment initiated. This is an important lesson from the Gore and Nelson cases. It is also a way of determining the c</w:t>
      </w:r>
      <w:r w:rsidR="005317F8">
        <w:t>linical needs of the patient an</w:t>
      </w:r>
      <w:r w:rsidR="005317F8" w:rsidRPr="007B5BA5">
        <w:t>d what form of transport is the most appropriate for them</w:t>
      </w:r>
      <w:r w:rsidR="005317F8">
        <w:t>.</w:t>
      </w:r>
    </w:p>
    <w:p w:rsidR="005317F8" w:rsidRDefault="00AF6C58" w:rsidP="006D6C7B">
      <w:pPr>
        <w:pStyle w:val="Bullet"/>
      </w:pPr>
      <w:r>
        <w:t>T</w:t>
      </w:r>
      <w:r w:rsidR="005317F8" w:rsidRPr="007B5BA5">
        <w:t xml:space="preserve">he alternative to this is to restrict the distance from a referral centre that a self-monitoring contact can reside at during the incubation period. This was not considered appropriate for EVD because of the gradual onset of symptoms, low initial infectivity and high level of awareness in returning health care workers. It may be appropriate for other diseases and should be </w:t>
      </w:r>
      <w:r w:rsidR="005317F8">
        <w:t>an</w:t>
      </w:r>
      <w:r w:rsidR="005317F8" w:rsidRPr="007B5BA5">
        <w:t xml:space="preserve"> early recommendation from the I</w:t>
      </w:r>
      <w:r w:rsidR="005317F8">
        <w:t>nfectious Diseases Technical Advisory Group</w:t>
      </w:r>
      <w:r w:rsidR="005317F8" w:rsidRPr="007B5BA5">
        <w:t xml:space="preserve"> </w:t>
      </w:r>
      <w:r w:rsidR="005317F8">
        <w:t>together with any specified referral hospitals.</w:t>
      </w:r>
    </w:p>
    <w:p w:rsidR="005317F8" w:rsidRPr="007D4E16" w:rsidRDefault="005317F8" w:rsidP="00AF6C58"/>
    <w:p w:rsidR="005317F8" w:rsidRPr="007B5BA5" w:rsidRDefault="005317F8" w:rsidP="00AF6C58">
      <w:pPr>
        <w:pStyle w:val="Heading3"/>
      </w:pPr>
      <w:r w:rsidRPr="007B5BA5">
        <w:t>Patient transfer</w:t>
      </w:r>
    </w:p>
    <w:p w:rsidR="005317F8" w:rsidRPr="00E94136" w:rsidRDefault="005317F8" w:rsidP="00AF6C58">
      <w:r>
        <w:t xml:space="preserve">The Gore and Nelson cases were transferred to Christchurch and Wellington referral hospitals respectively. A number of debriefs have examined arrangements for </w:t>
      </w:r>
      <w:r w:rsidRPr="00E94136">
        <w:t>both ambulance and helicopter transportation</w:t>
      </w:r>
      <w:r>
        <w:t xml:space="preserve"> and work is under</w:t>
      </w:r>
      <w:r w:rsidR="00AF6C58">
        <w:t xml:space="preserve"> </w:t>
      </w:r>
      <w:r>
        <w:t>way to enhance this capability:</w:t>
      </w:r>
    </w:p>
    <w:p w:rsidR="005317F8" w:rsidRDefault="00AF6C58" w:rsidP="00AF6C58">
      <w:pPr>
        <w:pStyle w:val="Bullet"/>
      </w:pPr>
      <w:r>
        <w:t>F</w:t>
      </w:r>
      <w:r w:rsidR="005317F8">
        <w:t xml:space="preserve">inite planning resources had meant that effort had been focused on ensuring arrangements to transport by air </w:t>
      </w:r>
      <w:r w:rsidR="004942F6">
        <w:t xml:space="preserve">of </w:t>
      </w:r>
      <w:r w:rsidR="005317F8">
        <w:t xml:space="preserve">a suspected case within an </w:t>
      </w:r>
      <w:r w:rsidR="00297779">
        <w:t>Isopod</w:t>
      </w:r>
      <w:r w:rsidR="005317F8">
        <w:t xml:space="preserve">. St John had identified and engaged directly with Northern Emergency Services Trust (NEST) (rotary) and </w:t>
      </w:r>
      <w:proofErr w:type="spellStart"/>
      <w:r w:rsidR="005317F8">
        <w:t>Lifeflight</w:t>
      </w:r>
      <w:proofErr w:type="spellEnd"/>
      <w:r w:rsidR="005317F8">
        <w:t xml:space="preserve"> Auckland (fixed wing)</w:t>
      </w:r>
      <w:r>
        <w:t>.</w:t>
      </w:r>
    </w:p>
    <w:p w:rsidR="005317F8" w:rsidRPr="004942F6" w:rsidRDefault="00AF6C58" w:rsidP="00AF6C58">
      <w:pPr>
        <w:pStyle w:val="Bullet"/>
      </w:pPr>
      <w:r>
        <w:t>F</w:t>
      </w:r>
      <w:r w:rsidR="005317F8">
        <w:t xml:space="preserve">urther training and exercising is needed with </w:t>
      </w:r>
      <w:r w:rsidR="004942F6">
        <w:t>a</w:t>
      </w:r>
      <w:r w:rsidR="005317F8">
        <w:t xml:space="preserve">mbulance and the aeromedical providers to enhance this process and increase the level of clinical care provided to a suspect case before being placed in an </w:t>
      </w:r>
      <w:r w:rsidR="00297779">
        <w:t>Isopod</w:t>
      </w:r>
      <w:r w:rsidR="005317F8" w:rsidRPr="004942F6">
        <w:t xml:space="preserve"> and during the flight</w:t>
      </w:r>
      <w:r w:rsidRPr="004942F6">
        <w:t>.</w:t>
      </w:r>
    </w:p>
    <w:p w:rsidR="005317F8" w:rsidRPr="004942F6" w:rsidRDefault="005317F8" w:rsidP="00AF6C58">
      <w:pPr>
        <w:pStyle w:val="Bullet"/>
      </w:pPr>
      <w:proofErr w:type="spellStart"/>
      <w:r w:rsidRPr="004942F6">
        <w:t>Lifeflight</w:t>
      </w:r>
      <w:proofErr w:type="spellEnd"/>
      <w:r w:rsidRPr="004942F6">
        <w:t xml:space="preserve"> Auckland is no longer the fixed wing </w:t>
      </w:r>
      <w:r w:rsidR="004942F6" w:rsidRPr="004942F6">
        <w:t>a</w:t>
      </w:r>
      <w:r w:rsidRPr="004942F6">
        <w:t>eromedical provider for Auckland DHB and readiness work is now under</w:t>
      </w:r>
      <w:r w:rsidR="004942F6" w:rsidRPr="004942F6">
        <w:t xml:space="preserve"> </w:t>
      </w:r>
      <w:r w:rsidRPr="004942F6">
        <w:t>way with the new provider, New Zealand Air Ambulance Service (NZAAS)</w:t>
      </w:r>
      <w:r w:rsidR="00AF6C58" w:rsidRPr="004942F6">
        <w:t>.</w:t>
      </w:r>
    </w:p>
    <w:p w:rsidR="005317F8" w:rsidRPr="004942F6" w:rsidRDefault="00AF6C58" w:rsidP="00AF6C58">
      <w:pPr>
        <w:pStyle w:val="Bullet"/>
      </w:pPr>
      <w:r w:rsidRPr="004942F6">
        <w:t>S</w:t>
      </w:r>
      <w:r w:rsidR="005317F8" w:rsidRPr="004942F6">
        <w:t xml:space="preserve">imulation training for ambulance staff, with input from a clinician with experience in an </w:t>
      </w:r>
      <w:r w:rsidR="00181B47">
        <w:t>E</w:t>
      </w:r>
      <w:r w:rsidR="005317F8" w:rsidRPr="004942F6">
        <w:t xml:space="preserve">bola </w:t>
      </w:r>
      <w:r w:rsidR="004942F6" w:rsidRPr="004942F6">
        <w:t>t</w:t>
      </w:r>
      <w:r w:rsidR="005317F8" w:rsidRPr="004942F6">
        <w:t xml:space="preserve">reatment </w:t>
      </w:r>
      <w:r w:rsidR="004942F6" w:rsidRPr="004942F6">
        <w:t>c</w:t>
      </w:r>
      <w:r w:rsidR="005317F8" w:rsidRPr="004942F6">
        <w:t>entre would be beneficial to improve clinical care and support during the transfer</w:t>
      </w:r>
      <w:r w:rsidRPr="004942F6">
        <w:t>.</w:t>
      </w:r>
    </w:p>
    <w:p w:rsidR="005317F8" w:rsidRPr="004942F6" w:rsidRDefault="00AF6C58" w:rsidP="00F84928">
      <w:pPr>
        <w:pStyle w:val="Bullet"/>
      </w:pPr>
      <w:r w:rsidRPr="004942F6">
        <w:t>T</w:t>
      </w:r>
      <w:r w:rsidR="005317F8" w:rsidRPr="004942F6">
        <w:t xml:space="preserve">he size of the </w:t>
      </w:r>
      <w:r w:rsidR="00297779">
        <w:t>Isopod</w:t>
      </w:r>
      <w:r w:rsidR="005317F8" w:rsidRPr="004942F6">
        <w:t xml:space="preserve"> means it is impractical to deploy it within a BK117 or Squirrel helicopter (used by the majority of aeromedical providers) and effort was concentrated on arrangements with the S-76 helicopter utilised by NEST. The S-76 has numerous advantages over these smaller helicopters including large cabin, high speed, high levels of crew comfort and extended range. However NEST is based in Auckland and </w:t>
      </w:r>
      <w:proofErr w:type="spellStart"/>
      <w:r w:rsidR="005317F8" w:rsidRPr="004942F6">
        <w:t>Whangarei</w:t>
      </w:r>
      <w:proofErr w:type="spellEnd"/>
      <w:r w:rsidR="005317F8" w:rsidRPr="004942F6">
        <w:t xml:space="preserve"> and the S-76 is likely to be replaced in the next few years</w:t>
      </w:r>
      <w:r w:rsidRPr="004942F6">
        <w:t>.</w:t>
      </w:r>
    </w:p>
    <w:p w:rsidR="005317F8" w:rsidRPr="004942F6" w:rsidRDefault="00AF6C58" w:rsidP="00AF6C58">
      <w:pPr>
        <w:pStyle w:val="Bullet"/>
      </w:pPr>
      <w:r w:rsidRPr="004942F6">
        <w:lastRenderedPageBreak/>
        <w:t>U</w:t>
      </w:r>
      <w:r w:rsidR="005317F8" w:rsidRPr="004942F6">
        <w:t xml:space="preserve">ntil then the S-76 should remain the preferred civilian helicopter platform due to its internal size, speed and operating range, however planning needs to be enhanced to better define triggers and timeframes to ensure as effective </w:t>
      </w:r>
      <w:r w:rsidR="004942F6">
        <w:t xml:space="preserve">a </w:t>
      </w:r>
      <w:r w:rsidR="005317F8" w:rsidRPr="004942F6">
        <w:t>response as possible to a long distance mission</w:t>
      </w:r>
      <w:r w:rsidRPr="004942F6">
        <w:t>.</w:t>
      </w:r>
    </w:p>
    <w:p w:rsidR="005317F8" w:rsidRPr="004942F6" w:rsidRDefault="00AF6C58" w:rsidP="00F84928">
      <w:pPr>
        <w:pStyle w:val="Bullet"/>
        <w:keepNext/>
      </w:pPr>
      <w:r w:rsidRPr="004942F6">
        <w:t>T</w:t>
      </w:r>
      <w:r w:rsidR="005317F8" w:rsidRPr="004942F6">
        <w:t>he AME capability, across civilian and military</w:t>
      </w:r>
      <w:r w:rsidR="004942F6">
        <w:t>,</w:t>
      </w:r>
      <w:r w:rsidR="005317F8" w:rsidRPr="004942F6">
        <w:t xml:space="preserve"> rotary and fixed wing, needs to be documented and endorsed by stakeholders, including any service restrictions or limitations</w:t>
      </w:r>
      <w:r w:rsidRPr="004942F6">
        <w:t>.</w:t>
      </w:r>
    </w:p>
    <w:p w:rsidR="005317F8" w:rsidRPr="004942F6" w:rsidRDefault="00AF6C58" w:rsidP="00AF6C58">
      <w:pPr>
        <w:pStyle w:val="Bullet"/>
      </w:pPr>
      <w:r w:rsidRPr="004942F6">
        <w:t>D</w:t>
      </w:r>
      <w:r w:rsidR="005317F8" w:rsidRPr="004942F6">
        <w:t>uring the response to the Nelson case</w:t>
      </w:r>
      <w:r w:rsidR="004942F6">
        <w:t>,</w:t>
      </w:r>
      <w:r w:rsidR="005317F8" w:rsidRPr="004942F6">
        <w:t xml:space="preserve"> it was assessed that the patient was asymptomatic and that transfer by </w:t>
      </w:r>
      <w:r w:rsidR="00297779">
        <w:t>Isopod</w:t>
      </w:r>
      <w:r w:rsidR="005317F8" w:rsidRPr="004942F6">
        <w:t xml:space="preserve"> was not clinically required. However no aeromedical provider had been engaged on the possibility of transfer without </w:t>
      </w:r>
      <w:r w:rsidR="004942F6">
        <w:t>an</w:t>
      </w:r>
      <w:r w:rsidR="006D6C7B">
        <w:t xml:space="preserve"> </w:t>
      </w:r>
      <w:r w:rsidR="00297779">
        <w:t>Isopod</w:t>
      </w:r>
      <w:r w:rsidR="005317F8" w:rsidRPr="004942F6">
        <w:t xml:space="preserve">, and the default planning assumption had always been that transfer by air would be in </w:t>
      </w:r>
      <w:r w:rsidR="004942F6">
        <w:t>an</w:t>
      </w:r>
      <w:r w:rsidR="006D6C7B">
        <w:t xml:space="preserve"> </w:t>
      </w:r>
      <w:r w:rsidR="00297779">
        <w:t>Isopod</w:t>
      </w:r>
      <w:r w:rsidR="005317F8" w:rsidRPr="004942F6">
        <w:t xml:space="preserve"> for an asymptomatic to moderately unwell patient</w:t>
      </w:r>
      <w:r w:rsidRPr="004942F6">
        <w:t>.</w:t>
      </w:r>
    </w:p>
    <w:p w:rsidR="005317F8" w:rsidRDefault="005317F8" w:rsidP="00AF6C58">
      <w:pPr>
        <w:pStyle w:val="Bullet"/>
      </w:pPr>
      <w:r w:rsidRPr="004942F6">
        <w:t>AME providers, other than those engaged in the readiness planning, had little previous engagement and were unwilling, in</w:t>
      </w:r>
      <w:r w:rsidR="004942F6">
        <w:t xml:space="preserve"> </w:t>
      </w:r>
      <w:r w:rsidRPr="004942F6">
        <w:t xml:space="preserve">spite of extensive clinical and managerial engagement, to transport a suspect EVD case without an </w:t>
      </w:r>
      <w:r w:rsidR="00297779">
        <w:t>Isopod</w:t>
      </w:r>
      <w:r w:rsidRPr="004942F6">
        <w:t>. Significant delays and effort were experienced in making transport arrangements that deviated from the agreed</w:t>
      </w:r>
      <w:r>
        <w:t xml:space="preserve"> SOPs</w:t>
      </w:r>
      <w:r w:rsidR="00AF6C58">
        <w:t>.</w:t>
      </w:r>
    </w:p>
    <w:p w:rsidR="005317F8" w:rsidRDefault="005317F8" w:rsidP="00AF6C58">
      <w:pPr>
        <w:pStyle w:val="Bullet"/>
      </w:pPr>
      <w:r>
        <w:t>New Zealand Defence Force (NZDF) provided a</w:t>
      </w:r>
      <w:r w:rsidR="000F22E3">
        <w:t>n</w:t>
      </w:r>
      <w:r>
        <w:t xml:space="preserve"> NH-90 helicopter and crew that were tasked to transport a patient in PPE only from Nelson to Wellington Hospital. NZDF are review</w:t>
      </w:r>
      <w:r w:rsidR="004942F6">
        <w:t>ing</w:t>
      </w:r>
      <w:r>
        <w:t xml:space="preserve"> their capability in this area to support future missions if required</w:t>
      </w:r>
      <w:r w:rsidR="004942F6">
        <w:t>;</w:t>
      </w:r>
      <w:r>
        <w:t xml:space="preserve"> however they should be engaged as a provider of last resort</w:t>
      </w:r>
      <w:r w:rsidR="00AF6C58">
        <w:t>.</w:t>
      </w:r>
    </w:p>
    <w:p w:rsidR="005317F8" w:rsidRDefault="00AF6C58" w:rsidP="006D6C7B">
      <w:pPr>
        <w:pStyle w:val="Bullet"/>
      </w:pPr>
      <w:r>
        <w:t>T</w:t>
      </w:r>
      <w:r w:rsidR="005317F8">
        <w:t xml:space="preserve">ransport costs for aeromedical transfers are centrally funded by </w:t>
      </w:r>
      <w:r w:rsidR="004942F6">
        <w:t xml:space="preserve">the </w:t>
      </w:r>
      <w:r w:rsidR="005317F8">
        <w:t>National Ambulance Sector Office (NASO) as an exceptional cost</w:t>
      </w:r>
      <w:r w:rsidR="004942F6">
        <w:t>,</w:t>
      </w:r>
      <w:r w:rsidR="005317F8">
        <w:t xml:space="preserve"> and these arrangements were suitable and should continue. There should be no actual or perceived cost barrier where a transfer is clinically required</w:t>
      </w:r>
      <w:r>
        <w:t>.</w:t>
      </w:r>
    </w:p>
    <w:p w:rsidR="005317F8" w:rsidRPr="004942F6" w:rsidRDefault="00AF6C58" w:rsidP="006D6C7B">
      <w:pPr>
        <w:pStyle w:val="Bullet"/>
      </w:pPr>
      <w:r>
        <w:t>A</w:t>
      </w:r>
      <w:r w:rsidR="005317F8">
        <w:t xml:space="preserve"> planning meeting was held in Auckland on 16 July 2015 with New Zealand Air Ambulance Service (NZAAS), NEST, St John Ambulance, the Ministry of Health, NASO and NZDF to confirm current capability and gaps. This meeting further explored the work required to ensure AME providers are willing and able to undertake </w:t>
      </w:r>
      <w:r w:rsidR="004942F6">
        <w:t xml:space="preserve">the </w:t>
      </w:r>
      <w:r w:rsidR="005317F8">
        <w:t xml:space="preserve">transfer of a patient when isolation in an </w:t>
      </w:r>
      <w:r w:rsidR="00297779">
        <w:t>Isopod</w:t>
      </w:r>
      <w:r w:rsidR="005317F8" w:rsidRPr="004942F6">
        <w:t xml:space="preserve"> is not required</w:t>
      </w:r>
      <w:r w:rsidRPr="004942F6">
        <w:t>.</w:t>
      </w:r>
    </w:p>
    <w:p w:rsidR="005317F8" w:rsidRPr="004942F6" w:rsidRDefault="005317F8" w:rsidP="00AF6C58">
      <w:pPr>
        <w:pStyle w:val="Bullet"/>
      </w:pPr>
      <w:r w:rsidRPr="004942F6">
        <w:t xml:space="preserve">St John have been asked to continue to lead the work on this, and to also explore training and capability required to enable the transfer of patients not in an </w:t>
      </w:r>
      <w:r w:rsidR="00297779">
        <w:t>Isopod</w:t>
      </w:r>
      <w:r w:rsidRPr="004942F6">
        <w:t xml:space="preserve"> with varying levels of crew and patient PPE.</w:t>
      </w:r>
    </w:p>
    <w:p w:rsidR="00AF6C58" w:rsidRPr="004942F6" w:rsidRDefault="00AF6C58" w:rsidP="00AF6C58"/>
    <w:p w:rsidR="005317F8" w:rsidRPr="004942F6" w:rsidRDefault="005317F8" w:rsidP="00AF6C58">
      <w:pPr>
        <w:pStyle w:val="Heading3"/>
      </w:pPr>
      <w:r w:rsidRPr="004942F6">
        <w:t>Equipment</w:t>
      </w:r>
    </w:p>
    <w:p w:rsidR="005317F8" w:rsidRDefault="005317F8" w:rsidP="00AF6C58">
      <w:r w:rsidRPr="004942F6">
        <w:t>The Ministry purchased modified</w:t>
      </w:r>
      <w:r w:rsidR="006D6C7B">
        <w:t xml:space="preserve"> </w:t>
      </w:r>
      <w:r w:rsidR="00297779">
        <w:t>Isopod</w:t>
      </w:r>
      <w:r w:rsidRPr="004942F6">
        <w:t xml:space="preserve"> and </w:t>
      </w:r>
      <w:proofErr w:type="spellStart"/>
      <w:r w:rsidRPr="004942F6">
        <w:t>iStat</w:t>
      </w:r>
      <w:proofErr w:type="spellEnd"/>
      <w:r w:rsidRPr="004942F6">
        <w:t xml:space="preserve"> </w:t>
      </w:r>
      <w:r w:rsidR="000F22E3">
        <w:t xml:space="preserve">point of care </w:t>
      </w:r>
      <w:r w:rsidRPr="004942F6">
        <w:t>testing machines to use in the transportation and testing of suspected EVD cases. DHBs led the procurement of a wide range of consumables,</w:t>
      </w:r>
      <w:r>
        <w:t xml:space="preserve"> especially higher level PPE ensembles that were not previously used in the sector, as well as </w:t>
      </w:r>
      <w:r w:rsidR="00297779">
        <w:t>fit out</w:t>
      </w:r>
      <w:r>
        <w:t xml:space="preserve"> and modification of identified ward areas. The Ministry and referral hospitals worked together to ensure that contracts for areas such as clinical waste management were met.</w:t>
      </w:r>
    </w:p>
    <w:p w:rsidR="00AF6C58" w:rsidRDefault="00AF6C58" w:rsidP="00AF6C58"/>
    <w:p w:rsidR="005317F8" w:rsidRDefault="005317F8" w:rsidP="00AF6C58">
      <w:r w:rsidRPr="00297779">
        <w:t>Globally there was a shortage of many items</w:t>
      </w:r>
      <w:r w:rsidR="00297779" w:rsidRPr="00297779">
        <w:t xml:space="preserve"> of higher level PPE during the initial stages of the response.</w:t>
      </w:r>
    </w:p>
    <w:p w:rsidR="00AF6C58" w:rsidRDefault="00AF6C58" w:rsidP="00AF6C58"/>
    <w:p w:rsidR="005317F8" w:rsidRDefault="005317F8" w:rsidP="00AF6C58">
      <w:r>
        <w:t xml:space="preserve">There are very limited isolation transport options and New Zealand lacks commercial or military aircraft equivalent to the small number of aircraft in the US or Europe that are large enough to use other isolation systems. </w:t>
      </w:r>
      <w:r w:rsidR="00297779">
        <w:t>Isopod</w:t>
      </w:r>
      <w:r>
        <w:t>s have been modified and used for air transport by Western Australia flying doctors since SARS in 2003 and no viable alternative seems to have been developed in the interim.</w:t>
      </w:r>
    </w:p>
    <w:p w:rsidR="00AF6C58" w:rsidRDefault="00AF6C58" w:rsidP="00AF6C58"/>
    <w:p w:rsidR="005317F8" w:rsidRPr="00E94136" w:rsidRDefault="005317F8" w:rsidP="00AF6C58">
      <w:pPr>
        <w:pStyle w:val="Heading3"/>
      </w:pPr>
      <w:r>
        <w:lastRenderedPageBreak/>
        <w:t xml:space="preserve">Suspect EVD </w:t>
      </w:r>
      <w:r w:rsidR="00AF6C58">
        <w:t>c</w:t>
      </w:r>
      <w:r>
        <w:t xml:space="preserve">ase </w:t>
      </w:r>
      <w:r w:rsidR="00AF6C58">
        <w:t>m</w:t>
      </w:r>
      <w:r>
        <w:t>anagement</w:t>
      </w:r>
    </w:p>
    <w:p w:rsidR="005317F8" w:rsidRPr="00E94136" w:rsidRDefault="005317F8" w:rsidP="00AF6C58">
      <w:pPr>
        <w:pStyle w:val="Heading4"/>
      </w:pPr>
      <w:r w:rsidRPr="00E94136">
        <w:t>Pre-hospital</w:t>
      </w:r>
    </w:p>
    <w:p w:rsidR="005317F8" w:rsidRPr="001A254F" w:rsidRDefault="005317F8" w:rsidP="00AF6C58">
      <w:r w:rsidRPr="00297779">
        <w:t>The Gore and Nelson suspect EVD cases were identified by</w:t>
      </w:r>
      <w:r w:rsidR="00C77E7B" w:rsidRPr="00297779">
        <w:t xml:space="preserve"> </w:t>
      </w:r>
      <w:r w:rsidRPr="00297779">
        <w:t xml:space="preserve">their </w:t>
      </w:r>
      <w:r w:rsidR="004942F6" w:rsidRPr="00297779">
        <w:t>p</w:t>
      </w:r>
      <w:r w:rsidRPr="00297779">
        <w:t xml:space="preserve">ublic </w:t>
      </w:r>
      <w:r w:rsidR="004942F6" w:rsidRPr="00297779">
        <w:t>h</w:t>
      </w:r>
      <w:r w:rsidRPr="00297779">
        <w:t xml:space="preserve">ealth </w:t>
      </w:r>
      <w:r w:rsidR="004942F6" w:rsidRPr="00297779">
        <w:t>u</w:t>
      </w:r>
      <w:r w:rsidRPr="00297779">
        <w:t xml:space="preserve">nit </w:t>
      </w:r>
      <w:r w:rsidR="00297779" w:rsidRPr="00297779">
        <w:t>in response to self-monitoring by the returned health care worker.</w:t>
      </w:r>
      <w:r w:rsidRPr="00297779">
        <w:t xml:space="preserve"> Both </w:t>
      </w:r>
      <w:r w:rsidR="00297779">
        <w:t xml:space="preserve">patients </w:t>
      </w:r>
      <w:r w:rsidRPr="00297779">
        <w:t>were located in smaller DHBs and a transfer to a referral hospital was initiated.</w:t>
      </w:r>
    </w:p>
    <w:p w:rsidR="005317F8" w:rsidRDefault="00AF6C58" w:rsidP="00AF6C58">
      <w:pPr>
        <w:pStyle w:val="Bullet"/>
      </w:pPr>
      <w:r>
        <w:t>T</w:t>
      </w:r>
      <w:r w:rsidR="005317F8">
        <w:t>he transfer of suspected EVD patients from Gore and Nelson generated significant media interest</w:t>
      </w:r>
      <w:r>
        <w:t>.</w:t>
      </w:r>
    </w:p>
    <w:p w:rsidR="005317F8" w:rsidRDefault="00AF6C58" w:rsidP="00AF6C58">
      <w:pPr>
        <w:pStyle w:val="Bullet"/>
      </w:pPr>
      <w:r>
        <w:t>T</w:t>
      </w:r>
      <w:r w:rsidR="005317F8">
        <w:t>he Ministry followed normal procedure around maintaining patient privacy</w:t>
      </w:r>
      <w:r w:rsidR="004942F6">
        <w:t>;</w:t>
      </w:r>
      <w:r w:rsidR="005317F8">
        <w:t xml:space="preserve"> however the very high level of media interest, information available on social media, and a family member cho</w:t>
      </w:r>
      <w:r w:rsidR="004942F6">
        <w:t>o</w:t>
      </w:r>
      <w:r w:rsidR="005317F8">
        <w:t>sing to speak to media, meant maintaining anonymity was difficult</w:t>
      </w:r>
      <w:r>
        <w:t>.</w:t>
      </w:r>
    </w:p>
    <w:p w:rsidR="005317F8" w:rsidRDefault="00AF6C58" w:rsidP="00AF6C58">
      <w:pPr>
        <w:pStyle w:val="Bullet"/>
      </w:pPr>
      <w:r>
        <w:t>T</w:t>
      </w:r>
      <w:r w:rsidR="005317F8">
        <w:t xml:space="preserve">he media obtained </w:t>
      </w:r>
      <w:r w:rsidR="005317F8" w:rsidRPr="00BA022B">
        <w:t>personal information on the patients</w:t>
      </w:r>
      <w:r w:rsidR="005317F8">
        <w:t>, including photos,</w:t>
      </w:r>
      <w:r w:rsidR="005317F8" w:rsidRPr="00BA022B">
        <w:t xml:space="preserve"> </w:t>
      </w:r>
      <w:r w:rsidR="005317F8">
        <w:t xml:space="preserve">from social networking sites. </w:t>
      </w:r>
      <w:r w:rsidR="004942F6">
        <w:t>I</w:t>
      </w:r>
      <w:r w:rsidR="005317F8">
        <w:t>n the second case, early advice was provided to the patient around taking steps to protect their privacy on their social media accounts</w:t>
      </w:r>
      <w:r>
        <w:t>.</w:t>
      </w:r>
    </w:p>
    <w:p w:rsidR="005317F8" w:rsidRDefault="00AF6C58" w:rsidP="00AF6C58">
      <w:pPr>
        <w:pStyle w:val="Bullet"/>
      </w:pPr>
      <w:r>
        <w:t>C</w:t>
      </w:r>
      <w:r w:rsidR="005317F8" w:rsidRPr="00E94136">
        <w:t>alls from media to the patients</w:t>
      </w:r>
      <w:r w:rsidR="005317F8">
        <w:t>’</w:t>
      </w:r>
      <w:r w:rsidR="005317F8" w:rsidRPr="00E94136">
        <w:t xml:space="preserve"> phones made it difficult for family and responders to make contact</w:t>
      </w:r>
      <w:r w:rsidR="005317F8">
        <w:t xml:space="preserve"> – c</w:t>
      </w:r>
      <w:r w:rsidR="005317F8" w:rsidRPr="00E94136">
        <w:t>ommunication was improved when a separate phone was provided to the patient</w:t>
      </w:r>
      <w:r>
        <w:t>.</w:t>
      </w:r>
    </w:p>
    <w:p w:rsidR="005317F8" w:rsidRDefault="00AF6C58" w:rsidP="00AF6C58">
      <w:pPr>
        <w:pStyle w:val="Bullet"/>
      </w:pPr>
      <w:r>
        <w:t>D</w:t>
      </w:r>
      <w:r w:rsidR="005317F8">
        <w:t xml:space="preserve">uring the first case, </w:t>
      </w:r>
      <w:r>
        <w:t>a</w:t>
      </w:r>
      <w:r w:rsidR="005317F8" w:rsidRPr="00E94136">
        <w:t xml:space="preserve">mbulance staff </w:t>
      </w:r>
      <w:r w:rsidR="005317F8">
        <w:t xml:space="preserve">reportedly did not brief </w:t>
      </w:r>
      <w:r w:rsidR="005317F8" w:rsidRPr="00E94136">
        <w:t>the patient prior to and during the transport fro</w:t>
      </w:r>
      <w:r w:rsidR="005317F8">
        <w:t>m home to the receiving hospital and the patient felt that they received little effective emotional support or contact from crews. Practical scenario training for ambulance staff involved in the transfer may address this</w:t>
      </w:r>
      <w:r>
        <w:t>.</w:t>
      </w:r>
    </w:p>
    <w:p w:rsidR="005317F8" w:rsidRDefault="00AF6C58" w:rsidP="00AF6C58">
      <w:pPr>
        <w:pStyle w:val="Bullet"/>
      </w:pPr>
      <w:r>
        <w:t>D</w:t>
      </w:r>
      <w:r w:rsidR="005317F8">
        <w:t>edicated contact needs to be established and maintained between the receiving hospital</w:t>
      </w:r>
      <w:r w:rsidR="00F84928">
        <w:t>,</w:t>
      </w:r>
      <w:r w:rsidR="005317F8">
        <w:t xml:space="preserve"> </w:t>
      </w:r>
      <w:r w:rsidR="00F84928">
        <w:t xml:space="preserve">the </w:t>
      </w:r>
      <w:r w:rsidR="005317F8">
        <w:t>PHU and the patient</w:t>
      </w:r>
      <w:r>
        <w:t>.</w:t>
      </w:r>
    </w:p>
    <w:p w:rsidR="005317F8" w:rsidRDefault="00AF6C58" w:rsidP="00AF6C58">
      <w:pPr>
        <w:pStyle w:val="Bullet"/>
      </w:pPr>
      <w:r>
        <w:t>E</w:t>
      </w:r>
      <w:r w:rsidR="005317F8">
        <w:t>arlier clinical assessment,</w:t>
      </w:r>
      <w:r w:rsidR="00132993">
        <w:t xml:space="preserve"> pre-hospital treatment,</w:t>
      </w:r>
      <w:r w:rsidR="005317F8">
        <w:t xml:space="preserve"> clinical care, psychosocial support and communication/media handling advice should be planned for</w:t>
      </w:r>
      <w:r>
        <w:t>.</w:t>
      </w:r>
      <w:r w:rsidR="00C64A3B">
        <w:t xml:space="preserve"> Depending on the disease type and advice from the Infectious Technical Advisory Group, alternative patient pathways may be used including admittance to a non-referral hospital for initial assessment, this approach has been successfully used in the UK.</w:t>
      </w:r>
    </w:p>
    <w:p w:rsidR="005317F8" w:rsidRDefault="00AF6C58" w:rsidP="00AF6C58">
      <w:pPr>
        <w:pStyle w:val="Bullet"/>
      </w:pPr>
      <w:r>
        <w:t>C</w:t>
      </w:r>
      <w:r w:rsidR="005317F8">
        <w:t>linical assessment, by an infectious disease specialist, should occur at an early stage and this should inform transfer type and destination as well as the public health response</w:t>
      </w:r>
      <w:r>
        <w:t>.</w:t>
      </w:r>
    </w:p>
    <w:p w:rsidR="005317F8" w:rsidRDefault="00AF6C58" w:rsidP="00AF6C58">
      <w:pPr>
        <w:pStyle w:val="Bullet"/>
      </w:pPr>
      <w:r>
        <w:t>P</w:t>
      </w:r>
      <w:r w:rsidR="005317F8">
        <w:t xml:space="preserve">sychological and clinical support should also be arranged for the patient </w:t>
      </w:r>
      <w:r w:rsidR="00F84928">
        <w:t xml:space="preserve">while </w:t>
      </w:r>
      <w:r w:rsidR="005317F8">
        <w:t>transport options are being arranged.</w:t>
      </w:r>
    </w:p>
    <w:p w:rsidR="005317F8" w:rsidRPr="00E94136" w:rsidRDefault="005317F8" w:rsidP="00AF6C58"/>
    <w:p w:rsidR="005317F8" w:rsidRPr="00E94136" w:rsidRDefault="005317F8" w:rsidP="00AF6C58">
      <w:pPr>
        <w:pStyle w:val="Heading4"/>
      </w:pPr>
      <w:r w:rsidRPr="00E94136">
        <w:t>In hospital</w:t>
      </w:r>
    </w:p>
    <w:p w:rsidR="005317F8" w:rsidRDefault="005317F8" w:rsidP="00F84928">
      <w:r>
        <w:t>The Gore and Nelson suspect cases were accommodated in isolation rooms at the receiving hospitals.</w:t>
      </w:r>
    </w:p>
    <w:p w:rsidR="005317F8" w:rsidRDefault="00AF6C58" w:rsidP="00F84928">
      <w:pPr>
        <w:pStyle w:val="Bullet"/>
      </w:pPr>
      <w:r>
        <w:t>P</w:t>
      </w:r>
      <w:r w:rsidR="005317F8" w:rsidRPr="00BA022B">
        <w:t>atients found th</w:t>
      </w:r>
      <w:r w:rsidR="005317F8">
        <w:t xml:space="preserve">e isolation </w:t>
      </w:r>
      <w:r w:rsidR="005317F8" w:rsidRPr="00BA022B">
        <w:t xml:space="preserve">environment very challenging due to </w:t>
      </w:r>
      <w:r w:rsidR="005317F8">
        <w:t xml:space="preserve">long periods with no contact and the inability to </w:t>
      </w:r>
      <w:r w:rsidR="005317F8" w:rsidRPr="00BA022B">
        <w:t>take any personal items into the room</w:t>
      </w:r>
      <w:r w:rsidR="005317F8">
        <w:t>.</w:t>
      </w:r>
    </w:p>
    <w:p w:rsidR="005317F8" w:rsidRDefault="00AF6C58" w:rsidP="00AF6C58">
      <w:pPr>
        <w:pStyle w:val="Bullet"/>
      </w:pPr>
      <w:r>
        <w:t>R</w:t>
      </w:r>
      <w:r w:rsidR="005317F8">
        <w:t>eferral hospitals should plan for patient support and welfare within isolation, including communication with their families</w:t>
      </w:r>
      <w:r>
        <w:t>.</w:t>
      </w:r>
    </w:p>
    <w:p w:rsidR="005317F8" w:rsidRDefault="00AF6C58" w:rsidP="00AF6C58">
      <w:pPr>
        <w:pStyle w:val="Bullet"/>
      </w:pPr>
      <w:r>
        <w:t>A</w:t>
      </w:r>
      <w:r w:rsidR="005317F8">
        <w:t>n information</w:t>
      </w:r>
      <w:r w:rsidR="00F84928">
        <w:t>-</w:t>
      </w:r>
      <w:r w:rsidR="005317F8">
        <w:t>sharing protocol, recognising the high degree of likely media and stakeholder interest</w:t>
      </w:r>
      <w:r w:rsidR="00F84928">
        <w:t>,</w:t>
      </w:r>
      <w:r w:rsidR="005317F8">
        <w:t xml:space="preserve"> should be developed and shared with agencies at an early stage of the response</w:t>
      </w:r>
      <w:r>
        <w:t>.</w:t>
      </w:r>
    </w:p>
    <w:p w:rsidR="005317F8" w:rsidRDefault="00AF6C58" w:rsidP="00AF6C58">
      <w:pPr>
        <w:pStyle w:val="Bullet"/>
      </w:pPr>
      <w:r>
        <w:t>W</w:t>
      </w:r>
      <w:r w:rsidR="005317F8">
        <w:t xml:space="preserve">ith the exception of </w:t>
      </w:r>
      <w:proofErr w:type="spellStart"/>
      <w:r w:rsidR="005317F8">
        <w:t>Middlemore</w:t>
      </w:r>
      <w:proofErr w:type="spellEnd"/>
      <w:r w:rsidR="005317F8">
        <w:t>, which has established a dedicated bio</w:t>
      </w:r>
      <w:r w:rsidR="00F84928">
        <w:t>-</w:t>
      </w:r>
      <w:r w:rsidR="005317F8">
        <w:t>containment unit wing, there will be significant disruption caused by an isolated patient with EVD or a similar disease. A key decision for the Infectious Disease Technical Advisory Group will be to advise on the optimum location and number of referral centres specific to the disease.</w:t>
      </w:r>
    </w:p>
    <w:p w:rsidR="00AF6C58" w:rsidRPr="002E3446" w:rsidRDefault="00AF6C58" w:rsidP="00AF6C58"/>
    <w:p w:rsidR="005317F8" w:rsidRPr="00E94136" w:rsidRDefault="005317F8" w:rsidP="00AF6C58">
      <w:pPr>
        <w:pStyle w:val="Heading4"/>
      </w:pPr>
      <w:r>
        <w:lastRenderedPageBreak/>
        <w:t>Diagnostic testing</w:t>
      </w:r>
    </w:p>
    <w:p w:rsidR="005317F8" w:rsidRDefault="005317F8" w:rsidP="00AF6C58">
      <w:pPr>
        <w:pStyle w:val="Bullet"/>
      </w:pPr>
      <w:r>
        <w:t xml:space="preserve">The commercial arrangement with a specialist medical logistics company and Air New Zealand to provide sample shipping to </w:t>
      </w:r>
      <w:r w:rsidR="000F22E3">
        <w:t xml:space="preserve">the </w:t>
      </w:r>
      <w:r>
        <w:t xml:space="preserve">VIDRL </w:t>
      </w:r>
      <w:r w:rsidR="000F22E3">
        <w:t xml:space="preserve">reference laboratory in </w:t>
      </w:r>
      <w:r>
        <w:t>Melbourne worked effectively when it was used in the second case. Use of a</w:t>
      </w:r>
      <w:r w:rsidR="00F84928">
        <w:t>n</w:t>
      </w:r>
      <w:r>
        <w:t xml:space="preserve"> NZDF</w:t>
      </w:r>
      <w:r w:rsidR="00F84928">
        <w:t xml:space="preserve"> </w:t>
      </w:r>
      <w:r>
        <w:t>flight in the first case, to achieve an earlier arrival time to Melbourne, resulted in a very modest time saving and required additional operational coordination at national and local level</w:t>
      </w:r>
      <w:r w:rsidR="00F84928">
        <w:t>s</w:t>
      </w:r>
      <w:r>
        <w:t>.</w:t>
      </w:r>
    </w:p>
    <w:p w:rsidR="005317F8" w:rsidRDefault="005317F8" w:rsidP="00AF6C58">
      <w:pPr>
        <w:pStyle w:val="Bullet"/>
      </w:pPr>
      <w:r>
        <w:t>Clear criteria for requesting support from NZDF over the commercial solution need to be agreed but should be an exceptional option.</w:t>
      </w:r>
    </w:p>
    <w:p w:rsidR="00AF6C58" w:rsidRDefault="00AF6C58" w:rsidP="00AF6C58"/>
    <w:p w:rsidR="005317F8" w:rsidRPr="002E3446" w:rsidRDefault="005317F8" w:rsidP="00AF6C58">
      <w:pPr>
        <w:pStyle w:val="Heading3"/>
      </w:pPr>
      <w:r>
        <w:t xml:space="preserve">Returning </w:t>
      </w:r>
      <w:r w:rsidR="00AF6C58">
        <w:t>h</w:t>
      </w:r>
      <w:r>
        <w:t xml:space="preserve">umanitarian and </w:t>
      </w:r>
      <w:r w:rsidR="00AF6C58">
        <w:t>h</w:t>
      </w:r>
      <w:r>
        <w:t xml:space="preserve">ealth </w:t>
      </w:r>
      <w:r w:rsidR="00AF6C58">
        <w:t>c</w:t>
      </w:r>
      <w:r>
        <w:t xml:space="preserve">are </w:t>
      </w:r>
      <w:r w:rsidR="00AF6C58">
        <w:t>w</w:t>
      </w:r>
      <w:r>
        <w:t>orkers</w:t>
      </w:r>
    </w:p>
    <w:p w:rsidR="005317F8" w:rsidRDefault="005317F8" w:rsidP="00AF6C58">
      <w:pPr>
        <w:pStyle w:val="Heading4"/>
      </w:pPr>
      <w:r w:rsidRPr="00E94136">
        <w:t>Border</w:t>
      </w:r>
    </w:p>
    <w:p w:rsidR="005317F8" w:rsidRDefault="005317F8" w:rsidP="00AF6C58">
      <w:pPr>
        <w:pStyle w:val="Bullet"/>
      </w:pPr>
      <w:r>
        <w:t xml:space="preserve">The health assessments at the border went well; </w:t>
      </w:r>
      <w:r w:rsidR="001C3917">
        <w:t xml:space="preserve">public health </w:t>
      </w:r>
      <w:proofErr w:type="gramStart"/>
      <w:r>
        <w:t>staff</w:t>
      </w:r>
      <w:r w:rsidR="005D3B9F">
        <w:t xml:space="preserve"> </w:t>
      </w:r>
      <w:r>
        <w:t xml:space="preserve"> were</w:t>
      </w:r>
      <w:proofErr w:type="gramEnd"/>
      <w:r>
        <w:t xml:space="preserve"> waiting to meet returning health care workers </w:t>
      </w:r>
      <w:r w:rsidR="00F84928">
        <w:t xml:space="preserve">and </w:t>
      </w:r>
      <w:r>
        <w:t xml:space="preserve">the risk assessment was efficient. Public </w:t>
      </w:r>
      <w:r w:rsidR="00F84928">
        <w:t>h</w:t>
      </w:r>
      <w:r>
        <w:t xml:space="preserve">ealth </w:t>
      </w:r>
      <w:r w:rsidR="00F84928">
        <w:t>u</w:t>
      </w:r>
      <w:r>
        <w:t>nits with international airports in their coverage area need to continue to plan to meet this IHR function.</w:t>
      </w:r>
    </w:p>
    <w:p w:rsidR="005317F8" w:rsidRDefault="001C3917" w:rsidP="00AF6C58">
      <w:pPr>
        <w:pStyle w:val="Bullet"/>
      </w:pPr>
      <w:r>
        <w:t>The support of New Zealand Customs</w:t>
      </w:r>
      <w:r w:rsidR="005D3B9F">
        <w:t xml:space="preserve"> Service</w:t>
      </w:r>
      <w:r>
        <w:t xml:space="preserve">, border agencies and airport staff ensured that border operations were </w:t>
      </w:r>
      <w:r w:rsidR="005D3B9F">
        <w:t>effective</w:t>
      </w:r>
      <w:r>
        <w:t xml:space="preserve"> an</w:t>
      </w:r>
      <w:r w:rsidR="005D3B9F">
        <w:t>d</w:t>
      </w:r>
      <w:r>
        <w:t xml:space="preserve"> unobtrusive. New Zealand was acknowledged by the World Health Organization as meeting the recommendations within the Public Health Emergency of International Concern</w:t>
      </w:r>
      <w:r w:rsidR="005D3B9F">
        <w:t xml:space="preserve"> in implementing proportional and appropriate controls on international travellers.</w:t>
      </w:r>
      <w:r>
        <w:t xml:space="preserve">  </w:t>
      </w:r>
      <w:r w:rsidR="005D3B9F">
        <w:t xml:space="preserve">Engagement included a series of face to face briefings at airports, as well as regular updates by email. </w:t>
      </w:r>
      <w:r w:rsidR="005317F8">
        <w:t xml:space="preserve">Pre-arrival electronic screening, as well as engagement from </w:t>
      </w:r>
      <w:r w:rsidR="00F84928">
        <w:t>i</w:t>
      </w:r>
      <w:r w:rsidR="005317F8">
        <w:t>nternational NGOs and organisations working in countries with high rates of Ebola transmission</w:t>
      </w:r>
      <w:r w:rsidR="00F84928">
        <w:t>,</w:t>
      </w:r>
      <w:r w:rsidR="005317F8">
        <w:t xml:space="preserve"> provided high confidence in detecting travellers returning from the affected region.</w:t>
      </w:r>
    </w:p>
    <w:p w:rsidR="005317F8" w:rsidRDefault="005317F8" w:rsidP="00AF6C58">
      <w:pPr>
        <w:pStyle w:val="Bullet"/>
      </w:pPr>
      <w:r>
        <w:t>Self-monitoring of returned personnel went well, with high compliance and engagement from returned staff</w:t>
      </w:r>
      <w:r w:rsidR="00F84928">
        <w:t>,</w:t>
      </w:r>
      <w:r>
        <w:t xml:space="preserve"> most of whom had experience in treating EVD patients themselves. There are assumptions about the effectiveness of the self-monitoring, including the quality of the thermometer being used, and the reliability and accuracy of self-reporting. Standardised thermometer and recording sheets would enhance this process and these were developed and used by some </w:t>
      </w:r>
      <w:r w:rsidR="007074DE">
        <w:t>p</w:t>
      </w:r>
      <w:r w:rsidR="000F22E3">
        <w:t xml:space="preserve">ublic </w:t>
      </w:r>
      <w:r w:rsidR="007074DE">
        <w:t>h</w:t>
      </w:r>
      <w:r w:rsidR="000F22E3">
        <w:t xml:space="preserve">ealth </w:t>
      </w:r>
      <w:r w:rsidR="007074DE">
        <w:t>u</w:t>
      </w:r>
      <w:r w:rsidR="000F22E3">
        <w:t>nits</w:t>
      </w:r>
      <w:r>
        <w:t>.</w:t>
      </w:r>
    </w:p>
    <w:p w:rsidR="005317F8" w:rsidRDefault="005317F8" w:rsidP="00AF6C58">
      <w:pPr>
        <w:pStyle w:val="Bullet"/>
      </w:pPr>
      <w:r w:rsidRPr="00125EE7">
        <w:t xml:space="preserve">The Infectious Disease </w:t>
      </w:r>
      <w:r w:rsidR="00AF6C58">
        <w:t>T</w:t>
      </w:r>
      <w:r w:rsidRPr="00125EE7">
        <w:t xml:space="preserve">echnical </w:t>
      </w:r>
      <w:r w:rsidR="00AF6C58">
        <w:t>A</w:t>
      </w:r>
      <w:r w:rsidRPr="00125EE7">
        <w:t xml:space="preserve">dvisory </w:t>
      </w:r>
      <w:r w:rsidR="00AF6C58">
        <w:t>G</w:t>
      </w:r>
      <w:r w:rsidRPr="00125EE7">
        <w:t>roup should consider any restriction on maximum travel distance to a referral hospital</w:t>
      </w:r>
      <w:r>
        <w:t>,</w:t>
      </w:r>
      <w:r w:rsidRPr="00125EE7">
        <w:t xml:space="preserve"> dependent on the characteristics of the emerging infectious disease</w:t>
      </w:r>
      <w:r>
        <w:t>.</w:t>
      </w:r>
    </w:p>
    <w:p w:rsidR="00783D9C" w:rsidRPr="00DD748F" w:rsidRDefault="00783D9C" w:rsidP="002233D8"/>
    <w:p w:rsidR="00EB461E" w:rsidRPr="00DD748F" w:rsidRDefault="00EB461E" w:rsidP="00F84928">
      <w:pPr>
        <w:spacing w:before="1200"/>
        <w:jc w:val="center"/>
        <w:rPr>
          <w:rFonts w:ascii="Cambria" w:hAnsi="Cambria"/>
        </w:rPr>
      </w:pPr>
      <w:r w:rsidRPr="00DD748F">
        <w:rPr>
          <w:rFonts w:ascii="Cambria" w:hAnsi="Cambria"/>
          <w:noProof/>
          <w:lang w:eastAsia="en-NZ"/>
        </w:rPr>
        <w:drawing>
          <wp:inline distT="0" distB="0" distL="0" distR="0" wp14:anchorId="0190DC17" wp14:editId="2D580518">
            <wp:extent cx="1346835" cy="664845"/>
            <wp:effectExtent l="0" t="0" r="571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6835" cy="664845"/>
                    </a:xfrm>
                    <a:prstGeom prst="rect">
                      <a:avLst/>
                    </a:prstGeom>
                    <a:noFill/>
                    <a:ln>
                      <a:noFill/>
                    </a:ln>
                  </pic:spPr>
                </pic:pic>
              </a:graphicData>
            </a:graphic>
          </wp:inline>
        </w:drawing>
      </w:r>
    </w:p>
    <w:p w:rsidR="00EB461E" w:rsidRDefault="005317F8" w:rsidP="002233D8">
      <w:pPr>
        <w:spacing w:before="240"/>
        <w:jc w:val="center"/>
        <w:rPr>
          <w:lang w:eastAsia="en-NZ"/>
        </w:rPr>
      </w:pPr>
      <w:r>
        <w:t>27</w:t>
      </w:r>
      <w:r w:rsidR="00EB461E" w:rsidRPr="00DD748F">
        <w:t xml:space="preserve"> </w:t>
      </w:r>
      <w:r>
        <w:t>July 2015</w:t>
      </w:r>
      <w:r w:rsidR="00C34608" w:rsidRPr="00DD748F">
        <w:br/>
      </w:r>
      <w:r w:rsidR="00EB461E" w:rsidRPr="00DD748F">
        <w:rPr>
          <w:lang w:eastAsia="en-NZ"/>
        </w:rPr>
        <w:t>HP</w:t>
      </w:r>
      <w:r w:rsidR="009D79CC">
        <w:rPr>
          <w:lang w:eastAsia="en-NZ"/>
        </w:rPr>
        <w:t xml:space="preserve"> 6223</w:t>
      </w:r>
    </w:p>
    <w:p w:rsidR="000C3FA7" w:rsidRPr="00DD748F" w:rsidRDefault="000C3FA7" w:rsidP="000C3FA7">
      <w:pPr>
        <w:spacing w:line="240" w:lineRule="auto"/>
        <w:rPr>
          <w:lang w:eastAsia="en-NZ"/>
        </w:rPr>
      </w:pPr>
    </w:p>
    <w:sectPr w:rsidR="000C3FA7" w:rsidRPr="00DD748F" w:rsidSect="000E4E05">
      <w:footerReference w:type="even" r:id="rId10"/>
      <w:footerReference w:type="default" r:id="rId11"/>
      <w:headerReference w:type="first" r:id="rId12"/>
      <w:footerReference w:type="first" r:id="rId13"/>
      <w:pgSz w:w="11906" w:h="16838" w:code="9"/>
      <w:pgMar w:top="1134" w:right="1134" w:bottom="1134" w:left="1418" w:header="284"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A9D" w:rsidRDefault="00090A9D">
      <w:r>
        <w:separator/>
      </w:r>
    </w:p>
  </w:endnote>
  <w:endnote w:type="continuationSeparator" w:id="0">
    <w:p w:rsidR="00090A9D" w:rsidRDefault="00090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Mäori">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6" w:rsidRDefault="004942F6" w:rsidP="00DD2C28">
    <w:pPr>
      <w:pStyle w:val="Footer"/>
      <w:pBdr>
        <w:top w:val="single" w:sz="4" w:space="4" w:color="auto"/>
      </w:pBdr>
      <w:tabs>
        <w:tab w:val="left" w:pos="567"/>
      </w:tabs>
      <w:ind w:left="567" w:hanging="567"/>
    </w:pPr>
    <w:r>
      <w:rPr>
        <w:rStyle w:val="PageNumber"/>
      </w:rPr>
      <w:fldChar w:fldCharType="begin"/>
    </w:r>
    <w:r>
      <w:rPr>
        <w:rStyle w:val="PageNumber"/>
      </w:rPr>
      <w:instrText xml:space="preserve"> PAGE </w:instrText>
    </w:r>
    <w:r>
      <w:rPr>
        <w:rStyle w:val="PageNumber"/>
      </w:rPr>
      <w:fldChar w:fldCharType="separate"/>
    </w:r>
    <w:r w:rsidR="00A54896">
      <w:rPr>
        <w:rStyle w:val="PageNumber"/>
        <w:noProof/>
      </w:rPr>
      <w:t>8</w:t>
    </w:r>
    <w:r>
      <w:rPr>
        <w:rStyle w:val="PageNumber"/>
      </w:rPr>
      <w:fldChar w:fldCharType="end"/>
    </w:r>
    <w:r>
      <w:tab/>
      <w:t>Response to Suspected Ebola Virus Disease Cases in New Zealand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6" w:rsidRPr="00876FB8" w:rsidRDefault="004942F6" w:rsidP="00876FB8">
    <w:pPr>
      <w:pStyle w:val="Footer"/>
      <w:pBdr>
        <w:top w:val="single" w:sz="4" w:space="4" w:color="auto"/>
      </w:pBdr>
    </w:pPr>
    <w:r>
      <w:tab/>
    </w:r>
    <w:r w:rsidR="00B854E7">
      <w:t>Response to Suspected Ebola Virus Disease Cases in New Zealand</w:t>
    </w:r>
    <w:r>
      <w:tab/>
    </w:r>
    <w:r>
      <w:rPr>
        <w:rStyle w:val="PageNumber"/>
      </w:rPr>
      <w:fldChar w:fldCharType="begin"/>
    </w:r>
    <w:r>
      <w:rPr>
        <w:rStyle w:val="PageNumber"/>
      </w:rPr>
      <w:instrText xml:space="preserve"> PAGE </w:instrText>
    </w:r>
    <w:r>
      <w:rPr>
        <w:rStyle w:val="PageNumber"/>
      </w:rPr>
      <w:fldChar w:fldCharType="separate"/>
    </w:r>
    <w:r w:rsidR="00A54896">
      <w:rPr>
        <w:rStyle w:val="PageNumber"/>
        <w:noProof/>
      </w:rPr>
      <w:t>9</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6" w:rsidRDefault="004942F6" w:rsidP="00DD2C28">
    <w:pPr>
      <w:pStyle w:val="Footer"/>
      <w:pBdr>
        <w:top w:val="single" w:sz="4" w:space="4" w:color="auto"/>
      </w:pBdr>
    </w:pPr>
    <w:r>
      <w:tab/>
      <w:t>Response to Suspected Ebola Virus Disease Cases in New Zealand</w:t>
    </w:r>
    <w:r>
      <w:tab/>
    </w:r>
    <w:r>
      <w:rPr>
        <w:rStyle w:val="PageNumber"/>
      </w:rPr>
      <w:fldChar w:fldCharType="begin"/>
    </w:r>
    <w:r>
      <w:rPr>
        <w:rStyle w:val="PageNumber"/>
      </w:rPr>
      <w:instrText xml:space="preserve"> PAGE </w:instrText>
    </w:r>
    <w:r>
      <w:rPr>
        <w:rStyle w:val="PageNumber"/>
      </w:rPr>
      <w:fldChar w:fldCharType="separate"/>
    </w:r>
    <w:r w:rsidR="00A5489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A9D" w:rsidRPr="00680D2D" w:rsidRDefault="00090A9D" w:rsidP="00680D2D">
      <w:pPr>
        <w:pStyle w:val="Footer"/>
      </w:pPr>
    </w:p>
  </w:footnote>
  <w:footnote w:type="continuationSeparator" w:id="0">
    <w:p w:rsidR="00090A9D" w:rsidRDefault="00090A9D">
      <w:r>
        <w:continuationSeparator/>
      </w:r>
    </w:p>
  </w:footnote>
  <w:footnote w:id="1">
    <w:p w:rsidR="00D30531" w:rsidRDefault="004942F6" w:rsidP="00D30531">
      <w:pPr>
        <w:autoSpaceDE w:val="0"/>
        <w:autoSpaceDN w:val="0"/>
        <w:adjustRightInd w:val="0"/>
        <w:spacing w:before="120" w:line="240" w:lineRule="auto"/>
        <w:ind w:left="284" w:hanging="284"/>
        <w:rPr>
          <w:rFonts w:cs="Georgia"/>
          <w:color w:val="000000"/>
          <w:sz w:val="18"/>
          <w:szCs w:val="18"/>
          <w:lang w:eastAsia="en-NZ"/>
        </w:rPr>
      </w:pPr>
      <w:r w:rsidRPr="005317F8">
        <w:rPr>
          <w:rStyle w:val="FootnoteReference"/>
        </w:rPr>
        <w:footnoteRef/>
      </w:r>
      <w:r>
        <w:tab/>
      </w:r>
      <w:r w:rsidR="00D30531">
        <w:rPr>
          <w:rFonts w:cs="Georgia"/>
          <w:color w:val="000000"/>
          <w:sz w:val="18"/>
          <w:szCs w:val="18"/>
          <w:lang w:eastAsia="en-NZ"/>
        </w:rPr>
        <w:t>From the introduction of additional screening on 10 August 2014 until 27 July 2015, 147 persons have been identified through enhanced New Zealand border screening as having travel history to Sierra Leone, Guinea or Liberia in the 30 days before arriving in New Zealand.</w:t>
      </w:r>
    </w:p>
    <w:p w:rsidR="004942F6" w:rsidRPr="00D30531" w:rsidRDefault="00D30531" w:rsidP="00D30531">
      <w:pPr>
        <w:pStyle w:val="FootnoteText"/>
        <w:ind w:firstLine="0"/>
        <w:rPr>
          <w:rFonts w:cs="Georgia"/>
          <w:color w:val="000000"/>
          <w:szCs w:val="18"/>
          <w:lang w:eastAsia="en-NZ"/>
        </w:rPr>
      </w:pPr>
      <w:r>
        <w:rPr>
          <w:rFonts w:cs="Georgia"/>
          <w:color w:val="000000"/>
          <w:szCs w:val="18"/>
          <w:lang w:eastAsia="en-NZ"/>
        </w:rPr>
        <w:t xml:space="preserve">Of those, </w:t>
      </w:r>
      <w:r w:rsidRPr="00D30531">
        <w:rPr>
          <w:rFonts w:cs="Georgia"/>
          <w:color w:val="000000"/>
          <w:szCs w:val="18"/>
          <w:lang w:eastAsia="en-NZ"/>
        </w:rPr>
        <w:t>48</w:t>
      </w:r>
      <w:r>
        <w:rPr>
          <w:rFonts w:cs="Georgia"/>
          <w:color w:val="000000"/>
          <w:szCs w:val="18"/>
          <w:lang w:eastAsia="en-NZ"/>
        </w:rPr>
        <w:t xml:space="preserve"> have been returning humanitarian aid </w:t>
      </w:r>
      <w:proofErr w:type="gramStart"/>
      <w:r>
        <w:rPr>
          <w:rFonts w:cs="Georgia"/>
          <w:color w:val="000000"/>
          <w:szCs w:val="18"/>
          <w:lang w:eastAsia="en-NZ"/>
        </w:rPr>
        <w:t xml:space="preserve">workers  </w:t>
      </w:r>
      <w:r w:rsidRPr="00D30531">
        <w:rPr>
          <w:rFonts w:cs="Georgia"/>
          <w:color w:val="000000"/>
          <w:szCs w:val="18"/>
          <w:lang w:eastAsia="en-NZ"/>
        </w:rPr>
        <w:t>42</w:t>
      </w:r>
      <w:proofErr w:type="gramEnd"/>
      <w:r>
        <w:rPr>
          <w:rFonts w:cs="Georgia"/>
          <w:color w:val="000000"/>
          <w:szCs w:val="18"/>
          <w:lang w:eastAsia="en-NZ"/>
        </w:rPr>
        <w:t xml:space="preserve"> </w:t>
      </w:r>
      <w:r w:rsidRPr="00D30531">
        <w:rPr>
          <w:rFonts w:cs="Georgia"/>
          <w:color w:val="000000"/>
          <w:szCs w:val="18"/>
          <w:lang w:eastAsia="en-NZ"/>
        </w:rPr>
        <w:t>of whom</w:t>
      </w:r>
      <w:r>
        <w:rPr>
          <w:rFonts w:cs="Georgia"/>
          <w:color w:val="000000"/>
          <w:szCs w:val="18"/>
          <w:lang w:eastAsia="en-NZ"/>
        </w:rPr>
        <w:t xml:space="preserve"> completed 21 days of self-monitoring in accordance with Ministry of Health protocols. </w:t>
      </w:r>
      <w:r w:rsidRPr="00D30531">
        <w:rPr>
          <w:rFonts w:cs="Georgia"/>
          <w:color w:val="000000"/>
          <w:szCs w:val="18"/>
          <w:lang w:eastAsia="en-NZ"/>
        </w:rPr>
        <w:t>The other six aid workers had no high risk contacts so were not required to undergo self-monitoring.</w:t>
      </w:r>
    </w:p>
  </w:footnote>
  <w:footnote w:id="2">
    <w:p w:rsidR="00983AA2" w:rsidRDefault="00983AA2" w:rsidP="00983AA2">
      <w:pPr>
        <w:pStyle w:val="FootnoteText"/>
        <w:ind w:left="0" w:firstLine="0"/>
      </w:pPr>
      <w:r>
        <w:rPr>
          <w:rStyle w:val="FootnoteReference"/>
        </w:rPr>
        <w:footnoteRef/>
      </w:r>
      <w:r>
        <w:t xml:space="preserve"> See UN 2814 Infectious substances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2F6" w:rsidRDefault="004942F6" w:rsidP="00BD22FC">
    <w:pPr>
      <w:pStyle w:val="Header"/>
      <w:spacing w:after="480"/>
    </w:pPr>
    <w:r>
      <w:rPr>
        <w:noProof/>
        <w:lang w:eastAsia="en-NZ"/>
      </w:rPr>
      <w:drawing>
        <wp:inline distT="0" distB="0" distL="0" distR="0" wp14:anchorId="19C9071E" wp14:editId="5022D068">
          <wp:extent cx="5960110" cy="573405"/>
          <wp:effectExtent l="0" t="0" r="2540" b="0"/>
          <wp:docPr id="1" name="Picture 4" descr="C:\Users\APETHIG\AppData\Local\Temp\notes2D4894\~6425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PETHIG\AppData\Local\Temp\notes2D4894\~6425033.jpg"/>
                  <pic:cNvPicPr>
                    <a:picLocks noChangeAspect="1" noChangeArrowheads="1"/>
                  </pic:cNvPicPr>
                </pic:nvPicPr>
                <pic:blipFill>
                  <a:blip r:embed="rId1">
                    <a:extLst>
                      <a:ext uri="{28A0092B-C50C-407E-A947-70E740481C1C}">
                        <a14:useLocalDpi xmlns:a14="http://schemas.microsoft.com/office/drawing/2010/main" val="0"/>
                      </a:ext>
                    </a:extLst>
                  </a:blip>
                  <a:srcRect l="1118"/>
                  <a:stretch>
                    <a:fillRect/>
                  </a:stretch>
                </pic:blipFill>
                <pic:spPr bwMode="auto">
                  <a:xfrm>
                    <a:off x="0" y="0"/>
                    <a:ext cx="596011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4E3B"/>
    <w:multiLevelType w:val="hybridMultilevel"/>
    <w:tmpl w:val="D29EAB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35635E2"/>
    <w:multiLevelType w:val="multilevel"/>
    <w:tmpl w:val="BCEC2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3A02"/>
    <w:multiLevelType w:val="hybridMultilevel"/>
    <w:tmpl w:val="537C20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6B6B31"/>
    <w:multiLevelType w:val="hybridMultilevel"/>
    <w:tmpl w:val="12C2E6AA"/>
    <w:lvl w:ilvl="0" w:tplc="48B48050">
      <w:start w:val="1"/>
      <w:numFmt w:val="decimal"/>
      <w:lvlText w:val="%1."/>
      <w:lvlJc w:val="left"/>
      <w:pPr>
        <w:ind w:left="930" w:hanging="57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4">
    <w:nsid w:val="131B38E6"/>
    <w:multiLevelType w:val="hybridMultilevel"/>
    <w:tmpl w:val="B15E090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19BF780D"/>
    <w:multiLevelType w:val="hybridMultilevel"/>
    <w:tmpl w:val="DC96E3B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9DC4F5C"/>
    <w:multiLevelType w:val="hybridMultilevel"/>
    <w:tmpl w:val="8398F4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1BD0323B"/>
    <w:multiLevelType w:val="hybridMultilevel"/>
    <w:tmpl w:val="1B025C26"/>
    <w:lvl w:ilvl="0" w:tplc="14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1A15E4D"/>
    <w:multiLevelType w:val="hybridMultilevel"/>
    <w:tmpl w:val="E19C9DE6"/>
    <w:lvl w:ilvl="0" w:tplc="14090001">
      <w:start w:val="1"/>
      <w:numFmt w:val="bullet"/>
      <w:lvlText w:val=""/>
      <w:lvlJc w:val="left"/>
      <w:pPr>
        <w:ind w:left="720" w:hanging="360"/>
      </w:pPr>
      <w:rPr>
        <w:rFonts w:ascii="Symbol" w:hAnsi="Symbol" w:hint="default"/>
      </w:rPr>
    </w:lvl>
    <w:lvl w:ilvl="1" w:tplc="14090001">
      <w:start w:val="1"/>
      <w:numFmt w:val="bullet"/>
      <w:lvlText w:val=""/>
      <w:lvlJc w:val="left"/>
      <w:pPr>
        <w:ind w:left="1440" w:hanging="360"/>
      </w:pPr>
      <w:rPr>
        <w:rFonts w:ascii="Symbol" w:hAnsi="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1CA0668"/>
    <w:multiLevelType w:val="hybridMultilevel"/>
    <w:tmpl w:val="E6EC7F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D44F52"/>
    <w:multiLevelType w:val="hybridMultilevel"/>
    <w:tmpl w:val="A5204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44E7161"/>
    <w:multiLevelType w:val="hybridMultilevel"/>
    <w:tmpl w:val="AF5CEEA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97401D0"/>
    <w:multiLevelType w:val="hybridMultilevel"/>
    <w:tmpl w:val="2EF61FC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E379A4"/>
    <w:multiLevelType w:val="hybridMultilevel"/>
    <w:tmpl w:val="07CC5D2C"/>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BE707B2"/>
    <w:multiLevelType w:val="hybridMultilevel"/>
    <w:tmpl w:val="E4CCE838"/>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E82515"/>
    <w:multiLevelType w:val="hybridMultilevel"/>
    <w:tmpl w:val="9BCEA6D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378120F5"/>
    <w:multiLevelType w:val="hybridMultilevel"/>
    <w:tmpl w:val="D8445344"/>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397A3D84"/>
    <w:multiLevelType w:val="hybridMultilevel"/>
    <w:tmpl w:val="43129836"/>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8">
    <w:nsid w:val="3A21553F"/>
    <w:multiLevelType w:val="hybridMultilevel"/>
    <w:tmpl w:val="4F04DFD0"/>
    <w:lvl w:ilvl="0" w:tplc="14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nsid w:val="3D192E16"/>
    <w:multiLevelType w:val="hybridMultilevel"/>
    <w:tmpl w:val="9FE6BFEC"/>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nsid w:val="41B80299"/>
    <w:multiLevelType w:val="hybridMultilevel"/>
    <w:tmpl w:val="78C8FA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439B6562"/>
    <w:multiLevelType w:val="hybridMultilevel"/>
    <w:tmpl w:val="3816223E"/>
    <w:lvl w:ilvl="0" w:tplc="72CEA2C0">
      <w:start w:val="1"/>
      <w:numFmt w:val="bullet"/>
      <w:pStyle w:val="TableBullet"/>
      <w:lvlText w:val=""/>
      <w:lvlJc w:val="left"/>
      <w:pPr>
        <w:ind w:left="360" w:hanging="360"/>
      </w:pPr>
      <w:rPr>
        <w:rFonts w:ascii="Symbol" w:hAnsi="Symbol" w:hint="default"/>
        <w:color w:val="auto"/>
        <w:sz w:val="16"/>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66C55FF"/>
    <w:multiLevelType w:val="hybridMultilevel"/>
    <w:tmpl w:val="9404FDF0"/>
    <w:lvl w:ilvl="0" w:tplc="14090001">
      <w:start w:val="1"/>
      <w:numFmt w:val="bullet"/>
      <w:lvlText w:val=""/>
      <w:lvlJc w:val="left"/>
      <w:pPr>
        <w:ind w:left="360" w:hanging="360"/>
      </w:pPr>
      <w:rPr>
        <w:rFonts w:ascii="Symbol" w:hAnsi="Symbol" w:hint="default"/>
      </w:rPr>
    </w:lvl>
    <w:lvl w:ilvl="1" w:tplc="14090005">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84C4475"/>
    <w:multiLevelType w:val="hybridMultilevel"/>
    <w:tmpl w:val="1E5649A4"/>
    <w:lvl w:ilvl="0" w:tplc="890AC848">
      <w:start w:val="1"/>
      <w:numFmt w:val="bullet"/>
      <w:lvlText w:val="–"/>
      <w:lvlJc w:val="left"/>
      <w:pPr>
        <w:ind w:left="1080" w:hanging="360"/>
      </w:pPr>
      <w:rPr>
        <w:rFonts w:ascii="Courier New" w:hAnsi="Courier New" w:hint="default"/>
      </w:rPr>
    </w:lvl>
    <w:lvl w:ilvl="1" w:tplc="5D6EBB80">
      <w:start w:val="1"/>
      <w:numFmt w:val="bullet"/>
      <w:lvlText w:val="–"/>
      <w:lvlJc w:val="left"/>
      <w:pPr>
        <w:ind w:left="1800" w:hanging="360"/>
      </w:pPr>
      <w:rPr>
        <w:rFonts w:ascii="Courier New" w:hAnsi="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4">
    <w:nsid w:val="49325264"/>
    <w:multiLevelType w:val="hybridMultilevel"/>
    <w:tmpl w:val="FB2E9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4A474D79"/>
    <w:multiLevelType w:val="hybridMultilevel"/>
    <w:tmpl w:val="CD8864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BCF023C"/>
    <w:multiLevelType w:val="hybridMultilevel"/>
    <w:tmpl w:val="E6503F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nsid w:val="52A01E40"/>
    <w:multiLevelType w:val="hybridMultilevel"/>
    <w:tmpl w:val="F0548A34"/>
    <w:lvl w:ilvl="0" w:tplc="734EEE20">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534E3094"/>
    <w:multiLevelType w:val="hybridMultilevel"/>
    <w:tmpl w:val="ADCC05F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556679DD"/>
    <w:multiLevelType w:val="hybridMultilevel"/>
    <w:tmpl w:val="6A12C44E"/>
    <w:lvl w:ilvl="0" w:tplc="932A1A56">
      <w:start w:val="1"/>
      <w:numFmt w:val="bullet"/>
      <w:lvlRestart w:val="0"/>
      <w:lvlText w:val=""/>
      <w:lvlJc w:val="left"/>
      <w:pPr>
        <w:tabs>
          <w:tab w:val="num" w:pos="726"/>
        </w:tabs>
        <w:ind w:left="726" w:hanging="363"/>
      </w:pPr>
      <w:rPr>
        <w:rFonts w:ascii="Symbol" w:hAnsi="Symbol" w:hint="default"/>
        <w:color w:val="auto"/>
      </w:rPr>
    </w:lvl>
    <w:lvl w:ilvl="1" w:tplc="04090003" w:tentative="1">
      <w:start w:val="1"/>
      <w:numFmt w:val="bullet"/>
      <w:lvlText w:val="o"/>
      <w:lvlJc w:val="left"/>
      <w:pPr>
        <w:tabs>
          <w:tab w:val="num" w:pos="1803"/>
        </w:tabs>
        <w:ind w:left="1803" w:hanging="360"/>
      </w:pPr>
      <w:rPr>
        <w:rFonts w:ascii="Courier New" w:hAnsi="Courier New" w:cs="Courier New" w:hint="default"/>
      </w:rPr>
    </w:lvl>
    <w:lvl w:ilvl="2" w:tplc="04090005" w:tentative="1">
      <w:start w:val="1"/>
      <w:numFmt w:val="bullet"/>
      <w:lvlText w:val=""/>
      <w:lvlJc w:val="left"/>
      <w:pPr>
        <w:tabs>
          <w:tab w:val="num" w:pos="2523"/>
        </w:tabs>
        <w:ind w:left="2523" w:hanging="360"/>
      </w:pPr>
      <w:rPr>
        <w:rFonts w:ascii="Wingdings" w:hAnsi="Wingdings" w:hint="default"/>
      </w:rPr>
    </w:lvl>
    <w:lvl w:ilvl="3" w:tplc="04090001" w:tentative="1">
      <w:start w:val="1"/>
      <w:numFmt w:val="bullet"/>
      <w:lvlText w:val=""/>
      <w:lvlJc w:val="left"/>
      <w:pPr>
        <w:tabs>
          <w:tab w:val="num" w:pos="3243"/>
        </w:tabs>
        <w:ind w:left="3243" w:hanging="360"/>
      </w:pPr>
      <w:rPr>
        <w:rFonts w:ascii="Symbol" w:hAnsi="Symbol" w:hint="default"/>
      </w:rPr>
    </w:lvl>
    <w:lvl w:ilvl="4" w:tplc="04090003" w:tentative="1">
      <w:start w:val="1"/>
      <w:numFmt w:val="bullet"/>
      <w:lvlText w:val="o"/>
      <w:lvlJc w:val="left"/>
      <w:pPr>
        <w:tabs>
          <w:tab w:val="num" w:pos="3963"/>
        </w:tabs>
        <w:ind w:left="3963" w:hanging="360"/>
      </w:pPr>
      <w:rPr>
        <w:rFonts w:ascii="Courier New" w:hAnsi="Courier New" w:cs="Courier New" w:hint="default"/>
      </w:rPr>
    </w:lvl>
    <w:lvl w:ilvl="5" w:tplc="04090005" w:tentative="1">
      <w:start w:val="1"/>
      <w:numFmt w:val="bullet"/>
      <w:lvlText w:val=""/>
      <w:lvlJc w:val="left"/>
      <w:pPr>
        <w:tabs>
          <w:tab w:val="num" w:pos="4683"/>
        </w:tabs>
        <w:ind w:left="4683" w:hanging="360"/>
      </w:pPr>
      <w:rPr>
        <w:rFonts w:ascii="Wingdings" w:hAnsi="Wingdings" w:hint="default"/>
      </w:rPr>
    </w:lvl>
    <w:lvl w:ilvl="6" w:tplc="04090001" w:tentative="1">
      <w:start w:val="1"/>
      <w:numFmt w:val="bullet"/>
      <w:lvlText w:val=""/>
      <w:lvlJc w:val="left"/>
      <w:pPr>
        <w:tabs>
          <w:tab w:val="num" w:pos="5403"/>
        </w:tabs>
        <w:ind w:left="5403" w:hanging="360"/>
      </w:pPr>
      <w:rPr>
        <w:rFonts w:ascii="Symbol" w:hAnsi="Symbol" w:hint="default"/>
      </w:rPr>
    </w:lvl>
    <w:lvl w:ilvl="7" w:tplc="04090003" w:tentative="1">
      <w:start w:val="1"/>
      <w:numFmt w:val="bullet"/>
      <w:lvlText w:val="o"/>
      <w:lvlJc w:val="left"/>
      <w:pPr>
        <w:tabs>
          <w:tab w:val="num" w:pos="6123"/>
        </w:tabs>
        <w:ind w:left="6123" w:hanging="360"/>
      </w:pPr>
      <w:rPr>
        <w:rFonts w:ascii="Courier New" w:hAnsi="Courier New" w:cs="Courier New" w:hint="default"/>
      </w:rPr>
    </w:lvl>
    <w:lvl w:ilvl="8" w:tplc="04090005" w:tentative="1">
      <w:start w:val="1"/>
      <w:numFmt w:val="bullet"/>
      <w:lvlText w:val=""/>
      <w:lvlJc w:val="left"/>
      <w:pPr>
        <w:tabs>
          <w:tab w:val="num" w:pos="6843"/>
        </w:tabs>
        <w:ind w:left="6843" w:hanging="360"/>
      </w:pPr>
      <w:rPr>
        <w:rFonts w:ascii="Wingdings" w:hAnsi="Wingdings" w:hint="default"/>
      </w:rPr>
    </w:lvl>
  </w:abstractNum>
  <w:abstractNum w:abstractNumId="30">
    <w:nsid w:val="566E0B01"/>
    <w:multiLevelType w:val="hybridMultilevel"/>
    <w:tmpl w:val="9AD08C2E"/>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8BF6637"/>
    <w:multiLevelType w:val="hybridMultilevel"/>
    <w:tmpl w:val="5378A82C"/>
    <w:lvl w:ilvl="0" w:tplc="1409000F">
      <w:start w:val="1"/>
      <w:numFmt w:val="decimal"/>
      <w:lvlText w:val="%1."/>
      <w:lvlJc w:val="left"/>
      <w:pPr>
        <w:ind w:left="720" w:hanging="360"/>
      </w:pPr>
      <w:rPr>
        <w:rFonts w:cs="Times New Roman" w:hint="default"/>
      </w:rPr>
    </w:lvl>
    <w:lvl w:ilvl="1" w:tplc="14090019" w:tentative="1">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32">
    <w:nsid w:val="5A5F32D0"/>
    <w:multiLevelType w:val="hybridMultilevel"/>
    <w:tmpl w:val="472CF3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B342B6B"/>
    <w:multiLevelType w:val="hybridMultilevel"/>
    <w:tmpl w:val="20DABD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61E4205B"/>
    <w:multiLevelType w:val="hybridMultilevel"/>
    <w:tmpl w:val="720467C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648A425F"/>
    <w:multiLevelType w:val="hybridMultilevel"/>
    <w:tmpl w:val="4D7ABEAE"/>
    <w:lvl w:ilvl="0" w:tplc="890AC848">
      <w:start w:val="1"/>
      <w:numFmt w:val="bullet"/>
      <w:pStyle w:val="Dash"/>
      <w:lvlText w:val="–"/>
      <w:lvlJc w:val="left"/>
      <w:pPr>
        <w:ind w:left="1080" w:hanging="360"/>
      </w:pPr>
      <w:rPr>
        <w:rFonts w:ascii="Courier New" w:hAnsi="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6">
    <w:nsid w:val="66725D6E"/>
    <w:multiLevelType w:val="hybridMultilevel"/>
    <w:tmpl w:val="31F6FA28"/>
    <w:lvl w:ilvl="0" w:tplc="1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66867853"/>
    <w:multiLevelType w:val="hybridMultilevel"/>
    <w:tmpl w:val="776E2F12"/>
    <w:lvl w:ilvl="0" w:tplc="14090001">
      <w:start w:val="1"/>
      <w:numFmt w:val="bullet"/>
      <w:lvlText w:val=""/>
      <w:lvlJc w:val="left"/>
      <w:pPr>
        <w:tabs>
          <w:tab w:val="num" w:pos="360"/>
        </w:tabs>
        <w:ind w:left="360" w:hanging="360"/>
      </w:pPr>
      <w:rPr>
        <w:rFonts w:ascii="Symbol" w:hAnsi="Symbol" w:hint="default"/>
      </w:rPr>
    </w:lvl>
    <w:lvl w:ilvl="1" w:tplc="D4C2B8C2">
      <w:start w:val="1"/>
      <w:numFmt w:val="bullet"/>
      <w:lvlText w:val=""/>
      <w:lvlJc w:val="left"/>
      <w:pPr>
        <w:tabs>
          <w:tab w:val="num" w:pos="1080"/>
        </w:tabs>
        <w:ind w:left="1080" w:hanging="360"/>
      </w:pPr>
      <w:rPr>
        <w:rFonts w:ascii="Symbol" w:hAnsi="Symbol" w:hint="default"/>
        <w:color w:val="auto"/>
        <w:sz w:val="22"/>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6BC78ED"/>
    <w:multiLevelType w:val="hybridMultilevel"/>
    <w:tmpl w:val="BFBC0BA2"/>
    <w:lvl w:ilvl="0" w:tplc="E042FD7A">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688D2C9E"/>
    <w:multiLevelType w:val="singleLevel"/>
    <w:tmpl w:val="BCB8802A"/>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0">
    <w:nsid w:val="68944223"/>
    <w:multiLevelType w:val="hybridMultilevel"/>
    <w:tmpl w:val="03146A06"/>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BC23A38"/>
    <w:multiLevelType w:val="hybridMultilevel"/>
    <w:tmpl w:val="680064D2"/>
    <w:lvl w:ilvl="0" w:tplc="D4C2B8C2">
      <w:start w:val="1"/>
      <w:numFmt w:val="bullet"/>
      <w:lvlText w:val=""/>
      <w:lvlJc w:val="left"/>
      <w:pPr>
        <w:tabs>
          <w:tab w:val="num" w:pos="1440"/>
        </w:tabs>
        <w:ind w:left="1440" w:hanging="360"/>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6C624CDC"/>
    <w:multiLevelType w:val="hybridMultilevel"/>
    <w:tmpl w:val="9F86735A"/>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6CDB6980"/>
    <w:multiLevelType w:val="hybridMultilevel"/>
    <w:tmpl w:val="5BF8BDD2"/>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4">
    <w:nsid w:val="6FC773DF"/>
    <w:multiLevelType w:val="hybridMultilevel"/>
    <w:tmpl w:val="777894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759A7698"/>
    <w:multiLevelType w:val="hybridMultilevel"/>
    <w:tmpl w:val="17C2C396"/>
    <w:lvl w:ilvl="0" w:tplc="DE90BD66">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6">
    <w:nsid w:val="75D837A3"/>
    <w:multiLevelType w:val="hybridMultilevel"/>
    <w:tmpl w:val="3D22AE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87A37FE"/>
    <w:multiLevelType w:val="hybridMultilevel"/>
    <w:tmpl w:val="A2041A70"/>
    <w:lvl w:ilvl="0" w:tplc="1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7B4839BC"/>
    <w:multiLevelType w:val="hybridMultilevel"/>
    <w:tmpl w:val="D592C3E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7C1218D3"/>
    <w:multiLevelType w:val="singleLevel"/>
    <w:tmpl w:val="C58C0308"/>
    <w:lvl w:ilvl="0">
      <w:start w:val="1"/>
      <w:numFmt w:val="bullet"/>
      <w:lvlText w:val=""/>
      <w:lvlJc w:val="left"/>
      <w:pPr>
        <w:tabs>
          <w:tab w:val="num" w:pos="284"/>
        </w:tabs>
        <w:ind w:left="284" w:hanging="284"/>
      </w:pPr>
      <w:rPr>
        <w:rFonts w:ascii="Symbol" w:hAnsi="Symbol" w:hint="default"/>
        <w:sz w:val="18"/>
      </w:rPr>
    </w:lvl>
  </w:abstractNum>
  <w:abstractNum w:abstractNumId="50">
    <w:nsid w:val="7C78600D"/>
    <w:multiLevelType w:val="hybridMultilevel"/>
    <w:tmpl w:val="4E522CF4"/>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51">
    <w:nsid w:val="7D975728"/>
    <w:multiLevelType w:val="hybridMultilevel"/>
    <w:tmpl w:val="B0ECE7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nsid w:val="7F2C1D7B"/>
    <w:multiLevelType w:val="hybridMultilevel"/>
    <w:tmpl w:val="5A04D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9"/>
  </w:num>
  <w:num w:numId="2">
    <w:abstractNumId w:val="42"/>
  </w:num>
  <w:num w:numId="3">
    <w:abstractNumId w:val="18"/>
  </w:num>
  <w:num w:numId="4">
    <w:abstractNumId w:val="30"/>
  </w:num>
  <w:num w:numId="5">
    <w:abstractNumId w:val="28"/>
  </w:num>
  <w:num w:numId="6">
    <w:abstractNumId w:val="2"/>
  </w:num>
  <w:num w:numId="7">
    <w:abstractNumId w:val="47"/>
  </w:num>
  <w:num w:numId="8">
    <w:abstractNumId w:val="19"/>
  </w:num>
  <w:num w:numId="9">
    <w:abstractNumId w:val="4"/>
  </w:num>
  <w:num w:numId="10">
    <w:abstractNumId w:val="11"/>
  </w:num>
  <w:num w:numId="11">
    <w:abstractNumId w:val="36"/>
  </w:num>
  <w:num w:numId="12">
    <w:abstractNumId w:val="12"/>
  </w:num>
  <w:num w:numId="13">
    <w:abstractNumId w:val="34"/>
  </w:num>
  <w:num w:numId="14">
    <w:abstractNumId w:val="15"/>
  </w:num>
  <w:num w:numId="15">
    <w:abstractNumId w:val="38"/>
  </w:num>
  <w:num w:numId="16">
    <w:abstractNumId w:val="14"/>
  </w:num>
  <w:num w:numId="17">
    <w:abstractNumId w:val="13"/>
  </w:num>
  <w:num w:numId="18">
    <w:abstractNumId w:val="1"/>
  </w:num>
  <w:num w:numId="19">
    <w:abstractNumId w:val="41"/>
  </w:num>
  <w:num w:numId="20">
    <w:abstractNumId w:val="40"/>
  </w:num>
  <w:num w:numId="21">
    <w:abstractNumId w:val="7"/>
  </w:num>
  <w:num w:numId="22">
    <w:abstractNumId w:val="31"/>
  </w:num>
  <w:num w:numId="23">
    <w:abstractNumId w:val="37"/>
  </w:num>
  <w:num w:numId="24">
    <w:abstractNumId w:val="16"/>
  </w:num>
  <w:num w:numId="25">
    <w:abstractNumId w:val="3"/>
  </w:num>
  <w:num w:numId="26">
    <w:abstractNumId w:val="33"/>
  </w:num>
  <w:num w:numId="27">
    <w:abstractNumId w:val="48"/>
  </w:num>
  <w:num w:numId="28">
    <w:abstractNumId w:val="9"/>
  </w:num>
  <w:num w:numId="29">
    <w:abstractNumId w:val="39"/>
  </w:num>
  <w:num w:numId="30">
    <w:abstractNumId w:val="49"/>
  </w:num>
  <w:num w:numId="31">
    <w:abstractNumId w:val="32"/>
  </w:num>
  <w:num w:numId="32">
    <w:abstractNumId w:val="27"/>
  </w:num>
  <w:num w:numId="33">
    <w:abstractNumId w:val="35"/>
  </w:num>
  <w:num w:numId="34">
    <w:abstractNumId w:val="26"/>
  </w:num>
  <w:num w:numId="35">
    <w:abstractNumId w:val="45"/>
  </w:num>
  <w:num w:numId="36">
    <w:abstractNumId w:val="45"/>
    <w:lvlOverride w:ilvl="0">
      <w:startOverride w:val="1"/>
    </w:lvlOverride>
  </w:num>
  <w:num w:numId="37">
    <w:abstractNumId w:val="23"/>
  </w:num>
  <w:num w:numId="38">
    <w:abstractNumId w:val="0"/>
  </w:num>
  <w:num w:numId="39">
    <w:abstractNumId w:val="46"/>
  </w:num>
  <w:num w:numId="40">
    <w:abstractNumId w:val="10"/>
  </w:num>
  <w:num w:numId="41">
    <w:abstractNumId w:val="52"/>
  </w:num>
  <w:num w:numId="42">
    <w:abstractNumId w:val="24"/>
  </w:num>
  <w:num w:numId="43">
    <w:abstractNumId w:val="21"/>
  </w:num>
  <w:num w:numId="44">
    <w:abstractNumId w:val="6"/>
  </w:num>
  <w:num w:numId="45">
    <w:abstractNumId w:val="43"/>
  </w:num>
  <w:num w:numId="46">
    <w:abstractNumId w:val="8"/>
  </w:num>
  <w:num w:numId="47">
    <w:abstractNumId w:val="22"/>
  </w:num>
  <w:num w:numId="48">
    <w:abstractNumId w:val="5"/>
  </w:num>
  <w:num w:numId="49">
    <w:abstractNumId w:val="44"/>
  </w:num>
  <w:num w:numId="50">
    <w:abstractNumId w:val="51"/>
  </w:num>
  <w:num w:numId="51">
    <w:abstractNumId w:val="17"/>
  </w:num>
  <w:num w:numId="52">
    <w:abstractNumId w:val="20"/>
  </w:num>
  <w:num w:numId="53">
    <w:abstractNumId w:val="25"/>
  </w:num>
  <w:num w:numId="54">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567"/>
  <w:evenAndOddHeaders/>
  <w:noPunctuationKerning/>
  <w:characterSpacingControl w:val="doNotCompress"/>
  <w:hdrShapeDefaults>
    <o:shapedefaults v:ext="edit" spidmax="4097">
      <o:colormru v:ext="edit" colors="#00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8B7"/>
    <w:rsid w:val="000123DF"/>
    <w:rsid w:val="00075ED0"/>
    <w:rsid w:val="00090A9D"/>
    <w:rsid w:val="00095852"/>
    <w:rsid w:val="000A6BCB"/>
    <w:rsid w:val="000B1E21"/>
    <w:rsid w:val="000B6957"/>
    <w:rsid w:val="000B6BD8"/>
    <w:rsid w:val="000C3F39"/>
    <w:rsid w:val="000C3FA7"/>
    <w:rsid w:val="000C68D3"/>
    <w:rsid w:val="000D0170"/>
    <w:rsid w:val="000E093C"/>
    <w:rsid w:val="000E4E05"/>
    <w:rsid w:val="000E5175"/>
    <w:rsid w:val="000F1B71"/>
    <w:rsid w:val="000F22E3"/>
    <w:rsid w:val="000F265B"/>
    <w:rsid w:val="001009C3"/>
    <w:rsid w:val="00105DB9"/>
    <w:rsid w:val="001158C2"/>
    <w:rsid w:val="001175B4"/>
    <w:rsid w:val="0012142B"/>
    <w:rsid w:val="001227B0"/>
    <w:rsid w:val="00123376"/>
    <w:rsid w:val="00130CE3"/>
    <w:rsid w:val="00132993"/>
    <w:rsid w:val="001336C6"/>
    <w:rsid w:val="00137BE7"/>
    <w:rsid w:val="00142C45"/>
    <w:rsid w:val="00145424"/>
    <w:rsid w:val="00145D5F"/>
    <w:rsid w:val="001705DC"/>
    <w:rsid w:val="00181B47"/>
    <w:rsid w:val="0018777F"/>
    <w:rsid w:val="001925EF"/>
    <w:rsid w:val="001A3A19"/>
    <w:rsid w:val="001C3917"/>
    <w:rsid w:val="001E1749"/>
    <w:rsid w:val="001F5811"/>
    <w:rsid w:val="00206DC0"/>
    <w:rsid w:val="002222BC"/>
    <w:rsid w:val="002233D8"/>
    <w:rsid w:val="00240554"/>
    <w:rsid w:val="00246193"/>
    <w:rsid w:val="00251EEF"/>
    <w:rsid w:val="002542A3"/>
    <w:rsid w:val="00254ED0"/>
    <w:rsid w:val="00255D89"/>
    <w:rsid w:val="0026708A"/>
    <w:rsid w:val="00271166"/>
    <w:rsid w:val="00272F4E"/>
    <w:rsid w:val="00276744"/>
    <w:rsid w:val="00281EAA"/>
    <w:rsid w:val="00285375"/>
    <w:rsid w:val="0028738D"/>
    <w:rsid w:val="00296F98"/>
    <w:rsid w:val="00297779"/>
    <w:rsid w:val="002A35E8"/>
    <w:rsid w:val="002A38BC"/>
    <w:rsid w:val="002B34DC"/>
    <w:rsid w:val="002C1F8F"/>
    <w:rsid w:val="002C3EA2"/>
    <w:rsid w:val="003005BD"/>
    <w:rsid w:val="003030F4"/>
    <w:rsid w:val="003046F0"/>
    <w:rsid w:val="00306307"/>
    <w:rsid w:val="00307CE5"/>
    <w:rsid w:val="0031520E"/>
    <w:rsid w:val="00324371"/>
    <w:rsid w:val="00334085"/>
    <w:rsid w:val="00343CC9"/>
    <w:rsid w:val="00351AC8"/>
    <w:rsid w:val="003579BD"/>
    <w:rsid w:val="00363CA9"/>
    <w:rsid w:val="00367836"/>
    <w:rsid w:val="0037123E"/>
    <w:rsid w:val="003717C9"/>
    <w:rsid w:val="003731B9"/>
    <w:rsid w:val="00373F1D"/>
    <w:rsid w:val="0037452C"/>
    <w:rsid w:val="00377C88"/>
    <w:rsid w:val="00377F02"/>
    <w:rsid w:val="0038143C"/>
    <w:rsid w:val="003A0523"/>
    <w:rsid w:val="003A128B"/>
    <w:rsid w:val="003A21EA"/>
    <w:rsid w:val="003A779C"/>
    <w:rsid w:val="003B145F"/>
    <w:rsid w:val="003B7FA2"/>
    <w:rsid w:val="003E6828"/>
    <w:rsid w:val="003F0969"/>
    <w:rsid w:val="003F471C"/>
    <w:rsid w:val="004014CB"/>
    <w:rsid w:val="0040591B"/>
    <w:rsid w:val="0041467A"/>
    <w:rsid w:val="00423830"/>
    <w:rsid w:val="004378E8"/>
    <w:rsid w:val="00440BC8"/>
    <w:rsid w:val="00443649"/>
    <w:rsid w:val="0044399D"/>
    <w:rsid w:val="004440A2"/>
    <w:rsid w:val="004518F6"/>
    <w:rsid w:val="004535A4"/>
    <w:rsid w:val="00477783"/>
    <w:rsid w:val="004845E0"/>
    <w:rsid w:val="0048760A"/>
    <w:rsid w:val="00492913"/>
    <w:rsid w:val="004942F6"/>
    <w:rsid w:val="004A6CC1"/>
    <w:rsid w:val="004B28B7"/>
    <w:rsid w:val="004B368D"/>
    <w:rsid w:val="004B57F3"/>
    <w:rsid w:val="004D17ED"/>
    <w:rsid w:val="004E420D"/>
    <w:rsid w:val="005132E5"/>
    <w:rsid w:val="005243E3"/>
    <w:rsid w:val="00525F48"/>
    <w:rsid w:val="005317F8"/>
    <w:rsid w:val="005363DD"/>
    <w:rsid w:val="00545BA3"/>
    <w:rsid w:val="00546D2C"/>
    <w:rsid w:val="00554E9C"/>
    <w:rsid w:val="00555074"/>
    <w:rsid w:val="005559D9"/>
    <w:rsid w:val="00560222"/>
    <w:rsid w:val="00563001"/>
    <w:rsid w:val="00577711"/>
    <w:rsid w:val="00582EA7"/>
    <w:rsid w:val="0058606E"/>
    <w:rsid w:val="00590D07"/>
    <w:rsid w:val="005950A6"/>
    <w:rsid w:val="005958F2"/>
    <w:rsid w:val="00597F47"/>
    <w:rsid w:val="005B2223"/>
    <w:rsid w:val="005D3B9F"/>
    <w:rsid w:val="005D3D35"/>
    <w:rsid w:val="005E2D49"/>
    <w:rsid w:val="005E44CE"/>
    <w:rsid w:val="006140C0"/>
    <w:rsid w:val="00620375"/>
    <w:rsid w:val="00622810"/>
    <w:rsid w:val="006306C9"/>
    <w:rsid w:val="006339A0"/>
    <w:rsid w:val="00640014"/>
    <w:rsid w:val="00644953"/>
    <w:rsid w:val="00660E5F"/>
    <w:rsid w:val="00672B8B"/>
    <w:rsid w:val="00673303"/>
    <w:rsid w:val="006744E6"/>
    <w:rsid w:val="00676929"/>
    <w:rsid w:val="00680D2D"/>
    <w:rsid w:val="006819B0"/>
    <w:rsid w:val="00686753"/>
    <w:rsid w:val="006A2250"/>
    <w:rsid w:val="006C1FB8"/>
    <w:rsid w:val="006C407C"/>
    <w:rsid w:val="006D1FA2"/>
    <w:rsid w:val="006D2458"/>
    <w:rsid w:val="006D6C7B"/>
    <w:rsid w:val="006F544C"/>
    <w:rsid w:val="007074DE"/>
    <w:rsid w:val="007220BE"/>
    <w:rsid w:val="00737F49"/>
    <w:rsid w:val="00740786"/>
    <w:rsid w:val="0074188F"/>
    <w:rsid w:val="00760E80"/>
    <w:rsid w:val="00761961"/>
    <w:rsid w:val="00766D1F"/>
    <w:rsid w:val="00771B0E"/>
    <w:rsid w:val="00783974"/>
    <w:rsid w:val="00783D9C"/>
    <w:rsid w:val="00790152"/>
    <w:rsid w:val="007A21D3"/>
    <w:rsid w:val="007B45B9"/>
    <w:rsid w:val="007C3953"/>
    <w:rsid w:val="007D28E6"/>
    <w:rsid w:val="007D54FF"/>
    <w:rsid w:val="007E44CF"/>
    <w:rsid w:val="007E53A8"/>
    <w:rsid w:val="007E5F4D"/>
    <w:rsid w:val="007F366E"/>
    <w:rsid w:val="00801FF3"/>
    <w:rsid w:val="0080616C"/>
    <w:rsid w:val="008067DF"/>
    <w:rsid w:val="0080749B"/>
    <w:rsid w:val="0081034D"/>
    <w:rsid w:val="00813CF6"/>
    <w:rsid w:val="0081671E"/>
    <w:rsid w:val="00832071"/>
    <w:rsid w:val="008348B7"/>
    <w:rsid w:val="008357B6"/>
    <w:rsid w:val="00836F81"/>
    <w:rsid w:val="00842851"/>
    <w:rsid w:val="0084791E"/>
    <w:rsid w:val="0085124D"/>
    <w:rsid w:val="0086178A"/>
    <w:rsid w:val="008619D3"/>
    <w:rsid w:val="00871DCD"/>
    <w:rsid w:val="00874284"/>
    <w:rsid w:val="00874CFF"/>
    <w:rsid w:val="00876FB8"/>
    <w:rsid w:val="008772CA"/>
    <w:rsid w:val="00880305"/>
    <w:rsid w:val="008911F1"/>
    <w:rsid w:val="008B5992"/>
    <w:rsid w:val="008C6C9F"/>
    <w:rsid w:val="008D2C1F"/>
    <w:rsid w:val="008E18DB"/>
    <w:rsid w:val="008F2E4A"/>
    <w:rsid w:val="008F7A81"/>
    <w:rsid w:val="0090028B"/>
    <w:rsid w:val="00902F19"/>
    <w:rsid w:val="009126F6"/>
    <w:rsid w:val="00920A63"/>
    <w:rsid w:val="00923D37"/>
    <w:rsid w:val="00925481"/>
    <w:rsid w:val="0092659B"/>
    <w:rsid w:val="009401CC"/>
    <w:rsid w:val="0094065C"/>
    <w:rsid w:val="00942757"/>
    <w:rsid w:val="00946F08"/>
    <w:rsid w:val="00947E2E"/>
    <w:rsid w:val="0095076C"/>
    <w:rsid w:val="00952AF0"/>
    <w:rsid w:val="009602C6"/>
    <w:rsid w:val="00973036"/>
    <w:rsid w:val="00983AA2"/>
    <w:rsid w:val="009842E4"/>
    <w:rsid w:val="009874FB"/>
    <w:rsid w:val="00993F56"/>
    <w:rsid w:val="009948F8"/>
    <w:rsid w:val="009A3D52"/>
    <w:rsid w:val="009B5859"/>
    <w:rsid w:val="009C39E2"/>
    <w:rsid w:val="009D79CC"/>
    <w:rsid w:val="009E07A9"/>
    <w:rsid w:val="009F1222"/>
    <w:rsid w:val="009F1BFF"/>
    <w:rsid w:val="009F4949"/>
    <w:rsid w:val="009F4CBC"/>
    <w:rsid w:val="00A0032E"/>
    <w:rsid w:val="00A00DBD"/>
    <w:rsid w:val="00A14C1E"/>
    <w:rsid w:val="00A2337F"/>
    <w:rsid w:val="00A27B28"/>
    <w:rsid w:val="00A31F67"/>
    <w:rsid w:val="00A3619A"/>
    <w:rsid w:val="00A41A77"/>
    <w:rsid w:val="00A54896"/>
    <w:rsid w:val="00A655A6"/>
    <w:rsid w:val="00A7037D"/>
    <w:rsid w:val="00A71902"/>
    <w:rsid w:val="00A821D8"/>
    <w:rsid w:val="00A8585C"/>
    <w:rsid w:val="00A92321"/>
    <w:rsid w:val="00AA7466"/>
    <w:rsid w:val="00AB0789"/>
    <w:rsid w:val="00AB1FC9"/>
    <w:rsid w:val="00AE57D5"/>
    <w:rsid w:val="00AE710D"/>
    <w:rsid w:val="00AF4FA6"/>
    <w:rsid w:val="00AF6C58"/>
    <w:rsid w:val="00AF78CC"/>
    <w:rsid w:val="00B102DF"/>
    <w:rsid w:val="00B220C1"/>
    <w:rsid w:val="00B242C0"/>
    <w:rsid w:val="00B30B70"/>
    <w:rsid w:val="00B52D24"/>
    <w:rsid w:val="00B530A4"/>
    <w:rsid w:val="00B57C49"/>
    <w:rsid w:val="00B61631"/>
    <w:rsid w:val="00B65B0A"/>
    <w:rsid w:val="00B7079A"/>
    <w:rsid w:val="00B70D1A"/>
    <w:rsid w:val="00B75827"/>
    <w:rsid w:val="00B75C16"/>
    <w:rsid w:val="00B854E7"/>
    <w:rsid w:val="00B86FF2"/>
    <w:rsid w:val="00B92AC6"/>
    <w:rsid w:val="00B94CCA"/>
    <w:rsid w:val="00B958CC"/>
    <w:rsid w:val="00B96CEA"/>
    <w:rsid w:val="00BC2FB8"/>
    <w:rsid w:val="00BC4B9D"/>
    <w:rsid w:val="00BC6094"/>
    <w:rsid w:val="00BC61BF"/>
    <w:rsid w:val="00BD22FC"/>
    <w:rsid w:val="00BD23EA"/>
    <w:rsid w:val="00BD711E"/>
    <w:rsid w:val="00BE3BEA"/>
    <w:rsid w:val="00BE5D75"/>
    <w:rsid w:val="00BF23CB"/>
    <w:rsid w:val="00C05555"/>
    <w:rsid w:val="00C07E3F"/>
    <w:rsid w:val="00C169F3"/>
    <w:rsid w:val="00C25485"/>
    <w:rsid w:val="00C260A1"/>
    <w:rsid w:val="00C32E23"/>
    <w:rsid w:val="00C34608"/>
    <w:rsid w:val="00C37086"/>
    <w:rsid w:val="00C44CE3"/>
    <w:rsid w:val="00C5449C"/>
    <w:rsid w:val="00C60C5C"/>
    <w:rsid w:val="00C63124"/>
    <w:rsid w:val="00C64A3B"/>
    <w:rsid w:val="00C77E7B"/>
    <w:rsid w:val="00C8457A"/>
    <w:rsid w:val="00CA2A9E"/>
    <w:rsid w:val="00CB6E4F"/>
    <w:rsid w:val="00CC140B"/>
    <w:rsid w:val="00CC3C38"/>
    <w:rsid w:val="00CD1A3E"/>
    <w:rsid w:val="00CD373C"/>
    <w:rsid w:val="00CD6D75"/>
    <w:rsid w:val="00CE636E"/>
    <w:rsid w:val="00CE689C"/>
    <w:rsid w:val="00CE689F"/>
    <w:rsid w:val="00CF580E"/>
    <w:rsid w:val="00CF7EBD"/>
    <w:rsid w:val="00D0569E"/>
    <w:rsid w:val="00D1061D"/>
    <w:rsid w:val="00D16283"/>
    <w:rsid w:val="00D20C0C"/>
    <w:rsid w:val="00D24A2A"/>
    <w:rsid w:val="00D30531"/>
    <w:rsid w:val="00D307BA"/>
    <w:rsid w:val="00D30984"/>
    <w:rsid w:val="00D36191"/>
    <w:rsid w:val="00D40578"/>
    <w:rsid w:val="00D518A4"/>
    <w:rsid w:val="00D52304"/>
    <w:rsid w:val="00D532EE"/>
    <w:rsid w:val="00D56D8D"/>
    <w:rsid w:val="00D67409"/>
    <w:rsid w:val="00D67D08"/>
    <w:rsid w:val="00D738F0"/>
    <w:rsid w:val="00D76A3D"/>
    <w:rsid w:val="00D77A3F"/>
    <w:rsid w:val="00D81249"/>
    <w:rsid w:val="00D96F46"/>
    <w:rsid w:val="00DA050F"/>
    <w:rsid w:val="00DA12D6"/>
    <w:rsid w:val="00DA1DDB"/>
    <w:rsid w:val="00DA30E7"/>
    <w:rsid w:val="00DA5318"/>
    <w:rsid w:val="00DA56D5"/>
    <w:rsid w:val="00DD2C28"/>
    <w:rsid w:val="00DD748F"/>
    <w:rsid w:val="00DE5ADA"/>
    <w:rsid w:val="00DF0496"/>
    <w:rsid w:val="00E062F3"/>
    <w:rsid w:val="00E2207D"/>
    <w:rsid w:val="00E2772A"/>
    <w:rsid w:val="00E27894"/>
    <w:rsid w:val="00E362D1"/>
    <w:rsid w:val="00E40493"/>
    <w:rsid w:val="00E43A89"/>
    <w:rsid w:val="00E44733"/>
    <w:rsid w:val="00E5476D"/>
    <w:rsid w:val="00E54AB1"/>
    <w:rsid w:val="00E92CBA"/>
    <w:rsid w:val="00E93AE4"/>
    <w:rsid w:val="00E960C8"/>
    <w:rsid w:val="00EA5579"/>
    <w:rsid w:val="00EB1603"/>
    <w:rsid w:val="00EB1B10"/>
    <w:rsid w:val="00EB461E"/>
    <w:rsid w:val="00ED15B8"/>
    <w:rsid w:val="00ED414F"/>
    <w:rsid w:val="00EE1FAA"/>
    <w:rsid w:val="00EE6CE2"/>
    <w:rsid w:val="00EF1CA8"/>
    <w:rsid w:val="00EF20E5"/>
    <w:rsid w:val="00EF3820"/>
    <w:rsid w:val="00F014E3"/>
    <w:rsid w:val="00F06432"/>
    <w:rsid w:val="00F11884"/>
    <w:rsid w:val="00F27050"/>
    <w:rsid w:val="00F41F04"/>
    <w:rsid w:val="00F44338"/>
    <w:rsid w:val="00F45052"/>
    <w:rsid w:val="00F57118"/>
    <w:rsid w:val="00F612A9"/>
    <w:rsid w:val="00F6682D"/>
    <w:rsid w:val="00F74042"/>
    <w:rsid w:val="00F75AA1"/>
    <w:rsid w:val="00F824C7"/>
    <w:rsid w:val="00F84928"/>
    <w:rsid w:val="00F9005E"/>
    <w:rsid w:val="00FA5B0D"/>
    <w:rsid w:val="00FA6AD2"/>
    <w:rsid w:val="00FC3B66"/>
    <w:rsid w:val="00FC4D37"/>
    <w:rsid w:val="00FE363D"/>
    <w:rsid w:val="00FE54F2"/>
    <w:rsid w:val="00FF27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8"/>
    <w:pPr>
      <w:spacing w:line="288" w:lineRule="auto"/>
    </w:pPr>
    <w:rPr>
      <w:rFonts w:ascii="Georgia" w:hAnsi="Georgia"/>
      <w:sz w:val="21"/>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5317F8"/>
    <w:pPr>
      <w:keepNext/>
      <w:spacing w:before="360" w:after="120"/>
      <w:outlineLvl w:val="1"/>
    </w:pPr>
    <w:rPr>
      <w:rFonts w:cs="Arial"/>
      <w:b/>
      <w:bCs/>
      <w:iCs/>
      <w:sz w:val="32"/>
      <w:szCs w:val="28"/>
    </w:rPr>
  </w:style>
  <w:style w:type="paragraph" w:styleId="Heading3">
    <w:name w:val="heading 3"/>
    <w:basedOn w:val="Normal"/>
    <w:next w:val="Normal"/>
    <w:qFormat/>
    <w:rsid w:val="00276744"/>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5317F8"/>
    <w:pPr>
      <w:keepNext/>
      <w:spacing w:before="120" w:after="12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F84928"/>
    <w:pPr>
      <w:spacing w:before="60" w:line="276" w:lineRule="auto"/>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5"/>
      </w:numPr>
      <w:spacing w:before="9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115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C2"/>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4378E8"/>
    <w:rPr>
      <w:rFonts w:ascii="Georgia" w:hAnsi="Georgia"/>
      <w:sz w:val="21"/>
      <w:szCs w:val="24"/>
      <w:lang w:eastAsia="en-US"/>
    </w:rPr>
  </w:style>
  <w:style w:type="character" w:customStyle="1" w:styleId="Heading4Char">
    <w:name w:val="Heading 4 Char"/>
    <w:basedOn w:val="DefaultParagraphFont"/>
    <w:link w:val="Heading4"/>
    <w:uiPriority w:val="9"/>
    <w:rsid w:val="005317F8"/>
    <w:rPr>
      <w:rFonts w:ascii="Georgia" w:eastAsiaTheme="majorEastAsia" w:hAnsi="Georgia" w:cstheme="majorBidi"/>
      <w:b/>
      <w:bCs/>
      <w:iCs/>
      <w:sz w:val="22"/>
      <w:szCs w:val="24"/>
      <w:lang w:eastAsia="en-US"/>
    </w:rPr>
  </w:style>
  <w:style w:type="character" w:customStyle="1" w:styleId="FootnoteTextChar">
    <w:name w:val="Footnote Text Char"/>
    <w:link w:val="FootnoteText"/>
    <w:uiPriority w:val="99"/>
    <w:semiHidden/>
    <w:rsid w:val="00F84928"/>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styleId="FollowedHyperlink">
    <w:name w:val="FollowedHyperlink"/>
    <w:basedOn w:val="DefaultParagraphFont"/>
    <w:uiPriority w:val="99"/>
    <w:semiHidden/>
    <w:unhideWhenUsed/>
    <w:rsid w:val="001158C2"/>
    <w:rPr>
      <w:color w:val="800080" w:themeColor="followedHyperlink"/>
      <w:u w:val="single"/>
    </w:rPr>
  </w:style>
  <w:style w:type="paragraph" w:styleId="ListParagraph">
    <w:name w:val="List Paragraph"/>
    <w:basedOn w:val="Normal"/>
    <w:uiPriority w:val="34"/>
    <w:qFormat/>
    <w:rsid w:val="005317F8"/>
    <w:pPr>
      <w:spacing w:after="200"/>
      <w:ind w:left="720"/>
      <w:contextualSpacing/>
    </w:pPr>
    <w:rPr>
      <w:rFonts w:ascii="Arial" w:eastAsiaTheme="minorHAnsi" w:hAnsi="Arial" w:cstheme="minorBidi"/>
      <w:sz w:val="24"/>
      <w:szCs w:val="22"/>
    </w:rPr>
  </w:style>
  <w:style w:type="character" w:styleId="CommentReference">
    <w:name w:val="annotation reference"/>
    <w:basedOn w:val="DefaultParagraphFont"/>
    <w:uiPriority w:val="99"/>
    <w:semiHidden/>
    <w:unhideWhenUsed/>
    <w:rsid w:val="004942F6"/>
    <w:rPr>
      <w:sz w:val="16"/>
      <w:szCs w:val="16"/>
    </w:rPr>
  </w:style>
  <w:style w:type="paragraph" w:styleId="CommentText">
    <w:name w:val="annotation text"/>
    <w:basedOn w:val="Normal"/>
    <w:link w:val="CommentTextChar"/>
    <w:uiPriority w:val="99"/>
    <w:semiHidden/>
    <w:unhideWhenUsed/>
    <w:rsid w:val="004942F6"/>
    <w:pPr>
      <w:spacing w:line="240" w:lineRule="auto"/>
    </w:pPr>
    <w:rPr>
      <w:sz w:val="20"/>
      <w:szCs w:val="20"/>
    </w:rPr>
  </w:style>
  <w:style w:type="character" w:customStyle="1" w:styleId="CommentTextChar">
    <w:name w:val="Comment Text Char"/>
    <w:basedOn w:val="DefaultParagraphFont"/>
    <w:link w:val="CommentText"/>
    <w:uiPriority w:val="99"/>
    <w:semiHidden/>
    <w:rsid w:val="004942F6"/>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942F6"/>
    <w:rPr>
      <w:b/>
      <w:bCs/>
    </w:rPr>
  </w:style>
  <w:style w:type="character" w:customStyle="1" w:styleId="CommentSubjectChar">
    <w:name w:val="Comment Subject Char"/>
    <w:basedOn w:val="CommentTextChar"/>
    <w:link w:val="CommentSubject"/>
    <w:uiPriority w:val="99"/>
    <w:semiHidden/>
    <w:rsid w:val="004942F6"/>
    <w:rPr>
      <w:rFonts w:ascii="Georgia" w:hAnsi="Georgia"/>
      <w:b/>
      <w:bCs/>
      <w:lang w:eastAsia="en-US"/>
    </w:rPr>
  </w:style>
  <w:style w:type="paragraph" w:styleId="Revision">
    <w:name w:val="Revision"/>
    <w:hidden/>
    <w:uiPriority w:val="99"/>
    <w:semiHidden/>
    <w:rsid w:val="004942F6"/>
    <w:rPr>
      <w:rFonts w:ascii="Georgia" w:hAnsi="Georgia"/>
      <w:sz w:val="21"/>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928"/>
    <w:pPr>
      <w:spacing w:line="288" w:lineRule="auto"/>
    </w:pPr>
    <w:rPr>
      <w:rFonts w:ascii="Georgia" w:hAnsi="Georgia"/>
      <w:sz w:val="21"/>
      <w:szCs w:val="24"/>
      <w:lang w:eastAsia="en-US"/>
    </w:rPr>
  </w:style>
  <w:style w:type="paragraph" w:styleId="Heading1">
    <w:name w:val="heading 1"/>
    <w:basedOn w:val="Normal"/>
    <w:next w:val="Normal"/>
    <w:qFormat/>
    <w:rsid w:val="00324371"/>
    <w:pPr>
      <w:spacing w:after="240"/>
      <w:ind w:left="851" w:hanging="851"/>
      <w:outlineLvl w:val="0"/>
    </w:pPr>
    <w:rPr>
      <w:rFonts w:cs="Arial"/>
      <w:b/>
      <w:bCs/>
      <w:sz w:val="56"/>
      <w:szCs w:val="48"/>
    </w:rPr>
  </w:style>
  <w:style w:type="paragraph" w:styleId="Heading2">
    <w:name w:val="heading 2"/>
    <w:basedOn w:val="Normal"/>
    <w:next w:val="Normal"/>
    <w:qFormat/>
    <w:rsid w:val="005317F8"/>
    <w:pPr>
      <w:keepNext/>
      <w:spacing w:before="360" w:after="120"/>
      <w:outlineLvl w:val="1"/>
    </w:pPr>
    <w:rPr>
      <w:rFonts w:cs="Arial"/>
      <w:b/>
      <w:bCs/>
      <w:iCs/>
      <w:sz w:val="32"/>
      <w:szCs w:val="28"/>
    </w:rPr>
  </w:style>
  <w:style w:type="paragraph" w:styleId="Heading3">
    <w:name w:val="heading 3"/>
    <w:basedOn w:val="Normal"/>
    <w:next w:val="Normal"/>
    <w:qFormat/>
    <w:rsid w:val="00276744"/>
    <w:pPr>
      <w:keepNext/>
      <w:spacing w:before="240" w:after="120"/>
      <w:outlineLvl w:val="2"/>
    </w:pPr>
    <w:rPr>
      <w:rFonts w:cs="Arial"/>
      <w:b/>
      <w:bCs/>
      <w:sz w:val="26"/>
      <w:szCs w:val="26"/>
    </w:rPr>
  </w:style>
  <w:style w:type="paragraph" w:styleId="Heading4">
    <w:name w:val="heading 4"/>
    <w:basedOn w:val="Normal"/>
    <w:next w:val="Normal"/>
    <w:link w:val="Heading4Char"/>
    <w:uiPriority w:val="9"/>
    <w:unhideWhenUsed/>
    <w:qFormat/>
    <w:rsid w:val="005317F8"/>
    <w:pPr>
      <w:keepNext/>
      <w:spacing w:before="120" w:after="120"/>
      <w:outlineLvl w:val="3"/>
    </w:pPr>
    <w:rPr>
      <w:rFonts w:eastAsiaTheme="majorEastAsia" w:cstheme="majorBidi"/>
      <w:b/>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6FB8"/>
    <w:rPr>
      <w:color w:val="auto"/>
      <w:u w:val="none"/>
    </w:rPr>
  </w:style>
  <w:style w:type="paragraph" w:styleId="FootnoteText">
    <w:name w:val="footnote text"/>
    <w:basedOn w:val="Normal"/>
    <w:link w:val="FootnoteTextChar"/>
    <w:uiPriority w:val="99"/>
    <w:semiHidden/>
    <w:rsid w:val="00F84928"/>
    <w:pPr>
      <w:spacing w:before="60" w:line="276" w:lineRule="auto"/>
      <w:ind w:left="284" w:hanging="284"/>
    </w:pPr>
    <w:rPr>
      <w:sz w:val="18"/>
      <w:szCs w:val="20"/>
    </w:rPr>
  </w:style>
  <w:style w:type="character" w:styleId="FootnoteReference">
    <w:name w:val="footnote reference"/>
    <w:uiPriority w:val="99"/>
    <w:semiHidden/>
    <w:rsid w:val="00240554"/>
    <w:rPr>
      <w:vertAlign w:val="superscript"/>
    </w:rPr>
  </w:style>
  <w:style w:type="paragraph" w:styleId="Header">
    <w:name w:val="header"/>
    <w:basedOn w:val="Normal"/>
    <w:rsid w:val="0074188F"/>
  </w:style>
  <w:style w:type="paragraph" w:styleId="Footer">
    <w:name w:val="footer"/>
    <w:basedOn w:val="Normal"/>
    <w:rsid w:val="0092659B"/>
    <w:pPr>
      <w:tabs>
        <w:tab w:val="right" w:pos="8647"/>
        <w:tab w:val="right" w:pos="9356"/>
      </w:tabs>
    </w:pPr>
    <w:rPr>
      <w:sz w:val="20"/>
    </w:rPr>
  </w:style>
  <w:style w:type="table" w:styleId="TableGrid">
    <w:name w:val="Table Grid"/>
    <w:basedOn w:val="TableNormal"/>
    <w:rsid w:val="005777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
    <w:name w:val="Figure"/>
    <w:basedOn w:val="Normal"/>
    <w:next w:val="Normal"/>
    <w:rsid w:val="00C63124"/>
    <w:pPr>
      <w:keepNext/>
      <w:spacing w:before="120" w:after="120"/>
    </w:pPr>
    <w:rPr>
      <w:b/>
    </w:rPr>
  </w:style>
  <w:style w:type="paragraph" w:customStyle="1" w:styleId="Note">
    <w:name w:val="Note"/>
    <w:basedOn w:val="Normal"/>
    <w:link w:val="NoteChar"/>
    <w:qFormat/>
    <w:rsid w:val="00D76A3D"/>
    <w:pPr>
      <w:pBdr>
        <w:bottom w:val="single" w:sz="18" w:space="6" w:color="808080"/>
      </w:pBdr>
      <w:spacing w:before="60"/>
      <w:ind w:left="284" w:hanging="284"/>
    </w:pPr>
    <w:rPr>
      <w:rFonts w:ascii="Arial" w:hAnsi="Arial"/>
      <w:sz w:val="18"/>
      <w:szCs w:val="22"/>
      <w:lang w:eastAsia="en-GB"/>
    </w:rPr>
  </w:style>
  <w:style w:type="paragraph" w:customStyle="1" w:styleId="Bullet">
    <w:name w:val="Bullet"/>
    <w:basedOn w:val="Normal"/>
    <w:link w:val="BulletChar"/>
    <w:qFormat/>
    <w:rsid w:val="004378E8"/>
    <w:pPr>
      <w:numPr>
        <w:numId w:val="15"/>
      </w:numPr>
      <w:spacing w:before="90"/>
    </w:pPr>
  </w:style>
  <w:style w:type="character" w:styleId="PageNumber">
    <w:name w:val="page number"/>
    <w:rsid w:val="0092659B"/>
    <w:rPr>
      <w:color w:val="auto"/>
      <w:sz w:val="24"/>
    </w:rPr>
  </w:style>
  <w:style w:type="paragraph" w:customStyle="1" w:styleId="TableText">
    <w:name w:val="TableText"/>
    <w:basedOn w:val="Normal"/>
    <w:rsid w:val="00952AF0"/>
    <w:pPr>
      <w:spacing w:before="80" w:after="80"/>
    </w:pPr>
    <w:rPr>
      <w:sz w:val="18"/>
    </w:rPr>
  </w:style>
  <w:style w:type="paragraph" w:customStyle="1" w:styleId="Source">
    <w:name w:val="Source"/>
    <w:basedOn w:val="Normal"/>
    <w:next w:val="Normal"/>
    <w:rsid w:val="002222BC"/>
    <w:pPr>
      <w:pBdr>
        <w:bottom w:val="single" w:sz="18" w:space="6" w:color="808080"/>
      </w:pBdr>
    </w:pPr>
    <w:rPr>
      <w:rFonts w:ascii="Arial" w:hAnsi="Arial"/>
      <w:sz w:val="18"/>
    </w:rPr>
  </w:style>
  <w:style w:type="paragraph" w:customStyle="1" w:styleId="References">
    <w:name w:val="References"/>
    <w:basedOn w:val="Normal"/>
    <w:rsid w:val="000D0170"/>
    <w:pPr>
      <w:spacing w:after="120"/>
    </w:pPr>
    <w:rPr>
      <w:sz w:val="18"/>
    </w:rPr>
  </w:style>
  <w:style w:type="paragraph" w:styleId="BalloonText">
    <w:name w:val="Balloon Text"/>
    <w:basedOn w:val="Normal"/>
    <w:link w:val="BalloonTextChar"/>
    <w:uiPriority w:val="99"/>
    <w:semiHidden/>
    <w:unhideWhenUsed/>
    <w:rsid w:val="001158C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58C2"/>
    <w:rPr>
      <w:rFonts w:ascii="Tahoma" w:hAnsi="Tahoma" w:cs="Tahoma"/>
      <w:sz w:val="16"/>
      <w:szCs w:val="16"/>
      <w:lang w:eastAsia="en-US"/>
    </w:rPr>
  </w:style>
  <w:style w:type="paragraph" w:customStyle="1" w:styleId="BoxHeading">
    <w:name w:val="BoxHeading"/>
    <w:basedOn w:val="Normal"/>
    <w:qFormat/>
    <w:rsid w:val="0092659B"/>
    <w:pPr>
      <w:pBdr>
        <w:top w:val="single" w:sz="4" w:space="12" w:color="auto"/>
        <w:left w:val="single" w:sz="4" w:space="12" w:color="auto"/>
        <w:bottom w:val="single" w:sz="4" w:space="12" w:color="auto"/>
        <w:right w:val="single" w:sz="4" w:space="12" w:color="auto"/>
      </w:pBdr>
      <w:spacing w:before="120" w:after="120" w:line="264" w:lineRule="auto"/>
      <w:ind w:left="284" w:right="284"/>
    </w:pPr>
    <w:rPr>
      <w:b/>
      <w:sz w:val="28"/>
      <w:szCs w:val="20"/>
      <w:lang w:eastAsia="en-GB"/>
    </w:rPr>
  </w:style>
  <w:style w:type="paragraph" w:customStyle="1" w:styleId="BoxBullet">
    <w:name w:val="BoxBullet"/>
    <w:basedOn w:val="Normal"/>
    <w:qFormat/>
    <w:rsid w:val="0092659B"/>
    <w:pPr>
      <w:numPr>
        <w:numId w:val="29"/>
      </w:numPr>
      <w:pBdr>
        <w:top w:val="single" w:sz="4" w:space="12" w:color="auto"/>
        <w:left w:val="single" w:sz="4" w:space="12" w:color="auto"/>
        <w:bottom w:val="single" w:sz="4" w:space="12" w:color="auto"/>
        <w:right w:val="single" w:sz="4" w:space="12" w:color="auto"/>
      </w:pBdr>
      <w:tabs>
        <w:tab w:val="clear" w:pos="360"/>
        <w:tab w:val="num" w:pos="567"/>
      </w:tabs>
      <w:spacing w:before="120" w:after="120" w:line="264" w:lineRule="auto"/>
      <w:ind w:left="567" w:right="284" w:hanging="283"/>
    </w:pPr>
    <w:rPr>
      <w:sz w:val="22"/>
      <w:szCs w:val="20"/>
      <w:lang w:eastAsia="en-GB"/>
    </w:rPr>
  </w:style>
  <w:style w:type="character" w:customStyle="1" w:styleId="BulletChar">
    <w:name w:val="Bullet Char"/>
    <w:link w:val="Bullet"/>
    <w:locked/>
    <w:rsid w:val="004378E8"/>
    <w:rPr>
      <w:rFonts w:ascii="Georgia" w:hAnsi="Georgia"/>
      <w:sz w:val="21"/>
      <w:szCs w:val="24"/>
      <w:lang w:eastAsia="en-US"/>
    </w:rPr>
  </w:style>
  <w:style w:type="character" w:customStyle="1" w:styleId="Heading4Char">
    <w:name w:val="Heading 4 Char"/>
    <w:basedOn w:val="DefaultParagraphFont"/>
    <w:link w:val="Heading4"/>
    <w:uiPriority w:val="9"/>
    <w:rsid w:val="005317F8"/>
    <w:rPr>
      <w:rFonts w:ascii="Georgia" w:eastAsiaTheme="majorEastAsia" w:hAnsi="Georgia" w:cstheme="majorBidi"/>
      <w:b/>
      <w:bCs/>
      <w:iCs/>
      <w:sz w:val="22"/>
      <w:szCs w:val="24"/>
      <w:lang w:eastAsia="en-US"/>
    </w:rPr>
  </w:style>
  <w:style w:type="character" w:customStyle="1" w:styleId="FootnoteTextChar">
    <w:name w:val="Footnote Text Char"/>
    <w:link w:val="FootnoteText"/>
    <w:uiPriority w:val="99"/>
    <w:semiHidden/>
    <w:rsid w:val="00F84928"/>
    <w:rPr>
      <w:rFonts w:ascii="Georgia" w:hAnsi="Georgia"/>
      <w:sz w:val="18"/>
      <w:lang w:eastAsia="en-US"/>
    </w:rPr>
  </w:style>
  <w:style w:type="paragraph" w:styleId="TOC1">
    <w:name w:val="toc 1"/>
    <w:basedOn w:val="Normal"/>
    <w:next w:val="Normal"/>
    <w:uiPriority w:val="39"/>
    <w:unhideWhenUsed/>
    <w:qFormat/>
    <w:rsid w:val="008911F1"/>
    <w:pPr>
      <w:tabs>
        <w:tab w:val="left" w:pos="567"/>
        <w:tab w:val="right" w:pos="9356"/>
      </w:tabs>
      <w:spacing w:before="240"/>
      <w:ind w:left="567" w:right="567" w:hanging="567"/>
    </w:pPr>
    <w:rPr>
      <w:sz w:val="22"/>
      <w:szCs w:val="22"/>
      <w:lang w:eastAsia="en-AU"/>
    </w:rPr>
  </w:style>
  <w:style w:type="paragraph" w:styleId="TOC2">
    <w:name w:val="toc 2"/>
    <w:basedOn w:val="Normal"/>
    <w:next w:val="Normal"/>
    <w:uiPriority w:val="39"/>
    <w:unhideWhenUsed/>
    <w:qFormat/>
    <w:rsid w:val="008911F1"/>
    <w:pPr>
      <w:tabs>
        <w:tab w:val="left" w:pos="1134"/>
        <w:tab w:val="right" w:pos="9356"/>
      </w:tabs>
      <w:spacing w:before="120"/>
      <w:ind w:left="1134" w:right="567" w:hanging="567"/>
    </w:pPr>
    <w:rPr>
      <w:sz w:val="22"/>
      <w:szCs w:val="22"/>
      <w:lang w:eastAsia="en-AU"/>
    </w:rPr>
  </w:style>
  <w:style w:type="paragraph" w:customStyle="1" w:styleId="Dash">
    <w:name w:val="Dash"/>
    <w:basedOn w:val="Normal"/>
    <w:link w:val="DashChar"/>
    <w:qFormat/>
    <w:rsid w:val="00EE6CE2"/>
    <w:pPr>
      <w:numPr>
        <w:numId w:val="33"/>
      </w:numPr>
      <w:spacing w:before="60"/>
      <w:ind w:left="568" w:hanging="284"/>
    </w:pPr>
    <w:rPr>
      <w:rFonts w:eastAsia="Calibri" w:cs="Arial Mäori"/>
      <w:szCs w:val="22"/>
      <w:lang w:eastAsia="en-NZ"/>
    </w:rPr>
  </w:style>
  <w:style w:type="character" w:customStyle="1" w:styleId="DashChar">
    <w:name w:val="Dash Char"/>
    <w:link w:val="Dash"/>
    <w:rsid w:val="00EE6CE2"/>
    <w:rPr>
      <w:rFonts w:ascii="Georgia" w:eastAsia="Calibri" w:hAnsi="Georgia" w:cs="Arial Mäori"/>
      <w:sz w:val="21"/>
      <w:szCs w:val="22"/>
    </w:rPr>
  </w:style>
  <w:style w:type="paragraph" w:customStyle="1" w:styleId="Box">
    <w:name w:val="Box"/>
    <w:basedOn w:val="BoxHeading"/>
    <w:link w:val="BoxChar"/>
    <w:qFormat/>
    <w:rsid w:val="00EB461E"/>
    <w:pPr>
      <w:spacing w:line="276" w:lineRule="auto"/>
    </w:pPr>
    <w:rPr>
      <w:rFonts w:eastAsia="Calibri"/>
      <w:b w:val="0"/>
      <w:sz w:val="22"/>
      <w:szCs w:val="22"/>
      <w:lang w:eastAsia="en-NZ"/>
    </w:rPr>
  </w:style>
  <w:style w:type="character" w:customStyle="1" w:styleId="BoxChar">
    <w:name w:val="Box Char"/>
    <w:link w:val="Box"/>
    <w:rsid w:val="00EB461E"/>
    <w:rPr>
      <w:rFonts w:ascii="Georgia" w:eastAsia="Calibri" w:hAnsi="Georgia"/>
      <w:sz w:val="22"/>
      <w:szCs w:val="22"/>
    </w:rPr>
  </w:style>
  <w:style w:type="character" w:customStyle="1" w:styleId="NoteChar">
    <w:name w:val="Note Char"/>
    <w:link w:val="Note"/>
    <w:rsid w:val="00EB461E"/>
    <w:rPr>
      <w:rFonts w:ascii="Arial" w:hAnsi="Arial"/>
      <w:sz w:val="18"/>
      <w:szCs w:val="22"/>
      <w:lang w:eastAsia="en-GB"/>
    </w:rPr>
  </w:style>
  <w:style w:type="paragraph" w:customStyle="1" w:styleId="Table">
    <w:name w:val="Table"/>
    <w:basedOn w:val="Normal"/>
    <w:qFormat/>
    <w:rsid w:val="00E062F3"/>
    <w:pPr>
      <w:keepNext/>
      <w:spacing w:before="120" w:after="120"/>
    </w:pPr>
    <w:rPr>
      <w:b/>
    </w:rPr>
  </w:style>
  <w:style w:type="paragraph" w:customStyle="1" w:styleId="TableBullet">
    <w:name w:val="TableBullet"/>
    <w:basedOn w:val="TableText"/>
    <w:qFormat/>
    <w:rsid w:val="00CE689C"/>
    <w:pPr>
      <w:numPr>
        <w:numId w:val="43"/>
      </w:numPr>
      <w:spacing w:before="0"/>
      <w:ind w:left="284" w:hanging="284"/>
    </w:pPr>
    <w:rPr>
      <w:szCs w:val="20"/>
    </w:rPr>
  </w:style>
  <w:style w:type="paragraph" w:styleId="Title">
    <w:name w:val="Title"/>
    <w:basedOn w:val="Normal"/>
    <w:next w:val="Normal"/>
    <w:link w:val="TitleChar"/>
    <w:uiPriority w:val="10"/>
    <w:qFormat/>
    <w:rsid w:val="00783D9C"/>
    <w:rPr>
      <w:rFonts w:eastAsiaTheme="majorEastAsia" w:cstheme="majorBidi"/>
      <w:b/>
      <w:sz w:val="44"/>
      <w:szCs w:val="52"/>
    </w:rPr>
  </w:style>
  <w:style w:type="character" w:customStyle="1" w:styleId="TitleChar">
    <w:name w:val="Title Char"/>
    <w:basedOn w:val="DefaultParagraphFont"/>
    <w:link w:val="Title"/>
    <w:uiPriority w:val="10"/>
    <w:rsid w:val="00783D9C"/>
    <w:rPr>
      <w:rFonts w:ascii="Georgia" w:eastAsiaTheme="majorEastAsia" w:hAnsi="Georgia" w:cstheme="majorBidi"/>
      <w:b/>
      <w:sz w:val="44"/>
      <w:szCs w:val="52"/>
      <w:lang w:eastAsia="en-US"/>
    </w:rPr>
  </w:style>
  <w:style w:type="character" w:styleId="FollowedHyperlink">
    <w:name w:val="FollowedHyperlink"/>
    <w:basedOn w:val="DefaultParagraphFont"/>
    <w:uiPriority w:val="99"/>
    <w:semiHidden/>
    <w:unhideWhenUsed/>
    <w:rsid w:val="001158C2"/>
    <w:rPr>
      <w:color w:val="800080" w:themeColor="followedHyperlink"/>
      <w:u w:val="single"/>
    </w:rPr>
  </w:style>
  <w:style w:type="paragraph" w:styleId="ListParagraph">
    <w:name w:val="List Paragraph"/>
    <w:basedOn w:val="Normal"/>
    <w:uiPriority w:val="34"/>
    <w:qFormat/>
    <w:rsid w:val="005317F8"/>
    <w:pPr>
      <w:spacing w:after="200"/>
      <w:ind w:left="720"/>
      <w:contextualSpacing/>
    </w:pPr>
    <w:rPr>
      <w:rFonts w:ascii="Arial" w:eastAsiaTheme="minorHAnsi" w:hAnsi="Arial" w:cstheme="minorBidi"/>
      <w:sz w:val="24"/>
      <w:szCs w:val="22"/>
    </w:rPr>
  </w:style>
  <w:style w:type="character" w:styleId="CommentReference">
    <w:name w:val="annotation reference"/>
    <w:basedOn w:val="DefaultParagraphFont"/>
    <w:uiPriority w:val="99"/>
    <w:semiHidden/>
    <w:unhideWhenUsed/>
    <w:rsid w:val="004942F6"/>
    <w:rPr>
      <w:sz w:val="16"/>
      <w:szCs w:val="16"/>
    </w:rPr>
  </w:style>
  <w:style w:type="paragraph" w:styleId="CommentText">
    <w:name w:val="annotation text"/>
    <w:basedOn w:val="Normal"/>
    <w:link w:val="CommentTextChar"/>
    <w:uiPriority w:val="99"/>
    <w:semiHidden/>
    <w:unhideWhenUsed/>
    <w:rsid w:val="004942F6"/>
    <w:pPr>
      <w:spacing w:line="240" w:lineRule="auto"/>
    </w:pPr>
    <w:rPr>
      <w:sz w:val="20"/>
      <w:szCs w:val="20"/>
    </w:rPr>
  </w:style>
  <w:style w:type="character" w:customStyle="1" w:styleId="CommentTextChar">
    <w:name w:val="Comment Text Char"/>
    <w:basedOn w:val="DefaultParagraphFont"/>
    <w:link w:val="CommentText"/>
    <w:uiPriority w:val="99"/>
    <w:semiHidden/>
    <w:rsid w:val="004942F6"/>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4942F6"/>
    <w:rPr>
      <w:b/>
      <w:bCs/>
    </w:rPr>
  </w:style>
  <w:style w:type="character" w:customStyle="1" w:styleId="CommentSubjectChar">
    <w:name w:val="Comment Subject Char"/>
    <w:basedOn w:val="CommentTextChar"/>
    <w:link w:val="CommentSubject"/>
    <w:uiPriority w:val="99"/>
    <w:semiHidden/>
    <w:rsid w:val="004942F6"/>
    <w:rPr>
      <w:rFonts w:ascii="Georgia" w:hAnsi="Georgia"/>
      <w:b/>
      <w:bCs/>
      <w:lang w:eastAsia="en-US"/>
    </w:rPr>
  </w:style>
  <w:style w:type="paragraph" w:styleId="Revision">
    <w:name w:val="Revision"/>
    <w:hidden/>
    <w:uiPriority w:val="99"/>
    <w:semiHidden/>
    <w:rsid w:val="004942F6"/>
    <w:rPr>
      <w:rFonts w:ascii="Georgia" w:hAnsi="Georgia"/>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203355">
      <w:bodyDiv w:val="1"/>
      <w:marLeft w:val="0"/>
      <w:marRight w:val="0"/>
      <w:marTop w:val="0"/>
      <w:marBottom w:val="0"/>
      <w:divBdr>
        <w:top w:val="none" w:sz="0" w:space="0" w:color="auto"/>
        <w:left w:val="none" w:sz="0" w:space="0" w:color="auto"/>
        <w:bottom w:val="none" w:sz="0" w:space="0" w:color="auto"/>
        <w:right w:val="none" w:sz="0" w:space="0" w:color="auto"/>
      </w:divBdr>
    </w:div>
    <w:div w:id="951862298">
      <w:bodyDiv w:val="1"/>
      <w:marLeft w:val="0"/>
      <w:marRight w:val="0"/>
      <w:marTop w:val="0"/>
      <w:marBottom w:val="0"/>
      <w:divBdr>
        <w:top w:val="none" w:sz="0" w:space="0" w:color="auto"/>
        <w:left w:val="none" w:sz="0" w:space="0" w:color="auto"/>
        <w:bottom w:val="none" w:sz="0" w:space="0" w:color="auto"/>
        <w:right w:val="none" w:sz="0" w:space="0" w:color="auto"/>
      </w:divBdr>
    </w:div>
    <w:div w:id="1089890963">
      <w:bodyDiv w:val="1"/>
      <w:marLeft w:val="0"/>
      <w:marRight w:val="0"/>
      <w:marTop w:val="0"/>
      <w:marBottom w:val="0"/>
      <w:divBdr>
        <w:top w:val="none" w:sz="0" w:space="0" w:color="auto"/>
        <w:left w:val="none" w:sz="0" w:space="0" w:color="auto"/>
        <w:bottom w:val="none" w:sz="0" w:space="0" w:color="auto"/>
        <w:right w:val="none" w:sz="0" w:space="0" w:color="auto"/>
      </w:divBdr>
    </w:div>
    <w:div w:id="1246646051">
      <w:bodyDiv w:val="1"/>
      <w:marLeft w:val="0"/>
      <w:marRight w:val="0"/>
      <w:marTop w:val="0"/>
      <w:marBottom w:val="0"/>
      <w:divBdr>
        <w:top w:val="none" w:sz="0" w:space="0" w:color="auto"/>
        <w:left w:val="none" w:sz="0" w:space="0" w:color="auto"/>
        <w:bottom w:val="none" w:sz="0" w:space="0" w:color="auto"/>
        <w:right w:val="none" w:sz="0" w:space="0" w:color="auto"/>
      </w:divBdr>
      <w:divsChild>
        <w:div w:id="1950159488">
          <w:marLeft w:val="0"/>
          <w:marRight w:val="0"/>
          <w:marTop w:val="0"/>
          <w:marBottom w:val="0"/>
          <w:divBdr>
            <w:top w:val="none" w:sz="0" w:space="0" w:color="auto"/>
            <w:left w:val="none" w:sz="0" w:space="0" w:color="auto"/>
            <w:bottom w:val="none" w:sz="0" w:space="0" w:color="auto"/>
            <w:right w:val="none" w:sz="0" w:space="0" w:color="auto"/>
          </w:divBdr>
          <w:divsChild>
            <w:div w:id="65808493">
              <w:marLeft w:val="0"/>
              <w:marRight w:val="0"/>
              <w:marTop w:val="0"/>
              <w:marBottom w:val="0"/>
              <w:divBdr>
                <w:top w:val="none" w:sz="0" w:space="0" w:color="auto"/>
                <w:left w:val="none" w:sz="0" w:space="0" w:color="auto"/>
                <w:bottom w:val="none" w:sz="0" w:space="0" w:color="auto"/>
                <w:right w:val="none" w:sz="0" w:space="0" w:color="auto"/>
              </w:divBdr>
              <w:divsChild>
                <w:div w:id="1685478633">
                  <w:marLeft w:val="-225"/>
                  <w:marRight w:val="-225"/>
                  <w:marTop w:val="0"/>
                  <w:marBottom w:val="0"/>
                  <w:divBdr>
                    <w:top w:val="none" w:sz="0" w:space="0" w:color="auto"/>
                    <w:left w:val="none" w:sz="0" w:space="0" w:color="auto"/>
                    <w:bottom w:val="none" w:sz="0" w:space="0" w:color="auto"/>
                    <w:right w:val="none" w:sz="0" w:space="0" w:color="auto"/>
                  </w:divBdr>
                  <w:divsChild>
                    <w:div w:id="942030321">
                      <w:marLeft w:val="0"/>
                      <w:marRight w:val="0"/>
                      <w:marTop w:val="0"/>
                      <w:marBottom w:val="0"/>
                      <w:divBdr>
                        <w:top w:val="none" w:sz="0" w:space="0" w:color="auto"/>
                        <w:left w:val="none" w:sz="0" w:space="0" w:color="auto"/>
                        <w:bottom w:val="none" w:sz="0" w:space="0" w:color="auto"/>
                        <w:right w:val="none" w:sz="0" w:space="0" w:color="auto"/>
                      </w:divBdr>
                      <w:divsChild>
                        <w:div w:id="1349913619">
                          <w:marLeft w:val="0"/>
                          <w:marRight w:val="0"/>
                          <w:marTop w:val="0"/>
                          <w:marBottom w:val="0"/>
                          <w:divBdr>
                            <w:top w:val="none" w:sz="0" w:space="0" w:color="auto"/>
                            <w:left w:val="none" w:sz="0" w:space="0" w:color="auto"/>
                            <w:bottom w:val="none" w:sz="0" w:space="0" w:color="auto"/>
                            <w:right w:val="none" w:sz="0" w:space="0" w:color="auto"/>
                          </w:divBdr>
                          <w:divsChild>
                            <w:div w:id="1253734724">
                              <w:marLeft w:val="-225"/>
                              <w:marRight w:val="-225"/>
                              <w:marTop w:val="0"/>
                              <w:marBottom w:val="0"/>
                              <w:divBdr>
                                <w:top w:val="none" w:sz="0" w:space="0" w:color="auto"/>
                                <w:left w:val="none" w:sz="0" w:space="0" w:color="auto"/>
                                <w:bottom w:val="none" w:sz="0" w:space="0" w:color="auto"/>
                                <w:right w:val="none" w:sz="0" w:space="0" w:color="auto"/>
                              </w:divBdr>
                              <w:divsChild>
                                <w:div w:id="583690466">
                                  <w:marLeft w:val="0"/>
                                  <w:marRight w:val="0"/>
                                  <w:marTop w:val="0"/>
                                  <w:marBottom w:val="0"/>
                                  <w:divBdr>
                                    <w:top w:val="none" w:sz="0" w:space="0" w:color="auto"/>
                                    <w:left w:val="none" w:sz="0" w:space="0" w:color="auto"/>
                                    <w:bottom w:val="none" w:sz="0" w:space="0" w:color="auto"/>
                                    <w:right w:val="none" w:sz="0" w:space="0" w:color="auto"/>
                                  </w:divBdr>
                                  <w:divsChild>
                                    <w:div w:id="2065641369">
                                      <w:marLeft w:val="0"/>
                                      <w:marRight w:val="0"/>
                                      <w:marTop w:val="0"/>
                                      <w:marBottom w:val="0"/>
                                      <w:divBdr>
                                        <w:top w:val="none" w:sz="0" w:space="0" w:color="auto"/>
                                        <w:left w:val="none" w:sz="0" w:space="0" w:color="auto"/>
                                        <w:bottom w:val="none" w:sz="0" w:space="0" w:color="auto"/>
                                        <w:right w:val="none" w:sz="0" w:space="0" w:color="auto"/>
                                      </w:divBdr>
                                      <w:divsChild>
                                        <w:div w:id="368651677">
                                          <w:marLeft w:val="0"/>
                                          <w:marRight w:val="0"/>
                                          <w:marTop w:val="0"/>
                                          <w:marBottom w:val="0"/>
                                          <w:divBdr>
                                            <w:top w:val="none" w:sz="0" w:space="0" w:color="auto"/>
                                            <w:left w:val="none" w:sz="0" w:space="0" w:color="auto"/>
                                            <w:bottom w:val="none" w:sz="0" w:space="0" w:color="auto"/>
                                            <w:right w:val="none" w:sz="0" w:space="0" w:color="auto"/>
                                          </w:divBdr>
                                          <w:divsChild>
                                            <w:div w:id="1855458212">
                                              <w:marLeft w:val="0"/>
                                              <w:marRight w:val="0"/>
                                              <w:marTop w:val="0"/>
                                              <w:marBottom w:val="0"/>
                                              <w:divBdr>
                                                <w:top w:val="none" w:sz="0" w:space="0" w:color="auto"/>
                                                <w:left w:val="none" w:sz="0" w:space="0" w:color="auto"/>
                                                <w:bottom w:val="none" w:sz="0" w:space="0" w:color="auto"/>
                                                <w:right w:val="none" w:sz="0" w:space="0" w:color="auto"/>
                                              </w:divBdr>
                                              <w:divsChild>
                                                <w:div w:id="22830463">
                                                  <w:marLeft w:val="0"/>
                                                  <w:marRight w:val="0"/>
                                                  <w:marTop w:val="0"/>
                                                  <w:marBottom w:val="0"/>
                                                  <w:divBdr>
                                                    <w:top w:val="none" w:sz="0" w:space="0" w:color="auto"/>
                                                    <w:left w:val="none" w:sz="0" w:space="0" w:color="auto"/>
                                                    <w:bottom w:val="none" w:sz="0" w:space="0" w:color="auto"/>
                                                    <w:right w:val="none" w:sz="0" w:space="0" w:color="auto"/>
                                                  </w:divBdr>
                                                  <w:divsChild>
                                                    <w:div w:id="18849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922268">
      <w:bodyDiv w:val="1"/>
      <w:marLeft w:val="0"/>
      <w:marRight w:val="0"/>
      <w:marTop w:val="0"/>
      <w:marBottom w:val="0"/>
      <w:divBdr>
        <w:top w:val="none" w:sz="0" w:space="0" w:color="auto"/>
        <w:left w:val="none" w:sz="0" w:space="0" w:color="auto"/>
        <w:bottom w:val="none" w:sz="0" w:space="0" w:color="auto"/>
        <w:right w:val="none" w:sz="0" w:space="0" w:color="auto"/>
      </w:divBdr>
    </w:div>
    <w:div w:id="165159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653893C-EBD0-415E-B458-1C324E6AA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4183</Words>
  <Characters>23350</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Behaviour Support Services (BSS)</vt:lpstr>
    </vt:vector>
  </TitlesOfParts>
  <Company>Ministry of Health</Company>
  <LinksUpToDate>false</LinksUpToDate>
  <CharactersWithSpaces>27479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to Suspected Ebola Virus Disease Cases in New Zealand: Key themes from sector and Ministry debriefs</dc:title>
  <dc:creator>Ministry of Health</dc:creator>
  <cp:lastModifiedBy>Ministry of Health</cp:lastModifiedBy>
  <cp:revision>7</cp:revision>
  <cp:lastPrinted>2014-10-20T03:59:00Z</cp:lastPrinted>
  <dcterms:created xsi:type="dcterms:W3CDTF">2015-07-27T03:36:00Z</dcterms:created>
  <dcterms:modified xsi:type="dcterms:W3CDTF">2015-10-02T04:00:00Z</dcterms:modified>
</cp:coreProperties>
</file>